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7386C" w14:textId="77777777" w:rsidR="00414562" w:rsidRPr="000F21D1" w:rsidRDefault="00762D82" w:rsidP="00B117C8">
      <w:pPr>
        <w:autoSpaceDE w:val="0"/>
        <w:autoSpaceDN w:val="0"/>
        <w:adjustRightInd w:val="0"/>
        <w:spacing w:after="120" w:line="360" w:lineRule="auto"/>
        <w:jc w:val="both"/>
        <w:rPr>
          <w:rFonts w:ascii="Garamond" w:hAnsi="Garamond" w:cs="Sylfaen"/>
        </w:rPr>
      </w:pPr>
      <w:r w:rsidRPr="000F21D1">
        <w:rPr>
          <w:rFonts w:ascii="Garamond" w:hAnsi="Garamond"/>
        </w:rPr>
        <w:t>T</w:t>
      </w:r>
      <w:r w:rsidR="00AD7FBC" w:rsidRPr="000F21D1">
        <w:rPr>
          <w:rFonts w:ascii="Garamond" w:hAnsi="Garamond"/>
        </w:rPr>
        <w:t>he Central Bank of Armenia has, s</w:t>
      </w:r>
      <w:r w:rsidR="00414562" w:rsidRPr="000F21D1">
        <w:rPr>
          <w:rFonts w:ascii="Garamond" w:hAnsi="Garamond"/>
        </w:rPr>
        <w:t xml:space="preserve">tarting from January 2006, moved to a fully-fledged inflation targeting strategy, which highlights the importance of communicating of the Bank to the general public by publishing, inter alia, quarterly inflation reports. First section of the inflation report includes next quarter’s monetary policy program that provides new forecasts of inflation and other macroeconomic indicators and main directions of the monetary policy in the forecast horizon. Second section includes </w:t>
      </w:r>
      <w:r w:rsidR="00414562" w:rsidRPr="000F21D1">
        <w:rPr>
          <w:rStyle w:val="longtext"/>
          <w:rFonts w:ascii="Garamond" w:hAnsi="Garamond"/>
          <w:color w:val="000000"/>
          <w:shd w:val="clear" w:color="auto" w:fill="FFFFFF"/>
        </w:rPr>
        <w:t>status report on implementation of the monetary policy</w:t>
      </w:r>
      <w:r w:rsidR="00414562" w:rsidRPr="000F21D1">
        <w:rPr>
          <w:rFonts w:ascii="Garamond" w:hAnsi="Garamond"/>
        </w:rPr>
        <w:t xml:space="preserve"> program</w:t>
      </w:r>
      <w:r w:rsidR="00414562" w:rsidRPr="000F21D1">
        <w:rPr>
          <w:rStyle w:val="longtext"/>
          <w:rFonts w:ascii="Garamond" w:hAnsi="Garamond"/>
          <w:color w:val="000000"/>
          <w:shd w:val="clear" w:color="auto" w:fill="FFFFFF"/>
        </w:rPr>
        <w:t xml:space="preserve"> of the previous quarter, which covers actual economic and monetary developments.</w:t>
      </w:r>
    </w:p>
    <w:p w14:paraId="56BC7D2C" w14:textId="77777777" w:rsidR="00414562" w:rsidRPr="000F21D1" w:rsidRDefault="00414562" w:rsidP="00B117C8">
      <w:pPr>
        <w:autoSpaceDE w:val="0"/>
        <w:autoSpaceDN w:val="0"/>
        <w:adjustRightInd w:val="0"/>
        <w:spacing w:after="120" w:line="360" w:lineRule="auto"/>
        <w:jc w:val="both"/>
        <w:rPr>
          <w:rFonts w:ascii="Garamond" w:hAnsi="Garamond" w:cs="Sylfaen"/>
        </w:rPr>
      </w:pPr>
      <w:r w:rsidRPr="000F21D1">
        <w:rPr>
          <w:rFonts w:ascii="Garamond" w:hAnsi="Garamond"/>
        </w:rPr>
        <w:t xml:space="preserve">Publishing of inflation forecast and assumptions underlying it makes the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 cost reduction. </w:t>
      </w:r>
    </w:p>
    <w:p w14:paraId="181AD73B" w14:textId="77777777" w:rsidR="00414562" w:rsidRPr="000F21D1" w:rsidRDefault="00414562" w:rsidP="00B117C8">
      <w:pPr>
        <w:autoSpaceDE w:val="0"/>
        <w:autoSpaceDN w:val="0"/>
        <w:adjustRightInd w:val="0"/>
        <w:spacing w:after="120" w:line="360" w:lineRule="auto"/>
        <w:jc w:val="both"/>
        <w:rPr>
          <w:rFonts w:ascii="Garamond" w:hAnsi="Garamond" w:cs="Sylfaen"/>
        </w:rPr>
      </w:pPr>
      <w:r w:rsidRPr="000F21D1">
        <w:rPr>
          <w:rFonts w:ascii="Garamond" w:hAnsi="Garamond"/>
        </w:rPr>
        <w:t xml:space="preserve">Starting from the second quarter of 2012, the </w:t>
      </w:r>
      <w:r w:rsidR="008D5718" w:rsidRPr="000F21D1">
        <w:rPr>
          <w:rFonts w:ascii="Garamond" w:hAnsi="Garamond"/>
        </w:rPr>
        <w:t>C</w:t>
      </w:r>
      <w:r w:rsidR="002F4FEC" w:rsidRPr="000F21D1">
        <w:rPr>
          <w:rFonts w:ascii="Garamond" w:hAnsi="Garamond"/>
        </w:rPr>
        <w:t>BA</w:t>
      </w:r>
      <w:r w:rsidRPr="000F21D1">
        <w:rPr>
          <w:rFonts w:ascii="Garamond" w:hAnsi="Garamond"/>
        </w:rPr>
        <w:t xml:space="preserve"> has been publishing forecasts of non-conditional inflation in a 3-year time horizon, in implementation of the inflation targeting strategy, </w:t>
      </w:r>
      <w:r w:rsidR="00E87661" w:rsidRPr="000F21D1">
        <w:rPr>
          <w:rFonts w:ascii="Garamond" w:hAnsi="Garamond"/>
        </w:rPr>
        <w:t>whereby the</w:t>
      </w:r>
      <w:r w:rsidRPr="000F21D1">
        <w:rPr>
          <w:rFonts w:ascii="Garamond" w:hAnsi="Garamond"/>
        </w:rPr>
        <w:t xml:space="preserve"> monetary policy is steered to minimize any deviations of potential inflation from a 4 % target. </w:t>
      </w:r>
    </w:p>
    <w:p w14:paraId="58BFA888" w14:textId="77777777" w:rsidR="00414562" w:rsidRPr="000F21D1" w:rsidRDefault="00414562" w:rsidP="00B117C8">
      <w:pPr>
        <w:autoSpaceDE w:val="0"/>
        <w:autoSpaceDN w:val="0"/>
        <w:adjustRightInd w:val="0"/>
        <w:spacing w:after="120" w:line="360" w:lineRule="auto"/>
        <w:jc w:val="both"/>
        <w:rPr>
          <w:rFonts w:ascii="Garamond" w:hAnsi="Garamond" w:cs="Sylfaen"/>
        </w:rPr>
      </w:pPr>
      <w:r w:rsidRPr="000F21D1">
        <w:rPr>
          <w:rFonts w:ascii="Garamond" w:hAnsi="Garamond"/>
        </w:rPr>
        <w:t xml:space="preserve">Projections in this report are based on the factual information available by </w:t>
      </w:r>
      <w:r w:rsidR="007800EB" w:rsidRPr="000F21D1">
        <w:rPr>
          <w:rFonts w:ascii="Garamond" w:hAnsi="Garamond"/>
        </w:rPr>
        <w:t>August 16</w:t>
      </w:r>
      <w:r w:rsidRPr="000F21D1">
        <w:rPr>
          <w:rFonts w:ascii="Garamond" w:hAnsi="Garamond"/>
        </w:rPr>
        <w:t xml:space="preserve">, 2016, i.e. the day on which the refinancing rate was set, the results of a survey conducted by the </w:t>
      </w:r>
      <w:r w:rsidR="002F4FEC" w:rsidRPr="000F21D1">
        <w:rPr>
          <w:rFonts w:ascii="Garamond" w:hAnsi="Garamond"/>
        </w:rPr>
        <w:t>CBA</w:t>
      </w:r>
      <w:r w:rsidRPr="000F21D1">
        <w:rPr>
          <w:rFonts w:ascii="Garamond" w:hAnsi="Garamond"/>
        </w:rPr>
        <w:t xml:space="preserve"> and the judgment made pursuant to the information on future </w:t>
      </w:r>
      <w:r w:rsidR="002F4FEC" w:rsidRPr="000F21D1">
        <w:rPr>
          <w:rFonts w:ascii="Garamond" w:hAnsi="Garamond"/>
        </w:rPr>
        <w:t xml:space="preserve">developments of the </w:t>
      </w:r>
      <w:r w:rsidRPr="000F21D1">
        <w:rPr>
          <w:rFonts w:ascii="Garamond" w:hAnsi="Garamond"/>
        </w:rPr>
        <w:t xml:space="preserve">macroeconomic </w:t>
      </w:r>
      <w:r w:rsidR="002F4FEC" w:rsidRPr="000F21D1">
        <w:rPr>
          <w:rFonts w:ascii="Garamond" w:hAnsi="Garamond"/>
        </w:rPr>
        <w:t xml:space="preserve">environment. </w:t>
      </w:r>
    </w:p>
    <w:p w14:paraId="4BB148CA" w14:textId="77777777" w:rsidR="00A57178" w:rsidRPr="000F21D1" w:rsidRDefault="00414562" w:rsidP="00B117C8">
      <w:pPr>
        <w:spacing w:line="360" w:lineRule="auto"/>
        <w:jc w:val="both"/>
        <w:rPr>
          <w:rFonts w:ascii="Garamond" w:hAnsi="Garamond"/>
        </w:rPr>
      </w:pPr>
      <w:r w:rsidRPr="000F21D1">
        <w:rPr>
          <w:rFonts w:ascii="Garamond" w:hAnsi="Garamond"/>
        </w:rPr>
        <w:t>All inflation reports which have been published to date are available on the Bank’s website which also contains monetary policy-related publications.</w:t>
      </w:r>
    </w:p>
    <w:p w14:paraId="6B424FFC" w14:textId="77777777" w:rsidR="00B117C8" w:rsidRPr="000F21D1" w:rsidRDefault="00B117C8" w:rsidP="00B117C8">
      <w:pPr>
        <w:spacing w:line="360" w:lineRule="auto"/>
        <w:jc w:val="both"/>
        <w:rPr>
          <w:rFonts w:ascii="Garamond" w:hAnsi="Garamond"/>
        </w:rPr>
      </w:pPr>
    </w:p>
    <w:p w14:paraId="6A03783F" w14:textId="77777777" w:rsidR="002F4FEC" w:rsidRPr="000F21D1" w:rsidRDefault="002F4FEC" w:rsidP="00B117C8">
      <w:pPr>
        <w:spacing w:line="360" w:lineRule="auto"/>
        <w:jc w:val="both"/>
        <w:rPr>
          <w:rFonts w:ascii="Garamond" w:hAnsi="Garamond"/>
          <w:b/>
        </w:rPr>
      </w:pPr>
      <w:r w:rsidRPr="000F21D1">
        <w:rPr>
          <w:rFonts w:ascii="Garamond" w:hAnsi="Garamond"/>
          <w:b/>
        </w:rPr>
        <w:t>1. Executive Summary</w:t>
      </w:r>
    </w:p>
    <w:p w14:paraId="2228F2EA" w14:textId="77777777" w:rsidR="007800EB" w:rsidRPr="000F21D1" w:rsidRDefault="007800EB" w:rsidP="00B117C8">
      <w:pPr>
        <w:spacing w:line="360" w:lineRule="auto"/>
        <w:jc w:val="both"/>
        <w:rPr>
          <w:rFonts w:ascii="Garamond" w:hAnsi="Garamond"/>
          <w:b/>
        </w:rPr>
      </w:pPr>
      <w:r w:rsidRPr="000F21D1">
        <w:rPr>
          <w:rFonts w:ascii="Garamond" w:hAnsi="Garamond"/>
          <w:b/>
        </w:rPr>
        <w:t xml:space="preserve">The economic situation </w:t>
      </w:r>
      <w:r w:rsidR="00BB25D6" w:rsidRPr="000F21D1">
        <w:rPr>
          <w:rFonts w:ascii="Garamond" w:hAnsi="Garamond"/>
          <w:b/>
        </w:rPr>
        <w:t xml:space="preserve">in Armenia </w:t>
      </w:r>
      <w:r w:rsidRPr="000F21D1">
        <w:rPr>
          <w:rFonts w:ascii="Garamond" w:hAnsi="Garamond"/>
          <w:b/>
        </w:rPr>
        <w:t xml:space="preserve">and </w:t>
      </w:r>
      <w:r w:rsidR="00BB25D6" w:rsidRPr="000F21D1">
        <w:rPr>
          <w:rFonts w:ascii="Garamond" w:hAnsi="Garamond"/>
          <w:b/>
        </w:rPr>
        <w:t xml:space="preserve">the pace of </w:t>
      </w:r>
      <w:r w:rsidRPr="000F21D1">
        <w:rPr>
          <w:rFonts w:ascii="Garamond" w:hAnsi="Garamond"/>
          <w:b/>
        </w:rPr>
        <w:t xml:space="preserve">monetary policy </w:t>
      </w:r>
      <w:r w:rsidR="00BB25D6" w:rsidRPr="000F21D1">
        <w:rPr>
          <w:rFonts w:ascii="Garamond" w:hAnsi="Garamond"/>
          <w:b/>
        </w:rPr>
        <w:t>of the Central Bank of Armenia</w:t>
      </w:r>
    </w:p>
    <w:p w14:paraId="17FBAF4F" w14:textId="77777777" w:rsidR="002F4FEC" w:rsidRPr="000F21D1" w:rsidRDefault="002F4FEC" w:rsidP="00B117C8">
      <w:pPr>
        <w:spacing w:line="360" w:lineRule="auto"/>
        <w:jc w:val="both"/>
        <w:rPr>
          <w:rFonts w:ascii="Garamond" w:hAnsi="Garamond"/>
        </w:rPr>
      </w:pPr>
    </w:p>
    <w:p w14:paraId="2D813B4C" w14:textId="77777777" w:rsidR="00276ADF" w:rsidRPr="000F21D1" w:rsidRDefault="00BB25D6" w:rsidP="00B117C8">
      <w:pPr>
        <w:spacing w:line="360" w:lineRule="auto"/>
        <w:jc w:val="both"/>
        <w:rPr>
          <w:rFonts w:ascii="Garamond" w:hAnsi="Garamond"/>
        </w:rPr>
      </w:pPr>
      <w:r w:rsidRPr="000F21D1">
        <w:rPr>
          <w:rFonts w:ascii="Garamond" w:hAnsi="Garamond"/>
        </w:rPr>
        <w:t xml:space="preserve">The policy </w:t>
      </w:r>
      <w:r w:rsidR="00725594" w:rsidRPr="000F21D1">
        <w:rPr>
          <w:rFonts w:ascii="Garamond" w:hAnsi="Garamond"/>
        </w:rPr>
        <w:t>implemented by</w:t>
      </w:r>
      <w:r w:rsidRPr="000F21D1">
        <w:rPr>
          <w:rFonts w:ascii="Garamond" w:hAnsi="Garamond"/>
        </w:rPr>
        <w:t xml:space="preserve"> the Central Bank of Armenia (the CBA) in the forecast horizon is still </w:t>
      </w:r>
      <w:r w:rsidR="008C1056" w:rsidRPr="000F21D1">
        <w:rPr>
          <w:rFonts w:ascii="Garamond" w:hAnsi="Garamond"/>
        </w:rPr>
        <w:t xml:space="preserve">incurring </w:t>
      </w:r>
      <w:r w:rsidRPr="000F21D1">
        <w:rPr>
          <w:rFonts w:ascii="Garamond" w:hAnsi="Garamond"/>
        </w:rPr>
        <w:t xml:space="preserve">the effect of the economic shock in late 2014, and the CBA has from time to time addressed </w:t>
      </w:r>
      <w:r w:rsidR="00276ADF" w:rsidRPr="000F21D1">
        <w:rPr>
          <w:rFonts w:ascii="Garamond" w:hAnsi="Garamond"/>
        </w:rPr>
        <w:t xml:space="preserve">the </w:t>
      </w:r>
      <w:r w:rsidRPr="000F21D1">
        <w:rPr>
          <w:rFonts w:ascii="Garamond" w:hAnsi="Garamond"/>
        </w:rPr>
        <w:t xml:space="preserve">mechanisms </w:t>
      </w:r>
      <w:r w:rsidR="00276ADF" w:rsidRPr="000F21D1">
        <w:rPr>
          <w:rFonts w:ascii="Garamond" w:hAnsi="Garamond"/>
        </w:rPr>
        <w:t xml:space="preserve">of such effect in its </w:t>
      </w:r>
      <w:r w:rsidRPr="000F21D1">
        <w:rPr>
          <w:rFonts w:ascii="Garamond" w:hAnsi="Garamond"/>
        </w:rPr>
        <w:t>infl</w:t>
      </w:r>
      <w:r w:rsidR="00276ADF" w:rsidRPr="000F21D1">
        <w:rPr>
          <w:rFonts w:ascii="Garamond" w:hAnsi="Garamond"/>
        </w:rPr>
        <w:t xml:space="preserve">ation </w:t>
      </w:r>
      <w:r w:rsidRPr="000F21D1">
        <w:rPr>
          <w:rFonts w:ascii="Garamond" w:hAnsi="Garamond"/>
        </w:rPr>
        <w:t>reports.</w:t>
      </w:r>
      <w:r w:rsidR="00276ADF" w:rsidRPr="000F21D1">
        <w:rPr>
          <w:rFonts w:ascii="Garamond" w:hAnsi="Garamond"/>
        </w:rPr>
        <w:t xml:space="preserve"> In the last quarter of 2014, a sharp decline in international oil prices and depreciated Russian ruble led to dramatic changes in the behavior of households and companies. </w:t>
      </w:r>
      <w:r w:rsidR="00B04E2F" w:rsidRPr="000F21D1">
        <w:rPr>
          <w:rFonts w:ascii="Garamond" w:hAnsi="Garamond"/>
        </w:rPr>
        <w:t>W</w:t>
      </w:r>
      <w:r w:rsidR="00FB006B" w:rsidRPr="000F21D1">
        <w:rPr>
          <w:rFonts w:ascii="Garamond" w:hAnsi="Garamond"/>
        </w:rPr>
        <w:t>ith too high expectations for inflation, a</w:t>
      </w:r>
      <w:r w:rsidR="00276ADF" w:rsidRPr="000F21D1">
        <w:rPr>
          <w:rFonts w:ascii="Garamond" w:hAnsi="Garamond"/>
        </w:rPr>
        <w:t>ll businesses</w:t>
      </w:r>
      <w:r w:rsidR="00FB006B" w:rsidRPr="000F21D1">
        <w:rPr>
          <w:rFonts w:ascii="Garamond" w:hAnsi="Garamond"/>
        </w:rPr>
        <w:t xml:space="preserve"> attempted to </w:t>
      </w:r>
      <w:r w:rsidR="00B04E2F" w:rsidRPr="000F21D1">
        <w:rPr>
          <w:rFonts w:ascii="Garamond" w:hAnsi="Garamond"/>
        </w:rPr>
        <w:t>secure</w:t>
      </w:r>
      <w:r w:rsidR="00FB006B" w:rsidRPr="000F21D1">
        <w:rPr>
          <w:rFonts w:ascii="Garamond" w:hAnsi="Garamond"/>
        </w:rPr>
        <w:t xml:space="preserve"> </w:t>
      </w:r>
      <w:r w:rsidR="00276ADF" w:rsidRPr="000F21D1">
        <w:rPr>
          <w:rFonts w:ascii="Garamond" w:hAnsi="Garamond"/>
        </w:rPr>
        <w:t>the</w:t>
      </w:r>
      <w:r w:rsidR="00FB006B" w:rsidRPr="000F21D1">
        <w:rPr>
          <w:rFonts w:ascii="Garamond" w:hAnsi="Garamond"/>
        </w:rPr>
        <w:t xml:space="preserve">mselves by converting the domestic </w:t>
      </w:r>
      <w:r w:rsidR="00276ADF" w:rsidRPr="000F21D1">
        <w:rPr>
          <w:rFonts w:ascii="Garamond" w:hAnsi="Garamond"/>
        </w:rPr>
        <w:t xml:space="preserve">currency into foreign currency and </w:t>
      </w:r>
      <w:r w:rsidR="00FB006B" w:rsidRPr="000F21D1">
        <w:rPr>
          <w:rFonts w:ascii="Garamond" w:hAnsi="Garamond"/>
        </w:rPr>
        <w:t xml:space="preserve">into </w:t>
      </w:r>
      <w:r w:rsidR="00FB006B" w:rsidRPr="000F21D1">
        <w:rPr>
          <w:rFonts w:ascii="Garamond" w:hAnsi="Garamond"/>
        </w:rPr>
        <w:lastRenderedPageBreak/>
        <w:t>various consumer goods</w:t>
      </w:r>
      <w:r w:rsidR="00276ADF" w:rsidRPr="000F21D1">
        <w:rPr>
          <w:rFonts w:ascii="Garamond" w:hAnsi="Garamond"/>
        </w:rPr>
        <w:t xml:space="preserve">, even short-term </w:t>
      </w:r>
      <w:r w:rsidR="00FB006B" w:rsidRPr="000F21D1">
        <w:rPr>
          <w:rFonts w:ascii="Garamond" w:hAnsi="Garamond"/>
        </w:rPr>
        <w:t>ones</w:t>
      </w:r>
      <w:r w:rsidR="00276ADF" w:rsidRPr="000F21D1">
        <w:rPr>
          <w:rFonts w:ascii="Garamond" w:hAnsi="Garamond"/>
        </w:rPr>
        <w:t xml:space="preserve">. Such behavior </w:t>
      </w:r>
      <w:r w:rsidR="00720607" w:rsidRPr="000F21D1">
        <w:rPr>
          <w:rFonts w:ascii="Garamond" w:hAnsi="Garamond"/>
        </w:rPr>
        <w:t xml:space="preserve">reflected </w:t>
      </w:r>
      <w:r w:rsidR="00276ADF" w:rsidRPr="000F21D1">
        <w:rPr>
          <w:rFonts w:ascii="Garamond" w:hAnsi="Garamond"/>
        </w:rPr>
        <w:t xml:space="preserve">all the </w:t>
      </w:r>
      <w:r w:rsidR="001B3B55" w:rsidRPr="000F21D1">
        <w:rPr>
          <w:rFonts w:ascii="Garamond" w:hAnsi="Garamond"/>
        </w:rPr>
        <w:t xml:space="preserve">signs </w:t>
      </w:r>
      <w:r w:rsidR="00B04E2F" w:rsidRPr="000F21D1">
        <w:rPr>
          <w:rFonts w:ascii="Garamond" w:hAnsi="Garamond"/>
        </w:rPr>
        <w:t xml:space="preserve">of </w:t>
      </w:r>
      <w:r w:rsidR="00720607" w:rsidRPr="000F21D1">
        <w:rPr>
          <w:rFonts w:ascii="Garamond" w:hAnsi="Garamond"/>
        </w:rPr>
        <w:t xml:space="preserve">hyper-inflation the domestic </w:t>
      </w:r>
      <w:r w:rsidR="00276ADF" w:rsidRPr="000F21D1">
        <w:rPr>
          <w:rFonts w:ascii="Garamond" w:hAnsi="Garamond"/>
        </w:rPr>
        <w:t xml:space="preserve">economy </w:t>
      </w:r>
      <w:r w:rsidR="00720607" w:rsidRPr="000F21D1">
        <w:rPr>
          <w:rFonts w:ascii="Garamond" w:hAnsi="Garamond"/>
        </w:rPr>
        <w:t xml:space="preserve">had experienced </w:t>
      </w:r>
      <w:r w:rsidR="008C1056" w:rsidRPr="000F21D1">
        <w:rPr>
          <w:rFonts w:ascii="Garamond" w:hAnsi="Garamond"/>
        </w:rPr>
        <w:t xml:space="preserve">back </w:t>
      </w:r>
      <w:r w:rsidR="00276ADF" w:rsidRPr="000F21D1">
        <w:rPr>
          <w:rFonts w:ascii="Garamond" w:hAnsi="Garamond"/>
        </w:rPr>
        <w:t xml:space="preserve">in 1993. </w:t>
      </w:r>
      <w:r w:rsidR="00B04E2F" w:rsidRPr="000F21D1">
        <w:rPr>
          <w:rFonts w:ascii="Garamond" w:hAnsi="Garamond"/>
        </w:rPr>
        <w:t>The CBA reacted to</w:t>
      </w:r>
      <w:r w:rsidR="00276ADF" w:rsidRPr="000F21D1">
        <w:rPr>
          <w:rFonts w:ascii="Garamond" w:hAnsi="Garamond"/>
        </w:rPr>
        <w:t xml:space="preserve"> this situation</w:t>
      </w:r>
      <w:r w:rsidR="00B04E2F" w:rsidRPr="000F21D1">
        <w:rPr>
          <w:rFonts w:ascii="Garamond" w:hAnsi="Garamond"/>
        </w:rPr>
        <w:t xml:space="preserve"> by using </w:t>
      </w:r>
      <w:r w:rsidR="00276ADF" w:rsidRPr="000F21D1">
        <w:rPr>
          <w:rFonts w:ascii="Garamond" w:hAnsi="Garamond"/>
        </w:rPr>
        <w:t xml:space="preserve">all of </w:t>
      </w:r>
      <w:r w:rsidR="00B04E2F" w:rsidRPr="000F21D1">
        <w:rPr>
          <w:rFonts w:ascii="Garamond" w:hAnsi="Garamond"/>
        </w:rPr>
        <w:t xml:space="preserve">the means in </w:t>
      </w:r>
      <w:r w:rsidR="00276ADF" w:rsidRPr="000F21D1">
        <w:rPr>
          <w:rFonts w:ascii="Garamond" w:hAnsi="Garamond"/>
        </w:rPr>
        <w:t xml:space="preserve">its arsenal to stabilize the situation and </w:t>
      </w:r>
      <w:r w:rsidR="00B04E2F" w:rsidRPr="000F21D1">
        <w:rPr>
          <w:rFonts w:ascii="Garamond" w:hAnsi="Garamond"/>
        </w:rPr>
        <w:t xml:space="preserve">safeguard the country from a </w:t>
      </w:r>
      <w:r w:rsidR="00276ADF" w:rsidRPr="000F21D1">
        <w:rPr>
          <w:rFonts w:ascii="Garamond" w:hAnsi="Garamond"/>
        </w:rPr>
        <w:t xml:space="preserve">deep economic crisis. </w:t>
      </w:r>
      <w:r w:rsidR="009E00FF" w:rsidRPr="000F21D1">
        <w:rPr>
          <w:rFonts w:ascii="Garamond" w:hAnsi="Garamond"/>
        </w:rPr>
        <w:t>It has therefore been possible f</w:t>
      </w:r>
      <w:r w:rsidR="009A67FD" w:rsidRPr="000F21D1">
        <w:rPr>
          <w:rFonts w:ascii="Garamond" w:hAnsi="Garamond"/>
        </w:rPr>
        <w:t>or Armenia</w:t>
      </w:r>
      <w:r w:rsidR="009E00FF" w:rsidRPr="000F21D1">
        <w:rPr>
          <w:rFonts w:ascii="Garamond" w:hAnsi="Garamond"/>
        </w:rPr>
        <w:t xml:space="preserve"> t</w:t>
      </w:r>
      <w:r w:rsidR="00276ADF" w:rsidRPr="000F21D1">
        <w:rPr>
          <w:rFonts w:ascii="Garamond" w:hAnsi="Garamond"/>
        </w:rPr>
        <w:t>o avoid heavy financial and economic turmoil</w:t>
      </w:r>
      <w:r w:rsidR="009A67FD" w:rsidRPr="000F21D1">
        <w:rPr>
          <w:rFonts w:ascii="Garamond" w:hAnsi="Garamond"/>
        </w:rPr>
        <w:t>,</w:t>
      </w:r>
      <w:r w:rsidR="00276ADF" w:rsidRPr="000F21D1">
        <w:rPr>
          <w:rFonts w:ascii="Garamond" w:hAnsi="Garamond"/>
        </w:rPr>
        <w:t xml:space="preserve"> which </w:t>
      </w:r>
      <w:r w:rsidR="009A67FD" w:rsidRPr="000F21D1">
        <w:rPr>
          <w:rFonts w:ascii="Garamond" w:hAnsi="Garamond"/>
        </w:rPr>
        <w:t xml:space="preserve">is still the case in many countries of the region as a consequence of </w:t>
      </w:r>
      <w:r w:rsidR="00276ADF" w:rsidRPr="000F21D1">
        <w:rPr>
          <w:rFonts w:ascii="Garamond" w:hAnsi="Garamond"/>
        </w:rPr>
        <w:t xml:space="preserve">a sharp </w:t>
      </w:r>
      <w:r w:rsidR="009A67FD" w:rsidRPr="000F21D1">
        <w:rPr>
          <w:rFonts w:ascii="Garamond" w:hAnsi="Garamond"/>
        </w:rPr>
        <w:t>price-</w:t>
      </w:r>
      <w:r w:rsidR="00276ADF" w:rsidRPr="000F21D1">
        <w:rPr>
          <w:rFonts w:ascii="Garamond" w:hAnsi="Garamond"/>
        </w:rPr>
        <w:t>fall in international oil market</w:t>
      </w:r>
      <w:r w:rsidR="009E00FF" w:rsidRPr="000F21D1">
        <w:rPr>
          <w:rFonts w:ascii="Garamond" w:hAnsi="Garamond"/>
        </w:rPr>
        <w:t xml:space="preserve"> in 2014</w:t>
      </w:r>
      <w:r w:rsidR="00276ADF" w:rsidRPr="000F21D1">
        <w:rPr>
          <w:rFonts w:ascii="Garamond" w:hAnsi="Garamond"/>
        </w:rPr>
        <w:t xml:space="preserve">. </w:t>
      </w:r>
      <w:r w:rsidR="00732B64" w:rsidRPr="000F21D1">
        <w:rPr>
          <w:rFonts w:ascii="Garamond" w:hAnsi="Garamond"/>
        </w:rPr>
        <w:t xml:space="preserve">Not only has the CBA been able to ensure </w:t>
      </w:r>
      <w:r w:rsidR="00276ADF" w:rsidRPr="000F21D1">
        <w:rPr>
          <w:rFonts w:ascii="Garamond" w:hAnsi="Garamond"/>
        </w:rPr>
        <w:t xml:space="preserve">macroeconomic stability </w:t>
      </w:r>
      <w:r w:rsidR="00732B64" w:rsidRPr="000F21D1">
        <w:rPr>
          <w:rFonts w:ascii="Garamond" w:hAnsi="Garamond"/>
        </w:rPr>
        <w:t>in 2015</w:t>
      </w:r>
      <w:r w:rsidR="00276ADF" w:rsidRPr="000F21D1">
        <w:rPr>
          <w:rFonts w:ascii="Garamond" w:hAnsi="Garamond"/>
        </w:rPr>
        <w:t>, but</w:t>
      </w:r>
      <w:r w:rsidR="00732B64" w:rsidRPr="000F21D1">
        <w:rPr>
          <w:rFonts w:ascii="Garamond" w:hAnsi="Garamond"/>
        </w:rPr>
        <w:t xml:space="preserve"> its policy </w:t>
      </w:r>
      <w:r w:rsidR="008C1056" w:rsidRPr="000F21D1">
        <w:rPr>
          <w:rFonts w:ascii="Garamond" w:hAnsi="Garamond"/>
        </w:rPr>
        <w:t xml:space="preserve">has </w:t>
      </w:r>
      <w:r w:rsidR="00276ADF" w:rsidRPr="000F21D1">
        <w:rPr>
          <w:rFonts w:ascii="Garamond" w:hAnsi="Garamond"/>
        </w:rPr>
        <w:t>contribute</w:t>
      </w:r>
      <w:r w:rsidR="00732B64" w:rsidRPr="000F21D1">
        <w:rPr>
          <w:rFonts w:ascii="Garamond" w:hAnsi="Garamond"/>
        </w:rPr>
        <w:t>d</w:t>
      </w:r>
      <w:r w:rsidR="00276ADF" w:rsidRPr="000F21D1">
        <w:rPr>
          <w:rFonts w:ascii="Garamond" w:hAnsi="Garamond"/>
        </w:rPr>
        <w:t xml:space="preserve"> to </w:t>
      </w:r>
      <w:r w:rsidR="00732B64" w:rsidRPr="000F21D1">
        <w:rPr>
          <w:rFonts w:ascii="Garamond" w:hAnsi="Garamond"/>
        </w:rPr>
        <w:t xml:space="preserve">shaping of </w:t>
      </w:r>
      <w:r w:rsidR="00276ADF" w:rsidRPr="000F21D1">
        <w:rPr>
          <w:rFonts w:ascii="Garamond" w:hAnsi="Garamond"/>
        </w:rPr>
        <w:t xml:space="preserve">positive economic growth </w:t>
      </w:r>
      <w:r w:rsidR="00732B64" w:rsidRPr="000F21D1">
        <w:rPr>
          <w:rFonts w:ascii="Garamond" w:hAnsi="Garamond"/>
        </w:rPr>
        <w:t xml:space="preserve">at a time when the </w:t>
      </w:r>
      <w:r w:rsidR="00276ADF" w:rsidRPr="000F21D1">
        <w:rPr>
          <w:rFonts w:ascii="Garamond" w:hAnsi="Garamond"/>
        </w:rPr>
        <w:t xml:space="preserve">economies of </w:t>
      </w:r>
      <w:r w:rsidR="00732B64" w:rsidRPr="000F21D1">
        <w:rPr>
          <w:rFonts w:ascii="Garamond" w:hAnsi="Garamond"/>
        </w:rPr>
        <w:t xml:space="preserve">all major </w:t>
      </w:r>
      <w:r w:rsidR="00276ADF" w:rsidRPr="000F21D1">
        <w:rPr>
          <w:rFonts w:ascii="Garamond" w:hAnsi="Garamond"/>
        </w:rPr>
        <w:t xml:space="preserve">partner countries in the region </w:t>
      </w:r>
      <w:r w:rsidR="00732B64" w:rsidRPr="000F21D1">
        <w:rPr>
          <w:rFonts w:ascii="Garamond" w:hAnsi="Garamond"/>
        </w:rPr>
        <w:t>contracted</w:t>
      </w:r>
      <w:r w:rsidR="00276ADF" w:rsidRPr="000F21D1">
        <w:rPr>
          <w:rFonts w:ascii="Garamond" w:hAnsi="Garamond"/>
        </w:rPr>
        <w:t xml:space="preserve">. </w:t>
      </w:r>
      <w:r w:rsidR="005712B4" w:rsidRPr="000F21D1">
        <w:rPr>
          <w:rFonts w:ascii="Garamond" w:hAnsi="Garamond"/>
        </w:rPr>
        <w:t>Moreover,</w:t>
      </w:r>
      <w:r w:rsidR="00276ADF" w:rsidRPr="000F21D1">
        <w:rPr>
          <w:rFonts w:ascii="Garamond" w:hAnsi="Garamond"/>
        </w:rPr>
        <w:t xml:space="preserve"> the C</w:t>
      </w:r>
      <w:r w:rsidR="005712B4" w:rsidRPr="000F21D1">
        <w:rPr>
          <w:rFonts w:ascii="Garamond" w:hAnsi="Garamond"/>
        </w:rPr>
        <w:t>BA’s</w:t>
      </w:r>
      <w:r w:rsidR="00276ADF" w:rsidRPr="000F21D1">
        <w:rPr>
          <w:rFonts w:ascii="Garamond" w:hAnsi="Garamond"/>
        </w:rPr>
        <w:t xml:space="preserve"> actions laid the foundation for eliminati</w:t>
      </w:r>
      <w:r w:rsidR="005712B4" w:rsidRPr="000F21D1">
        <w:rPr>
          <w:rFonts w:ascii="Garamond" w:hAnsi="Garamond"/>
        </w:rPr>
        <w:t>ng</w:t>
      </w:r>
      <w:r w:rsidR="00276ADF" w:rsidRPr="000F21D1">
        <w:rPr>
          <w:rFonts w:ascii="Garamond" w:hAnsi="Garamond"/>
        </w:rPr>
        <w:t xml:space="preserve"> </w:t>
      </w:r>
      <w:r w:rsidR="005712B4" w:rsidRPr="000F21D1">
        <w:rPr>
          <w:rFonts w:ascii="Garamond" w:hAnsi="Garamond"/>
        </w:rPr>
        <w:t xml:space="preserve">previous </w:t>
      </w:r>
      <w:r w:rsidR="00276ADF" w:rsidRPr="000F21D1">
        <w:rPr>
          <w:rFonts w:ascii="Garamond" w:hAnsi="Garamond"/>
        </w:rPr>
        <w:t>economic imbalance</w:t>
      </w:r>
      <w:r w:rsidR="005712B4" w:rsidRPr="000F21D1">
        <w:rPr>
          <w:rFonts w:ascii="Garamond" w:hAnsi="Garamond"/>
        </w:rPr>
        <w:t>s</w:t>
      </w:r>
      <w:r w:rsidR="00276ADF" w:rsidRPr="000F21D1">
        <w:rPr>
          <w:rFonts w:ascii="Garamond" w:hAnsi="Garamond"/>
        </w:rPr>
        <w:t xml:space="preserve"> and </w:t>
      </w:r>
      <w:r w:rsidR="005712B4" w:rsidRPr="000F21D1">
        <w:rPr>
          <w:rFonts w:ascii="Garamond" w:hAnsi="Garamond"/>
        </w:rPr>
        <w:t xml:space="preserve">paving the way for long-term sound </w:t>
      </w:r>
      <w:r w:rsidR="00276ADF" w:rsidRPr="000F21D1">
        <w:rPr>
          <w:rFonts w:ascii="Garamond" w:hAnsi="Garamond"/>
        </w:rPr>
        <w:t xml:space="preserve">economic growth. </w:t>
      </w:r>
    </w:p>
    <w:p w14:paraId="51CCA508" w14:textId="77777777" w:rsidR="00276ADF" w:rsidRPr="000F21D1" w:rsidRDefault="00276ADF" w:rsidP="00B117C8">
      <w:pPr>
        <w:spacing w:line="360" w:lineRule="auto"/>
        <w:jc w:val="both"/>
        <w:rPr>
          <w:rFonts w:ascii="Garamond" w:hAnsi="Garamond"/>
        </w:rPr>
      </w:pPr>
    </w:p>
    <w:p w14:paraId="32E3F641" w14:textId="77777777" w:rsidR="00276ADF" w:rsidRPr="000F21D1" w:rsidRDefault="007361B0" w:rsidP="00B117C8">
      <w:pPr>
        <w:spacing w:line="360" w:lineRule="auto"/>
        <w:jc w:val="both"/>
        <w:rPr>
          <w:rFonts w:ascii="Garamond" w:hAnsi="Garamond"/>
        </w:rPr>
      </w:pPr>
      <w:r w:rsidRPr="000F21D1">
        <w:rPr>
          <w:rFonts w:ascii="Garamond" w:hAnsi="Garamond"/>
        </w:rPr>
        <w:t xml:space="preserve">Regional shocks are not completely waned out yet, and the CBA is doing all to preserve hard-won macroeconomic stability while making sure it is not exposed to risks. This is why the CBA has chosen under its current monetary policy a scenario of </w:t>
      </w:r>
      <w:r w:rsidRPr="000F21D1">
        <w:rPr>
          <w:rFonts w:ascii="Garamond" w:hAnsi="Garamond"/>
          <w:b/>
        </w:rPr>
        <w:t>gradual</w:t>
      </w:r>
      <w:r w:rsidR="00725594" w:rsidRPr="000F21D1">
        <w:rPr>
          <w:rFonts w:ascii="Garamond" w:hAnsi="Garamond"/>
        </w:rPr>
        <w:t xml:space="preserve"> elimination of deflation; it is especially true as current deflation </w:t>
      </w:r>
      <w:r w:rsidRPr="000F21D1">
        <w:rPr>
          <w:rFonts w:ascii="Garamond" w:hAnsi="Garamond"/>
        </w:rPr>
        <w:t xml:space="preserve">is of mostly </w:t>
      </w:r>
      <w:r w:rsidR="00725594" w:rsidRPr="000F21D1">
        <w:rPr>
          <w:rFonts w:ascii="Garamond" w:hAnsi="Garamond"/>
        </w:rPr>
        <w:t>an imported character</w:t>
      </w:r>
      <w:r w:rsidR="000E504C" w:rsidRPr="000F21D1">
        <w:rPr>
          <w:rFonts w:ascii="Garamond" w:hAnsi="Garamond"/>
        </w:rPr>
        <w:t>,</w:t>
      </w:r>
      <w:r w:rsidR="00725594" w:rsidRPr="000F21D1">
        <w:rPr>
          <w:rFonts w:ascii="Garamond" w:hAnsi="Garamond"/>
        </w:rPr>
        <w:t xml:space="preserve"> </w:t>
      </w:r>
      <w:r w:rsidRPr="000F21D1">
        <w:rPr>
          <w:rFonts w:ascii="Garamond" w:hAnsi="Garamond"/>
        </w:rPr>
        <w:t xml:space="preserve">which all the </w:t>
      </w:r>
      <w:r w:rsidR="00725594" w:rsidRPr="000F21D1">
        <w:rPr>
          <w:rFonts w:ascii="Garamond" w:hAnsi="Garamond"/>
        </w:rPr>
        <w:t xml:space="preserve">central banks of the </w:t>
      </w:r>
      <w:r w:rsidRPr="000F21D1">
        <w:rPr>
          <w:rFonts w:ascii="Garamond" w:hAnsi="Garamond"/>
        </w:rPr>
        <w:t>world</w:t>
      </w:r>
      <w:r w:rsidR="00725594" w:rsidRPr="000F21D1">
        <w:rPr>
          <w:rFonts w:ascii="Garamond" w:hAnsi="Garamond"/>
        </w:rPr>
        <w:t xml:space="preserve"> </w:t>
      </w:r>
      <w:r w:rsidR="000E504C" w:rsidRPr="000F21D1">
        <w:rPr>
          <w:rFonts w:ascii="Garamond" w:hAnsi="Garamond"/>
        </w:rPr>
        <w:t>do not practically respond to</w:t>
      </w:r>
      <w:r w:rsidRPr="000F21D1">
        <w:rPr>
          <w:rFonts w:ascii="Garamond" w:hAnsi="Garamond"/>
        </w:rPr>
        <w:t xml:space="preserve">, allowing the </w:t>
      </w:r>
      <w:r w:rsidR="0025529A" w:rsidRPr="000F21D1">
        <w:rPr>
          <w:rFonts w:ascii="Garamond" w:hAnsi="Garamond"/>
        </w:rPr>
        <w:t xml:space="preserve">shock of </w:t>
      </w:r>
      <w:r w:rsidRPr="000F21D1">
        <w:rPr>
          <w:rFonts w:ascii="Garamond" w:hAnsi="Garamond"/>
        </w:rPr>
        <w:t xml:space="preserve">imported deflation </w:t>
      </w:r>
      <w:r w:rsidR="0025529A" w:rsidRPr="000F21D1">
        <w:rPr>
          <w:rFonts w:ascii="Garamond" w:hAnsi="Garamond"/>
        </w:rPr>
        <w:t xml:space="preserve">to phase out </w:t>
      </w:r>
      <w:r w:rsidRPr="000F21D1">
        <w:rPr>
          <w:rFonts w:ascii="Garamond" w:hAnsi="Garamond"/>
        </w:rPr>
        <w:t xml:space="preserve">automatically. </w:t>
      </w:r>
      <w:r w:rsidR="0025529A" w:rsidRPr="000F21D1">
        <w:rPr>
          <w:rFonts w:ascii="Garamond" w:hAnsi="Garamond"/>
        </w:rPr>
        <w:t xml:space="preserve">The </w:t>
      </w:r>
      <w:r w:rsidRPr="000F21D1">
        <w:rPr>
          <w:rFonts w:ascii="Garamond" w:hAnsi="Garamond"/>
        </w:rPr>
        <w:t>CB</w:t>
      </w:r>
      <w:r w:rsidR="0025529A" w:rsidRPr="000F21D1">
        <w:rPr>
          <w:rFonts w:ascii="Garamond" w:hAnsi="Garamond"/>
        </w:rPr>
        <w:t>A</w:t>
      </w:r>
      <w:r w:rsidRPr="000F21D1">
        <w:rPr>
          <w:rFonts w:ascii="Garamond" w:hAnsi="Garamond"/>
        </w:rPr>
        <w:t xml:space="preserve"> </w:t>
      </w:r>
      <w:r w:rsidR="0025529A" w:rsidRPr="000F21D1">
        <w:rPr>
          <w:rFonts w:ascii="Garamond" w:hAnsi="Garamond"/>
        </w:rPr>
        <w:t xml:space="preserve">presented </w:t>
      </w:r>
      <w:r w:rsidRPr="000F21D1">
        <w:rPr>
          <w:rFonts w:ascii="Garamond" w:hAnsi="Garamond"/>
        </w:rPr>
        <w:t xml:space="preserve">deflation forecasts </w:t>
      </w:r>
      <w:r w:rsidR="0025529A" w:rsidRPr="000F21D1">
        <w:rPr>
          <w:rFonts w:ascii="Garamond" w:hAnsi="Garamond"/>
        </w:rPr>
        <w:t xml:space="preserve">in its </w:t>
      </w:r>
      <w:r w:rsidRPr="000F21D1">
        <w:rPr>
          <w:rFonts w:ascii="Garamond" w:hAnsi="Garamond"/>
        </w:rPr>
        <w:t xml:space="preserve">previous </w:t>
      </w:r>
      <w:r w:rsidR="0025529A" w:rsidRPr="000F21D1">
        <w:rPr>
          <w:rFonts w:ascii="Garamond" w:hAnsi="Garamond"/>
        </w:rPr>
        <w:t xml:space="preserve">inflation </w:t>
      </w:r>
      <w:r w:rsidRPr="000F21D1">
        <w:rPr>
          <w:rFonts w:ascii="Garamond" w:hAnsi="Garamond"/>
        </w:rPr>
        <w:t>reports</w:t>
      </w:r>
      <w:r w:rsidR="0025529A" w:rsidRPr="000F21D1">
        <w:rPr>
          <w:rFonts w:ascii="Garamond" w:hAnsi="Garamond"/>
        </w:rPr>
        <w:t>,</w:t>
      </w:r>
      <w:r w:rsidRPr="000F21D1">
        <w:rPr>
          <w:rFonts w:ascii="Garamond" w:hAnsi="Garamond"/>
        </w:rPr>
        <w:t xml:space="preserve"> and </w:t>
      </w:r>
      <w:r w:rsidR="0025529A" w:rsidRPr="000F21D1">
        <w:rPr>
          <w:rFonts w:ascii="Garamond" w:hAnsi="Garamond"/>
        </w:rPr>
        <w:t xml:space="preserve">well </w:t>
      </w:r>
      <w:r w:rsidRPr="000F21D1">
        <w:rPr>
          <w:rFonts w:ascii="Garamond" w:hAnsi="Garamond"/>
        </w:rPr>
        <w:t>aware of deflation</w:t>
      </w:r>
      <w:r w:rsidR="0025529A" w:rsidRPr="000F21D1">
        <w:rPr>
          <w:rFonts w:ascii="Garamond" w:hAnsi="Garamond"/>
        </w:rPr>
        <w:t xml:space="preserve"> </w:t>
      </w:r>
      <w:r w:rsidR="008C1056" w:rsidRPr="000F21D1">
        <w:rPr>
          <w:rFonts w:ascii="Garamond" w:hAnsi="Garamond"/>
        </w:rPr>
        <w:t xml:space="preserve">as </w:t>
      </w:r>
      <w:r w:rsidR="0025529A" w:rsidRPr="000F21D1">
        <w:rPr>
          <w:rFonts w:ascii="Garamond" w:hAnsi="Garamond"/>
        </w:rPr>
        <w:t>having been imported</w:t>
      </w:r>
      <w:r w:rsidRPr="000F21D1">
        <w:rPr>
          <w:rFonts w:ascii="Garamond" w:hAnsi="Garamond"/>
        </w:rPr>
        <w:t xml:space="preserve">, </w:t>
      </w:r>
      <w:r w:rsidR="0025529A" w:rsidRPr="000F21D1">
        <w:rPr>
          <w:rFonts w:ascii="Garamond" w:hAnsi="Garamond"/>
        </w:rPr>
        <w:t xml:space="preserve">it </w:t>
      </w:r>
      <w:r w:rsidRPr="000F21D1">
        <w:rPr>
          <w:rFonts w:ascii="Garamond" w:hAnsi="Garamond"/>
        </w:rPr>
        <w:t>believes that current</w:t>
      </w:r>
      <w:r w:rsidR="008C1056" w:rsidRPr="000F21D1">
        <w:rPr>
          <w:rFonts w:ascii="Garamond" w:hAnsi="Garamond"/>
        </w:rPr>
        <w:t>ly</w:t>
      </w:r>
      <w:r w:rsidRPr="000F21D1">
        <w:rPr>
          <w:rFonts w:ascii="Garamond" w:hAnsi="Garamond"/>
        </w:rPr>
        <w:t xml:space="preserve"> low inflation and gradual </w:t>
      </w:r>
      <w:r w:rsidR="0025529A" w:rsidRPr="000F21D1">
        <w:rPr>
          <w:rFonts w:ascii="Garamond" w:hAnsi="Garamond"/>
        </w:rPr>
        <w:t xml:space="preserve">inflation </w:t>
      </w:r>
      <w:r w:rsidRPr="000F21D1">
        <w:rPr>
          <w:rFonts w:ascii="Garamond" w:hAnsi="Garamond"/>
        </w:rPr>
        <w:t>recovery trajectory</w:t>
      </w:r>
      <w:r w:rsidR="0025529A" w:rsidRPr="000F21D1">
        <w:rPr>
          <w:rFonts w:ascii="Garamond" w:hAnsi="Garamond"/>
        </w:rPr>
        <w:t xml:space="preserve"> are</w:t>
      </w:r>
      <w:r w:rsidRPr="000F21D1">
        <w:rPr>
          <w:rFonts w:ascii="Garamond" w:hAnsi="Garamond"/>
        </w:rPr>
        <w:t xml:space="preserve"> in </w:t>
      </w:r>
      <w:r w:rsidR="008C1056" w:rsidRPr="000F21D1">
        <w:rPr>
          <w:rFonts w:ascii="Garamond" w:hAnsi="Garamond"/>
        </w:rPr>
        <w:t>line with the long-</w:t>
      </w:r>
      <w:r w:rsidRPr="000F21D1">
        <w:rPr>
          <w:rFonts w:ascii="Garamond" w:hAnsi="Garamond"/>
        </w:rPr>
        <w:t xml:space="preserve">term </w:t>
      </w:r>
      <w:r w:rsidR="0025529A" w:rsidRPr="000F21D1">
        <w:rPr>
          <w:rFonts w:ascii="Garamond" w:hAnsi="Garamond"/>
        </w:rPr>
        <w:t xml:space="preserve">price stability </w:t>
      </w:r>
      <w:r w:rsidRPr="000F21D1">
        <w:rPr>
          <w:rFonts w:ascii="Garamond" w:hAnsi="Garamond"/>
        </w:rPr>
        <w:t>objective of the C</w:t>
      </w:r>
      <w:r w:rsidR="0025529A" w:rsidRPr="000F21D1">
        <w:rPr>
          <w:rFonts w:ascii="Garamond" w:hAnsi="Garamond"/>
        </w:rPr>
        <w:t xml:space="preserve">BA </w:t>
      </w:r>
      <w:r w:rsidRPr="000F21D1">
        <w:rPr>
          <w:rFonts w:ascii="Garamond" w:hAnsi="Garamond"/>
        </w:rPr>
        <w:t xml:space="preserve">and, therefore, best serve the public interest </w:t>
      </w:r>
      <w:r w:rsidR="0025529A" w:rsidRPr="000F21D1">
        <w:rPr>
          <w:rFonts w:ascii="Garamond" w:hAnsi="Garamond"/>
        </w:rPr>
        <w:t>for several reasons:</w:t>
      </w:r>
    </w:p>
    <w:p w14:paraId="6E6AE6FD" w14:textId="77777777" w:rsidR="00121565" w:rsidRPr="000F21D1" w:rsidRDefault="00237D6F" w:rsidP="00121565">
      <w:pPr>
        <w:spacing w:line="360" w:lineRule="auto"/>
        <w:jc w:val="both"/>
        <w:rPr>
          <w:rFonts w:ascii="Garamond" w:hAnsi="Garamond"/>
        </w:rPr>
      </w:pPr>
      <w:r w:rsidRPr="000F21D1">
        <w:rPr>
          <w:rFonts w:ascii="Garamond" w:hAnsi="Garamond"/>
        </w:rPr>
        <w:t xml:space="preserve">1. </w:t>
      </w:r>
      <w:r w:rsidR="00121565" w:rsidRPr="000F21D1">
        <w:rPr>
          <w:rFonts w:ascii="Garamond" w:hAnsi="Garamond"/>
        </w:rPr>
        <w:t>It provides stability and predictability for attracting investment. Over the past 7 years, only 2015 saw a significant increase in domestic savings and no more decline in gross investments, which are the cornerstone for long-term economic growth.</w:t>
      </w:r>
    </w:p>
    <w:p w14:paraId="162C6DC6" w14:textId="77777777" w:rsidR="00237D6F" w:rsidRPr="000F21D1" w:rsidRDefault="00A766F8" w:rsidP="00121565">
      <w:pPr>
        <w:spacing w:line="360" w:lineRule="auto"/>
        <w:jc w:val="both"/>
        <w:rPr>
          <w:rFonts w:ascii="Garamond" w:hAnsi="Garamond"/>
        </w:rPr>
      </w:pPr>
      <w:r w:rsidRPr="000F21D1">
        <w:rPr>
          <w:rFonts w:ascii="Garamond" w:hAnsi="Garamond"/>
        </w:rPr>
        <w:t xml:space="preserve">Still, </w:t>
      </w:r>
      <w:r w:rsidR="00121565" w:rsidRPr="000F21D1">
        <w:rPr>
          <w:rFonts w:ascii="Garamond" w:hAnsi="Garamond"/>
        </w:rPr>
        <w:t>their level is low</w:t>
      </w:r>
      <w:r w:rsidRPr="000F21D1">
        <w:rPr>
          <w:rFonts w:ascii="Garamond" w:hAnsi="Garamond"/>
        </w:rPr>
        <w:t xml:space="preserve">. This is attributable to </w:t>
      </w:r>
      <w:r w:rsidR="00121565" w:rsidRPr="000F21D1">
        <w:rPr>
          <w:rFonts w:ascii="Garamond" w:hAnsi="Garamond"/>
        </w:rPr>
        <w:t>slow p</w:t>
      </w:r>
      <w:r w:rsidRPr="000F21D1">
        <w:rPr>
          <w:rFonts w:ascii="Garamond" w:hAnsi="Garamond"/>
        </w:rPr>
        <w:t>ace of</w:t>
      </w:r>
      <w:r w:rsidR="00121565" w:rsidRPr="000F21D1">
        <w:rPr>
          <w:rFonts w:ascii="Garamond" w:hAnsi="Garamond"/>
        </w:rPr>
        <w:t xml:space="preserve"> structural reforms</w:t>
      </w:r>
      <w:r w:rsidRPr="000F21D1">
        <w:rPr>
          <w:rFonts w:ascii="Garamond" w:hAnsi="Garamond"/>
        </w:rPr>
        <w:t xml:space="preserve"> in recent years</w:t>
      </w:r>
      <w:r w:rsidR="00121565" w:rsidRPr="000F21D1">
        <w:rPr>
          <w:rFonts w:ascii="Garamond" w:hAnsi="Garamond"/>
        </w:rPr>
        <w:t xml:space="preserve"> </w:t>
      </w:r>
      <w:r w:rsidRPr="000F21D1">
        <w:rPr>
          <w:rFonts w:ascii="Garamond" w:hAnsi="Garamond"/>
        </w:rPr>
        <w:t xml:space="preserve">as </w:t>
      </w:r>
      <w:r w:rsidR="00121565" w:rsidRPr="000F21D1">
        <w:rPr>
          <w:rFonts w:ascii="Garamond" w:hAnsi="Garamond"/>
        </w:rPr>
        <w:t xml:space="preserve">the investments were fully financed </w:t>
      </w:r>
      <w:r w:rsidRPr="000F21D1">
        <w:rPr>
          <w:rFonts w:ascii="Garamond" w:hAnsi="Garamond"/>
        </w:rPr>
        <w:t>through l</w:t>
      </w:r>
      <w:r w:rsidR="00121565" w:rsidRPr="000F21D1">
        <w:rPr>
          <w:rFonts w:ascii="Garamond" w:hAnsi="Garamond"/>
        </w:rPr>
        <w:t>oan</w:t>
      </w:r>
      <w:r w:rsidRPr="000F21D1">
        <w:rPr>
          <w:rFonts w:ascii="Garamond" w:hAnsi="Garamond"/>
        </w:rPr>
        <w:t xml:space="preserve"> resources</w:t>
      </w:r>
      <w:r w:rsidR="00121565" w:rsidRPr="000F21D1">
        <w:rPr>
          <w:rFonts w:ascii="Garamond" w:hAnsi="Garamond"/>
        </w:rPr>
        <w:t xml:space="preserve">, which has a significant </w:t>
      </w:r>
      <w:r w:rsidR="001C59A8" w:rsidRPr="000F21D1">
        <w:rPr>
          <w:rFonts w:ascii="Garamond" w:hAnsi="Garamond"/>
        </w:rPr>
        <w:t xml:space="preserve">deterrent </w:t>
      </w:r>
      <w:r w:rsidR="00121565" w:rsidRPr="000F21D1">
        <w:rPr>
          <w:rFonts w:ascii="Garamond" w:hAnsi="Garamond"/>
        </w:rPr>
        <w:t>effect and may not be sustainable in the long run.</w:t>
      </w:r>
    </w:p>
    <w:p w14:paraId="417C1421" w14:textId="03B0F553" w:rsidR="00AD7591" w:rsidRPr="000F21D1" w:rsidRDefault="00A766F8" w:rsidP="00121565">
      <w:pPr>
        <w:spacing w:line="360" w:lineRule="auto"/>
        <w:jc w:val="both"/>
        <w:rPr>
          <w:rFonts w:ascii="Garamond" w:hAnsi="Garamond"/>
        </w:rPr>
      </w:pPr>
      <w:r w:rsidRPr="000F21D1">
        <w:rPr>
          <w:rFonts w:ascii="Garamond" w:hAnsi="Garamond"/>
        </w:rPr>
        <w:t>2.</w:t>
      </w:r>
      <w:r w:rsidR="001C59A8" w:rsidRPr="000F21D1">
        <w:rPr>
          <w:rFonts w:ascii="Garamond" w:hAnsi="Garamond"/>
        </w:rPr>
        <w:t xml:space="preserve"> It facilitates elimination of accumulated imbalances in the economy through developed tradable sector, </w:t>
      </w:r>
      <w:r w:rsidR="008D3CEC" w:rsidRPr="000F21D1">
        <w:rPr>
          <w:rFonts w:ascii="Garamond" w:hAnsi="Garamond"/>
        </w:rPr>
        <w:t xml:space="preserve">which </w:t>
      </w:r>
      <w:r w:rsidR="008D3CEC" w:rsidRPr="000F21D1">
        <w:rPr>
          <w:rFonts w:ascii="Sylfaen" w:hAnsi="Sylfaen"/>
        </w:rPr>
        <w:t xml:space="preserve">is </w:t>
      </w:r>
      <w:r w:rsidR="008D3CEC" w:rsidRPr="000F21D1">
        <w:rPr>
          <w:rFonts w:ascii="Garamond" w:hAnsi="Garamond"/>
        </w:rPr>
        <w:t xml:space="preserve">reflected in </w:t>
      </w:r>
      <w:r w:rsidR="000A2F1E" w:rsidRPr="000F21D1">
        <w:rPr>
          <w:rFonts w:ascii="Garamond" w:hAnsi="Garamond"/>
        </w:rPr>
        <w:t xml:space="preserve">reducing </w:t>
      </w:r>
      <w:r w:rsidR="001C59A8" w:rsidRPr="000F21D1">
        <w:rPr>
          <w:rFonts w:ascii="Garamond" w:hAnsi="Garamond"/>
        </w:rPr>
        <w:t xml:space="preserve">current account deficit </w:t>
      </w:r>
      <w:r w:rsidR="000A2F1E" w:rsidRPr="000F21D1">
        <w:rPr>
          <w:rFonts w:ascii="Garamond" w:hAnsi="Garamond"/>
        </w:rPr>
        <w:t xml:space="preserve">and sustainability of foreign debt </w:t>
      </w:r>
      <w:r w:rsidR="001C59A8" w:rsidRPr="000F21D1">
        <w:rPr>
          <w:rFonts w:ascii="Garamond" w:hAnsi="Garamond"/>
        </w:rPr>
        <w:t xml:space="preserve">even </w:t>
      </w:r>
      <w:r w:rsidR="000A2F1E" w:rsidRPr="000F21D1">
        <w:rPr>
          <w:rFonts w:ascii="Garamond" w:hAnsi="Garamond"/>
        </w:rPr>
        <w:t xml:space="preserve">in the time of </w:t>
      </w:r>
      <w:r w:rsidR="001C59A8" w:rsidRPr="000F21D1">
        <w:rPr>
          <w:rFonts w:ascii="Garamond" w:hAnsi="Garamond"/>
        </w:rPr>
        <w:t xml:space="preserve">significant drop in remittances from abroad. Moreover, </w:t>
      </w:r>
      <w:r w:rsidR="008D3CEC" w:rsidRPr="000F21D1">
        <w:rPr>
          <w:rFonts w:ascii="Garamond" w:hAnsi="Garamond"/>
        </w:rPr>
        <w:t xml:space="preserve">along with the reduction of import </w:t>
      </w:r>
      <w:r w:rsidR="00A269AB" w:rsidRPr="000F21D1">
        <w:rPr>
          <w:rFonts w:ascii="Garamond" w:hAnsi="Garamond"/>
        </w:rPr>
        <w:t xml:space="preserve">, </w:t>
      </w:r>
      <w:r w:rsidR="001C59A8" w:rsidRPr="000F21D1">
        <w:rPr>
          <w:rFonts w:ascii="Garamond" w:hAnsi="Garamond"/>
        </w:rPr>
        <w:t xml:space="preserve">all countries </w:t>
      </w:r>
      <w:r w:rsidR="00A269AB" w:rsidRPr="000F21D1">
        <w:rPr>
          <w:rFonts w:ascii="Garamond" w:hAnsi="Garamond"/>
        </w:rPr>
        <w:t xml:space="preserve">in the region faced </w:t>
      </w:r>
      <w:r w:rsidR="001C59A8" w:rsidRPr="000F21D1">
        <w:rPr>
          <w:rFonts w:ascii="Garamond" w:hAnsi="Garamond"/>
        </w:rPr>
        <w:t>reduced exports, wh</w:t>
      </w:r>
      <w:r w:rsidR="00A269AB" w:rsidRPr="000F21D1">
        <w:rPr>
          <w:rFonts w:ascii="Garamond" w:hAnsi="Garamond"/>
        </w:rPr>
        <w:t xml:space="preserve">ereas </w:t>
      </w:r>
      <w:r w:rsidR="00337802" w:rsidRPr="000F21D1">
        <w:rPr>
          <w:rFonts w:ascii="Garamond" w:hAnsi="Garamond"/>
        </w:rPr>
        <w:t xml:space="preserve">import reduction in Armenia was </w:t>
      </w:r>
      <w:r w:rsidR="001C59A8" w:rsidRPr="000F21D1">
        <w:rPr>
          <w:rFonts w:ascii="Garamond" w:hAnsi="Garamond"/>
        </w:rPr>
        <w:t xml:space="preserve">almost </w:t>
      </w:r>
      <w:r w:rsidR="00337802" w:rsidRPr="000F21D1">
        <w:rPr>
          <w:rFonts w:ascii="Garamond" w:hAnsi="Garamond"/>
        </w:rPr>
        <w:t xml:space="preserve">concurrent with an </w:t>
      </w:r>
      <w:r w:rsidR="001C59A8" w:rsidRPr="000F21D1">
        <w:rPr>
          <w:rFonts w:ascii="Garamond" w:hAnsi="Garamond"/>
        </w:rPr>
        <w:t xml:space="preserve">unchanged level of exports (a significant increase in real exports </w:t>
      </w:r>
      <w:r w:rsidR="00AD7591" w:rsidRPr="000F21D1">
        <w:rPr>
          <w:rFonts w:ascii="Garamond" w:hAnsi="Garamond"/>
        </w:rPr>
        <w:t xml:space="preserve">was </w:t>
      </w:r>
      <w:r w:rsidR="001C59A8" w:rsidRPr="000F21D1">
        <w:rPr>
          <w:rFonts w:ascii="Garamond" w:hAnsi="Garamond"/>
        </w:rPr>
        <w:lastRenderedPageBreak/>
        <w:t xml:space="preserve">recorded </w:t>
      </w:r>
      <w:r w:rsidR="00AD7591" w:rsidRPr="000F21D1">
        <w:rPr>
          <w:rFonts w:ascii="Garamond" w:hAnsi="Garamond"/>
        </w:rPr>
        <w:t xml:space="preserve">under </w:t>
      </w:r>
      <w:r w:rsidR="001C59A8" w:rsidRPr="000F21D1">
        <w:rPr>
          <w:rFonts w:ascii="Garamond" w:hAnsi="Garamond"/>
        </w:rPr>
        <w:t>a sharp d</w:t>
      </w:r>
      <w:r w:rsidR="00AD7591" w:rsidRPr="000F21D1">
        <w:rPr>
          <w:rFonts w:ascii="Garamond" w:hAnsi="Garamond"/>
        </w:rPr>
        <w:t xml:space="preserve">rop </w:t>
      </w:r>
      <w:r w:rsidR="001C59A8" w:rsidRPr="000F21D1">
        <w:rPr>
          <w:rFonts w:ascii="Garamond" w:hAnsi="Garamond"/>
        </w:rPr>
        <w:t xml:space="preserve">in export prices), which </w:t>
      </w:r>
      <w:r w:rsidR="00AD7591" w:rsidRPr="000F21D1">
        <w:rPr>
          <w:rFonts w:ascii="Garamond" w:hAnsi="Garamond"/>
        </w:rPr>
        <w:t xml:space="preserve">puts </w:t>
      </w:r>
      <w:r w:rsidR="001C59A8" w:rsidRPr="000F21D1">
        <w:rPr>
          <w:rFonts w:ascii="Garamond" w:hAnsi="Garamond"/>
        </w:rPr>
        <w:t>Armenia</w:t>
      </w:r>
      <w:r w:rsidR="00AD7591" w:rsidRPr="000F21D1">
        <w:rPr>
          <w:rFonts w:ascii="Garamond" w:hAnsi="Garamond"/>
        </w:rPr>
        <w:t>’</w:t>
      </w:r>
      <w:r w:rsidR="001C59A8" w:rsidRPr="000F21D1">
        <w:rPr>
          <w:rFonts w:ascii="Garamond" w:hAnsi="Garamond"/>
        </w:rPr>
        <w:t xml:space="preserve">s economy positively apart from other countries in the region and </w:t>
      </w:r>
      <w:r w:rsidR="00AD7591" w:rsidRPr="000F21D1">
        <w:rPr>
          <w:rFonts w:ascii="Garamond" w:hAnsi="Garamond"/>
        </w:rPr>
        <w:t xml:space="preserve">secures </w:t>
      </w:r>
      <w:r w:rsidR="008C1056" w:rsidRPr="000F21D1">
        <w:rPr>
          <w:rFonts w:ascii="Garamond" w:hAnsi="Garamond"/>
        </w:rPr>
        <w:t xml:space="preserve">an </w:t>
      </w:r>
      <w:r w:rsidR="00AD7591" w:rsidRPr="000F21D1">
        <w:rPr>
          <w:rFonts w:ascii="Garamond" w:hAnsi="Garamond"/>
        </w:rPr>
        <w:t>adjustment of external imbalance</w:t>
      </w:r>
      <w:r w:rsidR="001C59A8" w:rsidRPr="000F21D1">
        <w:rPr>
          <w:rFonts w:ascii="Garamond" w:hAnsi="Garamond"/>
        </w:rPr>
        <w:t>.</w:t>
      </w:r>
    </w:p>
    <w:p w14:paraId="501D0F9A" w14:textId="77777777" w:rsidR="00A766F8" w:rsidRPr="000F21D1" w:rsidRDefault="00AD7591" w:rsidP="00121565">
      <w:pPr>
        <w:spacing w:line="360" w:lineRule="auto"/>
        <w:jc w:val="both"/>
        <w:rPr>
          <w:rFonts w:ascii="Garamond" w:hAnsi="Garamond"/>
        </w:rPr>
      </w:pPr>
      <w:r w:rsidRPr="000F21D1">
        <w:rPr>
          <w:rFonts w:ascii="Garamond" w:hAnsi="Garamond"/>
        </w:rPr>
        <w:t xml:space="preserve">3. It helps restore enterprise competitiveness, which was disrupted due to the depreciation of the Russian ruble, </w:t>
      </w:r>
      <w:r w:rsidR="00174ADA" w:rsidRPr="000F21D1">
        <w:rPr>
          <w:rFonts w:ascii="Garamond" w:hAnsi="Garamond"/>
        </w:rPr>
        <w:t xml:space="preserve">as </w:t>
      </w:r>
      <w:r w:rsidRPr="000F21D1">
        <w:rPr>
          <w:rFonts w:ascii="Garamond" w:hAnsi="Garamond"/>
        </w:rPr>
        <w:t>compan</w:t>
      </w:r>
      <w:r w:rsidR="00174ADA" w:rsidRPr="000F21D1">
        <w:rPr>
          <w:rFonts w:ascii="Garamond" w:hAnsi="Garamond"/>
        </w:rPr>
        <w:t>ies spend less</w:t>
      </w:r>
      <w:r w:rsidRPr="000F21D1">
        <w:rPr>
          <w:rFonts w:ascii="Garamond" w:hAnsi="Garamond"/>
        </w:rPr>
        <w:t xml:space="preserve"> </w:t>
      </w:r>
      <w:r w:rsidR="00174ADA" w:rsidRPr="000F21D1">
        <w:rPr>
          <w:rFonts w:ascii="Garamond" w:hAnsi="Garamond"/>
        </w:rPr>
        <w:t xml:space="preserve">on </w:t>
      </w:r>
      <w:r w:rsidRPr="000F21D1">
        <w:rPr>
          <w:rFonts w:ascii="Garamond" w:hAnsi="Garamond"/>
        </w:rPr>
        <w:t xml:space="preserve">imported raw materials, fuel, and food and non-food products. </w:t>
      </w:r>
      <w:r w:rsidR="00174ADA" w:rsidRPr="000F21D1">
        <w:rPr>
          <w:rFonts w:ascii="Garamond" w:hAnsi="Garamond"/>
        </w:rPr>
        <w:t>Under an inflation scenario however,</w:t>
      </w:r>
      <w:r w:rsidRPr="000F21D1">
        <w:rPr>
          <w:rFonts w:ascii="Garamond" w:hAnsi="Garamond"/>
        </w:rPr>
        <w:t xml:space="preserve"> </w:t>
      </w:r>
      <w:r w:rsidR="00174ADA" w:rsidRPr="000F21D1">
        <w:rPr>
          <w:rFonts w:ascii="Garamond" w:hAnsi="Garamond"/>
        </w:rPr>
        <w:t xml:space="preserve">companies would incur more wage growth </w:t>
      </w:r>
      <w:r w:rsidRPr="000F21D1">
        <w:rPr>
          <w:rFonts w:ascii="Garamond" w:hAnsi="Garamond"/>
        </w:rPr>
        <w:t xml:space="preserve">pressures </w:t>
      </w:r>
      <w:r w:rsidR="00174ADA" w:rsidRPr="000F21D1">
        <w:rPr>
          <w:rFonts w:ascii="Garamond" w:hAnsi="Garamond"/>
        </w:rPr>
        <w:t xml:space="preserve">and heavier </w:t>
      </w:r>
      <w:r w:rsidRPr="000F21D1">
        <w:rPr>
          <w:rFonts w:ascii="Garamond" w:hAnsi="Garamond"/>
        </w:rPr>
        <w:t xml:space="preserve">foreign currency debt burden, leading to a wave of bankruptcies and sharp increase in unemployment, </w:t>
      </w:r>
      <w:r w:rsidR="002B235A" w:rsidRPr="000F21D1">
        <w:rPr>
          <w:rFonts w:ascii="Garamond" w:hAnsi="Garamond"/>
        </w:rPr>
        <w:t xml:space="preserve">the risks to </w:t>
      </w:r>
      <w:r w:rsidRPr="000F21D1">
        <w:rPr>
          <w:rFonts w:ascii="Garamond" w:hAnsi="Garamond"/>
        </w:rPr>
        <w:t xml:space="preserve">which </w:t>
      </w:r>
      <w:r w:rsidR="002B235A" w:rsidRPr="000F21D1">
        <w:rPr>
          <w:rFonts w:ascii="Garamond" w:hAnsi="Garamond"/>
        </w:rPr>
        <w:t xml:space="preserve">have not vanished </w:t>
      </w:r>
      <w:r w:rsidRPr="000F21D1">
        <w:rPr>
          <w:rFonts w:ascii="Garamond" w:hAnsi="Garamond"/>
        </w:rPr>
        <w:t xml:space="preserve">even </w:t>
      </w:r>
      <w:r w:rsidR="002B235A" w:rsidRPr="000F21D1">
        <w:rPr>
          <w:rFonts w:ascii="Garamond" w:hAnsi="Garamond"/>
        </w:rPr>
        <w:t>today.</w:t>
      </w:r>
      <w:r w:rsidRPr="000F21D1">
        <w:rPr>
          <w:rFonts w:ascii="Garamond" w:hAnsi="Garamond"/>
        </w:rPr>
        <w:t xml:space="preserve"> These costs w</w:t>
      </w:r>
      <w:r w:rsidR="002B235A" w:rsidRPr="000F21D1">
        <w:rPr>
          <w:rFonts w:ascii="Garamond" w:hAnsi="Garamond"/>
        </w:rPr>
        <w:t xml:space="preserve">ould </w:t>
      </w:r>
      <w:r w:rsidR="005E09C2" w:rsidRPr="000F21D1">
        <w:rPr>
          <w:rFonts w:ascii="Garamond" w:hAnsi="Garamond"/>
        </w:rPr>
        <w:t xml:space="preserve">definitely outgrow </w:t>
      </w:r>
      <w:r w:rsidR="002B235A" w:rsidRPr="000F21D1">
        <w:rPr>
          <w:rFonts w:ascii="Garamond" w:hAnsi="Garamond"/>
        </w:rPr>
        <w:t xml:space="preserve">the ones </w:t>
      </w:r>
      <w:r w:rsidRPr="000F21D1">
        <w:rPr>
          <w:rFonts w:ascii="Garamond" w:hAnsi="Garamond"/>
        </w:rPr>
        <w:t>exporters</w:t>
      </w:r>
      <w:r w:rsidR="002B235A" w:rsidRPr="000F21D1">
        <w:rPr>
          <w:rFonts w:ascii="Garamond" w:hAnsi="Garamond"/>
        </w:rPr>
        <w:t xml:space="preserve"> had incurred as a result of less depreciated dram in comparison with the </w:t>
      </w:r>
      <w:r w:rsidRPr="000F21D1">
        <w:rPr>
          <w:rFonts w:ascii="Garamond" w:hAnsi="Garamond"/>
        </w:rPr>
        <w:t>ruble</w:t>
      </w:r>
      <w:r w:rsidR="005E09C2" w:rsidRPr="000F21D1">
        <w:rPr>
          <w:rFonts w:ascii="Garamond" w:hAnsi="Garamond"/>
        </w:rPr>
        <w:t xml:space="preserve">, and it seems to have been </w:t>
      </w:r>
      <w:r w:rsidRPr="000F21D1">
        <w:rPr>
          <w:rFonts w:ascii="Garamond" w:hAnsi="Garamond"/>
        </w:rPr>
        <w:t xml:space="preserve">largely neutralized in </w:t>
      </w:r>
      <w:r w:rsidR="005E09C2" w:rsidRPr="000F21D1">
        <w:rPr>
          <w:rFonts w:ascii="Garamond" w:hAnsi="Garamond"/>
        </w:rPr>
        <w:t xml:space="preserve">Russia in </w:t>
      </w:r>
      <w:r w:rsidRPr="000F21D1">
        <w:rPr>
          <w:rFonts w:ascii="Garamond" w:hAnsi="Garamond"/>
        </w:rPr>
        <w:t xml:space="preserve">two consecutive years </w:t>
      </w:r>
      <w:r w:rsidR="005E09C2" w:rsidRPr="000F21D1">
        <w:rPr>
          <w:rFonts w:ascii="Garamond" w:hAnsi="Garamond"/>
        </w:rPr>
        <w:t xml:space="preserve">due to much higher inflation there </w:t>
      </w:r>
      <w:r w:rsidR="008C1056" w:rsidRPr="000F21D1">
        <w:rPr>
          <w:rFonts w:ascii="Garamond" w:hAnsi="Garamond"/>
        </w:rPr>
        <w:t xml:space="preserve">if </w:t>
      </w:r>
      <w:r w:rsidR="005E09C2" w:rsidRPr="000F21D1">
        <w:rPr>
          <w:rFonts w:ascii="Garamond" w:hAnsi="Garamond"/>
        </w:rPr>
        <w:t>compared to Armenia</w:t>
      </w:r>
      <w:r w:rsidRPr="000F21D1">
        <w:rPr>
          <w:rFonts w:ascii="Garamond" w:hAnsi="Garamond"/>
        </w:rPr>
        <w:t>.</w:t>
      </w:r>
      <w:r w:rsidR="00A766F8" w:rsidRPr="000F21D1">
        <w:rPr>
          <w:rFonts w:ascii="Garamond" w:hAnsi="Garamond"/>
        </w:rPr>
        <w:t xml:space="preserve"> </w:t>
      </w:r>
    </w:p>
    <w:p w14:paraId="05EC6A14" w14:textId="77777777" w:rsidR="00BF1ADB" w:rsidRPr="000F21D1" w:rsidRDefault="00BF1ADB" w:rsidP="00121565">
      <w:pPr>
        <w:spacing w:line="360" w:lineRule="auto"/>
        <w:jc w:val="both"/>
        <w:rPr>
          <w:rFonts w:ascii="Garamond" w:hAnsi="Garamond"/>
        </w:rPr>
      </w:pPr>
      <w:r w:rsidRPr="000F21D1">
        <w:rPr>
          <w:rFonts w:ascii="Garamond" w:hAnsi="Garamond"/>
        </w:rPr>
        <w:t xml:space="preserve">4. It also helps maintain consumers’ living standards, as diminishing consumer incomes </w:t>
      </w:r>
      <w:r w:rsidR="00F30CE8" w:rsidRPr="000F21D1">
        <w:rPr>
          <w:rFonts w:ascii="Garamond" w:hAnsi="Garamond"/>
        </w:rPr>
        <w:t xml:space="preserve">in a time of </w:t>
      </w:r>
      <w:r w:rsidRPr="000F21D1">
        <w:rPr>
          <w:rFonts w:ascii="Garamond" w:hAnsi="Garamond"/>
        </w:rPr>
        <w:t xml:space="preserve">sharp decline in remittances would be more </w:t>
      </w:r>
      <w:r w:rsidR="00F30CE8" w:rsidRPr="000F21D1">
        <w:rPr>
          <w:rFonts w:ascii="Garamond" w:hAnsi="Garamond"/>
        </w:rPr>
        <w:t>painful amid a higher rate of inflation</w:t>
      </w:r>
      <w:r w:rsidRPr="000F21D1">
        <w:rPr>
          <w:rFonts w:ascii="Garamond" w:hAnsi="Garamond"/>
        </w:rPr>
        <w:t xml:space="preserve">. </w:t>
      </w:r>
      <w:r w:rsidR="00F30CE8" w:rsidRPr="000F21D1">
        <w:rPr>
          <w:rFonts w:ascii="Garamond" w:hAnsi="Garamond"/>
        </w:rPr>
        <w:t>L</w:t>
      </w:r>
      <w:r w:rsidRPr="000F21D1">
        <w:rPr>
          <w:rFonts w:ascii="Garamond" w:hAnsi="Garamond"/>
        </w:rPr>
        <w:t>ow inflation</w:t>
      </w:r>
      <w:r w:rsidR="00F30CE8" w:rsidRPr="000F21D1">
        <w:rPr>
          <w:rFonts w:ascii="Garamond" w:hAnsi="Garamond"/>
        </w:rPr>
        <w:t xml:space="preserve"> has secured </w:t>
      </w:r>
      <w:r w:rsidRPr="000F21D1">
        <w:rPr>
          <w:rFonts w:ascii="Garamond" w:hAnsi="Garamond"/>
        </w:rPr>
        <w:t>the purchasing power of wages, while real consumption has decreased due to reduc</w:t>
      </w:r>
      <w:r w:rsidR="00003FDA" w:rsidRPr="000F21D1">
        <w:rPr>
          <w:rFonts w:ascii="Garamond" w:hAnsi="Garamond"/>
        </w:rPr>
        <w:t xml:space="preserve">ed </w:t>
      </w:r>
      <w:r w:rsidRPr="000F21D1">
        <w:rPr>
          <w:rFonts w:ascii="Garamond" w:hAnsi="Garamond"/>
        </w:rPr>
        <w:t>remittances from abroad.</w:t>
      </w:r>
    </w:p>
    <w:p w14:paraId="59AE40A7" w14:textId="77777777" w:rsidR="00003FDA" w:rsidRPr="000F21D1" w:rsidRDefault="00003FDA" w:rsidP="00121565">
      <w:pPr>
        <w:spacing w:line="360" w:lineRule="auto"/>
        <w:jc w:val="both"/>
        <w:rPr>
          <w:rFonts w:ascii="Garamond" w:hAnsi="Garamond"/>
        </w:rPr>
      </w:pPr>
      <w:r w:rsidRPr="000F21D1">
        <w:rPr>
          <w:rFonts w:ascii="Garamond" w:hAnsi="Garamond"/>
        </w:rPr>
        <w:t>5.</w:t>
      </w:r>
      <w:r w:rsidR="00952A1A" w:rsidRPr="000F21D1">
        <w:rPr>
          <w:rFonts w:ascii="Garamond" w:hAnsi="Garamond"/>
        </w:rPr>
        <w:t xml:space="preserve"> It anchors inflation expectations, which, in addition to macroeconomic stability</w:t>
      </w:r>
      <w:r w:rsidR="00F15C23" w:rsidRPr="000F21D1">
        <w:rPr>
          <w:rFonts w:ascii="Garamond" w:hAnsi="Garamond"/>
        </w:rPr>
        <w:t>,</w:t>
      </w:r>
      <w:r w:rsidR="00952A1A" w:rsidRPr="000F21D1">
        <w:rPr>
          <w:rFonts w:ascii="Garamond" w:hAnsi="Garamond"/>
        </w:rPr>
        <w:t xml:space="preserve"> </w:t>
      </w:r>
      <w:r w:rsidR="00F15C23" w:rsidRPr="000F21D1">
        <w:rPr>
          <w:rFonts w:ascii="Garamond" w:hAnsi="Garamond"/>
        </w:rPr>
        <w:t>also facilitates the transmitting of t</w:t>
      </w:r>
      <w:r w:rsidR="00952A1A" w:rsidRPr="000F21D1">
        <w:rPr>
          <w:rFonts w:ascii="Garamond" w:hAnsi="Garamond"/>
        </w:rPr>
        <w:t xml:space="preserve">he effect of </w:t>
      </w:r>
      <w:r w:rsidR="00F15C23" w:rsidRPr="000F21D1">
        <w:rPr>
          <w:rFonts w:ascii="Garamond" w:hAnsi="Garamond"/>
        </w:rPr>
        <w:t xml:space="preserve">expansionary </w:t>
      </w:r>
      <w:r w:rsidR="00952A1A" w:rsidRPr="000F21D1">
        <w:rPr>
          <w:rFonts w:ascii="Garamond" w:hAnsi="Garamond"/>
        </w:rPr>
        <w:t xml:space="preserve">monetary policy </w:t>
      </w:r>
      <w:r w:rsidR="00F15C23" w:rsidRPr="000F21D1">
        <w:rPr>
          <w:rFonts w:ascii="Garamond" w:hAnsi="Garamond"/>
        </w:rPr>
        <w:t xml:space="preserve">on to </w:t>
      </w:r>
      <w:r w:rsidR="00952A1A" w:rsidRPr="000F21D1">
        <w:rPr>
          <w:rFonts w:ascii="Garamond" w:hAnsi="Garamond"/>
        </w:rPr>
        <w:t xml:space="preserve">the real sector </w:t>
      </w:r>
      <w:r w:rsidR="00F15C23" w:rsidRPr="000F21D1">
        <w:rPr>
          <w:rFonts w:ascii="Garamond" w:hAnsi="Garamond"/>
        </w:rPr>
        <w:t xml:space="preserve">and </w:t>
      </w:r>
      <w:r w:rsidR="00952A1A" w:rsidRPr="000F21D1">
        <w:rPr>
          <w:rFonts w:ascii="Garamond" w:hAnsi="Garamond"/>
        </w:rPr>
        <w:t xml:space="preserve">lending. Thus, </w:t>
      </w:r>
      <w:r w:rsidR="00F15C23" w:rsidRPr="000F21D1">
        <w:rPr>
          <w:rFonts w:ascii="Garamond" w:hAnsi="Garamond"/>
        </w:rPr>
        <w:t xml:space="preserve">in a time of high inflation expectations </w:t>
      </w:r>
      <w:r w:rsidR="00952A1A" w:rsidRPr="000F21D1">
        <w:rPr>
          <w:rFonts w:ascii="Garamond" w:hAnsi="Garamond"/>
        </w:rPr>
        <w:t>sharp reduction in interest rates</w:t>
      </w:r>
      <w:r w:rsidR="00F15C23" w:rsidRPr="000F21D1">
        <w:rPr>
          <w:rFonts w:ascii="Garamond" w:hAnsi="Garamond"/>
        </w:rPr>
        <w:t xml:space="preserve"> comes </w:t>
      </w:r>
      <w:r w:rsidR="007A00DC" w:rsidRPr="000F21D1">
        <w:rPr>
          <w:rFonts w:ascii="Garamond" w:hAnsi="Garamond"/>
        </w:rPr>
        <w:t xml:space="preserve">out through </w:t>
      </w:r>
      <w:r w:rsidR="00952A1A" w:rsidRPr="000F21D1">
        <w:rPr>
          <w:rFonts w:ascii="Garamond" w:hAnsi="Garamond"/>
        </w:rPr>
        <w:t>exchan</w:t>
      </w:r>
      <w:r w:rsidR="007A00DC" w:rsidRPr="000F21D1">
        <w:rPr>
          <w:rFonts w:ascii="Garamond" w:hAnsi="Garamond"/>
        </w:rPr>
        <w:t>ge rate depreciation pressures i</w:t>
      </w:r>
      <w:r w:rsidR="00952A1A" w:rsidRPr="000F21D1">
        <w:rPr>
          <w:rFonts w:ascii="Garamond" w:hAnsi="Garamond"/>
        </w:rPr>
        <w:t xml:space="preserve">n the currency market and </w:t>
      </w:r>
      <w:r w:rsidR="007A00DC" w:rsidRPr="000F21D1">
        <w:rPr>
          <w:rFonts w:ascii="Garamond" w:hAnsi="Garamond"/>
        </w:rPr>
        <w:t xml:space="preserve">it does not </w:t>
      </w:r>
      <w:r w:rsidR="00952A1A" w:rsidRPr="000F21D1">
        <w:rPr>
          <w:rFonts w:ascii="Garamond" w:hAnsi="Garamond"/>
        </w:rPr>
        <w:t xml:space="preserve">contribute to </w:t>
      </w:r>
      <w:r w:rsidR="007A00DC" w:rsidRPr="000F21D1">
        <w:rPr>
          <w:rFonts w:ascii="Garamond" w:hAnsi="Garamond"/>
        </w:rPr>
        <w:t xml:space="preserve">the real economy lending, </w:t>
      </w:r>
      <w:r w:rsidR="00952A1A" w:rsidRPr="000F21D1">
        <w:rPr>
          <w:rFonts w:ascii="Garamond" w:hAnsi="Garamond"/>
        </w:rPr>
        <w:t>as</w:t>
      </w:r>
      <w:r w:rsidR="007A00DC" w:rsidRPr="000F21D1">
        <w:rPr>
          <w:rFonts w:ascii="Garamond" w:hAnsi="Garamond"/>
        </w:rPr>
        <w:t xml:space="preserve"> it</w:t>
      </w:r>
      <w:r w:rsidR="00952A1A" w:rsidRPr="000F21D1">
        <w:rPr>
          <w:rFonts w:ascii="Garamond" w:hAnsi="Garamond"/>
        </w:rPr>
        <w:t xml:space="preserve"> </w:t>
      </w:r>
      <w:r w:rsidR="007A00DC" w:rsidRPr="000F21D1">
        <w:rPr>
          <w:rFonts w:ascii="Garamond" w:hAnsi="Garamond"/>
        </w:rPr>
        <w:t xml:space="preserve">happened in the period November </w:t>
      </w:r>
      <w:r w:rsidR="00952A1A" w:rsidRPr="000F21D1">
        <w:rPr>
          <w:rFonts w:ascii="Garamond" w:hAnsi="Garamond"/>
        </w:rPr>
        <w:t>2015</w:t>
      </w:r>
      <w:r w:rsidR="003C4F0C" w:rsidRPr="000F21D1">
        <w:rPr>
          <w:rFonts w:ascii="Garamond" w:hAnsi="Garamond"/>
        </w:rPr>
        <w:t xml:space="preserve"> </w:t>
      </w:r>
      <w:r w:rsidR="007A00DC" w:rsidRPr="000F21D1">
        <w:rPr>
          <w:rFonts w:ascii="Garamond" w:hAnsi="Garamond"/>
        </w:rPr>
        <w:t>–</w:t>
      </w:r>
      <w:r w:rsidR="003C4F0C" w:rsidRPr="000F21D1">
        <w:rPr>
          <w:rFonts w:ascii="Garamond" w:hAnsi="Garamond"/>
        </w:rPr>
        <w:t xml:space="preserve"> </w:t>
      </w:r>
      <w:r w:rsidR="007A00DC" w:rsidRPr="000F21D1">
        <w:rPr>
          <w:rFonts w:ascii="Garamond" w:hAnsi="Garamond"/>
        </w:rPr>
        <w:t>F</w:t>
      </w:r>
      <w:r w:rsidR="00952A1A" w:rsidRPr="000F21D1">
        <w:rPr>
          <w:rFonts w:ascii="Garamond" w:hAnsi="Garamond"/>
        </w:rPr>
        <w:t>ebruary</w:t>
      </w:r>
      <w:r w:rsidR="007A00DC" w:rsidRPr="000F21D1">
        <w:rPr>
          <w:rFonts w:ascii="Garamond" w:hAnsi="Garamond"/>
        </w:rPr>
        <w:t xml:space="preserve"> 2016</w:t>
      </w:r>
      <w:r w:rsidR="00952A1A" w:rsidRPr="000F21D1">
        <w:rPr>
          <w:rFonts w:ascii="Garamond" w:hAnsi="Garamond"/>
        </w:rPr>
        <w:t xml:space="preserve">. However, </w:t>
      </w:r>
      <w:r w:rsidR="00601435" w:rsidRPr="000F21D1">
        <w:rPr>
          <w:rFonts w:ascii="Garamond" w:hAnsi="Garamond"/>
        </w:rPr>
        <w:t xml:space="preserve">the policy of </w:t>
      </w:r>
      <w:r w:rsidR="00952A1A" w:rsidRPr="000F21D1">
        <w:rPr>
          <w:rFonts w:ascii="Garamond" w:hAnsi="Garamond"/>
        </w:rPr>
        <w:t>more gradual reduction in interest rate</w:t>
      </w:r>
      <w:r w:rsidR="00601435" w:rsidRPr="000F21D1">
        <w:rPr>
          <w:rFonts w:ascii="Garamond" w:hAnsi="Garamond"/>
        </w:rPr>
        <w:t>s since February gives the economy an impulse about</w:t>
      </w:r>
      <w:r w:rsidR="00952A1A" w:rsidRPr="000F21D1">
        <w:rPr>
          <w:rFonts w:ascii="Garamond" w:hAnsi="Garamond"/>
        </w:rPr>
        <w:t xml:space="preserve"> stability of </w:t>
      </w:r>
      <w:r w:rsidR="00601435" w:rsidRPr="000F21D1">
        <w:rPr>
          <w:rFonts w:ascii="Garamond" w:hAnsi="Garamond"/>
        </w:rPr>
        <w:t xml:space="preserve">future </w:t>
      </w:r>
      <w:r w:rsidR="00952A1A" w:rsidRPr="000F21D1">
        <w:rPr>
          <w:rFonts w:ascii="Garamond" w:hAnsi="Garamond"/>
        </w:rPr>
        <w:t xml:space="preserve">prices, </w:t>
      </w:r>
      <w:r w:rsidR="00027AFD" w:rsidRPr="000F21D1">
        <w:rPr>
          <w:rFonts w:ascii="Garamond" w:hAnsi="Garamond"/>
        </w:rPr>
        <w:t>r</w:t>
      </w:r>
      <w:r w:rsidR="00952A1A" w:rsidRPr="000F21D1">
        <w:rPr>
          <w:rFonts w:ascii="Garamond" w:hAnsi="Garamond"/>
        </w:rPr>
        <w:t>eflect</w:t>
      </w:r>
      <w:r w:rsidR="00027AFD" w:rsidRPr="000F21D1">
        <w:rPr>
          <w:rFonts w:ascii="Garamond" w:hAnsi="Garamond"/>
        </w:rPr>
        <w:t xml:space="preserve">ing </w:t>
      </w:r>
      <w:r w:rsidR="00952A1A" w:rsidRPr="000F21D1">
        <w:rPr>
          <w:rFonts w:ascii="Garamond" w:hAnsi="Garamond"/>
        </w:rPr>
        <w:t>decline</w:t>
      </w:r>
      <w:r w:rsidR="00027AFD" w:rsidRPr="000F21D1">
        <w:rPr>
          <w:rFonts w:ascii="Garamond" w:hAnsi="Garamond"/>
        </w:rPr>
        <w:t xml:space="preserve">d </w:t>
      </w:r>
      <w:r w:rsidR="00952A1A" w:rsidRPr="000F21D1">
        <w:rPr>
          <w:rFonts w:ascii="Garamond" w:hAnsi="Garamond"/>
        </w:rPr>
        <w:t xml:space="preserve">inflation expectations and </w:t>
      </w:r>
      <w:r w:rsidR="00027AFD" w:rsidRPr="000F21D1">
        <w:rPr>
          <w:rFonts w:ascii="Garamond" w:hAnsi="Garamond"/>
        </w:rPr>
        <w:t xml:space="preserve">lower long-term </w:t>
      </w:r>
      <w:r w:rsidR="00952A1A" w:rsidRPr="000F21D1">
        <w:rPr>
          <w:rFonts w:ascii="Garamond" w:hAnsi="Garamond"/>
        </w:rPr>
        <w:t xml:space="preserve">interest rates. Only such a policy </w:t>
      </w:r>
      <w:r w:rsidR="00027AFD" w:rsidRPr="000F21D1">
        <w:rPr>
          <w:rFonts w:ascii="Garamond" w:hAnsi="Garamond"/>
        </w:rPr>
        <w:t>made it possible to</w:t>
      </w:r>
      <w:r w:rsidR="00952A1A" w:rsidRPr="000F21D1">
        <w:rPr>
          <w:rFonts w:ascii="Garamond" w:hAnsi="Garamond"/>
        </w:rPr>
        <w:t xml:space="preserve"> gradually restore lending</w:t>
      </w:r>
      <w:r w:rsidR="00827F77" w:rsidRPr="000F21D1">
        <w:rPr>
          <w:rFonts w:ascii="Garamond" w:hAnsi="Garamond"/>
        </w:rPr>
        <w:t>,</w:t>
      </w:r>
      <w:r w:rsidR="00952A1A" w:rsidRPr="000F21D1">
        <w:rPr>
          <w:rFonts w:ascii="Garamond" w:hAnsi="Garamond"/>
        </w:rPr>
        <w:t xml:space="preserve"> </w:t>
      </w:r>
      <w:r w:rsidR="00027AFD" w:rsidRPr="000F21D1">
        <w:rPr>
          <w:rFonts w:ascii="Garamond" w:hAnsi="Garamond"/>
        </w:rPr>
        <w:t>which, since the end of the first quarter of 2016, is in the positive territory</w:t>
      </w:r>
      <w:r w:rsidR="00952A1A" w:rsidRPr="000F21D1">
        <w:rPr>
          <w:rFonts w:ascii="Garamond" w:hAnsi="Garamond"/>
        </w:rPr>
        <w:t>.</w:t>
      </w:r>
      <w:r w:rsidRPr="000F21D1">
        <w:rPr>
          <w:rFonts w:ascii="Garamond" w:hAnsi="Garamond"/>
        </w:rPr>
        <w:t xml:space="preserve"> </w:t>
      </w:r>
    </w:p>
    <w:p w14:paraId="0CF33A23" w14:textId="77777777" w:rsidR="00A766F8" w:rsidRPr="000F21D1" w:rsidRDefault="00027AFD" w:rsidP="00121565">
      <w:pPr>
        <w:spacing w:line="360" w:lineRule="auto"/>
        <w:jc w:val="both"/>
        <w:rPr>
          <w:rFonts w:ascii="Garamond" w:hAnsi="Garamond"/>
        </w:rPr>
      </w:pPr>
      <w:r w:rsidRPr="000F21D1">
        <w:rPr>
          <w:rFonts w:ascii="Garamond" w:hAnsi="Garamond"/>
        </w:rPr>
        <w:t xml:space="preserve">6. </w:t>
      </w:r>
      <w:r w:rsidR="00827F77" w:rsidRPr="000F21D1">
        <w:rPr>
          <w:rFonts w:ascii="Garamond" w:hAnsi="Garamond"/>
        </w:rPr>
        <w:t>It covers adverse shocks</w:t>
      </w:r>
      <w:r w:rsidR="00D72519" w:rsidRPr="000F21D1">
        <w:rPr>
          <w:rFonts w:ascii="Garamond" w:hAnsi="Garamond"/>
        </w:rPr>
        <w:t xml:space="preserve"> while contributing</w:t>
      </w:r>
      <w:r w:rsidR="00827F77" w:rsidRPr="000F21D1">
        <w:rPr>
          <w:rFonts w:ascii="Garamond" w:hAnsi="Garamond"/>
        </w:rPr>
        <w:t xml:space="preserve"> to the improvement of economic fundamentals, which, in the case of </w:t>
      </w:r>
      <w:r w:rsidR="00D72519" w:rsidRPr="000F21D1">
        <w:rPr>
          <w:rFonts w:ascii="Garamond" w:hAnsi="Garamond"/>
        </w:rPr>
        <w:t xml:space="preserve">new </w:t>
      </w:r>
      <w:r w:rsidR="00827F77" w:rsidRPr="000F21D1">
        <w:rPr>
          <w:rFonts w:ascii="Garamond" w:hAnsi="Garamond"/>
        </w:rPr>
        <w:t xml:space="preserve">negative external shocks, </w:t>
      </w:r>
      <w:r w:rsidR="00D72519" w:rsidRPr="000F21D1">
        <w:rPr>
          <w:rFonts w:ascii="Garamond" w:hAnsi="Garamond"/>
        </w:rPr>
        <w:t xml:space="preserve">would keep </w:t>
      </w:r>
      <w:r w:rsidR="00827F77" w:rsidRPr="000F21D1">
        <w:rPr>
          <w:rFonts w:ascii="Garamond" w:hAnsi="Garamond"/>
        </w:rPr>
        <w:t xml:space="preserve">the country </w:t>
      </w:r>
      <w:r w:rsidR="00D72519" w:rsidRPr="000F21D1">
        <w:rPr>
          <w:rFonts w:ascii="Garamond" w:hAnsi="Garamond"/>
        </w:rPr>
        <w:t xml:space="preserve">immune to repeating of </w:t>
      </w:r>
      <w:r w:rsidR="00827F77" w:rsidRPr="000F21D1">
        <w:rPr>
          <w:rFonts w:ascii="Garamond" w:hAnsi="Garamond"/>
        </w:rPr>
        <w:t>volatilit</w:t>
      </w:r>
      <w:r w:rsidR="00D72519" w:rsidRPr="000F21D1">
        <w:rPr>
          <w:rFonts w:ascii="Garamond" w:hAnsi="Garamond"/>
        </w:rPr>
        <w:t>ies</w:t>
      </w:r>
      <w:r w:rsidR="00827F77" w:rsidRPr="000F21D1">
        <w:rPr>
          <w:rFonts w:ascii="Garamond" w:hAnsi="Garamond"/>
        </w:rPr>
        <w:t xml:space="preserve"> in 2014. The risk of these shocks is still estimated to be very high due to geopolitical developments in the region and possible fluctuations in commodity markets</w:t>
      </w:r>
      <w:r w:rsidR="000F6E4D" w:rsidRPr="000F21D1">
        <w:rPr>
          <w:rFonts w:ascii="Garamond" w:hAnsi="Garamond"/>
        </w:rPr>
        <w:t xml:space="preserve"> on the one hand</w:t>
      </w:r>
      <w:r w:rsidR="00827F77" w:rsidRPr="000F21D1">
        <w:rPr>
          <w:rFonts w:ascii="Garamond" w:hAnsi="Garamond"/>
        </w:rPr>
        <w:t xml:space="preserve">, </w:t>
      </w:r>
      <w:r w:rsidR="000F6E4D" w:rsidRPr="000F21D1">
        <w:rPr>
          <w:rFonts w:ascii="Garamond" w:hAnsi="Garamond"/>
        </w:rPr>
        <w:t xml:space="preserve">and </w:t>
      </w:r>
      <w:r w:rsidR="00827F77" w:rsidRPr="000F21D1">
        <w:rPr>
          <w:rFonts w:ascii="Garamond" w:hAnsi="Garamond"/>
        </w:rPr>
        <w:t xml:space="preserve">the consequences </w:t>
      </w:r>
      <w:r w:rsidR="000F6E4D" w:rsidRPr="000F21D1">
        <w:rPr>
          <w:rFonts w:ascii="Garamond" w:hAnsi="Garamond"/>
        </w:rPr>
        <w:t>after the US Federal Reserve System decides to raise the</w:t>
      </w:r>
      <w:r w:rsidR="00827F77" w:rsidRPr="000F21D1">
        <w:rPr>
          <w:rFonts w:ascii="Garamond" w:hAnsi="Garamond"/>
        </w:rPr>
        <w:t xml:space="preserve"> policy rates in the future</w:t>
      </w:r>
      <w:r w:rsidR="000F6E4D" w:rsidRPr="000F21D1">
        <w:rPr>
          <w:rFonts w:ascii="Garamond" w:hAnsi="Garamond"/>
        </w:rPr>
        <w:t>, on the other</w:t>
      </w:r>
      <w:r w:rsidR="00827F77" w:rsidRPr="000F21D1">
        <w:rPr>
          <w:rFonts w:ascii="Garamond" w:hAnsi="Garamond"/>
        </w:rPr>
        <w:t>.</w:t>
      </w:r>
    </w:p>
    <w:p w14:paraId="6A0A00AB" w14:textId="77777777" w:rsidR="00664339" w:rsidRPr="000F21D1" w:rsidRDefault="00664339" w:rsidP="00121565">
      <w:pPr>
        <w:spacing w:line="360" w:lineRule="auto"/>
        <w:jc w:val="both"/>
        <w:rPr>
          <w:rFonts w:ascii="Garamond" w:hAnsi="Garamond"/>
        </w:rPr>
      </w:pPr>
    </w:p>
    <w:p w14:paraId="1CC8838E" w14:textId="77777777" w:rsidR="00664339" w:rsidRPr="000F21D1" w:rsidRDefault="00664339" w:rsidP="00121565">
      <w:pPr>
        <w:spacing w:line="360" w:lineRule="auto"/>
        <w:jc w:val="both"/>
        <w:rPr>
          <w:rFonts w:ascii="Garamond" w:hAnsi="Garamond"/>
        </w:rPr>
      </w:pPr>
      <w:r w:rsidRPr="000F21D1">
        <w:rPr>
          <w:rFonts w:ascii="Garamond" w:hAnsi="Garamond"/>
        </w:rPr>
        <w:lastRenderedPageBreak/>
        <w:t xml:space="preserve">The CBA believes the monetary policy it conducts </w:t>
      </w:r>
      <w:r w:rsidR="00F64C5B" w:rsidRPr="000F21D1">
        <w:rPr>
          <w:rFonts w:ascii="Garamond" w:hAnsi="Garamond"/>
        </w:rPr>
        <w:t>best serves</w:t>
      </w:r>
      <w:r w:rsidRPr="000F21D1">
        <w:rPr>
          <w:rFonts w:ascii="Garamond" w:hAnsi="Garamond"/>
        </w:rPr>
        <w:t xml:space="preserve"> </w:t>
      </w:r>
      <w:r w:rsidR="00F64C5B" w:rsidRPr="000F21D1">
        <w:rPr>
          <w:rFonts w:ascii="Garamond" w:hAnsi="Garamond"/>
        </w:rPr>
        <w:t>the</w:t>
      </w:r>
      <w:r w:rsidRPr="000F21D1">
        <w:rPr>
          <w:rFonts w:ascii="Garamond" w:hAnsi="Garamond"/>
        </w:rPr>
        <w:t xml:space="preserve"> society</w:t>
      </w:r>
      <w:r w:rsidR="00F64C5B" w:rsidRPr="000F21D1">
        <w:rPr>
          <w:rFonts w:ascii="Garamond" w:hAnsi="Garamond"/>
        </w:rPr>
        <w:t xml:space="preserve">’s interests </w:t>
      </w:r>
      <w:r w:rsidRPr="000F21D1">
        <w:rPr>
          <w:rFonts w:ascii="Garamond" w:hAnsi="Garamond"/>
        </w:rPr>
        <w:t xml:space="preserve">and </w:t>
      </w:r>
      <w:r w:rsidR="00F64C5B" w:rsidRPr="000F21D1">
        <w:rPr>
          <w:rFonts w:ascii="Garamond" w:hAnsi="Garamond"/>
        </w:rPr>
        <w:t xml:space="preserve">is </w:t>
      </w:r>
      <w:r w:rsidRPr="000F21D1">
        <w:rPr>
          <w:rFonts w:ascii="Garamond" w:hAnsi="Garamond"/>
        </w:rPr>
        <w:t>determined to</w:t>
      </w:r>
      <w:r w:rsidR="00F64C5B" w:rsidRPr="000F21D1">
        <w:rPr>
          <w:rFonts w:ascii="Garamond" w:hAnsi="Garamond"/>
        </w:rPr>
        <w:t xml:space="preserve"> further carry out its primary task</w:t>
      </w:r>
      <w:r w:rsidR="003C4F0C" w:rsidRPr="000F21D1">
        <w:rPr>
          <w:rFonts w:ascii="Garamond" w:hAnsi="Garamond"/>
        </w:rPr>
        <w:t xml:space="preserve"> of maintaining price stability in Armenia</w:t>
      </w:r>
      <w:r w:rsidR="00F64C5B" w:rsidRPr="000F21D1">
        <w:rPr>
          <w:rFonts w:ascii="Garamond" w:hAnsi="Garamond"/>
        </w:rPr>
        <w:t xml:space="preserve">, as </w:t>
      </w:r>
      <w:r w:rsidR="00A22BB5" w:rsidRPr="000F21D1">
        <w:rPr>
          <w:rFonts w:ascii="Garamond" w:hAnsi="Garamond"/>
        </w:rPr>
        <w:t xml:space="preserve">entrusted to it by </w:t>
      </w:r>
      <w:r w:rsidR="00F64C5B" w:rsidRPr="000F21D1">
        <w:rPr>
          <w:rFonts w:ascii="Garamond" w:hAnsi="Garamond"/>
        </w:rPr>
        <w:t>the Constitution and laws of the Republic of Armenia</w:t>
      </w:r>
      <w:r w:rsidRPr="000F21D1">
        <w:rPr>
          <w:rFonts w:ascii="Garamond" w:hAnsi="Garamond"/>
        </w:rPr>
        <w:t>.</w:t>
      </w:r>
      <w:r w:rsidR="00A22BB5" w:rsidRPr="000F21D1">
        <w:rPr>
          <w:rFonts w:ascii="Garamond" w:hAnsi="Garamond"/>
        </w:rPr>
        <w:t xml:space="preserve"> </w:t>
      </w:r>
    </w:p>
    <w:p w14:paraId="536B937C" w14:textId="77777777" w:rsidR="00A22BB5" w:rsidRPr="000F21D1" w:rsidRDefault="00A22BB5" w:rsidP="00121565">
      <w:pPr>
        <w:spacing w:line="360" w:lineRule="auto"/>
        <w:jc w:val="both"/>
        <w:rPr>
          <w:rFonts w:ascii="Garamond" w:hAnsi="Garamond"/>
        </w:rPr>
      </w:pPr>
    </w:p>
    <w:p w14:paraId="6105DF07" w14:textId="77777777" w:rsidR="00A22BB5" w:rsidRPr="000F21D1" w:rsidRDefault="00A22BB5" w:rsidP="00121565">
      <w:pPr>
        <w:spacing w:line="360" w:lineRule="auto"/>
        <w:jc w:val="both"/>
        <w:rPr>
          <w:rFonts w:ascii="Garamond" w:hAnsi="Garamond"/>
          <w:b/>
        </w:rPr>
      </w:pPr>
      <w:r w:rsidRPr="000F21D1">
        <w:rPr>
          <w:rFonts w:ascii="Garamond" w:hAnsi="Garamond"/>
          <w:b/>
        </w:rPr>
        <w:t>Economic situation in the second quarter of 2016 and the forecasts</w:t>
      </w:r>
    </w:p>
    <w:p w14:paraId="3949E75C" w14:textId="77777777" w:rsidR="00276ADF" w:rsidRPr="000F21D1" w:rsidRDefault="00276ADF" w:rsidP="00B117C8">
      <w:pPr>
        <w:spacing w:line="360" w:lineRule="auto"/>
        <w:jc w:val="both"/>
        <w:rPr>
          <w:rFonts w:ascii="Garamond" w:hAnsi="Garamond"/>
          <w:b/>
        </w:rPr>
      </w:pPr>
    </w:p>
    <w:p w14:paraId="633D89C3" w14:textId="77777777" w:rsidR="006E3C27" w:rsidRPr="000F21D1" w:rsidRDefault="00686DFC" w:rsidP="00B117C8">
      <w:pPr>
        <w:spacing w:line="360" w:lineRule="auto"/>
        <w:jc w:val="both"/>
        <w:rPr>
          <w:rFonts w:ascii="Garamond" w:hAnsi="Garamond"/>
          <w:b/>
        </w:rPr>
      </w:pPr>
      <w:r w:rsidRPr="000F21D1">
        <w:rPr>
          <w:rFonts w:ascii="Garamond" w:hAnsi="Garamond"/>
          <w:b/>
        </w:rPr>
        <w:t xml:space="preserve">Notwithstanding continued sluggishness in global economic growth rates, the first half of 2016, as </w:t>
      </w:r>
      <w:r w:rsidR="00504B62" w:rsidRPr="000F21D1">
        <w:rPr>
          <w:rFonts w:ascii="Garamond" w:hAnsi="Garamond"/>
          <w:b/>
        </w:rPr>
        <w:t xml:space="preserve">was </w:t>
      </w:r>
      <w:r w:rsidRPr="000F21D1">
        <w:rPr>
          <w:rFonts w:ascii="Garamond" w:hAnsi="Garamond"/>
          <w:b/>
        </w:rPr>
        <w:t xml:space="preserve">expected, </w:t>
      </w:r>
      <w:r w:rsidR="00504B62" w:rsidRPr="000F21D1">
        <w:rPr>
          <w:rFonts w:ascii="Garamond" w:hAnsi="Garamond"/>
          <w:b/>
        </w:rPr>
        <w:t xml:space="preserve">reported </w:t>
      </w:r>
      <w:r w:rsidRPr="000F21D1">
        <w:rPr>
          <w:rFonts w:ascii="Garamond" w:hAnsi="Garamond"/>
          <w:b/>
        </w:rPr>
        <w:t xml:space="preserve">accelerated economic activity in the main partner countries and high growth in Armenia’s tradable sector of the economy, </w:t>
      </w:r>
      <w:r w:rsidR="00144320" w:rsidRPr="000F21D1">
        <w:rPr>
          <w:rFonts w:ascii="Garamond" w:hAnsi="Garamond"/>
          <w:b/>
        </w:rPr>
        <w:t xml:space="preserve">the </w:t>
      </w:r>
      <w:r w:rsidRPr="000F21D1">
        <w:rPr>
          <w:rFonts w:ascii="Garamond" w:hAnsi="Garamond"/>
          <w:b/>
        </w:rPr>
        <w:t xml:space="preserve">industry sector in particular. </w:t>
      </w:r>
      <w:r w:rsidR="00991582" w:rsidRPr="000F21D1">
        <w:rPr>
          <w:rFonts w:ascii="Garamond" w:hAnsi="Garamond"/>
          <w:b/>
        </w:rPr>
        <w:t xml:space="preserve">In view of developments consistent with the program, the CBA kept the </w:t>
      </w:r>
      <w:r w:rsidR="005C5202" w:rsidRPr="000F21D1">
        <w:rPr>
          <w:rFonts w:ascii="Garamond" w:hAnsi="Garamond"/>
          <w:b/>
        </w:rPr>
        <w:t>2016 growth forecast within the</w:t>
      </w:r>
      <w:r w:rsidR="00991582" w:rsidRPr="000F21D1">
        <w:rPr>
          <w:rFonts w:ascii="Garamond" w:hAnsi="Garamond"/>
          <w:b/>
        </w:rPr>
        <w:t xml:space="preserve"> previous quarter’s range. In the rest of the forecast horizon growth rates will speed up, gradually approaching the long-term equilibrium. </w:t>
      </w:r>
      <w:r w:rsidR="00E6549E" w:rsidRPr="000F21D1">
        <w:rPr>
          <w:rFonts w:ascii="Garamond" w:hAnsi="Garamond"/>
          <w:b/>
        </w:rPr>
        <w:t>Deflationary patterns w</w:t>
      </w:r>
      <w:r w:rsidR="00937789" w:rsidRPr="000F21D1">
        <w:rPr>
          <w:rFonts w:ascii="Garamond" w:hAnsi="Garamond"/>
          <w:b/>
        </w:rPr>
        <w:t xml:space="preserve">ill </w:t>
      </w:r>
      <w:r w:rsidR="00E6549E" w:rsidRPr="000F21D1">
        <w:rPr>
          <w:rFonts w:ascii="Garamond" w:hAnsi="Garamond"/>
          <w:b/>
        </w:rPr>
        <w:t xml:space="preserve">continue to be seen </w:t>
      </w:r>
      <w:r w:rsidR="00937789" w:rsidRPr="000F21D1">
        <w:rPr>
          <w:rFonts w:ascii="Garamond" w:hAnsi="Garamond"/>
          <w:b/>
        </w:rPr>
        <w:t xml:space="preserve">in the coming months due to </w:t>
      </w:r>
      <w:r w:rsidR="00B117C8" w:rsidRPr="000F21D1">
        <w:rPr>
          <w:rFonts w:ascii="Garamond" w:hAnsi="Garamond"/>
          <w:b/>
        </w:rPr>
        <w:t xml:space="preserve">the </w:t>
      </w:r>
      <w:r w:rsidR="00E6549E" w:rsidRPr="000F21D1">
        <w:rPr>
          <w:rFonts w:ascii="Garamond" w:hAnsi="Garamond"/>
          <w:b/>
        </w:rPr>
        <w:t xml:space="preserve">deflationary </w:t>
      </w:r>
      <w:r w:rsidR="00B117C8" w:rsidRPr="000F21D1">
        <w:rPr>
          <w:rFonts w:ascii="Garamond" w:hAnsi="Garamond"/>
          <w:b/>
        </w:rPr>
        <w:t xml:space="preserve">influence still transmitting from </w:t>
      </w:r>
      <w:r w:rsidR="00142A8D">
        <w:rPr>
          <w:rFonts w:ascii="Garamond" w:hAnsi="Garamond"/>
          <w:b/>
        </w:rPr>
        <w:t xml:space="preserve">some </w:t>
      </w:r>
      <w:r w:rsidR="00937789" w:rsidRPr="000F21D1">
        <w:rPr>
          <w:rFonts w:ascii="Garamond" w:hAnsi="Garamond"/>
          <w:b/>
        </w:rPr>
        <w:t>international commodity markets</w:t>
      </w:r>
      <w:r w:rsidR="00B117C8" w:rsidRPr="000F21D1">
        <w:rPr>
          <w:rFonts w:ascii="Garamond" w:hAnsi="Garamond"/>
          <w:b/>
        </w:rPr>
        <w:t xml:space="preserve">, while in </w:t>
      </w:r>
      <w:r w:rsidR="00937789" w:rsidRPr="000F21D1">
        <w:rPr>
          <w:rFonts w:ascii="Garamond" w:hAnsi="Garamond"/>
          <w:b/>
        </w:rPr>
        <w:t xml:space="preserve">the rest of the forecast horizon </w:t>
      </w:r>
      <w:r w:rsidR="00B117C8" w:rsidRPr="000F21D1">
        <w:rPr>
          <w:rFonts w:ascii="Garamond" w:hAnsi="Garamond"/>
          <w:b/>
        </w:rPr>
        <w:t xml:space="preserve">the 12-month inflation rate will </w:t>
      </w:r>
      <w:r w:rsidR="00937789" w:rsidRPr="000F21D1">
        <w:rPr>
          <w:rFonts w:ascii="Garamond" w:hAnsi="Garamond"/>
          <w:b/>
        </w:rPr>
        <w:t xml:space="preserve">gradually return to </w:t>
      </w:r>
      <w:r w:rsidR="00B117C8" w:rsidRPr="000F21D1">
        <w:rPr>
          <w:rFonts w:ascii="Garamond" w:hAnsi="Garamond"/>
          <w:b/>
        </w:rPr>
        <w:t>the target</w:t>
      </w:r>
      <w:r w:rsidR="00937789" w:rsidRPr="000F21D1">
        <w:rPr>
          <w:rFonts w:ascii="Garamond" w:hAnsi="Garamond"/>
          <w:b/>
        </w:rPr>
        <w:t>.</w:t>
      </w:r>
      <w:r w:rsidR="006E3C27" w:rsidRPr="000F21D1">
        <w:rPr>
          <w:rFonts w:ascii="Garamond" w:hAnsi="Garamond"/>
          <w:b/>
        </w:rPr>
        <w:t xml:space="preserve"> </w:t>
      </w:r>
    </w:p>
    <w:p w14:paraId="4ADAF9C5" w14:textId="77777777" w:rsidR="006E3C27" w:rsidRPr="000F21D1" w:rsidRDefault="006E3C27" w:rsidP="00B117C8">
      <w:pPr>
        <w:spacing w:line="360" w:lineRule="auto"/>
        <w:jc w:val="both"/>
        <w:rPr>
          <w:rFonts w:ascii="Garamond" w:hAnsi="Garamond"/>
          <w:b/>
        </w:rPr>
      </w:pPr>
    </w:p>
    <w:p w14:paraId="4DACE50A" w14:textId="77777777" w:rsidR="004A3B43" w:rsidRPr="000F21D1" w:rsidRDefault="00E35770" w:rsidP="00B117C8">
      <w:pPr>
        <w:spacing w:line="360" w:lineRule="auto"/>
        <w:jc w:val="both"/>
        <w:rPr>
          <w:rFonts w:ascii="Garamond" w:hAnsi="Garamond" w:cs="Sylfaen"/>
        </w:rPr>
      </w:pPr>
      <w:r w:rsidRPr="000F21D1">
        <w:rPr>
          <w:rFonts w:ascii="Garamond" w:hAnsi="Garamond" w:cs="Sylfaen"/>
        </w:rPr>
        <w:t>In the second quarter of 2016, driven by s</w:t>
      </w:r>
      <w:r w:rsidR="005A4C03" w:rsidRPr="000F21D1">
        <w:rPr>
          <w:rFonts w:ascii="Garamond" w:hAnsi="Garamond" w:cs="Sylfaen"/>
        </w:rPr>
        <w:t xml:space="preserve">maller-than-expected contraction in trade volumes </w:t>
      </w:r>
      <w:r w:rsidRPr="000F21D1">
        <w:rPr>
          <w:rFonts w:ascii="Garamond" w:hAnsi="Garamond" w:cs="Sylfaen"/>
        </w:rPr>
        <w:t>and</w:t>
      </w:r>
      <w:r w:rsidR="005A4C03" w:rsidRPr="000F21D1">
        <w:rPr>
          <w:rFonts w:ascii="Garamond" w:hAnsi="Garamond" w:cs="Sylfaen"/>
        </w:rPr>
        <w:t xml:space="preserve"> higher economic activity</w:t>
      </w:r>
      <w:r w:rsidRPr="000F21D1">
        <w:rPr>
          <w:rFonts w:ascii="Garamond" w:hAnsi="Garamond" w:cs="Sylfaen"/>
        </w:rPr>
        <w:t>,</w:t>
      </w:r>
      <w:r w:rsidR="005A4C03" w:rsidRPr="000F21D1">
        <w:rPr>
          <w:rFonts w:ascii="Garamond" w:hAnsi="Garamond" w:cs="Sylfaen"/>
        </w:rPr>
        <w:t xml:space="preserve"> </w:t>
      </w:r>
      <w:r w:rsidR="00F7763A" w:rsidRPr="000F21D1">
        <w:rPr>
          <w:rFonts w:ascii="Garamond" w:hAnsi="Garamond" w:cs="Sylfaen"/>
        </w:rPr>
        <w:t xml:space="preserve">the decline in private consumption in real terms </w:t>
      </w:r>
      <w:r w:rsidRPr="000F21D1">
        <w:rPr>
          <w:rFonts w:ascii="Garamond" w:hAnsi="Garamond" w:cs="Sylfaen"/>
        </w:rPr>
        <w:t xml:space="preserve">turned into a </w:t>
      </w:r>
      <w:r w:rsidR="00F7763A" w:rsidRPr="000F21D1">
        <w:rPr>
          <w:rFonts w:ascii="Garamond" w:hAnsi="Garamond" w:cs="Sylfaen"/>
        </w:rPr>
        <w:t xml:space="preserve">growth </w:t>
      </w:r>
      <w:r w:rsidRPr="000F21D1">
        <w:rPr>
          <w:rFonts w:ascii="Garamond" w:hAnsi="Garamond" w:cs="Sylfaen"/>
        </w:rPr>
        <w:t>mode</w:t>
      </w:r>
      <w:r w:rsidR="006E3C27" w:rsidRPr="000F21D1">
        <w:rPr>
          <w:rFonts w:ascii="Garamond" w:hAnsi="Garamond" w:cs="Sylfaen"/>
        </w:rPr>
        <w:t xml:space="preserve">. </w:t>
      </w:r>
      <w:r w:rsidRPr="000F21D1">
        <w:rPr>
          <w:rFonts w:ascii="Garamond" w:hAnsi="Garamond" w:cs="Sylfaen"/>
        </w:rPr>
        <w:t>T</w:t>
      </w:r>
      <w:r w:rsidR="006E3C27" w:rsidRPr="000F21D1">
        <w:rPr>
          <w:rFonts w:ascii="Garamond" w:hAnsi="Garamond" w:cs="Sylfaen"/>
        </w:rPr>
        <w:t>he investment environment</w:t>
      </w:r>
      <w:r w:rsidRPr="000F21D1">
        <w:rPr>
          <w:rFonts w:ascii="Garamond" w:hAnsi="Garamond" w:cs="Sylfaen"/>
        </w:rPr>
        <w:t>, however,</w:t>
      </w:r>
      <w:r w:rsidR="006E3C27" w:rsidRPr="000F21D1">
        <w:rPr>
          <w:rFonts w:ascii="Garamond" w:hAnsi="Garamond" w:cs="Sylfaen"/>
        </w:rPr>
        <w:t xml:space="preserve"> remain</w:t>
      </w:r>
      <w:r w:rsidRPr="000F21D1">
        <w:rPr>
          <w:rFonts w:ascii="Garamond" w:hAnsi="Garamond" w:cs="Sylfaen"/>
        </w:rPr>
        <w:t>s</w:t>
      </w:r>
      <w:r w:rsidR="006E3C27" w:rsidRPr="000F21D1">
        <w:rPr>
          <w:rFonts w:ascii="Garamond" w:hAnsi="Garamond" w:cs="Sylfaen"/>
        </w:rPr>
        <w:t xml:space="preserve"> weak mainly due to still </w:t>
      </w:r>
      <w:r w:rsidRPr="000F21D1">
        <w:rPr>
          <w:rFonts w:ascii="Garamond" w:hAnsi="Garamond" w:cs="Sylfaen"/>
        </w:rPr>
        <w:t xml:space="preserve">a sluggish </w:t>
      </w:r>
      <w:r w:rsidR="006E3C27" w:rsidRPr="000F21D1">
        <w:rPr>
          <w:rFonts w:ascii="Garamond" w:hAnsi="Garamond" w:cs="Sylfaen"/>
        </w:rPr>
        <w:t>domestic demand and low activity in the construction sector.</w:t>
      </w:r>
      <w:r w:rsidR="00191BEF" w:rsidRPr="000F21D1">
        <w:rPr>
          <w:rFonts w:ascii="Garamond" w:hAnsi="Garamond" w:cs="Sylfaen"/>
        </w:rPr>
        <w:t xml:space="preserve"> For the second quarter the growth of</w:t>
      </w:r>
      <w:r w:rsidR="006E3C27" w:rsidRPr="000F21D1">
        <w:rPr>
          <w:rFonts w:ascii="Garamond" w:hAnsi="Garamond" w:cs="Sylfaen"/>
        </w:rPr>
        <w:t xml:space="preserve"> </w:t>
      </w:r>
      <w:r w:rsidR="00191BEF" w:rsidRPr="000F21D1">
        <w:rPr>
          <w:rFonts w:ascii="Garamond" w:hAnsi="Garamond" w:cs="Sylfaen"/>
          <w:b/>
        </w:rPr>
        <w:t>p</w:t>
      </w:r>
      <w:r w:rsidR="004A3B43" w:rsidRPr="000F21D1">
        <w:rPr>
          <w:rFonts w:ascii="Garamond" w:hAnsi="Garamond" w:cs="Sylfaen"/>
          <w:b/>
        </w:rPr>
        <w:t xml:space="preserve">rivate consumption </w:t>
      </w:r>
      <w:r w:rsidR="004A3B43" w:rsidRPr="000F21D1">
        <w:rPr>
          <w:rFonts w:ascii="Garamond" w:hAnsi="Garamond" w:cs="Sylfaen"/>
        </w:rPr>
        <w:t>and</w:t>
      </w:r>
      <w:r w:rsidR="004A3B43" w:rsidRPr="000F21D1">
        <w:rPr>
          <w:rFonts w:ascii="Garamond" w:hAnsi="Garamond" w:cs="Sylfaen"/>
          <w:b/>
        </w:rPr>
        <w:t xml:space="preserve"> private investment </w:t>
      </w:r>
      <w:r w:rsidR="00191BEF" w:rsidRPr="000F21D1">
        <w:rPr>
          <w:rFonts w:ascii="Garamond" w:hAnsi="Garamond" w:cs="Sylfaen"/>
        </w:rPr>
        <w:t>are</w:t>
      </w:r>
      <w:r w:rsidR="00191BEF" w:rsidRPr="000F21D1">
        <w:rPr>
          <w:rFonts w:ascii="Garamond" w:hAnsi="Garamond" w:cs="Sylfaen"/>
          <w:b/>
        </w:rPr>
        <w:t xml:space="preserve"> </w:t>
      </w:r>
      <w:r w:rsidR="00C64491" w:rsidRPr="000F21D1">
        <w:rPr>
          <w:rFonts w:ascii="Garamond" w:hAnsi="Garamond" w:cs="Sylfaen"/>
        </w:rPr>
        <w:t xml:space="preserve">estimated at </w:t>
      </w:r>
      <w:r w:rsidR="00191BEF" w:rsidRPr="000F21D1">
        <w:rPr>
          <w:rFonts w:ascii="Garamond" w:hAnsi="Garamond" w:cs="Sylfaen"/>
        </w:rPr>
        <w:t>1</w:t>
      </w:r>
      <w:r w:rsidR="004A3B43" w:rsidRPr="000F21D1">
        <w:rPr>
          <w:rFonts w:ascii="Garamond" w:hAnsi="Garamond" w:cs="Sylfaen"/>
        </w:rPr>
        <w:t xml:space="preserve">% and </w:t>
      </w:r>
      <w:r w:rsidR="00191BEF" w:rsidRPr="000F21D1">
        <w:rPr>
          <w:rFonts w:ascii="Garamond" w:hAnsi="Garamond" w:cs="Sylfaen"/>
        </w:rPr>
        <w:t>3</w:t>
      </w:r>
      <w:r w:rsidR="004A3B43" w:rsidRPr="000F21D1">
        <w:rPr>
          <w:rFonts w:ascii="Garamond" w:hAnsi="Garamond" w:cs="Sylfaen"/>
        </w:rPr>
        <w:t>%</w:t>
      </w:r>
      <w:r w:rsidR="00191BEF" w:rsidRPr="000F21D1">
        <w:rPr>
          <w:rFonts w:ascii="Garamond" w:hAnsi="Garamond" w:cs="Sylfaen"/>
        </w:rPr>
        <w:t xml:space="preserve">, </w:t>
      </w:r>
      <w:r w:rsidR="004A3B43" w:rsidRPr="000F21D1">
        <w:rPr>
          <w:rFonts w:ascii="Garamond" w:hAnsi="Garamond" w:cs="Sylfaen"/>
        </w:rPr>
        <w:t xml:space="preserve">respectively, </w:t>
      </w:r>
      <w:r w:rsidR="00192F8D" w:rsidRPr="000F21D1">
        <w:rPr>
          <w:rFonts w:ascii="Garamond" w:hAnsi="Garamond" w:cs="Sylfaen"/>
        </w:rPr>
        <w:t xml:space="preserve">thanks to </w:t>
      </w:r>
      <w:r w:rsidR="001A3426" w:rsidRPr="000F21D1">
        <w:rPr>
          <w:rFonts w:ascii="Garamond" w:hAnsi="Garamond"/>
        </w:rPr>
        <w:t xml:space="preserve">expansionary fiscal and monetary policy implementation by the </w:t>
      </w:r>
      <w:r w:rsidR="00191BEF" w:rsidRPr="000F21D1">
        <w:rPr>
          <w:rFonts w:ascii="Garamond" w:hAnsi="Garamond"/>
        </w:rPr>
        <w:t xml:space="preserve">CBA and the </w:t>
      </w:r>
      <w:r w:rsidR="001A3426" w:rsidRPr="000F21D1">
        <w:rPr>
          <w:rFonts w:ascii="Garamond" w:hAnsi="Garamond"/>
        </w:rPr>
        <w:t>Government</w:t>
      </w:r>
      <w:r w:rsidR="00191BEF" w:rsidRPr="000F21D1">
        <w:rPr>
          <w:rFonts w:ascii="Garamond" w:hAnsi="Garamond"/>
        </w:rPr>
        <w:t xml:space="preserve"> </w:t>
      </w:r>
      <w:r w:rsidR="006A7967" w:rsidRPr="000F21D1">
        <w:rPr>
          <w:rFonts w:ascii="Garamond" w:hAnsi="Garamond"/>
        </w:rPr>
        <w:t>since</w:t>
      </w:r>
      <w:r w:rsidR="008A6B03" w:rsidRPr="000F21D1">
        <w:rPr>
          <w:rFonts w:ascii="Garamond" w:hAnsi="Garamond"/>
        </w:rPr>
        <w:t xml:space="preserve"> early 2015 to date, on the </w:t>
      </w:r>
      <w:r w:rsidR="001A3426" w:rsidRPr="000F21D1">
        <w:rPr>
          <w:rFonts w:ascii="Garamond" w:hAnsi="Garamond"/>
        </w:rPr>
        <w:t>one hand</w:t>
      </w:r>
      <w:r w:rsidR="008A6B03" w:rsidRPr="000F21D1">
        <w:rPr>
          <w:rFonts w:ascii="Garamond" w:hAnsi="Garamond"/>
        </w:rPr>
        <w:t>,</w:t>
      </w:r>
      <w:r w:rsidR="001A3426" w:rsidRPr="000F21D1">
        <w:rPr>
          <w:rFonts w:ascii="Garamond" w:hAnsi="Garamond"/>
        </w:rPr>
        <w:t xml:space="preserve"> and </w:t>
      </w:r>
      <w:r w:rsidR="00192F8D" w:rsidRPr="000F21D1">
        <w:rPr>
          <w:rFonts w:ascii="Garamond" w:hAnsi="Garamond"/>
        </w:rPr>
        <w:t xml:space="preserve">relatively sizable </w:t>
      </w:r>
      <w:r w:rsidR="00191BEF" w:rsidRPr="000F21D1">
        <w:rPr>
          <w:rFonts w:ascii="Garamond" w:hAnsi="Garamond"/>
        </w:rPr>
        <w:t xml:space="preserve">investment </w:t>
      </w:r>
      <w:r w:rsidR="006A7967" w:rsidRPr="000F21D1">
        <w:rPr>
          <w:rFonts w:ascii="Garamond" w:hAnsi="Garamond"/>
        </w:rPr>
        <w:t>in the tradable sector,</w:t>
      </w:r>
      <w:r w:rsidR="00296F05" w:rsidRPr="000F21D1">
        <w:rPr>
          <w:rFonts w:ascii="Garamond" w:hAnsi="Garamond"/>
        </w:rPr>
        <w:t xml:space="preserve"> on the other. </w:t>
      </w:r>
      <w:r w:rsidR="00192F8D" w:rsidRPr="000F21D1">
        <w:rPr>
          <w:rFonts w:ascii="Garamond" w:hAnsi="Garamond"/>
        </w:rPr>
        <w:t xml:space="preserve">The </w:t>
      </w:r>
      <w:r w:rsidR="006A7967" w:rsidRPr="000F21D1">
        <w:rPr>
          <w:rFonts w:ascii="Garamond" w:hAnsi="Garamond"/>
        </w:rPr>
        <w:t>investment, in turn,</w:t>
      </w:r>
      <w:r w:rsidR="00192F8D" w:rsidRPr="000F21D1">
        <w:rPr>
          <w:rFonts w:ascii="Garamond" w:hAnsi="Garamond"/>
        </w:rPr>
        <w:t xml:space="preserve"> accelerat</w:t>
      </w:r>
      <w:r w:rsidR="006A7967" w:rsidRPr="000F21D1">
        <w:rPr>
          <w:rFonts w:ascii="Garamond" w:hAnsi="Garamond"/>
        </w:rPr>
        <w:t xml:space="preserve">ed </w:t>
      </w:r>
      <w:r w:rsidR="00192F8D" w:rsidRPr="000F21D1">
        <w:rPr>
          <w:rFonts w:ascii="Garamond" w:hAnsi="Garamond"/>
        </w:rPr>
        <w:t xml:space="preserve">growth rates in the tradable sector </w:t>
      </w:r>
      <w:r w:rsidR="006A7967" w:rsidRPr="000F21D1">
        <w:rPr>
          <w:rFonts w:ascii="Garamond" w:hAnsi="Garamond"/>
        </w:rPr>
        <w:t>and</w:t>
      </w:r>
      <w:r w:rsidR="00192F8D" w:rsidRPr="000F21D1">
        <w:rPr>
          <w:rFonts w:ascii="Garamond" w:hAnsi="Garamond"/>
        </w:rPr>
        <w:t xml:space="preserve"> </w:t>
      </w:r>
      <w:r w:rsidR="006A7967" w:rsidRPr="000F21D1">
        <w:rPr>
          <w:rFonts w:ascii="Garamond" w:hAnsi="Garamond"/>
        </w:rPr>
        <w:t xml:space="preserve">facilitated </w:t>
      </w:r>
      <w:r w:rsidR="00192F8D" w:rsidRPr="000F21D1">
        <w:rPr>
          <w:rFonts w:ascii="Garamond" w:hAnsi="Garamond"/>
        </w:rPr>
        <w:t>improvement in net exports</w:t>
      </w:r>
      <w:r w:rsidR="006A7967" w:rsidRPr="000F21D1">
        <w:rPr>
          <w:rFonts w:ascii="Garamond" w:hAnsi="Garamond"/>
        </w:rPr>
        <w:t>:</w:t>
      </w:r>
      <w:r w:rsidR="00192F8D" w:rsidRPr="000F21D1">
        <w:rPr>
          <w:rFonts w:ascii="Garamond" w:hAnsi="Garamond"/>
        </w:rPr>
        <w:t xml:space="preserve"> in the second quarter real growth</w:t>
      </w:r>
      <w:r w:rsidR="006A7967" w:rsidRPr="000F21D1">
        <w:rPr>
          <w:rFonts w:ascii="Garamond" w:hAnsi="Garamond"/>
        </w:rPr>
        <w:t xml:space="preserve"> of export of goods and services</w:t>
      </w:r>
      <w:r w:rsidR="00192F8D" w:rsidRPr="000F21D1">
        <w:rPr>
          <w:rFonts w:ascii="Garamond" w:hAnsi="Garamond"/>
        </w:rPr>
        <w:t xml:space="preserve"> is estimated at 13.2% </w:t>
      </w:r>
      <w:r w:rsidR="006A7967" w:rsidRPr="000F21D1">
        <w:rPr>
          <w:rFonts w:ascii="Garamond" w:hAnsi="Garamond"/>
        </w:rPr>
        <w:t xml:space="preserve">y/y and real growth of </w:t>
      </w:r>
      <w:r w:rsidR="00192F8D" w:rsidRPr="000F21D1">
        <w:rPr>
          <w:rFonts w:ascii="Garamond" w:hAnsi="Garamond"/>
        </w:rPr>
        <w:t>import of goods and services</w:t>
      </w:r>
      <w:r w:rsidR="006A7967" w:rsidRPr="000F21D1">
        <w:rPr>
          <w:rFonts w:ascii="Garamond" w:hAnsi="Garamond"/>
        </w:rPr>
        <w:t>,</w:t>
      </w:r>
      <w:r w:rsidR="00192F8D" w:rsidRPr="000F21D1">
        <w:rPr>
          <w:rFonts w:ascii="Garamond" w:hAnsi="Garamond"/>
        </w:rPr>
        <w:t xml:space="preserve"> </w:t>
      </w:r>
      <w:r w:rsidR="006A7967" w:rsidRPr="000F21D1">
        <w:rPr>
          <w:rFonts w:ascii="Garamond" w:hAnsi="Garamond"/>
        </w:rPr>
        <w:t xml:space="preserve">merely </w:t>
      </w:r>
      <w:r w:rsidR="00192F8D" w:rsidRPr="000F21D1">
        <w:rPr>
          <w:rFonts w:ascii="Garamond" w:hAnsi="Garamond"/>
        </w:rPr>
        <w:t>0.4%.</w:t>
      </w:r>
      <w:r w:rsidR="006A7967" w:rsidRPr="000F21D1">
        <w:rPr>
          <w:rFonts w:ascii="Garamond" w:hAnsi="Garamond"/>
        </w:rPr>
        <w:t xml:space="preserve"> </w:t>
      </w:r>
      <w:r w:rsidR="00FF2209" w:rsidRPr="000F21D1">
        <w:rPr>
          <w:rFonts w:ascii="Garamond" w:hAnsi="Garamond"/>
        </w:rPr>
        <w:t xml:space="preserve">So, </w:t>
      </w:r>
      <w:r w:rsidR="006C3C4F" w:rsidRPr="000F21D1">
        <w:rPr>
          <w:rFonts w:ascii="Garamond" w:hAnsi="Garamond"/>
        </w:rPr>
        <w:t xml:space="preserve">based on </w:t>
      </w:r>
      <w:r w:rsidR="00FF2209" w:rsidRPr="000F21D1">
        <w:rPr>
          <w:rFonts w:ascii="Garamond" w:hAnsi="Garamond" w:cs="Sylfaen"/>
        </w:rPr>
        <w:t xml:space="preserve">the first </w:t>
      </w:r>
      <w:r w:rsidR="0030500E" w:rsidRPr="000F21D1">
        <w:rPr>
          <w:rFonts w:ascii="Garamond" w:hAnsi="Garamond" w:cs="Sylfaen"/>
        </w:rPr>
        <w:t>half</w:t>
      </w:r>
      <w:r w:rsidR="00FF2209" w:rsidRPr="000F21D1">
        <w:rPr>
          <w:rFonts w:ascii="Garamond" w:hAnsi="Garamond" w:cs="Sylfaen"/>
        </w:rPr>
        <w:t xml:space="preserve"> of 2016 </w:t>
      </w:r>
      <w:r w:rsidR="006C3C4F" w:rsidRPr="000F21D1">
        <w:rPr>
          <w:rFonts w:ascii="Garamond" w:hAnsi="Garamond" w:cs="Sylfaen"/>
        </w:rPr>
        <w:t xml:space="preserve">results, </w:t>
      </w:r>
      <w:r w:rsidR="004A3B43" w:rsidRPr="000F21D1">
        <w:rPr>
          <w:rFonts w:ascii="Garamond" w:hAnsi="Garamond" w:cs="Sylfaen"/>
        </w:rPr>
        <w:t xml:space="preserve">the </w:t>
      </w:r>
      <w:r w:rsidR="004A3B43" w:rsidRPr="000F21D1">
        <w:rPr>
          <w:rFonts w:ascii="Garamond" w:hAnsi="Garamond" w:cs="Sylfaen"/>
          <w:b/>
        </w:rPr>
        <w:t xml:space="preserve">economic activity </w:t>
      </w:r>
      <w:r w:rsidR="00E87661" w:rsidRPr="000F21D1">
        <w:rPr>
          <w:rFonts w:ascii="Garamond" w:hAnsi="Garamond" w:cs="Sylfaen"/>
          <w:b/>
        </w:rPr>
        <w:t xml:space="preserve">indicator </w:t>
      </w:r>
      <w:r w:rsidR="0030500E" w:rsidRPr="000F21D1">
        <w:rPr>
          <w:rFonts w:ascii="Garamond" w:hAnsi="Garamond" w:cs="Sylfaen"/>
          <w:b/>
        </w:rPr>
        <w:t>amounted to</w:t>
      </w:r>
      <w:r w:rsidR="00312EC1" w:rsidRPr="000F21D1">
        <w:rPr>
          <w:rFonts w:ascii="Garamond" w:hAnsi="Garamond" w:cs="Sylfaen"/>
          <w:b/>
        </w:rPr>
        <w:t xml:space="preserve"> </w:t>
      </w:r>
      <w:r w:rsidR="0030500E" w:rsidRPr="000F21D1">
        <w:rPr>
          <w:rFonts w:ascii="Garamond" w:hAnsi="Garamond" w:cs="Sylfaen"/>
          <w:b/>
        </w:rPr>
        <w:t>4</w:t>
      </w:r>
      <w:r w:rsidR="004A3B43" w:rsidRPr="000F21D1">
        <w:rPr>
          <w:rFonts w:ascii="Garamond" w:hAnsi="Garamond" w:cs="Sylfaen"/>
          <w:b/>
        </w:rPr>
        <w:t>.</w:t>
      </w:r>
      <w:r w:rsidR="0030500E" w:rsidRPr="000F21D1">
        <w:rPr>
          <w:rFonts w:ascii="Garamond" w:hAnsi="Garamond" w:cs="Sylfaen"/>
          <w:b/>
        </w:rPr>
        <w:t>7</w:t>
      </w:r>
      <w:r w:rsidR="004A3B43" w:rsidRPr="000F21D1">
        <w:rPr>
          <w:rFonts w:ascii="Garamond" w:hAnsi="Garamond" w:cs="Sylfaen"/>
          <w:b/>
        </w:rPr>
        <w:t xml:space="preserve">% </w:t>
      </w:r>
      <w:r w:rsidR="00FF2209" w:rsidRPr="000F21D1">
        <w:rPr>
          <w:rFonts w:ascii="Garamond" w:hAnsi="Garamond" w:cs="Sylfaen"/>
          <w:b/>
        </w:rPr>
        <w:t>y/y</w:t>
      </w:r>
      <w:r w:rsidR="00E87661" w:rsidRPr="000F21D1">
        <w:rPr>
          <w:rFonts w:ascii="Garamond" w:hAnsi="Garamond" w:cs="Sylfaen"/>
          <w:b/>
          <w:lang w:val="hy-AM"/>
        </w:rPr>
        <w:t xml:space="preserve"> </w:t>
      </w:r>
      <w:r w:rsidR="004A3B43" w:rsidRPr="000F21D1">
        <w:rPr>
          <w:rFonts w:ascii="Garamond" w:hAnsi="Garamond" w:cs="Sylfaen"/>
        </w:rPr>
        <w:t xml:space="preserve">mainly due to increased output volumes in </w:t>
      </w:r>
      <w:r w:rsidR="00FF2209" w:rsidRPr="000F21D1">
        <w:rPr>
          <w:rFonts w:ascii="Garamond" w:hAnsi="Garamond" w:cs="Sylfaen"/>
        </w:rPr>
        <w:t>industry</w:t>
      </w:r>
      <w:r w:rsidR="004A3B43" w:rsidRPr="000F21D1">
        <w:rPr>
          <w:rFonts w:ascii="Garamond" w:hAnsi="Garamond" w:cs="Sylfaen"/>
        </w:rPr>
        <w:t xml:space="preserve"> and </w:t>
      </w:r>
      <w:r w:rsidR="00FF2209" w:rsidRPr="000F21D1">
        <w:rPr>
          <w:rFonts w:ascii="Garamond" w:hAnsi="Garamond" w:cs="Sylfaen"/>
        </w:rPr>
        <w:t>services</w:t>
      </w:r>
      <w:r w:rsidR="004A3B43" w:rsidRPr="000F21D1">
        <w:rPr>
          <w:rFonts w:ascii="Garamond" w:hAnsi="Garamond" w:cs="Sylfaen"/>
        </w:rPr>
        <w:t xml:space="preserve"> sectors, in which case the</w:t>
      </w:r>
      <w:r w:rsidR="00FF2209" w:rsidRPr="000F21D1">
        <w:rPr>
          <w:rFonts w:ascii="Garamond" w:hAnsi="Garamond" w:cs="Sylfaen"/>
        </w:rPr>
        <w:t xml:space="preserve"> </w:t>
      </w:r>
      <w:r w:rsidR="0030500E" w:rsidRPr="000F21D1">
        <w:rPr>
          <w:rFonts w:ascii="Garamond" w:hAnsi="Garamond" w:cs="Sylfaen"/>
        </w:rPr>
        <w:t>semester</w:t>
      </w:r>
      <w:r w:rsidR="00FF2209" w:rsidRPr="000F21D1">
        <w:rPr>
          <w:rFonts w:ascii="Garamond" w:hAnsi="Garamond" w:cs="Sylfaen"/>
        </w:rPr>
        <w:t xml:space="preserve">’s </w:t>
      </w:r>
      <w:r w:rsidR="004A3B43" w:rsidRPr="000F21D1">
        <w:rPr>
          <w:rFonts w:ascii="Garamond" w:hAnsi="Garamond" w:cs="Sylfaen"/>
          <w:b/>
        </w:rPr>
        <w:t xml:space="preserve">economic growth </w:t>
      </w:r>
      <w:r w:rsidR="0030500E" w:rsidRPr="000F21D1">
        <w:rPr>
          <w:rFonts w:ascii="Garamond" w:hAnsi="Garamond" w:cs="Sylfaen"/>
          <w:b/>
        </w:rPr>
        <w:t xml:space="preserve">is </w:t>
      </w:r>
      <w:r w:rsidR="004A3B43" w:rsidRPr="000F21D1">
        <w:rPr>
          <w:rFonts w:ascii="Garamond" w:hAnsi="Garamond" w:cs="Sylfaen"/>
          <w:b/>
        </w:rPr>
        <w:t>estimated</w:t>
      </w:r>
      <w:r w:rsidR="00E87661" w:rsidRPr="000F21D1">
        <w:rPr>
          <w:rFonts w:ascii="Garamond" w:hAnsi="Garamond" w:cs="Sylfaen"/>
          <w:b/>
          <w:lang w:val="hy-AM"/>
        </w:rPr>
        <w:t xml:space="preserve"> </w:t>
      </w:r>
      <w:r w:rsidR="004A3B43" w:rsidRPr="000F21D1">
        <w:rPr>
          <w:rFonts w:ascii="Garamond" w:hAnsi="Garamond" w:cs="Sylfaen"/>
          <w:b/>
        </w:rPr>
        <w:t xml:space="preserve">in the range of </w:t>
      </w:r>
      <w:r w:rsidR="0030500E" w:rsidRPr="000F21D1">
        <w:rPr>
          <w:rFonts w:ascii="Garamond" w:hAnsi="Garamond" w:cs="Sylfaen"/>
          <w:b/>
        </w:rPr>
        <w:t>3</w:t>
      </w:r>
      <w:r w:rsidR="004A3B43" w:rsidRPr="000F21D1">
        <w:rPr>
          <w:rFonts w:ascii="Garamond" w:hAnsi="Garamond" w:cs="Sylfaen"/>
          <w:b/>
        </w:rPr>
        <w:t>.</w:t>
      </w:r>
      <w:r w:rsidR="0030500E" w:rsidRPr="000F21D1">
        <w:rPr>
          <w:rFonts w:ascii="Garamond" w:hAnsi="Garamond" w:cs="Sylfaen"/>
          <w:b/>
        </w:rPr>
        <w:t>9</w:t>
      </w:r>
      <w:r w:rsidR="004A3B43" w:rsidRPr="000F21D1">
        <w:rPr>
          <w:rFonts w:ascii="Garamond" w:hAnsi="Garamond" w:cs="Sylfaen"/>
          <w:b/>
        </w:rPr>
        <w:t>-</w:t>
      </w:r>
      <w:r w:rsidR="0030500E" w:rsidRPr="000F21D1">
        <w:rPr>
          <w:rFonts w:ascii="Garamond" w:hAnsi="Garamond" w:cs="Sylfaen"/>
          <w:b/>
        </w:rPr>
        <w:t>4</w:t>
      </w:r>
      <w:r w:rsidR="004A3B43" w:rsidRPr="000F21D1">
        <w:rPr>
          <w:rFonts w:ascii="Garamond" w:hAnsi="Garamond" w:cs="Sylfaen"/>
          <w:b/>
        </w:rPr>
        <w:t>.</w:t>
      </w:r>
      <w:r w:rsidR="0030500E" w:rsidRPr="000F21D1">
        <w:rPr>
          <w:rFonts w:ascii="Garamond" w:hAnsi="Garamond" w:cs="Sylfaen"/>
          <w:b/>
        </w:rPr>
        <w:t>1</w:t>
      </w:r>
      <w:r w:rsidR="004A3B43" w:rsidRPr="000F21D1">
        <w:rPr>
          <w:rFonts w:ascii="Garamond" w:hAnsi="Garamond" w:cs="Sylfaen"/>
          <w:b/>
        </w:rPr>
        <w:t>% y/y</w:t>
      </w:r>
      <w:r w:rsidR="004A3B43" w:rsidRPr="000F21D1">
        <w:rPr>
          <w:rFonts w:ascii="Garamond" w:hAnsi="Garamond" w:cs="Sylfaen"/>
        </w:rPr>
        <w:t>.</w:t>
      </w:r>
      <w:r w:rsidR="00191BEF" w:rsidRPr="000F21D1">
        <w:rPr>
          <w:rFonts w:ascii="Garamond" w:hAnsi="Garamond" w:cs="Sylfaen"/>
        </w:rPr>
        <w:t xml:space="preserve"> </w:t>
      </w:r>
    </w:p>
    <w:p w14:paraId="7CDB8EBD" w14:textId="77777777" w:rsidR="002C5781" w:rsidRPr="000F21D1" w:rsidRDefault="002C5781" w:rsidP="00B117C8">
      <w:pPr>
        <w:spacing w:line="360" w:lineRule="auto"/>
        <w:jc w:val="both"/>
        <w:rPr>
          <w:rFonts w:ascii="Garamond" w:hAnsi="Garamond" w:cs="Sylfaen"/>
        </w:rPr>
      </w:pPr>
    </w:p>
    <w:p w14:paraId="0DFFEE43" w14:textId="77777777" w:rsidR="002C5781" w:rsidRPr="000F21D1" w:rsidRDefault="002C5781" w:rsidP="00B117C8">
      <w:pPr>
        <w:spacing w:line="360" w:lineRule="auto"/>
        <w:jc w:val="both"/>
        <w:rPr>
          <w:rFonts w:ascii="Garamond" w:hAnsi="Garamond"/>
          <w:iCs/>
        </w:rPr>
      </w:pPr>
      <w:r w:rsidRPr="000F21D1">
        <w:rPr>
          <w:rFonts w:ascii="Garamond" w:hAnsi="Garamond" w:cs="GHEA Grapalat"/>
          <w:b/>
        </w:rPr>
        <w:t>According to short-term forecasts of the CBA</w:t>
      </w:r>
      <w:r w:rsidRPr="000F21D1">
        <w:rPr>
          <w:rFonts w:ascii="Garamond" w:hAnsi="Garamond" w:cs="GHEA Grapalat"/>
        </w:rPr>
        <w:t xml:space="preserve">, </w:t>
      </w:r>
      <w:r w:rsidR="0026014A" w:rsidRPr="000F21D1">
        <w:rPr>
          <w:rFonts w:ascii="Garamond" w:hAnsi="Garamond" w:cs="GHEA Grapalat"/>
        </w:rPr>
        <w:t xml:space="preserve">in 2016 </w:t>
      </w:r>
      <w:r w:rsidRPr="000F21D1">
        <w:rPr>
          <w:rFonts w:ascii="Garamond" w:hAnsi="Garamond" w:cs="GHEA Grapalat"/>
        </w:rPr>
        <w:t>economic growth in the external sector will continue to be slow</w:t>
      </w:r>
      <w:r w:rsidR="00BC3DCD" w:rsidRPr="000F21D1">
        <w:rPr>
          <w:rFonts w:ascii="Garamond" w:hAnsi="Garamond" w:cs="GHEA Grapalat"/>
        </w:rPr>
        <w:t>,</w:t>
      </w:r>
      <w:r w:rsidR="006C3C4F" w:rsidRPr="000F21D1">
        <w:rPr>
          <w:rFonts w:ascii="Garamond" w:hAnsi="Garamond" w:cs="GHEA Grapalat"/>
        </w:rPr>
        <w:t xml:space="preserve"> </w:t>
      </w:r>
      <w:r w:rsidR="00BC3DCD" w:rsidRPr="000F21D1">
        <w:rPr>
          <w:rFonts w:ascii="Garamond" w:hAnsi="Garamond" w:cs="GHEA Grapalat"/>
        </w:rPr>
        <w:t xml:space="preserve">while </w:t>
      </w:r>
      <w:r w:rsidR="006C3C4F" w:rsidRPr="000F21D1">
        <w:rPr>
          <w:rFonts w:ascii="Garamond" w:hAnsi="Garamond" w:cs="GHEA Grapalat"/>
        </w:rPr>
        <w:t xml:space="preserve">a low-price environment in international commodity markets </w:t>
      </w:r>
      <w:r w:rsidR="00BC3DCD" w:rsidRPr="000F21D1">
        <w:rPr>
          <w:rFonts w:ascii="Garamond" w:hAnsi="Garamond" w:cs="GHEA Grapalat"/>
        </w:rPr>
        <w:t xml:space="preserve">will be </w:t>
      </w:r>
      <w:r w:rsidR="00BC3DCD" w:rsidRPr="000F21D1">
        <w:rPr>
          <w:rFonts w:ascii="Garamond" w:hAnsi="Garamond" w:cs="GHEA Grapalat"/>
        </w:rPr>
        <w:lastRenderedPageBreak/>
        <w:t xml:space="preserve">persisting in spite of abolishing </w:t>
      </w:r>
      <w:r w:rsidR="006C3C4F" w:rsidRPr="000F21D1">
        <w:rPr>
          <w:rFonts w:ascii="Garamond" w:hAnsi="Garamond" w:cs="GHEA Grapalat"/>
        </w:rPr>
        <w:t xml:space="preserve">of deflationary </w:t>
      </w:r>
      <w:r w:rsidR="00BC3DCD" w:rsidRPr="000F21D1">
        <w:rPr>
          <w:rFonts w:ascii="Garamond" w:hAnsi="Garamond" w:cs="GHEA Grapalat"/>
        </w:rPr>
        <w:t xml:space="preserve">patterns and achieving of some </w:t>
      </w:r>
      <w:r w:rsidR="006C3C4F" w:rsidRPr="000F21D1">
        <w:rPr>
          <w:rFonts w:ascii="Garamond" w:hAnsi="Garamond" w:cs="GHEA Grapalat"/>
        </w:rPr>
        <w:t>stability</w:t>
      </w:r>
      <w:r w:rsidR="00BC3DCD" w:rsidRPr="000F21D1">
        <w:rPr>
          <w:rFonts w:ascii="Garamond" w:hAnsi="Garamond" w:cs="GHEA Grapalat"/>
        </w:rPr>
        <w:t xml:space="preserve">. </w:t>
      </w:r>
      <w:r w:rsidR="0026014A" w:rsidRPr="000F21D1">
        <w:rPr>
          <w:rFonts w:ascii="Garamond" w:hAnsi="Garamond" w:cs="GHEA Grapalat"/>
        </w:rPr>
        <w:t>Furthermore, o</w:t>
      </w:r>
      <w:r w:rsidR="00A06E1C" w:rsidRPr="000F21D1">
        <w:rPr>
          <w:rFonts w:ascii="Garamond" w:hAnsi="Garamond" w:cs="GHEA Grapalat"/>
        </w:rPr>
        <w:t>n the premise of slower declin</w:t>
      </w:r>
      <w:r w:rsidR="00BC3DCD" w:rsidRPr="000F21D1">
        <w:rPr>
          <w:rFonts w:ascii="Garamond" w:hAnsi="Garamond" w:cs="GHEA Grapalat"/>
        </w:rPr>
        <w:t xml:space="preserve">e </w:t>
      </w:r>
      <w:r w:rsidR="00A06E1C" w:rsidRPr="000F21D1">
        <w:rPr>
          <w:rFonts w:ascii="Garamond" w:hAnsi="Garamond" w:cs="GHEA Grapalat"/>
        </w:rPr>
        <w:t>in the Russian economy</w:t>
      </w:r>
      <w:r w:rsidR="0026014A" w:rsidRPr="000F21D1">
        <w:rPr>
          <w:rFonts w:ascii="Garamond" w:hAnsi="Garamond" w:cs="GHEA Grapalat"/>
        </w:rPr>
        <w:t>, there is anticipation that the</w:t>
      </w:r>
      <w:r w:rsidR="00A06E1C" w:rsidRPr="000F21D1">
        <w:rPr>
          <w:rFonts w:ascii="Garamond" w:hAnsi="Garamond" w:cs="GHEA Grapalat"/>
        </w:rPr>
        <w:t xml:space="preserve"> decline in </w:t>
      </w:r>
      <w:r w:rsidR="0026014A" w:rsidRPr="000F21D1">
        <w:rPr>
          <w:rFonts w:ascii="Garamond" w:hAnsi="Garamond" w:cs="GHEA Grapalat"/>
        </w:rPr>
        <w:t xml:space="preserve">seasonal worker </w:t>
      </w:r>
      <w:r w:rsidR="00422A33" w:rsidRPr="000F21D1">
        <w:rPr>
          <w:rFonts w:ascii="Garamond" w:hAnsi="Garamond" w:cs="GHEA Grapalat"/>
        </w:rPr>
        <w:t xml:space="preserve">income and </w:t>
      </w:r>
      <w:r w:rsidR="00A06E1C" w:rsidRPr="000F21D1">
        <w:rPr>
          <w:rFonts w:ascii="Garamond" w:hAnsi="Garamond" w:cs="GHEA Grapalat"/>
        </w:rPr>
        <w:t>remittances</w:t>
      </w:r>
      <w:r w:rsidR="00422A33" w:rsidRPr="000F21D1">
        <w:rPr>
          <w:rFonts w:ascii="Garamond" w:hAnsi="Garamond" w:cs="GHEA Grapalat"/>
        </w:rPr>
        <w:t xml:space="preserve"> of individuals</w:t>
      </w:r>
      <w:r w:rsidR="00E87661" w:rsidRPr="000F21D1">
        <w:rPr>
          <w:rFonts w:ascii="Garamond" w:hAnsi="Garamond" w:cs="GHEA Grapalat"/>
          <w:lang w:val="hy-AM"/>
        </w:rPr>
        <w:t xml:space="preserve"> </w:t>
      </w:r>
      <w:r w:rsidR="00422A33" w:rsidRPr="000F21D1">
        <w:rPr>
          <w:rFonts w:ascii="Garamond" w:hAnsi="Garamond" w:cs="GHEA Grapalat"/>
        </w:rPr>
        <w:t xml:space="preserve">will slow down </w:t>
      </w:r>
      <w:r w:rsidR="00BC3DCD" w:rsidRPr="000F21D1">
        <w:rPr>
          <w:rFonts w:ascii="Garamond" w:hAnsi="Garamond" w:cs="GHEA Grapalat"/>
        </w:rPr>
        <w:t>either</w:t>
      </w:r>
      <w:r w:rsidR="00422A33" w:rsidRPr="000F21D1">
        <w:rPr>
          <w:rFonts w:ascii="Garamond" w:hAnsi="Garamond" w:cs="GHEA Grapalat"/>
        </w:rPr>
        <w:t xml:space="preserve">, which </w:t>
      </w:r>
      <w:r w:rsidRPr="000F21D1">
        <w:rPr>
          <w:rFonts w:ascii="Garamond" w:hAnsi="Garamond"/>
          <w:iCs/>
          <w:color w:val="000000"/>
        </w:rPr>
        <w:t xml:space="preserve">will </w:t>
      </w:r>
      <w:r w:rsidR="00422A33" w:rsidRPr="000F21D1">
        <w:rPr>
          <w:rFonts w:ascii="Garamond" w:hAnsi="Garamond"/>
          <w:iCs/>
          <w:color w:val="000000"/>
        </w:rPr>
        <w:t xml:space="preserve">positively affect the </w:t>
      </w:r>
      <w:r w:rsidRPr="000F21D1">
        <w:rPr>
          <w:rFonts w:ascii="Garamond" w:hAnsi="Garamond"/>
          <w:iCs/>
          <w:color w:val="000000"/>
        </w:rPr>
        <w:t xml:space="preserve">level of domestic demand, hence </w:t>
      </w:r>
      <w:r w:rsidR="00D374D8" w:rsidRPr="000F21D1">
        <w:rPr>
          <w:rFonts w:ascii="Garamond" w:hAnsi="Garamond"/>
          <w:iCs/>
          <w:color w:val="000000"/>
        </w:rPr>
        <w:t xml:space="preserve">gradual </w:t>
      </w:r>
      <w:r w:rsidR="00422A33" w:rsidRPr="000F21D1">
        <w:rPr>
          <w:rFonts w:ascii="Garamond" w:hAnsi="Garamond"/>
          <w:iCs/>
          <w:color w:val="000000"/>
        </w:rPr>
        <w:t xml:space="preserve">rebounding </w:t>
      </w:r>
      <w:r w:rsidRPr="000F21D1">
        <w:rPr>
          <w:rFonts w:ascii="Garamond" w:hAnsi="Garamond"/>
          <w:iCs/>
          <w:color w:val="000000"/>
        </w:rPr>
        <w:t>of private consumption.</w:t>
      </w:r>
      <w:r w:rsidR="00E87661" w:rsidRPr="000F21D1">
        <w:rPr>
          <w:rFonts w:ascii="Garamond" w:hAnsi="Garamond"/>
          <w:iCs/>
          <w:color w:val="000000"/>
          <w:lang w:val="hy-AM"/>
        </w:rPr>
        <w:t xml:space="preserve"> </w:t>
      </w:r>
      <w:r w:rsidR="00027123" w:rsidRPr="000F21D1">
        <w:rPr>
          <w:rFonts w:ascii="Garamond" w:hAnsi="Garamond" w:cs="GHEA Grapalat"/>
        </w:rPr>
        <w:t>On the other hand, despite a sizable state budget deficit expected in 2016, t</w:t>
      </w:r>
      <w:r w:rsidRPr="000F21D1">
        <w:rPr>
          <w:rFonts w:ascii="Garamond" w:hAnsi="Garamond" w:cs="GHEA Grapalat"/>
        </w:rPr>
        <w:t>he impact of fiscal policy on the domestic demand (calculated over the</w:t>
      </w:r>
      <w:r w:rsidR="00027123" w:rsidRPr="000F21D1">
        <w:rPr>
          <w:rFonts w:ascii="Garamond" w:hAnsi="Garamond" w:cs="GHEA Grapalat"/>
        </w:rPr>
        <w:t xml:space="preserve"> previous year) is estimated </w:t>
      </w:r>
      <w:r w:rsidR="005711CF" w:rsidRPr="000F21D1">
        <w:rPr>
          <w:rFonts w:ascii="Garamond" w:hAnsi="Garamond" w:cs="GHEA Grapalat"/>
        </w:rPr>
        <w:t>0.4-0.6</w:t>
      </w:r>
      <w:r w:rsidRPr="000F21D1">
        <w:rPr>
          <w:rFonts w:ascii="Garamond" w:hAnsi="Garamond" w:cs="GHEA Grapalat"/>
        </w:rPr>
        <w:t xml:space="preserve"> contractionary for the year</w:t>
      </w:r>
      <w:r w:rsidR="005711CF" w:rsidRPr="000F21D1">
        <w:rPr>
          <w:rFonts w:ascii="Garamond" w:hAnsi="Garamond" w:cs="GHEA Grapalat"/>
        </w:rPr>
        <w:t>, which will fall primarily upon the second half of the year</w:t>
      </w:r>
      <w:r w:rsidR="00027123" w:rsidRPr="000F21D1">
        <w:rPr>
          <w:rFonts w:ascii="Garamond" w:hAnsi="Garamond" w:cs="GHEA Grapalat"/>
        </w:rPr>
        <w:t xml:space="preserve">. </w:t>
      </w:r>
      <w:r w:rsidR="005711CF" w:rsidRPr="000F21D1">
        <w:rPr>
          <w:rFonts w:ascii="Garamond" w:hAnsi="Garamond" w:cs="GHEA Grapalat"/>
        </w:rPr>
        <w:t>In 2016 p</w:t>
      </w:r>
      <w:r w:rsidR="006E66FC" w:rsidRPr="000F21D1">
        <w:rPr>
          <w:rFonts w:ascii="Garamond" w:hAnsi="Garamond" w:cs="GHEA Grapalat"/>
        </w:rPr>
        <w:t>rivate consumption growth is projected at around 1.</w:t>
      </w:r>
      <w:r w:rsidR="005711CF" w:rsidRPr="000F21D1">
        <w:rPr>
          <w:rFonts w:ascii="Garamond" w:hAnsi="Garamond" w:cs="GHEA Grapalat"/>
        </w:rPr>
        <w:t>5</w:t>
      </w:r>
      <w:r w:rsidR="006E66FC" w:rsidRPr="000F21D1">
        <w:rPr>
          <w:rFonts w:ascii="Garamond" w:hAnsi="Garamond" w:cs="GHEA Grapalat"/>
        </w:rPr>
        <w:t xml:space="preserve">% </w:t>
      </w:r>
      <w:r w:rsidR="005711CF" w:rsidRPr="000F21D1">
        <w:rPr>
          <w:rFonts w:ascii="Garamond" w:hAnsi="Garamond" w:cs="GHEA Grapalat"/>
        </w:rPr>
        <w:t>and</w:t>
      </w:r>
      <w:r w:rsidR="006E66FC" w:rsidRPr="000F21D1">
        <w:rPr>
          <w:rFonts w:ascii="Garamond" w:hAnsi="Garamond" w:cs="GHEA Grapalat"/>
        </w:rPr>
        <w:t xml:space="preserve"> private investment</w:t>
      </w:r>
      <w:r w:rsidR="005711CF" w:rsidRPr="000F21D1">
        <w:rPr>
          <w:rFonts w:ascii="Garamond" w:hAnsi="Garamond" w:cs="GHEA Grapalat"/>
        </w:rPr>
        <w:t>,</w:t>
      </w:r>
      <w:r w:rsidR="006E66FC" w:rsidRPr="000F21D1">
        <w:rPr>
          <w:rFonts w:ascii="Garamond" w:hAnsi="Garamond" w:cs="GHEA Grapalat"/>
        </w:rPr>
        <w:t xml:space="preserve"> </w:t>
      </w:r>
      <w:r w:rsidR="005711CF" w:rsidRPr="000F21D1">
        <w:rPr>
          <w:rFonts w:ascii="Garamond" w:hAnsi="Garamond" w:cs="GHEA Grapalat"/>
        </w:rPr>
        <w:t xml:space="preserve">nearly </w:t>
      </w:r>
      <w:r w:rsidR="006E66FC" w:rsidRPr="000F21D1">
        <w:rPr>
          <w:rFonts w:ascii="Garamond" w:hAnsi="Garamond" w:cs="GHEA Grapalat"/>
        </w:rPr>
        <w:t>2.0%</w:t>
      </w:r>
      <w:r w:rsidR="00410A65" w:rsidRPr="000F21D1">
        <w:rPr>
          <w:rFonts w:ascii="Garamond" w:hAnsi="Garamond" w:cs="GHEA Grapalat"/>
        </w:rPr>
        <w:t xml:space="preserve">, which will </w:t>
      </w:r>
      <w:r w:rsidR="00AF221A" w:rsidRPr="000F21D1">
        <w:rPr>
          <w:rFonts w:ascii="Garamond" w:hAnsi="Garamond" w:cs="GHEA Grapalat"/>
        </w:rPr>
        <w:t xml:space="preserve">be </w:t>
      </w:r>
      <w:r w:rsidR="006E66FC" w:rsidRPr="000F21D1">
        <w:rPr>
          <w:rFonts w:ascii="Garamond" w:hAnsi="Garamond" w:cs="GHEA Grapalat"/>
        </w:rPr>
        <w:t xml:space="preserve">primarily </w:t>
      </w:r>
      <w:r w:rsidR="00AF221A" w:rsidRPr="000F21D1">
        <w:rPr>
          <w:rFonts w:ascii="Garamond" w:hAnsi="Garamond" w:cs="GHEA Grapalat"/>
        </w:rPr>
        <w:t>a result of expansionary fiscal policy carried out since 2015, a low inflation environment as well as</w:t>
      </w:r>
      <w:r w:rsidR="006E66FC" w:rsidRPr="000F21D1">
        <w:rPr>
          <w:rFonts w:ascii="Garamond" w:hAnsi="Garamond" w:cs="GHEA Grapalat"/>
        </w:rPr>
        <w:t xml:space="preserve"> investment </w:t>
      </w:r>
      <w:r w:rsidR="00D63327" w:rsidRPr="000F21D1">
        <w:rPr>
          <w:rFonts w:ascii="Garamond" w:hAnsi="Garamond" w:cs="GHEA Grapalat"/>
        </w:rPr>
        <w:t xml:space="preserve">to be made </w:t>
      </w:r>
      <w:r w:rsidR="006E66FC" w:rsidRPr="000F21D1">
        <w:rPr>
          <w:rFonts w:ascii="Garamond" w:hAnsi="Garamond" w:cs="GHEA Grapalat"/>
        </w:rPr>
        <w:t xml:space="preserve">in the tradable sector of the economy. </w:t>
      </w:r>
      <w:r w:rsidR="00467085" w:rsidRPr="000F21D1">
        <w:rPr>
          <w:rFonts w:ascii="Garamond" w:hAnsi="Garamond" w:cs="GHEA Grapalat"/>
        </w:rPr>
        <w:t xml:space="preserve">On the back of high export growth registered in the first half and expected investments there, the export forecast has again been adjusted upside – to higher growth. </w:t>
      </w:r>
      <w:r w:rsidR="00D63327" w:rsidRPr="000F21D1">
        <w:rPr>
          <w:rFonts w:ascii="Garamond" w:hAnsi="Garamond" w:cs="GHEA Grapalat"/>
        </w:rPr>
        <w:t xml:space="preserve">Thus, in 2016 the real growth of export of goods and services is projected in the range of </w:t>
      </w:r>
      <w:r w:rsidR="00467085" w:rsidRPr="000F21D1">
        <w:rPr>
          <w:rFonts w:ascii="Garamond" w:hAnsi="Garamond" w:cs="GHEA Grapalat"/>
        </w:rPr>
        <w:t>11</w:t>
      </w:r>
      <w:r w:rsidR="00D63327" w:rsidRPr="000F21D1">
        <w:rPr>
          <w:rFonts w:ascii="Garamond" w:hAnsi="Garamond" w:cs="GHEA Grapalat"/>
        </w:rPr>
        <w:t>.0-1</w:t>
      </w:r>
      <w:r w:rsidR="00467085" w:rsidRPr="000F21D1">
        <w:rPr>
          <w:rFonts w:ascii="Garamond" w:hAnsi="Garamond" w:cs="GHEA Grapalat"/>
        </w:rPr>
        <w:t>3</w:t>
      </w:r>
      <w:r w:rsidR="00D63327" w:rsidRPr="000F21D1">
        <w:rPr>
          <w:rFonts w:ascii="Garamond" w:hAnsi="Garamond" w:cs="GHEA Grapalat"/>
        </w:rPr>
        <w:t>.0%, wh</w:t>
      </w:r>
      <w:r w:rsidR="00467085" w:rsidRPr="000F21D1">
        <w:rPr>
          <w:rFonts w:ascii="Garamond" w:hAnsi="Garamond" w:cs="GHEA Grapalat"/>
        </w:rPr>
        <w:t>ereas</w:t>
      </w:r>
      <w:r w:rsidR="00D63327" w:rsidRPr="000F21D1">
        <w:rPr>
          <w:rFonts w:ascii="Garamond" w:hAnsi="Garamond" w:cs="GHEA Grapalat"/>
        </w:rPr>
        <w:t xml:space="preserve"> the </w:t>
      </w:r>
      <w:r w:rsidR="00467085" w:rsidRPr="000F21D1">
        <w:rPr>
          <w:rFonts w:ascii="Garamond" w:hAnsi="Garamond" w:cs="GHEA Grapalat"/>
        </w:rPr>
        <w:t>r</w:t>
      </w:r>
      <w:r w:rsidR="00D63327" w:rsidRPr="000F21D1">
        <w:rPr>
          <w:rFonts w:ascii="Garamond" w:hAnsi="Garamond" w:cs="GHEA Grapalat"/>
        </w:rPr>
        <w:t xml:space="preserve">eal import of goods and services will </w:t>
      </w:r>
      <w:r w:rsidR="00467085" w:rsidRPr="000F21D1">
        <w:rPr>
          <w:rFonts w:ascii="Garamond" w:hAnsi="Garamond" w:cs="GHEA Grapalat"/>
        </w:rPr>
        <w:t xml:space="preserve">contract </w:t>
      </w:r>
      <w:r w:rsidR="004B722B" w:rsidRPr="000F21D1">
        <w:rPr>
          <w:rFonts w:ascii="Garamond" w:hAnsi="Garamond" w:cs="GHEA Grapalat"/>
        </w:rPr>
        <w:t>by 1</w:t>
      </w:r>
      <w:r w:rsidR="00D63327" w:rsidRPr="000F21D1">
        <w:rPr>
          <w:rFonts w:ascii="Garamond" w:hAnsi="Garamond" w:cs="GHEA Grapalat"/>
        </w:rPr>
        <w:t>.</w:t>
      </w:r>
      <w:r w:rsidR="004B722B" w:rsidRPr="000F21D1">
        <w:rPr>
          <w:rFonts w:ascii="Garamond" w:hAnsi="Garamond" w:cs="GHEA Grapalat"/>
        </w:rPr>
        <w:t>5</w:t>
      </w:r>
      <w:r w:rsidR="00D63327" w:rsidRPr="000F21D1">
        <w:rPr>
          <w:rFonts w:ascii="Garamond" w:hAnsi="Garamond" w:cs="GHEA Grapalat"/>
        </w:rPr>
        <w:t>-</w:t>
      </w:r>
      <w:r w:rsidR="004B722B" w:rsidRPr="000F21D1">
        <w:rPr>
          <w:rFonts w:ascii="Garamond" w:hAnsi="Garamond" w:cs="GHEA Grapalat"/>
        </w:rPr>
        <w:t>3</w:t>
      </w:r>
      <w:r w:rsidR="00D63327" w:rsidRPr="000F21D1">
        <w:rPr>
          <w:rFonts w:ascii="Garamond" w:hAnsi="Garamond" w:cs="GHEA Grapalat"/>
        </w:rPr>
        <w:t>.</w:t>
      </w:r>
      <w:r w:rsidR="004B722B" w:rsidRPr="000F21D1">
        <w:rPr>
          <w:rFonts w:ascii="Garamond" w:hAnsi="Garamond" w:cs="GHEA Grapalat"/>
        </w:rPr>
        <w:t>5</w:t>
      </w:r>
      <w:r w:rsidR="00D63327" w:rsidRPr="000F21D1">
        <w:rPr>
          <w:rFonts w:ascii="Garamond" w:hAnsi="Garamond" w:cs="GHEA Grapalat"/>
        </w:rPr>
        <w:t>%</w:t>
      </w:r>
      <w:r w:rsidR="004B722B" w:rsidRPr="000F21D1">
        <w:rPr>
          <w:rFonts w:ascii="Garamond" w:hAnsi="Garamond" w:cs="GHEA Grapalat"/>
        </w:rPr>
        <w:t xml:space="preserve"> </w:t>
      </w:r>
      <w:r w:rsidR="0057315C" w:rsidRPr="000F21D1">
        <w:rPr>
          <w:rFonts w:ascii="Garamond" w:hAnsi="Garamond"/>
        </w:rPr>
        <w:t>(see details in subsection “Current account” of section “2.2</w:t>
      </w:r>
      <w:r w:rsidR="00A56248" w:rsidRPr="000F21D1">
        <w:rPr>
          <w:rFonts w:ascii="Garamond" w:hAnsi="Garamond"/>
        </w:rPr>
        <w:t>.</w:t>
      </w:r>
      <w:r w:rsidR="0057315C" w:rsidRPr="000F21D1">
        <w:rPr>
          <w:rFonts w:ascii="Garamond" w:hAnsi="Garamond"/>
        </w:rPr>
        <w:t xml:space="preserve"> Aggregate supply and aggregate demand”). </w:t>
      </w:r>
      <w:r w:rsidRPr="000F21D1">
        <w:rPr>
          <w:rFonts w:ascii="Garamond" w:hAnsi="Garamond"/>
          <w:iCs/>
        </w:rPr>
        <w:t xml:space="preserve">In view of these developments, the </w:t>
      </w:r>
      <w:r w:rsidRPr="000F21D1">
        <w:rPr>
          <w:rFonts w:ascii="Garamond" w:hAnsi="Garamond"/>
          <w:b/>
          <w:iCs/>
        </w:rPr>
        <w:t xml:space="preserve">2016 economic growth is estimated in the range of </w:t>
      </w:r>
      <w:r w:rsidR="00F61806" w:rsidRPr="000F21D1">
        <w:rPr>
          <w:rFonts w:ascii="Garamond" w:hAnsi="Garamond"/>
          <w:b/>
          <w:iCs/>
        </w:rPr>
        <w:t>2</w:t>
      </w:r>
      <w:r w:rsidRPr="000F21D1">
        <w:rPr>
          <w:rFonts w:ascii="Garamond" w:hAnsi="Garamond"/>
          <w:b/>
          <w:iCs/>
        </w:rPr>
        <w:t>.</w:t>
      </w:r>
      <w:r w:rsidR="0057315C" w:rsidRPr="000F21D1">
        <w:rPr>
          <w:rFonts w:ascii="Garamond" w:hAnsi="Garamond"/>
          <w:b/>
          <w:iCs/>
        </w:rPr>
        <w:t>8</w:t>
      </w:r>
      <w:r w:rsidRPr="000F21D1">
        <w:rPr>
          <w:rFonts w:ascii="Garamond" w:hAnsi="Garamond"/>
          <w:b/>
          <w:iCs/>
        </w:rPr>
        <w:t>-</w:t>
      </w:r>
      <w:r w:rsidR="00F61806" w:rsidRPr="000F21D1">
        <w:rPr>
          <w:rFonts w:ascii="Garamond" w:hAnsi="Garamond"/>
          <w:b/>
          <w:iCs/>
        </w:rPr>
        <w:t>3</w:t>
      </w:r>
      <w:r w:rsidRPr="000F21D1">
        <w:rPr>
          <w:rFonts w:ascii="Garamond" w:hAnsi="Garamond"/>
          <w:b/>
          <w:iCs/>
        </w:rPr>
        <w:t>.</w:t>
      </w:r>
      <w:r w:rsidR="0057315C" w:rsidRPr="000F21D1">
        <w:rPr>
          <w:rFonts w:ascii="Garamond" w:hAnsi="Garamond"/>
          <w:b/>
          <w:iCs/>
        </w:rPr>
        <w:t>4</w:t>
      </w:r>
      <w:r w:rsidRPr="000F21D1">
        <w:rPr>
          <w:rFonts w:ascii="Garamond" w:hAnsi="Garamond"/>
          <w:b/>
          <w:iCs/>
        </w:rPr>
        <w:t>%</w:t>
      </w:r>
      <w:r w:rsidRPr="000F21D1">
        <w:rPr>
          <w:rFonts w:ascii="Garamond" w:hAnsi="Garamond"/>
          <w:iCs/>
        </w:rPr>
        <w:t>.</w:t>
      </w:r>
    </w:p>
    <w:p w14:paraId="2E642EB9" w14:textId="77777777" w:rsidR="00C278BD" w:rsidRPr="000F21D1" w:rsidRDefault="00C278BD" w:rsidP="00B117C8">
      <w:pPr>
        <w:spacing w:line="360" w:lineRule="auto"/>
        <w:jc w:val="both"/>
        <w:rPr>
          <w:rFonts w:ascii="Garamond" w:hAnsi="Garamond"/>
          <w:iCs/>
        </w:rPr>
      </w:pPr>
    </w:p>
    <w:p w14:paraId="54613364" w14:textId="77777777" w:rsidR="00C278BD" w:rsidRPr="000F21D1" w:rsidRDefault="00412CA9" w:rsidP="00B117C8">
      <w:pPr>
        <w:spacing w:line="360" w:lineRule="auto"/>
        <w:jc w:val="both"/>
        <w:rPr>
          <w:rFonts w:ascii="Garamond" w:hAnsi="Garamond" w:cs="GHEA Grapalat"/>
        </w:rPr>
      </w:pPr>
      <w:r w:rsidRPr="000F21D1">
        <w:rPr>
          <w:rFonts w:ascii="Garamond" w:hAnsi="Garamond" w:cs="GHEA Grapalat"/>
          <w:b/>
        </w:rPr>
        <w:t xml:space="preserve">In </w:t>
      </w:r>
      <w:r w:rsidR="00C278BD" w:rsidRPr="000F21D1">
        <w:rPr>
          <w:rFonts w:ascii="Garamond" w:hAnsi="Garamond" w:cs="GHEA Grapalat"/>
          <w:b/>
        </w:rPr>
        <w:t>2017 the economic growth rates will speed up</w:t>
      </w:r>
      <w:r w:rsidR="00C278BD" w:rsidRPr="000F21D1">
        <w:rPr>
          <w:rFonts w:ascii="Garamond" w:hAnsi="Garamond" w:cs="GHEA Grapalat"/>
        </w:rPr>
        <w:t>,</w:t>
      </w:r>
      <w:r w:rsidR="00E87661" w:rsidRPr="000F21D1">
        <w:rPr>
          <w:rFonts w:ascii="Garamond" w:hAnsi="Garamond" w:cs="GHEA Grapalat"/>
          <w:lang w:val="hy-AM"/>
        </w:rPr>
        <w:t xml:space="preserve"> </w:t>
      </w:r>
      <w:r w:rsidRPr="000F21D1">
        <w:rPr>
          <w:rFonts w:ascii="Garamond" w:hAnsi="Garamond" w:cs="GHEA Grapalat"/>
        </w:rPr>
        <w:t>bearing</w:t>
      </w:r>
      <w:r w:rsidR="00C278BD" w:rsidRPr="000F21D1">
        <w:rPr>
          <w:rFonts w:ascii="Garamond" w:hAnsi="Garamond" w:cs="GHEA Grapalat"/>
        </w:rPr>
        <w:t xml:space="preserve"> the influence of effective implementation of the Government program</w:t>
      </w:r>
      <w:r w:rsidR="00CD441A" w:rsidRPr="000F21D1">
        <w:rPr>
          <w:rFonts w:ascii="Garamond" w:hAnsi="Garamond" w:cs="GHEA Grapalat"/>
        </w:rPr>
        <w:t>,</w:t>
      </w:r>
      <w:r w:rsidR="00C278BD" w:rsidRPr="000F21D1">
        <w:rPr>
          <w:rFonts w:ascii="Garamond" w:hAnsi="Garamond" w:cs="GHEA Grapalat"/>
        </w:rPr>
        <w:t xml:space="preserve"> steered to </w:t>
      </w:r>
      <w:r w:rsidRPr="000F21D1">
        <w:rPr>
          <w:rFonts w:ascii="Garamond" w:hAnsi="Garamond" w:cs="GHEA Grapalat"/>
        </w:rPr>
        <w:t>gradual recovery of domestic demand</w:t>
      </w:r>
      <w:r w:rsidR="00CD441A" w:rsidRPr="000F21D1">
        <w:rPr>
          <w:rFonts w:ascii="Garamond" w:hAnsi="Garamond" w:cs="GHEA Grapalat"/>
        </w:rPr>
        <w:t xml:space="preserve"> and</w:t>
      </w:r>
      <w:r w:rsidRPr="000F21D1">
        <w:rPr>
          <w:rFonts w:ascii="Garamond" w:hAnsi="Garamond" w:cs="GHEA Grapalat"/>
        </w:rPr>
        <w:t xml:space="preserve"> </w:t>
      </w:r>
      <w:r w:rsidR="00C278BD" w:rsidRPr="000F21D1">
        <w:rPr>
          <w:rFonts w:ascii="Garamond" w:hAnsi="Garamond" w:cs="GHEA Grapalat"/>
        </w:rPr>
        <w:t>e</w:t>
      </w:r>
      <w:r w:rsidR="00CD441A" w:rsidRPr="000F21D1">
        <w:rPr>
          <w:rFonts w:ascii="Garamond" w:hAnsi="Garamond" w:cs="GHEA Grapalat"/>
        </w:rPr>
        <w:t xml:space="preserve">xport and investment promotion, and the influence of continued </w:t>
      </w:r>
      <w:r w:rsidR="00C278BD" w:rsidRPr="000F21D1">
        <w:rPr>
          <w:rFonts w:ascii="Garamond" w:hAnsi="Garamond" w:cs="GHEA Grapalat"/>
        </w:rPr>
        <w:t>improvement in external economic environment and structural reforms.</w:t>
      </w:r>
      <w:r w:rsidR="00E87661" w:rsidRPr="000F21D1">
        <w:rPr>
          <w:rFonts w:ascii="Garamond" w:hAnsi="Garamond" w:cs="GHEA Grapalat"/>
          <w:lang w:val="hy-AM"/>
        </w:rPr>
        <w:t xml:space="preserve"> </w:t>
      </w:r>
      <w:r w:rsidR="00C278BD" w:rsidRPr="000F21D1">
        <w:rPr>
          <w:rFonts w:ascii="Garamond" w:hAnsi="Garamond" w:cs="GHEA Grapalat"/>
        </w:rPr>
        <w:t xml:space="preserve">Driven by these developments, it is expected that </w:t>
      </w:r>
      <w:r w:rsidR="00C278BD" w:rsidRPr="000F21D1">
        <w:rPr>
          <w:rFonts w:ascii="Garamond" w:hAnsi="Garamond" w:cs="GHEA Grapalat"/>
          <w:b/>
        </w:rPr>
        <w:t>economic growth at the end of the forecast horizon will be within 3.0-4.5%</w:t>
      </w:r>
      <w:r w:rsidR="00C278BD" w:rsidRPr="000F21D1">
        <w:rPr>
          <w:rFonts w:ascii="Garamond" w:hAnsi="Garamond" w:cs="GHEA Grapalat"/>
        </w:rPr>
        <w:t>.</w:t>
      </w:r>
    </w:p>
    <w:p w14:paraId="2FFD6868" w14:textId="77777777" w:rsidR="00DE5AD8" w:rsidRPr="000F21D1" w:rsidRDefault="00DE5AD8" w:rsidP="00B117C8">
      <w:pPr>
        <w:spacing w:line="360" w:lineRule="auto"/>
        <w:jc w:val="both"/>
        <w:rPr>
          <w:rFonts w:ascii="Garamond" w:hAnsi="Garamond" w:cs="GHEA Grapalat"/>
        </w:rPr>
      </w:pPr>
    </w:p>
    <w:p w14:paraId="279B38E5" w14:textId="77777777" w:rsidR="00DE5AD8" w:rsidRPr="000F21D1" w:rsidRDefault="00DE5AD8" w:rsidP="00B117C8">
      <w:pPr>
        <w:spacing w:line="360" w:lineRule="auto"/>
        <w:jc w:val="both"/>
        <w:rPr>
          <w:rFonts w:ascii="Garamond" w:hAnsi="Garamond" w:cs="GHEA Grapalat"/>
        </w:rPr>
      </w:pPr>
      <w:r w:rsidRPr="000F21D1">
        <w:rPr>
          <w:rFonts w:ascii="Garamond" w:hAnsi="Garamond"/>
        </w:rPr>
        <w:t xml:space="preserve">Thus, </w:t>
      </w:r>
      <w:r w:rsidRPr="000F21D1">
        <w:rPr>
          <w:rFonts w:ascii="Garamond" w:hAnsi="Garamond"/>
          <w:b/>
        </w:rPr>
        <w:t>in the forecast horizon</w:t>
      </w:r>
      <w:r w:rsidR="00CD441A" w:rsidRPr="000F21D1">
        <w:rPr>
          <w:rFonts w:ascii="Garamond" w:hAnsi="Garamond"/>
          <w:b/>
        </w:rPr>
        <w:t xml:space="preserve">, </w:t>
      </w:r>
      <w:r w:rsidR="00CD441A" w:rsidRPr="000F21D1">
        <w:rPr>
          <w:rFonts w:ascii="Garamond" w:hAnsi="Garamond" w:cs="GHEA Grapalat"/>
          <w:b/>
        </w:rPr>
        <w:t xml:space="preserve">up until the fourth quarter of 2017, </w:t>
      </w:r>
      <w:r w:rsidR="00CD441A" w:rsidRPr="000F21D1">
        <w:rPr>
          <w:rFonts w:ascii="Garamond" w:hAnsi="Garamond"/>
          <w:b/>
        </w:rPr>
        <w:t>the</w:t>
      </w:r>
      <w:r w:rsidRPr="000F21D1">
        <w:rPr>
          <w:rFonts w:ascii="Garamond" w:hAnsi="Garamond" w:cs="GHEA Grapalat"/>
          <w:b/>
        </w:rPr>
        <w:t xml:space="preserve"> impact of aggregate demand on domestic prices will be deflationary; then it will grow into inflationary </w:t>
      </w:r>
      <w:r w:rsidR="00A3265C" w:rsidRPr="000F21D1">
        <w:rPr>
          <w:rFonts w:ascii="Garamond" w:hAnsi="Garamond" w:cs="GHEA Grapalat"/>
          <w:b/>
        </w:rPr>
        <w:t>by</w:t>
      </w:r>
      <w:r w:rsidRPr="000F21D1">
        <w:rPr>
          <w:rFonts w:ascii="Garamond" w:hAnsi="Garamond" w:cs="GHEA Grapalat"/>
          <w:b/>
        </w:rPr>
        <w:t xml:space="preserve"> the end of the horizon</w:t>
      </w:r>
      <w:r w:rsidRPr="000F21D1">
        <w:rPr>
          <w:rFonts w:ascii="Garamond" w:hAnsi="Garamond" w:cs="GHEA Grapalat"/>
        </w:rPr>
        <w:t>.</w:t>
      </w:r>
    </w:p>
    <w:p w14:paraId="08E27E3D" w14:textId="77777777" w:rsidR="00193B82" w:rsidRPr="000F21D1" w:rsidRDefault="00193B82" w:rsidP="00B117C8">
      <w:pPr>
        <w:spacing w:line="360" w:lineRule="auto"/>
        <w:jc w:val="both"/>
        <w:rPr>
          <w:rFonts w:ascii="Garamond" w:hAnsi="Garamond" w:cs="GHEA Grapalat"/>
        </w:rPr>
      </w:pPr>
    </w:p>
    <w:p w14:paraId="7411A3DA" w14:textId="77777777" w:rsidR="00193B82" w:rsidRPr="000F21D1" w:rsidRDefault="00290C7F" w:rsidP="00B117C8">
      <w:pPr>
        <w:spacing w:line="360" w:lineRule="auto"/>
        <w:jc w:val="both"/>
        <w:rPr>
          <w:rFonts w:ascii="Garamond" w:hAnsi="Garamond"/>
        </w:rPr>
      </w:pPr>
      <w:r w:rsidRPr="000F21D1">
        <w:rPr>
          <w:rFonts w:ascii="Garamond" w:hAnsi="Garamond" w:cs="GHEA Grapalat"/>
        </w:rPr>
        <w:t>There was 1.4% deflation i</w:t>
      </w:r>
      <w:r w:rsidR="00193B82" w:rsidRPr="000F21D1">
        <w:rPr>
          <w:rFonts w:ascii="Garamond" w:hAnsi="Garamond" w:cs="GHEA Grapalat"/>
        </w:rPr>
        <w:t xml:space="preserve">n the </w:t>
      </w:r>
      <w:r w:rsidRPr="000F21D1">
        <w:rPr>
          <w:rFonts w:ascii="Garamond" w:hAnsi="Garamond" w:cs="GHEA Grapalat"/>
        </w:rPr>
        <w:t>second</w:t>
      </w:r>
      <w:r w:rsidR="00193B82" w:rsidRPr="000F21D1">
        <w:rPr>
          <w:rFonts w:ascii="Garamond" w:hAnsi="Garamond" w:cs="GHEA Grapalat"/>
        </w:rPr>
        <w:t xml:space="preserve"> quarter of 2016</w:t>
      </w:r>
      <w:r w:rsidRPr="000F21D1">
        <w:rPr>
          <w:rFonts w:ascii="Garamond" w:hAnsi="Garamond" w:cs="GHEA Grapalat"/>
        </w:rPr>
        <w:t xml:space="preserve"> compared to 2.3% recorded in the same period of the previous year,</w:t>
      </w:r>
      <w:r w:rsidR="00193B82" w:rsidRPr="000F21D1">
        <w:rPr>
          <w:rFonts w:ascii="Garamond" w:hAnsi="Garamond" w:cs="GHEA Grapalat"/>
        </w:rPr>
        <w:t xml:space="preserve"> </w:t>
      </w:r>
      <w:r w:rsidRPr="000F21D1">
        <w:rPr>
          <w:rFonts w:ascii="Garamond" w:hAnsi="Garamond" w:cs="GHEA Grapalat"/>
        </w:rPr>
        <w:t xml:space="preserve">in which case </w:t>
      </w:r>
      <w:r w:rsidR="00193B82" w:rsidRPr="000F21D1">
        <w:rPr>
          <w:rFonts w:ascii="Garamond" w:hAnsi="Garamond" w:cs="GHEA Grapalat"/>
        </w:rPr>
        <w:t xml:space="preserve">the </w:t>
      </w:r>
      <w:r w:rsidR="00193B82" w:rsidRPr="000F21D1">
        <w:rPr>
          <w:rFonts w:ascii="Garamond" w:hAnsi="Garamond" w:cs="GHEA Grapalat"/>
          <w:b/>
        </w:rPr>
        <w:t>12-month inflation rate</w:t>
      </w:r>
      <w:r w:rsidR="00193B82" w:rsidRPr="000F21D1">
        <w:rPr>
          <w:rFonts w:ascii="Garamond" w:hAnsi="Garamond" w:cs="GHEA Grapalat"/>
        </w:rPr>
        <w:t xml:space="preserve"> reached </w:t>
      </w:r>
      <w:r w:rsidRPr="000F21D1">
        <w:rPr>
          <w:rFonts w:ascii="Garamond" w:hAnsi="Garamond" w:cs="GHEA Grapalat"/>
          <w:b/>
        </w:rPr>
        <w:t>-1</w:t>
      </w:r>
      <w:r w:rsidR="00193B82" w:rsidRPr="000F21D1">
        <w:rPr>
          <w:rFonts w:ascii="Garamond" w:hAnsi="Garamond" w:cs="GHEA Grapalat"/>
          <w:b/>
        </w:rPr>
        <w:t>.</w:t>
      </w:r>
      <w:r w:rsidRPr="000F21D1">
        <w:rPr>
          <w:rFonts w:ascii="Garamond" w:hAnsi="Garamond" w:cs="GHEA Grapalat"/>
          <w:b/>
        </w:rPr>
        <w:t>1</w:t>
      </w:r>
      <w:r w:rsidR="00193B82" w:rsidRPr="000F21D1">
        <w:rPr>
          <w:rFonts w:ascii="Garamond" w:hAnsi="Garamond" w:cs="GHEA Grapalat"/>
          <w:b/>
        </w:rPr>
        <w:t>%</w:t>
      </w:r>
      <w:r w:rsidR="00193B82" w:rsidRPr="000F21D1">
        <w:rPr>
          <w:rFonts w:ascii="Garamond" w:hAnsi="Garamond" w:cs="GHEA Grapalat"/>
        </w:rPr>
        <w:t xml:space="preserve"> at the end of </w:t>
      </w:r>
      <w:r w:rsidRPr="000F21D1">
        <w:rPr>
          <w:rFonts w:ascii="Garamond" w:hAnsi="Garamond" w:cs="GHEA Grapalat"/>
        </w:rPr>
        <w:t>June</w:t>
      </w:r>
      <w:r w:rsidR="00193B82" w:rsidRPr="000F21D1">
        <w:rPr>
          <w:rFonts w:ascii="Garamond" w:hAnsi="Garamond" w:cs="GHEA Grapalat"/>
        </w:rPr>
        <w:t xml:space="preserve">. </w:t>
      </w:r>
      <w:r w:rsidR="00E41FE2" w:rsidRPr="000F21D1">
        <w:rPr>
          <w:rFonts w:ascii="Garamond" w:hAnsi="Garamond" w:cs="GHEA Grapalat"/>
        </w:rPr>
        <w:t xml:space="preserve">In view of the inflation environment that will still be persisting at a low level in the upcoming months and inflation expectations further mitigating, the CBA continued to loosen monetary </w:t>
      </w:r>
      <w:r w:rsidR="00E41FE2" w:rsidRPr="000F21D1">
        <w:rPr>
          <w:rFonts w:ascii="Garamond" w:hAnsi="Garamond" w:cs="GHEA Grapalat"/>
        </w:rPr>
        <w:lastRenderedPageBreak/>
        <w:t xml:space="preserve">conditions in the second quarter: the refinancing rate was lowered by a total of 0.75 pp to 7.5% in late June </w:t>
      </w:r>
      <w:r w:rsidR="00E41FE2" w:rsidRPr="000F21D1">
        <w:rPr>
          <w:rFonts w:ascii="Garamond" w:hAnsi="Garamond"/>
        </w:rPr>
        <w:t>(see details in section “3.1.1</w:t>
      </w:r>
      <w:r w:rsidR="00A56248" w:rsidRPr="000F21D1">
        <w:rPr>
          <w:rFonts w:ascii="Garamond" w:hAnsi="Garamond"/>
        </w:rPr>
        <w:t>.</w:t>
      </w:r>
      <w:r w:rsidR="00E41FE2" w:rsidRPr="000F21D1">
        <w:rPr>
          <w:rFonts w:ascii="Garamond" w:hAnsi="Garamond"/>
        </w:rPr>
        <w:t xml:space="preserve"> Actual inflation and fulfillment of the inflation target”).</w:t>
      </w:r>
      <w:r w:rsidR="00E41FE2" w:rsidRPr="000F21D1">
        <w:rPr>
          <w:rFonts w:ascii="Garamond" w:hAnsi="Garamond" w:cs="GHEA Grapalat"/>
        </w:rPr>
        <w:t xml:space="preserve"> </w:t>
      </w:r>
    </w:p>
    <w:p w14:paraId="63C7DD27" w14:textId="77777777" w:rsidR="008C57FB" w:rsidRPr="000F21D1" w:rsidRDefault="008C57FB" w:rsidP="00B117C8">
      <w:pPr>
        <w:spacing w:line="360" w:lineRule="auto"/>
        <w:jc w:val="both"/>
        <w:rPr>
          <w:rFonts w:ascii="Garamond" w:hAnsi="Garamond"/>
        </w:rPr>
      </w:pPr>
    </w:p>
    <w:p w14:paraId="057BFDDC" w14:textId="77777777" w:rsidR="008C57FB" w:rsidRPr="000F21D1" w:rsidRDefault="008B4B41" w:rsidP="00B117C8">
      <w:pPr>
        <w:spacing w:line="360" w:lineRule="auto"/>
        <w:jc w:val="both"/>
        <w:rPr>
          <w:rFonts w:ascii="Garamond" w:hAnsi="Garamond"/>
        </w:rPr>
      </w:pPr>
      <w:r w:rsidRPr="000F21D1">
        <w:rPr>
          <w:rFonts w:ascii="Garamond" w:hAnsi="Garamond"/>
          <w:b/>
        </w:rPr>
        <w:t>Consistent with s</w:t>
      </w:r>
      <w:r w:rsidR="008C57FB" w:rsidRPr="000F21D1">
        <w:rPr>
          <w:rFonts w:ascii="Garamond" w:hAnsi="Garamond"/>
          <w:b/>
        </w:rPr>
        <w:t xml:space="preserve">hort-term forecasts of </w:t>
      </w:r>
      <w:r w:rsidRPr="000F21D1">
        <w:rPr>
          <w:rFonts w:ascii="Garamond" w:hAnsi="Garamond"/>
          <w:b/>
        </w:rPr>
        <w:t>the CBA</w:t>
      </w:r>
      <w:r w:rsidRPr="000F21D1">
        <w:rPr>
          <w:rFonts w:ascii="Garamond" w:hAnsi="Garamond"/>
        </w:rPr>
        <w:t>,</w:t>
      </w:r>
      <w:r w:rsidRPr="000F21D1">
        <w:rPr>
          <w:rFonts w:ascii="Garamond" w:hAnsi="Garamond"/>
          <w:b/>
        </w:rPr>
        <w:t xml:space="preserve"> </w:t>
      </w:r>
      <w:r w:rsidRPr="000F21D1">
        <w:rPr>
          <w:rFonts w:ascii="Garamond" w:hAnsi="Garamond"/>
        </w:rPr>
        <w:t xml:space="preserve">in </w:t>
      </w:r>
      <w:r w:rsidR="003F0BDB" w:rsidRPr="000F21D1">
        <w:rPr>
          <w:rFonts w:ascii="Garamond" w:hAnsi="Garamond"/>
        </w:rPr>
        <w:t>consider</w:t>
      </w:r>
      <w:r w:rsidRPr="000F21D1">
        <w:rPr>
          <w:rFonts w:ascii="Garamond" w:hAnsi="Garamond"/>
        </w:rPr>
        <w:t>ation of</w:t>
      </w:r>
      <w:r w:rsidR="008C57FB" w:rsidRPr="000F21D1">
        <w:rPr>
          <w:rFonts w:ascii="Garamond" w:hAnsi="Garamond"/>
        </w:rPr>
        <w:t xml:space="preserve"> th</w:t>
      </w:r>
      <w:r w:rsidR="003F0BDB" w:rsidRPr="000F21D1">
        <w:rPr>
          <w:rFonts w:ascii="Garamond" w:hAnsi="Garamond"/>
        </w:rPr>
        <w:t>e</w:t>
      </w:r>
      <w:r w:rsidR="008C57FB" w:rsidRPr="000F21D1">
        <w:rPr>
          <w:rFonts w:ascii="Garamond" w:hAnsi="Garamond"/>
        </w:rPr>
        <w:t xml:space="preserve"> </w:t>
      </w:r>
      <w:r w:rsidR="003F0BDB" w:rsidRPr="000F21D1">
        <w:rPr>
          <w:rFonts w:ascii="Garamond" w:hAnsi="Garamond"/>
        </w:rPr>
        <w:t xml:space="preserve">international commodity markets’ </w:t>
      </w:r>
      <w:r w:rsidR="008C57FB" w:rsidRPr="000F21D1">
        <w:rPr>
          <w:rFonts w:ascii="Garamond" w:hAnsi="Garamond"/>
        </w:rPr>
        <w:t xml:space="preserve">deflationary impact </w:t>
      </w:r>
      <w:r w:rsidR="003F0BDB" w:rsidRPr="000F21D1">
        <w:rPr>
          <w:rFonts w:ascii="Garamond" w:hAnsi="Garamond"/>
        </w:rPr>
        <w:t xml:space="preserve">still </w:t>
      </w:r>
      <w:r w:rsidR="008C57FB" w:rsidRPr="000F21D1">
        <w:rPr>
          <w:rFonts w:ascii="Garamond" w:hAnsi="Garamond"/>
        </w:rPr>
        <w:t>transmitting on to the domestic prices</w:t>
      </w:r>
      <w:r w:rsidR="003F0BDB" w:rsidRPr="000F21D1">
        <w:rPr>
          <w:rFonts w:ascii="Garamond" w:hAnsi="Garamond"/>
        </w:rPr>
        <w:t>, and a persistently weak domestic demand</w:t>
      </w:r>
      <w:r w:rsidR="002F4EEA" w:rsidRPr="000F21D1">
        <w:rPr>
          <w:rFonts w:ascii="Garamond" w:hAnsi="Garamond"/>
        </w:rPr>
        <w:t>, the forecasts of core inflation were revised downside</w:t>
      </w:r>
      <w:r w:rsidRPr="000F21D1">
        <w:rPr>
          <w:rFonts w:ascii="Garamond" w:hAnsi="Garamond"/>
        </w:rPr>
        <w:t>.</w:t>
      </w:r>
      <w:r w:rsidR="006F4F16" w:rsidRPr="000F21D1">
        <w:rPr>
          <w:rFonts w:ascii="Garamond" w:hAnsi="Garamond"/>
        </w:rPr>
        <w:t xml:space="preserve"> </w:t>
      </w:r>
      <w:r w:rsidRPr="000F21D1">
        <w:rPr>
          <w:rFonts w:ascii="Garamond" w:hAnsi="Garamond"/>
        </w:rPr>
        <w:t>There is however anticipation that re</w:t>
      </w:r>
      <w:r w:rsidR="006F4F16" w:rsidRPr="000F21D1">
        <w:rPr>
          <w:rFonts w:ascii="Garamond" w:hAnsi="Garamond"/>
        </w:rPr>
        <w:t xml:space="preserve">gulated service tariffs </w:t>
      </w:r>
      <w:r w:rsidR="00B95189" w:rsidRPr="000F21D1">
        <w:rPr>
          <w:rFonts w:ascii="Garamond" w:hAnsi="Garamond"/>
        </w:rPr>
        <w:t>would increase to some extent</w:t>
      </w:r>
      <w:r w:rsidR="009D41D9" w:rsidRPr="000F21D1">
        <w:rPr>
          <w:rFonts w:ascii="Garamond" w:hAnsi="Garamond"/>
        </w:rPr>
        <w:t>,</w:t>
      </w:r>
      <w:r w:rsidR="00B95189" w:rsidRPr="000F21D1">
        <w:rPr>
          <w:rFonts w:ascii="Garamond" w:hAnsi="Garamond"/>
        </w:rPr>
        <w:t xml:space="preserve"> </w:t>
      </w:r>
      <w:r w:rsidR="00746CFB" w:rsidRPr="000F21D1">
        <w:rPr>
          <w:rFonts w:ascii="Garamond" w:hAnsi="Garamond"/>
        </w:rPr>
        <w:t xml:space="preserve">as </w:t>
      </w:r>
      <w:r w:rsidR="009D685F" w:rsidRPr="000F21D1">
        <w:rPr>
          <w:rFonts w:ascii="Garamond" w:hAnsi="Garamond"/>
        </w:rPr>
        <w:t xml:space="preserve">subsidizing of </w:t>
      </w:r>
      <w:r w:rsidR="00B95189" w:rsidRPr="000F21D1">
        <w:rPr>
          <w:rFonts w:ascii="Garamond" w:hAnsi="Garamond"/>
        </w:rPr>
        <w:t xml:space="preserve">electricity price </w:t>
      </w:r>
      <w:r w:rsidR="009D685F" w:rsidRPr="000F21D1">
        <w:rPr>
          <w:rFonts w:ascii="Garamond" w:hAnsi="Garamond"/>
        </w:rPr>
        <w:t>by the Government and “Electric Networks of Armenia” CJSC</w:t>
      </w:r>
      <w:r w:rsidR="00746CFB" w:rsidRPr="000F21D1">
        <w:rPr>
          <w:rFonts w:ascii="Garamond" w:hAnsi="Garamond"/>
        </w:rPr>
        <w:t xml:space="preserve"> in benefit for</w:t>
      </w:r>
      <w:r w:rsidR="009D685F" w:rsidRPr="000F21D1">
        <w:rPr>
          <w:rFonts w:ascii="Garamond" w:hAnsi="Garamond"/>
        </w:rPr>
        <w:t xml:space="preserve"> </w:t>
      </w:r>
      <w:r w:rsidR="00746CFB" w:rsidRPr="000F21D1">
        <w:rPr>
          <w:rFonts w:ascii="Garamond" w:hAnsi="Garamond"/>
        </w:rPr>
        <w:t xml:space="preserve">some </w:t>
      </w:r>
      <w:r w:rsidR="00724223" w:rsidRPr="000F21D1">
        <w:rPr>
          <w:rFonts w:ascii="Garamond" w:hAnsi="Garamond"/>
        </w:rPr>
        <w:t xml:space="preserve">households and small businesses </w:t>
      </w:r>
      <w:r w:rsidR="00746CFB" w:rsidRPr="000F21D1">
        <w:rPr>
          <w:rFonts w:ascii="Garamond" w:hAnsi="Garamond"/>
        </w:rPr>
        <w:t xml:space="preserve">ended on August 1, 2016, </w:t>
      </w:r>
      <w:r w:rsidR="006F4F16" w:rsidRPr="000F21D1">
        <w:rPr>
          <w:rFonts w:ascii="Garamond" w:hAnsi="Garamond"/>
        </w:rPr>
        <w:t xml:space="preserve">which </w:t>
      </w:r>
      <w:r w:rsidR="008233C2" w:rsidRPr="000F21D1">
        <w:rPr>
          <w:rFonts w:ascii="Garamond" w:hAnsi="Garamond"/>
        </w:rPr>
        <w:t xml:space="preserve">will be </w:t>
      </w:r>
      <w:r w:rsidR="006F4F16" w:rsidRPr="000F21D1">
        <w:rPr>
          <w:rFonts w:ascii="Garamond" w:hAnsi="Garamond"/>
        </w:rPr>
        <w:t xml:space="preserve">partially offset by reduction of </w:t>
      </w:r>
      <w:r w:rsidR="008233C2" w:rsidRPr="000F21D1">
        <w:rPr>
          <w:rFonts w:ascii="Garamond" w:hAnsi="Garamond"/>
        </w:rPr>
        <w:t xml:space="preserve">the </w:t>
      </w:r>
      <w:r w:rsidR="006F4F16" w:rsidRPr="000F21D1">
        <w:rPr>
          <w:rFonts w:ascii="Garamond" w:hAnsi="Garamond"/>
        </w:rPr>
        <w:t>electricity tariff</w:t>
      </w:r>
      <w:r w:rsidR="008233C2" w:rsidRPr="000F21D1">
        <w:rPr>
          <w:rFonts w:ascii="Garamond" w:hAnsi="Garamond"/>
        </w:rPr>
        <w:t xml:space="preserve"> f</w:t>
      </w:r>
      <w:r w:rsidR="006F4F16" w:rsidRPr="000F21D1">
        <w:rPr>
          <w:rFonts w:ascii="Garamond" w:hAnsi="Garamond"/>
        </w:rPr>
        <w:t xml:space="preserve">or consumers. </w:t>
      </w:r>
      <w:r w:rsidR="005B492E" w:rsidRPr="000F21D1">
        <w:rPr>
          <w:rFonts w:ascii="Garamond" w:hAnsi="Garamond"/>
        </w:rPr>
        <w:t>In view</w:t>
      </w:r>
      <w:r w:rsidR="006F4F16" w:rsidRPr="000F21D1">
        <w:rPr>
          <w:rFonts w:ascii="Garamond" w:hAnsi="Garamond"/>
        </w:rPr>
        <w:t xml:space="preserve"> </w:t>
      </w:r>
      <w:r w:rsidR="009D41D9" w:rsidRPr="000F21D1">
        <w:rPr>
          <w:rFonts w:ascii="Garamond" w:hAnsi="Garamond"/>
        </w:rPr>
        <w:t xml:space="preserve">of </w:t>
      </w:r>
      <w:r w:rsidR="006F4F16" w:rsidRPr="000F21D1">
        <w:rPr>
          <w:rFonts w:ascii="Garamond" w:hAnsi="Garamond"/>
        </w:rPr>
        <w:t>the above developments, the C</w:t>
      </w:r>
      <w:r w:rsidR="005B492E" w:rsidRPr="000F21D1">
        <w:rPr>
          <w:rFonts w:ascii="Garamond" w:hAnsi="Garamond"/>
        </w:rPr>
        <w:t xml:space="preserve">BA </w:t>
      </w:r>
      <w:r w:rsidR="006F4F16" w:rsidRPr="000F21D1">
        <w:rPr>
          <w:rFonts w:ascii="Garamond" w:hAnsi="Garamond"/>
        </w:rPr>
        <w:t xml:space="preserve">estimates that the deflationary environment will be maintained in the third quarter and then </w:t>
      </w:r>
      <w:r w:rsidR="005B492E" w:rsidRPr="000F21D1">
        <w:rPr>
          <w:rFonts w:ascii="Garamond" w:hAnsi="Garamond"/>
        </w:rPr>
        <w:t xml:space="preserve">it will </w:t>
      </w:r>
      <w:r w:rsidR="006F4F16" w:rsidRPr="000F21D1">
        <w:rPr>
          <w:rFonts w:ascii="Garamond" w:hAnsi="Garamond"/>
        </w:rPr>
        <w:t>gradually decrease</w:t>
      </w:r>
      <w:r w:rsidR="005B492E" w:rsidRPr="000F21D1">
        <w:rPr>
          <w:rFonts w:ascii="Garamond" w:hAnsi="Garamond"/>
        </w:rPr>
        <w:t>;</w:t>
      </w:r>
      <w:r w:rsidR="006F4F16" w:rsidRPr="000F21D1">
        <w:rPr>
          <w:rFonts w:ascii="Garamond" w:hAnsi="Garamond"/>
        </w:rPr>
        <w:t xml:space="preserve"> </w:t>
      </w:r>
      <w:r w:rsidR="005B492E" w:rsidRPr="000F21D1">
        <w:rPr>
          <w:rFonts w:ascii="Garamond" w:hAnsi="Garamond"/>
        </w:rPr>
        <w:t>in</w:t>
      </w:r>
      <w:r w:rsidR="006F4F16" w:rsidRPr="000F21D1">
        <w:rPr>
          <w:rFonts w:ascii="Garamond" w:hAnsi="Garamond"/>
        </w:rPr>
        <w:t xml:space="preserve"> the forecast horizon, </w:t>
      </w:r>
      <w:r w:rsidR="005B492E" w:rsidRPr="000F21D1">
        <w:rPr>
          <w:rFonts w:ascii="Garamond" w:hAnsi="Garamond"/>
        </w:rPr>
        <w:t xml:space="preserve">the 12-month </w:t>
      </w:r>
      <w:r w:rsidR="006F4F16" w:rsidRPr="000F21D1">
        <w:rPr>
          <w:rFonts w:ascii="Garamond" w:hAnsi="Garamond"/>
        </w:rPr>
        <w:t xml:space="preserve">inflation </w:t>
      </w:r>
      <w:r w:rsidR="005B492E" w:rsidRPr="000F21D1">
        <w:rPr>
          <w:rFonts w:ascii="Garamond" w:hAnsi="Garamond"/>
        </w:rPr>
        <w:t xml:space="preserve">rate will gradually </w:t>
      </w:r>
      <w:r w:rsidR="006F4F16" w:rsidRPr="000F21D1">
        <w:rPr>
          <w:rFonts w:ascii="Garamond" w:hAnsi="Garamond"/>
        </w:rPr>
        <w:t xml:space="preserve">return to </w:t>
      </w:r>
      <w:r w:rsidR="005B492E" w:rsidRPr="000F21D1">
        <w:rPr>
          <w:rFonts w:ascii="Garamond" w:hAnsi="Garamond"/>
        </w:rPr>
        <w:t>the target</w:t>
      </w:r>
      <w:r w:rsidR="006F4F16" w:rsidRPr="000F21D1">
        <w:rPr>
          <w:rFonts w:ascii="Garamond" w:hAnsi="Garamond"/>
        </w:rPr>
        <w:t>.</w:t>
      </w:r>
      <w:r w:rsidR="005B492E" w:rsidRPr="000F21D1">
        <w:rPr>
          <w:rFonts w:ascii="Garamond" w:hAnsi="Garamond"/>
        </w:rPr>
        <w:t xml:space="preserve"> </w:t>
      </w:r>
    </w:p>
    <w:p w14:paraId="00C6887D" w14:textId="77777777" w:rsidR="00B1566C" w:rsidRPr="000F21D1" w:rsidRDefault="00B1566C" w:rsidP="00B117C8">
      <w:pPr>
        <w:spacing w:line="360" w:lineRule="auto"/>
        <w:jc w:val="both"/>
        <w:rPr>
          <w:rFonts w:ascii="Garamond" w:hAnsi="Garamond"/>
        </w:rPr>
      </w:pPr>
    </w:p>
    <w:p w14:paraId="5B6ED34A" w14:textId="77777777" w:rsidR="00B1566C" w:rsidRPr="000F21D1" w:rsidRDefault="00B1566C" w:rsidP="00B117C8">
      <w:pPr>
        <w:spacing w:line="360" w:lineRule="auto"/>
        <w:jc w:val="both"/>
        <w:rPr>
          <w:rFonts w:ascii="Garamond" w:hAnsi="Garamond"/>
        </w:rPr>
      </w:pPr>
      <w:r w:rsidRPr="000F21D1">
        <w:rPr>
          <w:rFonts w:ascii="Garamond" w:hAnsi="Garamond"/>
          <w:b/>
        </w:rPr>
        <w:t xml:space="preserve">The CBA </w:t>
      </w:r>
      <w:r w:rsidR="001E25C2" w:rsidRPr="000F21D1">
        <w:rPr>
          <w:rFonts w:ascii="Garamond" w:hAnsi="Garamond"/>
          <w:b/>
        </w:rPr>
        <w:t xml:space="preserve">finds it reasonable to continue easing </w:t>
      </w:r>
      <w:r w:rsidRPr="000F21D1">
        <w:rPr>
          <w:rFonts w:ascii="Garamond" w:hAnsi="Garamond"/>
          <w:b/>
        </w:rPr>
        <w:t xml:space="preserve">monetary conditions in the </w:t>
      </w:r>
      <w:r w:rsidR="001E25C2" w:rsidRPr="000F21D1">
        <w:rPr>
          <w:rFonts w:ascii="Garamond" w:hAnsi="Garamond"/>
          <w:b/>
        </w:rPr>
        <w:t>third</w:t>
      </w:r>
      <w:r w:rsidRPr="000F21D1">
        <w:rPr>
          <w:rFonts w:ascii="Garamond" w:hAnsi="Garamond"/>
          <w:b/>
        </w:rPr>
        <w:t xml:space="preserve"> quarter of 2016</w:t>
      </w:r>
      <w:r w:rsidR="001E25C2" w:rsidRPr="000F21D1">
        <w:rPr>
          <w:rFonts w:ascii="Garamond" w:hAnsi="Garamond"/>
        </w:rPr>
        <w:t xml:space="preserve">, which will lead to further expanding of aggregate demand, gradually phasing out deflation environment and stabilizing of inflation around the target in the forecast horizon. The CBA considers an increase of the 12-month inflation rate the most efficient path since low inflation environment sustains the purchasing power of incomes, reduction of company costs and anchoring of inflation expectations. Otherwise, </w:t>
      </w:r>
      <w:r w:rsidR="00D62F83" w:rsidRPr="000F21D1">
        <w:rPr>
          <w:rFonts w:ascii="Garamond" w:hAnsi="Garamond"/>
        </w:rPr>
        <w:t xml:space="preserve">abruptly loosened </w:t>
      </w:r>
      <w:r w:rsidR="001E25C2" w:rsidRPr="000F21D1">
        <w:rPr>
          <w:rFonts w:ascii="Garamond" w:hAnsi="Garamond"/>
        </w:rPr>
        <w:t xml:space="preserve">monetary conditions </w:t>
      </w:r>
      <w:r w:rsidR="00D62F83" w:rsidRPr="000F21D1">
        <w:rPr>
          <w:rFonts w:ascii="Garamond" w:hAnsi="Garamond"/>
        </w:rPr>
        <w:t xml:space="preserve">in pursuit of </w:t>
      </w:r>
      <w:r w:rsidR="001E25C2" w:rsidRPr="000F21D1">
        <w:rPr>
          <w:rFonts w:ascii="Garamond" w:hAnsi="Garamond"/>
        </w:rPr>
        <w:t>rapid achievement of the inflation target will cause great vola</w:t>
      </w:r>
      <w:r w:rsidR="006A562D" w:rsidRPr="000F21D1">
        <w:rPr>
          <w:rFonts w:ascii="Garamond" w:hAnsi="Garamond"/>
        </w:rPr>
        <w:t>tility in the financial market</w:t>
      </w:r>
      <w:r w:rsidR="00913120" w:rsidRPr="000F21D1">
        <w:rPr>
          <w:rFonts w:ascii="Garamond" w:hAnsi="Garamond"/>
        </w:rPr>
        <w:t>,</w:t>
      </w:r>
      <w:r w:rsidR="006A562D" w:rsidRPr="000F21D1">
        <w:rPr>
          <w:rFonts w:ascii="Garamond" w:hAnsi="Garamond"/>
        </w:rPr>
        <w:t xml:space="preserve"> because </w:t>
      </w:r>
      <w:r w:rsidR="001E25C2" w:rsidRPr="000F21D1">
        <w:rPr>
          <w:rFonts w:ascii="Garamond" w:hAnsi="Garamond"/>
        </w:rPr>
        <w:t>refinancing rate</w:t>
      </w:r>
      <w:r w:rsidR="00D62F83" w:rsidRPr="000F21D1">
        <w:rPr>
          <w:rFonts w:ascii="Garamond" w:hAnsi="Garamond"/>
        </w:rPr>
        <w:t xml:space="preserve"> </w:t>
      </w:r>
      <w:r w:rsidR="006A562D" w:rsidRPr="000F21D1">
        <w:rPr>
          <w:rFonts w:ascii="Garamond" w:hAnsi="Garamond"/>
        </w:rPr>
        <w:t>sharply lowered today w</w:t>
      </w:r>
      <w:r w:rsidR="001E25C2" w:rsidRPr="000F21D1">
        <w:rPr>
          <w:rFonts w:ascii="Garamond" w:hAnsi="Garamond"/>
        </w:rPr>
        <w:t xml:space="preserve">ill lead to an equally sharp </w:t>
      </w:r>
      <w:r w:rsidR="009D41D9" w:rsidRPr="000F21D1">
        <w:rPr>
          <w:rFonts w:ascii="Garamond" w:hAnsi="Garamond"/>
        </w:rPr>
        <w:t>rise</w:t>
      </w:r>
      <w:r w:rsidR="001E25C2" w:rsidRPr="000F21D1">
        <w:rPr>
          <w:rFonts w:ascii="Garamond" w:hAnsi="Garamond"/>
        </w:rPr>
        <w:t xml:space="preserve"> </w:t>
      </w:r>
      <w:r w:rsidR="006A562D" w:rsidRPr="000F21D1">
        <w:rPr>
          <w:rFonts w:ascii="Garamond" w:hAnsi="Garamond"/>
        </w:rPr>
        <w:t>tomorrow when a significant inflationary potential generates</w:t>
      </w:r>
      <w:r w:rsidR="001E25C2" w:rsidRPr="000F21D1">
        <w:rPr>
          <w:rFonts w:ascii="Garamond" w:hAnsi="Garamond"/>
        </w:rPr>
        <w:t>.</w:t>
      </w:r>
      <w:r w:rsidRPr="000F21D1">
        <w:rPr>
          <w:rFonts w:ascii="Garamond" w:hAnsi="Garamond"/>
        </w:rPr>
        <w:t xml:space="preserve"> </w:t>
      </w:r>
    </w:p>
    <w:p w14:paraId="45AC9A58" w14:textId="77777777" w:rsidR="00B1566C" w:rsidRPr="000F21D1" w:rsidRDefault="00B1566C" w:rsidP="00B117C8">
      <w:pPr>
        <w:spacing w:line="360" w:lineRule="auto"/>
        <w:jc w:val="both"/>
        <w:rPr>
          <w:rFonts w:ascii="Garamond" w:hAnsi="Garamond"/>
        </w:rPr>
      </w:pPr>
    </w:p>
    <w:p w14:paraId="09AA0CD2" w14:textId="77777777" w:rsidR="008C57FB" w:rsidRPr="000F21D1" w:rsidRDefault="00B1566C" w:rsidP="00B117C8">
      <w:pPr>
        <w:spacing w:line="360" w:lineRule="auto"/>
        <w:jc w:val="both"/>
        <w:rPr>
          <w:rFonts w:ascii="Garamond" w:hAnsi="Garamond" w:cs="GHEA Grapalat"/>
        </w:rPr>
      </w:pPr>
      <w:r w:rsidRPr="000F21D1">
        <w:rPr>
          <w:rFonts w:ascii="Garamond" w:hAnsi="Garamond"/>
          <w:b/>
        </w:rPr>
        <w:t xml:space="preserve">Risks </w:t>
      </w:r>
      <w:r w:rsidR="00F2493D" w:rsidRPr="000F21D1">
        <w:rPr>
          <w:rFonts w:ascii="Garamond" w:hAnsi="Garamond"/>
          <w:b/>
        </w:rPr>
        <w:t xml:space="preserve">that </w:t>
      </w:r>
      <w:r w:rsidRPr="000F21D1">
        <w:rPr>
          <w:rFonts w:ascii="Garamond" w:hAnsi="Garamond"/>
          <w:b/>
        </w:rPr>
        <w:t xml:space="preserve">inflation </w:t>
      </w:r>
      <w:r w:rsidR="00F2493D" w:rsidRPr="000F21D1">
        <w:rPr>
          <w:rFonts w:ascii="Garamond" w:hAnsi="Garamond"/>
          <w:b/>
        </w:rPr>
        <w:t xml:space="preserve">will </w:t>
      </w:r>
      <w:r w:rsidRPr="000F21D1">
        <w:rPr>
          <w:rFonts w:ascii="Garamond" w:hAnsi="Garamond"/>
          <w:b/>
        </w:rPr>
        <w:t>deviat</w:t>
      </w:r>
      <w:r w:rsidR="00F2493D" w:rsidRPr="000F21D1">
        <w:rPr>
          <w:rFonts w:ascii="Garamond" w:hAnsi="Garamond"/>
          <w:b/>
        </w:rPr>
        <w:t xml:space="preserve">e </w:t>
      </w:r>
      <w:r w:rsidRPr="000F21D1">
        <w:rPr>
          <w:rFonts w:ascii="Garamond" w:hAnsi="Garamond"/>
          <w:b/>
        </w:rPr>
        <w:t>from the</w:t>
      </w:r>
      <w:r w:rsidR="00E87661" w:rsidRPr="000F21D1">
        <w:rPr>
          <w:rFonts w:ascii="Garamond" w:hAnsi="Garamond"/>
          <w:b/>
          <w:lang w:val="hy-AM"/>
        </w:rPr>
        <w:t xml:space="preserve"> </w:t>
      </w:r>
      <w:r w:rsidRPr="000F21D1">
        <w:rPr>
          <w:rFonts w:ascii="Garamond" w:hAnsi="Garamond"/>
          <w:b/>
        </w:rPr>
        <w:t>projected value</w:t>
      </w:r>
      <w:r w:rsidR="00E87661" w:rsidRPr="000F21D1">
        <w:rPr>
          <w:rFonts w:ascii="Garamond" w:hAnsi="Garamond"/>
          <w:b/>
          <w:lang w:val="hy-AM"/>
        </w:rPr>
        <w:t xml:space="preserve"> </w:t>
      </w:r>
      <w:r w:rsidRPr="000F21D1">
        <w:rPr>
          <w:rFonts w:ascii="Garamond" w:hAnsi="Garamond"/>
          <w:b/>
        </w:rPr>
        <w:t xml:space="preserve">are estimated </w:t>
      </w:r>
      <w:r w:rsidR="00F2493D" w:rsidRPr="000F21D1">
        <w:rPr>
          <w:rFonts w:ascii="Garamond" w:hAnsi="Garamond"/>
          <w:b/>
        </w:rPr>
        <w:t>to follow a down</w:t>
      </w:r>
      <w:r w:rsidR="00913120" w:rsidRPr="000F21D1">
        <w:rPr>
          <w:rFonts w:ascii="Garamond" w:hAnsi="Garamond"/>
          <w:b/>
        </w:rPr>
        <w:t>ward</w:t>
      </w:r>
      <w:r w:rsidR="00F2493D" w:rsidRPr="000F21D1">
        <w:rPr>
          <w:rFonts w:ascii="Garamond" w:hAnsi="Garamond"/>
          <w:b/>
        </w:rPr>
        <w:t xml:space="preserve"> path </w:t>
      </w:r>
      <w:r w:rsidRPr="000F21D1">
        <w:rPr>
          <w:rFonts w:ascii="Garamond" w:hAnsi="Garamond"/>
          <w:b/>
        </w:rPr>
        <w:t xml:space="preserve">in the short </w:t>
      </w:r>
      <w:r w:rsidR="00F2493D" w:rsidRPr="000F21D1">
        <w:rPr>
          <w:rFonts w:ascii="Garamond" w:hAnsi="Garamond"/>
          <w:b/>
        </w:rPr>
        <w:t xml:space="preserve">run </w:t>
      </w:r>
      <w:r w:rsidRPr="000F21D1">
        <w:rPr>
          <w:rFonts w:ascii="Garamond" w:hAnsi="Garamond"/>
          <w:b/>
        </w:rPr>
        <w:t xml:space="preserve">and </w:t>
      </w:r>
      <w:r w:rsidR="00F2493D" w:rsidRPr="000F21D1">
        <w:rPr>
          <w:rFonts w:ascii="Garamond" w:hAnsi="Garamond"/>
          <w:b/>
        </w:rPr>
        <w:t xml:space="preserve">to be balanced in the </w:t>
      </w:r>
      <w:r w:rsidRPr="000F21D1">
        <w:rPr>
          <w:rFonts w:ascii="Garamond" w:hAnsi="Garamond"/>
          <w:b/>
        </w:rPr>
        <w:t>medium run</w:t>
      </w:r>
      <w:r w:rsidRPr="000F21D1">
        <w:rPr>
          <w:rFonts w:ascii="Garamond" w:hAnsi="Garamond"/>
        </w:rPr>
        <w:t>.</w:t>
      </w:r>
      <w:r w:rsidR="00E87661" w:rsidRPr="000F21D1">
        <w:rPr>
          <w:rFonts w:ascii="Garamond" w:hAnsi="Garamond"/>
          <w:lang w:val="hy-AM"/>
        </w:rPr>
        <w:t xml:space="preserve"> </w:t>
      </w:r>
      <w:r w:rsidR="00257B58" w:rsidRPr="000F21D1">
        <w:rPr>
          <w:rFonts w:ascii="Garamond" w:hAnsi="Garamond"/>
          <w:color w:val="000000"/>
        </w:rPr>
        <w:t>R</w:t>
      </w:r>
      <w:r w:rsidRPr="000F21D1">
        <w:rPr>
          <w:rFonts w:ascii="Garamond" w:hAnsi="Garamond"/>
          <w:color w:val="000000"/>
        </w:rPr>
        <w:t xml:space="preserve">isks deriving from external </w:t>
      </w:r>
      <w:r w:rsidR="00F2493D" w:rsidRPr="000F21D1">
        <w:rPr>
          <w:rFonts w:ascii="Garamond" w:hAnsi="Garamond"/>
          <w:color w:val="000000"/>
        </w:rPr>
        <w:t xml:space="preserve">and domestic </w:t>
      </w:r>
      <w:r w:rsidRPr="000F21D1">
        <w:rPr>
          <w:rFonts w:ascii="Garamond" w:hAnsi="Garamond"/>
          <w:color w:val="000000"/>
        </w:rPr>
        <w:t xml:space="preserve">sectors </w:t>
      </w:r>
      <w:r w:rsidR="00257B58" w:rsidRPr="000F21D1">
        <w:rPr>
          <w:rFonts w:ascii="Garamond" w:hAnsi="Garamond"/>
          <w:color w:val="000000"/>
        </w:rPr>
        <w:t>m</w:t>
      </w:r>
      <w:r w:rsidRPr="000F21D1">
        <w:rPr>
          <w:rFonts w:ascii="Garamond" w:hAnsi="Garamond"/>
          <w:color w:val="000000"/>
        </w:rPr>
        <w:t>ostly persist</w:t>
      </w:r>
      <w:r w:rsidR="00257B58" w:rsidRPr="000F21D1">
        <w:rPr>
          <w:rFonts w:ascii="Garamond" w:hAnsi="Garamond"/>
          <w:color w:val="000000"/>
        </w:rPr>
        <w:t xml:space="preserve">ed in </w:t>
      </w:r>
      <w:r w:rsidRPr="000F21D1">
        <w:rPr>
          <w:rFonts w:ascii="Garamond" w:hAnsi="Garamond"/>
          <w:color w:val="000000"/>
        </w:rPr>
        <w:t>relati</w:t>
      </w:r>
      <w:r w:rsidR="00257B58" w:rsidRPr="000F21D1">
        <w:rPr>
          <w:rFonts w:ascii="Garamond" w:hAnsi="Garamond"/>
          <w:color w:val="000000"/>
        </w:rPr>
        <w:t xml:space="preserve">on </w:t>
      </w:r>
      <w:r w:rsidRPr="000F21D1">
        <w:rPr>
          <w:rFonts w:ascii="Garamond" w:hAnsi="Garamond"/>
          <w:color w:val="000000"/>
        </w:rPr>
        <w:t>to the previous forecast.</w:t>
      </w:r>
      <w:r w:rsidRPr="000F21D1">
        <w:rPr>
          <w:rFonts w:ascii="Garamond" w:hAnsi="Garamond" w:cs="Sylfaen"/>
          <w:color w:val="000000"/>
        </w:rPr>
        <w:t xml:space="preserve"> In particular, the </w:t>
      </w:r>
      <w:r w:rsidRPr="000F21D1">
        <w:rPr>
          <w:rFonts w:ascii="Garamond" w:hAnsi="Garamond" w:cs="Sylfaen"/>
          <w:b/>
          <w:color w:val="000000"/>
        </w:rPr>
        <w:t>external sector risks</w:t>
      </w:r>
      <w:r w:rsidRPr="000F21D1">
        <w:rPr>
          <w:rFonts w:ascii="Garamond" w:hAnsi="Garamond" w:cs="Sylfaen"/>
          <w:color w:val="000000"/>
        </w:rPr>
        <w:t xml:space="preserve"> are related to</w:t>
      </w:r>
      <w:r w:rsidR="00E87661" w:rsidRPr="000F21D1">
        <w:rPr>
          <w:rFonts w:ascii="Garamond" w:hAnsi="Garamond" w:cs="Sylfaen"/>
          <w:color w:val="000000"/>
          <w:lang w:val="hy-AM"/>
        </w:rPr>
        <w:t xml:space="preserve"> </w:t>
      </w:r>
      <w:r w:rsidR="00257B58" w:rsidRPr="000F21D1">
        <w:rPr>
          <w:rFonts w:ascii="Garamond" w:hAnsi="Garamond"/>
        </w:rPr>
        <w:t>capital outflows from developing countries and, consequently, volatilit</w:t>
      </w:r>
      <w:r w:rsidR="005947CE" w:rsidRPr="000F21D1">
        <w:rPr>
          <w:rFonts w:ascii="Garamond" w:hAnsi="Garamond"/>
        </w:rPr>
        <w:t xml:space="preserve">ies in financial markets, the processes in the European Union, </w:t>
      </w:r>
      <w:r w:rsidR="00257B58" w:rsidRPr="000F21D1">
        <w:rPr>
          <w:rFonts w:ascii="Garamond" w:hAnsi="Garamond"/>
        </w:rPr>
        <w:t xml:space="preserve">a likely slowdown of </w:t>
      </w:r>
      <w:r w:rsidRPr="000F21D1">
        <w:rPr>
          <w:rFonts w:ascii="Garamond" w:hAnsi="Garamond"/>
        </w:rPr>
        <w:t xml:space="preserve">global economic </w:t>
      </w:r>
      <w:r w:rsidR="00257B58" w:rsidRPr="000F21D1">
        <w:rPr>
          <w:rFonts w:ascii="Garamond" w:hAnsi="Garamond"/>
        </w:rPr>
        <w:t xml:space="preserve">growth resulting from structural reformation of the Chinese economy as well as risks related to developments in international prices of raw materials and food products. </w:t>
      </w:r>
      <w:r w:rsidRPr="000F21D1">
        <w:rPr>
          <w:rFonts w:ascii="Garamond" w:hAnsi="Garamond"/>
          <w:b/>
        </w:rPr>
        <w:t>Risks deriving from the domestic sector</w:t>
      </w:r>
      <w:r w:rsidRPr="000F21D1">
        <w:rPr>
          <w:rFonts w:ascii="Garamond" w:hAnsi="Garamond"/>
        </w:rPr>
        <w:t xml:space="preserve"> are</w:t>
      </w:r>
      <w:r w:rsidR="00E87661" w:rsidRPr="000F21D1">
        <w:rPr>
          <w:rFonts w:ascii="Garamond" w:hAnsi="Garamond"/>
          <w:lang w:val="hy-AM"/>
        </w:rPr>
        <w:t xml:space="preserve"> </w:t>
      </w:r>
      <w:r w:rsidRPr="000F21D1">
        <w:rPr>
          <w:rFonts w:ascii="Garamond" w:hAnsi="Garamond"/>
          <w:color w:val="000000"/>
        </w:rPr>
        <w:t xml:space="preserve">mostly associated with the </w:t>
      </w:r>
      <w:r w:rsidR="009F06FA" w:rsidRPr="000F21D1">
        <w:rPr>
          <w:rFonts w:ascii="Garamond" w:hAnsi="Garamond"/>
          <w:color w:val="000000"/>
        </w:rPr>
        <w:t xml:space="preserve">extent to which </w:t>
      </w:r>
      <w:r w:rsidR="009F06FA" w:rsidRPr="000F21D1">
        <w:rPr>
          <w:rFonts w:ascii="Garamond" w:hAnsi="Garamond"/>
        </w:rPr>
        <w:t xml:space="preserve">external environment’s deflationary </w:t>
      </w:r>
      <w:r w:rsidR="009F06FA" w:rsidRPr="000F21D1">
        <w:rPr>
          <w:rFonts w:ascii="Garamond" w:hAnsi="Garamond"/>
        </w:rPr>
        <w:lastRenderedPageBreak/>
        <w:t>impact will spill over to the domestic price</w:t>
      </w:r>
      <w:r w:rsidR="005947CE" w:rsidRPr="000F21D1">
        <w:rPr>
          <w:rFonts w:ascii="Garamond" w:hAnsi="Garamond"/>
        </w:rPr>
        <w:t>s,</w:t>
      </w:r>
      <w:r w:rsidR="00E87661" w:rsidRPr="000F21D1">
        <w:rPr>
          <w:rFonts w:ascii="Garamond" w:hAnsi="Garamond"/>
          <w:lang w:val="hy-AM"/>
        </w:rPr>
        <w:t xml:space="preserve"> </w:t>
      </w:r>
      <w:r w:rsidRPr="000F21D1">
        <w:rPr>
          <w:rFonts w:ascii="Garamond" w:hAnsi="Garamond"/>
          <w:color w:val="000000"/>
        </w:rPr>
        <w:t xml:space="preserve">developments in agriculture, a sector greatly depending on weather conditions, the pace at which domestic demand and private investments will recover, as well as Government-led </w:t>
      </w:r>
      <w:r w:rsidR="009F06FA" w:rsidRPr="000F21D1">
        <w:rPr>
          <w:rFonts w:ascii="Garamond" w:hAnsi="Garamond"/>
          <w:color w:val="000000"/>
        </w:rPr>
        <w:t>structural reforms</w:t>
      </w:r>
      <w:r w:rsidRPr="000F21D1">
        <w:rPr>
          <w:rFonts w:ascii="Garamond" w:hAnsi="Garamond"/>
          <w:color w:val="000000"/>
        </w:rPr>
        <w:t>.</w:t>
      </w:r>
      <w:r w:rsidR="005947CE" w:rsidRPr="000F21D1">
        <w:rPr>
          <w:rFonts w:ascii="Garamond" w:hAnsi="Garamond" w:cs="GHEA Grapalat"/>
        </w:rPr>
        <w:t xml:space="preserve"> </w:t>
      </w:r>
      <w:r w:rsidRPr="000F21D1">
        <w:rPr>
          <w:rFonts w:ascii="Garamond" w:hAnsi="Garamond"/>
        </w:rPr>
        <w:t>If the aforementioned risks materialize, the CBA will react accordingly by main</w:t>
      </w:r>
      <w:r w:rsidR="009F06FA" w:rsidRPr="000F21D1">
        <w:rPr>
          <w:rFonts w:ascii="Garamond" w:hAnsi="Garamond"/>
        </w:rPr>
        <w:t xml:space="preserve">taining the inflation target in </w:t>
      </w:r>
      <w:r w:rsidRPr="000F21D1">
        <w:rPr>
          <w:rFonts w:ascii="Garamond" w:hAnsi="Garamond"/>
        </w:rPr>
        <w:t xml:space="preserve">the medium run.   </w:t>
      </w:r>
    </w:p>
    <w:p w14:paraId="5BBA8883" w14:textId="77777777" w:rsidR="004F78DC" w:rsidRPr="000F21D1" w:rsidRDefault="004F78DC" w:rsidP="00B117C8">
      <w:pPr>
        <w:spacing w:line="360" w:lineRule="auto"/>
        <w:jc w:val="both"/>
        <w:rPr>
          <w:rFonts w:ascii="Garamond" w:hAnsi="Garamond"/>
        </w:rPr>
      </w:pPr>
    </w:p>
    <w:p w14:paraId="1E13FA96" w14:textId="77777777" w:rsidR="004F78DC" w:rsidRPr="000F21D1" w:rsidRDefault="004F78DC" w:rsidP="00B117C8">
      <w:pPr>
        <w:spacing w:line="360" w:lineRule="auto"/>
        <w:jc w:val="both"/>
        <w:rPr>
          <w:rFonts w:ascii="Garamond" w:hAnsi="Garamond"/>
          <w:b/>
        </w:rPr>
      </w:pPr>
      <w:r w:rsidRPr="000F21D1">
        <w:rPr>
          <w:rFonts w:ascii="Garamond" w:hAnsi="Garamond"/>
          <w:b/>
        </w:rPr>
        <w:t>2. Forecast, Forecast Changes and Risks</w:t>
      </w:r>
    </w:p>
    <w:p w14:paraId="7F80FCAB" w14:textId="77777777" w:rsidR="004F78DC" w:rsidRPr="000F21D1" w:rsidRDefault="004F78DC" w:rsidP="00B117C8">
      <w:pPr>
        <w:spacing w:line="360" w:lineRule="auto"/>
        <w:jc w:val="both"/>
        <w:rPr>
          <w:rStyle w:val="FootnoteReference"/>
          <w:rFonts w:ascii="Garamond" w:hAnsi="Garamond"/>
          <w:b/>
        </w:rPr>
      </w:pPr>
      <w:r w:rsidRPr="000F21D1">
        <w:rPr>
          <w:rFonts w:ascii="Garamond" w:hAnsi="Garamond"/>
          <w:b/>
        </w:rPr>
        <w:t>2.1. External environment</w:t>
      </w:r>
      <w:r w:rsidR="004C715C" w:rsidRPr="000F21D1">
        <w:rPr>
          <w:rStyle w:val="FootnoteReference"/>
          <w:rFonts w:ascii="Garamond" w:hAnsi="Garamond"/>
          <w:b/>
        </w:rPr>
        <w:footnoteReference w:customMarkFollows="1" w:id="1"/>
        <w:t>1</w:t>
      </w:r>
    </w:p>
    <w:p w14:paraId="126A2476" w14:textId="77777777" w:rsidR="00B15F2B" w:rsidRPr="000F21D1" w:rsidRDefault="00B15F2B" w:rsidP="00B117C8">
      <w:pPr>
        <w:spacing w:line="360" w:lineRule="auto"/>
        <w:jc w:val="both"/>
        <w:rPr>
          <w:rFonts w:ascii="Garamond" w:hAnsi="Garamond"/>
          <w:b/>
        </w:rPr>
      </w:pPr>
    </w:p>
    <w:p w14:paraId="0D056B8F" w14:textId="77777777" w:rsidR="00B15F2B" w:rsidRPr="000F21D1" w:rsidRDefault="00B15F2B" w:rsidP="00B117C8">
      <w:pPr>
        <w:spacing w:line="360" w:lineRule="auto"/>
        <w:jc w:val="both"/>
        <w:rPr>
          <w:rFonts w:ascii="Garamond" w:hAnsi="Garamond" w:cs="Sylfaen"/>
          <w:b/>
        </w:rPr>
      </w:pPr>
      <w:r w:rsidRPr="000F21D1">
        <w:rPr>
          <w:rFonts w:ascii="Garamond" w:hAnsi="Garamond" w:cs="Sylfaen"/>
          <w:b/>
        </w:rPr>
        <w:t xml:space="preserve">In 2016 trends of slow economic growth will continue to be observable in the global economy and main partner countries to Armenia. </w:t>
      </w:r>
    </w:p>
    <w:p w14:paraId="23FBF244" w14:textId="77777777" w:rsidR="00B15F2B" w:rsidRPr="000F21D1" w:rsidRDefault="00B15F2B" w:rsidP="00B117C8">
      <w:pPr>
        <w:spacing w:line="360" w:lineRule="auto"/>
        <w:jc w:val="both"/>
        <w:rPr>
          <w:rFonts w:ascii="Garamond" w:hAnsi="Garamond" w:cs="Sylfaen"/>
          <w:b/>
        </w:rPr>
      </w:pPr>
    </w:p>
    <w:p w14:paraId="1389DFB7" w14:textId="77777777" w:rsidR="00B15F2B" w:rsidRPr="000F21D1" w:rsidRDefault="00A83FE2" w:rsidP="00B117C8">
      <w:pPr>
        <w:spacing w:line="360" w:lineRule="auto"/>
        <w:jc w:val="both"/>
        <w:rPr>
          <w:rFonts w:ascii="Garamond" w:hAnsi="Garamond"/>
          <w:b/>
        </w:rPr>
      </w:pPr>
      <w:r w:rsidRPr="000F21D1">
        <w:rPr>
          <w:rFonts w:ascii="Garamond" w:hAnsi="Garamond"/>
          <w:b/>
        </w:rPr>
        <w:t xml:space="preserve">Deflationary trends in international markets of raw materials and food products ended in general, while some food product markets started to see inflationary developments. </w:t>
      </w:r>
    </w:p>
    <w:p w14:paraId="2B582E1F" w14:textId="77777777" w:rsidR="00F028F0" w:rsidRPr="000F21D1" w:rsidRDefault="00F028F0" w:rsidP="00B117C8">
      <w:pPr>
        <w:spacing w:line="360" w:lineRule="auto"/>
        <w:jc w:val="both"/>
        <w:rPr>
          <w:rFonts w:ascii="Garamond" w:hAnsi="Garamond"/>
          <w:b/>
        </w:rPr>
      </w:pPr>
    </w:p>
    <w:p w14:paraId="70EE2F67" w14:textId="77777777" w:rsidR="00C322EA" w:rsidRPr="000F21D1" w:rsidRDefault="00F028F0" w:rsidP="00B117C8">
      <w:pPr>
        <w:spacing w:line="360" w:lineRule="auto"/>
        <w:jc w:val="both"/>
        <w:rPr>
          <w:rFonts w:ascii="Garamond" w:hAnsi="Garamond" w:cs="Sylfaen"/>
          <w:color w:val="000000"/>
        </w:rPr>
      </w:pPr>
      <w:r w:rsidRPr="000F21D1">
        <w:rPr>
          <w:rFonts w:ascii="Garamond" w:hAnsi="Garamond" w:cs="Sylfaen"/>
        </w:rPr>
        <w:t xml:space="preserve">Economic growth in the </w:t>
      </w:r>
      <w:r w:rsidRPr="000F21D1">
        <w:rPr>
          <w:rFonts w:ascii="Garamond" w:hAnsi="Garamond" w:cs="Sylfaen"/>
          <w:b/>
        </w:rPr>
        <w:t>U.S.A.</w:t>
      </w:r>
      <w:r w:rsidRPr="000F21D1">
        <w:rPr>
          <w:rFonts w:ascii="Garamond" w:hAnsi="Garamond" w:cs="Sylfaen"/>
        </w:rPr>
        <w:t xml:space="preserve"> in 2016 is forecast at 2.</w:t>
      </w:r>
      <w:r w:rsidR="0018680E" w:rsidRPr="000F21D1">
        <w:rPr>
          <w:rFonts w:ascii="Garamond" w:hAnsi="Garamond" w:cs="Sylfaen"/>
        </w:rPr>
        <w:t>1</w:t>
      </w:r>
      <w:r w:rsidRPr="000F21D1">
        <w:rPr>
          <w:rFonts w:ascii="Garamond" w:hAnsi="Garamond" w:cs="Sylfaen"/>
        </w:rPr>
        <w:t>%</w:t>
      </w:r>
      <w:r w:rsidRPr="000F21D1">
        <w:rPr>
          <w:rFonts w:ascii="Garamond" w:hAnsi="Garamond" w:cs="Sylfaen"/>
          <w:color w:val="000000"/>
        </w:rPr>
        <w:t xml:space="preserve"> compared to 2.</w:t>
      </w:r>
      <w:r w:rsidR="0018680E" w:rsidRPr="000F21D1">
        <w:rPr>
          <w:rFonts w:ascii="Garamond" w:hAnsi="Garamond" w:cs="Sylfaen"/>
          <w:color w:val="000000"/>
        </w:rPr>
        <w:t>3</w:t>
      </w:r>
      <w:r w:rsidRPr="000F21D1">
        <w:rPr>
          <w:rFonts w:ascii="Garamond" w:hAnsi="Garamond" w:cs="Sylfaen"/>
          <w:color w:val="000000"/>
        </w:rPr>
        <w:t xml:space="preserve">% growth reported in the previous </w:t>
      </w:r>
      <w:r w:rsidR="0018680E" w:rsidRPr="000F21D1">
        <w:rPr>
          <w:rFonts w:ascii="Garamond" w:hAnsi="Garamond" w:cs="Sylfaen"/>
          <w:color w:val="000000"/>
        </w:rPr>
        <w:t>prediction.</w:t>
      </w:r>
      <w:r w:rsidRPr="000F21D1">
        <w:rPr>
          <w:rFonts w:ascii="Garamond" w:hAnsi="Garamond" w:cs="Sylfaen"/>
          <w:color w:val="000000"/>
        </w:rPr>
        <w:t xml:space="preserve"> </w:t>
      </w:r>
      <w:r w:rsidR="0018680E" w:rsidRPr="000F21D1">
        <w:rPr>
          <w:rFonts w:ascii="Garamond" w:hAnsi="Garamond" w:cs="Sylfaen"/>
          <w:color w:val="000000"/>
        </w:rPr>
        <w:t>The economic growth rate in the medium-term is expected to accelerate to 2.4%</w:t>
      </w:r>
      <w:r w:rsidR="0018680E" w:rsidRPr="000F21D1">
        <w:rPr>
          <w:rStyle w:val="FootnoteReference"/>
          <w:rFonts w:ascii="Garamond" w:hAnsi="Garamond" w:cs="Sylfaen"/>
          <w:color w:val="000000"/>
        </w:rPr>
        <w:footnoteReference w:customMarkFollows="1" w:id="2"/>
        <w:t>2</w:t>
      </w:r>
      <w:r w:rsidR="0018680E" w:rsidRPr="000F21D1">
        <w:rPr>
          <w:rFonts w:ascii="Garamond" w:hAnsi="Garamond" w:cs="Sylfaen"/>
          <w:color w:val="000000"/>
        </w:rPr>
        <w:t xml:space="preserve">. </w:t>
      </w:r>
      <w:r w:rsidR="00C322EA" w:rsidRPr="000F21D1">
        <w:rPr>
          <w:rFonts w:ascii="Garamond" w:hAnsi="Garamond" w:cs="Sylfaen"/>
          <w:color w:val="000000"/>
        </w:rPr>
        <w:t>Despite continued improvement in the labor market and a low rate of unemployment, the US inflation is below the target, and the raising of policy rates by the US Federal Reserve System is expected in the second half of 2016. Then, in the medium term, the Fed will be gradually tightening its monetary policy.</w:t>
      </w:r>
    </w:p>
    <w:p w14:paraId="7C9D81F1" w14:textId="77777777" w:rsidR="00C322EA" w:rsidRPr="000F21D1" w:rsidRDefault="00C322EA" w:rsidP="00B117C8">
      <w:pPr>
        <w:spacing w:line="360" w:lineRule="auto"/>
        <w:jc w:val="both"/>
        <w:rPr>
          <w:rFonts w:ascii="Garamond" w:hAnsi="Garamond" w:cs="Sylfaen"/>
          <w:color w:val="000000"/>
        </w:rPr>
      </w:pPr>
    </w:p>
    <w:p w14:paraId="418F00BF" w14:textId="77777777" w:rsidR="00C11F74" w:rsidRPr="000F21D1" w:rsidRDefault="00C11F74" w:rsidP="00B117C8">
      <w:pPr>
        <w:spacing w:line="360" w:lineRule="auto"/>
        <w:jc w:val="both"/>
        <w:rPr>
          <w:rFonts w:ascii="Garamond" w:hAnsi="Garamond"/>
        </w:rPr>
      </w:pPr>
      <w:r w:rsidRPr="000F21D1">
        <w:rPr>
          <w:rFonts w:ascii="Garamond" w:hAnsi="Garamond"/>
        </w:rPr>
        <w:t xml:space="preserve">Economic growth in </w:t>
      </w:r>
      <w:r w:rsidRPr="000F21D1">
        <w:rPr>
          <w:rFonts w:ascii="Garamond" w:hAnsi="Garamond"/>
          <w:b/>
        </w:rPr>
        <w:t>Eurozone</w:t>
      </w:r>
      <w:r w:rsidRPr="000F21D1">
        <w:rPr>
          <w:rFonts w:ascii="Garamond" w:hAnsi="Garamond"/>
        </w:rPr>
        <w:t xml:space="preserve"> in 2016 is predicted to </w:t>
      </w:r>
      <w:r w:rsidR="00AE080E" w:rsidRPr="000F21D1">
        <w:rPr>
          <w:rFonts w:ascii="Garamond" w:hAnsi="Garamond"/>
        </w:rPr>
        <w:t>be 1</w:t>
      </w:r>
      <w:r w:rsidRPr="000F21D1">
        <w:rPr>
          <w:rFonts w:ascii="Garamond" w:hAnsi="Garamond"/>
        </w:rPr>
        <w:t>.</w:t>
      </w:r>
      <w:r w:rsidR="00AE080E" w:rsidRPr="000F21D1">
        <w:rPr>
          <w:rFonts w:ascii="Garamond" w:hAnsi="Garamond"/>
        </w:rPr>
        <w:t>3</w:t>
      </w:r>
      <w:r w:rsidRPr="000F21D1">
        <w:rPr>
          <w:rFonts w:ascii="Garamond" w:hAnsi="Garamond"/>
        </w:rPr>
        <w:t xml:space="preserve">% </w:t>
      </w:r>
      <w:r w:rsidR="00AE080E" w:rsidRPr="000F21D1">
        <w:rPr>
          <w:rFonts w:ascii="Garamond" w:hAnsi="Garamond"/>
        </w:rPr>
        <w:t>mainly due to high economic growth recorded in the first half of the year.</w:t>
      </w:r>
      <w:r w:rsidRPr="000F21D1">
        <w:rPr>
          <w:rFonts w:ascii="Garamond" w:hAnsi="Garamond" w:cs="Sylfaen"/>
          <w:color w:val="000000"/>
        </w:rPr>
        <w:t xml:space="preserve"> In the </w:t>
      </w:r>
      <w:r w:rsidR="00AE080E" w:rsidRPr="000F21D1">
        <w:rPr>
          <w:rFonts w:ascii="Garamond" w:hAnsi="Garamond" w:cs="Sylfaen"/>
          <w:color w:val="000000"/>
        </w:rPr>
        <w:t>latter part of the year</w:t>
      </w:r>
      <w:r w:rsidRPr="000F21D1">
        <w:rPr>
          <w:rFonts w:ascii="Garamond" w:hAnsi="Garamond" w:cs="Sylfaen"/>
          <w:color w:val="000000"/>
        </w:rPr>
        <w:t xml:space="preserve">, however, </w:t>
      </w:r>
      <w:r w:rsidR="00AE080E" w:rsidRPr="000F21D1">
        <w:rPr>
          <w:rFonts w:ascii="Garamond" w:hAnsi="Garamond" w:cs="Sylfaen"/>
          <w:color w:val="000000"/>
        </w:rPr>
        <w:t xml:space="preserve">economic activity is expected to slow to a certain extent </w:t>
      </w:r>
      <w:r w:rsidR="00913120" w:rsidRPr="000F21D1">
        <w:rPr>
          <w:rFonts w:ascii="Garamond" w:hAnsi="Garamond" w:cs="Sylfaen"/>
          <w:color w:val="000000"/>
        </w:rPr>
        <w:t xml:space="preserve">in connection with the Great </w:t>
      </w:r>
      <w:r w:rsidR="00AE080E" w:rsidRPr="000F21D1">
        <w:rPr>
          <w:rFonts w:ascii="Garamond" w:hAnsi="Garamond" w:cs="Sylfaen"/>
          <w:color w:val="000000"/>
        </w:rPr>
        <w:t xml:space="preserve">Britain </w:t>
      </w:r>
      <w:r w:rsidR="008F6268" w:rsidRPr="000F21D1">
        <w:rPr>
          <w:rFonts w:ascii="Garamond" w:hAnsi="Garamond" w:cs="Sylfaen"/>
          <w:color w:val="000000"/>
        </w:rPr>
        <w:t>leaving t</w:t>
      </w:r>
      <w:r w:rsidR="00AE080E" w:rsidRPr="000F21D1">
        <w:rPr>
          <w:rFonts w:ascii="Garamond" w:hAnsi="Garamond" w:cs="Sylfaen"/>
          <w:color w:val="000000"/>
        </w:rPr>
        <w:t xml:space="preserve">he European Union (see details in Box 2). </w:t>
      </w:r>
      <w:r w:rsidR="00E869D9" w:rsidRPr="000F21D1">
        <w:rPr>
          <w:rFonts w:ascii="Garamond" w:hAnsi="Garamond" w:cs="Sylfaen"/>
          <w:color w:val="000000"/>
        </w:rPr>
        <w:t xml:space="preserve">However, in the medium term there will be an acceleration in economic growth, averaging around 1.5%. Notwithstanding persisting political uncertainties in the medium run, the European Central Bank’s expansionary monetary policy continues to sustain economic activity. Although the euro’s exchange rate remains depreciated against the US dollar, the Eurozone inflation </w:t>
      </w:r>
      <w:r w:rsidR="0006206E" w:rsidRPr="000F21D1">
        <w:rPr>
          <w:rFonts w:ascii="Garamond" w:hAnsi="Garamond" w:cs="Sylfaen"/>
          <w:color w:val="000000"/>
        </w:rPr>
        <w:t xml:space="preserve">runs </w:t>
      </w:r>
      <w:r w:rsidR="00E869D9" w:rsidRPr="000F21D1">
        <w:rPr>
          <w:rFonts w:ascii="Garamond" w:hAnsi="Garamond" w:cs="Sylfaen"/>
          <w:color w:val="000000"/>
        </w:rPr>
        <w:t xml:space="preserve">below the target </w:t>
      </w:r>
      <w:r w:rsidR="0006206E" w:rsidRPr="000F21D1">
        <w:rPr>
          <w:rFonts w:ascii="Garamond" w:hAnsi="Garamond" w:cs="Sylfaen"/>
          <w:color w:val="000000"/>
        </w:rPr>
        <w:t xml:space="preserve">as far as </w:t>
      </w:r>
      <w:r w:rsidR="00E869D9" w:rsidRPr="000F21D1">
        <w:rPr>
          <w:rFonts w:ascii="Garamond" w:hAnsi="Garamond" w:cs="Sylfaen"/>
          <w:color w:val="000000"/>
        </w:rPr>
        <w:t>commodity prices</w:t>
      </w:r>
      <w:r w:rsidR="0006206E" w:rsidRPr="000F21D1">
        <w:rPr>
          <w:rFonts w:ascii="Garamond" w:hAnsi="Garamond" w:cs="Sylfaen"/>
          <w:color w:val="000000"/>
        </w:rPr>
        <w:t xml:space="preserve"> are lower</w:t>
      </w:r>
      <w:r w:rsidR="00E869D9" w:rsidRPr="000F21D1">
        <w:rPr>
          <w:rFonts w:ascii="Garamond" w:hAnsi="Garamond" w:cs="Sylfaen"/>
          <w:color w:val="000000"/>
        </w:rPr>
        <w:t xml:space="preserve">. It is expected that </w:t>
      </w:r>
      <w:r w:rsidR="00E869D9" w:rsidRPr="000F21D1">
        <w:rPr>
          <w:rFonts w:ascii="Garamond" w:hAnsi="Garamond" w:cs="Sylfaen"/>
          <w:color w:val="000000"/>
        </w:rPr>
        <w:lastRenderedPageBreak/>
        <w:t xml:space="preserve">inflation will approach the target only at the end of the forecast horizon, which </w:t>
      </w:r>
      <w:r w:rsidR="00195151" w:rsidRPr="000F21D1">
        <w:rPr>
          <w:rFonts w:ascii="Garamond" w:hAnsi="Garamond" w:cs="Sylfaen"/>
          <w:color w:val="000000"/>
        </w:rPr>
        <w:t>will be greatly fostered by the ECB’</w:t>
      </w:r>
      <w:r w:rsidR="00E869D9" w:rsidRPr="000F21D1">
        <w:rPr>
          <w:rFonts w:ascii="Garamond" w:hAnsi="Garamond" w:cs="Sylfaen"/>
          <w:color w:val="000000"/>
        </w:rPr>
        <w:t xml:space="preserve">s expansionary policy, under which </w:t>
      </w:r>
      <w:r w:rsidR="00195151" w:rsidRPr="000F21D1">
        <w:rPr>
          <w:rFonts w:ascii="Garamond" w:hAnsi="Garamond" w:cs="Sylfaen"/>
          <w:color w:val="000000"/>
        </w:rPr>
        <w:t xml:space="preserve">the </w:t>
      </w:r>
      <w:r w:rsidR="00E869D9" w:rsidRPr="000F21D1">
        <w:rPr>
          <w:rFonts w:ascii="Garamond" w:hAnsi="Garamond" w:cs="Sylfaen"/>
          <w:color w:val="000000"/>
        </w:rPr>
        <w:t>quantitative e</w:t>
      </w:r>
      <w:r w:rsidR="00195151" w:rsidRPr="000F21D1">
        <w:rPr>
          <w:rFonts w:ascii="Garamond" w:hAnsi="Garamond" w:cs="Sylfaen"/>
          <w:color w:val="000000"/>
        </w:rPr>
        <w:t xml:space="preserve">asing exercise </w:t>
      </w:r>
      <w:r w:rsidR="00E869D9" w:rsidRPr="000F21D1">
        <w:rPr>
          <w:rFonts w:ascii="Garamond" w:hAnsi="Garamond" w:cs="Sylfaen"/>
          <w:color w:val="000000"/>
        </w:rPr>
        <w:t xml:space="preserve">will continue </w:t>
      </w:r>
      <w:r w:rsidR="00195151" w:rsidRPr="000F21D1">
        <w:rPr>
          <w:rFonts w:ascii="Garamond" w:hAnsi="Garamond" w:cs="Sylfaen"/>
          <w:color w:val="000000"/>
        </w:rPr>
        <w:t xml:space="preserve">up </w:t>
      </w:r>
      <w:r w:rsidR="00E869D9" w:rsidRPr="000F21D1">
        <w:rPr>
          <w:rFonts w:ascii="Garamond" w:hAnsi="Garamond" w:cs="Sylfaen"/>
          <w:color w:val="000000"/>
        </w:rPr>
        <w:t xml:space="preserve">until </w:t>
      </w:r>
      <w:r w:rsidR="00195151" w:rsidRPr="000F21D1">
        <w:rPr>
          <w:rFonts w:ascii="Garamond" w:hAnsi="Garamond" w:cs="Sylfaen"/>
          <w:color w:val="000000"/>
        </w:rPr>
        <w:t xml:space="preserve">the first half of </w:t>
      </w:r>
      <w:r w:rsidR="00E869D9" w:rsidRPr="000F21D1">
        <w:rPr>
          <w:rFonts w:ascii="Garamond" w:hAnsi="Garamond" w:cs="Sylfaen"/>
          <w:color w:val="000000"/>
        </w:rPr>
        <w:t xml:space="preserve">2017. </w:t>
      </w:r>
    </w:p>
    <w:p w14:paraId="261C8584" w14:textId="77777777" w:rsidR="00F11522" w:rsidRPr="000F21D1" w:rsidRDefault="00F11522" w:rsidP="00B117C8">
      <w:pPr>
        <w:spacing w:line="360" w:lineRule="auto"/>
        <w:jc w:val="both"/>
        <w:rPr>
          <w:rFonts w:ascii="Garamond" w:hAnsi="Garamond"/>
        </w:rPr>
      </w:pPr>
    </w:p>
    <w:p w14:paraId="2F3AE289" w14:textId="77777777" w:rsidR="00275AB5" w:rsidRPr="000F21D1" w:rsidRDefault="00195151" w:rsidP="00B117C8">
      <w:pPr>
        <w:spacing w:line="360" w:lineRule="auto"/>
        <w:jc w:val="both"/>
        <w:rPr>
          <w:rFonts w:ascii="Garamond" w:hAnsi="Garamond" w:cs="Sylfaen"/>
        </w:rPr>
      </w:pPr>
      <w:r w:rsidRPr="000F21D1">
        <w:rPr>
          <w:rFonts w:ascii="Garamond" w:hAnsi="Garamond" w:cs="Sylfaen"/>
        </w:rPr>
        <w:t>E</w:t>
      </w:r>
      <w:r w:rsidR="00F11522" w:rsidRPr="000F21D1">
        <w:rPr>
          <w:rFonts w:ascii="Garamond" w:hAnsi="Garamond" w:cs="Sylfaen"/>
        </w:rPr>
        <w:t xml:space="preserve">conomic decline in </w:t>
      </w:r>
      <w:r w:rsidR="00F11522" w:rsidRPr="000F21D1">
        <w:rPr>
          <w:rFonts w:ascii="Garamond" w:hAnsi="Garamond" w:cs="Sylfaen"/>
          <w:b/>
        </w:rPr>
        <w:t>Russia</w:t>
      </w:r>
      <w:r w:rsidR="00F11522" w:rsidRPr="000F21D1">
        <w:rPr>
          <w:rFonts w:ascii="Garamond" w:hAnsi="Garamond" w:cs="Sylfaen"/>
        </w:rPr>
        <w:t xml:space="preserve"> </w:t>
      </w:r>
      <w:r w:rsidRPr="000F21D1">
        <w:rPr>
          <w:rFonts w:ascii="Garamond" w:hAnsi="Garamond" w:cs="Sylfaen"/>
        </w:rPr>
        <w:t>is anticipated to slow down in 2016 to around</w:t>
      </w:r>
      <w:r w:rsidR="00F11522" w:rsidRPr="000F21D1">
        <w:rPr>
          <w:rFonts w:ascii="Garamond" w:hAnsi="Garamond" w:cs="Sylfaen"/>
          <w:color w:val="000000"/>
        </w:rPr>
        <w:t xml:space="preserve"> </w:t>
      </w:r>
      <w:r w:rsidRPr="000F21D1">
        <w:rPr>
          <w:rFonts w:ascii="Garamond" w:hAnsi="Garamond" w:cs="Sylfaen"/>
          <w:color w:val="000000"/>
        </w:rPr>
        <w:t>0.8% compared to the previous prediction</w:t>
      </w:r>
      <w:r w:rsidR="00F11522" w:rsidRPr="000F21D1">
        <w:rPr>
          <w:rFonts w:ascii="Garamond" w:hAnsi="Garamond" w:cs="Sylfaen"/>
          <w:color w:val="000000"/>
        </w:rPr>
        <w:t xml:space="preserve">’s decline of </w:t>
      </w:r>
      <w:r w:rsidRPr="000F21D1">
        <w:rPr>
          <w:rFonts w:ascii="Garamond" w:hAnsi="Garamond" w:cs="Sylfaen"/>
          <w:color w:val="000000"/>
        </w:rPr>
        <w:t>1</w:t>
      </w:r>
      <w:r w:rsidR="00F11522" w:rsidRPr="000F21D1">
        <w:rPr>
          <w:rFonts w:ascii="Garamond" w:hAnsi="Garamond" w:cs="Sylfaen"/>
          <w:color w:val="000000"/>
        </w:rPr>
        <w:t>.</w:t>
      </w:r>
      <w:r w:rsidRPr="000F21D1">
        <w:rPr>
          <w:rFonts w:ascii="Garamond" w:hAnsi="Garamond" w:cs="Sylfaen"/>
          <w:color w:val="000000"/>
        </w:rPr>
        <w:t>2</w:t>
      </w:r>
      <w:r w:rsidR="00F11522" w:rsidRPr="000F21D1">
        <w:rPr>
          <w:rFonts w:ascii="Garamond" w:hAnsi="Garamond" w:cs="Sylfaen"/>
          <w:color w:val="000000"/>
        </w:rPr>
        <w:t>%.</w:t>
      </w:r>
      <w:r w:rsidRPr="000F21D1">
        <w:rPr>
          <w:rFonts w:ascii="Garamond" w:hAnsi="Garamond" w:cs="Sylfaen"/>
          <w:color w:val="000000"/>
        </w:rPr>
        <w:t xml:space="preserve"> </w:t>
      </w:r>
      <w:r w:rsidR="00F11522" w:rsidRPr="000F21D1">
        <w:rPr>
          <w:rFonts w:ascii="Garamond" w:hAnsi="Garamond" w:cs="Sylfaen"/>
          <w:color w:val="000000"/>
        </w:rPr>
        <w:t xml:space="preserve">The economy will return to positive growth only in the middle of 2017 </w:t>
      </w:r>
      <w:r w:rsidR="00CD5D9F" w:rsidRPr="000F21D1">
        <w:rPr>
          <w:rFonts w:ascii="Garamond" w:hAnsi="Garamond" w:cs="Sylfaen"/>
          <w:color w:val="000000"/>
        </w:rPr>
        <w:t xml:space="preserve">with </w:t>
      </w:r>
      <w:r w:rsidR="00F11522" w:rsidRPr="000F21D1">
        <w:rPr>
          <w:rFonts w:ascii="Garamond" w:hAnsi="Garamond" w:cs="Sylfaen"/>
          <w:color w:val="000000"/>
        </w:rPr>
        <w:t xml:space="preserve">the </w:t>
      </w:r>
      <w:r w:rsidR="00181D5F" w:rsidRPr="000F21D1">
        <w:rPr>
          <w:rFonts w:ascii="Garamond" w:hAnsi="Garamond" w:cs="Sylfaen"/>
          <w:color w:val="000000"/>
        </w:rPr>
        <w:t xml:space="preserve">medium-term </w:t>
      </w:r>
      <w:r w:rsidR="00F11522" w:rsidRPr="000F21D1">
        <w:rPr>
          <w:rFonts w:ascii="Garamond" w:hAnsi="Garamond" w:cs="Sylfaen"/>
          <w:color w:val="000000"/>
        </w:rPr>
        <w:t xml:space="preserve">growth indicator to </w:t>
      </w:r>
      <w:r w:rsidR="00181D5F" w:rsidRPr="000F21D1">
        <w:rPr>
          <w:rFonts w:ascii="Garamond" w:hAnsi="Garamond" w:cs="Sylfaen"/>
          <w:color w:val="000000"/>
        </w:rPr>
        <w:t>reach 1</w:t>
      </w:r>
      <w:r w:rsidR="00F11522" w:rsidRPr="000F21D1">
        <w:rPr>
          <w:rFonts w:ascii="Garamond" w:hAnsi="Garamond" w:cs="Sylfaen"/>
          <w:color w:val="000000"/>
        </w:rPr>
        <w:t>.</w:t>
      </w:r>
      <w:r w:rsidR="00181D5F" w:rsidRPr="000F21D1">
        <w:rPr>
          <w:rFonts w:ascii="Garamond" w:hAnsi="Garamond" w:cs="Sylfaen"/>
          <w:color w:val="000000"/>
        </w:rPr>
        <w:t>1</w:t>
      </w:r>
      <w:r w:rsidR="00F11522" w:rsidRPr="000F21D1">
        <w:rPr>
          <w:rFonts w:ascii="Garamond" w:hAnsi="Garamond" w:cs="Sylfaen"/>
          <w:color w:val="000000"/>
        </w:rPr>
        <w:t>%</w:t>
      </w:r>
      <w:r w:rsidR="00181D5F" w:rsidRPr="000F21D1">
        <w:rPr>
          <w:rFonts w:ascii="Garamond" w:hAnsi="Garamond" w:cs="Sylfaen"/>
          <w:color w:val="000000"/>
        </w:rPr>
        <w:t>. International o</w:t>
      </w:r>
      <w:r w:rsidR="00F11522" w:rsidRPr="000F21D1">
        <w:rPr>
          <w:rFonts w:ascii="Garamond" w:hAnsi="Garamond" w:cs="Sylfaen"/>
        </w:rPr>
        <w:t xml:space="preserve">il prices </w:t>
      </w:r>
      <w:r w:rsidR="00181D5F" w:rsidRPr="000F21D1">
        <w:rPr>
          <w:rFonts w:ascii="Garamond" w:hAnsi="Garamond" w:cs="Sylfaen"/>
        </w:rPr>
        <w:t>persisting at low levels and slackening domestic demand are hampering the economic growth to rebound fast. On the other hand, weak domestic demand and slowing inflation expectations contribute</w:t>
      </w:r>
      <w:r w:rsidR="000D14E4" w:rsidRPr="000F21D1">
        <w:rPr>
          <w:rFonts w:ascii="Garamond" w:hAnsi="Garamond" w:cs="Sylfaen"/>
        </w:rPr>
        <w:t xml:space="preserve"> to the reduction of inflation; i</w:t>
      </w:r>
      <w:r w:rsidR="00181D5F" w:rsidRPr="000F21D1">
        <w:rPr>
          <w:rFonts w:ascii="Garamond" w:hAnsi="Garamond" w:cs="Sylfaen"/>
        </w:rPr>
        <w:t>t is expected that later th</w:t>
      </w:r>
      <w:r w:rsidR="000D14E4" w:rsidRPr="000F21D1">
        <w:rPr>
          <w:rFonts w:ascii="Garamond" w:hAnsi="Garamond" w:cs="Sylfaen"/>
        </w:rPr>
        <w:t xml:space="preserve">is year it will be around 5.6% and will approach the 4% </w:t>
      </w:r>
      <w:r w:rsidR="00181D5F" w:rsidRPr="000F21D1">
        <w:rPr>
          <w:rFonts w:ascii="Garamond" w:hAnsi="Garamond" w:cs="Sylfaen"/>
        </w:rPr>
        <w:t xml:space="preserve">target in </w:t>
      </w:r>
      <w:r w:rsidR="000D14E4" w:rsidRPr="000F21D1">
        <w:rPr>
          <w:rFonts w:ascii="Garamond" w:hAnsi="Garamond" w:cs="Sylfaen"/>
        </w:rPr>
        <w:t xml:space="preserve">the second half of 2017. </w:t>
      </w:r>
      <w:r w:rsidR="00275AB5" w:rsidRPr="000F21D1">
        <w:rPr>
          <w:rFonts w:ascii="Garamond" w:hAnsi="Garamond" w:cs="Sylfaen"/>
        </w:rPr>
        <w:t>In view of such</w:t>
      </w:r>
      <w:r w:rsidR="00181D5F" w:rsidRPr="000F21D1">
        <w:rPr>
          <w:rFonts w:ascii="Garamond" w:hAnsi="Garamond" w:cs="Sylfaen"/>
        </w:rPr>
        <w:t xml:space="preserve"> inflation developments and </w:t>
      </w:r>
      <w:r w:rsidR="00275AB5" w:rsidRPr="000F21D1">
        <w:rPr>
          <w:rFonts w:ascii="Garamond" w:hAnsi="Garamond" w:cs="Sylfaen"/>
        </w:rPr>
        <w:t xml:space="preserve">fewer </w:t>
      </w:r>
      <w:r w:rsidR="00181D5F" w:rsidRPr="000F21D1">
        <w:rPr>
          <w:rFonts w:ascii="Garamond" w:hAnsi="Garamond" w:cs="Sylfaen"/>
        </w:rPr>
        <w:t xml:space="preserve">inflationary risks, the Bank of Russia will </w:t>
      </w:r>
      <w:r w:rsidR="00275AB5" w:rsidRPr="000F21D1">
        <w:rPr>
          <w:rFonts w:ascii="Garamond" w:hAnsi="Garamond" w:cs="Sylfaen"/>
        </w:rPr>
        <w:t xml:space="preserve">keep on adjusting the policy rates downward. </w:t>
      </w:r>
    </w:p>
    <w:p w14:paraId="0111637C" w14:textId="77777777" w:rsidR="00275AB5" w:rsidRPr="000F21D1" w:rsidRDefault="00275AB5" w:rsidP="00B117C8">
      <w:pPr>
        <w:spacing w:line="360" w:lineRule="auto"/>
        <w:jc w:val="both"/>
        <w:rPr>
          <w:rFonts w:ascii="Garamond" w:hAnsi="Garamond" w:cs="Sylfaen"/>
        </w:rPr>
      </w:pPr>
    </w:p>
    <w:p w14:paraId="13224AFD" w14:textId="77777777" w:rsidR="001C3604" w:rsidRPr="000F21D1" w:rsidRDefault="003603CD" w:rsidP="00B117C8">
      <w:pPr>
        <w:spacing w:line="360" w:lineRule="auto"/>
        <w:jc w:val="both"/>
        <w:rPr>
          <w:rFonts w:ascii="Garamond" w:hAnsi="Garamond" w:cs="Sylfaen"/>
          <w:color w:val="000000"/>
        </w:rPr>
      </w:pPr>
      <w:r w:rsidRPr="000F21D1">
        <w:rPr>
          <w:rFonts w:ascii="Garamond" w:hAnsi="Garamond" w:cs="Sylfaen"/>
          <w:color w:val="000000"/>
        </w:rPr>
        <w:t xml:space="preserve">According to the IMF </w:t>
      </w:r>
      <w:r w:rsidR="00520437" w:rsidRPr="000F21D1">
        <w:rPr>
          <w:rFonts w:ascii="Garamond" w:hAnsi="Garamond" w:cs="Sylfaen"/>
          <w:color w:val="000000"/>
        </w:rPr>
        <w:t>July</w:t>
      </w:r>
      <w:r w:rsidRPr="000F21D1">
        <w:rPr>
          <w:rFonts w:ascii="Garamond" w:hAnsi="Garamond" w:cs="Sylfaen"/>
          <w:color w:val="000000"/>
        </w:rPr>
        <w:t xml:space="preserve"> 2016 report “Global Economic Outlook”, world economic growth in 201</w:t>
      </w:r>
      <w:r w:rsidR="001C3604" w:rsidRPr="000F21D1">
        <w:rPr>
          <w:rFonts w:ascii="Garamond" w:hAnsi="Garamond" w:cs="Sylfaen"/>
          <w:color w:val="000000"/>
        </w:rPr>
        <w:t>6</w:t>
      </w:r>
      <w:r w:rsidRPr="000F21D1">
        <w:rPr>
          <w:rFonts w:ascii="Garamond" w:hAnsi="Garamond" w:cs="Sylfaen"/>
          <w:color w:val="000000"/>
        </w:rPr>
        <w:t xml:space="preserve"> is predicted to reach 3.</w:t>
      </w:r>
      <w:r w:rsidR="00520437" w:rsidRPr="000F21D1">
        <w:rPr>
          <w:rFonts w:ascii="Garamond" w:hAnsi="Garamond" w:cs="Sylfaen"/>
          <w:color w:val="000000"/>
        </w:rPr>
        <w:t>1</w:t>
      </w:r>
      <w:r w:rsidRPr="000F21D1">
        <w:rPr>
          <w:rFonts w:ascii="Garamond" w:hAnsi="Garamond" w:cs="Sylfaen"/>
          <w:color w:val="000000"/>
        </w:rPr>
        <w:t xml:space="preserve">%, which </w:t>
      </w:r>
      <w:r w:rsidR="001C3604" w:rsidRPr="000F21D1">
        <w:rPr>
          <w:rFonts w:ascii="Garamond" w:hAnsi="Garamond" w:cs="Sylfaen"/>
          <w:color w:val="000000"/>
        </w:rPr>
        <w:t>i</w:t>
      </w:r>
      <w:r w:rsidRPr="000F21D1">
        <w:rPr>
          <w:rFonts w:ascii="Garamond" w:hAnsi="Garamond" w:cs="Sylfaen"/>
          <w:color w:val="000000"/>
        </w:rPr>
        <w:t xml:space="preserve">s </w:t>
      </w:r>
      <w:r w:rsidR="001C3604" w:rsidRPr="000F21D1">
        <w:rPr>
          <w:rFonts w:ascii="Garamond" w:hAnsi="Garamond" w:cs="Sylfaen"/>
          <w:color w:val="000000"/>
        </w:rPr>
        <w:t xml:space="preserve">a </w:t>
      </w:r>
      <w:r w:rsidR="00520437" w:rsidRPr="000F21D1">
        <w:rPr>
          <w:rFonts w:ascii="Garamond" w:hAnsi="Garamond" w:cs="Sylfaen"/>
          <w:color w:val="000000"/>
        </w:rPr>
        <w:t>0.1</w:t>
      </w:r>
      <w:r w:rsidRPr="000F21D1">
        <w:rPr>
          <w:rFonts w:ascii="Garamond" w:hAnsi="Garamond" w:cs="Sylfaen"/>
          <w:color w:val="000000"/>
        </w:rPr>
        <w:t xml:space="preserve"> pp downside </w:t>
      </w:r>
      <w:r w:rsidR="001C3604" w:rsidRPr="000F21D1">
        <w:rPr>
          <w:rFonts w:ascii="Garamond" w:hAnsi="Garamond" w:cs="Sylfaen"/>
          <w:color w:val="000000"/>
        </w:rPr>
        <w:t>revision com</w:t>
      </w:r>
      <w:r w:rsidRPr="000F21D1">
        <w:rPr>
          <w:rFonts w:ascii="Garamond" w:hAnsi="Garamond" w:cs="Sylfaen"/>
          <w:color w:val="000000"/>
        </w:rPr>
        <w:t xml:space="preserve">pared to the previous publication of the report in </w:t>
      </w:r>
      <w:r w:rsidR="00520437" w:rsidRPr="000F21D1">
        <w:rPr>
          <w:rFonts w:ascii="Garamond" w:hAnsi="Garamond" w:cs="Sylfaen"/>
          <w:color w:val="000000"/>
        </w:rPr>
        <w:t>April</w:t>
      </w:r>
      <w:r w:rsidR="001C3604" w:rsidRPr="000F21D1">
        <w:rPr>
          <w:rFonts w:ascii="Garamond" w:hAnsi="Garamond" w:cs="Sylfaen"/>
          <w:color w:val="000000"/>
        </w:rPr>
        <w:t>.</w:t>
      </w:r>
    </w:p>
    <w:p w14:paraId="25A39591" w14:textId="77777777" w:rsidR="001C3604" w:rsidRPr="000F21D1" w:rsidRDefault="001C3604" w:rsidP="00B117C8">
      <w:pPr>
        <w:spacing w:line="360" w:lineRule="auto"/>
        <w:jc w:val="both"/>
        <w:rPr>
          <w:rFonts w:ascii="Garamond" w:hAnsi="Garamond" w:cs="Sylfaen"/>
          <w:color w:val="000000"/>
        </w:rPr>
      </w:pPr>
    </w:p>
    <w:p w14:paraId="0FADAFDC" w14:textId="77777777" w:rsidR="002525CE" w:rsidRPr="000F21D1" w:rsidRDefault="00520437" w:rsidP="00B117C8">
      <w:pPr>
        <w:spacing w:line="360" w:lineRule="auto"/>
        <w:jc w:val="both"/>
        <w:rPr>
          <w:rFonts w:ascii="Garamond" w:hAnsi="Garamond" w:cs="Sylfaen"/>
        </w:rPr>
      </w:pPr>
      <w:r w:rsidRPr="000F21D1">
        <w:rPr>
          <w:rFonts w:ascii="Garamond" w:hAnsi="Garamond" w:cs="Sylfaen"/>
        </w:rPr>
        <w:t xml:space="preserve">The prediction is that </w:t>
      </w:r>
      <w:r w:rsidR="001C3604" w:rsidRPr="000F21D1">
        <w:rPr>
          <w:rFonts w:ascii="Garamond" w:hAnsi="Garamond" w:cs="Sylfaen"/>
        </w:rPr>
        <w:t xml:space="preserve">prices will keep low in </w:t>
      </w:r>
      <w:r w:rsidR="001C3604" w:rsidRPr="000F21D1">
        <w:rPr>
          <w:rStyle w:val="longtext"/>
          <w:rFonts w:ascii="Garamond" w:hAnsi="Garamond"/>
          <w:b/>
          <w:color w:val="000000"/>
          <w:shd w:val="clear" w:color="auto" w:fill="FFFFFF"/>
        </w:rPr>
        <w:t>world commodity and food product markets</w:t>
      </w:r>
      <w:r w:rsidR="001C3604" w:rsidRPr="000F21D1">
        <w:rPr>
          <w:rStyle w:val="longtext"/>
          <w:rFonts w:ascii="Garamond" w:hAnsi="Garamond"/>
          <w:color w:val="000000"/>
          <w:shd w:val="clear" w:color="auto" w:fill="FFFFFF"/>
        </w:rPr>
        <w:t xml:space="preserve"> during </w:t>
      </w:r>
      <w:r w:rsidR="001C3604" w:rsidRPr="000F21D1">
        <w:rPr>
          <w:rFonts w:ascii="Garamond" w:hAnsi="Garamond" w:cs="Sylfaen"/>
        </w:rPr>
        <w:t>2016, and in the medium term perspective some inflationary trends will emerge on the back of rebounding global demand</w:t>
      </w:r>
      <w:r w:rsidRPr="000F21D1">
        <w:rPr>
          <w:rFonts w:ascii="Garamond" w:hAnsi="Garamond" w:cs="Sylfaen"/>
        </w:rPr>
        <w:t xml:space="preserve"> and somewhat contracting supply</w:t>
      </w:r>
      <w:r w:rsidR="001C3604" w:rsidRPr="000F21D1">
        <w:rPr>
          <w:rFonts w:ascii="Garamond" w:hAnsi="Garamond" w:cs="Sylfaen"/>
        </w:rPr>
        <w:t xml:space="preserve">. </w:t>
      </w:r>
    </w:p>
    <w:p w14:paraId="15405464" w14:textId="77777777" w:rsidR="0006742C" w:rsidRPr="000F21D1" w:rsidRDefault="0006742C" w:rsidP="00B117C8">
      <w:pPr>
        <w:spacing w:line="360" w:lineRule="auto"/>
        <w:jc w:val="both"/>
        <w:rPr>
          <w:rFonts w:ascii="Garamond" w:hAnsi="Garamond" w:cs="Sylfaen"/>
        </w:rPr>
      </w:pPr>
    </w:p>
    <w:p w14:paraId="5FF24AC5" w14:textId="77777777" w:rsidR="00751B76" w:rsidRPr="000F21D1" w:rsidRDefault="0006742C" w:rsidP="00B117C8">
      <w:pPr>
        <w:spacing w:line="360" w:lineRule="auto"/>
        <w:jc w:val="both"/>
        <w:rPr>
          <w:rFonts w:ascii="Garamond" w:hAnsi="Garamond"/>
        </w:rPr>
      </w:pPr>
      <w:r w:rsidRPr="000F21D1">
        <w:rPr>
          <w:rFonts w:ascii="Garamond" w:hAnsi="Garamond" w:cs="Sylfaen"/>
          <w:b/>
        </w:rPr>
        <w:t>Risks</w:t>
      </w:r>
      <w:r w:rsidRPr="000F21D1">
        <w:rPr>
          <w:rFonts w:ascii="Garamond" w:hAnsi="Garamond" w:cs="Sylfaen"/>
        </w:rPr>
        <w:t xml:space="preserve"> to the developments in global economy </w:t>
      </w:r>
      <w:r w:rsidR="00520437" w:rsidRPr="000F21D1">
        <w:rPr>
          <w:rFonts w:ascii="Garamond" w:hAnsi="Garamond" w:cs="Sylfaen"/>
        </w:rPr>
        <w:t xml:space="preserve">will </w:t>
      </w:r>
      <w:r w:rsidRPr="000F21D1">
        <w:rPr>
          <w:rFonts w:ascii="Garamond" w:hAnsi="Garamond" w:cs="Sylfaen"/>
        </w:rPr>
        <w:t>persist</w:t>
      </w:r>
      <w:r w:rsidR="00520437" w:rsidRPr="000F21D1">
        <w:rPr>
          <w:rFonts w:ascii="Garamond" w:hAnsi="Garamond" w:cs="Sylfaen"/>
        </w:rPr>
        <w:t xml:space="preserve"> </w:t>
      </w:r>
      <w:r w:rsidR="006E6DC7" w:rsidRPr="000F21D1">
        <w:rPr>
          <w:rFonts w:ascii="Garamond" w:hAnsi="Garamond" w:cs="Sylfaen"/>
        </w:rPr>
        <w:t>in general</w:t>
      </w:r>
      <w:r w:rsidRPr="000F21D1">
        <w:rPr>
          <w:rFonts w:ascii="Garamond" w:hAnsi="Garamond" w:cs="Sylfaen"/>
        </w:rPr>
        <w:t>.</w:t>
      </w:r>
      <w:r w:rsidR="00520437" w:rsidRPr="000F21D1">
        <w:rPr>
          <w:rFonts w:ascii="Garamond" w:hAnsi="Garamond" w:cs="Sylfaen"/>
          <w:lang w:val="hy-AM"/>
        </w:rPr>
        <w:t xml:space="preserve"> </w:t>
      </w:r>
      <w:r w:rsidR="00520437" w:rsidRPr="000F21D1">
        <w:rPr>
          <w:rFonts w:ascii="Garamond" w:hAnsi="Garamond" w:cs="Sylfaen"/>
          <w:color w:val="000000"/>
        </w:rPr>
        <w:t xml:space="preserve">More prominent risks </w:t>
      </w:r>
      <w:r w:rsidR="006E6DC7" w:rsidRPr="000F21D1">
        <w:rPr>
          <w:rFonts w:ascii="Garamond" w:hAnsi="Garamond" w:cs="Sylfaen"/>
          <w:color w:val="000000"/>
        </w:rPr>
        <w:t xml:space="preserve">include </w:t>
      </w:r>
      <w:r w:rsidR="006E6DC7" w:rsidRPr="000F21D1">
        <w:rPr>
          <w:rFonts w:ascii="Garamond" w:hAnsi="Garamond"/>
        </w:rPr>
        <w:t xml:space="preserve">capital flight to the U.S.A. from developing countries and, consequently, </w:t>
      </w:r>
      <w:r w:rsidR="008F0F9D" w:rsidRPr="000F21D1">
        <w:rPr>
          <w:rFonts w:ascii="Garamond" w:hAnsi="Garamond"/>
        </w:rPr>
        <w:t xml:space="preserve">further </w:t>
      </w:r>
      <w:r w:rsidR="006E6DC7" w:rsidRPr="000F21D1">
        <w:rPr>
          <w:rFonts w:ascii="Garamond" w:hAnsi="Garamond"/>
        </w:rPr>
        <w:t>volatilities in financial markets</w:t>
      </w:r>
      <w:r w:rsidR="008F0F9D" w:rsidRPr="000F21D1">
        <w:rPr>
          <w:rFonts w:ascii="Garamond" w:hAnsi="Garamond"/>
        </w:rPr>
        <w:t xml:space="preserve"> (including</w:t>
      </w:r>
      <w:r w:rsidR="006E6DC7" w:rsidRPr="000F21D1">
        <w:rPr>
          <w:rFonts w:ascii="Garamond" w:hAnsi="Garamond"/>
        </w:rPr>
        <w:t xml:space="preserve"> </w:t>
      </w:r>
      <w:r w:rsidR="008F0F9D" w:rsidRPr="000F21D1">
        <w:rPr>
          <w:rFonts w:ascii="Garamond" w:hAnsi="Garamond"/>
        </w:rPr>
        <w:t xml:space="preserve">owing to </w:t>
      </w:r>
      <w:r w:rsidR="00520437" w:rsidRPr="000F21D1">
        <w:rPr>
          <w:rFonts w:ascii="Garamond" w:hAnsi="Garamond"/>
        </w:rPr>
        <w:t>the processes in the European Union</w:t>
      </w:r>
      <w:r w:rsidR="008F0F9D" w:rsidRPr="000F21D1">
        <w:rPr>
          <w:rFonts w:ascii="Garamond" w:hAnsi="Garamond"/>
        </w:rPr>
        <w:t xml:space="preserve"> (see Box 2)</w:t>
      </w:r>
      <w:r w:rsidR="00520437" w:rsidRPr="000F21D1">
        <w:rPr>
          <w:rFonts w:ascii="Garamond" w:hAnsi="Garamond"/>
        </w:rPr>
        <w:t>, a likely slowdown of global economic growth resulting from structural reformation of the Chinese economy</w:t>
      </w:r>
      <w:r w:rsidR="008F0F9D" w:rsidRPr="000F21D1">
        <w:rPr>
          <w:rFonts w:ascii="Garamond" w:hAnsi="Garamond"/>
        </w:rPr>
        <w:t>,</w:t>
      </w:r>
      <w:r w:rsidR="00751B76" w:rsidRPr="000F21D1">
        <w:rPr>
          <w:rFonts w:ascii="Garamond" w:hAnsi="Garamond"/>
        </w:rPr>
        <w:t xml:space="preserve"> </w:t>
      </w:r>
      <w:r w:rsidR="008F0F9D" w:rsidRPr="000F21D1">
        <w:rPr>
          <w:rFonts w:ascii="Garamond" w:hAnsi="Garamond"/>
        </w:rPr>
        <w:t xml:space="preserve">continued </w:t>
      </w:r>
      <w:r w:rsidR="00751B76" w:rsidRPr="000F21D1">
        <w:rPr>
          <w:rFonts w:ascii="Garamond" w:hAnsi="Garamond"/>
        </w:rPr>
        <w:t>sluggish</w:t>
      </w:r>
      <w:r w:rsidR="008F0F9D" w:rsidRPr="000F21D1">
        <w:rPr>
          <w:rFonts w:ascii="Garamond" w:hAnsi="Garamond"/>
        </w:rPr>
        <w:t>ness</w:t>
      </w:r>
      <w:r w:rsidR="00751B76" w:rsidRPr="000F21D1">
        <w:rPr>
          <w:rFonts w:ascii="Garamond" w:hAnsi="Garamond"/>
        </w:rPr>
        <w:t xml:space="preserve"> </w:t>
      </w:r>
      <w:r w:rsidR="008F0F9D" w:rsidRPr="000F21D1">
        <w:rPr>
          <w:rFonts w:ascii="Garamond" w:hAnsi="Garamond"/>
        </w:rPr>
        <w:t xml:space="preserve">in </w:t>
      </w:r>
      <w:r w:rsidR="00751B76" w:rsidRPr="000F21D1">
        <w:rPr>
          <w:rFonts w:ascii="Garamond" w:hAnsi="Garamond"/>
        </w:rPr>
        <w:t>economic activity in developing countries and Russia a</w:t>
      </w:r>
      <w:r w:rsidR="008F0F9D" w:rsidRPr="000F21D1">
        <w:rPr>
          <w:rFonts w:ascii="Garamond" w:hAnsi="Garamond"/>
        </w:rPr>
        <w:t xml:space="preserve">s well as the </w:t>
      </w:r>
      <w:r w:rsidR="00751B76" w:rsidRPr="000F21D1">
        <w:rPr>
          <w:rFonts w:ascii="Garamond" w:hAnsi="Garamond"/>
        </w:rPr>
        <w:t>risks associated with geopolitical developments.</w:t>
      </w:r>
    </w:p>
    <w:p w14:paraId="6D2B3FDE" w14:textId="77777777" w:rsidR="00751B76" w:rsidRPr="000F21D1" w:rsidRDefault="00751B76" w:rsidP="00B117C8">
      <w:pPr>
        <w:spacing w:line="360" w:lineRule="auto"/>
        <w:jc w:val="both"/>
        <w:rPr>
          <w:rFonts w:ascii="Garamond" w:hAnsi="Garamond"/>
        </w:rPr>
      </w:pPr>
    </w:p>
    <w:tbl>
      <w:tblPr>
        <w:tblStyle w:val="TableGrid"/>
        <w:tblW w:w="0" w:type="auto"/>
        <w:tblLook w:val="04A0" w:firstRow="1" w:lastRow="0" w:firstColumn="1" w:lastColumn="0" w:noHBand="0" w:noVBand="1"/>
      </w:tblPr>
      <w:tblGrid>
        <w:gridCol w:w="9576"/>
      </w:tblGrid>
      <w:tr w:rsidR="002A098D" w:rsidRPr="00F720C4" w14:paraId="210D2101" w14:textId="77777777" w:rsidTr="002A098D">
        <w:tc>
          <w:tcPr>
            <w:tcW w:w="9576" w:type="dxa"/>
          </w:tcPr>
          <w:p w14:paraId="2F3E1725" w14:textId="77777777" w:rsidR="002A098D" w:rsidRPr="000F21D1" w:rsidRDefault="002A098D" w:rsidP="002A098D">
            <w:pPr>
              <w:spacing w:line="360" w:lineRule="auto"/>
              <w:jc w:val="right"/>
              <w:rPr>
                <w:rFonts w:ascii="Garamond" w:hAnsi="Garamond"/>
                <w:b/>
              </w:rPr>
            </w:pPr>
            <w:r w:rsidRPr="000F21D1">
              <w:rPr>
                <w:rFonts w:ascii="Garamond" w:hAnsi="Garamond"/>
                <w:b/>
              </w:rPr>
              <w:t>Box 1</w:t>
            </w:r>
          </w:p>
          <w:p w14:paraId="7C0AA4B4" w14:textId="77777777" w:rsidR="00133A63" w:rsidRPr="000F21D1" w:rsidRDefault="002A098D" w:rsidP="00133A63">
            <w:pPr>
              <w:spacing w:line="360" w:lineRule="auto"/>
              <w:jc w:val="center"/>
              <w:rPr>
                <w:rFonts w:ascii="Garamond" w:hAnsi="Garamond"/>
              </w:rPr>
            </w:pPr>
            <w:r w:rsidRPr="000F21D1">
              <w:rPr>
                <w:rFonts w:ascii="Garamond" w:hAnsi="Garamond"/>
                <w:b/>
              </w:rPr>
              <w:t>Developments in commodities markets</w:t>
            </w:r>
            <w:r w:rsidRPr="000F21D1">
              <w:rPr>
                <w:rFonts w:ascii="Garamond" w:hAnsi="Garamond" w:cs="Sylfaen"/>
                <w:b/>
              </w:rPr>
              <w:t xml:space="preserve"> in the forecast horizon</w:t>
            </w:r>
          </w:p>
          <w:p w14:paraId="3F5D8B6C" w14:textId="77777777" w:rsidR="002A098D" w:rsidRPr="000F21D1" w:rsidRDefault="002C2ACB" w:rsidP="002A098D">
            <w:pPr>
              <w:spacing w:line="360" w:lineRule="auto"/>
              <w:jc w:val="both"/>
              <w:rPr>
                <w:rFonts w:ascii="Garamond" w:hAnsi="Garamond"/>
              </w:rPr>
            </w:pPr>
            <w:r w:rsidRPr="000F21D1">
              <w:rPr>
                <w:rFonts w:ascii="Garamond" w:hAnsi="Garamond"/>
              </w:rPr>
              <w:t xml:space="preserve">The </w:t>
            </w:r>
            <w:r w:rsidR="00E23111" w:rsidRPr="000F21D1">
              <w:rPr>
                <w:rFonts w:ascii="Garamond" w:hAnsi="Garamond"/>
              </w:rPr>
              <w:t>A</w:t>
            </w:r>
            <w:r w:rsidR="005E7050" w:rsidRPr="000F21D1">
              <w:rPr>
                <w:rFonts w:ascii="Garamond" w:hAnsi="Garamond"/>
              </w:rPr>
              <w:t>ugust</w:t>
            </w:r>
            <w:r w:rsidR="00E23111" w:rsidRPr="000F21D1">
              <w:rPr>
                <w:rFonts w:ascii="Garamond" w:hAnsi="Garamond"/>
              </w:rPr>
              <w:t xml:space="preserve"> </w:t>
            </w:r>
            <w:r w:rsidRPr="000F21D1">
              <w:rPr>
                <w:rFonts w:ascii="Garamond" w:hAnsi="Garamond"/>
              </w:rPr>
              <w:t xml:space="preserve">2016 report of the </w:t>
            </w:r>
            <w:r w:rsidRPr="000F21D1">
              <w:rPr>
                <w:rFonts w:ascii="Garamond" w:hAnsi="Garamond"/>
                <w:b/>
              </w:rPr>
              <w:t>oil</w:t>
            </w:r>
            <w:r w:rsidRPr="000F21D1">
              <w:rPr>
                <w:rFonts w:ascii="Garamond" w:hAnsi="Garamond"/>
              </w:rPr>
              <w:t xml:space="preserve"> market published by OPEC predicts that the global oil demand </w:t>
            </w:r>
            <w:r w:rsidRPr="000F21D1">
              <w:rPr>
                <w:rFonts w:ascii="Garamond" w:hAnsi="Garamond"/>
              </w:rPr>
              <w:lastRenderedPageBreak/>
              <w:t>will grow in 2016 by 1.2</w:t>
            </w:r>
            <w:r w:rsidR="005E7050" w:rsidRPr="000F21D1">
              <w:rPr>
                <w:rFonts w:ascii="Garamond" w:hAnsi="Garamond"/>
              </w:rPr>
              <w:t>2</w:t>
            </w:r>
            <w:r w:rsidRPr="000F21D1">
              <w:rPr>
                <w:rFonts w:ascii="Garamond" w:hAnsi="Garamond"/>
              </w:rPr>
              <w:t xml:space="preserve"> million b/d and consumption will reach 94.</w:t>
            </w:r>
            <w:r w:rsidR="005E7050" w:rsidRPr="000F21D1">
              <w:rPr>
                <w:rFonts w:ascii="Garamond" w:hAnsi="Garamond"/>
              </w:rPr>
              <w:t>26</w:t>
            </w:r>
            <w:r w:rsidRPr="000F21D1">
              <w:rPr>
                <w:rFonts w:ascii="Garamond" w:hAnsi="Garamond"/>
              </w:rPr>
              <w:t xml:space="preserve"> million b/d. The report also foresees that oil production outside OPEC in 2016 will reduce by 0.</w:t>
            </w:r>
            <w:r w:rsidR="00E23111" w:rsidRPr="000F21D1">
              <w:rPr>
                <w:rFonts w:ascii="Garamond" w:hAnsi="Garamond"/>
              </w:rPr>
              <w:t>7</w:t>
            </w:r>
            <w:r w:rsidR="00DD125B" w:rsidRPr="000F21D1">
              <w:rPr>
                <w:rFonts w:ascii="Garamond" w:hAnsi="Garamond"/>
              </w:rPr>
              <w:t>9</w:t>
            </w:r>
            <w:r w:rsidRPr="000F21D1">
              <w:rPr>
                <w:rFonts w:ascii="Garamond" w:hAnsi="Garamond"/>
              </w:rPr>
              <w:t xml:space="preserve"> million b/d to 56.</w:t>
            </w:r>
            <w:r w:rsidR="00DD125B" w:rsidRPr="000F21D1">
              <w:rPr>
                <w:rFonts w:ascii="Garamond" w:hAnsi="Garamond"/>
              </w:rPr>
              <w:t>13</w:t>
            </w:r>
            <w:r w:rsidRPr="000F21D1">
              <w:rPr>
                <w:rFonts w:ascii="Garamond" w:hAnsi="Garamond"/>
              </w:rPr>
              <w:t xml:space="preserve"> million b/d on average.</w:t>
            </w:r>
            <w:r w:rsidR="00585EE7" w:rsidRPr="000F21D1">
              <w:rPr>
                <w:rFonts w:ascii="Garamond" w:hAnsi="Garamond"/>
                <w:lang w:val="hy-AM"/>
              </w:rPr>
              <w:t xml:space="preserve"> </w:t>
            </w:r>
            <w:r w:rsidRPr="000F21D1">
              <w:rPr>
                <w:rFonts w:ascii="Garamond" w:hAnsi="Garamond"/>
              </w:rPr>
              <w:t>Oil production by OPEC in 2016 will go up by 0.1</w:t>
            </w:r>
            <w:r w:rsidR="00DD125B" w:rsidRPr="000F21D1">
              <w:rPr>
                <w:rFonts w:ascii="Garamond" w:hAnsi="Garamond"/>
              </w:rPr>
              <w:t>6</w:t>
            </w:r>
            <w:r w:rsidRPr="000F21D1">
              <w:rPr>
                <w:rFonts w:ascii="Garamond" w:hAnsi="Garamond"/>
              </w:rPr>
              <w:t xml:space="preserve"> million b/d</w:t>
            </w:r>
            <w:r w:rsidR="00E23111" w:rsidRPr="000F21D1">
              <w:rPr>
                <w:rFonts w:ascii="Garamond" w:hAnsi="Garamond"/>
              </w:rPr>
              <w:t>.</w:t>
            </w:r>
            <w:r w:rsidR="00585EE7" w:rsidRPr="000F21D1">
              <w:rPr>
                <w:rFonts w:ascii="Garamond" w:hAnsi="Garamond"/>
                <w:lang w:val="hy-AM"/>
              </w:rPr>
              <w:t xml:space="preserve"> </w:t>
            </w:r>
            <w:r w:rsidR="00861ACA" w:rsidRPr="000F21D1">
              <w:rPr>
                <w:rFonts w:ascii="Garamond" w:hAnsi="Garamond"/>
              </w:rPr>
              <w:t xml:space="preserve">In spite of prediction that the oil demand will somewhat increase, </w:t>
            </w:r>
            <w:r w:rsidR="00E23111" w:rsidRPr="000F21D1">
              <w:rPr>
                <w:rFonts w:ascii="Garamond" w:hAnsi="Garamond"/>
              </w:rPr>
              <w:t xml:space="preserve">international oil prices will trend slightly </w:t>
            </w:r>
            <w:r w:rsidR="00861ACA" w:rsidRPr="000F21D1">
              <w:rPr>
                <w:rFonts w:ascii="Garamond" w:hAnsi="Garamond"/>
              </w:rPr>
              <w:t>down</w:t>
            </w:r>
            <w:r w:rsidR="00E23111" w:rsidRPr="000F21D1">
              <w:rPr>
                <w:rFonts w:ascii="Garamond" w:hAnsi="Garamond"/>
              </w:rPr>
              <w:t>ward in the short run</w:t>
            </w:r>
            <w:r w:rsidR="00861ACA" w:rsidRPr="000F21D1">
              <w:rPr>
                <w:rFonts w:ascii="Garamond" w:hAnsi="Garamond"/>
              </w:rPr>
              <w:t xml:space="preserve"> from high levels recorded in recent months. In the medium run however, prices are expected to keep low in the light of still a large volume of supply but relatively weak demand in the oil market. </w:t>
            </w:r>
            <w:r w:rsidR="000359CC" w:rsidRPr="000F21D1">
              <w:rPr>
                <w:rFonts w:ascii="Garamond" w:hAnsi="Garamond"/>
              </w:rPr>
              <w:t xml:space="preserve"> </w:t>
            </w:r>
          </w:p>
          <w:p w14:paraId="02BA75CC" w14:textId="77777777" w:rsidR="002C2ACB" w:rsidRPr="000F21D1" w:rsidRDefault="002C2ACB" w:rsidP="002A098D">
            <w:pPr>
              <w:spacing w:line="360" w:lineRule="auto"/>
              <w:jc w:val="both"/>
              <w:rPr>
                <w:rFonts w:ascii="Garamond" w:hAnsi="Garamond"/>
              </w:rPr>
            </w:pPr>
          </w:p>
          <w:p w14:paraId="4645B221" w14:textId="77777777" w:rsidR="00A4502A" w:rsidRPr="000F21D1" w:rsidRDefault="00332437" w:rsidP="002A098D">
            <w:pPr>
              <w:spacing w:line="360" w:lineRule="auto"/>
              <w:jc w:val="both"/>
              <w:rPr>
                <w:rFonts w:ascii="Garamond" w:hAnsi="Garamond" w:cs="Sylfaen"/>
              </w:rPr>
            </w:pPr>
            <w:r w:rsidRPr="000F21D1">
              <w:rPr>
                <w:rFonts w:ascii="Garamond" w:hAnsi="Garamond" w:cs="Sylfaen"/>
              </w:rPr>
              <w:t xml:space="preserve">Prices </w:t>
            </w:r>
            <w:r w:rsidR="002C2ACB" w:rsidRPr="000F21D1">
              <w:rPr>
                <w:rFonts w:ascii="Garamond" w:hAnsi="Garamond" w:cs="Sylfaen"/>
              </w:rPr>
              <w:t xml:space="preserve">in world </w:t>
            </w:r>
            <w:r w:rsidR="002C2ACB" w:rsidRPr="000F21D1">
              <w:rPr>
                <w:rFonts w:ascii="Garamond" w:hAnsi="Garamond" w:cs="Sylfaen"/>
                <w:b/>
              </w:rPr>
              <w:t>metals</w:t>
            </w:r>
            <w:r w:rsidR="002C2ACB" w:rsidRPr="000F21D1">
              <w:rPr>
                <w:rFonts w:ascii="Garamond" w:hAnsi="Garamond" w:cs="Sylfaen"/>
              </w:rPr>
              <w:t xml:space="preserve"> markets </w:t>
            </w:r>
            <w:r w:rsidRPr="000F21D1">
              <w:rPr>
                <w:rFonts w:ascii="Garamond" w:hAnsi="Garamond" w:cs="Sylfaen"/>
              </w:rPr>
              <w:t xml:space="preserve">will </w:t>
            </w:r>
            <w:r w:rsidR="00A4502A" w:rsidRPr="000F21D1">
              <w:rPr>
                <w:rFonts w:ascii="Garamond" w:hAnsi="Garamond" w:cs="Sylfaen"/>
              </w:rPr>
              <w:t>continue demonstrating</w:t>
            </w:r>
            <w:r w:rsidRPr="000F21D1">
              <w:rPr>
                <w:rFonts w:ascii="Garamond" w:hAnsi="Garamond" w:cs="Sylfaen"/>
              </w:rPr>
              <w:t xml:space="preserve"> signs of modest growth, </w:t>
            </w:r>
            <w:r w:rsidR="009471FB" w:rsidRPr="000F21D1">
              <w:rPr>
                <w:rFonts w:ascii="Garamond" w:hAnsi="Garamond" w:cs="Sylfaen"/>
              </w:rPr>
              <w:t>m</w:t>
            </w:r>
            <w:r w:rsidR="00A4502A" w:rsidRPr="000F21D1">
              <w:rPr>
                <w:rFonts w:ascii="Garamond" w:hAnsi="Garamond" w:cs="Sylfaen"/>
              </w:rPr>
              <w:t xml:space="preserve">ostly </w:t>
            </w:r>
            <w:r w:rsidR="009471FB" w:rsidRPr="000F21D1">
              <w:rPr>
                <w:rFonts w:ascii="Garamond" w:hAnsi="Garamond" w:cs="Sylfaen"/>
              </w:rPr>
              <w:t xml:space="preserve">reflecting </w:t>
            </w:r>
            <w:r w:rsidR="00A4502A" w:rsidRPr="000F21D1">
              <w:rPr>
                <w:rFonts w:ascii="Garamond" w:hAnsi="Garamond" w:cs="Sylfaen"/>
              </w:rPr>
              <w:t xml:space="preserve">somewhat added industry volumes in China. In 2016 world copper markets anticipate certain recovery of demand in three major copper consumers – China, the European Union and the U.S.A. </w:t>
            </w:r>
            <w:r w:rsidR="00CE66DD" w:rsidRPr="000F21D1">
              <w:rPr>
                <w:rFonts w:ascii="Garamond" w:hAnsi="Garamond" w:cs="Sylfaen"/>
              </w:rPr>
              <w:t>T</w:t>
            </w:r>
            <w:r w:rsidR="00A4502A" w:rsidRPr="000F21D1">
              <w:rPr>
                <w:rFonts w:ascii="Garamond" w:hAnsi="Garamond" w:cs="Sylfaen"/>
              </w:rPr>
              <w:t>here are certain risks</w:t>
            </w:r>
            <w:r w:rsidR="00CE66DD" w:rsidRPr="000F21D1">
              <w:rPr>
                <w:rFonts w:ascii="Garamond" w:hAnsi="Garamond" w:cs="Sylfaen"/>
              </w:rPr>
              <w:t xml:space="preserve"> in the copper market </w:t>
            </w:r>
            <w:r w:rsidR="00A4502A" w:rsidRPr="000F21D1">
              <w:rPr>
                <w:rFonts w:ascii="Garamond" w:hAnsi="Garamond" w:cs="Sylfaen"/>
              </w:rPr>
              <w:t xml:space="preserve">due to uncertainties </w:t>
            </w:r>
            <w:r w:rsidR="00CE66DD" w:rsidRPr="000F21D1">
              <w:rPr>
                <w:rFonts w:ascii="Garamond" w:hAnsi="Garamond" w:cs="Sylfaen"/>
              </w:rPr>
              <w:t xml:space="preserve">about how the producers will agree upon setting </w:t>
            </w:r>
            <w:r w:rsidR="00A4502A" w:rsidRPr="000F21D1">
              <w:rPr>
                <w:rFonts w:ascii="Garamond" w:hAnsi="Garamond" w:cs="Sylfaen"/>
              </w:rPr>
              <w:t>limit</w:t>
            </w:r>
            <w:r w:rsidR="00CE66DD" w:rsidRPr="000F21D1">
              <w:rPr>
                <w:rFonts w:ascii="Garamond" w:hAnsi="Garamond" w:cs="Sylfaen"/>
              </w:rPr>
              <w:t xml:space="preserve">s on </w:t>
            </w:r>
            <w:r w:rsidR="00A4502A" w:rsidRPr="000F21D1">
              <w:rPr>
                <w:rFonts w:ascii="Garamond" w:hAnsi="Garamond" w:cs="Sylfaen"/>
              </w:rPr>
              <w:t xml:space="preserve">the </w:t>
            </w:r>
            <w:r w:rsidR="00CE66DD" w:rsidRPr="000F21D1">
              <w:rPr>
                <w:rFonts w:ascii="Garamond" w:hAnsi="Garamond" w:cs="Sylfaen"/>
              </w:rPr>
              <w:t xml:space="preserve">production </w:t>
            </w:r>
            <w:r w:rsidR="00A4502A" w:rsidRPr="000F21D1">
              <w:rPr>
                <w:rFonts w:ascii="Garamond" w:hAnsi="Garamond" w:cs="Sylfaen"/>
              </w:rPr>
              <w:t>volume</w:t>
            </w:r>
            <w:r w:rsidR="00CE66DD" w:rsidRPr="000F21D1">
              <w:rPr>
                <w:rFonts w:ascii="Garamond" w:hAnsi="Garamond" w:cs="Sylfaen"/>
              </w:rPr>
              <w:t>s</w:t>
            </w:r>
            <w:r w:rsidR="00A4502A" w:rsidRPr="000F21D1">
              <w:rPr>
                <w:rFonts w:ascii="Garamond" w:hAnsi="Garamond" w:cs="Sylfaen"/>
              </w:rPr>
              <w:t xml:space="preserve">, </w:t>
            </w:r>
            <w:r w:rsidR="00CE66DD" w:rsidRPr="000F21D1">
              <w:rPr>
                <w:rFonts w:ascii="Garamond" w:hAnsi="Garamond" w:cs="Sylfaen"/>
              </w:rPr>
              <w:t xml:space="preserve">since </w:t>
            </w:r>
            <w:r w:rsidR="00A4502A" w:rsidRPr="000F21D1">
              <w:rPr>
                <w:rFonts w:ascii="Garamond" w:hAnsi="Garamond" w:cs="Sylfaen"/>
              </w:rPr>
              <w:t xml:space="preserve">the decision to reduce </w:t>
            </w:r>
            <w:r w:rsidR="00CE66DD" w:rsidRPr="000F21D1">
              <w:rPr>
                <w:rFonts w:ascii="Garamond" w:hAnsi="Garamond" w:cs="Sylfaen"/>
              </w:rPr>
              <w:t xml:space="preserve">production volumes by key copper </w:t>
            </w:r>
            <w:r w:rsidR="00A4502A" w:rsidRPr="000F21D1">
              <w:rPr>
                <w:rFonts w:ascii="Garamond" w:hAnsi="Garamond" w:cs="Sylfaen"/>
              </w:rPr>
              <w:t>mining companies in China earlier this year after a rise in copper prices has been postponed.</w:t>
            </w:r>
          </w:p>
          <w:p w14:paraId="7ACF7D78" w14:textId="77777777" w:rsidR="00A4502A" w:rsidRPr="000F21D1" w:rsidRDefault="00A4502A" w:rsidP="002A098D">
            <w:pPr>
              <w:spacing w:line="360" w:lineRule="auto"/>
              <w:jc w:val="both"/>
              <w:rPr>
                <w:rFonts w:ascii="Garamond" w:hAnsi="Garamond" w:cs="Sylfaen"/>
              </w:rPr>
            </w:pPr>
          </w:p>
          <w:p w14:paraId="050D6181" w14:textId="77777777" w:rsidR="00F2030E" w:rsidRPr="000F21D1" w:rsidRDefault="003D6B47" w:rsidP="002A098D">
            <w:pPr>
              <w:spacing w:line="360" w:lineRule="auto"/>
              <w:jc w:val="both"/>
              <w:rPr>
                <w:rFonts w:ascii="Garamond" w:hAnsi="Garamond" w:cs="Sylfaen"/>
                <w:color w:val="000000"/>
              </w:rPr>
            </w:pPr>
            <w:r w:rsidRPr="000F21D1">
              <w:rPr>
                <w:rFonts w:ascii="Garamond" w:hAnsi="Garamond"/>
              </w:rPr>
              <w:t xml:space="preserve">According to the </w:t>
            </w:r>
            <w:r w:rsidR="00C13B8F" w:rsidRPr="000F21D1">
              <w:rPr>
                <w:rFonts w:ascii="Garamond" w:hAnsi="Garamond"/>
              </w:rPr>
              <w:t>July</w:t>
            </w:r>
            <w:r w:rsidR="00585EE7" w:rsidRPr="000F21D1">
              <w:rPr>
                <w:rFonts w:ascii="Garamond" w:hAnsi="Garamond"/>
                <w:lang w:val="hy-AM"/>
              </w:rPr>
              <w:t xml:space="preserve"> </w:t>
            </w:r>
            <w:r w:rsidRPr="000F21D1">
              <w:rPr>
                <w:rFonts w:ascii="Garamond" w:hAnsi="Garamond"/>
                <w:color w:val="000000"/>
              </w:rPr>
              <w:t>estimates of the U.S. Department of Agriculture, in the 201</w:t>
            </w:r>
            <w:r w:rsidR="00C13B8F" w:rsidRPr="000F21D1">
              <w:rPr>
                <w:rFonts w:ascii="Garamond" w:hAnsi="Garamond"/>
                <w:color w:val="000000"/>
              </w:rPr>
              <w:t>6</w:t>
            </w:r>
            <w:r w:rsidRPr="000F21D1">
              <w:rPr>
                <w:rFonts w:ascii="Garamond" w:hAnsi="Garamond"/>
                <w:color w:val="000000"/>
              </w:rPr>
              <w:t>/201</w:t>
            </w:r>
            <w:r w:rsidR="00C13B8F" w:rsidRPr="000F21D1">
              <w:rPr>
                <w:rFonts w:ascii="Garamond" w:hAnsi="Garamond"/>
                <w:color w:val="000000"/>
              </w:rPr>
              <w:t>7</w:t>
            </w:r>
            <w:r w:rsidRPr="000F21D1">
              <w:rPr>
                <w:rFonts w:ascii="Garamond" w:hAnsi="Garamond"/>
                <w:color w:val="000000"/>
              </w:rPr>
              <w:t xml:space="preserve"> marketing year some 73</w:t>
            </w:r>
            <w:r w:rsidR="00C13B8F" w:rsidRPr="000F21D1">
              <w:rPr>
                <w:rFonts w:ascii="Garamond" w:hAnsi="Garamond"/>
                <w:color w:val="000000"/>
              </w:rPr>
              <w:t>8</w:t>
            </w:r>
            <w:r w:rsidRPr="000F21D1">
              <w:rPr>
                <w:rFonts w:ascii="Garamond" w:hAnsi="Garamond"/>
                <w:color w:val="000000"/>
              </w:rPr>
              <w:t>.</w:t>
            </w:r>
            <w:r w:rsidR="00C13B8F" w:rsidRPr="000F21D1">
              <w:rPr>
                <w:rFonts w:ascii="Garamond" w:hAnsi="Garamond"/>
                <w:color w:val="000000"/>
              </w:rPr>
              <w:t>5</w:t>
            </w:r>
            <w:r w:rsidRPr="000F21D1">
              <w:rPr>
                <w:rFonts w:ascii="Garamond" w:hAnsi="Garamond"/>
                <w:color w:val="000000"/>
              </w:rPr>
              <w:t xml:space="preserve"> million tons of </w:t>
            </w:r>
            <w:r w:rsidRPr="000F21D1">
              <w:rPr>
                <w:rFonts w:ascii="Garamond" w:hAnsi="Garamond"/>
                <w:b/>
                <w:color w:val="000000"/>
              </w:rPr>
              <w:t>wheat</w:t>
            </w:r>
            <w:r w:rsidRPr="000F21D1">
              <w:rPr>
                <w:rFonts w:ascii="Garamond" w:hAnsi="Garamond"/>
                <w:color w:val="000000"/>
              </w:rPr>
              <w:t xml:space="preserve"> crops is expected</w:t>
            </w:r>
            <w:r w:rsidRPr="000F21D1">
              <w:rPr>
                <w:rFonts w:ascii="Garamond" w:hAnsi="Garamond" w:cs="Sylfaen"/>
                <w:color w:val="000000"/>
              </w:rPr>
              <w:t>.</w:t>
            </w:r>
            <w:r w:rsidR="00A4502A" w:rsidRPr="000F21D1">
              <w:rPr>
                <w:rFonts w:ascii="Garamond" w:hAnsi="Garamond" w:cs="Sylfaen"/>
                <w:color w:val="000000"/>
              </w:rPr>
              <w:t xml:space="preserve"> </w:t>
            </w:r>
            <w:r w:rsidR="00624325" w:rsidRPr="000F21D1">
              <w:rPr>
                <w:rFonts w:ascii="Garamond" w:hAnsi="Garamond" w:cs="Sylfaen"/>
              </w:rPr>
              <w:t xml:space="preserve">According to estimations, </w:t>
            </w:r>
            <w:r w:rsidR="00C13B8F" w:rsidRPr="000F21D1">
              <w:rPr>
                <w:rFonts w:ascii="Garamond" w:hAnsi="Garamond" w:cs="Sylfaen"/>
              </w:rPr>
              <w:t xml:space="preserve">despite the reduction of 4.1 million tons, </w:t>
            </w:r>
            <w:r w:rsidRPr="000F21D1">
              <w:rPr>
                <w:rFonts w:ascii="Garamond" w:hAnsi="Garamond"/>
                <w:color w:val="000000"/>
              </w:rPr>
              <w:t xml:space="preserve">world wheat stock </w:t>
            </w:r>
            <w:r w:rsidR="00624325" w:rsidRPr="000F21D1">
              <w:rPr>
                <w:rFonts w:ascii="Garamond" w:hAnsi="Garamond"/>
                <w:color w:val="000000"/>
              </w:rPr>
              <w:t xml:space="preserve">will reach a record amount of </w:t>
            </w:r>
            <w:r w:rsidRPr="000F21D1">
              <w:rPr>
                <w:rFonts w:ascii="Garamond" w:hAnsi="Garamond" w:cs="Sylfaen"/>
                <w:color w:val="000000"/>
              </w:rPr>
              <w:t>2</w:t>
            </w:r>
            <w:r w:rsidR="00C13B8F" w:rsidRPr="000F21D1">
              <w:rPr>
                <w:rFonts w:ascii="Garamond" w:hAnsi="Garamond" w:cs="Sylfaen"/>
                <w:color w:val="000000"/>
              </w:rPr>
              <w:t>53</w:t>
            </w:r>
            <w:r w:rsidRPr="000F21D1">
              <w:rPr>
                <w:rFonts w:ascii="Garamond" w:hAnsi="Garamond" w:cs="Sylfaen"/>
                <w:color w:val="000000"/>
              </w:rPr>
              <w:t>.</w:t>
            </w:r>
            <w:r w:rsidR="00C13B8F" w:rsidRPr="000F21D1">
              <w:rPr>
                <w:rFonts w:ascii="Garamond" w:hAnsi="Garamond" w:cs="Sylfaen"/>
                <w:color w:val="000000"/>
              </w:rPr>
              <w:t>7</w:t>
            </w:r>
            <w:r w:rsidRPr="000F21D1">
              <w:rPr>
                <w:rFonts w:ascii="Garamond" w:hAnsi="Garamond" w:cs="Sylfaen"/>
                <w:color w:val="000000"/>
              </w:rPr>
              <w:t xml:space="preserve"> million tons for </w:t>
            </w:r>
            <w:r w:rsidRPr="000F21D1">
              <w:rPr>
                <w:rFonts w:ascii="Garamond" w:hAnsi="Garamond"/>
                <w:color w:val="000000"/>
              </w:rPr>
              <w:t>the 201</w:t>
            </w:r>
            <w:r w:rsidR="00C13B8F" w:rsidRPr="000F21D1">
              <w:rPr>
                <w:rFonts w:ascii="Garamond" w:hAnsi="Garamond"/>
                <w:color w:val="000000"/>
              </w:rPr>
              <w:t>6</w:t>
            </w:r>
            <w:r w:rsidRPr="000F21D1">
              <w:rPr>
                <w:rFonts w:ascii="Garamond" w:hAnsi="Garamond"/>
                <w:color w:val="000000"/>
              </w:rPr>
              <w:t>/201</w:t>
            </w:r>
            <w:r w:rsidR="00C13B8F" w:rsidRPr="000F21D1">
              <w:rPr>
                <w:rFonts w:ascii="Garamond" w:hAnsi="Garamond"/>
                <w:color w:val="000000"/>
              </w:rPr>
              <w:t>7</w:t>
            </w:r>
            <w:r w:rsidRPr="000F21D1">
              <w:rPr>
                <w:rFonts w:ascii="Garamond" w:hAnsi="Garamond"/>
                <w:color w:val="000000"/>
              </w:rPr>
              <w:t xml:space="preserve"> marketing year. </w:t>
            </w:r>
            <w:r w:rsidR="00C13B8F" w:rsidRPr="000F21D1">
              <w:rPr>
                <w:rFonts w:ascii="Garamond" w:hAnsi="Garamond"/>
                <w:color w:val="000000"/>
              </w:rPr>
              <w:t>T</w:t>
            </w:r>
            <w:r w:rsidRPr="000F21D1">
              <w:rPr>
                <w:rFonts w:ascii="Garamond" w:hAnsi="Garamond" w:cs="Sylfaen"/>
                <w:color w:val="000000"/>
              </w:rPr>
              <w:t>h</w:t>
            </w:r>
            <w:r w:rsidR="00805C31" w:rsidRPr="000F21D1">
              <w:rPr>
                <w:rFonts w:ascii="Garamond" w:hAnsi="Garamond" w:cs="Sylfaen"/>
                <w:color w:val="000000"/>
              </w:rPr>
              <w:t>e</w:t>
            </w:r>
            <w:r w:rsidRPr="000F21D1">
              <w:rPr>
                <w:rFonts w:ascii="Garamond" w:hAnsi="Garamond" w:cs="Sylfaen"/>
                <w:color w:val="000000"/>
              </w:rPr>
              <w:t xml:space="preserve"> wheat supply</w:t>
            </w:r>
            <w:r w:rsidR="00805C31" w:rsidRPr="000F21D1">
              <w:rPr>
                <w:rFonts w:ascii="Garamond" w:hAnsi="Garamond" w:cs="Sylfaen"/>
                <w:color w:val="000000"/>
              </w:rPr>
              <w:t xml:space="preserve"> </w:t>
            </w:r>
            <w:r w:rsidR="00C13B8F" w:rsidRPr="000F21D1">
              <w:rPr>
                <w:rFonts w:ascii="Garamond" w:hAnsi="Garamond" w:cs="Sylfaen"/>
                <w:color w:val="000000"/>
              </w:rPr>
              <w:t xml:space="preserve">with such volumes </w:t>
            </w:r>
            <w:r w:rsidRPr="000F21D1">
              <w:rPr>
                <w:rFonts w:ascii="Garamond" w:hAnsi="Garamond" w:cs="Sylfaen"/>
                <w:color w:val="000000"/>
              </w:rPr>
              <w:t xml:space="preserve">will determine </w:t>
            </w:r>
            <w:r w:rsidR="00C13B8F" w:rsidRPr="000F21D1">
              <w:rPr>
                <w:rFonts w:ascii="Garamond" w:hAnsi="Garamond" w:cs="Sylfaen"/>
                <w:color w:val="000000"/>
              </w:rPr>
              <w:t xml:space="preserve">minor </w:t>
            </w:r>
            <w:r w:rsidRPr="000F21D1">
              <w:rPr>
                <w:rFonts w:ascii="Garamond" w:hAnsi="Garamond" w:cs="Sylfaen"/>
                <w:color w:val="000000"/>
              </w:rPr>
              <w:t xml:space="preserve">deflationary patterns </w:t>
            </w:r>
            <w:r w:rsidR="00805C31" w:rsidRPr="000F21D1">
              <w:rPr>
                <w:rFonts w:ascii="Garamond" w:hAnsi="Garamond" w:cs="Sylfaen"/>
                <w:color w:val="000000"/>
              </w:rPr>
              <w:t xml:space="preserve">to be persisting </w:t>
            </w:r>
            <w:r w:rsidRPr="000F21D1">
              <w:rPr>
                <w:rFonts w:ascii="Garamond" w:hAnsi="Garamond" w:cs="Sylfaen"/>
                <w:color w:val="000000"/>
              </w:rPr>
              <w:t>in the short run.</w:t>
            </w:r>
            <w:r w:rsidR="00805C31" w:rsidRPr="000F21D1">
              <w:rPr>
                <w:rFonts w:ascii="Garamond" w:hAnsi="Garamond" w:cs="Sylfaen"/>
                <w:color w:val="000000"/>
              </w:rPr>
              <w:t xml:space="preserve"> However, </w:t>
            </w:r>
            <w:r w:rsidR="00B12CCE" w:rsidRPr="000F21D1">
              <w:rPr>
                <w:rFonts w:ascii="Garamond" w:hAnsi="Garamond" w:cs="Sylfaen"/>
                <w:color w:val="000000"/>
              </w:rPr>
              <w:t>trends of weak price growth will be observable in the medium run as some contraction in the production in</w:t>
            </w:r>
            <w:r w:rsidR="00805C31" w:rsidRPr="000F21D1">
              <w:rPr>
                <w:rFonts w:ascii="Garamond" w:hAnsi="Garamond" w:cs="Sylfaen"/>
                <w:color w:val="000000"/>
              </w:rPr>
              <w:t xml:space="preserve"> the next marketing year</w:t>
            </w:r>
            <w:r w:rsidR="00B12CCE" w:rsidRPr="000F21D1">
              <w:rPr>
                <w:rFonts w:ascii="Garamond" w:hAnsi="Garamond" w:cs="Sylfaen"/>
                <w:color w:val="000000"/>
              </w:rPr>
              <w:t xml:space="preserve"> as well as </w:t>
            </w:r>
            <w:r w:rsidR="00805C31" w:rsidRPr="000F21D1">
              <w:rPr>
                <w:rFonts w:ascii="Garamond" w:hAnsi="Garamond" w:cs="Sylfaen"/>
                <w:color w:val="000000"/>
              </w:rPr>
              <w:t xml:space="preserve">gradual recovery of the global demand </w:t>
            </w:r>
            <w:r w:rsidR="00B12CCE" w:rsidRPr="000F21D1">
              <w:rPr>
                <w:rFonts w:ascii="Garamond" w:hAnsi="Garamond" w:cs="Sylfaen"/>
                <w:color w:val="000000"/>
              </w:rPr>
              <w:t>is li</w:t>
            </w:r>
            <w:r w:rsidR="00417635" w:rsidRPr="000F21D1">
              <w:rPr>
                <w:rFonts w:ascii="Garamond" w:hAnsi="Garamond" w:cs="Sylfaen"/>
                <w:color w:val="000000"/>
              </w:rPr>
              <w:t>kely</w:t>
            </w:r>
            <w:r w:rsidR="00B12CCE" w:rsidRPr="000F21D1">
              <w:rPr>
                <w:rFonts w:ascii="Garamond" w:hAnsi="Garamond" w:cs="Sylfaen"/>
                <w:color w:val="000000"/>
              </w:rPr>
              <w:t>.</w:t>
            </w:r>
          </w:p>
          <w:p w14:paraId="6D623D8B" w14:textId="77777777" w:rsidR="00F2030E" w:rsidRPr="000F21D1" w:rsidRDefault="00F2030E" w:rsidP="002A098D">
            <w:pPr>
              <w:spacing w:line="360" w:lineRule="auto"/>
              <w:jc w:val="both"/>
              <w:rPr>
                <w:rFonts w:ascii="Garamond" w:hAnsi="Garamond" w:cs="Sylfaen"/>
                <w:color w:val="000000"/>
              </w:rPr>
            </w:pPr>
          </w:p>
          <w:p w14:paraId="6CDFF9BA" w14:textId="77777777" w:rsidR="003D6B47" w:rsidRPr="000F21D1" w:rsidRDefault="00417635" w:rsidP="002A098D">
            <w:pPr>
              <w:spacing w:line="360" w:lineRule="auto"/>
              <w:jc w:val="both"/>
              <w:rPr>
                <w:rFonts w:ascii="Garamond" w:hAnsi="Garamond" w:cs="Sylfaen"/>
                <w:color w:val="000000"/>
              </w:rPr>
            </w:pPr>
            <w:r w:rsidRPr="000F21D1">
              <w:rPr>
                <w:rFonts w:ascii="Garamond" w:hAnsi="Garamond" w:cs="Sylfaen"/>
              </w:rPr>
              <w:t xml:space="preserve">According to </w:t>
            </w:r>
            <w:r w:rsidRPr="000F21D1">
              <w:rPr>
                <w:rFonts w:ascii="Garamond" w:hAnsi="Garamond"/>
                <w:color w:val="000000"/>
              </w:rPr>
              <w:t>U.S. Department of Agriculture</w:t>
            </w:r>
            <w:r w:rsidRPr="000F21D1">
              <w:rPr>
                <w:rFonts w:ascii="Garamond" w:hAnsi="Garamond" w:cs="Sylfaen"/>
              </w:rPr>
              <w:t xml:space="preserve"> estimates, world </w:t>
            </w:r>
            <w:r w:rsidRPr="000F21D1">
              <w:rPr>
                <w:rFonts w:ascii="Garamond" w:hAnsi="Garamond" w:cs="Sylfaen"/>
                <w:b/>
              </w:rPr>
              <w:t>rice</w:t>
            </w:r>
            <w:r w:rsidRPr="000F21D1">
              <w:rPr>
                <w:rFonts w:ascii="Garamond" w:hAnsi="Garamond" w:cs="Sylfaen"/>
              </w:rPr>
              <w:t xml:space="preserve"> production in the 201</w:t>
            </w:r>
            <w:r w:rsidR="006727F8" w:rsidRPr="000F21D1">
              <w:rPr>
                <w:rFonts w:ascii="Garamond" w:hAnsi="Garamond" w:cs="Sylfaen"/>
              </w:rPr>
              <w:t>6</w:t>
            </w:r>
            <w:r w:rsidRPr="000F21D1">
              <w:rPr>
                <w:rFonts w:ascii="Garamond" w:hAnsi="Garamond" w:cs="Sylfaen"/>
              </w:rPr>
              <w:t>/201</w:t>
            </w:r>
            <w:r w:rsidR="006727F8" w:rsidRPr="000F21D1">
              <w:rPr>
                <w:rFonts w:ascii="Garamond" w:hAnsi="Garamond" w:cs="Sylfaen"/>
              </w:rPr>
              <w:t>7</w:t>
            </w:r>
            <w:r w:rsidRPr="000F21D1">
              <w:rPr>
                <w:rFonts w:ascii="Garamond" w:hAnsi="Garamond" w:cs="Sylfaen"/>
              </w:rPr>
              <w:t xml:space="preserve"> marketing year</w:t>
            </w:r>
            <w:r w:rsidR="00585EE7" w:rsidRPr="000F21D1">
              <w:rPr>
                <w:rFonts w:ascii="Garamond" w:hAnsi="Garamond" w:cs="Sylfaen"/>
                <w:lang w:val="hy-AM"/>
              </w:rPr>
              <w:t xml:space="preserve"> </w:t>
            </w:r>
            <w:r w:rsidRPr="000F21D1">
              <w:rPr>
                <w:rFonts w:ascii="Garamond" w:hAnsi="Garamond" w:cs="Sylfaen"/>
              </w:rPr>
              <w:t xml:space="preserve">will </w:t>
            </w:r>
            <w:r w:rsidR="00DD54DF" w:rsidRPr="000F21D1">
              <w:rPr>
                <w:rFonts w:ascii="Garamond" w:hAnsi="Garamond" w:cs="Sylfaen"/>
              </w:rPr>
              <w:t xml:space="preserve">be </w:t>
            </w:r>
            <w:r w:rsidRPr="000F21D1">
              <w:rPr>
                <w:rFonts w:ascii="Garamond" w:hAnsi="Garamond" w:cs="Sylfaen"/>
              </w:rPr>
              <w:t>4</w:t>
            </w:r>
            <w:r w:rsidR="00DD54DF" w:rsidRPr="000F21D1">
              <w:rPr>
                <w:rFonts w:ascii="Garamond" w:hAnsi="Garamond" w:cs="Sylfaen"/>
              </w:rPr>
              <w:t>81</w:t>
            </w:r>
            <w:r w:rsidRPr="000F21D1">
              <w:rPr>
                <w:rFonts w:ascii="Garamond" w:hAnsi="Garamond" w:cs="Sylfaen"/>
              </w:rPr>
              <w:t>.</w:t>
            </w:r>
            <w:r w:rsidR="00DD54DF" w:rsidRPr="000F21D1">
              <w:rPr>
                <w:rFonts w:ascii="Garamond" w:hAnsi="Garamond" w:cs="Sylfaen"/>
              </w:rPr>
              <w:t>2</w:t>
            </w:r>
            <w:r w:rsidRPr="000F21D1">
              <w:rPr>
                <w:rFonts w:ascii="Garamond" w:hAnsi="Garamond" w:cs="Sylfaen"/>
              </w:rPr>
              <w:t xml:space="preserve"> million tons, and world rice stocks will reach </w:t>
            </w:r>
            <w:r w:rsidR="00DD54DF" w:rsidRPr="000F21D1">
              <w:rPr>
                <w:rFonts w:ascii="Garamond" w:hAnsi="Garamond" w:cs="Sylfaen"/>
              </w:rPr>
              <w:t>107</w:t>
            </w:r>
            <w:r w:rsidRPr="000F21D1">
              <w:rPr>
                <w:rFonts w:ascii="Garamond" w:hAnsi="Garamond" w:cs="Sylfaen"/>
              </w:rPr>
              <w:t>.</w:t>
            </w:r>
            <w:r w:rsidR="00DD54DF" w:rsidRPr="000F21D1">
              <w:rPr>
                <w:rFonts w:ascii="Garamond" w:hAnsi="Garamond" w:cs="Sylfaen"/>
              </w:rPr>
              <w:t>3</w:t>
            </w:r>
            <w:r w:rsidRPr="000F21D1">
              <w:rPr>
                <w:rFonts w:ascii="Garamond" w:hAnsi="Garamond" w:cs="Sylfaen"/>
              </w:rPr>
              <w:t xml:space="preserve"> million tons, </w:t>
            </w:r>
            <w:r w:rsidR="00DD54DF" w:rsidRPr="000F21D1">
              <w:rPr>
                <w:rFonts w:ascii="Garamond" w:hAnsi="Garamond" w:cs="Sylfaen"/>
              </w:rPr>
              <w:t>growing</w:t>
            </w:r>
            <w:r w:rsidRPr="000F21D1">
              <w:rPr>
                <w:rFonts w:ascii="Garamond" w:hAnsi="Garamond" w:cs="Sylfaen"/>
              </w:rPr>
              <w:t xml:space="preserve"> by </w:t>
            </w:r>
            <w:r w:rsidR="00DD54DF" w:rsidRPr="000F21D1">
              <w:rPr>
                <w:rFonts w:ascii="Garamond" w:hAnsi="Garamond" w:cs="Sylfaen"/>
              </w:rPr>
              <w:t>0</w:t>
            </w:r>
            <w:r w:rsidRPr="000F21D1">
              <w:rPr>
                <w:rFonts w:ascii="Garamond" w:hAnsi="Garamond" w:cs="Sylfaen"/>
              </w:rPr>
              <w:t xml:space="preserve">.4 million tons compared to the previous </w:t>
            </w:r>
            <w:r w:rsidR="0043068E" w:rsidRPr="000F21D1">
              <w:rPr>
                <w:rFonts w:ascii="Garamond" w:hAnsi="Garamond" w:cs="Sylfaen"/>
              </w:rPr>
              <w:t xml:space="preserve">estimation. </w:t>
            </w:r>
            <w:r w:rsidR="001400E2" w:rsidRPr="000F21D1">
              <w:rPr>
                <w:rFonts w:ascii="Garamond" w:hAnsi="Garamond" w:cs="Sylfaen"/>
              </w:rPr>
              <w:t xml:space="preserve">World rice consumption </w:t>
            </w:r>
            <w:r w:rsidR="00081224" w:rsidRPr="000F21D1">
              <w:rPr>
                <w:rFonts w:ascii="Garamond" w:hAnsi="Garamond" w:cs="Sylfaen"/>
              </w:rPr>
              <w:t xml:space="preserve">has </w:t>
            </w:r>
            <w:r w:rsidR="001400E2" w:rsidRPr="000F21D1">
              <w:rPr>
                <w:rFonts w:ascii="Garamond" w:hAnsi="Garamond" w:cs="Sylfaen"/>
              </w:rPr>
              <w:t xml:space="preserve">decreased by 1.8 million tons for the 2016/2017 marketing year to 478.8 million tons, mainly due to a decline in consumption in India. </w:t>
            </w:r>
            <w:r w:rsidRPr="000F21D1">
              <w:rPr>
                <w:rFonts w:ascii="Garamond" w:hAnsi="Garamond" w:cs="Sylfaen"/>
              </w:rPr>
              <w:t>Nevertheless, the prices of rice will still keep low in the short run</w:t>
            </w:r>
            <w:r w:rsidR="00585EE7" w:rsidRPr="000F21D1">
              <w:rPr>
                <w:rFonts w:ascii="Garamond" w:hAnsi="Garamond" w:cs="Sylfaen"/>
                <w:lang w:val="hy-AM"/>
              </w:rPr>
              <w:t xml:space="preserve"> </w:t>
            </w:r>
            <w:r w:rsidRPr="000F21D1">
              <w:rPr>
                <w:rFonts w:ascii="Garamond" w:hAnsi="Garamond" w:cs="Sylfaen"/>
              </w:rPr>
              <w:t xml:space="preserve">in the light of </w:t>
            </w:r>
            <w:r w:rsidR="001400E2" w:rsidRPr="000F21D1">
              <w:rPr>
                <w:rFonts w:ascii="Garamond" w:hAnsi="Garamond" w:cs="Sylfaen"/>
              </w:rPr>
              <w:t xml:space="preserve">shortened demand and </w:t>
            </w:r>
            <w:r w:rsidRPr="000F21D1">
              <w:rPr>
                <w:rFonts w:ascii="Garamond" w:hAnsi="Garamond" w:cs="Sylfaen"/>
              </w:rPr>
              <w:t>relatively large supply volumes.</w:t>
            </w:r>
          </w:p>
          <w:p w14:paraId="677C34B4" w14:textId="77777777" w:rsidR="00B9097E" w:rsidRPr="000F21D1" w:rsidRDefault="00B9097E" w:rsidP="002A098D">
            <w:pPr>
              <w:spacing w:line="360" w:lineRule="auto"/>
              <w:jc w:val="both"/>
              <w:rPr>
                <w:rFonts w:ascii="Garamond" w:hAnsi="Garamond" w:cs="Sylfaen"/>
                <w:color w:val="000000"/>
              </w:rPr>
            </w:pPr>
          </w:p>
          <w:p w14:paraId="22FEB908" w14:textId="77777777" w:rsidR="002C2ACB" w:rsidRPr="000F21D1" w:rsidRDefault="00B9097E" w:rsidP="001400E2">
            <w:pPr>
              <w:spacing w:line="360" w:lineRule="auto"/>
              <w:jc w:val="both"/>
              <w:rPr>
                <w:rFonts w:ascii="Garamond" w:hAnsi="Garamond"/>
                <w:b/>
              </w:rPr>
            </w:pPr>
            <w:r w:rsidRPr="000F21D1">
              <w:rPr>
                <w:rFonts w:ascii="Garamond" w:hAnsi="Garamond" w:cs="Sylfaen"/>
              </w:rPr>
              <w:lastRenderedPageBreak/>
              <w:t xml:space="preserve">Considerable rise in world </w:t>
            </w:r>
            <w:r w:rsidRPr="000F21D1">
              <w:rPr>
                <w:rFonts w:ascii="Garamond" w:hAnsi="Garamond" w:cs="Sylfaen"/>
                <w:b/>
              </w:rPr>
              <w:t>sugar</w:t>
            </w:r>
            <w:r w:rsidRPr="000F21D1">
              <w:rPr>
                <w:rFonts w:ascii="Garamond" w:hAnsi="Garamond" w:cs="Sylfaen"/>
              </w:rPr>
              <w:t xml:space="preserve"> prices</w:t>
            </w:r>
            <w:r w:rsidR="000B4301" w:rsidRPr="000F21D1">
              <w:rPr>
                <w:rFonts w:ascii="Garamond" w:hAnsi="Garamond" w:cs="Sylfaen"/>
              </w:rPr>
              <w:t>,</w:t>
            </w:r>
            <w:r w:rsidR="00585EE7" w:rsidRPr="000F21D1">
              <w:rPr>
                <w:rFonts w:ascii="Garamond" w:hAnsi="Garamond" w:cs="Sylfaen"/>
                <w:lang w:val="hy-AM"/>
              </w:rPr>
              <w:t xml:space="preserve"> </w:t>
            </w:r>
            <w:r w:rsidR="000B4301" w:rsidRPr="000F21D1">
              <w:rPr>
                <w:rFonts w:ascii="Garamond" w:hAnsi="Garamond" w:cs="Sylfaen"/>
              </w:rPr>
              <w:t xml:space="preserve">resulting from </w:t>
            </w:r>
            <w:r w:rsidR="001400E2" w:rsidRPr="000F21D1">
              <w:rPr>
                <w:rFonts w:ascii="Garamond" w:hAnsi="Garamond" w:cs="Sylfaen"/>
              </w:rPr>
              <w:t xml:space="preserve">reduced </w:t>
            </w:r>
            <w:r w:rsidRPr="000F21D1">
              <w:rPr>
                <w:rFonts w:ascii="Garamond" w:hAnsi="Garamond" w:cs="Sylfaen"/>
              </w:rPr>
              <w:t>sugarcane harvest due to bad weather in Brazil</w:t>
            </w:r>
            <w:r w:rsidR="001400E2" w:rsidRPr="000F21D1">
              <w:rPr>
                <w:rFonts w:ascii="Garamond" w:hAnsi="Garamond" w:cs="Sylfaen"/>
              </w:rPr>
              <w:t xml:space="preserve"> and India</w:t>
            </w:r>
            <w:r w:rsidRPr="000F21D1">
              <w:rPr>
                <w:rFonts w:ascii="Garamond" w:hAnsi="Garamond" w:cs="Sylfaen"/>
              </w:rPr>
              <w:t>, the world’s leading manufacturer</w:t>
            </w:r>
            <w:r w:rsidR="001400E2" w:rsidRPr="000F21D1">
              <w:rPr>
                <w:rFonts w:ascii="Garamond" w:hAnsi="Garamond" w:cs="Sylfaen"/>
              </w:rPr>
              <w:t>s</w:t>
            </w:r>
            <w:r w:rsidRPr="000F21D1">
              <w:rPr>
                <w:rFonts w:ascii="Garamond" w:hAnsi="Garamond" w:cs="Sylfaen"/>
              </w:rPr>
              <w:t xml:space="preserve"> and exporter</w:t>
            </w:r>
            <w:r w:rsidR="001400E2" w:rsidRPr="000F21D1">
              <w:rPr>
                <w:rFonts w:ascii="Garamond" w:hAnsi="Garamond" w:cs="Sylfaen"/>
              </w:rPr>
              <w:t>s</w:t>
            </w:r>
            <w:r w:rsidRPr="000F21D1">
              <w:rPr>
                <w:rFonts w:ascii="Garamond" w:hAnsi="Garamond" w:cs="Sylfaen"/>
              </w:rPr>
              <w:t xml:space="preserve"> of sugar</w:t>
            </w:r>
            <w:r w:rsidR="000B4301" w:rsidRPr="000F21D1">
              <w:rPr>
                <w:rFonts w:ascii="Garamond" w:hAnsi="Garamond" w:cs="Sylfaen"/>
              </w:rPr>
              <w:t xml:space="preserve">, will </w:t>
            </w:r>
            <w:r w:rsidR="001400E2" w:rsidRPr="000F21D1">
              <w:rPr>
                <w:rFonts w:ascii="Garamond" w:hAnsi="Garamond" w:cs="Sylfaen"/>
              </w:rPr>
              <w:t xml:space="preserve">be observable </w:t>
            </w:r>
            <w:r w:rsidRPr="000F21D1">
              <w:rPr>
                <w:rFonts w:ascii="Garamond" w:hAnsi="Garamond" w:cs="Sylfaen"/>
              </w:rPr>
              <w:t xml:space="preserve">in the short-term </w:t>
            </w:r>
            <w:r w:rsidR="000B4301" w:rsidRPr="000F21D1">
              <w:rPr>
                <w:rFonts w:ascii="Garamond" w:hAnsi="Garamond" w:cs="Sylfaen"/>
              </w:rPr>
              <w:t>perspective</w:t>
            </w:r>
            <w:r w:rsidRPr="000F21D1">
              <w:rPr>
                <w:rFonts w:ascii="Garamond" w:hAnsi="Garamond" w:cs="Sylfaen"/>
              </w:rPr>
              <w:t>.</w:t>
            </w:r>
          </w:p>
        </w:tc>
      </w:tr>
    </w:tbl>
    <w:p w14:paraId="0FB7E694" w14:textId="77777777" w:rsidR="00751B76" w:rsidRPr="000F21D1" w:rsidRDefault="00751B76" w:rsidP="00B117C8">
      <w:pPr>
        <w:spacing w:line="360" w:lineRule="auto"/>
        <w:jc w:val="both"/>
        <w:rPr>
          <w:rFonts w:ascii="Garamond" w:hAnsi="Garamond"/>
        </w:rPr>
      </w:pPr>
    </w:p>
    <w:tbl>
      <w:tblPr>
        <w:tblStyle w:val="TableGrid"/>
        <w:tblW w:w="0" w:type="auto"/>
        <w:tblLook w:val="04A0" w:firstRow="1" w:lastRow="0" w:firstColumn="1" w:lastColumn="0" w:noHBand="0" w:noVBand="1"/>
      </w:tblPr>
      <w:tblGrid>
        <w:gridCol w:w="9576"/>
      </w:tblGrid>
      <w:tr w:rsidR="003B583C" w:rsidRPr="00F720C4" w14:paraId="3C1D8D48" w14:textId="77777777" w:rsidTr="003B583C">
        <w:tc>
          <w:tcPr>
            <w:tcW w:w="9576" w:type="dxa"/>
          </w:tcPr>
          <w:p w14:paraId="1D156C9F" w14:textId="77777777" w:rsidR="003B583C" w:rsidRPr="000F21D1" w:rsidRDefault="003B583C" w:rsidP="003B583C">
            <w:pPr>
              <w:spacing w:line="360" w:lineRule="auto"/>
              <w:jc w:val="right"/>
              <w:rPr>
                <w:rFonts w:ascii="Garamond" w:hAnsi="Garamond"/>
              </w:rPr>
            </w:pPr>
            <w:r w:rsidRPr="000F21D1">
              <w:rPr>
                <w:rFonts w:ascii="Garamond" w:hAnsi="Garamond"/>
                <w:b/>
              </w:rPr>
              <w:t xml:space="preserve">Box </w:t>
            </w:r>
            <w:r w:rsidR="00A4502A" w:rsidRPr="000F21D1">
              <w:rPr>
                <w:rFonts w:ascii="Garamond" w:hAnsi="Garamond"/>
                <w:b/>
              </w:rPr>
              <w:t>2</w:t>
            </w:r>
          </w:p>
          <w:p w14:paraId="59F4D3B8" w14:textId="77777777" w:rsidR="003B583C" w:rsidRPr="000F21D1" w:rsidRDefault="008F6268" w:rsidP="00133A63">
            <w:pPr>
              <w:spacing w:line="360" w:lineRule="auto"/>
              <w:jc w:val="center"/>
              <w:rPr>
                <w:rFonts w:ascii="Garamond" w:hAnsi="Garamond"/>
                <w:b/>
              </w:rPr>
            </w:pPr>
            <w:r w:rsidRPr="000F21D1">
              <w:rPr>
                <w:rFonts w:ascii="Garamond" w:hAnsi="Garamond"/>
                <w:b/>
              </w:rPr>
              <w:t xml:space="preserve">Great </w:t>
            </w:r>
            <w:r w:rsidR="003B583C" w:rsidRPr="000F21D1">
              <w:rPr>
                <w:rFonts w:ascii="Garamond" w:hAnsi="Garamond"/>
                <w:b/>
              </w:rPr>
              <w:t>Britain</w:t>
            </w:r>
            <w:r w:rsidR="00133A63" w:rsidRPr="000F21D1">
              <w:rPr>
                <w:rFonts w:ascii="Garamond" w:hAnsi="Garamond"/>
                <w:b/>
              </w:rPr>
              <w:t xml:space="preserve"> exiting </w:t>
            </w:r>
            <w:r w:rsidRPr="000F21D1">
              <w:rPr>
                <w:rFonts w:ascii="Garamond" w:hAnsi="Garamond"/>
                <w:b/>
              </w:rPr>
              <w:t>t</w:t>
            </w:r>
            <w:r w:rsidR="003B583C" w:rsidRPr="000F21D1">
              <w:rPr>
                <w:rFonts w:ascii="Garamond" w:hAnsi="Garamond"/>
                <w:b/>
              </w:rPr>
              <w:t>he E</w:t>
            </w:r>
            <w:r w:rsidR="00133A63" w:rsidRPr="000F21D1">
              <w:rPr>
                <w:rFonts w:ascii="Garamond" w:hAnsi="Garamond"/>
                <w:b/>
              </w:rPr>
              <w:t xml:space="preserve">uropean </w:t>
            </w:r>
            <w:r w:rsidR="003B583C" w:rsidRPr="000F21D1">
              <w:rPr>
                <w:rFonts w:ascii="Garamond" w:hAnsi="Garamond"/>
                <w:b/>
              </w:rPr>
              <w:t>U</w:t>
            </w:r>
            <w:r w:rsidR="00133A63" w:rsidRPr="000F21D1">
              <w:rPr>
                <w:rFonts w:ascii="Garamond" w:hAnsi="Garamond"/>
                <w:b/>
              </w:rPr>
              <w:t>nion</w:t>
            </w:r>
          </w:p>
          <w:p w14:paraId="206B3062" w14:textId="77777777" w:rsidR="003B583C" w:rsidRPr="000F21D1" w:rsidRDefault="008F6268" w:rsidP="003B583C">
            <w:pPr>
              <w:spacing w:line="360" w:lineRule="auto"/>
              <w:jc w:val="both"/>
              <w:rPr>
                <w:rFonts w:ascii="Garamond" w:hAnsi="Garamond"/>
              </w:rPr>
            </w:pPr>
            <w:r w:rsidRPr="000F21D1">
              <w:rPr>
                <w:rFonts w:ascii="Garamond" w:hAnsi="Garamond"/>
              </w:rPr>
              <w:t>In</w:t>
            </w:r>
            <w:r w:rsidR="003B583C" w:rsidRPr="000F21D1">
              <w:rPr>
                <w:rFonts w:ascii="Garamond" w:hAnsi="Garamond"/>
              </w:rPr>
              <w:t xml:space="preserve"> </w:t>
            </w:r>
            <w:r w:rsidRPr="000F21D1">
              <w:rPr>
                <w:rFonts w:ascii="Garamond" w:hAnsi="Garamond"/>
              </w:rPr>
              <w:t xml:space="preserve">the </w:t>
            </w:r>
            <w:r w:rsidR="003B583C" w:rsidRPr="000F21D1">
              <w:rPr>
                <w:rFonts w:ascii="Garamond" w:hAnsi="Garamond"/>
              </w:rPr>
              <w:t>June 23</w:t>
            </w:r>
            <w:r w:rsidRPr="000F21D1">
              <w:rPr>
                <w:rFonts w:ascii="Garamond" w:hAnsi="Garamond"/>
              </w:rPr>
              <w:t>rd</w:t>
            </w:r>
            <w:r w:rsidR="003B583C" w:rsidRPr="000F21D1">
              <w:rPr>
                <w:rFonts w:ascii="Garamond" w:hAnsi="Garamond"/>
              </w:rPr>
              <w:t xml:space="preserve"> referendum </w:t>
            </w:r>
            <w:r w:rsidRPr="000F21D1">
              <w:rPr>
                <w:rFonts w:ascii="Garamond" w:hAnsi="Garamond"/>
              </w:rPr>
              <w:t xml:space="preserve">UK citizens voted in favor of leaving the European Union </w:t>
            </w:r>
            <w:r w:rsidR="00C35118" w:rsidRPr="000F21D1">
              <w:rPr>
                <w:rFonts w:ascii="Garamond" w:hAnsi="Garamond"/>
              </w:rPr>
              <w:t xml:space="preserve">(51.9% versus </w:t>
            </w:r>
            <w:r w:rsidR="003B583C" w:rsidRPr="000F21D1">
              <w:rPr>
                <w:rFonts w:ascii="Garamond" w:hAnsi="Garamond"/>
              </w:rPr>
              <w:t>48.1%</w:t>
            </w:r>
            <w:r w:rsidR="00C35118" w:rsidRPr="000F21D1">
              <w:rPr>
                <w:rFonts w:ascii="Garamond" w:hAnsi="Garamond"/>
              </w:rPr>
              <w:t>)</w:t>
            </w:r>
            <w:r w:rsidR="003B583C" w:rsidRPr="000F21D1">
              <w:rPr>
                <w:rFonts w:ascii="Garamond" w:hAnsi="Garamond"/>
              </w:rPr>
              <w:t xml:space="preserve">. The issue of migrants </w:t>
            </w:r>
            <w:r w:rsidR="00C35118" w:rsidRPr="000F21D1">
              <w:rPr>
                <w:rFonts w:ascii="Garamond" w:hAnsi="Garamond"/>
              </w:rPr>
              <w:t>wa</w:t>
            </w:r>
            <w:r w:rsidR="003B583C" w:rsidRPr="000F21D1">
              <w:rPr>
                <w:rFonts w:ascii="Garamond" w:hAnsi="Garamond"/>
              </w:rPr>
              <w:t xml:space="preserve">s the </w:t>
            </w:r>
            <w:r w:rsidR="00C35118" w:rsidRPr="000F21D1">
              <w:rPr>
                <w:rFonts w:ascii="Garamond" w:hAnsi="Garamond"/>
              </w:rPr>
              <w:t xml:space="preserve">key </w:t>
            </w:r>
            <w:r w:rsidR="003B583C" w:rsidRPr="000F21D1">
              <w:rPr>
                <w:rFonts w:ascii="Garamond" w:hAnsi="Garamond"/>
              </w:rPr>
              <w:t xml:space="preserve">argument that was used during the campaign to vote against EU </w:t>
            </w:r>
            <w:r w:rsidR="00446B4F" w:rsidRPr="000F21D1">
              <w:rPr>
                <w:rFonts w:ascii="Garamond" w:hAnsi="Garamond"/>
              </w:rPr>
              <w:t xml:space="preserve">migrant </w:t>
            </w:r>
            <w:r w:rsidR="003B583C" w:rsidRPr="000F21D1">
              <w:rPr>
                <w:rFonts w:ascii="Garamond" w:hAnsi="Garamond"/>
              </w:rPr>
              <w:t xml:space="preserve">policies. </w:t>
            </w:r>
            <w:r w:rsidR="00245D79" w:rsidRPr="000F21D1">
              <w:rPr>
                <w:rFonts w:ascii="Garamond" w:hAnsi="Garamond"/>
              </w:rPr>
              <w:t xml:space="preserve">Following the </w:t>
            </w:r>
            <w:r w:rsidR="003B583C" w:rsidRPr="000F21D1">
              <w:rPr>
                <w:rFonts w:ascii="Garamond" w:hAnsi="Garamond"/>
              </w:rPr>
              <w:t>referendum</w:t>
            </w:r>
            <w:r w:rsidR="00245D79" w:rsidRPr="000F21D1">
              <w:rPr>
                <w:rFonts w:ascii="Garamond" w:hAnsi="Garamond"/>
              </w:rPr>
              <w:t xml:space="preserve"> David Cameron, the</w:t>
            </w:r>
            <w:r w:rsidR="003B583C" w:rsidRPr="000F21D1">
              <w:rPr>
                <w:rFonts w:ascii="Garamond" w:hAnsi="Garamond"/>
              </w:rPr>
              <w:t xml:space="preserve"> British Prime Minister </w:t>
            </w:r>
            <w:r w:rsidR="00245D79" w:rsidRPr="000F21D1">
              <w:rPr>
                <w:rFonts w:ascii="Garamond" w:hAnsi="Garamond"/>
              </w:rPr>
              <w:t xml:space="preserve">and an EU advocate, appeared with a statement on stepping down </w:t>
            </w:r>
            <w:r w:rsidR="003B583C" w:rsidRPr="000F21D1">
              <w:rPr>
                <w:rFonts w:ascii="Garamond" w:hAnsi="Garamond"/>
              </w:rPr>
              <w:t>a</w:t>
            </w:r>
            <w:r w:rsidR="00245D79" w:rsidRPr="000F21D1">
              <w:rPr>
                <w:rFonts w:ascii="Garamond" w:hAnsi="Garamond"/>
              </w:rPr>
              <w:t>s prime minister</w:t>
            </w:r>
            <w:r w:rsidR="00446B4F" w:rsidRPr="000F21D1">
              <w:rPr>
                <w:rFonts w:ascii="Garamond" w:hAnsi="Garamond"/>
              </w:rPr>
              <w:t>,</w:t>
            </w:r>
            <w:r w:rsidR="00245D79" w:rsidRPr="000F21D1">
              <w:rPr>
                <w:rFonts w:ascii="Garamond" w:hAnsi="Garamond"/>
              </w:rPr>
              <w:t xml:space="preserve"> and soon Theresa May,</w:t>
            </w:r>
            <w:r w:rsidR="003B583C" w:rsidRPr="000F21D1">
              <w:rPr>
                <w:rFonts w:ascii="Garamond" w:hAnsi="Garamond"/>
              </w:rPr>
              <w:t xml:space="preserve"> </w:t>
            </w:r>
            <w:r w:rsidR="00245D79" w:rsidRPr="000F21D1">
              <w:rPr>
                <w:rFonts w:ascii="Garamond" w:hAnsi="Garamond"/>
              </w:rPr>
              <w:t xml:space="preserve">another </w:t>
            </w:r>
            <w:r w:rsidR="003B583C" w:rsidRPr="000F21D1">
              <w:rPr>
                <w:rFonts w:ascii="Garamond" w:hAnsi="Garamond"/>
              </w:rPr>
              <w:t>member of the Conservative Party</w:t>
            </w:r>
            <w:r w:rsidR="00245D79" w:rsidRPr="000F21D1">
              <w:rPr>
                <w:rFonts w:ascii="Garamond" w:hAnsi="Garamond"/>
              </w:rPr>
              <w:t>,</w:t>
            </w:r>
            <w:r w:rsidR="003B583C" w:rsidRPr="000F21D1">
              <w:rPr>
                <w:rFonts w:ascii="Garamond" w:hAnsi="Garamond"/>
              </w:rPr>
              <w:t xml:space="preserve"> </w:t>
            </w:r>
            <w:r w:rsidR="00245D79" w:rsidRPr="000F21D1">
              <w:rPr>
                <w:rFonts w:ascii="Garamond" w:hAnsi="Garamond"/>
              </w:rPr>
              <w:t xml:space="preserve">took </w:t>
            </w:r>
            <w:r w:rsidR="00081224" w:rsidRPr="000F21D1">
              <w:rPr>
                <w:rFonts w:ascii="Garamond" w:hAnsi="Garamond"/>
              </w:rPr>
              <w:t>over as the new prime minister</w:t>
            </w:r>
            <w:r w:rsidR="003B583C" w:rsidRPr="000F21D1">
              <w:rPr>
                <w:rFonts w:ascii="Garamond" w:hAnsi="Garamond"/>
              </w:rPr>
              <w:t>.</w:t>
            </w:r>
          </w:p>
          <w:p w14:paraId="4B2BE0B7" w14:textId="77777777" w:rsidR="00245D79" w:rsidRPr="000F21D1" w:rsidRDefault="00245D79" w:rsidP="003B583C">
            <w:pPr>
              <w:spacing w:line="360" w:lineRule="auto"/>
              <w:jc w:val="both"/>
              <w:rPr>
                <w:rFonts w:ascii="Garamond" w:hAnsi="Garamond"/>
              </w:rPr>
            </w:pPr>
          </w:p>
          <w:p w14:paraId="6D58A066" w14:textId="77777777" w:rsidR="003B583C" w:rsidRPr="000F21D1" w:rsidRDefault="00446B4F" w:rsidP="003B583C">
            <w:pPr>
              <w:spacing w:line="360" w:lineRule="auto"/>
              <w:jc w:val="both"/>
              <w:rPr>
                <w:rFonts w:ascii="Garamond" w:hAnsi="Garamond"/>
              </w:rPr>
            </w:pPr>
            <w:r w:rsidRPr="000F21D1">
              <w:rPr>
                <w:rFonts w:ascii="Garamond" w:hAnsi="Garamond"/>
              </w:rPr>
              <w:t xml:space="preserve">The legal framework for exiting </w:t>
            </w:r>
            <w:r w:rsidR="003B583C" w:rsidRPr="000F21D1">
              <w:rPr>
                <w:rFonts w:ascii="Garamond" w:hAnsi="Garamond"/>
              </w:rPr>
              <w:t xml:space="preserve">the EU </w:t>
            </w:r>
            <w:r w:rsidRPr="000F21D1">
              <w:rPr>
                <w:rFonts w:ascii="Garamond" w:hAnsi="Garamond"/>
              </w:rPr>
              <w:t xml:space="preserve">has been </w:t>
            </w:r>
            <w:r w:rsidR="003B583C" w:rsidRPr="000F21D1">
              <w:rPr>
                <w:rFonts w:ascii="Garamond" w:hAnsi="Garamond"/>
              </w:rPr>
              <w:t xml:space="preserve">defined by Article 50 of the Lisbon Treaty, </w:t>
            </w:r>
            <w:r w:rsidRPr="000F21D1">
              <w:rPr>
                <w:rFonts w:ascii="Garamond" w:hAnsi="Garamond"/>
              </w:rPr>
              <w:t xml:space="preserve">which says that </w:t>
            </w:r>
            <w:r w:rsidR="003B583C" w:rsidRPr="000F21D1">
              <w:rPr>
                <w:rFonts w:ascii="Garamond" w:hAnsi="Garamond"/>
              </w:rPr>
              <w:t>each country can apply for termination</w:t>
            </w:r>
            <w:r w:rsidRPr="000F21D1">
              <w:rPr>
                <w:rFonts w:ascii="Garamond" w:hAnsi="Garamond"/>
              </w:rPr>
              <w:t xml:space="preserve"> of the EU membership. </w:t>
            </w:r>
            <w:r w:rsidR="003B583C" w:rsidRPr="000F21D1">
              <w:rPr>
                <w:rFonts w:ascii="Garamond" w:hAnsi="Garamond"/>
              </w:rPr>
              <w:t xml:space="preserve">Therefore, </w:t>
            </w:r>
            <w:r w:rsidR="00AD458C" w:rsidRPr="000F21D1">
              <w:rPr>
                <w:rFonts w:ascii="Garamond" w:hAnsi="Garamond"/>
              </w:rPr>
              <w:t xml:space="preserve">the issue of </w:t>
            </w:r>
            <w:r w:rsidR="003B583C" w:rsidRPr="000F21D1">
              <w:rPr>
                <w:rFonts w:ascii="Garamond" w:hAnsi="Garamond"/>
              </w:rPr>
              <w:t>t</w:t>
            </w:r>
            <w:r w:rsidR="00AD458C" w:rsidRPr="000F21D1">
              <w:rPr>
                <w:rFonts w:ascii="Garamond" w:hAnsi="Garamond"/>
              </w:rPr>
              <w:t xml:space="preserve">ermination of the </w:t>
            </w:r>
            <w:r w:rsidR="003B583C" w:rsidRPr="000F21D1">
              <w:rPr>
                <w:rFonts w:ascii="Garamond" w:hAnsi="Garamond"/>
              </w:rPr>
              <w:t xml:space="preserve">EU membership </w:t>
            </w:r>
            <w:r w:rsidR="00AD458C" w:rsidRPr="000F21D1">
              <w:rPr>
                <w:rFonts w:ascii="Garamond" w:hAnsi="Garamond"/>
              </w:rPr>
              <w:t xml:space="preserve">cannot be </w:t>
            </w:r>
            <w:r w:rsidR="003B583C" w:rsidRPr="000F21D1">
              <w:rPr>
                <w:rFonts w:ascii="Garamond" w:hAnsi="Garamond"/>
              </w:rPr>
              <w:t xml:space="preserve">on the agenda, unless Article 50 of the </w:t>
            </w:r>
            <w:r w:rsidR="00AD458C" w:rsidRPr="000F21D1">
              <w:rPr>
                <w:rFonts w:ascii="Garamond" w:hAnsi="Garamond"/>
              </w:rPr>
              <w:t>Treaty has been enforced</w:t>
            </w:r>
            <w:r w:rsidR="003B583C" w:rsidRPr="000F21D1">
              <w:rPr>
                <w:rFonts w:ascii="Garamond" w:hAnsi="Garamond"/>
              </w:rPr>
              <w:t xml:space="preserve">. The problem is that </w:t>
            </w:r>
            <w:r w:rsidR="00A75718" w:rsidRPr="000F21D1">
              <w:rPr>
                <w:rFonts w:ascii="Garamond" w:hAnsi="Garamond"/>
              </w:rPr>
              <w:t>it is up to t</w:t>
            </w:r>
            <w:r w:rsidR="00AD458C" w:rsidRPr="000F21D1">
              <w:rPr>
                <w:rFonts w:ascii="Garamond" w:hAnsi="Garamond"/>
              </w:rPr>
              <w:t xml:space="preserve">he </w:t>
            </w:r>
            <w:r w:rsidR="003B583C" w:rsidRPr="000F21D1">
              <w:rPr>
                <w:rFonts w:ascii="Garamond" w:hAnsi="Garamond"/>
              </w:rPr>
              <w:t>EU Member State</w:t>
            </w:r>
            <w:r w:rsidR="00A75718" w:rsidRPr="000F21D1">
              <w:rPr>
                <w:rFonts w:ascii="Garamond" w:hAnsi="Garamond"/>
              </w:rPr>
              <w:t>s</w:t>
            </w:r>
            <w:r w:rsidR="003B583C" w:rsidRPr="000F21D1">
              <w:rPr>
                <w:rFonts w:ascii="Garamond" w:hAnsi="Garamond"/>
              </w:rPr>
              <w:t xml:space="preserve"> </w:t>
            </w:r>
            <w:r w:rsidR="00A75718" w:rsidRPr="000F21D1">
              <w:rPr>
                <w:rFonts w:ascii="Garamond" w:hAnsi="Garamond"/>
              </w:rPr>
              <w:t xml:space="preserve">to </w:t>
            </w:r>
            <w:r w:rsidR="003B583C" w:rsidRPr="000F21D1">
              <w:rPr>
                <w:rFonts w:ascii="Garamond" w:hAnsi="Garamond"/>
              </w:rPr>
              <w:t xml:space="preserve">officially </w:t>
            </w:r>
            <w:r w:rsidR="00A75718" w:rsidRPr="000F21D1">
              <w:rPr>
                <w:rFonts w:ascii="Garamond" w:hAnsi="Garamond"/>
              </w:rPr>
              <w:t xml:space="preserve">commence </w:t>
            </w:r>
            <w:r w:rsidR="003B583C" w:rsidRPr="000F21D1">
              <w:rPr>
                <w:rFonts w:ascii="Garamond" w:hAnsi="Garamond"/>
              </w:rPr>
              <w:t xml:space="preserve">the process of </w:t>
            </w:r>
            <w:r w:rsidR="00A75718" w:rsidRPr="000F21D1">
              <w:rPr>
                <w:rFonts w:ascii="Garamond" w:hAnsi="Garamond"/>
              </w:rPr>
              <w:t>leaving the EU and that Member State shall cease to be a member on</w:t>
            </w:r>
            <w:r w:rsidR="003B583C" w:rsidRPr="000F21D1">
              <w:rPr>
                <w:rFonts w:ascii="Garamond" w:hAnsi="Garamond"/>
              </w:rPr>
              <w:t xml:space="preserve">ly 2 years after the </w:t>
            </w:r>
            <w:r w:rsidR="00A75718" w:rsidRPr="000F21D1">
              <w:rPr>
                <w:rFonts w:ascii="Garamond" w:hAnsi="Garamond"/>
              </w:rPr>
              <w:t xml:space="preserve">enforcement of </w:t>
            </w:r>
            <w:r w:rsidR="003B583C" w:rsidRPr="000F21D1">
              <w:rPr>
                <w:rFonts w:ascii="Garamond" w:hAnsi="Garamond"/>
              </w:rPr>
              <w:t>Article 50.</w:t>
            </w:r>
          </w:p>
          <w:p w14:paraId="7C0E53AD" w14:textId="77777777" w:rsidR="00A75718" w:rsidRPr="000F21D1" w:rsidRDefault="00A75718" w:rsidP="003B583C">
            <w:pPr>
              <w:spacing w:line="360" w:lineRule="auto"/>
              <w:jc w:val="both"/>
              <w:rPr>
                <w:rFonts w:ascii="Garamond" w:hAnsi="Garamond"/>
              </w:rPr>
            </w:pPr>
          </w:p>
          <w:p w14:paraId="4CACFFF8" w14:textId="77777777" w:rsidR="003B583C" w:rsidRPr="000F21D1" w:rsidRDefault="00A75718" w:rsidP="003B583C">
            <w:pPr>
              <w:spacing w:line="360" w:lineRule="auto"/>
              <w:jc w:val="both"/>
              <w:rPr>
                <w:rFonts w:ascii="Garamond" w:hAnsi="Garamond"/>
              </w:rPr>
            </w:pPr>
            <w:r w:rsidRPr="000F21D1">
              <w:rPr>
                <w:rFonts w:ascii="Garamond" w:hAnsi="Garamond"/>
              </w:rPr>
              <w:t xml:space="preserve">The </w:t>
            </w:r>
            <w:r w:rsidR="003B583C" w:rsidRPr="000F21D1">
              <w:rPr>
                <w:rFonts w:ascii="Garamond" w:hAnsi="Garamond"/>
              </w:rPr>
              <w:t xml:space="preserve">British withdrawal from the EU </w:t>
            </w:r>
            <w:r w:rsidRPr="000F21D1">
              <w:rPr>
                <w:rFonts w:ascii="Garamond" w:hAnsi="Garamond"/>
              </w:rPr>
              <w:t xml:space="preserve">shall </w:t>
            </w:r>
            <w:r w:rsidR="003B583C" w:rsidRPr="000F21D1">
              <w:rPr>
                <w:rFonts w:ascii="Garamond" w:hAnsi="Garamond"/>
              </w:rPr>
              <w:t xml:space="preserve">mean </w:t>
            </w:r>
            <w:r w:rsidRPr="000F21D1">
              <w:rPr>
                <w:rFonts w:ascii="Garamond" w:hAnsi="Garamond"/>
              </w:rPr>
              <w:t xml:space="preserve">inking </w:t>
            </w:r>
            <w:r w:rsidR="003B583C" w:rsidRPr="000F21D1">
              <w:rPr>
                <w:rFonts w:ascii="Garamond" w:hAnsi="Garamond"/>
              </w:rPr>
              <w:t>more than 50 new trade agreements, which is</w:t>
            </w:r>
            <w:r w:rsidR="00081224" w:rsidRPr="000F21D1">
              <w:rPr>
                <w:rFonts w:ascii="Garamond" w:hAnsi="Garamond"/>
              </w:rPr>
              <w:t>,</w:t>
            </w:r>
            <w:r w:rsidR="003B583C" w:rsidRPr="000F21D1">
              <w:rPr>
                <w:rFonts w:ascii="Garamond" w:hAnsi="Garamond"/>
              </w:rPr>
              <w:t xml:space="preserve"> </w:t>
            </w:r>
            <w:r w:rsidR="00081224" w:rsidRPr="000F21D1">
              <w:rPr>
                <w:rFonts w:ascii="Garamond" w:hAnsi="Garamond"/>
              </w:rPr>
              <w:t xml:space="preserve">above all, </w:t>
            </w:r>
            <w:r w:rsidR="003B583C" w:rsidRPr="000F21D1">
              <w:rPr>
                <w:rFonts w:ascii="Garamond" w:hAnsi="Garamond"/>
              </w:rPr>
              <w:t xml:space="preserve">time consuming. </w:t>
            </w:r>
            <w:r w:rsidRPr="000F21D1">
              <w:rPr>
                <w:rFonts w:ascii="Garamond" w:hAnsi="Garamond"/>
              </w:rPr>
              <w:t>During th</w:t>
            </w:r>
            <w:r w:rsidR="00573367" w:rsidRPr="000F21D1">
              <w:rPr>
                <w:rFonts w:ascii="Garamond" w:hAnsi="Garamond"/>
              </w:rPr>
              <w:t xml:space="preserve">at </w:t>
            </w:r>
            <w:r w:rsidR="003B583C" w:rsidRPr="000F21D1">
              <w:rPr>
                <w:rFonts w:ascii="Garamond" w:hAnsi="Garamond"/>
              </w:rPr>
              <w:t xml:space="preserve">period of </w:t>
            </w:r>
            <w:r w:rsidRPr="000F21D1">
              <w:rPr>
                <w:rFonts w:ascii="Garamond" w:hAnsi="Garamond"/>
              </w:rPr>
              <w:t xml:space="preserve">time </w:t>
            </w:r>
            <w:r w:rsidR="003B583C" w:rsidRPr="000F21D1">
              <w:rPr>
                <w:rFonts w:ascii="Garamond" w:hAnsi="Garamond"/>
              </w:rPr>
              <w:t xml:space="preserve">trade with non-EU countries will be implemented by the rules of the World Trade Organization. </w:t>
            </w:r>
            <w:r w:rsidR="00F210BE" w:rsidRPr="000F21D1">
              <w:rPr>
                <w:rFonts w:ascii="Garamond" w:hAnsi="Garamond"/>
              </w:rPr>
              <w:t xml:space="preserve">The issue on how the UK-based financial institutions will proceed with their business after Britain leaves </w:t>
            </w:r>
            <w:r w:rsidR="003B583C" w:rsidRPr="000F21D1">
              <w:rPr>
                <w:rFonts w:ascii="Garamond" w:hAnsi="Garamond"/>
              </w:rPr>
              <w:t>the EU single market</w:t>
            </w:r>
            <w:r w:rsidR="00F210BE" w:rsidRPr="000F21D1">
              <w:rPr>
                <w:rFonts w:ascii="Garamond" w:hAnsi="Garamond"/>
              </w:rPr>
              <w:t xml:space="preserve"> is important</w:t>
            </w:r>
            <w:r w:rsidR="003B583C" w:rsidRPr="000F21D1">
              <w:rPr>
                <w:rFonts w:ascii="Garamond" w:hAnsi="Garamond"/>
              </w:rPr>
              <w:t>.</w:t>
            </w:r>
          </w:p>
          <w:p w14:paraId="23E4AB21" w14:textId="77777777" w:rsidR="00F210BE" w:rsidRPr="000F21D1" w:rsidRDefault="00F210BE" w:rsidP="003B583C">
            <w:pPr>
              <w:spacing w:line="360" w:lineRule="auto"/>
              <w:jc w:val="both"/>
              <w:rPr>
                <w:rFonts w:ascii="Garamond" w:hAnsi="Garamond"/>
              </w:rPr>
            </w:pPr>
          </w:p>
          <w:p w14:paraId="1685E942" w14:textId="77777777" w:rsidR="003B583C" w:rsidRPr="000F21D1" w:rsidRDefault="003B583C" w:rsidP="003B583C">
            <w:pPr>
              <w:spacing w:line="360" w:lineRule="auto"/>
              <w:jc w:val="both"/>
              <w:rPr>
                <w:rFonts w:ascii="Garamond" w:hAnsi="Garamond"/>
              </w:rPr>
            </w:pPr>
            <w:r w:rsidRPr="000F21D1">
              <w:rPr>
                <w:rFonts w:ascii="Garamond" w:hAnsi="Garamond"/>
              </w:rPr>
              <w:t>All this p</w:t>
            </w:r>
            <w:r w:rsidR="00F67D2B" w:rsidRPr="000F21D1">
              <w:rPr>
                <w:rFonts w:ascii="Garamond" w:hAnsi="Garamond"/>
              </w:rPr>
              <w:t>oints to the argumentation that economic consequences associated with the outcome of the UK referendum wi</w:t>
            </w:r>
            <w:r w:rsidR="00C95BB3" w:rsidRPr="000F21D1">
              <w:rPr>
                <w:rFonts w:ascii="Garamond" w:hAnsi="Garamond"/>
              </w:rPr>
              <w:t>ll become more visible in the long-</w:t>
            </w:r>
            <w:r w:rsidRPr="000F21D1">
              <w:rPr>
                <w:rFonts w:ascii="Garamond" w:hAnsi="Garamond"/>
              </w:rPr>
              <w:t>term</w:t>
            </w:r>
            <w:r w:rsidR="00C95BB3" w:rsidRPr="000F21D1">
              <w:rPr>
                <w:rFonts w:ascii="Garamond" w:hAnsi="Garamond"/>
              </w:rPr>
              <w:t xml:space="preserve"> perspective</w:t>
            </w:r>
            <w:r w:rsidRPr="000F21D1">
              <w:rPr>
                <w:rFonts w:ascii="Garamond" w:hAnsi="Garamond"/>
              </w:rPr>
              <w:t>, although some short-term volatility is inevitable.</w:t>
            </w:r>
          </w:p>
          <w:p w14:paraId="2A523B68" w14:textId="77777777" w:rsidR="001576AE" w:rsidRPr="000F21D1" w:rsidRDefault="001576AE" w:rsidP="003B583C">
            <w:pPr>
              <w:spacing w:line="360" w:lineRule="auto"/>
              <w:jc w:val="both"/>
              <w:rPr>
                <w:rFonts w:ascii="Garamond" w:hAnsi="Garamond"/>
              </w:rPr>
            </w:pPr>
          </w:p>
          <w:p w14:paraId="2FBDC1A0" w14:textId="77777777" w:rsidR="003B583C" w:rsidRPr="000F21D1" w:rsidRDefault="003B583C" w:rsidP="003B583C">
            <w:pPr>
              <w:spacing w:line="360" w:lineRule="auto"/>
              <w:jc w:val="both"/>
              <w:rPr>
                <w:rFonts w:ascii="Garamond" w:hAnsi="Garamond"/>
              </w:rPr>
            </w:pPr>
            <w:r w:rsidRPr="000F21D1">
              <w:rPr>
                <w:rFonts w:ascii="Garamond" w:hAnsi="Garamond"/>
              </w:rPr>
              <w:t xml:space="preserve">Thus, </w:t>
            </w:r>
            <w:r w:rsidR="00921068" w:rsidRPr="000F21D1">
              <w:rPr>
                <w:rFonts w:ascii="Garamond" w:hAnsi="Garamond"/>
              </w:rPr>
              <w:t xml:space="preserve">the British pound reacted to the referendum results instantly as it lost </w:t>
            </w:r>
            <w:r w:rsidR="00D529AD" w:rsidRPr="000F21D1">
              <w:rPr>
                <w:rFonts w:ascii="Garamond" w:hAnsi="Garamond"/>
              </w:rPr>
              <w:t xml:space="preserve">roughly </w:t>
            </w:r>
            <w:r w:rsidR="00921068" w:rsidRPr="000F21D1">
              <w:rPr>
                <w:rFonts w:ascii="Garamond" w:hAnsi="Garamond"/>
              </w:rPr>
              <w:t>1</w:t>
            </w:r>
            <w:r w:rsidRPr="000F21D1">
              <w:rPr>
                <w:rFonts w:ascii="Garamond" w:hAnsi="Garamond"/>
              </w:rPr>
              <w:t>0%</w:t>
            </w:r>
            <w:r w:rsidR="00921068" w:rsidRPr="000F21D1">
              <w:rPr>
                <w:rFonts w:ascii="Garamond" w:hAnsi="Garamond"/>
              </w:rPr>
              <w:t xml:space="preserve"> of its value against t</w:t>
            </w:r>
            <w:r w:rsidRPr="000F21D1">
              <w:rPr>
                <w:rFonts w:ascii="Garamond" w:hAnsi="Garamond"/>
              </w:rPr>
              <w:t>he U</w:t>
            </w:r>
            <w:r w:rsidR="00921068" w:rsidRPr="000F21D1">
              <w:rPr>
                <w:rFonts w:ascii="Garamond" w:hAnsi="Garamond"/>
              </w:rPr>
              <w:t>.</w:t>
            </w:r>
            <w:r w:rsidRPr="000F21D1">
              <w:rPr>
                <w:rFonts w:ascii="Garamond" w:hAnsi="Garamond"/>
              </w:rPr>
              <w:t>S</w:t>
            </w:r>
            <w:r w:rsidR="00921068" w:rsidRPr="000F21D1">
              <w:rPr>
                <w:rFonts w:ascii="Garamond" w:hAnsi="Garamond"/>
              </w:rPr>
              <w:t>.</w:t>
            </w:r>
            <w:r w:rsidRPr="000F21D1">
              <w:rPr>
                <w:rFonts w:ascii="Garamond" w:hAnsi="Garamond"/>
              </w:rPr>
              <w:t xml:space="preserve"> dollar over the short </w:t>
            </w:r>
            <w:r w:rsidR="00921068" w:rsidRPr="000F21D1">
              <w:rPr>
                <w:rFonts w:ascii="Garamond" w:hAnsi="Garamond"/>
              </w:rPr>
              <w:t>period of time. A</w:t>
            </w:r>
            <w:r w:rsidRPr="000F21D1">
              <w:rPr>
                <w:rFonts w:ascii="Garamond" w:hAnsi="Garamond"/>
              </w:rPr>
              <w:t xml:space="preserve">t the same time, the euro depreciated by </w:t>
            </w:r>
            <w:r w:rsidR="00D529AD" w:rsidRPr="000F21D1">
              <w:rPr>
                <w:rFonts w:ascii="Garamond" w:hAnsi="Garamond"/>
              </w:rPr>
              <w:lastRenderedPageBreak/>
              <w:t xml:space="preserve">nearly </w:t>
            </w:r>
            <w:r w:rsidRPr="000F21D1">
              <w:rPr>
                <w:rFonts w:ascii="Garamond" w:hAnsi="Garamond"/>
              </w:rPr>
              <w:t xml:space="preserve">1.9% against the dollar. </w:t>
            </w:r>
            <w:r w:rsidR="00D529AD" w:rsidRPr="000F21D1">
              <w:rPr>
                <w:rFonts w:ascii="Garamond" w:hAnsi="Garamond"/>
              </w:rPr>
              <w:t xml:space="preserve">What </w:t>
            </w:r>
            <w:r w:rsidRPr="000F21D1">
              <w:rPr>
                <w:rFonts w:ascii="Garamond" w:hAnsi="Garamond"/>
              </w:rPr>
              <w:t xml:space="preserve">is noteworthy </w:t>
            </w:r>
            <w:r w:rsidR="00D529AD" w:rsidRPr="000F21D1">
              <w:rPr>
                <w:rFonts w:ascii="Garamond" w:hAnsi="Garamond"/>
              </w:rPr>
              <w:t xml:space="preserve">is </w:t>
            </w:r>
            <w:r w:rsidRPr="000F21D1">
              <w:rPr>
                <w:rFonts w:ascii="Garamond" w:hAnsi="Garamond"/>
              </w:rPr>
              <w:t>that th</w:t>
            </w:r>
            <w:r w:rsidR="00D529AD" w:rsidRPr="000F21D1">
              <w:rPr>
                <w:rFonts w:ascii="Garamond" w:hAnsi="Garamond"/>
              </w:rPr>
              <w:t xml:space="preserve">e </w:t>
            </w:r>
            <w:r w:rsidRPr="000F21D1">
              <w:rPr>
                <w:rFonts w:ascii="Garamond" w:hAnsi="Garamond"/>
              </w:rPr>
              <w:t xml:space="preserve">event </w:t>
            </w:r>
            <w:r w:rsidR="00D529AD" w:rsidRPr="000F21D1">
              <w:rPr>
                <w:rFonts w:ascii="Garamond" w:hAnsi="Garamond"/>
              </w:rPr>
              <w:t xml:space="preserve">came in </w:t>
            </w:r>
            <w:r w:rsidRPr="000F21D1">
              <w:rPr>
                <w:rFonts w:ascii="Garamond" w:hAnsi="Garamond"/>
              </w:rPr>
              <w:t>a</w:t>
            </w:r>
            <w:r w:rsidR="00D529AD" w:rsidRPr="000F21D1">
              <w:rPr>
                <w:rFonts w:ascii="Garamond" w:hAnsi="Garamond"/>
              </w:rPr>
              <w:t>s</w:t>
            </w:r>
            <w:r w:rsidRPr="000F21D1">
              <w:rPr>
                <w:rFonts w:ascii="Garamond" w:hAnsi="Garamond"/>
              </w:rPr>
              <w:t xml:space="preserve"> </w:t>
            </w:r>
            <w:r w:rsidR="00D529AD" w:rsidRPr="000F21D1">
              <w:rPr>
                <w:rFonts w:ascii="Garamond" w:hAnsi="Garamond"/>
              </w:rPr>
              <w:t xml:space="preserve">a </w:t>
            </w:r>
            <w:r w:rsidRPr="000F21D1">
              <w:rPr>
                <w:rFonts w:ascii="Garamond" w:hAnsi="Garamond"/>
              </w:rPr>
              <w:t xml:space="preserve">surprise </w:t>
            </w:r>
            <w:r w:rsidR="00D529AD" w:rsidRPr="000F21D1">
              <w:rPr>
                <w:rFonts w:ascii="Garamond" w:hAnsi="Garamond"/>
              </w:rPr>
              <w:t>to the</w:t>
            </w:r>
            <w:r w:rsidRPr="000F21D1">
              <w:rPr>
                <w:rFonts w:ascii="Garamond" w:hAnsi="Garamond"/>
              </w:rPr>
              <w:t xml:space="preserve"> international financial markets</w:t>
            </w:r>
            <w:r w:rsidR="007A5E4F" w:rsidRPr="000F21D1">
              <w:rPr>
                <w:rFonts w:ascii="Garamond" w:hAnsi="Garamond"/>
              </w:rPr>
              <w:t>,</w:t>
            </w:r>
            <w:r w:rsidRPr="000F21D1">
              <w:rPr>
                <w:rFonts w:ascii="Garamond" w:hAnsi="Garamond"/>
              </w:rPr>
              <w:t xml:space="preserve"> le</w:t>
            </w:r>
            <w:r w:rsidR="007A5E4F" w:rsidRPr="000F21D1">
              <w:rPr>
                <w:rFonts w:ascii="Garamond" w:hAnsi="Garamond"/>
              </w:rPr>
              <w:t>a</w:t>
            </w:r>
            <w:r w:rsidRPr="000F21D1">
              <w:rPr>
                <w:rFonts w:ascii="Garamond" w:hAnsi="Garamond"/>
              </w:rPr>
              <w:t>d</w:t>
            </w:r>
            <w:r w:rsidR="007A5E4F" w:rsidRPr="000F21D1">
              <w:rPr>
                <w:rFonts w:ascii="Garamond" w:hAnsi="Garamond"/>
              </w:rPr>
              <w:t>ing</w:t>
            </w:r>
            <w:r w:rsidRPr="000F21D1">
              <w:rPr>
                <w:rFonts w:ascii="Garamond" w:hAnsi="Garamond"/>
              </w:rPr>
              <w:t xml:space="preserve"> to </w:t>
            </w:r>
            <w:r w:rsidR="007A5E4F" w:rsidRPr="000F21D1">
              <w:rPr>
                <w:rFonts w:ascii="Garamond" w:hAnsi="Garamond"/>
              </w:rPr>
              <w:t xml:space="preserve">heightened volatility and, </w:t>
            </w:r>
            <w:r w:rsidRPr="000F21D1">
              <w:rPr>
                <w:rFonts w:ascii="Garamond" w:hAnsi="Garamond"/>
              </w:rPr>
              <w:t xml:space="preserve">in some developing countries, </w:t>
            </w:r>
            <w:r w:rsidR="007A5E4F" w:rsidRPr="000F21D1">
              <w:rPr>
                <w:rFonts w:ascii="Garamond" w:hAnsi="Garamond"/>
              </w:rPr>
              <w:t xml:space="preserve">to </w:t>
            </w:r>
            <w:r w:rsidRPr="000F21D1">
              <w:rPr>
                <w:rFonts w:ascii="Garamond" w:hAnsi="Garamond"/>
              </w:rPr>
              <w:t xml:space="preserve">exchange rate depreciation and </w:t>
            </w:r>
            <w:r w:rsidR="007A5E4F" w:rsidRPr="000F21D1">
              <w:rPr>
                <w:rFonts w:ascii="Garamond" w:hAnsi="Garamond"/>
              </w:rPr>
              <w:t xml:space="preserve">slump in </w:t>
            </w:r>
            <w:r w:rsidRPr="000F21D1">
              <w:rPr>
                <w:rFonts w:ascii="Garamond" w:hAnsi="Garamond"/>
              </w:rPr>
              <w:t>stock indices</w:t>
            </w:r>
            <w:r w:rsidR="007A5E4F" w:rsidRPr="000F21D1">
              <w:rPr>
                <w:rFonts w:ascii="Garamond" w:hAnsi="Garamond"/>
              </w:rPr>
              <w:t>. This development, however, wa</w:t>
            </w:r>
            <w:r w:rsidRPr="000F21D1">
              <w:rPr>
                <w:rFonts w:ascii="Garamond" w:hAnsi="Garamond"/>
              </w:rPr>
              <w:t xml:space="preserve">s </w:t>
            </w:r>
            <w:r w:rsidR="007A5E4F" w:rsidRPr="000F21D1">
              <w:rPr>
                <w:rFonts w:ascii="Garamond" w:hAnsi="Garamond"/>
              </w:rPr>
              <w:t xml:space="preserve">only </w:t>
            </w:r>
            <w:r w:rsidRPr="000F21D1">
              <w:rPr>
                <w:rFonts w:ascii="Garamond" w:hAnsi="Garamond"/>
              </w:rPr>
              <w:t xml:space="preserve">limited to the </w:t>
            </w:r>
            <w:r w:rsidR="007A5E4F" w:rsidRPr="000F21D1">
              <w:rPr>
                <w:rFonts w:ascii="Garamond" w:hAnsi="Garamond"/>
              </w:rPr>
              <w:t xml:space="preserve">countries with their </w:t>
            </w:r>
            <w:r w:rsidRPr="000F21D1">
              <w:rPr>
                <w:rFonts w:ascii="Garamond" w:hAnsi="Garamond"/>
              </w:rPr>
              <w:t xml:space="preserve">main export destination </w:t>
            </w:r>
            <w:r w:rsidR="007A5E4F" w:rsidRPr="000F21D1">
              <w:rPr>
                <w:rFonts w:ascii="Garamond" w:hAnsi="Garamond"/>
              </w:rPr>
              <w:t>to the EU countries and the</w:t>
            </w:r>
            <w:r w:rsidRPr="000F21D1">
              <w:rPr>
                <w:rFonts w:ascii="Garamond" w:hAnsi="Garamond"/>
              </w:rPr>
              <w:t xml:space="preserve"> UK (Eichengreen, Gupta, Ospino (2016))</w:t>
            </w:r>
            <w:r w:rsidR="007A5E4F" w:rsidRPr="000F21D1">
              <w:rPr>
                <w:rFonts w:ascii="Garamond" w:hAnsi="Garamond"/>
              </w:rPr>
              <w:t>.</w:t>
            </w:r>
          </w:p>
          <w:p w14:paraId="1DB9DD7C" w14:textId="77777777" w:rsidR="007A5E4F" w:rsidRPr="000F21D1" w:rsidRDefault="007A5E4F" w:rsidP="003B583C">
            <w:pPr>
              <w:spacing w:line="360" w:lineRule="auto"/>
              <w:jc w:val="both"/>
              <w:rPr>
                <w:rFonts w:ascii="Garamond" w:hAnsi="Garamond"/>
              </w:rPr>
            </w:pPr>
          </w:p>
          <w:p w14:paraId="7E72A706" w14:textId="77777777" w:rsidR="003B583C" w:rsidRPr="000F21D1" w:rsidRDefault="003B583C" w:rsidP="003B583C">
            <w:pPr>
              <w:spacing w:line="360" w:lineRule="auto"/>
              <w:jc w:val="both"/>
              <w:rPr>
                <w:rFonts w:ascii="Garamond" w:hAnsi="Garamond"/>
              </w:rPr>
            </w:pPr>
            <w:r w:rsidRPr="000F21D1">
              <w:rPr>
                <w:rFonts w:ascii="Garamond" w:hAnsi="Garamond"/>
              </w:rPr>
              <w:t>It should be noted that fluctuations in the financial markets were largely short-term in nature, although the</w:t>
            </w:r>
            <w:r w:rsidR="00CA5AB0" w:rsidRPr="000F21D1">
              <w:rPr>
                <w:rFonts w:ascii="Garamond" w:hAnsi="Garamond"/>
              </w:rPr>
              <w:t>se</w:t>
            </w:r>
            <w:r w:rsidRPr="000F21D1">
              <w:rPr>
                <w:rFonts w:ascii="Garamond" w:hAnsi="Garamond"/>
              </w:rPr>
              <w:t xml:space="preserve"> express</w:t>
            </w:r>
            <w:r w:rsidR="00CA5AB0" w:rsidRPr="000F21D1">
              <w:rPr>
                <w:rFonts w:ascii="Garamond" w:hAnsi="Garamond"/>
              </w:rPr>
              <w:t xml:space="preserve">ed </w:t>
            </w:r>
            <w:r w:rsidRPr="000F21D1">
              <w:rPr>
                <w:rFonts w:ascii="Garamond" w:hAnsi="Garamond"/>
              </w:rPr>
              <w:t xml:space="preserve">the fact that this process </w:t>
            </w:r>
            <w:r w:rsidR="00CA5AB0" w:rsidRPr="000F21D1">
              <w:rPr>
                <w:rFonts w:ascii="Garamond" w:hAnsi="Garamond"/>
              </w:rPr>
              <w:t xml:space="preserve">has added </w:t>
            </w:r>
            <w:r w:rsidRPr="000F21D1">
              <w:rPr>
                <w:rFonts w:ascii="Garamond" w:hAnsi="Garamond"/>
              </w:rPr>
              <w:t>significant uncertaint</w:t>
            </w:r>
            <w:r w:rsidR="00CA5AB0" w:rsidRPr="000F21D1">
              <w:rPr>
                <w:rFonts w:ascii="Garamond" w:hAnsi="Garamond"/>
              </w:rPr>
              <w:t>ies</w:t>
            </w:r>
            <w:r w:rsidRPr="000F21D1">
              <w:rPr>
                <w:rFonts w:ascii="Garamond" w:hAnsi="Garamond"/>
              </w:rPr>
              <w:t xml:space="preserve"> </w:t>
            </w:r>
            <w:r w:rsidR="00CA5AB0" w:rsidRPr="000F21D1">
              <w:rPr>
                <w:rFonts w:ascii="Garamond" w:hAnsi="Garamond"/>
              </w:rPr>
              <w:t xml:space="preserve">to </w:t>
            </w:r>
            <w:r w:rsidRPr="000F21D1">
              <w:rPr>
                <w:rFonts w:ascii="Garamond" w:hAnsi="Garamond"/>
              </w:rPr>
              <w:t>the global econom</w:t>
            </w:r>
            <w:r w:rsidR="00081224" w:rsidRPr="000F21D1">
              <w:rPr>
                <w:rFonts w:ascii="Garamond" w:hAnsi="Garamond"/>
              </w:rPr>
              <w:t>ic</w:t>
            </w:r>
            <w:r w:rsidR="00CA5AB0" w:rsidRPr="000F21D1">
              <w:rPr>
                <w:rFonts w:ascii="Garamond" w:hAnsi="Garamond"/>
              </w:rPr>
              <w:t xml:space="preserve"> outlook</w:t>
            </w:r>
            <w:r w:rsidR="00081224" w:rsidRPr="000F21D1">
              <w:rPr>
                <w:rFonts w:ascii="Garamond" w:hAnsi="Garamond"/>
              </w:rPr>
              <w:t>,</w:t>
            </w:r>
            <w:r w:rsidRPr="000F21D1">
              <w:rPr>
                <w:rFonts w:ascii="Garamond" w:hAnsi="Garamond"/>
              </w:rPr>
              <w:t xml:space="preserve"> economic development and economic policies of the countries involved. Therefore, in the medium term</w:t>
            </w:r>
            <w:r w:rsidR="00754CC8" w:rsidRPr="000F21D1">
              <w:rPr>
                <w:rFonts w:ascii="Garamond" w:hAnsi="Garamond"/>
              </w:rPr>
              <w:t>,</w:t>
            </w:r>
            <w:r w:rsidRPr="000F21D1">
              <w:rPr>
                <w:rFonts w:ascii="Garamond" w:hAnsi="Garamond"/>
              </w:rPr>
              <w:t xml:space="preserve"> </w:t>
            </w:r>
            <w:r w:rsidR="00754CC8" w:rsidRPr="000F21D1">
              <w:rPr>
                <w:rFonts w:ascii="Garamond" w:hAnsi="Garamond"/>
              </w:rPr>
              <w:t>the impact of the referendum outcome o</w:t>
            </w:r>
            <w:r w:rsidRPr="000F21D1">
              <w:rPr>
                <w:rFonts w:ascii="Garamond" w:hAnsi="Garamond"/>
              </w:rPr>
              <w:t xml:space="preserve">n the instability of the financial markets </w:t>
            </w:r>
            <w:r w:rsidR="00754CC8" w:rsidRPr="000F21D1">
              <w:rPr>
                <w:rFonts w:ascii="Garamond" w:hAnsi="Garamond"/>
              </w:rPr>
              <w:t xml:space="preserve">will weaken but will be more significant for </w:t>
            </w:r>
            <w:r w:rsidRPr="000F21D1">
              <w:rPr>
                <w:rFonts w:ascii="Garamond" w:hAnsi="Garamond"/>
              </w:rPr>
              <w:t xml:space="preserve">real activity indicators </w:t>
            </w:r>
            <w:r w:rsidR="00754CC8" w:rsidRPr="000F21D1">
              <w:rPr>
                <w:rFonts w:ascii="Garamond" w:hAnsi="Garamond"/>
              </w:rPr>
              <w:t xml:space="preserve">of </w:t>
            </w:r>
            <w:r w:rsidR="007F2F4D" w:rsidRPr="000F21D1">
              <w:rPr>
                <w:rFonts w:ascii="Garamond" w:hAnsi="Garamond"/>
              </w:rPr>
              <w:t xml:space="preserve">the British economy – most </w:t>
            </w:r>
            <w:r w:rsidRPr="000F21D1">
              <w:rPr>
                <w:rFonts w:ascii="Garamond" w:hAnsi="Garamond"/>
              </w:rPr>
              <w:t>impact w</w:t>
            </w:r>
            <w:r w:rsidR="007F2F4D" w:rsidRPr="000F21D1">
              <w:rPr>
                <w:rFonts w:ascii="Garamond" w:hAnsi="Garamond"/>
              </w:rPr>
              <w:t xml:space="preserve">ill be incurred by the labor market and </w:t>
            </w:r>
            <w:r w:rsidRPr="000F21D1">
              <w:rPr>
                <w:rFonts w:ascii="Garamond" w:hAnsi="Garamond"/>
              </w:rPr>
              <w:t>capital investment in business</w:t>
            </w:r>
            <w:r w:rsidR="007F2F4D" w:rsidRPr="000F21D1">
              <w:rPr>
                <w:rFonts w:ascii="Garamond" w:hAnsi="Garamond"/>
              </w:rPr>
              <w:t>es</w:t>
            </w:r>
            <w:r w:rsidRPr="000F21D1">
              <w:rPr>
                <w:rFonts w:ascii="Garamond" w:hAnsi="Garamond"/>
              </w:rPr>
              <w:t>. It should be noted that</w:t>
            </w:r>
            <w:r w:rsidR="00E614AF" w:rsidRPr="000F21D1">
              <w:rPr>
                <w:rFonts w:ascii="Garamond" w:hAnsi="Garamond"/>
              </w:rPr>
              <w:t>,</w:t>
            </w:r>
            <w:r w:rsidRPr="000F21D1">
              <w:rPr>
                <w:rFonts w:ascii="Garamond" w:hAnsi="Garamond"/>
              </w:rPr>
              <w:t xml:space="preserve"> </w:t>
            </w:r>
            <w:r w:rsidR="00E614AF" w:rsidRPr="000F21D1">
              <w:rPr>
                <w:rFonts w:ascii="Garamond" w:hAnsi="Garamond"/>
              </w:rPr>
              <w:t>as there are much uncertainties going along with the process, a</w:t>
            </w:r>
            <w:r w:rsidRPr="000F21D1">
              <w:rPr>
                <w:rFonts w:ascii="Garamond" w:hAnsi="Garamond"/>
              </w:rPr>
              <w:t xml:space="preserve"> likely slowdown in </w:t>
            </w:r>
            <w:r w:rsidR="00E614AF" w:rsidRPr="000F21D1">
              <w:rPr>
                <w:rFonts w:ascii="Garamond" w:hAnsi="Garamond"/>
              </w:rPr>
              <w:t>investment will</w:t>
            </w:r>
            <w:r w:rsidRPr="000F21D1">
              <w:rPr>
                <w:rFonts w:ascii="Garamond" w:hAnsi="Garamond"/>
              </w:rPr>
              <w:t xml:space="preserve">, naturally, have an impact on economic growth prospects. </w:t>
            </w:r>
            <w:r w:rsidR="00E33FF4" w:rsidRPr="000F21D1">
              <w:rPr>
                <w:rFonts w:ascii="Garamond" w:hAnsi="Garamond"/>
              </w:rPr>
              <w:t>T</w:t>
            </w:r>
            <w:r w:rsidRPr="000F21D1">
              <w:rPr>
                <w:rFonts w:ascii="Garamond" w:hAnsi="Garamond"/>
              </w:rPr>
              <w:t xml:space="preserve">he impact of this process on the EU economic development is important in </w:t>
            </w:r>
            <w:r w:rsidR="00E33FF4" w:rsidRPr="000F21D1">
              <w:rPr>
                <w:rFonts w:ascii="Garamond" w:hAnsi="Garamond"/>
              </w:rPr>
              <w:t>a</w:t>
            </w:r>
            <w:r w:rsidRPr="000F21D1">
              <w:rPr>
                <w:rFonts w:ascii="Garamond" w:hAnsi="Garamond"/>
              </w:rPr>
              <w:t xml:space="preserve"> sense that the</w:t>
            </w:r>
            <w:r w:rsidR="00891283" w:rsidRPr="000F21D1">
              <w:rPr>
                <w:rFonts w:ascii="Garamond" w:hAnsi="Garamond"/>
              </w:rPr>
              <w:t xml:space="preserve">re are countries included in the EU that are </w:t>
            </w:r>
            <w:r w:rsidRPr="000F21D1">
              <w:rPr>
                <w:rFonts w:ascii="Garamond" w:hAnsi="Garamond"/>
              </w:rPr>
              <w:t>main partner countries</w:t>
            </w:r>
            <w:r w:rsidR="00891283" w:rsidRPr="000F21D1">
              <w:rPr>
                <w:rFonts w:ascii="Garamond" w:hAnsi="Garamond"/>
              </w:rPr>
              <w:t xml:space="preserve"> to Armenia.</w:t>
            </w:r>
            <w:r w:rsidRPr="000F21D1">
              <w:rPr>
                <w:rFonts w:ascii="Garamond" w:hAnsi="Garamond"/>
              </w:rPr>
              <w:t xml:space="preserve"> Note that</w:t>
            </w:r>
            <w:r w:rsidR="00E760B4" w:rsidRPr="000F21D1">
              <w:rPr>
                <w:rFonts w:ascii="Garamond" w:hAnsi="Garamond"/>
              </w:rPr>
              <w:t>,</w:t>
            </w:r>
            <w:r w:rsidRPr="000F21D1">
              <w:rPr>
                <w:rFonts w:ascii="Garamond" w:hAnsi="Garamond"/>
              </w:rPr>
              <w:t xml:space="preserve"> </w:t>
            </w:r>
            <w:r w:rsidR="00E760B4" w:rsidRPr="000F21D1">
              <w:rPr>
                <w:rFonts w:ascii="Garamond" w:hAnsi="Garamond"/>
              </w:rPr>
              <w:t xml:space="preserve">in </w:t>
            </w:r>
            <w:r w:rsidRPr="000F21D1">
              <w:rPr>
                <w:rFonts w:ascii="Garamond" w:hAnsi="Garamond"/>
              </w:rPr>
              <w:t xml:space="preserve">the </w:t>
            </w:r>
            <w:r w:rsidR="00E760B4" w:rsidRPr="000F21D1">
              <w:rPr>
                <w:rFonts w:ascii="Garamond" w:hAnsi="Garamond"/>
              </w:rPr>
              <w:t xml:space="preserve">time of </w:t>
            </w:r>
            <w:r w:rsidRPr="000F21D1">
              <w:rPr>
                <w:rFonts w:ascii="Garamond" w:hAnsi="Garamond"/>
              </w:rPr>
              <w:t>present uncertaint</w:t>
            </w:r>
            <w:r w:rsidR="00E760B4" w:rsidRPr="000F21D1">
              <w:rPr>
                <w:rFonts w:ascii="Garamond" w:hAnsi="Garamond"/>
              </w:rPr>
              <w:t>ies,</w:t>
            </w:r>
            <w:r w:rsidRPr="000F21D1">
              <w:rPr>
                <w:rFonts w:ascii="Garamond" w:hAnsi="Garamond"/>
              </w:rPr>
              <w:t xml:space="preserve"> the </w:t>
            </w:r>
            <w:r w:rsidR="00E760B4" w:rsidRPr="000F21D1">
              <w:rPr>
                <w:rFonts w:ascii="Garamond" w:hAnsi="Garamond"/>
              </w:rPr>
              <w:t xml:space="preserve">negative </w:t>
            </w:r>
            <w:r w:rsidRPr="000F21D1">
              <w:rPr>
                <w:rFonts w:ascii="Garamond" w:hAnsi="Garamond"/>
              </w:rPr>
              <w:t xml:space="preserve">impact on </w:t>
            </w:r>
            <w:r w:rsidR="00E760B4" w:rsidRPr="000F21D1">
              <w:rPr>
                <w:rFonts w:ascii="Garamond" w:hAnsi="Garamond"/>
              </w:rPr>
              <w:t xml:space="preserve">the </w:t>
            </w:r>
            <w:r w:rsidRPr="000F21D1">
              <w:rPr>
                <w:rFonts w:ascii="Garamond" w:hAnsi="Garamond"/>
              </w:rPr>
              <w:t xml:space="preserve">sustainable long-term </w:t>
            </w:r>
            <w:r w:rsidR="00E760B4" w:rsidRPr="000F21D1">
              <w:rPr>
                <w:rFonts w:ascii="Garamond" w:hAnsi="Garamond"/>
              </w:rPr>
              <w:t xml:space="preserve">EU economic growth </w:t>
            </w:r>
            <w:r w:rsidRPr="000F21D1">
              <w:rPr>
                <w:rFonts w:ascii="Garamond" w:hAnsi="Garamond"/>
              </w:rPr>
              <w:t xml:space="preserve">equilibrium is estimated </w:t>
            </w:r>
            <w:r w:rsidR="00E760B4" w:rsidRPr="000F21D1">
              <w:rPr>
                <w:rFonts w:ascii="Garamond" w:hAnsi="Garamond"/>
              </w:rPr>
              <w:t xml:space="preserve">to be </w:t>
            </w:r>
            <w:r w:rsidRPr="000F21D1">
              <w:rPr>
                <w:rFonts w:ascii="Garamond" w:hAnsi="Garamond"/>
              </w:rPr>
              <w:t xml:space="preserve">0.1 percentage point. In such circumstances, the European Central Bank, and </w:t>
            </w:r>
            <w:r w:rsidR="00A47859" w:rsidRPr="000F21D1">
              <w:rPr>
                <w:rFonts w:ascii="Garamond" w:hAnsi="Garamond"/>
              </w:rPr>
              <w:t xml:space="preserve">the Bank of England </w:t>
            </w:r>
            <w:r w:rsidRPr="000F21D1">
              <w:rPr>
                <w:rFonts w:ascii="Garamond" w:hAnsi="Garamond"/>
              </w:rPr>
              <w:t>in particular</w:t>
            </w:r>
            <w:r w:rsidR="00A47859" w:rsidRPr="000F21D1">
              <w:rPr>
                <w:rFonts w:ascii="Garamond" w:hAnsi="Garamond"/>
              </w:rPr>
              <w:t>,</w:t>
            </w:r>
            <w:r w:rsidRPr="000F21D1">
              <w:rPr>
                <w:rFonts w:ascii="Garamond" w:hAnsi="Garamond"/>
              </w:rPr>
              <w:t xml:space="preserve"> </w:t>
            </w:r>
            <w:r w:rsidR="00A47859" w:rsidRPr="000F21D1">
              <w:rPr>
                <w:rFonts w:ascii="Garamond" w:hAnsi="Garamond"/>
              </w:rPr>
              <w:t xml:space="preserve">are very much likely to embark on more stimulating </w:t>
            </w:r>
            <w:r w:rsidRPr="000F21D1">
              <w:rPr>
                <w:rFonts w:ascii="Garamond" w:hAnsi="Garamond"/>
              </w:rPr>
              <w:t>measures</w:t>
            </w:r>
            <w:r w:rsidR="002C6448" w:rsidRPr="000F21D1">
              <w:rPr>
                <w:rFonts w:ascii="Garamond" w:hAnsi="Garamond"/>
              </w:rPr>
              <w:t xml:space="preserve">. </w:t>
            </w:r>
            <w:r w:rsidR="00735B72" w:rsidRPr="000F21D1">
              <w:rPr>
                <w:rFonts w:ascii="Garamond" w:hAnsi="Garamond"/>
              </w:rPr>
              <w:t>These, s</w:t>
            </w:r>
            <w:r w:rsidR="002C6448" w:rsidRPr="000F21D1">
              <w:rPr>
                <w:rFonts w:ascii="Garamond" w:hAnsi="Garamond"/>
              </w:rPr>
              <w:t xml:space="preserve">pecifically, </w:t>
            </w:r>
            <w:r w:rsidR="00735B72" w:rsidRPr="000F21D1">
              <w:rPr>
                <w:rFonts w:ascii="Garamond" w:hAnsi="Garamond"/>
              </w:rPr>
              <w:t xml:space="preserve">included </w:t>
            </w:r>
            <w:r w:rsidRPr="000F21D1">
              <w:rPr>
                <w:rFonts w:ascii="Garamond" w:hAnsi="Garamond"/>
              </w:rPr>
              <w:t>the Bank of England</w:t>
            </w:r>
            <w:r w:rsidR="00735B72" w:rsidRPr="000F21D1">
              <w:rPr>
                <w:rFonts w:ascii="Garamond" w:hAnsi="Garamond"/>
              </w:rPr>
              <w:t>’s cutting of</w:t>
            </w:r>
            <w:r w:rsidRPr="000F21D1">
              <w:rPr>
                <w:rFonts w:ascii="Garamond" w:hAnsi="Garamond"/>
              </w:rPr>
              <w:t xml:space="preserve"> </w:t>
            </w:r>
            <w:r w:rsidR="002C6448" w:rsidRPr="000F21D1">
              <w:rPr>
                <w:rFonts w:ascii="Garamond" w:hAnsi="Garamond"/>
              </w:rPr>
              <w:t xml:space="preserve">the refinancing </w:t>
            </w:r>
            <w:r w:rsidRPr="000F21D1">
              <w:rPr>
                <w:rFonts w:ascii="Garamond" w:hAnsi="Garamond"/>
              </w:rPr>
              <w:t>rate</w:t>
            </w:r>
            <w:r w:rsidR="002C6448" w:rsidRPr="000F21D1">
              <w:rPr>
                <w:rFonts w:ascii="Garamond" w:hAnsi="Garamond"/>
              </w:rPr>
              <w:t>s</w:t>
            </w:r>
            <w:r w:rsidRPr="000F21D1">
              <w:rPr>
                <w:rFonts w:ascii="Garamond" w:hAnsi="Garamond"/>
              </w:rPr>
              <w:t xml:space="preserve"> </w:t>
            </w:r>
            <w:r w:rsidR="002C6448" w:rsidRPr="000F21D1">
              <w:rPr>
                <w:rFonts w:ascii="Garamond" w:hAnsi="Garamond"/>
              </w:rPr>
              <w:t xml:space="preserve">from </w:t>
            </w:r>
            <w:r w:rsidRPr="000F21D1">
              <w:rPr>
                <w:rFonts w:ascii="Garamond" w:hAnsi="Garamond"/>
              </w:rPr>
              <w:t xml:space="preserve">0.5% to </w:t>
            </w:r>
            <w:r w:rsidR="002C6448" w:rsidRPr="000F21D1">
              <w:rPr>
                <w:rFonts w:ascii="Garamond" w:hAnsi="Garamond"/>
              </w:rPr>
              <w:t xml:space="preserve">historically low levels of </w:t>
            </w:r>
            <w:r w:rsidRPr="000F21D1">
              <w:rPr>
                <w:rFonts w:ascii="Garamond" w:hAnsi="Garamond"/>
              </w:rPr>
              <w:t xml:space="preserve">0.25% </w:t>
            </w:r>
            <w:r w:rsidR="002C6448" w:rsidRPr="000F21D1">
              <w:rPr>
                <w:rFonts w:ascii="Garamond" w:hAnsi="Garamond"/>
              </w:rPr>
              <w:t>and proceed</w:t>
            </w:r>
            <w:r w:rsidR="00735B72" w:rsidRPr="000F21D1">
              <w:rPr>
                <w:rFonts w:ascii="Garamond" w:hAnsi="Garamond"/>
              </w:rPr>
              <w:t xml:space="preserve">ing </w:t>
            </w:r>
            <w:r w:rsidR="002C6448" w:rsidRPr="000F21D1">
              <w:rPr>
                <w:rFonts w:ascii="Garamond" w:hAnsi="Garamond"/>
              </w:rPr>
              <w:t xml:space="preserve">with the program on </w:t>
            </w:r>
            <w:r w:rsidRPr="000F21D1">
              <w:rPr>
                <w:rFonts w:ascii="Garamond" w:hAnsi="Garamond"/>
              </w:rPr>
              <w:t>quantitative e</w:t>
            </w:r>
            <w:r w:rsidR="002C6448" w:rsidRPr="000F21D1">
              <w:rPr>
                <w:rFonts w:ascii="Garamond" w:hAnsi="Garamond"/>
              </w:rPr>
              <w:t>asing</w:t>
            </w:r>
            <w:r w:rsidRPr="000F21D1">
              <w:rPr>
                <w:rFonts w:ascii="Garamond" w:hAnsi="Garamond"/>
              </w:rPr>
              <w:t xml:space="preserve">. It is noteworthy that in the current situation the exchange rate depreciation may </w:t>
            </w:r>
            <w:r w:rsidR="00BF2ED0" w:rsidRPr="000F21D1">
              <w:rPr>
                <w:rFonts w:ascii="Garamond" w:hAnsi="Garamond"/>
              </w:rPr>
              <w:t xml:space="preserve">bring in </w:t>
            </w:r>
            <w:r w:rsidRPr="000F21D1">
              <w:rPr>
                <w:rFonts w:ascii="Garamond" w:hAnsi="Garamond"/>
              </w:rPr>
              <w:t>some additional impetus for re</w:t>
            </w:r>
            <w:r w:rsidR="00BF2ED0" w:rsidRPr="000F21D1">
              <w:rPr>
                <w:rFonts w:ascii="Garamond" w:hAnsi="Garamond"/>
              </w:rPr>
              <w:t xml:space="preserve">bounding of </w:t>
            </w:r>
            <w:r w:rsidRPr="000F21D1">
              <w:rPr>
                <w:rFonts w:ascii="Garamond" w:hAnsi="Garamond"/>
              </w:rPr>
              <w:t>demand and inflation.</w:t>
            </w:r>
          </w:p>
          <w:p w14:paraId="0F7E8E3D" w14:textId="77777777" w:rsidR="00BF2ED0" w:rsidRPr="000F21D1" w:rsidRDefault="00BF2ED0" w:rsidP="003B583C">
            <w:pPr>
              <w:spacing w:line="360" w:lineRule="auto"/>
              <w:jc w:val="both"/>
              <w:rPr>
                <w:rFonts w:ascii="Garamond" w:hAnsi="Garamond"/>
              </w:rPr>
            </w:pPr>
          </w:p>
          <w:p w14:paraId="052373C9" w14:textId="77777777" w:rsidR="003B583C" w:rsidRPr="00F720C4" w:rsidRDefault="00BF2ED0" w:rsidP="00BF2ED0">
            <w:pPr>
              <w:spacing w:line="360" w:lineRule="auto"/>
              <w:jc w:val="both"/>
              <w:rPr>
                <w:rFonts w:ascii="Garamond" w:hAnsi="Garamond"/>
              </w:rPr>
            </w:pPr>
            <w:r w:rsidRPr="000F21D1">
              <w:rPr>
                <w:rFonts w:ascii="Garamond" w:hAnsi="Garamond"/>
              </w:rPr>
              <w:t>The</w:t>
            </w:r>
            <w:r w:rsidR="003B583C" w:rsidRPr="000F21D1">
              <w:rPr>
                <w:rFonts w:ascii="Garamond" w:hAnsi="Garamond"/>
              </w:rPr>
              <w:t xml:space="preserve"> uncertainties related to the </w:t>
            </w:r>
            <w:r w:rsidRPr="000F21D1">
              <w:rPr>
                <w:rFonts w:ascii="Garamond" w:hAnsi="Garamond"/>
              </w:rPr>
              <w:t xml:space="preserve">Brexit </w:t>
            </w:r>
            <w:r w:rsidR="003B583C" w:rsidRPr="000F21D1">
              <w:rPr>
                <w:rFonts w:ascii="Garamond" w:hAnsi="Garamond"/>
              </w:rPr>
              <w:t xml:space="preserve">will </w:t>
            </w:r>
            <w:r w:rsidRPr="000F21D1">
              <w:rPr>
                <w:rFonts w:ascii="Garamond" w:hAnsi="Garamond"/>
              </w:rPr>
              <w:t xml:space="preserve">be persisting </w:t>
            </w:r>
            <w:r w:rsidR="003B583C" w:rsidRPr="000F21D1">
              <w:rPr>
                <w:rFonts w:ascii="Garamond" w:hAnsi="Garamond"/>
              </w:rPr>
              <w:t xml:space="preserve">a </w:t>
            </w:r>
            <w:r w:rsidRPr="000F21D1">
              <w:rPr>
                <w:rFonts w:ascii="Garamond" w:hAnsi="Garamond"/>
              </w:rPr>
              <w:t xml:space="preserve">couple of </w:t>
            </w:r>
            <w:r w:rsidR="003B583C" w:rsidRPr="000F21D1">
              <w:rPr>
                <w:rFonts w:ascii="Garamond" w:hAnsi="Garamond"/>
              </w:rPr>
              <w:t xml:space="preserve">years, and impacts on the global economy will </w:t>
            </w:r>
            <w:r w:rsidRPr="000F21D1">
              <w:rPr>
                <w:rFonts w:ascii="Garamond" w:hAnsi="Garamond"/>
              </w:rPr>
              <w:t xml:space="preserve">only </w:t>
            </w:r>
            <w:r w:rsidR="003B583C" w:rsidRPr="000F21D1">
              <w:rPr>
                <w:rFonts w:ascii="Garamond" w:hAnsi="Garamond"/>
              </w:rPr>
              <w:t xml:space="preserve">emerge in the medium </w:t>
            </w:r>
            <w:r w:rsidRPr="000F21D1">
              <w:rPr>
                <w:rFonts w:ascii="Garamond" w:hAnsi="Garamond"/>
              </w:rPr>
              <w:t>run</w:t>
            </w:r>
            <w:r w:rsidR="003B583C" w:rsidRPr="000F21D1">
              <w:rPr>
                <w:rFonts w:ascii="Garamond" w:hAnsi="Garamond"/>
              </w:rPr>
              <w:t>.</w:t>
            </w:r>
          </w:p>
        </w:tc>
      </w:tr>
    </w:tbl>
    <w:p w14:paraId="54C1E3E3" w14:textId="77777777" w:rsidR="003B583C" w:rsidRPr="000F21D1" w:rsidRDefault="003B583C" w:rsidP="00B117C8">
      <w:pPr>
        <w:spacing w:line="360" w:lineRule="auto"/>
        <w:jc w:val="both"/>
        <w:rPr>
          <w:rFonts w:ascii="Garamond" w:hAnsi="Garamond"/>
        </w:rPr>
      </w:pPr>
    </w:p>
    <w:p w14:paraId="2D506869" w14:textId="77777777" w:rsidR="003B583C" w:rsidRPr="000F21D1" w:rsidRDefault="003B583C" w:rsidP="00B117C8">
      <w:pPr>
        <w:spacing w:line="360" w:lineRule="auto"/>
        <w:jc w:val="both"/>
        <w:rPr>
          <w:rFonts w:ascii="Garamond" w:hAnsi="Garamond"/>
        </w:rPr>
      </w:pPr>
    </w:p>
    <w:p w14:paraId="00C26209" w14:textId="77777777" w:rsidR="003B583C" w:rsidRPr="000F21D1" w:rsidRDefault="003B583C" w:rsidP="00B117C8">
      <w:pPr>
        <w:spacing w:line="360" w:lineRule="auto"/>
        <w:jc w:val="both"/>
        <w:rPr>
          <w:rFonts w:ascii="Garamond" w:hAnsi="Garamond"/>
        </w:rPr>
      </w:pPr>
    </w:p>
    <w:p w14:paraId="3C37973C" w14:textId="77777777" w:rsidR="00400525" w:rsidRPr="000F21D1" w:rsidRDefault="00400525" w:rsidP="00B117C8">
      <w:pPr>
        <w:spacing w:line="360" w:lineRule="auto"/>
        <w:jc w:val="both"/>
        <w:rPr>
          <w:rFonts w:ascii="Garamond" w:hAnsi="Garamond"/>
          <w:b/>
        </w:rPr>
      </w:pPr>
      <w:r w:rsidRPr="000F21D1">
        <w:rPr>
          <w:rFonts w:ascii="Garamond" w:hAnsi="Garamond"/>
          <w:b/>
        </w:rPr>
        <w:t>2.2. Aggregate supply and aggregate demand</w:t>
      </w:r>
    </w:p>
    <w:p w14:paraId="3BB1B9D5" w14:textId="77777777" w:rsidR="00400525" w:rsidRPr="000F21D1" w:rsidRDefault="00400525" w:rsidP="00B117C8">
      <w:pPr>
        <w:spacing w:line="360" w:lineRule="auto"/>
        <w:jc w:val="both"/>
        <w:rPr>
          <w:rFonts w:ascii="Garamond" w:hAnsi="Garamond"/>
        </w:rPr>
      </w:pPr>
      <w:r w:rsidRPr="000F21D1">
        <w:rPr>
          <w:rFonts w:ascii="Garamond" w:hAnsi="Garamond"/>
          <w:b/>
        </w:rPr>
        <w:t>Aggregate supply</w:t>
      </w:r>
    </w:p>
    <w:p w14:paraId="2C32E7F0" w14:textId="77777777" w:rsidR="00344292" w:rsidRPr="000F21D1" w:rsidRDefault="00344292" w:rsidP="00B117C8">
      <w:pPr>
        <w:spacing w:line="360" w:lineRule="auto"/>
        <w:jc w:val="both"/>
        <w:rPr>
          <w:rFonts w:ascii="Garamond" w:hAnsi="Garamond"/>
          <w:b/>
          <w:spacing w:val="20"/>
        </w:rPr>
      </w:pPr>
    </w:p>
    <w:p w14:paraId="37F8A792" w14:textId="77777777" w:rsidR="00EB7DBD" w:rsidRPr="000F21D1" w:rsidRDefault="00400525" w:rsidP="00B117C8">
      <w:pPr>
        <w:spacing w:line="360" w:lineRule="auto"/>
        <w:jc w:val="both"/>
        <w:rPr>
          <w:rFonts w:ascii="Garamond" w:hAnsi="Garamond"/>
        </w:rPr>
      </w:pPr>
      <w:r w:rsidRPr="000F21D1">
        <w:rPr>
          <w:rFonts w:ascii="Garamond" w:hAnsi="Garamond"/>
          <w:bCs/>
          <w:iCs/>
        </w:rPr>
        <w:lastRenderedPageBreak/>
        <w:t>The CBA</w:t>
      </w:r>
      <w:r w:rsidR="00BF2ED0" w:rsidRPr="000F21D1">
        <w:rPr>
          <w:rFonts w:ascii="Garamond" w:hAnsi="Garamond"/>
          <w:bCs/>
          <w:iCs/>
        </w:rPr>
        <w:t xml:space="preserve"> </w:t>
      </w:r>
      <w:r w:rsidRPr="000F21D1">
        <w:rPr>
          <w:rFonts w:ascii="Garamond" w:hAnsi="Garamond"/>
          <w:bCs/>
          <w:iCs/>
        </w:rPr>
        <w:t>economic growth forecasts for 2016</w:t>
      </w:r>
      <w:r w:rsidR="00BF2ED0" w:rsidRPr="000F21D1">
        <w:rPr>
          <w:rFonts w:ascii="Garamond" w:hAnsi="Garamond"/>
          <w:bCs/>
          <w:iCs/>
        </w:rPr>
        <w:t xml:space="preserve"> </w:t>
      </w:r>
      <w:r w:rsidR="00720C09" w:rsidRPr="000F21D1">
        <w:rPr>
          <w:rFonts w:ascii="Garamond" w:hAnsi="Garamond"/>
          <w:bCs/>
          <w:iCs/>
        </w:rPr>
        <w:t xml:space="preserve">remained much the same as macroeconomic developments were generally in line with the </w:t>
      </w:r>
      <w:r w:rsidR="00233F8B">
        <w:rPr>
          <w:rFonts w:ascii="Garamond" w:hAnsi="Garamond"/>
          <w:bCs/>
          <w:iCs/>
        </w:rPr>
        <w:t xml:space="preserve">previous </w:t>
      </w:r>
      <w:r w:rsidR="00720C09" w:rsidRPr="000F21D1">
        <w:rPr>
          <w:rFonts w:ascii="Garamond" w:hAnsi="Garamond"/>
          <w:bCs/>
          <w:iCs/>
        </w:rPr>
        <w:t xml:space="preserve">forecasts. </w:t>
      </w:r>
      <w:r w:rsidRPr="000F21D1">
        <w:rPr>
          <w:rFonts w:ascii="Garamond" w:hAnsi="Garamond"/>
        </w:rPr>
        <w:t xml:space="preserve">As a result, the </w:t>
      </w:r>
      <w:r w:rsidRPr="000F21D1">
        <w:rPr>
          <w:rFonts w:ascii="Garamond" w:hAnsi="Garamond"/>
          <w:b/>
        </w:rPr>
        <w:t xml:space="preserve">2016 economic growth is </w:t>
      </w:r>
      <w:r w:rsidR="003E2200" w:rsidRPr="000F21D1">
        <w:rPr>
          <w:rFonts w:ascii="Garamond" w:hAnsi="Garamond"/>
          <w:b/>
        </w:rPr>
        <w:t xml:space="preserve">estimated </w:t>
      </w:r>
      <w:r w:rsidRPr="000F21D1">
        <w:rPr>
          <w:rFonts w:ascii="Garamond" w:hAnsi="Garamond"/>
          <w:b/>
        </w:rPr>
        <w:t>in the range of 2.</w:t>
      </w:r>
      <w:r w:rsidR="00720C09" w:rsidRPr="000F21D1">
        <w:rPr>
          <w:rFonts w:ascii="Garamond" w:hAnsi="Garamond"/>
          <w:b/>
        </w:rPr>
        <w:t>8</w:t>
      </w:r>
      <w:r w:rsidRPr="000F21D1">
        <w:rPr>
          <w:rFonts w:ascii="Garamond" w:hAnsi="Garamond"/>
          <w:b/>
        </w:rPr>
        <w:t>-3.</w:t>
      </w:r>
      <w:r w:rsidR="00720C09" w:rsidRPr="000F21D1">
        <w:rPr>
          <w:rFonts w:ascii="Garamond" w:hAnsi="Garamond"/>
          <w:b/>
        </w:rPr>
        <w:t>4</w:t>
      </w:r>
      <w:r w:rsidRPr="000F21D1">
        <w:rPr>
          <w:rFonts w:ascii="Garamond" w:hAnsi="Garamond"/>
          <w:b/>
        </w:rPr>
        <w:t>%</w:t>
      </w:r>
      <w:r w:rsidR="00720C09" w:rsidRPr="000F21D1">
        <w:rPr>
          <w:rStyle w:val="FootnoteReference"/>
          <w:rFonts w:ascii="Garamond" w:hAnsi="Garamond"/>
        </w:rPr>
        <w:footnoteReference w:customMarkFollows="1" w:id="3"/>
        <w:t>3</w:t>
      </w:r>
      <w:r w:rsidRPr="000F21D1">
        <w:rPr>
          <w:rFonts w:ascii="Garamond" w:hAnsi="Garamond"/>
        </w:rPr>
        <w:t xml:space="preserve">. </w:t>
      </w:r>
    </w:p>
    <w:p w14:paraId="59416D85" w14:textId="77777777" w:rsidR="00EB7DBD" w:rsidRPr="000F21D1" w:rsidRDefault="00EB7DBD" w:rsidP="00B117C8">
      <w:pPr>
        <w:spacing w:line="360" w:lineRule="auto"/>
        <w:jc w:val="both"/>
        <w:rPr>
          <w:rFonts w:ascii="Garamond" w:hAnsi="Garamond"/>
        </w:rPr>
      </w:pPr>
    </w:p>
    <w:p w14:paraId="3E136D38" w14:textId="77777777" w:rsidR="00344292" w:rsidRPr="000F21D1" w:rsidRDefault="000F5B41" w:rsidP="00B117C8">
      <w:pPr>
        <w:spacing w:line="360" w:lineRule="auto"/>
        <w:jc w:val="both"/>
        <w:rPr>
          <w:rFonts w:ascii="Garamond" w:hAnsi="Garamond"/>
        </w:rPr>
      </w:pPr>
      <w:r w:rsidRPr="000F21D1">
        <w:rPr>
          <w:rFonts w:ascii="Garamond" w:hAnsi="Garamond"/>
        </w:rPr>
        <w:t>Th</w:t>
      </w:r>
      <w:r w:rsidR="00720C09" w:rsidRPr="000F21D1">
        <w:rPr>
          <w:rFonts w:ascii="Garamond" w:hAnsi="Garamond"/>
        </w:rPr>
        <w:t>ough the</w:t>
      </w:r>
      <w:r w:rsidRPr="000F21D1">
        <w:rPr>
          <w:rFonts w:ascii="Garamond" w:hAnsi="Garamond"/>
        </w:rPr>
        <w:t xml:space="preserve"> </w:t>
      </w:r>
      <w:r w:rsidR="00720C09" w:rsidRPr="000F21D1">
        <w:rPr>
          <w:rFonts w:ascii="Garamond" w:hAnsi="Garamond"/>
        </w:rPr>
        <w:t>narrowing of pri</w:t>
      </w:r>
      <w:r w:rsidRPr="000F21D1">
        <w:rPr>
          <w:rFonts w:ascii="Garamond" w:hAnsi="Garamond"/>
        </w:rPr>
        <w:t>vate transfers from Russia to Armenia is expected to slow down considerably in 2016</w:t>
      </w:r>
      <w:r w:rsidR="00D04752" w:rsidRPr="000F21D1">
        <w:rPr>
          <w:rFonts w:ascii="Garamond" w:hAnsi="Garamond"/>
        </w:rPr>
        <w:t xml:space="preserve">, the effect of </w:t>
      </w:r>
      <w:r w:rsidRPr="000F21D1">
        <w:rPr>
          <w:rFonts w:ascii="Garamond" w:hAnsi="Garamond"/>
        </w:rPr>
        <w:t>contracting remittances of individuals on the domestic demand will</w:t>
      </w:r>
      <w:r w:rsidR="0043651F" w:rsidRPr="000F21D1">
        <w:rPr>
          <w:rFonts w:ascii="Garamond" w:hAnsi="Garamond"/>
        </w:rPr>
        <w:t xml:space="preserve"> </w:t>
      </w:r>
      <w:r w:rsidRPr="000F21D1">
        <w:rPr>
          <w:rFonts w:ascii="Garamond" w:hAnsi="Garamond"/>
        </w:rPr>
        <w:t xml:space="preserve">be </w:t>
      </w:r>
      <w:r w:rsidR="00D04752" w:rsidRPr="000F21D1">
        <w:rPr>
          <w:rFonts w:ascii="Garamond" w:hAnsi="Garamond"/>
        </w:rPr>
        <w:t xml:space="preserve">seen further. This will, however, </w:t>
      </w:r>
      <w:r w:rsidRPr="000F21D1">
        <w:rPr>
          <w:rFonts w:ascii="Garamond" w:hAnsi="Garamond"/>
        </w:rPr>
        <w:t xml:space="preserve">be cushioned by the influence of expansionary monetary and fiscal policies </w:t>
      </w:r>
      <w:r w:rsidR="00347B30" w:rsidRPr="000F21D1">
        <w:rPr>
          <w:rFonts w:ascii="Garamond" w:hAnsi="Garamond"/>
        </w:rPr>
        <w:t xml:space="preserve">conducted </w:t>
      </w:r>
      <w:r w:rsidRPr="000F21D1">
        <w:rPr>
          <w:rFonts w:ascii="Garamond" w:hAnsi="Garamond"/>
        </w:rPr>
        <w:t>in 2015-2016 and a</w:t>
      </w:r>
      <w:r w:rsidR="00585EE7" w:rsidRPr="000F21D1">
        <w:rPr>
          <w:rFonts w:ascii="Garamond" w:hAnsi="Garamond"/>
          <w:lang w:val="hy-AM"/>
        </w:rPr>
        <w:t xml:space="preserve"> </w:t>
      </w:r>
      <w:r w:rsidRPr="000F21D1">
        <w:rPr>
          <w:rFonts w:ascii="Garamond" w:hAnsi="Garamond"/>
        </w:rPr>
        <w:t xml:space="preserve">low inflationary environment in the economy. Under </w:t>
      </w:r>
      <w:r w:rsidR="00B550FB" w:rsidRPr="000F21D1">
        <w:rPr>
          <w:rFonts w:ascii="Garamond" w:hAnsi="Garamond"/>
        </w:rPr>
        <w:t>such conditions</w:t>
      </w:r>
      <w:r w:rsidRPr="000F21D1">
        <w:rPr>
          <w:rFonts w:ascii="Garamond" w:hAnsi="Garamond"/>
        </w:rPr>
        <w:t xml:space="preserve">, </w:t>
      </w:r>
      <w:r w:rsidR="00B550FB" w:rsidRPr="000F21D1">
        <w:rPr>
          <w:rFonts w:ascii="Garamond" w:hAnsi="Garamond"/>
        </w:rPr>
        <w:t xml:space="preserve">the </w:t>
      </w:r>
      <w:r w:rsidRPr="000F21D1">
        <w:rPr>
          <w:rFonts w:ascii="Garamond" w:hAnsi="Garamond"/>
          <w:b/>
        </w:rPr>
        <w:t xml:space="preserve">domestic demand is expected to </w:t>
      </w:r>
      <w:r w:rsidR="00C750DB" w:rsidRPr="000F21D1">
        <w:rPr>
          <w:rFonts w:ascii="Garamond" w:hAnsi="Garamond"/>
          <w:b/>
        </w:rPr>
        <w:t>grow</w:t>
      </w:r>
      <w:r w:rsidRPr="000F21D1">
        <w:rPr>
          <w:rFonts w:ascii="Garamond" w:hAnsi="Garamond"/>
          <w:b/>
        </w:rPr>
        <w:t xml:space="preserve"> by </w:t>
      </w:r>
      <w:r w:rsidR="00D04752" w:rsidRPr="000F21D1">
        <w:rPr>
          <w:rFonts w:ascii="Garamond" w:hAnsi="Garamond"/>
          <w:b/>
        </w:rPr>
        <w:t>0</w:t>
      </w:r>
      <w:r w:rsidRPr="000F21D1">
        <w:rPr>
          <w:rFonts w:ascii="Garamond" w:hAnsi="Garamond"/>
          <w:b/>
        </w:rPr>
        <w:t>.</w:t>
      </w:r>
      <w:r w:rsidR="00D04752" w:rsidRPr="000F21D1">
        <w:rPr>
          <w:rFonts w:ascii="Garamond" w:hAnsi="Garamond"/>
          <w:b/>
        </w:rPr>
        <w:t>6</w:t>
      </w:r>
      <w:r w:rsidRPr="000F21D1">
        <w:rPr>
          <w:rFonts w:ascii="Garamond" w:hAnsi="Garamond"/>
          <w:b/>
        </w:rPr>
        <w:t>%</w:t>
      </w:r>
      <w:r w:rsidRPr="000F21D1">
        <w:rPr>
          <w:rFonts w:ascii="Garamond" w:hAnsi="Garamond"/>
        </w:rPr>
        <w:t xml:space="preserve">, </w:t>
      </w:r>
      <w:r w:rsidR="00B550FB" w:rsidRPr="000F21D1">
        <w:rPr>
          <w:rFonts w:ascii="Garamond" w:hAnsi="Garamond"/>
        </w:rPr>
        <w:t xml:space="preserve">which will </w:t>
      </w:r>
      <w:r w:rsidR="00C750DB" w:rsidRPr="000F21D1">
        <w:rPr>
          <w:rFonts w:ascii="Garamond" w:hAnsi="Garamond"/>
        </w:rPr>
        <w:t xml:space="preserve">still </w:t>
      </w:r>
      <w:r w:rsidR="00B550FB" w:rsidRPr="000F21D1">
        <w:rPr>
          <w:rFonts w:ascii="Garamond" w:hAnsi="Garamond"/>
        </w:rPr>
        <w:t xml:space="preserve">be </w:t>
      </w:r>
      <w:r w:rsidRPr="000F21D1">
        <w:rPr>
          <w:rFonts w:ascii="Garamond" w:hAnsi="Garamond"/>
        </w:rPr>
        <w:t xml:space="preserve">smaller </w:t>
      </w:r>
      <w:r w:rsidR="00C750DB" w:rsidRPr="000F21D1">
        <w:rPr>
          <w:rFonts w:ascii="Garamond" w:hAnsi="Garamond"/>
        </w:rPr>
        <w:t>from its equilibrium</w:t>
      </w:r>
      <w:r w:rsidRPr="000F21D1">
        <w:rPr>
          <w:rFonts w:ascii="Garamond" w:hAnsi="Garamond"/>
        </w:rPr>
        <w:t>.</w:t>
      </w:r>
    </w:p>
    <w:p w14:paraId="0A51D863" w14:textId="77777777" w:rsidR="00CF1E07" w:rsidRPr="000F21D1" w:rsidRDefault="00CF1E07" w:rsidP="00B117C8">
      <w:pPr>
        <w:spacing w:line="360" w:lineRule="auto"/>
        <w:jc w:val="both"/>
        <w:rPr>
          <w:rFonts w:ascii="Garamond" w:hAnsi="Garamond"/>
        </w:rPr>
      </w:pPr>
    </w:p>
    <w:p w14:paraId="00E6F5AE" w14:textId="77777777" w:rsidR="00CF1E07" w:rsidRPr="000F21D1" w:rsidRDefault="00CF1E07" w:rsidP="00B117C8">
      <w:pPr>
        <w:spacing w:line="360" w:lineRule="auto"/>
        <w:jc w:val="both"/>
        <w:rPr>
          <w:rFonts w:ascii="Garamond" w:hAnsi="Garamond"/>
        </w:rPr>
      </w:pPr>
      <w:r w:rsidRPr="000F21D1">
        <w:rPr>
          <w:rFonts w:ascii="Garamond" w:hAnsi="Garamond"/>
        </w:rPr>
        <w:t>Thus, with the domestic demand persisting at a low level,</w:t>
      </w:r>
      <w:r w:rsidR="00585EE7" w:rsidRPr="000F21D1">
        <w:rPr>
          <w:rFonts w:ascii="Garamond" w:hAnsi="Garamond"/>
          <w:lang w:val="hy-AM"/>
        </w:rPr>
        <w:t xml:space="preserve"> </w:t>
      </w:r>
      <w:r w:rsidRPr="000F21D1">
        <w:rPr>
          <w:rFonts w:ascii="Garamond" w:hAnsi="Garamond"/>
        </w:rPr>
        <w:t xml:space="preserve">the 2016 economic growth will be underpinned by </w:t>
      </w:r>
      <w:r w:rsidRPr="000F21D1">
        <w:rPr>
          <w:rFonts w:ascii="Garamond" w:hAnsi="Garamond"/>
          <w:b/>
        </w:rPr>
        <w:t>net exports</w:t>
      </w:r>
      <w:r w:rsidRPr="000F21D1">
        <w:rPr>
          <w:rFonts w:ascii="Garamond" w:hAnsi="Garamond"/>
        </w:rPr>
        <w:t xml:space="preserve"> </w:t>
      </w:r>
      <w:r w:rsidR="00D04752" w:rsidRPr="000F21D1">
        <w:rPr>
          <w:rFonts w:ascii="Garamond" w:hAnsi="Garamond"/>
        </w:rPr>
        <w:t>thanks to higher economic activity in the main partner countrie</w:t>
      </w:r>
      <w:r w:rsidR="001C4B04" w:rsidRPr="000F21D1">
        <w:rPr>
          <w:rFonts w:ascii="Garamond" w:hAnsi="Garamond"/>
        </w:rPr>
        <w:t xml:space="preserve">s and, amid a healthy external demand, positive developments in the tradable sector, greatly </w:t>
      </w:r>
      <w:r w:rsidR="00E62397" w:rsidRPr="000F21D1">
        <w:rPr>
          <w:rFonts w:ascii="Garamond" w:hAnsi="Garamond"/>
        </w:rPr>
        <w:t xml:space="preserve">assisted by </w:t>
      </w:r>
      <w:r w:rsidR="001C4B04" w:rsidRPr="000F21D1">
        <w:rPr>
          <w:rFonts w:ascii="Garamond" w:hAnsi="Garamond"/>
        </w:rPr>
        <w:t xml:space="preserve">the </w:t>
      </w:r>
      <w:r w:rsidR="001C4B04" w:rsidRPr="000F21D1">
        <w:rPr>
          <w:rFonts w:ascii="Garamond" w:hAnsi="Garamond"/>
          <w:b/>
        </w:rPr>
        <w:t>CBA</w:t>
      </w:r>
      <w:r w:rsidR="00E62397" w:rsidRPr="000F21D1">
        <w:rPr>
          <w:rFonts w:ascii="Garamond" w:hAnsi="Garamond"/>
          <w:b/>
        </w:rPr>
        <w:t xml:space="preserve">’s consistent </w:t>
      </w:r>
      <w:r w:rsidR="00D04752" w:rsidRPr="000F21D1">
        <w:rPr>
          <w:rFonts w:ascii="Garamond" w:hAnsi="Garamond"/>
          <w:b/>
        </w:rPr>
        <w:t>monetary policy</w:t>
      </w:r>
      <w:r w:rsidRPr="000F21D1">
        <w:rPr>
          <w:rFonts w:ascii="Garamond" w:hAnsi="Garamond"/>
        </w:rPr>
        <w:t>.</w:t>
      </w:r>
    </w:p>
    <w:p w14:paraId="376BD207" w14:textId="77777777" w:rsidR="002D3505" w:rsidRPr="000F21D1" w:rsidRDefault="002D3505" w:rsidP="00B117C8">
      <w:pPr>
        <w:spacing w:line="360" w:lineRule="auto"/>
        <w:jc w:val="both"/>
        <w:rPr>
          <w:rFonts w:ascii="Garamond" w:hAnsi="Garamond"/>
        </w:rPr>
      </w:pPr>
    </w:p>
    <w:p w14:paraId="3E652AC4" w14:textId="77777777" w:rsidR="002D3505" w:rsidRPr="000F21D1" w:rsidRDefault="002D3505" w:rsidP="00B117C8">
      <w:pPr>
        <w:spacing w:line="360" w:lineRule="auto"/>
        <w:jc w:val="both"/>
        <w:rPr>
          <w:rFonts w:ascii="Garamond" w:hAnsi="Garamond"/>
          <w:bCs/>
          <w:iCs/>
          <w:color w:val="000000"/>
        </w:rPr>
      </w:pPr>
      <w:r w:rsidRPr="000F21D1">
        <w:rPr>
          <w:rFonts w:ascii="Garamond" w:hAnsi="Garamond"/>
        </w:rPr>
        <w:t>Anticipated rebounding of the domestic demand, e</w:t>
      </w:r>
      <w:r w:rsidRPr="000F21D1">
        <w:rPr>
          <w:rFonts w:ascii="Garamond" w:hAnsi="Garamond"/>
          <w:bCs/>
          <w:iCs/>
          <w:color w:val="000000"/>
        </w:rPr>
        <w:t>ffective implementation of export and investment promotion policy of the Government, improving external economic environment and structural reforms are among key factors that will accelerate the economic growth</w:t>
      </w:r>
      <w:r w:rsidR="00D84CB5" w:rsidRPr="000F21D1">
        <w:rPr>
          <w:rFonts w:ascii="Garamond" w:hAnsi="Garamond"/>
          <w:bCs/>
          <w:iCs/>
          <w:color w:val="000000"/>
        </w:rPr>
        <w:t xml:space="preserve"> in the forecast horizon. </w:t>
      </w:r>
      <w:r w:rsidR="00110FB8" w:rsidRPr="000F21D1">
        <w:rPr>
          <w:rFonts w:ascii="Garamond" w:hAnsi="Garamond"/>
          <w:b/>
          <w:bCs/>
          <w:iCs/>
          <w:color w:val="000000"/>
        </w:rPr>
        <w:t>A</w:t>
      </w:r>
      <w:r w:rsidRPr="000F21D1">
        <w:rPr>
          <w:rFonts w:ascii="Garamond" w:hAnsi="Garamond"/>
          <w:b/>
          <w:bCs/>
          <w:iCs/>
          <w:color w:val="000000"/>
        </w:rPr>
        <w:t xml:space="preserve">t the end of the forecast horizon the growth indicator will </w:t>
      </w:r>
      <w:r w:rsidR="003E2200" w:rsidRPr="000F21D1">
        <w:rPr>
          <w:rFonts w:ascii="Garamond" w:hAnsi="Garamond"/>
          <w:b/>
          <w:bCs/>
          <w:iCs/>
          <w:color w:val="000000"/>
        </w:rPr>
        <w:t>be</w:t>
      </w:r>
      <w:r w:rsidRPr="000F21D1">
        <w:rPr>
          <w:rFonts w:ascii="Garamond" w:hAnsi="Garamond"/>
          <w:b/>
          <w:bCs/>
          <w:iCs/>
          <w:color w:val="000000"/>
        </w:rPr>
        <w:t xml:space="preserve"> within </w:t>
      </w:r>
      <w:r w:rsidRPr="000F21D1">
        <w:rPr>
          <w:rFonts w:ascii="Garamond" w:hAnsi="Garamond"/>
          <w:b/>
        </w:rPr>
        <w:t>3-4.5%</w:t>
      </w:r>
      <w:r w:rsidR="00720C09" w:rsidRPr="000F21D1">
        <w:rPr>
          <w:rStyle w:val="FootnoteReference"/>
          <w:rFonts w:ascii="Garamond" w:hAnsi="Garamond"/>
        </w:rPr>
        <w:footnoteReference w:customMarkFollows="1" w:id="4"/>
        <w:t>4</w:t>
      </w:r>
      <w:r w:rsidRPr="000F21D1">
        <w:rPr>
          <w:rFonts w:ascii="Garamond" w:hAnsi="Garamond"/>
        </w:rPr>
        <w:t xml:space="preserve">, </w:t>
      </w:r>
      <w:r w:rsidRPr="000F21D1">
        <w:rPr>
          <w:rFonts w:ascii="Garamond" w:hAnsi="Garamond"/>
          <w:bCs/>
          <w:iCs/>
          <w:color w:val="000000"/>
        </w:rPr>
        <w:t xml:space="preserve">which will be driven </w:t>
      </w:r>
      <w:r w:rsidR="00110FB8" w:rsidRPr="000F21D1">
        <w:rPr>
          <w:rFonts w:ascii="Garamond" w:hAnsi="Garamond"/>
          <w:bCs/>
          <w:iCs/>
          <w:color w:val="000000"/>
        </w:rPr>
        <w:t>by a number of investment projects in the private</w:t>
      </w:r>
      <w:r w:rsidRPr="000F21D1">
        <w:rPr>
          <w:rFonts w:ascii="Garamond" w:hAnsi="Garamond"/>
          <w:bCs/>
          <w:iCs/>
          <w:color w:val="000000"/>
        </w:rPr>
        <w:t xml:space="preserve"> sector</w:t>
      </w:r>
      <w:r w:rsidR="00110FB8" w:rsidRPr="000F21D1">
        <w:rPr>
          <w:rFonts w:ascii="Garamond" w:hAnsi="Garamond"/>
          <w:bCs/>
          <w:iCs/>
          <w:color w:val="000000"/>
        </w:rPr>
        <w:t xml:space="preserve">, including </w:t>
      </w:r>
      <w:r w:rsidR="00DC2DD1" w:rsidRPr="000F21D1">
        <w:rPr>
          <w:rFonts w:ascii="Garamond" w:hAnsi="Garamond"/>
        </w:rPr>
        <w:t xml:space="preserve">the Amulsar mine operation, </w:t>
      </w:r>
      <w:r w:rsidR="00DC2DD1" w:rsidRPr="000F21D1">
        <w:rPr>
          <w:rFonts w:ascii="Garamond" w:hAnsi="Garamond"/>
          <w:bCs/>
          <w:iCs/>
          <w:color w:val="000000"/>
        </w:rPr>
        <w:t xml:space="preserve">broadening export capacities in the context of export-promotion policy of the Government, identifying new export markets and embarking on product development. </w:t>
      </w:r>
    </w:p>
    <w:p w14:paraId="4A266670" w14:textId="77777777" w:rsidR="0038729D" w:rsidRPr="000F21D1" w:rsidRDefault="0038729D" w:rsidP="00B117C8">
      <w:pPr>
        <w:spacing w:line="360" w:lineRule="auto"/>
        <w:jc w:val="both"/>
        <w:rPr>
          <w:rFonts w:ascii="Garamond" w:hAnsi="Garamond"/>
          <w:bCs/>
          <w:iCs/>
          <w:color w:val="000000"/>
        </w:rPr>
      </w:pPr>
    </w:p>
    <w:p w14:paraId="3E34AA3C" w14:textId="583FFF51" w:rsidR="0038729D" w:rsidRPr="000F21D1" w:rsidRDefault="0038729D" w:rsidP="00B117C8">
      <w:pPr>
        <w:spacing w:line="360" w:lineRule="auto"/>
        <w:jc w:val="both"/>
        <w:rPr>
          <w:rFonts w:ascii="Garamond" w:eastAsia="Calibri" w:hAnsi="Garamond" w:cs="Sylfaen"/>
        </w:rPr>
      </w:pPr>
      <w:r w:rsidRPr="000F21D1">
        <w:rPr>
          <w:rFonts w:ascii="Garamond" w:hAnsi="Garamond"/>
          <w:bCs/>
          <w:iCs/>
          <w:color w:val="000000"/>
        </w:rPr>
        <w:t xml:space="preserve">Also, taking into account long-term economic developments anticipated in partner countries to Armenia as well as structural </w:t>
      </w:r>
      <w:r w:rsidR="00233F8B">
        <w:rPr>
          <w:rFonts w:ascii="Garamond" w:hAnsi="Garamond"/>
          <w:bCs/>
          <w:iCs/>
          <w:color w:val="000000"/>
        </w:rPr>
        <w:t>changes</w:t>
      </w:r>
      <w:r w:rsidR="00233F8B" w:rsidRPr="000F21D1">
        <w:rPr>
          <w:rFonts w:ascii="Garamond" w:hAnsi="Garamond"/>
          <w:bCs/>
          <w:iCs/>
          <w:color w:val="000000"/>
        </w:rPr>
        <w:t xml:space="preserve"> </w:t>
      </w:r>
      <w:r w:rsidRPr="000F21D1">
        <w:rPr>
          <w:rFonts w:ascii="Garamond" w:hAnsi="Garamond"/>
          <w:bCs/>
          <w:iCs/>
          <w:color w:val="000000"/>
        </w:rPr>
        <w:t xml:space="preserve">in the domestic economy, </w:t>
      </w:r>
      <w:r w:rsidRPr="000F21D1">
        <w:rPr>
          <w:rFonts w:ascii="Garamond" w:hAnsi="Garamond"/>
          <w:b/>
          <w:bCs/>
          <w:iCs/>
          <w:color w:val="000000"/>
        </w:rPr>
        <w:t xml:space="preserve">Armenia’s long-term economic growth equilibrium is estimated within </w:t>
      </w:r>
      <w:r w:rsidRPr="000F21D1">
        <w:rPr>
          <w:rFonts w:ascii="Garamond" w:eastAsia="Calibri" w:hAnsi="Garamond" w:cs="Sylfaen"/>
          <w:b/>
        </w:rPr>
        <w:t>4-5%.</w:t>
      </w:r>
      <w:r w:rsidR="00F36833" w:rsidRPr="000F21D1">
        <w:rPr>
          <w:rFonts w:ascii="Garamond" w:eastAsia="Calibri" w:hAnsi="Garamond" w:cs="Sylfaen"/>
          <w:b/>
          <w:lang w:val="hy-AM"/>
        </w:rPr>
        <w:t xml:space="preserve"> </w:t>
      </w:r>
      <w:r w:rsidRPr="000F21D1">
        <w:rPr>
          <w:rFonts w:ascii="Garamond" w:eastAsia="Calibri" w:hAnsi="Garamond" w:cs="Sylfaen"/>
        </w:rPr>
        <w:t xml:space="preserve">It should be noted, however, that </w:t>
      </w:r>
      <w:r w:rsidR="004B1E9C" w:rsidRPr="000F21D1">
        <w:rPr>
          <w:rFonts w:ascii="Garamond" w:eastAsia="Calibri" w:hAnsi="Garamond" w:cs="Sylfaen"/>
        </w:rPr>
        <w:t xml:space="preserve">both </w:t>
      </w:r>
      <w:r w:rsidRPr="000F21D1">
        <w:rPr>
          <w:rFonts w:ascii="Garamond" w:eastAsia="Calibri" w:hAnsi="Garamond" w:cs="Sylfaen"/>
        </w:rPr>
        <w:t xml:space="preserve">estimated long-term GDP growth rate </w:t>
      </w:r>
      <w:r w:rsidR="004B1E9C" w:rsidRPr="000F21D1">
        <w:rPr>
          <w:rFonts w:ascii="Garamond" w:eastAsia="Calibri" w:hAnsi="Garamond" w:cs="Sylfaen"/>
        </w:rPr>
        <w:t xml:space="preserve">and medium-term forecast of the economic growth rate </w:t>
      </w:r>
      <w:r w:rsidRPr="000F21D1">
        <w:rPr>
          <w:rFonts w:ascii="Garamond" w:eastAsia="Calibri" w:hAnsi="Garamond" w:cs="Sylfaen"/>
        </w:rPr>
        <w:t xml:space="preserve">may decelerate if the structural reforms </w:t>
      </w:r>
      <w:r w:rsidR="004D09C9" w:rsidRPr="000F21D1">
        <w:rPr>
          <w:rFonts w:ascii="Garamond" w:eastAsia="Calibri" w:hAnsi="Garamond" w:cs="Sylfaen"/>
        </w:rPr>
        <w:t xml:space="preserve">are pushed ahead </w:t>
      </w:r>
      <w:r w:rsidRPr="000F21D1">
        <w:rPr>
          <w:rFonts w:ascii="Garamond" w:eastAsia="Calibri" w:hAnsi="Garamond" w:cs="Sylfaen"/>
        </w:rPr>
        <w:t xml:space="preserve">slowly and investment in </w:t>
      </w:r>
      <w:r w:rsidR="004B1E9C" w:rsidRPr="000F21D1">
        <w:rPr>
          <w:rFonts w:ascii="Garamond" w:eastAsia="Calibri" w:hAnsi="Garamond" w:cs="Sylfaen"/>
        </w:rPr>
        <w:t xml:space="preserve">the </w:t>
      </w:r>
      <w:r w:rsidRPr="000F21D1">
        <w:rPr>
          <w:rFonts w:ascii="Garamond" w:eastAsia="Calibri" w:hAnsi="Garamond" w:cs="Sylfaen"/>
        </w:rPr>
        <w:t xml:space="preserve">tradable sector grows </w:t>
      </w:r>
      <w:r w:rsidR="004B1E9C" w:rsidRPr="000F21D1">
        <w:rPr>
          <w:rFonts w:ascii="Garamond" w:eastAsia="Calibri" w:hAnsi="Garamond" w:cs="Sylfaen"/>
        </w:rPr>
        <w:t>insufficiently</w:t>
      </w:r>
      <w:r w:rsidRPr="000F21D1">
        <w:rPr>
          <w:rFonts w:ascii="Garamond" w:eastAsia="Calibri" w:hAnsi="Garamond" w:cs="Sylfaen"/>
        </w:rPr>
        <w:t>.</w:t>
      </w:r>
      <w:r w:rsidR="00F36833" w:rsidRPr="000F21D1">
        <w:rPr>
          <w:rFonts w:ascii="Garamond" w:eastAsia="Calibri" w:hAnsi="Garamond" w:cs="Sylfaen"/>
          <w:lang w:val="hy-AM"/>
        </w:rPr>
        <w:t xml:space="preserve"> </w:t>
      </w:r>
      <w:r w:rsidRPr="000F21D1">
        <w:rPr>
          <w:rFonts w:ascii="Garamond" w:eastAsia="Calibri" w:hAnsi="Garamond" w:cs="Sylfaen"/>
        </w:rPr>
        <w:t xml:space="preserve">It is </w:t>
      </w:r>
      <w:r w:rsidR="007E4AEC" w:rsidRPr="000F21D1">
        <w:rPr>
          <w:rFonts w:ascii="Garamond" w:eastAsia="Calibri" w:hAnsi="Garamond" w:cs="Sylfaen"/>
        </w:rPr>
        <w:t xml:space="preserve">worth mentioning </w:t>
      </w:r>
      <w:r w:rsidRPr="000F21D1">
        <w:rPr>
          <w:rFonts w:ascii="Garamond" w:eastAsia="Calibri" w:hAnsi="Garamond" w:cs="Sylfaen"/>
        </w:rPr>
        <w:t>that investment</w:t>
      </w:r>
      <w:r w:rsidR="007E4AEC" w:rsidRPr="000F21D1">
        <w:rPr>
          <w:rFonts w:ascii="Garamond" w:eastAsia="Calibri" w:hAnsi="Garamond" w:cs="Sylfaen"/>
        </w:rPr>
        <w:t>s</w:t>
      </w:r>
      <w:r w:rsidRPr="000F21D1">
        <w:rPr>
          <w:rFonts w:ascii="Garamond" w:eastAsia="Calibri" w:hAnsi="Garamond" w:cs="Sylfaen"/>
        </w:rPr>
        <w:t xml:space="preserve"> in</w:t>
      </w:r>
      <w:r w:rsidR="00F85B59" w:rsidRPr="000F21D1">
        <w:rPr>
          <w:rFonts w:ascii="Garamond" w:eastAsia="Calibri" w:hAnsi="Garamond" w:cs="Sylfaen"/>
        </w:rPr>
        <w:t xml:space="preserve"> the </w:t>
      </w:r>
      <w:r w:rsidRPr="000F21D1">
        <w:rPr>
          <w:rFonts w:ascii="Garamond" w:eastAsia="Calibri" w:hAnsi="Garamond" w:cs="Sylfaen"/>
        </w:rPr>
        <w:t xml:space="preserve">tradable sector will prove rather </w:t>
      </w:r>
      <w:r w:rsidRPr="000F21D1">
        <w:rPr>
          <w:rFonts w:ascii="Garamond" w:eastAsia="Calibri" w:hAnsi="Garamond" w:cs="Sylfaen"/>
        </w:rPr>
        <w:lastRenderedPageBreak/>
        <w:t xml:space="preserve">effective in the forecast horizon, if they come as foreign </w:t>
      </w:r>
      <w:r w:rsidR="000B52F7" w:rsidRPr="000F21D1">
        <w:rPr>
          <w:rFonts w:ascii="Garamond" w:eastAsia="Calibri" w:hAnsi="Garamond" w:cs="Sylfaen"/>
        </w:rPr>
        <w:t xml:space="preserve">direct </w:t>
      </w:r>
      <w:r w:rsidRPr="000F21D1">
        <w:rPr>
          <w:rFonts w:ascii="Garamond" w:eastAsia="Calibri" w:hAnsi="Garamond" w:cs="Sylfaen"/>
        </w:rPr>
        <w:t xml:space="preserve">investment or </w:t>
      </w:r>
      <w:r w:rsidR="000B52F7" w:rsidRPr="000F21D1">
        <w:rPr>
          <w:rFonts w:ascii="Garamond" w:eastAsia="Calibri" w:hAnsi="Garamond" w:cs="Sylfaen"/>
        </w:rPr>
        <w:t xml:space="preserve">are funded </w:t>
      </w:r>
      <w:r w:rsidRPr="000F21D1">
        <w:rPr>
          <w:rFonts w:ascii="Garamond" w:eastAsia="Calibri" w:hAnsi="Garamond" w:cs="Sylfaen"/>
        </w:rPr>
        <w:t xml:space="preserve">through domestic savings, </w:t>
      </w:r>
      <w:r w:rsidR="000B52F7" w:rsidRPr="000F21D1">
        <w:rPr>
          <w:rFonts w:ascii="Garamond" w:eastAsia="Calibri" w:hAnsi="Garamond" w:cs="Sylfaen"/>
        </w:rPr>
        <w:t>since investment made at the expense of credit resources in the domestic economy are</w:t>
      </w:r>
      <w:r w:rsidRPr="000F21D1">
        <w:rPr>
          <w:rFonts w:ascii="Garamond" w:eastAsia="Calibri" w:hAnsi="Garamond" w:cs="Sylfaen"/>
        </w:rPr>
        <w:t xml:space="preserve"> approaching their </w:t>
      </w:r>
      <w:r w:rsidR="000B52F7" w:rsidRPr="000F21D1">
        <w:rPr>
          <w:rFonts w:ascii="Garamond" w:eastAsia="Calibri" w:hAnsi="Garamond" w:cs="Sylfaen"/>
        </w:rPr>
        <w:t>efficacy caps</w:t>
      </w:r>
      <w:r w:rsidRPr="000F21D1">
        <w:rPr>
          <w:rFonts w:ascii="Garamond" w:eastAsia="Calibri" w:hAnsi="Garamond" w:cs="Sylfaen"/>
        </w:rPr>
        <w:t>.</w:t>
      </w:r>
    </w:p>
    <w:p w14:paraId="05738795" w14:textId="77777777" w:rsidR="008B46FC" w:rsidRPr="000F21D1" w:rsidRDefault="008B46FC" w:rsidP="00B117C8">
      <w:pPr>
        <w:spacing w:line="360" w:lineRule="auto"/>
        <w:jc w:val="both"/>
        <w:rPr>
          <w:rFonts w:ascii="Garamond" w:eastAsia="Calibri" w:hAnsi="Garamond" w:cs="Sylfaen"/>
        </w:rPr>
      </w:pPr>
    </w:p>
    <w:p w14:paraId="3C25130E" w14:textId="77777777" w:rsidR="008B46FC" w:rsidRPr="000F21D1" w:rsidRDefault="008B46FC" w:rsidP="00B117C8">
      <w:pPr>
        <w:spacing w:line="360" w:lineRule="auto"/>
        <w:jc w:val="both"/>
        <w:rPr>
          <w:rFonts w:ascii="Garamond" w:eastAsia="Calibri" w:hAnsi="Garamond" w:cs="Sylfaen"/>
        </w:rPr>
      </w:pPr>
      <w:r w:rsidRPr="000F21D1">
        <w:rPr>
          <w:rFonts w:ascii="Garamond" w:eastAsia="Calibri" w:hAnsi="Garamond" w:cs="Sylfaen"/>
        </w:rPr>
        <w:t>The following developments are expected in the sectors of the domestic economy in the forecast horizon:</w:t>
      </w:r>
    </w:p>
    <w:p w14:paraId="7558D534" w14:textId="77777777" w:rsidR="000B52F7" w:rsidRPr="000F21D1" w:rsidRDefault="000B52F7" w:rsidP="00B117C8">
      <w:pPr>
        <w:spacing w:line="360" w:lineRule="auto"/>
        <w:jc w:val="both"/>
        <w:rPr>
          <w:rFonts w:ascii="Garamond" w:eastAsia="Calibri" w:hAnsi="Garamond" w:cs="Sylfaen"/>
        </w:rPr>
      </w:pPr>
    </w:p>
    <w:p w14:paraId="6BF812EA" w14:textId="77777777" w:rsidR="00F56008" w:rsidRPr="000F21D1" w:rsidRDefault="000B52F7" w:rsidP="00B117C8">
      <w:pPr>
        <w:spacing w:line="360" w:lineRule="auto"/>
        <w:jc w:val="both"/>
        <w:rPr>
          <w:rFonts w:ascii="Garamond" w:hAnsi="Garamond"/>
        </w:rPr>
      </w:pPr>
      <w:r w:rsidRPr="000F21D1">
        <w:rPr>
          <w:rFonts w:ascii="Garamond" w:hAnsi="Garamond"/>
          <w:bCs/>
          <w:iCs/>
          <w:color w:val="000000"/>
        </w:rPr>
        <w:t xml:space="preserve">For </w:t>
      </w:r>
      <w:r w:rsidRPr="000F21D1">
        <w:rPr>
          <w:rFonts w:ascii="Garamond" w:hAnsi="Garamond"/>
          <w:b/>
          <w:bCs/>
          <w:iCs/>
          <w:color w:val="000000"/>
        </w:rPr>
        <w:t>Industry</w:t>
      </w:r>
      <w:r w:rsidRPr="000F21D1">
        <w:rPr>
          <w:rFonts w:ascii="Garamond" w:hAnsi="Garamond"/>
          <w:bCs/>
          <w:iCs/>
          <w:color w:val="000000"/>
        </w:rPr>
        <w:t xml:space="preserve">, the forecasts were revised </w:t>
      </w:r>
      <w:r w:rsidR="007A334D" w:rsidRPr="000F21D1">
        <w:rPr>
          <w:rFonts w:ascii="Garamond" w:hAnsi="Garamond"/>
          <w:bCs/>
          <w:iCs/>
          <w:color w:val="000000"/>
        </w:rPr>
        <w:t>up</w:t>
      </w:r>
      <w:r w:rsidRPr="000F21D1">
        <w:rPr>
          <w:rFonts w:ascii="Garamond" w:hAnsi="Garamond"/>
          <w:bCs/>
          <w:iCs/>
          <w:color w:val="000000"/>
        </w:rPr>
        <w:t xml:space="preserve">side, </w:t>
      </w:r>
      <w:r w:rsidR="007A334D" w:rsidRPr="000F21D1">
        <w:rPr>
          <w:rFonts w:ascii="Garamond" w:hAnsi="Garamond"/>
          <w:bCs/>
          <w:iCs/>
          <w:color w:val="000000"/>
        </w:rPr>
        <w:t xml:space="preserve">primarily reflecting higher-than-expected growth in </w:t>
      </w:r>
      <w:r w:rsidR="00F82782" w:rsidRPr="000F21D1">
        <w:rPr>
          <w:rFonts w:ascii="Garamond" w:hAnsi="Garamond"/>
          <w:bCs/>
          <w:iCs/>
          <w:color w:val="000000"/>
        </w:rPr>
        <w:t>food, beverages, tobacco and electricity productions</w:t>
      </w:r>
      <w:r w:rsidR="007A334D" w:rsidRPr="000F21D1">
        <w:rPr>
          <w:rFonts w:ascii="Garamond" w:hAnsi="Garamond"/>
          <w:bCs/>
          <w:iCs/>
          <w:color w:val="000000"/>
        </w:rPr>
        <w:t xml:space="preserve"> observed early in the year. </w:t>
      </w:r>
      <w:r w:rsidRPr="000F21D1">
        <w:rPr>
          <w:rFonts w:ascii="Garamond" w:hAnsi="Garamond"/>
        </w:rPr>
        <w:t xml:space="preserve">As a result, </w:t>
      </w:r>
      <w:r w:rsidRPr="000F21D1">
        <w:rPr>
          <w:rFonts w:ascii="Garamond" w:hAnsi="Garamond"/>
          <w:b/>
        </w:rPr>
        <w:t xml:space="preserve">in 2016 the value added in industry is forecast to grow within </w:t>
      </w:r>
      <w:r w:rsidR="00F82782" w:rsidRPr="000F21D1">
        <w:rPr>
          <w:rFonts w:ascii="Garamond" w:hAnsi="Garamond"/>
          <w:b/>
        </w:rPr>
        <w:t>7</w:t>
      </w:r>
      <w:r w:rsidRPr="000F21D1">
        <w:rPr>
          <w:rFonts w:ascii="Garamond" w:hAnsi="Garamond"/>
          <w:b/>
        </w:rPr>
        <w:t>.</w:t>
      </w:r>
      <w:r w:rsidR="00F82782" w:rsidRPr="000F21D1">
        <w:rPr>
          <w:rFonts w:ascii="Garamond" w:hAnsi="Garamond"/>
          <w:b/>
        </w:rPr>
        <w:t>9</w:t>
      </w:r>
      <w:r w:rsidRPr="000F21D1">
        <w:rPr>
          <w:rFonts w:ascii="Garamond" w:hAnsi="Garamond"/>
          <w:b/>
        </w:rPr>
        <w:t>-</w:t>
      </w:r>
      <w:r w:rsidR="00F82782" w:rsidRPr="000F21D1">
        <w:rPr>
          <w:rFonts w:ascii="Garamond" w:hAnsi="Garamond"/>
          <w:b/>
        </w:rPr>
        <w:t>8</w:t>
      </w:r>
      <w:r w:rsidRPr="000F21D1">
        <w:rPr>
          <w:rFonts w:ascii="Garamond" w:hAnsi="Garamond"/>
          <w:b/>
        </w:rPr>
        <w:t>.</w:t>
      </w:r>
      <w:r w:rsidR="00F82782" w:rsidRPr="000F21D1">
        <w:rPr>
          <w:rFonts w:ascii="Garamond" w:hAnsi="Garamond"/>
          <w:b/>
        </w:rPr>
        <w:t>7</w:t>
      </w:r>
      <w:r w:rsidRPr="000F21D1">
        <w:rPr>
          <w:rFonts w:ascii="Garamond" w:hAnsi="Garamond"/>
          <w:b/>
        </w:rPr>
        <w:t>%</w:t>
      </w:r>
      <w:r w:rsidR="007A334D" w:rsidRPr="000F21D1">
        <w:rPr>
          <w:rFonts w:ascii="Garamond" w:hAnsi="Garamond"/>
        </w:rPr>
        <w:t>.</w:t>
      </w:r>
      <w:r w:rsidRPr="000F21D1">
        <w:rPr>
          <w:rFonts w:ascii="Garamond" w:hAnsi="Garamond"/>
        </w:rPr>
        <w:t xml:space="preserve"> The </w:t>
      </w:r>
      <w:r w:rsidR="00D90B8B" w:rsidRPr="000F21D1">
        <w:rPr>
          <w:rFonts w:ascii="Garamond" w:hAnsi="Garamond"/>
        </w:rPr>
        <w:t xml:space="preserve">expected growth in </w:t>
      </w:r>
      <w:r w:rsidR="00D90B8B" w:rsidRPr="000F21D1">
        <w:rPr>
          <w:rFonts w:ascii="Garamond" w:hAnsi="Garamond"/>
          <w:bCs/>
          <w:iCs/>
          <w:color w:val="000000"/>
        </w:rPr>
        <w:t xml:space="preserve">industry sector during the year will be fueled by </w:t>
      </w:r>
      <w:r w:rsidR="00F56008" w:rsidRPr="000F21D1">
        <w:rPr>
          <w:rFonts w:ascii="Garamond" w:hAnsi="Garamond"/>
          <w:bCs/>
          <w:iCs/>
          <w:color w:val="000000"/>
        </w:rPr>
        <w:t xml:space="preserve">continued growth in </w:t>
      </w:r>
      <w:r w:rsidR="00D90B8B" w:rsidRPr="000F21D1">
        <w:rPr>
          <w:rFonts w:ascii="Garamond" w:hAnsi="Garamond"/>
        </w:rPr>
        <w:t>mining industry</w:t>
      </w:r>
      <w:r w:rsidR="00F56008" w:rsidRPr="000F21D1">
        <w:rPr>
          <w:rFonts w:ascii="Garamond" w:hAnsi="Garamond"/>
        </w:rPr>
        <w:t xml:space="preserve">, rebounding </w:t>
      </w:r>
      <w:r w:rsidR="00D90B8B" w:rsidRPr="000F21D1">
        <w:rPr>
          <w:rFonts w:ascii="Garamond" w:hAnsi="Garamond"/>
        </w:rPr>
        <w:t xml:space="preserve">economic activity in </w:t>
      </w:r>
      <w:r w:rsidR="00F56008" w:rsidRPr="000F21D1">
        <w:rPr>
          <w:rFonts w:ascii="Garamond" w:hAnsi="Garamond"/>
        </w:rPr>
        <w:t>processing industry</w:t>
      </w:r>
      <w:r w:rsidR="00D90B8B" w:rsidRPr="000F21D1">
        <w:rPr>
          <w:rFonts w:ascii="Garamond" w:hAnsi="Garamond"/>
        </w:rPr>
        <w:t xml:space="preserve"> after the </w:t>
      </w:r>
      <w:r w:rsidR="00F56008" w:rsidRPr="000F21D1">
        <w:rPr>
          <w:rFonts w:ascii="Garamond" w:hAnsi="Garamond"/>
        </w:rPr>
        <w:t xml:space="preserve">decline reported </w:t>
      </w:r>
      <w:r w:rsidR="00D90B8B" w:rsidRPr="000F21D1">
        <w:rPr>
          <w:rFonts w:ascii="Garamond" w:hAnsi="Garamond"/>
        </w:rPr>
        <w:t>in 2015, as well as the increase in electricity production.</w:t>
      </w:r>
    </w:p>
    <w:p w14:paraId="26FA91EC" w14:textId="77777777" w:rsidR="00D81CA7" w:rsidRPr="000F21D1" w:rsidRDefault="00D81CA7" w:rsidP="00B117C8">
      <w:pPr>
        <w:spacing w:line="360" w:lineRule="auto"/>
        <w:jc w:val="both"/>
        <w:rPr>
          <w:rFonts w:ascii="Garamond" w:hAnsi="Garamond"/>
        </w:rPr>
      </w:pPr>
    </w:p>
    <w:p w14:paraId="75BCC866" w14:textId="77777777" w:rsidR="00D81CA7" w:rsidRPr="000F21D1" w:rsidRDefault="00D81CA7" w:rsidP="00B117C8">
      <w:pPr>
        <w:spacing w:line="360" w:lineRule="auto"/>
        <w:jc w:val="both"/>
        <w:rPr>
          <w:rFonts w:ascii="Garamond" w:hAnsi="Garamond"/>
          <w:bCs/>
          <w:iCs/>
          <w:color w:val="000000"/>
        </w:rPr>
      </w:pPr>
      <w:r w:rsidRPr="000F21D1">
        <w:rPr>
          <w:rFonts w:ascii="Garamond" w:hAnsi="Garamond"/>
          <w:bCs/>
          <w:iCs/>
          <w:color w:val="000000"/>
        </w:rPr>
        <w:t>In</w:t>
      </w:r>
      <w:r w:rsidR="00F36833" w:rsidRPr="000F21D1">
        <w:rPr>
          <w:rFonts w:ascii="Garamond" w:hAnsi="Garamond"/>
          <w:bCs/>
          <w:iCs/>
          <w:color w:val="000000"/>
          <w:lang w:val="hy-AM"/>
        </w:rPr>
        <w:t xml:space="preserve"> </w:t>
      </w:r>
      <w:r w:rsidRPr="000F21D1">
        <w:rPr>
          <w:rFonts w:ascii="Garamond" w:hAnsi="Garamond"/>
          <w:bCs/>
          <w:iCs/>
          <w:color w:val="000000"/>
        </w:rPr>
        <w:t xml:space="preserve">the </w:t>
      </w:r>
      <w:r w:rsidRPr="000F21D1">
        <w:rPr>
          <w:rFonts w:ascii="Garamond" w:hAnsi="Garamond"/>
          <w:b/>
          <w:bCs/>
          <w:iCs/>
          <w:color w:val="000000"/>
        </w:rPr>
        <w:t>forecast horizon</w:t>
      </w:r>
      <w:r w:rsidRPr="000F21D1">
        <w:rPr>
          <w:rFonts w:ascii="Garamond" w:hAnsi="Garamond"/>
          <w:bCs/>
          <w:iCs/>
          <w:color w:val="000000"/>
        </w:rPr>
        <w:t xml:space="preserve">, the industry growth </w:t>
      </w:r>
      <w:r w:rsidRPr="000F21D1">
        <w:rPr>
          <w:rFonts w:ascii="Garamond" w:hAnsi="Garamond"/>
          <w:b/>
          <w:bCs/>
          <w:iCs/>
          <w:color w:val="000000"/>
        </w:rPr>
        <w:t>will</w:t>
      </w:r>
      <w:r w:rsidR="00F36833" w:rsidRPr="000F21D1">
        <w:rPr>
          <w:rFonts w:ascii="Garamond" w:hAnsi="Garamond"/>
          <w:b/>
          <w:bCs/>
          <w:iCs/>
          <w:color w:val="000000"/>
          <w:lang w:val="hy-AM"/>
        </w:rPr>
        <w:t xml:space="preserve"> </w:t>
      </w:r>
      <w:r w:rsidRPr="000F21D1">
        <w:rPr>
          <w:rFonts w:ascii="Garamond" w:hAnsi="Garamond"/>
          <w:b/>
          <w:bCs/>
          <w:iCs/>
          <w:color w:val="000000"/>
        </w:rPr>
        <w:t>stabilize within 5.5-6.5%</w:t>
      </w:r>
      <w:r w:rsidRPr="000F21D1">
        <w:rPr>
          <w:rFonts w:ascii="Garamond" w:hAnsi="Garamond"/>
          <w:bCs/>
          <w:iCs/>
          <w:color w:val="000000"/>
        </w:rPr>
        <w:t>. This will be underpinned by implementing a handful of investment projects</w:t>
      </w:r>
      <w:r w:rsidR="004C22DC" w:rsidRPr="000F21D1">
        <w:rPr>
          <w:rFonts w:ascii="Garamond" w:hAnsi="Garamond"/>
          <w:bCs/>
          <w:iCs/>
          <w:color w:val="000000"/>
        </w:rPr>
        <w:t xml:space="preserve"> and</w:t>
      </w:r>
      <w:r w:rsidRPr="000F21D1">
        <w:rPr>
          <w:rFonts w:ascii="Garamond" w:hAnsi="Garamond"/>
        </w:rPr>
        <w:t xml:space="preserve"> </w:t>
      </w:r>
      <w:r w:rsidRPr="000F21D1">
        <w:rPr>
          <w:rFonts w:ascii="Garamond" w:hAnsi="Garamond"/>
          <w:bCs/>
          <w:iCs/>
          <w:color w:val="000000"/>
        </w:rPr>
        <w:t>broadening export capacities</w:t>
      </w:r>
      <w:r w:rsidR="00F36833" w:rsidRPr="000F21D1">
        <w:rPr>
          <w:rFonts w:ascii="Garamond" w:hAnsi="Garamond"/>
          <w:bCs/>
          <w:iCs/>
          <w:color w:val="000000"/>
          <w:lang w:val="hy-AM"/>
        </w:rPr>
        <w:t xml:space="preserve"> </w:t>
      </w:r>
      <w:r w:rsidRPr="000F21D1">
        <w:rPr>
          <w:rFonts w:ascii="Garamond" w:hAnsi="Garamond"/>
          <w:bCs/>
          <w:iCs/>
          <w:color w:val="000000"/>
        </w:rPr>
        <w:t>in the context of export-promotion policy of the Government.</w:t>
      </w:r>
    </w:p>
    <w:p w14:paraId="6660DDB3" w14:textId="77777777" w:rsidR="00132731" w:rsidRPr="000F21D1" w:rsidRDefault="00132731" w:rsidP="00B117C8">
      <w:pPr>
        <w:spacing w:line="360" w:lineRule="auto"/>
        <w:jc w:val="both"/>
        <w:rPr>
          <w:rFonts w:ascii="Garamond" w:hAnsi="Garamond"/>
          <w:bCs/>
          <w:iCs/>
          <w:color w:val="000000"/>
        </w:rPr>
      </w:pPr>
    </w:p>
    <w:p w14:paraId="2D26048E" w14:textId="77777777" w:rsidR="00132731" w:rsidRPr="000F21D1" w:rsidRDefault="00FF1B7C" w:rsidP="00B117C8">
      <w:pPr>
        <w:spacing w:line="360" w:lineRule="auto"/>
        <w:jc w:val="both"/>
        <w:rPr>
          <w:rFonts w:ascii="Garamond" w:hAnsi="Garamond"/>
          <w:bCs/>
          <w:iCs/>
          <w:color w:val="000000"/>
        </w:rPr>
      </w:pPr>
      <w:r w:rsidRPr="000F21D1">
        <w:rPr>
          <w:rFonts w:ascii="Garamond" w:hAnsi="Garamond"/>
          <w:bCs/>
          <w:iCs/>
          <w:color w:val="000000"/>
        </w:rPr>
        <w:t xml:space="preserve">For </w:t>
      </w:r>
      <w:r w:rsidRPr="000F21D1">
        <w:rPr>
          <w:rFonts w:ascii="Garamond" w:hAnsi="Garamond"/>
          <w:b/>
          <w:bCs/>
          <w:iCs/>
          <w:color w:val="000000"/>
        </w:rPr>
        <w:t>Construction</w:t>
      </w:r>
      <w:r w:rsidRPr="000F21D1">
        <w:rPr>
          <w:rFonts w:ascii="Garamond" w:hAnsi="Garamond"/>
          <w:bCs/>
          <w:iCs/>
          <w:color w:val="000000"/>
        </w:rPr>
        <w:t xml:space="preserve">, the 2016 forecasts of value added did not change much. </w:t>
      </w:r>
      <w:r w:rsidR="00CE41D3" w:rsidRPr="000F21D1">
        <w:rPr>
          <w:rFonts w:ascii="Garamond" w:hAnsi="Garamond"/>
          <w:bCs/>
          <w:iCs/>
          <w:color w:val="000000"/>
        </w:rPr>
        <w:t xml:space="preserve">Note that the decline in volumes of construction funded from state and municipal budgets will be cushioned by </w:t>
      </w:r>
      <w:r w:rsidR="0004107C" w:rsidRPr="000F21D1">
        <w:rPr>
          <w:rFonts w:ascii="Garamond" w:hAnsi="Garamond"/>
          <w:bCs/>
          <w:iCs/>
          <w:color w:val="000000"/>
        </w:rPr>
        <w:t xml:space="preserve">an </w:t>
      </w:r>
      <w:r w:rsidR="00CE41D3" w:rsidRPr="000F21D1">
        <w:rPr>
          <w:rFonts w:ascii="Garamond" w:hAnsi="Garamond"/>
          <w:bCs/>
          <w:iCs/>
          <w:color w:val="000000"/>
        </w:rPr>
        <w:t>increase</w:t>
      </w:r>
      <w:r w:rsidR="0004107C" w:rsidRPr="000F21D1">
        <w:rPr>
          <w:rFonts w:ascii="Garamond" w:hAnsi="Garamond"/>
          <w:bCs/>
          <w:iCs/>
          <w:color w:val="000000"/>
        </w:rPr>
        <w:t xml:space="preserve"> in</w:t>
      </w:r>
      <w:r w:rsidR="00CE41D3" w:rsidRPr="000F21D1">
        <w:rPr>
          <w:rFonts w:ascii="Garamond" w:hAnsi="Garamond"/>
          <w:bCs/>
          <w:iCs/>
          <w:color w:val="000000"/>
        </w:rPr>
        <w:t xml:space="preserve"> volumes of construction financed through international credits on the one hand and, on the other hand, </w:t>
      </w:r>
      <w:r w:rsidR="0004107C" w:rsidRPr="000F21D1">
        <w:rPr>
          <w:rFonts w:ascii="Garamond" w:hAnsi="Garamond"/>
          <w:bCs/>
          <w:iCs/>
          <w:color w:val="000000"/>
        </w:rPr>
        <w:t xml:space="preserve">an </w:t>
      </w:r>
      <w:r w:rsidR="00CE41D3" w:rsidRPr="000F21D1">
        <w:rPr>
          <w:rFonts w:ascii="Garamond" w:hAnsi="Garamond"/>
          <w:bCs/>
          <w:iCs/>
          <w:color w:val="000000"/>
        </w:rPr>
        <w:t>increase</w:t>
      </w:r>
      <w:r w:rsidR="0004107C" w:rsidRPr="000F21D1">
        <w:rPr>
          <w:rFonts w:ascii="Garamond" w:hAnsi="Garamond"/>
          <w:bCs/>
          <w:iCs/>
          <w:color w:val="000000"/>
        </w:rPr>
        <w:t xml:space="preserve"> in </w:t>
      </w:r>
      <w:r w:rsidR="00CE41D3" w:rsidRPr="000F21D1">
        <w:rPr>
          <w:rFonts w:ascii="Garamond" w:hAnsi="Garamond"/>
          <w:bCs/>
          <w:iCs/>
          <w:color w:val="000000"/>
        </w:rPr>
        <w:t xml:space="preserve">volumes of construction financed by companies and households, if relatively high investment activity in the tradable sector of the economy persists and lending conditions </w:t>
      </w:r>
      <w:r w:rsidR="0004107C" w:rsidRPr="000F21D1">
        <w:rPr>
          <w:rFonts w:ascii="Garamond" w:hAnsi="Garamond"/>
          <w:bCs/>
          <w:iCs/>
          <w:color w:val="000000"/>
        </w:rPr>
        <w:t xml:space="preserve">further improve. </w:t>
      </w:r>
      <w:r w:rsidRPr="000F21D1">
        <w:rPr>
          <w:rFonts w:ascii="Garamond" w:hAnsi="Garamond"/>
          <w:bCs/>
          <w:iCs/>
          <w:color w:val="000000"/>
        </w:rPr>
        <w:t xml:space="preserve">As a result, the change in value added in construction in 2016 </w:t>
      </w:r>
      <w:r w:rsidR="00B62906" w:rsidRPr="000F21D1">
        <w:rPr>
          <w:rFonts w:ascii="Garamond" w:hAnsi="Garamond"/>
          <w:bCs/>
          <w:iCs/>
          <w:color w:val="000000"/>
        </w:rPr>
        <w:t xml:space="preserve">will be </w:t>
      </w:r>
      <w:r w:rsidR="0004107C" w:rsidRPr="000F21D1">
        <w:rPr>
          <w:rFonts w:ascii="Garamond" w:hAnsi="Garamond"/>
          <w:b/>
          <w:bCs/>
          <w:iCs/>
          <w:color w:val="000000"/>
        </w:rPr>
        <w:t xml:space="preserve">from </w:t>
      </w:r>
      <w:r w:rsidRPr="000F21D1">
        <w:rPr>
          <w:rFonts w:ascii="Garamond" w:hAnsi="Garamond"/>
          <w:b/>
          <w:bCs/>
          <w:iCs/>
          <w:color w:val="000000"/>
        </w:rPr>
        <w:t>-</w:t>
      </w:r>
      <w:r w:rsidR="0004107C" w:rsidRPr="000F21D1">
        <w:rPr>
          <w:rFonts w:ascii="Garamond" w:hAnsi="Garamond"/>
          <w:b/>
          <w:bCs/>
          <w:iCs/>
          <w:color w:val="000000"/>
        </w:rPr>
        <w:t>1</w:t>
      </w:r>
      <w:r w:rsidRPr="000F21D1">
        <w:rPr>
          <w:rFonts w:ascii="Garamond" w:hAnsi="Garamond"/>
          <w:b/>
          <w:bCs/>
          <w:iCs/>
          <w:color w:val="000000"/>
        </w:rPr>
        <w:t>.</w:t>
      </w:r>
      <w:r w:rsidR="0004107C" w:rsidRPr="000F21D1">
        <w:rPr>
          <w:rFonts w:ascii="Garamond" w:hAnsi="Garamond"/>
          <w:b/>
          <w:bCs/>
          <w:iCs/>
          <w:color w:val="000000"/>
        </w:rPr>
        <w:t>3</w:t>
      </w:r>
      <w:r w:rsidRPr="000F21D1">
        <w:rPr>
          <w:rFonts w:ascii="Garamond" w:hAnsi="Garamond"/>
          <w:b/>
          <w:bCs/>
          <w:iCs/>
          <w:color w:val="000000"/>
        </w:rPr>
        <w:t xml:space="preserve"> to </w:t>
      </w:r>
      <w:r w:rsidR="002B258A" w:rsidRPr="000F21D1">
        <w:rPr>
          <w:rFonts w:ascii="Garamond" w:hAnsi="Garamond"/>
          <w:b/>
          <w:bCs/>
          <w:iCs/>
          <w:color w:val="000000"/>
        </w:rPr>
        <w:t>-</w:t>
      </w:r>
      <w:r w:rsidRPr="000F21D1">
        <w:rPr>
          <w:rFonts w:ascii="Garamond" w:hAnsi="Garamond"/>
          <w:b/>
          <w:bCs/>
          <w:iCs/>
          <w:color w:val="000000"/>
        </w:rPr>
        <w:t>0.</w:t>
      </w:r>
      <w:r w:rsidR="0004107C" w:rsidRPr="000F21D1">
        <w:rPr>
          <w:rFonts w:ascii="Garamond" w:hAnsi="Garamond"/>
          <w:b/>
          <w:bCs/>
          <w:iCs/>
          <w:color w:val="000000"/>
        </w:rPr>
        <w:t>5</w:t>
      </w:r>
      <w:r w:rsidRPr="000F21D1">
        <w:rPr>
          <w:rFonts w:ascii="Garamond" w:hAnsi="Garamond"/>
          <w:b/>
          <w:bCs/>
          <w:iCs/>
          <w:color w:val="000000"/>
        </w:rPr>
        <w:t>%</w:t>
      </w:r>
      <w:r w:rsidRPr="000F21D1">
        <w:rPr>
          <w:rFonts w:ascii="Garamond" w:hAnsi="Garamond"/>
          <w:bCs/>
          <w:iCs/>
          <w:color w:val="000000"/>
        </w:rPr>
        <w:t>.</w:t>
      </w:r>
      <w:r w:rsidR="00CE41D3" w:rsidRPr="000F21D1">
        <w:rPr>
          <w:rFonts w:ascii="Garamond" w:hAnsi="Garamond"/>
          <w:bCs/>
          <w:iCs/>
          <w:color w:val="000000"/>
        </w:rPr>
        <w:t xml:space="preserve"> </w:t>
      </w:r>
    </w:p>
    <w:p w14:paraId="26897DF9" w14:textId="77777777" w:rsidR="00B62906" w:rsidRPr="000F21D1" w:rsidRDefault="00B62906" w:rsidP="00B117C8">
      <w:pPr>
        <w:spacing w:line="360" w:lineRule="auto"/>
        <w:jc w:val="both"/>
        <w:rPr>
          <w:rFonts w:ascii="Garamond" w:hAnsi="Garamond"/>
          <w:bCs/>
          <w:iCs/>
          <w:color w:val="000000"/>
        </w:rPr>
      </w:pPr>
    </w:p>
    <w:p w14:paraId="03B290C1" w14:textId="77777777" w:rsidR="00B62906" w:rsidRPr="000F21D1" w:rsidRDefault="00B62906" w:rsidP="00B117C8">
      <w:pPr>
        <w:spacing w:line="360" w:lineRule="auto"/>
        <w:jc w:val="both"/>
        <w:rPr>
          <w:rFonts w:ascii="Garamond" w:hAnsi="Garamond"/>
          <w:bCs/>
          <w:iCs/>
          <w:color w:val="000000"/>
        </w:rPr>
      </w:pPr>
      <w:r w:rsidRPr="000F21D1">
        <w:rPr>
          <w:rFonts w:ascii="Garamond" w:hAnsi="Garamond"/>
          <w:bCs/>
          <w:iCs/>
          <w:color w:val="000000"/>
        </w:rPr>
        <w:t xml:space="preserve">In the </w:t>
      </w:r>
      <w:r w:rsidRPr="000F21D1">
        <w:rPr>
          <w:rFonts w:ascii="Garamond" w:hAnsi="Garamond"/>
          <w:b/>
          <w:bCs/>
          <w:iCs/>
          <w:color w:val="000000"/>
        </w:rPr>
        <w:t>forecast horizon</w:t>
      </w:r>
      <w:r w:rsidRPr="000F21D1">
        <w:rPr>
          <w:rFonts w:ascii="Garamond" w:hAnsi="Garamond"/>
          <w:bCs/>
          <w:iCs/>
          <w:color w:val="000000"/>
        </w:rPr>
        <w:t>, the growth is expected to</w:t>
      </w:r>
      <w:r w:rsidRPr="000F21D1">
        <w:rPr>
          <w:rFonts w:ascii="Garamond" w:hAnsi="Garamond"/>
          <w:b/>
          <w:bCs/>
          <w:iCs/>
          <w:color w:val="000000"/>
        </w:rPr>
        <w:t xml:space="preserve"> stabilize in the range of 1.5-2%</w:t>
      </w:r>
      <w:r w:rsidR="004D09C9" w:rsidRPr="000F21D1">
        <w:rPr>
          <w:rFonts w:ascii="Garamond" w:hAnsi="Garamond"/>
          <w:bCs/>
          <w:iCs/>
          <w:color w:val="000000"/>
        </w:rPr>
        <w:t xml:space="preserve"> as the supply-</w:t>
      </w:r>
      <w:r w:rsidRPr="000F21D1">
        <w:rPr>
          <w:rFonts w:ascii="Garamond" w:hAnsi="Garamond"/>
          <w:bCs/>
          <w:iCs/>
          <w:color w:val="000000"/>
        </w:rPr>
        <w:t>and</w:t>
      </w:r>
      <w:r w:rsidR="004D09C9" w:rsidRPr="000F21D1">
        <w:rPr>
          <w:rFonts w:ascii="Garamond" w:hAnsi="Garamond"/>
          <w:bCs/>
          <w:iCs/>
          <w:color w:val="000000"/>
        </w:rPr>
        <w:t>-</w:t>
      </w:r>
      <w:r w:rsidRPr="000F21D1">
        <w:rPr>
          <w:rFonts w:ascii="Garamond" w:hAnsi="Garamond"/>
          <w:bCs/>
          <w:iCs/>
          <w:color w:val="000000"/>
        </w:rPr>
        <w:t>demand imbalance in the construction sector phases out.</w:t>
      </w:r>
      <w:r w:rsidR="00F36833" w:rsidRPr="000F21D1">
        <w:rPr>
          <w:rFonts w:ascii="Garamond" w:hAnsi="Garamond"/>
          <w:bCs/>
          <w:iCs/>
          <w:color w:val="000000"/>
          <w:lang w:val="hy-AM"/>
        </w:rPr>
        <w:t xml:space="preserve"> </w:t>
      </w:r>
      <w:r w:rsidRPr="000F21D1">
        <w:rPr>
          <w:rFonts w:ascii="Garamond" w:hAnsi="Garamond"/>
          <w:bCs/>
          <w:iCs/>
          <w:color w:val="000000"/>
        </w:rPr>
        <w:t>The growth will be fostered primarily by large construction projects designed for infrastructure improvement and investment projects in the private sector.</w:t>
      </w:r>
    </w:p>
    <w:p w14:paraId="7467E0AD" w14:textId="77777777" w:rsidR="00154ACF" w:rsidRPr="000F21D1" w:rsidRDefault="00154ACF" w:rsidP="00B117C8">
      <w:pPr>
        <w:spacing w:line="360" w:lineRule="auto"/>
        <w:jc w:val="both"/>
        <w:rPr>
          <w:rFonts w:ascii="Garamond" w:hAnsi="Garamond"/>
          <w:bCs/>
          <w:iCs/>
          <w:color w:val="000000"/>
        </w:rPr>
      </w:pPr>
    </w:p>
    <w:p w14:paraId="50233F43" w14:textId="2A329866" w:rsidR="00AC22BB" w:rsidRPr="000F21D1" w:rsidRDefault="009B3C35" w:rsidP="00B117C8">
      <w:pPr>
        <w:spacing w:line="360" w:lineRule="auto"/>
        <w:jc w:val="both"/>
        <w:rPr>
          <w:rFonts w:ascii="Garamond" w:hAnsi="Garamond"/>
        </w:rPr>
      </w:pPr>
      <w:r w:rsidRPr="000F21D1">
        <w:rPr>
          <w:rFonts w:ascii="Garamond" w:hAnsi="Garamond"/>
          <w:bCs/>
          <w:iCs/>
          <w:color w:val="000000"/>
        </w:rPr>
        <w:lastRenderedPageBreak/>
        <w:t xml:space="preserve">For </w:t>
      </w:r>
      <w:r w:rsidRPr="000F21D1">
        <w:rPr>
          <w:rFonts w:ascii="Garamond" w:hAnsi="Garamond"/>
          <w:b/>
          <w:bCs/>
          <w:iCs/>
          <w:color w:val="000000"/>
        </w:rPr>
        <w:t>Services</w:t>
      </w:r>
      <w:r w:rsidRPr="000F21D1">
        <w:rPr>
          <w:rFonts w:ascii="Garamond" w:hAnsi="Garamond"/>
          <w:bCs/>
          <w:iCs/>
          <w:color w:val="000000"/>
        </w:rPr>
        <w:t xml:space="preserve">, the 2016 forecasts of value added </w:t>
      </w:r>
      <w:r w:rsidR="009E3780" w:rsidRPr="000F21D1">
        <w:rPr>
          <w:rFonts w:ascii="Garamond" w:hAnsi="Garamond"/>
          <w:bCs/>
          <w:iCs/>
          <w:color w:val="000000"/>
        </w:rPr>
        <w:t xml:space="preserve">did not change much either, and are </w:t>
      </w:r>
      <w:r w:rsidRPr="000F21D1">
        <w:rPr>
          <w:rFonts w:ascii="Garamond" w:hAnsi="Garamond"/>
          <w:bCs/>
          <w:iCs/>
          <w:color w:val="000000"/>
        </w:rPr>
        <w:t xml:space="preserve">estimated within </w:t>
      </w:r>
      <w:r w:rsidRPr="000F21D1">
        <w:rPr>
          <w:rFonts w:ascii="Garamond" w:hAnsi="Garamond"/>
          <w:b/>
          <w:bCs/>
          <w:iCs/>
          <w:color w:val="000000"/>
        </w:rPr>
        <w:t>3</w:t>
      </w:r>
      <w:r w:rsidRPr="000F21D1">
        <w:rPr>
          <w:rFonts w:ascii="Garamond" w:hAnsi="Garamond"/>
          <w:b/>
        </w:rPr>
        <w:t>.8-4.4%</w:t>
      </w:r>
      <w:r w:rsidRPr="000F21D1">
        <w:rPr>
          <w:rFonts w:ascii="Garamond" w:hAnsi="Garamond"/>
        </w:rPr>
        <w:t xml:space="preserve">. </w:t>
      </w:r>
      <w:r w:rsidR="00831B10" w:rsidRPr="000F21D1">
        <w:rPr>
          <w:rFonts w:ascii="Garamond" w:hAnsi="Garamond"/>
        </w:rPr>
        <w:t xml:space="preserve">With the </w:t>
      </w:r>
      <w:r w:rsidRPr="000F21D1">
        <w:rPr>
          <w:rFonts w:ascii="Garamond" w:hAnsi="Garamond"/>
        </w:rPr>
        <w:t xml:space="preserve">domestic demand </w:t>
      </w:r>
      <w:r w:rsidR="00831B10" w:rsidRPr="000F21D1">
        <w:rPr>
          <w:rFonts w:ascii="Garamond" w:hAnsi="Garamond"/>
        </w:rPr>
        <w:t>still sluggish</w:t>
      </w:r>
      <w:r w:rsidR="009E3780" w:rsidRPr="000F21D1">
        <w:rPr>
          <w:rFonts w:ascii="Garamond" w:hAnsi="Garamond"/>
        </w:rPr>
        <w:t xml:space="preserve"> yet set to improve gradually</w:t>
      </w:r>
      <w:r w:rsidR="00831B10" w:rsidRPr="000F21D1">
        <w:rPr>
          <w:rFonts w:ascii="Garamond" w:hAnsi="Garamond"/>
        </w:rPr>
        <w:t xml:space="preserve">, the </w:t>
      </w:r>
      <w:r w:rsidRPr="000F21D1">
        <w:rPr>
          <w:rFonts w:ascii="Garamond" w:hAnsi="Garamond"/>
        </w:rPr>
        <w:t xml:space="preserve">growth </w:t>
      </w:r>
      <w:r w:rsidR="00831B10" w:rsidRPr="000F21D1">
        <w:rPr>
          <w:rFonts w:ascii="Garamond" w:hAnsi="Garamond"/>
        </w:rPr>
        <w:t xml:space="preserve">of </w:t>
      </w:r>
      <w:r w:rsidRPr="000F21D1">
        <w:rPr>
          <w:rFonts w:ascii="Garamond" w:hAnsi="Garamond"/>
        </w:rPr>
        <w:t>services</w:t>
      </w:r>
      <w:r w:rsidR="00831B10" w:rsidRPr="000F21D1">
        <w:rPr>
          <w:rFonts w:ascii="Garamond" w:hAnsi="Garamond"/>
        </w:rPr>
        <w:t xml:space="preserve"> in 2016 will be </w:t>
      </w:r>
      <w:r w:rsidR="00233F8B">
        <w:rPr>
          <w:rFonts w:ascii="Garamond" w:hAnsi="Garamond"/>
        </w:rPr>
        <w:t xml:space="preserve">driven </w:t>
      </w:r>
      <w:r w:rsidR="00831B10" w:rsidRPr="000F21D1">
        <w:rPr>
          <w:rFonts w:ascii="Garamond" w:hAnsi="Garamond"/>
        </w:rPr>
        <w:t>by increasing volumes of services rendered in connection with export businesses</w:t>
      </w:r>
      <w:r w:rsidR="00404010" w:rsidRPr="000F21D1">
        <w:rPr>
          <w:rFonts w:ascii="Garamond" w:hAnsi="Garamond"/>
        </w:rPr>
        <w:t xml:space="preserve"> and recovering growth of trade volumes in the latter half of the year</w:t>
      </w:r>
      <w:r w:rsidR="00831B10" w:rsidRPr="000F21D1">
        <w:rPr>
          <w:rFonts w:ascii="Garamond" w:hAnsi="Garamond"/>
        </w:rPr>
        <w:t>.</w:t>
      </w:r>
    </w:p>
    <w:p w14:paraId="733ED543" w14:textId="77777777" w:rsidR="00AC22BB" w:rsidRPr="000F21D1" w:rsidRDefault="00AC22BB" w:rsidP="00B117C8">
      <w:pPr>
        <w:spacing w:line="360" w:lineRule="auto"/>
        <w:jc w:val="both"/>
        <w:rPr>
          <w:rFonts w:ascii="Garamond" w:hAnsi="Garamond"/>
        </w:rPr>
      </w:pPr>
    </w:p>
    <w:p w14:paraId="4C886912" w14:textId="77777777" w:rsidR="00831B10" w:rsidRPr="000F21D1" w:rsidRDefault="00AC22BB" w:rsidP="00B117C8">
      <w:pPr>
        <w:spacing w:line="360" w:lineRule="auto"/>
        <w:jc w:val="both"/>
        <w:rPr>
          <w:rFonts w:ascii="Garamond" w:hAnsi="Garamond"/>
        </w:rPr>
      </w:pPr>
      <w:r w:rsidRPr="000F21D1">
        <w:rPr>
          <w:rFonts w:ascii="Garamond" w:hAnsi="Garamond"/>
          <w:bCs/>
          <w:iCs/>
          <w:color w:val="000000"/>
        </w:rPr>
        <w:t>In the</w:t>
      </w:r>
      <w:r w:rsidRPr="000F21D1">
        <w:rPr>
          <w:rFonts w:ascii="Garamond" w:hAnsi="Garamond"/>
          <w:b/>
          <w:bCs/>
          <w:iCs/>
          <w:color w:val="000000"/>
        </w:rPr>
        <w:t xml:space="preserve"> forecast horizon</w:t>
      </w:r>
      <w:r w:rsidRPr="000F21D1">
        <w:rPr>
          <w:rFonts w:ascii="Garamond" w:hAnsi="Garamond"/>
          <w:bCs/>
          <w:iCs/>
          <w:color w:val="000000"/>
        </w:rPr>
        <w:t>,</w:t>
      </w:r>
      <w:r w:rsidR="00F36833" w:rsidRPr="000F21D1">
        <w:rPr>
          <w:rFonts w:ascii="Garamond" w:hAnsi="Garamond"/>
          <w:bCs/>
          <w:iCs/>
          <w:color w:val="000000"/>
          <w:lang w:val="hy-AM"/>
        </w:rPr>
        <w:t xml:space="preserve"> </w:t>
      </w:r>
      <w:r w:rsidR="009867FE" w:rsidRPr="000F21D1">
        <w:rPr>
          <w:rFonts w:ascii="Garamond" w:hAnsi="Garamond"/>
        </w:rPr>
        <w:t xml:space="preserve">the </w:t>
      </w:r>
      <w:r w:rsidRPr="000F21D1">
        <w:rPr>
          <w:rFonts w:ascii="Garamond" w:hAnsi="Garamond"/>
        </w:rPr>
        <w:t xml:space="preserve">growth in services is predicted to </w:t>
      </w:r>
      <w:r w:rsidRPr="000F21D1">
        <w:rPr>
          <w:rFonts w:ascii="Garamond" w:hAnsi="Garamond"/>
          <w:b/>
        </w:rPr>
        <w:t>stabilize within 3-4%</w:t>
      </w:r>
      <w:r w:rsidR="004C0CA3" w:rsidRPr="000F21D1">
        <w:rPr>
          <w:rFonts w:ascii="Garamond" w:hAnsi="Garamond"/>
          <w:b/>
        </w:rPr>
        <w:t xml:space="preserve"> </w:t>
      </w:r>
      <w:r w:rsidRPr="000F21D1">
        <w:rPr>
          <w:rFonts w:ascii="Garamond" w:hAnsi="Garamond"/>
        </w:rPr>
        <w:t>in view of gradually recovering domestic demand and expected tourism growth.</w:t>
      </w:r>
    </w:p>
    <w:p w14:paraId="2833A996" w14:textId="77777777" w:rsidR="00E5404F" w:rsidRPr="000F21D1" w:rsidRDefault="00E5404F" w:rsidP="00B117C8">
      <w:pPr>
        <w:spacing w:line="360" w:lineRule="auto"/>
        <w:jc w:val="both"/>
        <w:rPr>
          <w:rFonts w:ascii="Garamond" w:hAnsi="Garamond"/>
        </w:rPr>
      </w:pPr>
    </w:p>
    <w:p w14:paraId="60FDB55C" w14:textId="77777777" w:rsidR="009867FE" w:rsidRPr="000F21D1" w:rsidRDefault="00E5404F" w:rsidP="00B117C8">
      <w:pPr>
        <w:spacing w:line="360" w:lineRule="auto"/>
        <w:jc w:val="both"/>
        <w:rPr>
          <w:rFonts w:ascii="Garamond" w:hAnsi="Garamond"/>
          <w:bCs/>
          <w:iCs/>
          <w:color w:val="000000"/>
        </w:rPr>
      </w:pPr>
      <w:r w:rsidRPr="000F21D1">
        <w:rPr>
          <w:rFonts w:ascii="Garamond" w:hAnsi="Garamond"/>
          <w:bCs/>
          <w:iCs/>
          <w:color w:val="000000"/>
        </w:rPr>
        <w:t xml:space="preserve">For </w:t>
      </w:r>
      <w:r w:rsidRPr="000F21D1">
        <w:rPr>
          <w:rFonts w:ascii="Garamond" w:hAnsi="Garamond"/>
          <w:b/>
          <w:bCs/>
          <w:iCs/>
          <w:color w:val="000000"/>
        </w:rPr>
        <w:t>Agriculture</w:t>
      </w:r>
      <w:r w:rsidRPr="000F21D1">
        <w:rPr>
          <w:rFonts w:ascii="Garamond" w:hAnsi="Garamond"/>
          <w:bCs/>
          <w:iCs/>
          <w:color w:val="000000"/>
        </w:rPr>
        <w:t xml:space="preserve">, the forecasts of value added </w:t>
      </w:r>
      <w:r w:rsidR="004C0CA3" w:rsidRPr="000F21D1">
        <w:rPr>
          <w:rFonts w:ascii="Garamond" w:hAnsi="Garamond"/>
          <w:bCs/>
          <w:iCs/>
          <w:color w:val="000000"/>
        </w:rPr>
        <w:t xml:space="preserve">were revised downside </w:t>
      </w:r>
      <w:r w:rsidRPr="000F21D1">
        <w:rPr>
          <w:rFonts w:ascii="Garamond" w:hAnsi="Garamond"/>
          <w:bCs/>
          <w:iCs/>
          <w:color w:val="000000"/>
        </w:rPr>
        <w:t>in relation to the previous forecasts</w:t>
      </w:r>
      <w:r w:rsidR="004C0CA3" w:rsidRPr="000F21D1">
        <w:rPr>
          <w:rFonts w:ascii="Garamond" w:hAnsi="Garamond"/>
          <w:bCs/>
          <w:iCs/>
          <w:color w:val="000000"/>
        </w:rPr>
        <w:t xml:space="preserve"> in consideration of negative developments anticipated in planting caused by hail in July. The growth in the sector </w:t>
      </w:r>
      <w:r w:rsidR="00370025" w:rsidRPr="000F21D1">
        <w:rPr>
          <w:rFonts w:ascii="Garamond" w:hAnsi="Garamond"/>
          <w:bCs/>
          <w:iCs/>
          <w:color w:val="000000"/>
        </w:rPr>
        <w:t>in 2016 is</w:t>
      </w:r>
      <w:r w:rsidRPr="000F21D1">
        <w:rPr>
          <w:rFonts w:ascii="Garamond" w:hAnsi="Garamond"/>
          <w:bCs/>
          <w:iCs/>
          <w:color w:val="000000"/>
        </w:rPr>
        <w:t xml:space="preserve"> estimated in the range of </w:t>
      </w:r>
      <w:r w:rsidR="00370025" w:rsidRPr="000F21D1">
        <w:rPr>
          <w:rFonts w:ascii="Garamond" w:hAnsi="Garamond"/>
          <w:b/>
          <w:bCs/>
          <w:iCs/>
          <w:color w:val="000000"/>
        </w:rPr>
        <w:t>1</w:t>
      </w:r>
      <w:r w:rsidRPr="000F21D1">
        <w:rPr>
          <w:rFonts w:ascii="Garamond" w:hAnsi="Garamond"/>
          <w:b/>
          <w:bCs/>
          <w:iCs/>
          <w:color w:val="000000"/>
        </w:rPr>
        <w:t>-</w:t>
      </w:r>
      <w:r w:rsidR="00370025" w:rsidRPr="000F21D1">
        <w:rPr>
          <w:rFonts w:ascii="Garamond" w:hAnsi="Garamond"/>
          <w:b/>
          <w:bCs/>
          <w:iCs/>
          <w:color w:val="000000"/>
        </w:rPr>
        <w:t>1</w:t>
      </w:r>
      <w:r w:rsidRPr="000F21D1">
        <w:rPr>
          <w:rFonts w:ascii="Garamond" w:hAnsi="Garamond"/>
          <w:b/>
          <w:bCs/>
          <w:iCs/>
          <w:color w:val="000000"/>
        </w:rPr>
        <w:t>.</w:t>
      </w:r>
      <w:r w:rsidR="00370025" w:rsidRPr="000F21D1">
        <w:rPr>
          <w:rFonts w:ascii="Garamond" w:hAnsi="Garamond"/>
          <w:b/>
          <w:bCs/>
          <w:iCs/>
          <w:color w:val="000000"/>
        </w:rPr>
        <w:t>8</w:t>
      </w:r>
      <w:r w:rsidRPr="000F21D1">
        <w:rPr>
          <w:rFonts w:ascii="Garamond" w:hAnsi="Garamond"/>
          <w:b/>
          <w:bCs/>
          <w:iCs/>
          <w:color w:val="000000"/>
        </w:rPr>
        <w:t>%</w:t>
      </w:r>
      <w:r w:rsidRPr="000F21D1">
        <w:rPr>
          <w:rFonts w:ascii="Garamond" w:hAnsi="Garamond"/>
          <w:bCs/>
          <w:iCs/>
          <w:color w:val="000000"/>
        </w:rPr>
        <w:t xml:space="preserve">. </w:t>
      </w:r>
    </w:p>
    <w:p w14:paraId="00236A69" w14:textId="77777777" w:rsidR="009867FE" w:rsidRPr="000F21D1" w:rsidRDefault="009867FE" w:rsidP="00B117C8">
      <w:pPr>
        <w:spacing w:line="360" w:lineRule="auto"/>
        <w:jc w:val="both"/>
        <w:rPr>
          <w:rFonts w:ascii="Garamond" w:hAnsi="Garamond"/>
          <w:bCs/>
          <w:iCs/>
          <w:color w:val="000000"/>
        </w:rPr>
      </w:pPr>
    </w:p>
    <w:p w14:paraId="69B5E568" w14:textId="77777777" w:rsidR="00F56008" w:rsidRPr="000F21D1" w:rsidRDefault="009867FE" w:rsidP="00B117C8">
      <w:pPr>
        <w:spacing w:line="360" w:lineRule="auto"/>
        <w:jc w:val="both"/>
        <w:rPr>
          <w:rFonts w:ascii="Garamond" w:hAnsi="Garamond"/>
          <w:bCs/>
          <w:iCs/>
          <w:color w:val="000000"/>
        </w:rPr>
      </w:pPr>
      <w:r w:rsidRPr="000F21D1">
        <w:rPr>
          <w:rFonts w:ascii="Garamond" w:hAnsi="Garamond"/>
          <w:b/>
          <w:bCs/>
          <w:iCs/>
          <w:color w:val="000000"/>
        </w:rPr>
        <w:t xml:space="preserve">In </w:t>
      </w:r>
      <w:r w:rsidRPr="000F21D1">
        <w:rPr>
          <w:rFonts w:ascii="Garamond" w:hAnsi="Garamond"/>
          <w:b/>
        </w:rPr>
        <w:t>the forecast horizon</w:t>
      </w:r>
      <w:r w:rsidRPr="000F21D1">
        <w:rPr>
          <w:rFonts w:ascii="Garamond" w:hAnsi="Garamond"/>
        </w:rPr>
        <w:t>,</w:t>
      </w:r>
      <w:r w:rsidR="00F36833" w:rsidRPr="000F21D1">
        <w:rPr>
          <w:rFonts w:ascii="Garamond" w:hAnsi="Garamond"/>
          <w:lang w:val="hy-AM"/>
        </w:rPr>
        <w:t xml:space="preserve"> </w:t>
      </w:r>
      <w:r w:rsidRPr="000F21D1">
        <w:rPr>
          <w:rFonts w:ascii="Garamond" w:hAnsi="Garamond"/>
        </w:rPr>
        <w:t xml:space="preserve">the growth in agriculture will accelerate </w:t>
      </w:r>
      <w:r w:rsidR="00C704BE" w:rsidRPr="000F21D1">
        <w:rPr>
          <w:rFonts w:ascii="Garamond" w:hAnsi="Garamond"/>
        </w:rPr>
        <w:t xml:space="preserve">to </w:t>
      </w:r>
      <w:r w:rsidRPr="000F21D1">
        <w:rPr>
          <w:rFonts w:ascii="Garamond" w:hAnsi="Garamond"/>
        </w:rPr>
        <w:t xml:space="preserve">stabilize within </w:t>
      </w:r>
      <w:r w:rsidRPr="000F21D1">
        <w:rPr>
          <w:rFonts w:ascii="Garamond" w:eastAsia="Calibri" w:hAnsi="Garamond" w:cs="Sylfaen"/>
          <w:b/>
        </w:rPr>
        <w:t>5.5-6.5%</w:t>
      </w:r>
      <w:r w:rsidRPr="000F21D1">
        <w:rPr>
          <w:rFonts w:ascii="Garamond" w:eastAsia="Calibri" w:hAnsi="Garamond" w:cs="Sylfaen"/>
        </w:rPr>
        <w:t xml:space="preserve">. </w:t>
      </w:r>
      <w:r w:rsidRPr="000F21D1">
        <w:rPr>
          <w:rFonts w:ascii="Garamond" w:hAnsi="Garamond"/>
          <w:bCs/>
          <w:iCs/>
          <w:color w:val="000000"/>
        </w:rPr>
        <w:t xml:space="preserve">Relatively high growth rates in the medium run </w:t>
      </w:r>
      <w:r w:rsidR="00AF22E1" w:rsidRPr="000F21D1">
        <w:rPr>
          <w:rFonts w:ascii="Garamond" w:hAnsi="Garamond"/>
          <w:bCs/>
          <w:iCs/>
          <w:color w:val="000000"/>
        </w:rPr>
        <w:t xml:space="preserve">will be feasible </w:t>
      </w:r>
      <w:r w:rsidRPr="000F21D1">
        <w:rPr>
          <w:rFonts w:ascii="Garamond" w:hAnsi="Garamond"/>
          <w:bCs/>
          <w:iCs/>
          <w:color w:val="000000"/>
        </w:rPr>
        <w:t xml:space="preserve">by using more house farming and refrigerator facilities, arable land, crops and cattle, and engaging extra means of transportation for exports, </w:t>
      </w:r>
      <w:r w:rsidR="00107D1A" w:rsidRPr="000F21D1">
        <w:rPr>
          <w:rFonts w:ascii="Garamond" w:hAnsi="Garamond"/>
          <w:bCs/>
          <w:iCs/>
          <w:color w:val="000000"/>
        </w:rPr>
        <w:t xml:space="preserve">in the context of </w:t>
      </w:r>
      <w:r w:rsidR="00CE0A67" w:rsidRPr="000F21D1">
        <w:rPr>
          <w:rFonts w:ascii="Garamond" w:hAnsi="Garamond"/>
          <w:bCs/>
          <w:iCs/>
          <w:color w:val="000000"/>
        </w:rPr>
        <w:t xml:space="preserve">broader policy measures </w:t>
      </w:r>
      <w:r w:rsidRPr="000F21D1">
        <w:rPr>
          <w:rFonts w:ascii="Garamond" w:hAnsi="Garamond"/>
          <w:bCs/>
          <w:iCs/>
          <w:color w:val="000000"/>
        </w:rPr>
        <w:t xml:space="preserve">the Government has consistently </w:t>
      </w:r>
      <w:r w:rsidR="00CE0A67" w:rsidRPr="000F21D1">
        <w:rPr>
          <w:rFonts w:ascii="Garamond" w:hAnsi="Garamond"/>
          <w:bCs/>
          <w:iCs/>
          <w:color w:val="000000"/>
        </w:rPr>
        <w:t>been taking for the sector i</w:t>
      </w:r>
      <w:r w:rsidRPr="000F21D1">
        <w:rPr>
          <w:rFonts w:ascii="Garamond" w:hAnsi="Garamond"/>
          <w:bCs/>
          <w:iCs/>
          <w:color w:val="000000"/>
        </w:rPr>
        <w:t>n recent years.</w:t>
      </w:r>
    </w:p>
    <w:p w14:paraId="022EA785" w14:textId="77777777" w:rsidR="00290291" w:rsidRPr="000F21D1" w:rsidRDefault="00290291" w:rsidP="00B117C8">
      <w:pPr>
        <w:spacing w:line="360" w:lineRule="auto"/>
        <w:jc w:val="both"/>
        <w:rPr>
          <w:rFonts w:ascii="Garamond" w:hAnsi="Garamond"/>
          <w:bCs/>
          <w:iCs/>
          <w:color w:val="000000"/>
        </w:rPr>
      </w:pPr>
    </w:p>
    <w:p w14:paraId="52DD47EC" w14:textId="77777777" w:rsidR="00290291" w:rsidRPr="000F21D1" w:rsidRDefault="00290291" w:rsidP="00B117C8">
      <w:pPr>
        <w:spacing w:line="360" w:lineRule="auto"/>
        <w:jc w:val="both"/>
        <w:rPr>
          <w:rFonts w:ascii="Garamond" w:hAnsi="Garamond"/>
          <w:b/>
        </w:rPr>
      </w:pPr>
      <w:r w:rsidRPr="000F21D1">
        <w:rPr>
          <w:rFonts w:ascii="Garamond" w:hAnsi="Garamond"/>
          <w:b/>
        </w:rPr>
        <w:t xml:space="preserve">In the forecast horizon, </w:t>
      </w:r>
      <w:r w:rsidRPr="000F21D1">
        <w:rPr>
          <w:rFonts w:ascii="Garamond" w:hAnsi="Garamond"/>
          <w:b/>
          <w:bCs/>
          <w:iCs/>
          <w:color w:val="000000"/>
        </w:rPr>
        <w:t xml:space="preserve">risks to the economic growth are dual-sided and balanced. The risks to the economic growth are associated with </w:t>
      </w:r>
      <w:r w:rsidRPr="000F21D1">
        <w:rPr>
          <w:rFonts w:ascii="Garamond" w:hAnsi="Garamond"/>
          <w:b/>
        </w:rPr>
        <w:t>uncertainties in global and domestic economic environments.</w:t>
      </w:r>
    </w:p>
    <w:p w14:paraId="0E1D01D4" w14:textId="77777777" w:rsidR="00290291" w:rsidRPr="000F21D1" w:rsidRDefault="00290291" w:rsidP="00B117C8">
      <w:pPr>
        <w:spacing w:line="360" w:lineRule="auto"/>
        <w:jc w:val="both"/>
        <w:rPr>
          <w:rFonts w:ascii="Garamond" w:hAnsi="Garamond"/>
          <w:b/>
        </w:rPr>
      </w:pPr>
    </w:p>
    <w:p w14:paraId="09DBEB60" w14:textId="03C127C0" w:rsidR="00290291" w:rsidRPr="000F21D1" w:rsidRDefault="00290291" w:rsidP="00B117C8">
      <w:pPr>
        <w:spacing w:line="360" w:lineRule="auto"/>
        <w:jc w:val="both"/>
        <w:rPr>
          <w:rFonts w:ascii="Garamond" w:hAnsi="Garamond"/>
        </w:rPr>
      </w:pPr>
      <w:r w:rsidRPr="000F21D1">
        <w:rPr>
          <w:rFonts w:ascii="Garamond" w:hAnsi="Garamond"/>
        </w:rPr>
        <w:t xml:space="preserve">Among upside risks, most prominent are the expanding and using of export potential in certain sectors of the economy amid gradual recovery of global economy and growing competitiveness of Armenia, as well as </w:t>
      </w:r>
      <w:r w:rsidR="00233F8B">
        <w:rPr>
          <w:rFonts w:ascii="Garamond" w:hAnsi="Garamond"/>
        </w:rPr>
        <w:t xml:space="preserve">the identification </w:t>
      </w:r>
      <w:r w:rsidR="00392729">
        <w:rPr>
          <w:rFonts w:ascii="Garamond" w:hAnsi="Garamond"/>
        </w:rPr>
        <w:t xml:space="preserve">of </w:t>
      </w:r>
      <w:r w:rsidR="00392729" w:rsidRPr="00392729">
        <w:rPr>
          <w:rFonts w:ascii="Garamond" w:hAnsi="Garamond"/>
        </w:rPr>
        <w:t>new</w:t>
      </w:r>
      <w:r w:rsidRPr="000F21D1">
        <w:rPr>
          <w:rFonts w:ascii="Garamond" w:hAnsi="Garamond"/>
        </w:rPr>
        <w:t xml:space="preserve"> export markets.</w:t>
      </w:r>
    </w:p>
    <w:p w14:paraId="54E16EAE" w14:textId="77777777" w:rsidR="006203FB" w:rsidRPr="000F21D1" w:rsidRDefault="006203FB" w:rsidP="00B117C8">
      <w:pPr>
        <w:spacing w:line="360" w:lineRule="auto"/>
        <w:jc w:val="both"/>
        <w:rPr>
          <w:rFonts w:ascii="Garamond" w:hAnsi="Garamond"/>
        </w:rPr>
      </w:pPr>
    </w:p>
    <w:p w14:paraId="675FFAE0" w14:textId="77777777" w:rsidR="006203FB" w:rsidRPr="000F21D1" w:rsidRDefault="006203FB" w:rsidP="00B117C8">
      <w:pPr>
        <w:spacing w:line="360" w:lineRule="auto"/>
        <w:jc w:val="both"/>
        <w:rPr>
          <w:rFonts w:ascii="Garamond" w:hAnsi="Garamond"/>
        </w:rPr>
      </w:pPr>
      <w:r w:rsidRPr="000F21D1">
        <w:rPr>
          <w:rFonts w:ascii="Garamond" w:hAnsi="Garamond"/>
        </w:rPr>
        <w:t xml:space="preserve">Downside risks include </w:t>
      </w:r>
      <w:r w:rsidR="00CE0A67" w:rsidRPr="000F21D1">
        <w:rPr>
          <w:rFonts w:ascii="Garamond" w:hAnsi="Garamond"/>
        </w:rPr>
        <w:t>slower-than-expected recovery of private demand in 2016 and</w:t>
      </w:r>
      <w:r w:rsidRPr="000F21D1">
        <w:rPr>
          <w:rFonts w:ascii="Garamond" w:hAnsi="Garamond"/>
        </w:rPr>
        <w:t xml:space="preserve"> </w:t>
      </w:r>
      <w:r w:rsidR="005623DD" w:rsidRPr="000F21D1">
        <w:rPr>
          <w:rFonts w:ascii="Garamond" w:hAnsi="Garamond"/>
        </w:rPr>
        <w:t>a</w:t>
      </w:r>
      <w:r w:rsidRPr="000F21D1">
        <w:rPr>
          <w:rFonts w:ascii="Garamond" w:hAnsi="Garamond"/>
        </w:rPr>
        <w:t xml:space="preserve"> </w:t>
      </w:r>
      <w:r w:rsidR="005623DD" w:rsidRPr="000F21D1">
        <w:rPr>
          <w:rFonts w:ascii="Garamond" w:hAnsi="Garamond"/>
        </w:rPr>
        <w:t xml:space="preserve">lingering </w:t>
      </w:r>
      <w:r w:rsidRPr="000F21D1">
        <w:rPr>
          <w:rFonts w:ascii="Garamond" w:hAnsi="Garamond"/>
        </w:rPr>
        <w:t xml:space="preserve">pace of </w:t>
      </w:r>
      <w:r w:rsidR="005623DD" w:rsidRPr="000F21D1">
        <w:rPr>
          <w:rFonts w:ascii="Garamond" w:hAnsi="Garamond"/>
        </w:rPr>
        <w:t xml:space="preserve">pushing ahead with </w:t>
      </w:r>
      <w:r w:rsidRPr="000F21D1">
        <w:rPr>
          <w:rFonts w:ascii="Garamond" w:hAnsi="Garamond"/>
        </w:rPr>
        <w:t>structural reforms</w:t>
      </w:r>
      <w:r w:rsidR="005623DD" w:rsidRPr="000F21D1">
        <w:rPr>
          <w:rFonts w:ascii="Garamond" w:hAnsi="Garamond"/>
        </w:rPr>
        <w:t xml:space="preserve"> for economic growth</w:t>
      </w:r>
      <w:r w:rsidRPr="000F21D1">
        <w:rPr>
          <w:rFonts w:ascii="Garamond" w:hAnsi="Garamond"/>
        </w:rPr>
        <w:t>.</w:t>
      </w:r>
    </w:p>
    <w:p w14:paraId="68285244" w14:textId="77777777" w:rsidR="00C70554" w:rsidRPr="000F21D1" w:rsidRDefault="00C70554" w:rsidP="00B117C8">
      <w:pPr>
        <w:spacing w:line="360" w:lineRule="auto"/>
        <w:jc w:val="both"/>
        <w:rPr>
          <w:rFonts w:ascii="Garamond" w:hAnsi="Garamond"/>
        </w:rPr>
      </w:pPr>
    </w:p>
    <w:p w14:paraId="6DE8F44F" w14:textId="77777777" w:rsidR="00C70554" w:rsidRPr="000F21D1" w:rsidRDefault="00C70554" w:rsidP="00B117C8">
      <w:pPr>
        <w:spacing w:line="360" w:lineRule="auto"/>
        <w:jc w:val="both"/>
        <w:rPr>
          <w:rFonts w:ascii="Garamond" w:hAnsi="Garamond"/>
        </w:rPr>
      </w:pPr>
      <w:r w:rsidRPr="000F21D1">
        <w:rPr>
          <w:rFonts w:ascii="Garamond" w:hAnsi="Garamond" w:cs="Sylfaen"/>
          <w:b/>
          <w:iCs/>
        </w:rPr>
        <w:lastRenderedPageBreak/>
        <w:t>Labor market:</w:t>
      </w:r>
      <w:r w:rsidR="005623DD" w:rsidRPr="000F21D1">
        <w:rPr>
          <w:rStyle w:val="FootnoteReference"/>
          <w:rFonts w:ascii="Garamond" w:hAnsi="Garamond" w:cs="Sylfaen"/>
          <w:iCs/>
        </w:rPr>
        <w:footnoteReference w:customMarkFollows="1" w:id="5"/>
        <w:t>5</w:t>
      </w:r>
      <w:r w:rsidRPr="000F21D1">
        <w:rPr>
          <w:rFonts w:ascii="Garamond" w:hAnsi="Garamond" w:cs="Sylfaen"/>
          <w:iCs/>
        </w:rPr>
        <w:t xml:space="preserve"> The 2016-2018 forecasts of labor market indicators </w:t>
      </w:r>
      <w:r w:rsidR="000F60CD" w:rsidRPr="000F21D1">
        <w:rPr>
          <w:rFonts w:ascii="Garamond" w:hAnsi="Garamond" w:cs="Sylfaen"/>
          <w:iCs/>
        </w:rPr>
        <w:t>remained much the same</w:t>
      </w:r>
      <w:r w:rsidR="00610C0D" w:rsidRPr="000F21D1">
        <w:rPr>
          <w:rFonts w:ascii="Garamond" w:hAnsi="Garamond" w:cs="Sylfaen"/>
          <w:iCs/>
        </w:rPr>
        <w:t>, whereas the forecast for the unemployment rate was adjusted slightly downside in the light of current and projected developments.</w:t>
      </w:r>
      <w:r w:rsidR="000F60CD" w:rsidRPr="000F21D1">
        <w:rPr>
          <w:rFonts w:ascii="Garamond" w:hAnsi="Garamond" w:cs="Sylfaen"/>
          <w:iCs/>
        </w:rPr>
        <w:t xml:space="preserve"> </w:t>
      </w:r>
    </w:p>
    <w:p w14:paraId="1CF17356" w14:textId="77777777" w:rsidR="000F60CD" w:rsidRPr="000F21D1" w:rsidRDefault="000F60CD" w:rsidP="00B117C8">
      <w:pPr>
        <w:spacing w:line="360" w:lineRule="auto"/>
        <w:jc w:val="both"/>
        <w:rPr>
          <w:rFonts w:ascii="Garamond" w:hAnsi="Garamond"/>
        </w:rPr>
      </w:pPr>
    </w:p>
    <w:p w14:paraId="75E26ECC" w14:textId="241E97A4" w:rsidR="00E23D05" w:rsidRPr="000F21D1" w:rsidRDefault="00E51C4E" w:rsidP="00B117C8">
      <w:pPr>
        <w:spacing w:line="360" w:lineRule="auto"/>
        <w:jc w:val="both"/>
        <w:rPr>
          <w:rFonts w:ascii="Garamond" w:hAnsi="Garamond" w:cs="Sylfaen"/>
        </w:rPr>
      </w:pPr>
      <w:r w:rsidRPr="000F21D1">
        <w:rPr>
          <w:rFonts w:ascii="Garamond" w:hAnsi="Garamond"/>
        </w:rPr>
        <w:t xml:space="preserve">The productivity growth in the labor market is still strong in 2016, </w:t>
      </w:r>
      <w:r w:rsidR="00392729">
        <w:rPr>
          <w:rFonts w:ascii="Garamond" w:hAnsi="Garamond"/>
        </w:rPr>
        <w:t>thus</w:t>
      </w:r>
      <w:r w:rsidR="00392729" w:rsidRPr="000F21D1">
        <w:rPr>
          <w:rFonts w:ascii="Garamond" w:hAnsi="Garamond"/>
        </w:rPr>
        <w:t xml:space="preserve"> </w:t>
      </w:r>
      <w:r w:rsidRPr="000F21D1">
        <w:rPr>
          <w:rFonts w:ascii="Garamond" w:hAnsi="Garamond"/>
        </w:rPr>
        <w:t>a</w:t>
      </w:r>
      <w:r w:rsidR="00781208" w:rsidRPr="000F21D1">
        <w:rPr>
          <w:rFonts w:ascii="Garamond" w:hAnsi="Garamond"/>
        </w:rPr>
        <w:t xml:space="preserve">n average 6.5% increase in nominal wages </w:t>
      </w:r>
      <w:r w:rsidRPr="000F21D1">
        <w:rPr>
          <w:rFonts w:ascii="Garamond" w:hAnsi="Garamond"/>
        </w:rPr>
        <w:t xml:space="preserve">is expected </w:t>
      </w:r>
      <w:r w:rsidR="00781208" w:rsidRPr="000F21D1">
        <w:rPr>
          <w:rFonts w:ascii="Garamond" w:hAnsi="Garamond"/>
        </w:rPr>
        <w:t>in the private sector during the year</w:t>
      </w:r>
      <w:r w:rsidRPr="000F21D1">
        <w:rPr>
          <w:rStyle w:val="FootnoteReference"/>
          <w:rFonts w:ascii="Garamond" w:hAnsi="Garamond"/>
        </w:rPr>
        <w:footnoteReference w:customMarkFollows="1" w:id="6"/>
        <w:t>6</w:t>
      </w:r>
      <w:r w:rsidRPr="000F21D1">
        <w:rPr>
          <w:rFonts w:ascii="Garamond" w:hAnsi="Garamond"/>
        </w:rPr>
        <w:t>.</w:t>
      </w:r>
      <w:r w:rsidR="00610C0D" w:rsidRPr="000F21D1">
        <w:rPr>
          <w:rFonts w:ascii="Garamond" w:hAnsi="Garamond"/>
        </w:rPr>
        <w:t xml:space="preserve"> </w:t>
      </w:r>
      <w:r w:rsidR="00486266" w:rsidRPr="000F21D1">
        <w:rPr>
          <w:rFonts w:ascii="Garamond" w:hAnsi="Garamond"/>
        </w:rPr>
        <w:t>Note that w</w:t>
      </w:r>
      <w:r w:rsidR="00210C68" w:rsidRPr="000F21D1">
        <w:rPr>
          <w:rFonts w:ascii="Garamond" w:hAnsi="Garamond"/>
        </w:rPr>
        <w:t xml:space="preserve">hile </w:t>
      </w:r>
      <w:r w:rsidR="000F60CD" w:rsidRPr="000F21D1">
        <w:rPr>
          <w:rFonts w:ascii="Garamond" w:hAnsi="Garamond"/>
        </w:rPr>
        <w:t xml:space="preserve">the minimum wage threshold </w:t>
      </w:r>
      <w:r w:rsidR="00210C68" w:rsidRPr="000F21D1">
        <w:rPr>
          <w:rFonts w:ascii="Garamond" w:hAnsi="Garamond"/>
        </w:rPr>
        <w:t xml:space="preserve">rose </w:t>
      </w:r>
      <w:r w:rsidR="000F60CD" w:rsidRPr="000F21D1">
        <w:rPr>
          <w:rFonts w:ascii="Garamond" w:hAnsi="Garamond"/>
        </w:rPr>
        <w:t xml:space="preserve">to AMD 55,000 </w:t>
      </w:r>
      <w:r w:rsidR="00210C68" w:rsidRPr="000F21D1">
        <w:rPr>
          <w:rFonts w:ascii="Garamond" w:hAnsi="Garamond"/>
        </w:rPr>
        <w:t>in</w:t>
      </w:r>
      <w:r w:rsidR="000F60CD" w:rsidRPr="000F21D1">
        <w:rPr>
          <w:rFonts w:ascii="Garamond" w:hAnsi="Garamond"/>
        </w:rPr>
        <w:t xml:space="preserve"> July of 2015</w:t>
      </w:r>
      <w:r w:rsidR="00210C68" w:rsidRPr="000F21D1">
        <w:rPr>
          <w:rFonts w:ascii="Garamond" w:hAnsi="Garamond"/>
        </w:rPr>
        <w:t xml:space="preserve">, more increases of the threshold </w:t>
      </w:r>
      <w:r w:rsidR="00215850" w:rsidRPr="000F21D1">
        <w:rPr>
          <w:rFonts w:ascii="Garamond" w:hAnsi="Garamond"/>
        </w:rPr>
        <w:t xml:space="preserve">are </w:t>
      </w:r>
      <w:r w:rsidR="00210C68" w:rsidRPr="000F21D1">
        <w:rPr>
          <w:rFonts w:ascii="Garamond" w:hAnsi="Garamond"/>
        </w:rPr>
        <w:t xml:space="preserve">not scheduled </w:t>
      </w:r>
      <w:r w:rsidR="00486266" w:rsidRPr="000F21D1">
        <w:rPr>
          <w:rFonts w:ascii="Garamond" w:hAnsi="Garamond"/>
        </w:rPr>
        <w:t>in</w:t>
      </w:r>
      <w:r w:rsidR="00210C68" w:rsidRPr="000F21D1">
        <w:rPr>
          <w:rFonts w:ascii="Garamond" w:hAnsi="Garamond"/>
        </w:rPr>
        <w:t xml:space="preserve"> 2016.</w:t>
      </w:r>
      <w:r w:rsidR="00610C0D" w:rsidRPr="000F21D1">
        <w:rPr>
          <w:rFonts w:ascii="Garamond" w:hAnsi="Garamond"/>
        </w:rPr>
        <w:t xml:space="preserve"> </w:t>
      </w:r>
      <w:r w:rsidR="00E23D05" w:rsidRPr="000F21D1">
        <w:rPr>
          <w:rFonts w:ascii="Garamond" w:hAnsi="Garamond" w:cs="Sylfaen"/>
        </w:rPr>
        <w:t xml:space="preserve">On the premise of projected economic growth, fulfillment of the inflation target and continued </w:t>
      </w:r>
      <w:r w:rsidR="00E23D05" w:rsidRPr="000F21D1">
        <w:rPr>
          <w:rFonts w:ascii="Garamond" w:hAnsi="Garamond"/>
        </w:rPr>
        <w:t>Government policy</w:t>
      </w:r>
      <w:r w:rsidR="00E23D05" w:rsidRPr="000F21D1">
        <w:rPr>
          <w:rStyle w:val="FootnoteReference"/>
          <w:rFonts w:ascii="Garamond" w:hAnsi="Garamond"/>
        </w:rPr>
        <w:footnoteReference w:customMarkFollows="1" w:id="7"/>
        <w:t>7</w:t>
      </w:r>
      <w:r w:rsidR="00E23D05" w:rsidRPr="000F21D1">
        <w:rPr>
          <w:rFonts w:ascii="Garamond" w:hAnsi="Garamond"/>
        </w:rPr>
        <w:t xml:space="preserve"> aimed at minimum wage increases starting from 2017</w:t>
      </w:r>
      <w:r w:rsidR="00E23D05" w:rsidRPr="000F21D1">
        <w:rPr>
          <w:rFonts w:ascii="Garamond" w:hAnsi="Garamond" w:cs="Sylfaen"/>
        </w:rPr>
        <w:t>, the average annual nominal wage in the private sector will grow by 6.6-6.8% in 2017 and nearly 7% in 2018.</w:t>
      </w:r>
    </w:p>
    <w:p w14:paraId="0AC19008" w14:textId="77777777" w:rsidR="00E23D05" w:rsidRPr="000F21D1" w:rsidRDefault="00E23D05" w:rsidP="00B117C8">
      <w:pPr>
        <w:spacing w:line="360" w:lineRule="auto"/>
        <w:jc w:val="both"/>
        <w:rPr>
          <w:rFonts w:ascii="Garamond" w:hAnsi="Garamond" w:cs="Sylfaen"/>
        </w:rPr>
      </w:pPr>
    </w:p>
    <w:p w14:paraId="3EBF4990" w14:textId="64CD1EAB" w:rsidR="00127D3C" w:rsidRPr="000F21D1" w:rsidRDefault="006251FD" w:rsidP="00B117C8">
      <w:pPr>
        <w:spacing w:line="360" w:lineRule="auto"/>
        <w:jc w:val="both"/>
        <w:rPr>
          <w:rFonts w:ascii="Garamond" w:hAnsi="Garamond" w:cs="Sylfaen"/>
        </w:rPr>
      </w:pPr>
      <w:r w:rsidRPr="000F21D1">
        <w:rPr>
          <w:rFonts w:ascii="Garamond" w:hAnsi="Garamond"/>
        </w:rPr>
        <w:t>Since October 2015 there has been a slowdown in public sector wage</w:t>
      </w:r>
      <w:r w:rsidR="005B6C26" w:rsidRPr="000F21D1">
        <w:rPr>
          <w:rStyle w:val="FootnoteReference"/>
          <w:rFonts w:ascii="Garamond" w:hAnsi="Garamond"/>
        </w:rPr>
        <w:footnoteReference w:customMarkFollows="1" w:id="8"/>
        <w:t>8</w:t>
      </w:r>
      <w:r w:rsidRPr="000F21D1">
        <w:rPr>
          <w:rFonts w:ascii="Garamond" w:hAnsi="Garamond"/>
        </w:rPr>
        <w:t xml:space="preserve"> growth</w:t>
      </w:r>
      <w:r w:rsidR="001D7CB5" w:rsidRPr="000F21D1">
        <w:rPr>
          <w:rFonts w:ascii="Garamond" w:hAnsi="Garamond"/>
        </w:rPr>
        <w:t>, and although t</w:t>
      </w:r>
      <w:r w:rsidR="00282CDE" w:rsidRPr="000F21D1">
        <w:rPr>
          <w:rFonts w:ascii="Garamond" w:hAnsi="Garamond"/>
        </w:rPr>
        <w:t xml:space="preserve">his </w:t>
      </w:r>
      <w:r w:rsidR="001D7CB5" w:rsidRPr="000F21D1">
        <w:rPr>
          <w:rFonts w:ascii="Garamond" w:hAnsi="Garamond"/>
        </w:rPr>
        <w:t xml:space="preserve">unfavorable development persisted and even deepened during the first half of 2016, some 0.7% growth of average public sector wage will be reported for 2016. </w:t>
      </w:r>
      <w:r w:rsidR="00EA242F" w:rsidRPr="000F21D1">
        <w:rPr>
          <w:rFonts w:ascii="Garamond" w:hAnsi="Garamond"/>
        </w:rPr>
        <w:t xml:space="preserve">Revived economic activity, as well as </w:t>
      </w:r>
      <w:r w:rsidR="00B517E0" w:rsidRPr="000F21D1">
        <w:rPr>
          <w:rFonts w:ascii="Garamond" w:hAnsi="Garamond"/>
        </w:rPr>
        <w:t xml:space="preserve">inter-branch </w:t>
      </w:r>
      <w:r w:rsidR="00EA242F" w:rsidRPr="000F21D1">
        <w:rPr>
          <w:rFonts w:ascii="Garamond" w:hAnsi="Garamond"/>
        </w:rPr>
        <w:t xml:space="preserve">competition in the labor market for private and public </w:t>
      </w:r>
      <w:r w:rsidR="00B517E0" w:rsidRPr="000F21D1">
        <w:rPr>
          <w:rFonts w:ascii="Garamond" w:hAnsi="Garamond"/>
        </w:rPr>
        <w:t xml:space="preserve">sector </w:t>
      </w:r>
      <w:r w:rsidR="00EA242F" w:rsidRPr="000F21D1">
        <w:rPr>
          <w:rFonts w:ascii="Garamond" w:hAnsi="Garamond"/>
        </w:rPr>
        <w:t>wages</w:t>
      </w:r>
      <w:r w:rsidR="00B517E0" w:rsidRPr="000F21D1">
        <w:rPr>
          <w:rFonts w:ascii="Garamond" w:hAnsi="Garamond"/>
        </w:rPr>
        <w:t xml:space="preserve"> will lead wages in the public sector to grow in the range of 3.6-4.0% in 2017 and 5.0-5.4% in 2018. </w:t>
      </w:r>
      <w:r w:rsidR="00E23D05" w:rsidRPr="000F21D1">
        <w:rPr>
          <w:rFonts w:ascii="Garamond" w:hAnsi="Garamond" w:cs="Sylfaen"/>
          <w:iCs/>
        </w:rPr>
        <w:t xml:space="preserve">Thus, </w:t>
      </w:r>
      <w:r w:rsidR="00E23D05" w:rsidRPr="000F21D1">
        <w:rPr>
          <w:rFonts w:ascii="Garamond" w:hAnsi="Garamond"/>
        </w:rPr>
        <w:t xml:space="preserve">average nominal wage is </w:t>
      </w:r>
      <w:r w:rsidR="00B517E0" w:rsidRPr="000F21D1">
        <w:rPr>
          <w:rFonts w:ascii="Garamond" w:hAnsi="Garamond"/>
        </w:rPr>
        <w:t xml:space="preserve">expected </w:t>
      </w:r>
      <w:r w:rsidR="00E23D05" w:rsidRPr="000F21D1">
        <w:rPr>
          <w:rFonts w:ascii="Garamond" w:hAnsi="Garamond"/>
        </w:rPr>
        <w:t>to grow by 3.6% in 2016, by 5.</w:t>
      </w:r>
      <w:r w:rsidR="00B517E0" w:rsidRPr="000F21D1">
        <w:rPr>
          <w:rFonts w:ascii="Garamond" w:hAnsi="Garamond"/>
        </w:rPr>
        <w:t>1-5.5</w:t>
      </w:r>
      <w:r w:rsidR="00E23D05" w:rsidRPr="000F21D1">
        <w:rPr>
          <w:rFonts w:ascii="Garamond" w:hAnsi="Garamond"/>
        </w:rPr>
        <w:t>% in 2017 and by nearly 6% in 2018</w:t>
      </w:r>
      <w:r w:rsidR="00B517E0" w:rsidRPr="000F21D1">
        <w:rPr>
          <w:rFonts w:ascii="Garamond" w:hAnsi="Garamond"/>
        </w:rPr>
        <w:t xml:space="preserve">, which is not </w:t>
      </w:r>
      <w:r w:rsidR="00A568EB" w:rsidRPr="000F21D1">
        <w:rPr>
          <w:rFonts w:ascii="Garamond" w:hAnsi="Garamond"/>
        </w:rPr>
        <w:t xml:space="preserve">much </w:t>
      </w:r>
      <w:r w:rsidR="00B517E0" w:rsidRPr="000F21D1">
        <w:rPr>
          <w:rFonts w:ascii="Garamond" w:hAnsi="Garamond"/>
        </w:rPr>
        <w:t>different from previous forecasts</w:t>
      </w:r>
      <w:r w:rsidR="00E23D05" w:rsidRPr="000F21D1">
        <w:rPr>
          <w:rFonts w:ascii="Garamond" w:hAnsi="Garamond"/>
        </w:rPr>
        <w:t>.</w:t>
      </w:r>
      <w:r w:rsidR="00E23D05" w:rsidRPr="000F21D1">
        <w:rPr>
          <w:rFonts w:ascii="Garamond" w:hAnsi="Garamond" w:cs="Sylfaen"/>
        </w:rPr>
        <w:t xml:space="preserve">                        </w:t>
      </w:r>
    </w:p>
    <w:p w14:paraId="4B75FE2A" w14:textId="77777777" w:rsidR="002A0B0B" w:rsidRPr="000F21D1" w:rsidRDefault="002A0B0B" w:rsidP="00B117C8">
      <w:pPr>
        <w:spacing w:line="360" w:lineRule="auto"/>
        <w:jc w:val="both"/>
        <w:rPr>
          <w:rFonts w:ascii="Garamond" w:hAnsi="Garamond" w:cs="Sylfaen"/>
        </w:rPr>
      </w:pPr>
    </w:p>
    <w:p w14:paraId="08A47DD5" w14:textId="77777777" w:rsidR="002A0B0B" w:rsidRPr="000F21D1" w:rsidRDefault="009B3BFF" w:rsidP="00B117C8">
      <w:pPr>
        <w:spacing w:line="360" w:lineRule="auto"/>
        <w:jc w:val="both"/>
        <w:rPr>
          <w:rFonts w:ascii="Garamond" w:hAnsi="Garamond"/>
        </w:rPr>
      </w:pPr>
      <w:r w:rsidRPr="000F21D1">
        <w:rPr>
          <w:rFonts w:ascii="Garamond" w:hAnsi="Garamond" w:cs="Sylfaen"/>
          <w:b/>
        </w:rPr>
        <w:t>In 2016 t</w:t>
      </w:r>
      <w:r w:rsidR="002A0B0B" w:rsidRPr="000F21D1">
        <w:rPr>
          <w:rFonts w:ascii="Garamond" w:hAnsi="Garamond" w:cs="Sylfaen"/>
          <w:b/>
        </w:rPr>
        <w:t>he</w:t>
      </w:r>
      <w:r w:rsidR="00F36833" w:rsidRPr="000F21D1">
        <w:rPr>
          <w:rFonts w:ascii="Garamond" w:hAnsi="Garamond" w:cs="Sylfaen"/>
          <w:b/>
          <w:lang w:val="hy-AM"/>
        </w:rPr>
        <w:t xml:space="preserve"> </w:t>
      </w:r>
      <w:r w:rsidR="002A0B0B" w:rsidRPr="000F21D1">
        <w:rPr>
          <w:rFonts w:ascii="Garamond" w:hAnsi="Garamond" w:cs="Sylfaen"/>
          <w:b/>
        </w:rPr>
        <w:t xml:space="preserve">unemployment rate is expected </w:t>
      </w:r>
      <w:r w:rsidR="005D4A2B" w:rsidRPr="000F21D1">
        <w:rPr>
          <w:rFonts w:ascii="Garamond" w:hAnsi="Garamond" w:cs="Sylfaen"/>
          <w:b/>
        </w:rPr>
        <w:t xml:space="preserve">at </w:t>
      </w:r>
      <w:r w:rsidR="002A0B0B" w:rsidRPr="000F21D1">
        <w:rPr>
          <w:rFonts w:ascii="Garamond" w:hAnsi="Garamond" w:cs="Sylfaen"/>
          <w:b/>
        </w:rPr>
        <w:t>1</w:t>
      </w:r>
      <w:r w:rsidR="005D4A2B" w:rsidRPr="000F21D1">
        <w:rPr>
          <w:rFonts w:ascii="Garamond" w:hAnsi="Garamond" w:cs="Sylfaen"/>
          <w:b/>
        </w:rPr>
        <w:t>7</w:t>
      </w:r>
      <w:r w:rsidR="002A0B0B" w:rsidRPr="000F21D1">
        <w:rPr>
          <w:rFonts w:ascii="Garamond" w:hAnsi="Garamond" w:cs="Sylfaen"/>
          <w:b/>
        </w:rPr>
        <w:t>.</w:t>
      </w:r>
      <w:r w:rsidR="005D4A2B" w:rsidRPr="000F21D1">
        <w:rPr>
          <w:rFonts w:ascii="Garamond" w:hAnsi="Garamond" w:cs="Sylfaen"/>
          <w:b/>
        </w:rPr>
        <w:t>8</w:t>
      </w:r>
      <w:r w:rsidR="002A0B0B" w:rsidRPr="000F21D1">
        <w:rPr>
          <w:rFonts w:ascii="Garamond" w:hAnsi="Garamond" w:cs="Sylfaen"/>
          <w:b/>
        </w:rPr>
        <w:t>%</w:t>
      </w:r>
      <w:r w:rsidR="005D4A2B" w:rsidRPr="000F21D1">
        <w:rPr>
          <w:rFonts w:ascii="Garamond" w:hAnsi="Garamond" w:cs="Sylfaen"/>
          <w:b/>
        </w:rPr>
        <w:t xml:space="preserve"> on average</w:t>
      </w:r>
      <w:r w:rsidR="002A0B0B" w:rsidRPr="000F21D1">
        <w:rPr>
          <w:rFonts w:ascii="Garamond" w:hAnsi="Garamond" w:cs="Sylfaen"/>
        </w:rPr>
        <w:t xml:space="preserve">, which is </w:t>
      </w:r>
      <w:r w:rsidRPr="000F21D1">
        <w:rPr>
          <w:rFonts w:ascii="Garamond" w:hAnsi="Garamond" w:cs="Sylfaen"/>
        </w:rPr>
        <w:t>below t</w:t>
      </w:r>
      <w:r w:rsidR="002A0B0B" w:rsidRPr="000F21D1">
        <w:rPr>
          <w:rFonts w:ascii="Garamond" w:hAnsi="Garamond" w:cs="Sylfaen"/>
        </w:rPr>
        <w:t>he previous forecasts</w:t>
      </w:r>
      <w:r w:rsidRPr="000F21D1">
        <w:rPr>
          <w:rFonts w:ascii="Garamond" w:hAnsi="Garamond" w:cs="Sylfaen"/>
        </w:rPr>
        <w:t xml:space="preserve">. Relative to </w:t>
      </w:r>
      <w:r w:rsidR="002A0B0B" w:rsidRPr="000F21D1">
        <w:rPr>
          <w:rFonts w:ascii="Garamond" w:hAnsi="Garamond" w:cs="Sylfaen"/>
        </w:rPr>
        <w:t>201</w:t>
      </w:r>
      <w:r w:rsidRPr="000F21D1">
        <w:rPr>
          <w:rFonts w:ascii="Garamond" w:hAnsi="Garamond" w:cs="Sylfaen"/>
        </w:rPr>
        <w:t>5,</w:t>
      </w:r>
      <w:r w:rsidR="002A0B0B" w:rsidRPr="000F21D1">
        <w:rPr>
          <w:rFonts w:ascii="Garamond" w:hAnsi="Garamond" w:cs="Sylfaen"/>
        </w:rPr>
        <w:t xml:space="preserve"> the </w:t>
      </w:r>
      <w:r w:rsidRPr="000F21D1">
        <w:rPr>
          <w:rFonts w:ascii="Garamond" w:hAnsi="Garamond" w:cs="Sylfaen"/>
        </w:rPr>
        <w:t xml:space="preserve">expected </w:t>
      </w:r>
      <w:r w:rsidR="002A0B0B" w:rsidRPr="000F21D1">
        <w:rPr>
          <w:rFonts w:ascii="Garamond" w:hAnsi="Garamond" w:cs="Sylfaen"/>
        </w:rPr>
        <w:t xml:space="preserve">unemployment rate will </w:t>
      </w:r>
      <w:r w:rsidR="00C06588" w:rsidRPr="000F21D1">
        <w:rPr>
          <w:rFonts w:ascii="Garamond" w:hAnsi="Garamond" w:cs="Sylfaen"/>
        </w:rPr>
        <w:t xml:space="preserve">reduce </w:t>
      </w:r>
      <w:r w:rsidRPr="000F21D1">
        <w:rPr>
          <w:rFonts w:ascii="Garamond" w:hAnsi="Garamond" w:cs="Sylfaen"/>
        </w:rPr>
        <w:t xml:space="preserve">by 0.6 pp. In 2016 the average unemployment rate will still run </w:t>
      </w:r>
      <w:r w:rsidR="002A0B0B" w:rsidRPr="000F21D1">
        <w:rPr>
          <w:rFonts w:ascii="Garamond" w:hAnsi="Garamond" w:cs="Sylfaen"/>
        </w:rPr>
        <w:t xml:space="preserve">high as a result of productivity growth reported </w:t>
      </w:r>
      <w:r w:rsidR="00D64DCC" w:rsidRPr="000F21D1">
        <w:rPr>
          <w:rFonts w:ascii="Garamond" w:hAnsi="Garamond" w:cs="Sylfaen"/>
        </w:rPr>
        <w:t xml:space="preserve">in 2015 </w:t>
      </w:r>
      <w:r w:rsidR="002A0B0B" w:rsidRPr="000F21D1">
        <w:rPr>
          <w:rFonts w:ascii="Garamond" w:hAnsi="Garamond" w:cs="Sylfaen"/>
        </w:rPr>
        <w:t xml:space="preserve">(not leading to employment growth in the short run, however). </w:t>
      </w:r>
      <w:r w:rsidR="00C06588" w:rsidRPr="000F21D1">
        <w:rPr>
          <w:rFonts w:ascii="Garamond" w:hAnsi="Garamond" w:cs="Sylfaen"/>
        </w:rPr>
        <w:t xml:space="preserve">Beginning the first quarter of 2016 the productivity growth started to slow, </w:t>
      </w:r>
      <w:r w:rsidR="00AA0240" w:rsidRPr="000F21D1">
        <w:rPr>
          <w:rFonts w:ascii="Garamond" w:hAnsi="Garamond" w:cs="Sylfaen"/>
        </w:rPr>
        <w:t xml:space="preserve">pointing to a </w:t>
      </w:r>
      <w:r w:rsidR="00C06588" w:rsidRPr="000F21D1">
        <w:rPr>
          <w:rFonts w:ascii="Garamond" w:hAnsi="Garamond" w:cs="Sylfaen"/>
        </w:rPr>
        <w:t xml:space="preserve">faster growth rate in average hours worked per week. </w:t>
      </w:r>
      <w:r w:rsidR="002A0B0B" w:rsidRPr="000F21D1">
        <w:rPr>
          <w:rFonts w:ascii="Garamond" w:hAnsi="Garamond" w:cs="Sylfaen"/>
        </w:rPr>
        <w:t xml:space="preserve">The slowing of productivity growth and </w:t>
      </w:r>
      <w:r w:rsidR="00C06588" w:rsidRPr="000F21D1">
        <w:rPr>
          <w:rFonts w:ascii="Garamond" w:hAnsi="Garamond" w:cs="Sylfaen"/>
        </w:rPr>
        <w:t xml:space="preserve">anticipated </w:t>
      </w:r>
      <w:r w:rsidR="002A0B0B" w:rsidRPr="000F21D1">
        <w:rPr>
          <w:rFonts w:ascii="Garamond" w:hAnsi="Garamond" w:cs="Sylfaen"/>
        </w:rPr>
        <w:t>economic growth will prompt the unemployment rate to subdue by around 0.</w:t>
      </w:r>
      <w:r w:rsidR="00AA0240" w:rsidRPr="000F21D1">
        <w:rPr>
          <w:rFonts w:ascii="Garamond" w:hAnsi="Garamond" w:cs="Sylfaen"/>
        </w:rPr>
        <w:t>4</w:t>
      </w:r>
      <w:r w:rsidR="002A0B0B" w:rsidRPr="000F21D1">
        <w:rPr>
          <w:rFonts w:ascii="Garamond" w:hAnsi="Garamond" w:cs="Sylfaen"/>
        </w:rPr>
        <w:t xml:space="preserve"> pp annually in the period 2017-2018. Up until the </w:t>
      </w:r>
      <w:r w:rsidR="00AA0240" w:rsidRPr="000F21D1">
        <w:rPr>
          <w:rFonts w:ascii="Garamond" w:hAnsi="Garamond" w:cs="Sylfaen"/>
        </w:rPr>
        <w:t xml:space="preserve">first </w:t>
      </w:r>
      <w:r w:rsidR="00AA0240" w:rsidRPr="000F21D1">
        <w:rPr>
          <w:rFonts w:ascii="Garamond" w:hAnsi="Garamond" w:cs="Sylfaen"/>
        </w:rPr>
        <w:lastRenderedPageBreak/>
        <w:t xml:space="preserve">half </w:t>
      </w:r>
      <w:r w:rsidR="002A0B0B" w:rsidRPr="000F21D1">
        <w:rPr>
          <w:rFonts w:ascii="Garamond" w:hAnsi="Garamond" w:cs="Sylfaen"/>
        </w:rPr>
        <w:t>of 201</w:t>
      </w:r>
      <w:r w:rsidR="00F06A7E" w:rsidRPr="000F21D1">
        <w:rPr>
          <w:rFonts w:ascii="Garamond" w:hAnsi="Garamond" w:cs="Sylfaen"/>
        </w:rPr>
        <w:t>7</w:t>
      </w:r>
      <w:r w:rsidR="00F36833" w:rsidRPr="000F21D1">
        <w:rPr>
          <w:rFonts w:ascii="Garamond" w:hAnsi="Garamond" w:cs="Sylfaen"/>
          <w:lang w:val="hy-AM"/>
        </w:rPr>
        <w:t xml:space="preserve"> </w:t>
      </w:r>
      <w:r w:rsidR="002A0B0B" w:rsidRPr="000F21D1">
        <w:rPr>
          <w:rFonts w:ascii="Garamond" w:hAnsi="Garamond"/>
        </w:rPr>
        <w:t>the unemployment rate will be above its equilibrium, reflecting the negative GDP gap and deflationary pressures it will have created. By the end of the forecast horizon, the unemployment will approach its equilibrium</w:t>
      </w:r>
      <w:r w:rsidR="00F06A7E" w:rsidRPr="000F21D1">
        <w:rPr>
          <w:rFonts w:ascii="Garamond" w:hAnsi="Garamond"/>
        </w:rPr>
        <w:t xml:space="preserve"> </w:t>
      </w:r>
      <w:r w:rsidR="00AA0240" w:rsidRPr="000F21D1">
        <w:rPr>
          <w:rFonts w:ascii="Garamond" w:hAnsi="Garamond"/>
        </w:rPr>
        <w:t xml:space="preserve">as a result of </w:t>
      </w:r>
      <w:r w:rsidR="00F06A7E" w:rsidRPr="000F21D1">
        <w:rPr>
          <w:rFonts w:ascii="Garamond" w:hAnsi="Garamond"/>
        </w:rPr>
        <w:t>the expansionary monetary and fiscal policy implementation by the CBA and the Government</w:t>
      </w:r>
      <w:r w:rsidR="00AA0240" w:rsidRPr="000F21D1">
        <w:rPr>
          <w:rFonts w:ascii="Garamond" w:hAnsi="Garamond"/>
        </w:rPr>
        <w:t xml:space="preserve"> and restructuring of the economy</w:t>
      </w:r>
      <w:r w:rsidR="002A0B0B" w:rsidRPr="000F21D1">
        <w:rPr>
          <w:rFonts w:ascii="Garamond" w:hAnsi="Garamond"/>
        </w:rPr>
        <w:t>.</w:t>
      </w:r>
      <w:r w:rsidR="00E23D05" w:rsidRPr="000F21D1">
        <w:rPr>
          <w:rFonts w:ascii="Garamond" w:hAnsi="Garamond"/>
        </w:rPr>
        <w:t xml:space="preserve">                                     </w:t>
      </w:r>
    </w:p>
    <w:p w14:paraId="297C0F6D" w14:textId="77777777" w:rsidR="003C2ED0" w:rsidRPr="000F21D1" w:rsidRDefault="003C2ED0" w:rsidP="00B117C8">
      <w:pPr>
        <w:spacing w:line="360" w:lineRule="auto"/>
        <w:jc w:val="both"/>
        <w:rPr>
          <w:rFonts w:ascii="Garamond" w:hAnsi="Garamond"/>
        </w:rPr>
      </w:pPr>
    </w:p>
    <w:p w14:paraId="1768812C" w14:textId="77777777" w:rsidR="003C2ED0" w:rsidRPr="000F21D1" w:rsidRDefault="004A3B8E" w:rsidP="00B117C8">
      <w:pPr>
        <w:spacing w:line="360" w:lineRule="auto"/>
        <w:jc w:val="both"/>
        <w:rPr>
          <w:rFonts w:ascii="Garamond" w:hAnsi="Garamond" w:cs="Sylfaen"/>
        </w:rPr>
      </w:pPr>
      <w:r w:rsidRPr="000F21D1">
        <w:rPr>
          <w:rFonts w:ascii="Garamond" w:hAnsi="Garamond" w:cs="Sylfaen"/>
        </w:rPr>
        <w:t xml:space="preserve">On the back of </w:t>
      </w:r>
      <w:r w:rsidR="003C2ED0" w:rsidRPr="000F21D1">
        <w:rPr>
          <w:rFonts w:ascii="Garamond" w:hAnsi="Garamond" w:cs="Sylfaen"/>
        </w:rPr>
        <w:t>the aforementioned developments, the productivity growth expected in 2016 will outweigh an anticipated rise in wages and leave some 0.3-0.4</w:t>
      </w:r>
      <w:r w:rsidR="003C2ED0" w:rsidRPr="000F21D1">
        <w:rPr>
          <w:rFonts w:ascii="Garamond" w:eastAsia="Calibri" w:hAnsi="Garamond"/>
        </w:rPr>
        <w:t xml:space="preserve">% of deflationary </w:t>
      </w:r>
      <w:r w:rsidRPr="000F21D1">
        <w:rPr>
          <w:rFonts w:ascii="Garamond" w:eastAsia="Calibri" w:hAnsi="Garamond"/>
        </w:rPr>
        <w:t xml:space="preserve">pressures in the </w:t>
      </w:r>
      <w:r w:rsidR="003C2ED0" w:rsidRPr="000F21D1">
        <w:rPr>
          <w:rFonts w:ascii="Garamond" w:eastAsia="Calibri" w:hAnsi="Garamond"/>
        </w:rPr>
        <w:t xml:space="preserve">consumer </w:t>
      </w:r>
      <w:r w:rsidRPr="000F21D1">
        <w:rPr>
          <w:rFonts w:ascii="Garamond" w:eastAsia="Calibri" w:hAnsi="Garamond"/>
        </w:rPr>
        <w:t>market</w:t>
      </w:r>
      <w:r w:rsidR="003C2ED0" w:rsidRPr="000F21D1">
        <w:rPr>
          <w:rFonts w:ascii="Garamond" w:eastAsia="Calibri" w:hAnsi="Garamond"/>
        </w:rPr>
        <w:t>. I</w:t>
      </w:r>
      <w:r w:rsidR="003C2ED0" w:rsidRPr="000F21D1">
        <w:rPr>
          <w:rFonts w:ascii="Garamond" w:hAnsi="Garamond" w:cs="Sylfaen"/>
        </w:rPr>
        <w:t>n the forecast horizon, the labor market’s impact on the inflation is estimated to be neutral.</w:t>
      </w:r>
    </w:p>
    <w:p w14:paraId="1F302DC8" w14:textId="77777777" w:rsidR="00D810B0" w:rsidRPr="000F21D1" w:rsidRDefault="00D810B0" w:rsidP="00B117C8">
      <w:pPr>
        <w:spacing w:line="360" w:lineRule="auto"/>
        <w:jc w:val="both"/>
        <w:rPr>
          <w:rFonts w:ascii="Garamond" w:hAnsi="Garamond" w:cs="Sylfaen"/>
        </w:rPr>
      </w:pPr>
    </w:p>
    <w:p w14:paraId="16591F5C" w14:textId="77777777" w:rsidR="00D810B0" w:rsidRPr="000F21D1" w:rsidRDefault="00D810B0" w:rsidP="00B117C8">
      <w:pPr>
        <w:spacing w:line="360" w:lineRule="auto"/>
        <w:jc w:val="both"/>
        <w:rPr>
          <w:rFonts w:ascii="Garamond" w:hAnsi="Garamond" w:cs="Sylfaen"/>
          <w:b/>
        </w:rPr>
      </w:pPr>
      <w:r w:rsidRPr="000F21D1">
        <w:rPr>
          <w:rFonts w:ascii="Garamond" w:hAnsi="Garamond" w:cs="Sylfaen"/>
          <w:b/>
        </w:rPr>
        <w:t>Aggregate demand</w:t>
      </w:r>
      <w:r w:rsidR="004A3B8E" w:rsidRPr="000F21D1">
        <w:rPr>
          <w:rStyle w:val="FootnoteReference"/>
          <w:rFonts w:ascii="Garamond" w:hAnsi="Garamond" w:cs="Sylfaen"/>
          <w:b/>
        </w:rPr>
        <w:footnoteReference w:customMarkFollows="1" w:id="9"/>
        <w:t>9</w:t>
      </w:r>
    </w:p>
    <w:p w14:paraId="7414CDC2" w14:textId="21142EDE" w:rsidR="00D810B0" w:rsidRPr="000F21D1" w:rsidRDefault="005E4964" w:rsidP="00B117C8">
      <w:pPr>
        <w:spacing w:line="360" w:lineRule="auto"/>
        <w:jc w:val="both"/>
        <w:rPr>
          <w:rFonts w:ascii="Garamond" w:hAnsi="Garamond" w:cs="Sylfaen"/>
          <w:b/>
          <w:iCs/>
        </w:rPr>
      </w:pPr>
      <w:r w:rsidRPr="000F21D1">
        <w:rPr>
          <w:rFonts w:ascii="Garamond" w:hAnsi="Garamond" w:cs="Sylfaen"/>
          <w:b/>
          <w:iCs/>
        </w:rPr>
        <w:t>The</w:t>
      </w:r>
      <w:r w:rsidR="00D27583" w:rsidRPr="000F21D1">
        <w:rPr>
          <w:rFonts w:ascii="Garamond" w:hAnsi="Garamond" w:cs="Sylfaen"/>
          <w:b/>
          <w:iCs/>
        </w:rPr>
        <w:t xml:space="preserve"> trend of</w:t>
      </w:r>
      <w:r w:rsidR="003E3E4D">
        <w:rPr>
          <w:rFonts w:ascii="Garamond" w:hAnsi="Garamond" w:cs="Sylfaen"/>
          <w:b/>
          <w:iCs/>
        </w:rPr>
        <w:t xml:space="preserve"> declining </w:t>
      </w:r>
      <w:r w:rsidRPr="000F21D1">
        <w:rPr>
          <w:rFonts w:ascii="Garamond" w:hAnsi="Garamond" w:cs="Sylfaen"/>
          <w:b/>
          <w:iCs/>
        </w:rPr>
        <w:t xml:space="preserve"> </w:t>
      </w:r>
      <w:r w:rsidR="00D810B0" w:rsidRPr="000F21D1">
        <w:rPr>
          <w:rFonts w:ascii="Garamond" w:hAnsi="Garamond" w:cs="Sylfaen"/>
          <w:b/>
          <w:iCs/>
        </w:rPr>
        <w:t>remittances from Russia</w:t>
      </w:r>
      <w:r w:rsidRPr="000F21D1">
        <w:rPr>
          <w:rFonts w:ascii="Garamond" w:hAnsi="Garamond" w:cs="Sylfaen"/>
          <w:b/>
          <w:iCs/>
        </w:rPr>
        <w:t>, a principal trade partner,</w:t>
      </w:r>
      <w:r w:rsidR="00D810B0" w:rsidRPr="000F21D1">
        <w:rPr>
          <w:rFonts w:ascii="Garamond" w:hAnsi="Garamond" w:cs="Sylfaen"/>
          <w:b/>
          <w:iCs/>
        </w:rPr>
        <w:t xml:space="preserve"> will probably continue in 2016</w:t>
      </w:r>
      <w:r w:rsidR="00D27583" w:rsidRPr="000F21D1">
        <w:rPr>
          <w:rFonts w:ascii="Garamond" w:hAnsi="Garamond" w:cs="Sylfaen"/>
          <w:b/>
          <w:iCs/>
        </w:rPr>
        <w:t>.</w:t>
      </w:r>
      <w:r w:rsidR="004A3B8E" w:rsidRPr="000F21D1">
        <w:rPr>
          <w:rFonts w:ascii="Garamond" w:hAnsi="Garamond" w:cs="Sylfaen"/>
          <w:b/>
          <w:iCs/>
        </w:rPr>
        <w:t xml:space="preserve"> </w:t>
      </w:r>
      <w:r w:rsidR="00D27583" w:rsidRPr="000F21D1">
        <w:rPr>
          <w:rFonts w:ascii="Garamond" w:hAnsi="Garamond" w:cs="Sylfaen"/>
          <w:b/>
          <w:iCs/>
        </w:rPr>
        <w:t>T</w:t>
      </w:r>
      <w:r w:rsidR="00D810B0" w:rsidRPr="000F21D1">
        <w:rPr>
          <w:rFonts w:ascii="Garamond" w:hAnsi="Garamond" w:cs="Sylfaen"/>
          <w:b/>
          <w:iCs/>
        </w:rPr>
        <w:t xml:space="preserve">he expected decline, however, will be smaller compared </w:t>
      </w:r>
      <w:r w:rsidR="00A83C67" w:rsidRPr="000F21D1">
        <w:rPr>
          <w:rFonts w:ascii="Garamond" w:hAnsi="Garamond" w:cs="Sylfaen"/>
          <w:b/>
          <w:iCs/>
        </w:rPr>
        <w:t xml:space="preserve">to </w:t>
      </w:r>
      <w:r w:rsidR="00D810B0" w:rsidRPr="000F21D1">
        <w:rPr>
          <w:rFonts w:ascii="Garamond" w:hAnsi="Garamond" w:cs="Sylfaen"/>
          <w:b/>
          <w:iCs/>
        </w:rPr>
        <w:t>t</w:t>
      </w:r>
      <w:r w:rsidR="00727D5A" w:rsidRPr="000F21D1">
        <w:rPr>
          <w:rFonts w:ascii="Garamond" w:hAnsi="Garamond" w:cs="Sylfaen"/>
          <w:b/>
          <w:iCs/>
        </w:rPr>
        <w:t>hat of</w:t>
      </w:r>
      <w:r w:rsidR="00D810B0" w:rsidRPr="000F21D1">
        <w:rPr>
          <w:rFonts w:ascii="Garamond" w:hAnsi="Garamond" w:cs="Sylfaen"/>
          <w:b/>
          <w:iCs/>
        </w:rPr>
        <w:t xml:space="preserve"> reported in 2015</w:t>
      </w:r>
      <w:r w:rsidR="00D27583" w:rsidRPr="000F21D1">
        <w:rPr>
          <w:rFonts w:ascii="Garamond" w:hAnsi="Garamond" w:cs="Sylfaen"/>
          <w:b/>
          <w:iCs/>
        </w:rPr>
        <w:t xml:space="preserve"> and will amount to 6-8%</w:t>
      </w:r>
      <w:r w:rsidR="00D810B0" w:rsidRPr="000F21D1">
        <w:rPr>
          <w:rFonts w:ascii="Garamond" w:hAnsi="Garamond" w:cs="Sylfaen"/>
          <w:b/>
          <w:iCs/>
        </w:rPr>
        <w:t xml:space="preserve">. </w:t>
      </w:r>
      <w:r w:rsidR="0066543D" w:rsidRPr="000F21D1">
        <w:rPr>
          <w:rFonts w:ascii="Garamond" w:hAnsi="Garamond" w:cs="Sylfaen"/>
          <w:b/>
          <w:iCs/>
        </w:rPr>
        <w:t xml:space="preserve">The expansionary monetary policy implemented in 2015-2016, a low inflation environment in the economy and large budget deficit for 2015-2016 will significantly soften the negative impact of private remittances on domestic demand in 2016. The rise in disposable income in the economy in 2016 will be driven by positive influence </w:t>
      </w:r>
      <w:r w:rsidR="00C82894" w:rsidRPr="000F21D1">
        <w:rPr>
          <w:rFonts w:ascii="Garamond" w:hAnsi="Garamond" w:cs="Sylfaen"/>
          <w:b/>
          <w:iCs/>
        </w:rPr>
        <w:t>from the</w:t>
      </w:r>
      <w:r w:rsidR="0066543D" w:rsidRPr="000F21D1">
        <w:rPr>
          <w:rFonts w:ascii="Garamond" w:hAnsi="Garamond" w:cs="Sylfaen"/>
          <w:b/>
          <w:iCs/>
        </w:rPr>
        <w:t xml:space="preserve"> growth </w:t>
      </w:r>
      <w:r w:rsidR="00C82894" w:rsidRPr="000F21D1">
        <w:rPr>
          <w:rFonts w:ascii="Garamond" w:hAnsi="Garamond" w:cs="Sylfaen"/>
          <w:b/>
          <w:iCs/>
        </w:rPr>
        <w:t xml:space="preserve">in the tradable sector. </w:t>
      </w:r>
      <w:r w:rsidR="0066543D" w:rsidRPr="000F21D1">
        <w:rPr>
          <w:rFonts w:ascii="Garamond" w:hAnsi="Garamond" w:cs="Sylfaen"/>
          <w:b/>
          <w:iCs/>
        </w:rPr>
        <w:t xml:space="preserve">As a result, </w:t>
      </w:r>
      <w:r w:rsidR="00C82894" w:rsidRPr="000F21D1">
        <w:rPr>
          <w:rFonts w:ascii="Garamond" w:hAnsi="Garamond" w:cs="Sylfaen"/>
          <w:b/>
          <w:iCs/>
        </w:rPr>
        <w:t xml:space="preserve">the </w:t>
      </w:r>
      <w:r w:rsidR="0066543D" w:rsidRPr="000F21D1">
        <w:rPr>
          <w:rFonts w:ascii="Garamond" w:hAnsi="Garamond" w:cs="Sylfaen"/>
          <w:b/>
          <w:iCs/>
        </w:rPr>
        <w:t>domestic demand</w:t>
      </w:r>
      <w:r w:rsidR="00C82894" w:rsidRPr="000F21D1">
        <w:rPr>
          <w:rFonts w:ascii="Garamond" w:hAnsi="Garamond" w:cs="Sylfaen"/>
          <w:b/>
          <w:iCs/>
        </w:rPr>
        <w:t>, which</w:t>
      </w:r>
      <w:r w:rsidR="00F36833" w:rsidRPr="000F21D1">
        <w:rPr>
          <w:rFonts w:ascii="Garamond" w:hAnsi="Garamond" w:cs="Sylfaen"/>
          <w:b/>
          <w:iCs/>
          <w:lang w:val="hy-AM"/>
        </w:rPr>
        <w:t xml:space="preserve"> </w:t>
      </w:r>
      <w:r w:rsidR="00C82894" w:rsidRPr="000F21D1">
        <w:rPr>
          <w:rFonts w:ascii="Garamond" w:hAnsi="Garamond" w:cs="Sylfaen"/>
          <w:b/>
          <w:iCs/>
        </w:rPr>
        <w:t>decline</w:t>
      </w:r>
      <w:r w:rsidR="003E3E4D">
        <w:rPr>
          <w:rFonts w:ascii="Garamond" w:hAnsi="Garamond" w:cs="Sylfaen"/>
          <w:b/>
          <w:iCs/>
        </w:rPr>
        <w:t>d</w:t>
      </w:r>
      <w:r w:rsidR="00C82894" w:rsidRPr="000F21D1">
        <w:rPr>
          <w:rFonts w:ascii="Garamond" w:hAnsi="Garamond" w:cs="Sylfaen"/>
          <w:b/>
          <w:iCs/>
        </w:rPr>
        <w:t xml:space="preserve"> </w:t>
      </w:r>
      <w:r w:rsidR="0066543D" w:rsidRPr="000F21D1">
        <w:rPr>
          <w:rFonts w:ascii="Garamond" w:hAnsi="Garamond" w:cs="Sylfaen"/>
          <w:b/>
          <w:iCs/>
        </w:rPr>
        <w:t>in 2015</w:t>
      </w:r>
      <w:r w:rsidR="00C82894" w:rsidRPr="000F21D1">
        <w:rPr>
          <w:rFonts w:ascii="Garamond" w:hAnsi="Garamond" w:cs="Sylfaen"/>
          <w:b/>
          <w:iCs/>
        </w:rPr>
        <w:t xml:space="preserve">, </w:t>
      </w:r>
      <w:r w:rsidR="00727D5A" w:rsidRPr="000F21D1">
        <w:rPr>
          <w:rFonts w:ascii="Garamond" w:hAnsi="Garamond" w:cs="Sylfaen"/>
          <w:b/>
          <w:iCs/>
        </w:rPr>
        <w:t xml:space="preserve">is expected to </w:t>
      </w:r>
      <w:r w:rsidR="00C82894" w:rsidRPr="000F21D1">
        <w:rPr>
          <w:rFonts w:ascii="Garamond" w:hAnsi="Garamond" w:cs="Sylfaen"/>
          <w:b/>
          <w:iCs/>
        </w:rPr>
        <w:t>gradually bounce back in 2016</w:t>
      </w:r>
      <w:r w:rsidR="00727D5A" w:rsidRPr="000F21D1">
        <w:rPr>
          <w:rFonts w:ascii="Garamond" w:hAnsi="Garamond" w:cs="Sylfaen"/>
          <w:b/>
          <w:iCs/>
        </w:rPr>
        <w:t xml:space="preserve">. </w:t>
      </w:r>
      <w:r w:rsidR="003E3E4D">
        <w:rPr>
          <w:rFonts w:ascii="Garamond" w:hAnsi="Garamond" w:cs="Sylfaen"/>
          <w:b/>
          <w:iCs/>
        </w:rPr>
        <w:t xml:space="preserve">However in the period mentioned </w:t>
      </w:r>
      <w:r w:rsidR="003E3E4D" w:rsidRPr="000F21D1">
        <w:rPr>
          <w:rFonts w:ascii="Garamond" w:hAnsi="Garamond" w:cs="Sylfaen"/>
          <w:b/>
          <w:iCs/>
        </w:rPr>
        <w:t xml:space="preserve"> </w:t>
      </w:r>
      <w:r w:rsidR="00727D5A" w:rsidRPr="000F21D1">
        <w:rPr>
          <w:rFonts w:ascii="Garamond" w:hAnsi="Garamond" w:cs="Sylfaen"/>
          <w:b/>
          <w:iCs/>
        </w:rPr>
        <w:t xml:space="preserve">domestic demand </w:t>
      </w:r>
      <w:r w:rsidR="0066543D" w:rsidRPr="000F21D1">
        <w:rPr>
          <w:rFonts w:ascii="Garamond" w:hAnsi="Garamond" w:cs="Sylfaen"/>
          <w:b/>
          <w:iCs/>
        </w:rPr>
        <w:t>will still be below the equilibrium</w:t>
      </w:r>
      <w:r w:rsidR="00727D5A" w:rsidRPr="000F21D1">
        <w:rPr>
          <w:rFonts w:ascii="Garamond" w:hAnsi="Garamond" w:cs="Sylfaen"/>
          <w:b/>
          <w:iCs/>
        </w:rPr>
        <w:t>, however</w:t>
      </w:r>
      <w:r w:rsidR="0066543D" w:rsidRPr="000F21D1">
        <w:rPr>
          <w:rFonts w:ascii="Garamond" w:hAnsi="Garamond" w:cs="Sylfaen"/>
          <w:b/>
          <w:iCs/>
        </w:rPr>
        <w:t>.</w:t>
      </w:r>
    </w:p>
    <w:p w14:paraId="5D26744D" w14:textId="77777777" w:rsidR="002712F3" w:rsidRPr="000F21D1" w:rsidRDefault="002712F3" w:rsidP="00B117C8">
      <w:pPr>
        <w:spacing w:line="360" w:lineRule="auto"/>
        <w:jc w:val="both"/>
        <w:rPr>
          <w:rFonts w:ascii="Garamond" w:hAnsi="Garamond" w:cs="Sylfaen"/>
          <w:b/>
          <w:iCs/>
        </w:rPr>
      </w:pPr>
    </w:p>
    <w:p w14:paraId="27488C4F" w14:textId="77777777" w:rsidR="002712F3" w:rsidRPr="000F21D1" w:rsidRDefault="002712F3" w:rsidP="00B117C8">
      <w:pPr>
        <w:spacing w:line="360" w:lineRule="auto"/>
        <w:jc w:val="both"/>
        <w:rPr>
          <w:rFonts w:ascii="Garamond" w:hAnsi="Garamond"/>
          <w:b/>
        </w:rPr>
      </w:pPr>
      <w:r w:rsidRPr="000F21D1">
        <w:rPr>
          <w:rFonts w:ascii="Garamond" w:hAnsi="Garamond"/>
          <w:b/>
        </w:rPr>
        <w:t xml:space="preserve">The domestic demand will </w:t>
      </w:r>
      <w:r w:rsidR="00D12E95" w:rsidRPr="000F21D1">
        <w:rPr>
          <w:rFonts w:ascii="Garamond" w:hAnsi="Garamond"/>
          <w:b/>
        </w:rPr>
        <w:t xml:space="preserve">continue </w:t>
      </w:r>
      <w:r w:rsidRPr="000F21D1">
        <w:rPr>
          <w:rFonts w:ascii="Garamond" w:hAnsi="Garamond"/>
          <w:b/>
        </w:rPr>
        <w:t>growing and get</w:t>
      </w:r>
      <w:r w:rsidR="00D12E95" w:rsidRPr="000F21D1">
        <w:rPr>
          <w:rFonts w:ascii="Garamond" w:hAnsi="Garamond"/>
          <w:b/>
        </w:rPr>
        <w:t>ting</w:t>
      </w:r>
      <w:r w:rsidRPr="000F21D1">
        <w:rPr>
          <w:rFonts w:ascii="Garamond" w:hAnsi="Garamond"/>
          <w:b/>
        </w:rPr>
        <w:t xml:space="preserve"> closer to its equilibrium in 2017-2018 as economic activity revives in partner countries to Armenia as well as the lagged impact of the </w:t>
      </w:r>
      <w:r w:rsidR="00D12E95" w:rsidRPr="000F21D1">
        <w:rPr>
          <w:rFonts w:ascii="Garamond" w:hAnsi="Garamond"/>
          <w:b/>
        </w:rPr>
        <w:t xml:space="preserve">above-referred </w:t>
      </w:r>
      <w:r w:rsidRPr="000F21D1">
        <w:rPr>
          <w:rFonts w:ascii="Garamond" w:hAnsi="Garamond"/>
          <w:b/>
        </w:rPr>
        <w:t>expansionary monetary policy in the Armenian economy persists.</w:t>
      </w:r>
    </w:p>
    <w:p w14:paraId="253B807A" w14:textId="77777777" w:rsidR="004A18CF" w:rsidRPr="000F21D1" w:rsidRDefault="004A18CF" w:rsidP="00B117C8">
      <w:pPr>
        <w:spacing w:line="360" w:lineRule="auto"/>
        <w:jc w:val="both"/>
        <w:rPr>
          <w:rFonts w:ascii="Garamond" w:hAnsi="Garamond"/>
          <w:b/>
        </w:rPr>
      </w:pPr>
    </w:p>
    <w:p w14:paraId="76BC90A0" w14:textId="1E56C521" w:rsidR="004A18CF" w:rsidRPr="000F21D1" w:rsidRDefault="004A18CF" w:rsidP="00B117C8">
      <w:pPr>
        <w:spacing w:line="360" w:lineRule="auto"/>
        <w:jc w:val="both"/>
        <w:rPr>
          <w:rFonts w:ascii="Garamond" w:hAnsi="Garamond" w:cs="Sylfaen"/>
          <w:b/>
          <w:iCs/>
        </w:rPr>
      </w:pPr>
      <w:r w:rsidRPr="000F21D1">
        <w:rPr>
          <w:rFonts w:ascii="Garamond" w:hAnsi="Garamond" w:cs="Sylfaen"/>
          <w:b/>
          <w:iCs/>
        </w:rPr>
        <w:t xml:space="preserve">Though weak domestic demand will negatively affect the economic growth at the start of the forecast horizon, it will however facilitate the elimination of imbalances – particularly the </w:t>
      </w:r>
      <w:r w:rsidR="00AC37B4" w:rsidRPr="000F21D1">
        <w:rPr>
          <w:rFonts w:ascii="Garamond" w:hAnsi="Garamond" w:cs="Sylfaen"/>
          <w:b/>
          <w:iCs/>
        </w:rPr>
        <w:t>decreasing</w:t>
      </w:r>
      <w:r w:rsidRPr="000F21D1">
        <w:rPr>
          <w:rFonts w:ascii="Garamond" w:hAnsi="Garamond" w:cs="Sylfaen"/>
          <w:b/>
          <w:iCs/>
        </w:rPr>
        <w:t xml:space="preserve"> of the negative gap between savings and investments – observable in the </w:t>
      </w:r>
      <w:r w:rsidRPr="000F21D1">
        <w:rPr>
          <w:rFonts w:ascii="Garamond" w:hAnsi="Garamond" w:cs="Sylfaen"/>
          <w:b/>
          <w:iCs/>
        </w:rPr>
        <w:lastRenderedPageBreak/>
        <w:t>domestic economy in recent years. This, a</w:t>
      </w:r>
      <w:r w:rsidR="00240D65" w:rsidRPr="000F21D1">
        <w:rPr>
          <w:rFonts w:ascii="Garamond" w:hAnsi="Garamond" w:cs="Sylfaen"/>
          <w:b/>
          <w:iCs/>
        </w:rPr>
        <w:t xml:space="preserve">long with </w:t>
      </w:r>
      <w:r w:rsidRPr="000F21D1">
        <w:rPr>
          <w:rFonts w:ascii="Garamond" w:hAnsi="Garamond" w:cs="Sylfaen"/>
          <w:b/>
          <w:iCs/>
        </w:rPr>
        <w:t>a floating exchange rate regime, boosts up competitiveness of the tradable sector of the Armenian economy, strengthens the macroeconomic stability and provides long-term, sustainable investment and economic growth p</w:t>
      </w:r>
      <w:r w:rsidR="009C6B91" w:rsidRPr="000F21D1">
        <w:rPr>
          <w:rFonts w:ascii="Garamond" w:hAnsi="Garamond" w:cs="Sylfaen"/>
          <w:b/>
          <w:iCs/>
        </w:rPr>
        <w:t>rospects</w:t>
      </w:r>
      <w:r w:rsidRPr="000F21D1">
        <w:rPr>
          <w:rFonts w:ascii="Garamond" w:hAnsi="Garamond" w:cs="Sylfaen"/>
          <w:b/>
          <w:iCs/>
        </w:rPr>
        <w:t>.</w:t>
      </w:r>
    </w:p>
    <w:p w14:paraId="3B052ED4" w14:textId="77777777" w:rsidR="00CC235C" w:rsidRPr="000F21D1" w:rsidRDefault="00CC235C" w:rsidP="00B117C8">
      <w:pPr>
        <w:spacing w:line="360" w:lineRule="auto"/>
        <w:jc w:val="both"/>
        <w:rPr>
          <w:rFonts w:ascii="Garamond" w:hAnsi="Garamond" w:cs="Sylfaen"/>
          <w:b/>
          <w:iCs/>
        </w:rPr>
      </w:pPr>
    </w:p>
    <w:p w14:paraId="50E259A6" w14:textId="6B4F5D34" w:rsidR="007E4AEC" w:rsidRPr="000F21D1" w:rsidRDefault="00DB53EF" w:rsidP="00B117C8">
      <w:pPr>
        <w:spacing w:line="360" w:lineRule="auto"/>
        <w:jc w:val="both"/>
        <w:rPr>
          <w:rFonts w:ascii="Garamond" w:hAnsi="Garamond" w:cs="Sylfaen"/>
          <w:b/>
          <w:iCs/>
        </w:rPr>
      </w:pPr>
      <w:r w:rsidRPr="000F21D1">
        <w:rPr>
          <w:rFonts w:ascii="Garamond" w:hAnsi="Garamond" w:cs="Sylfaen"/>
          <w:b/>
          <w:iCs/>
        </w:rPr>
        <w:t xml:space="preserve">The domestic </w:t>
      </w:r>
      <w:r w:rsidR="00CC235C" w:rsidRPr="000F21D1">
        <w:rPr>
          <w:rFonts w:ascii="Garamond" w:hAnsi="Garamond" w:cs="Sylfaen"/>
          <w:b/>
          <w:iCs/>
        </w:rPr>
        <w:t xml:space="preserve">economic growth in 2016 will further be achieved by contributing to net exports. </w:t>
      </w:r>
      <w:r w:rsidRPr="000F21D1">
        <w:rPr>
          <w:rFonts w:ascii="Garamond" w:hAnsi="Garamond" w:cs="Sylfaen"/>
          <w:b/>
          <w:iCs/>
        </w:rPr>
        <w:t>I</w:t>
      </w:r>
      <w:r w:rsidR="00CC235C" w:rsidRPr="000F21D1">
        <w:rPr>
          <w:rFonts w:ascii="Garamond" w:hAnsi="Garamond" w:cs="Sylfaen"/>
          <w:b/>
          <w:iCs/>
        </w:rPr>
        <w:t xml:space="preserve">mproved competitiveness </w:t>
      </w:r>
      <w:r w:rsidRPr="000F21D1">
        <w:rPr>
          <w:rFonts w:ascii="Garamond" w:hAnsi="Garamond" w:cs="Sylfaen"/>
          <w:b/>
          <w:iCs/>
        </w:rPr>
        <w:t xml:space="preserve">in recent years </w:t>
      </w:r>
      <w:r w:rsidR="00CC235C" w:rsidRPr="000F21D1">
        <w:rPr>
          <w:rFonts w:ascii="Garamond" w:hAnsi="Garamond" w:cs="Sylfaen"/>
          <w:b/>
          <w:iCs/>
        </w:rPr>
        <w:t xml:space="preserve">determined rapid </w:t>
      </w:r>
      <w:r w:rsidR="00F028AC" w:rsidRPr="000F21D1">
        <w:rPr>
          <w:rFonts w:ascii="Garamond" w:hAnsi="Garamond" w:cs="Sylfaen"/>
          <w:b/>
          <w:iCs/>
        </w:rPr>
        <w:t xml:space="preserve">rates in </w:t>
      </w:r>
      <w:r w:rsidR="00CC235C" w:rsidRPr="000F21D1">
        <w:rPr>
          <w:rFonts w:ascii="Garamond" w:hAnsi="Garamond" w:cs="Sylfaen"/>
          <w:b/>
          <w:iCs/>
        </w:rPr>
        <w:t xml:space="preserve">productivity growth in </w:t>
      </w:r>
      <w:r w:rsidRPr="000F21D1">
        <w:rPr>
          <w:rFonts w:ascii="Garamond" w:hAnsi="Garamond" w:cs="Sylfaen"/>
          <w:b/>
          <w:iCs/>
        </w:rPr>
        <w:t xml:space="preserve">the </w:t>
      </w:r>
      <w:r w:rsidR="00CC235C" w:rsidRPr="000F21D1">
        <w:rPr>
          <w:rFonts w:ascii="Garamond" w:hAnsi="Garamond" w:cs="Sylfaen"/>
          <w:b/>
          <w:iCs/>
        </w:rPr>
        <w:t xml:space="preserve">tradable sector of the Armenian economy, </w:t>
      </w:r>
      <w:r w:rsidRPr="000F21D1">
        <w:rPr>
          <w:rFonts w:ascii="Garamond" w:hAnsi="Garamond" w:cs="Sylfaen"/>
          <w:b/>
          <w:iCs/>
        </w:rPr>
        <w:t>which will</w:t>
      </w:r>
      <w:r w:rsidR="00F028AC" w:rsidRPr="000F21D1">
        <w:rPr>
          <w:rFonts w:ascii="Garamond" w:hAnsi="Garamond" w:cs="Sylfaen"/>
          <w:b/>
          <w:iCs/>
        </w:rPr>
        <w:t xml:space="preserve">, in turn, </w:t>
      </w:r>
      <w:r w:rsidRPr="000F21D1">
        <w:rPr>
          <w:rFonts w:ascii="Garamond" w:hAnsi="Garamond" w:cs="Sylfaen"/>
          <w:b/>
          <w:iCs/>
        </w:rPr>
        <w:t xml:space="preserve">secure </w:t>
      </w:r>
      <w:r w:rsidR="00CC235C" w:rsidRPr="000F21D1">
        <w:rPr>
          <w:rFonts w:ascii="Garamond" w:hAnsi="Garamond" w:cs="Sylfaen"/>
          <w:b/>
          <w:iCs/>
        </w:rPr>
        <w:t>growth</w:t>
      </w:r>
      <w:r w:rsidR="00F028AC" w:rsidRPr="000F21D1">
        <w:rPr>
          <w:rFonts w:ascii="Garamond" w:hAnsi="Garamond" w:cs="Sylfaen"/>
          <w:b/>
          <w:iCs/>
        </w:rPr>
        <w:t>s</w:t>
      </w:r>
      <w:r w:rsidR="00CC235C" w:rsidRPr="000F21D1">
        <w:rPr>
          <w:rFonts w:ascii="Garamond" w:hAnsi="Garamond" w:cs="Sylfaen"/>
          <w:b/>
          <w:iCs/>
        </w:rPr>
        <w:t xml:space="preserve"> in agriculture, industry and services sectors </w:t>
      </w:r>
      <w:r w:rsidR="00F028AC" w:rsidRPr="000F21D1">
        <w:rPr>
          <w:rFonts w:ascii="Garamond" w:hAnsi="Garamond" w:cs="Sylfaen"/>
          <w:b/>
          <w:iCs/>
        </w:rPr>
        <w:t>in</w:t>
      </w:r>
      <w:r w:rsidR="00CC235C" w:rsidRPr="000F21D1">
        <w:rPr>
          <w:rFonts w:ascii="Garamond" w:hAnsi="Garamond" w:cs="Sylfaen"/>
          <w:b/>
          <w:iCs/>
        </w:rPr>
        <w:t xml:space="preserve"> 201</w:t>
      </w:r>
      <w:r w:rsidR="00F028AC" w:rsidRPr="000F21D1">
        <w:rPr>
          <w:rFonts w:ascii="Garamond" w:hAnsi="Garamond" w:cs="Sylfaen"/>
          <w:b/>
          <w:iCs/>
        </w:rPr>
        <w:t>6</w:t>
      </w:r>
      <w:r w:rsidR="00CC235C" w:rsidRPr="000F21D1">
        <w:rPr>
          <w:rFonts w:ascii="Garamond" w:hAnsi="Garamond" w:cs="Sylfaen"/>
          <w:b/>
          <w:iCs/>
        </w:rPr>
        <w:t>. Given the global demand expan</w:t>
      </w:r>
      <w:r w:rsidR="002A457E">
        <w:rPr>
          <w:rFonts w:ascii="Garamond" w:hAnsi="Garamond" w:cs="Sylfaen"/>
          <w:b/>
          <w:iCs/>
        </w:rPr>
        <w:t>sion</w:t>
      </w:r>
      <w:r w:rsidR="00CC235C" w:rsidRPr="000F21D1">
        <w:rPr>
          <w:rFonts w:ascii="Garamond" w:hAnsi="Garamond" w:cs="Sylfaen"/>
          <w:b/>
          <w:iCs/>
        </w:rPr>
        <w:t xml:space="preserve"> and </w:t>
      </w:r>
      <w:r w:rsidR="002A457E">
        <w:rPr>
          <w:rFonts w:ascii="Garamond" w:hAnsi="Garamond" w:cs="Sylfaen"/>
          <w:b/>
          <w:iCs/>
        </w:rPr>
        <w:t xml:space="preserve">increase of </w:t>
      </w:r>
      <w:r w:rsidR="00CC235C" w:rsidRPr="000F21D1">
        <w:rPr>
          <w:rFonts w:ascii="Garamond" w:hAnsi="Garamond" w:cs="Sylfaen"/>
          <w:b/>
          <w:iCs/>
        </w:rPr>
        <w:t xml:space="preserve">investments in </w:t>
      </w:r>
      <w:r w:rsidR="00BC0952" w:rsidRPr="000F21D1">
        <w:rPr>
          <w:rFonts w:ascii="Garamond" w:hAnsi="Garamond" w:cs="Sylfaen"/>
          <w:b/>
          <w:iCs/>
        </w:rPr>
        <w:t xml:space="preserve">the </w:t>
      </w:r>
      <w:r w:rsidR="00CC235C" w:rsidRPr="000F21D1">
        <w:rPr>
          <w:rFonts w:ascii="Garamond" w:hAnsi="Garamond" w:cs="Sylfaen"/>
          <w:b/>
          <w:iCs/>
        </w:rPr>
        <w:t>tradable sector in 201</w:t>
      </w:r>
      <w:r w:rsidR="007E4AEC" w:rsidRPr="000F21D1">
        <w:rPr>
          <w:rFonts w:ascii="Garamond" w:hAnsi="Garamond" w:cs="Sylfaen"/>
          <w:b/>
          <w:iCs/>
        </w:rPr>
        <w:t>7</w:t>
      </w:r>
      <w:r w:rsidR="00F42198" w:rsidRPr="000F21D1">
        <w:rPr>
          <w:rFonts w:ascii="Garamond" w:hAnsi="Garamond" w:cs="Sylfaen"/>
          <w:b/>
          <w:iCs/>
        </w:rPr>
        <w:t>–</w:t>
      </w:r>
      <w:r w:rsidR="00CC235C" w:rsidRPr="000F21D1">
        <w:rPr>
          <w:rFonts w:ascii="Garamond" w:hAnsi="Garamond" w:cs="Sylfaen"/>
          <w:b/>
          <w:iCs/>
        </w:rPr>
        <w:t xml:space="preserve">2018, net exports will continue to largely contribute to the economic growth. </w:t>
      </w:r>
      <w:r w:rsidR="007E4AEC" w:rsidRPr="000F21D1">
        <w:rPr>
          <w:rFonts w:ascii="Garamond" w:hAnsi="Garamond" w:cs="Sylfaen"/>
          <w:b/>
          <w:iCs/>
        </w:rPr>
        <w:t xml:space="preserve">Furthermore, </w:t>
      </w:r>
      <w:r w:rsidR="007E4AEC" w:rsidRPr="000F21D1">
        <w:rPr>
          <w:rFonts w:ascii="Garamond" w:eastAsia="Calibri" w:hAnsi="Garamond" w:cs="Sylfaen"/>
          <w:b/>
        </w:rPr>
        <w:t xml:space="preserve">investments will prove highly effective, if they are funded </w:t>
      </w:r>
      <w:r w:rsidR="00AE6881" w:rsidRPr="000F21D1">
        <w:rPr>
          <w:rFonts w:ascii="Garamond" w:eastAsia="Calibri" w:hAnsi="Garamond" w:cs="Sylfaen"/>
          <w:b/>
        </w:rPr>
        <w:t xml:space="preserve">from </w:t>
      </w:r>
      <w:r w:rsidR="007E4AEC" w:rsidRPr="000F21D1">
        <w:rPr>
          <w:rFonts w:ascii="Garamond" w:eastAsia="Calibri" w:hAnsi="Garamond" w:cs="Sylfaen"/>
          <w:b/>
        </w:rPr>
        <w:t xml:space="preserve">domestic savings rather than </w:t>
      </w:r>
      <w:r w:rsidR="00AE6881" w:rsidRPr="000F21D1">
        <w:rPr>
          <w:rFonts w:ascii="Garamond" w:eastAsia="Calibri" w:hAnsi="Garamond" w:cs="Sylfaen"/>
          <w:b/>
        </w:rPr>
        <w:t xml:space="preserve">through </w:t>
      </w:r>
      <w:r w:rsidR="007E4AEC" w:rsidRPr="000F21D1">
        <w:rPr>
          <w:rFonts w:ascii="Garamond" w:eastAsia="Calibri" w:hAnsi="Garamond" w:cs="Sylfaen"/>
          <w:b/>
        </w:rPr>
        <w:t xml:space="preserve">foreign debt, or if they </w:t>
      </w:r>
      <w:r w:rsidR="002A457E">
        <w:rPr>
          <w:rFonts w:ascii="Garamond" w:eastAsia="Calibri" w:hAnsi="Garamond" w:cs="Sylfaen"/>
          <w:b/>
        </w:rPr>
        <w:t xml:space="preserve">are formed </w:t>
      </w:r>
      <w:r w:rsidR="002A457E" w:rsidRPr="000F21D1">
        <w:rPr>
          <w:rFonts w:ascii="Garamond" w:eastAsia="Calibri" w:hAnsi="Garamond" w:cs="Sylfaen"/>
          <w:b/>
        </w:rPr>
        <w:t xml:space="preserve"> </w:t>
      </w:r>
      <w:r w:rsidR="007E4AEC" w:rsidRPr="000F21D1">
        <w:rPr>
          <w:rFonts w:ascii="Garamond" w:eastAsia="Calibri" w:hAnsi="Garamond" w:cs="Sylfaen"/>
          <w:b/>
        </w:rPr>
        <w:t>as foreign direct investment</w:t>
      </w:r>
      <w:r w:rsidR="00F42198" w:rsidRPr="000F21D1">
        <w:rPr>
          <w:rFonts w:ascii="Garamond" w:eastAsia="Calibri" w:hAnsi="Garamond" w:cs="Sylfaen"/>
          <w:b/>
        </w:rPr>
        <w:t>, since financing through loans increases companies’ susceptibility to risk</w:t>
      </w:r>
      <w:r w:rsidR="007E4AEC" w:rsidRPr="000F21D1">
        <w:rPr>
          <w:rFonts w:ascii="Garamond" w:eastAsia="Calibri" w:hAnsi="Garamond" w:cs="Sylfaen"/>
        </w:rPr>
        <w:t>.</w:t>
      </w:r>
    </w:p>
    <w:p w14:paraId="16961EF5" w14:textId="77777777" w:rsidR="007E4AEC" w:rsidRPr="000F21D1" w:rsidRDefault="007E4AEC" w:rsidP="00B117C8">
      <w:pPr>
        <w:spacing w:line="360" w:lineRule="auto"/>
        <w:jc w:val="both"/>
        <w:rPr>
          <w:rFonts w:ascii="Garamond" w:hAnsi="Garamond" w:cs="Sylfaen"/>
          <w:b/>
          <w:iCs/>
        </w:rPr>
      </w:pPr>
    </w:p>
    <w:p w14:paraId="182E54D4" w14:textId="77777777" w:rsidR="004F349B" w:rsidRPr="000F21D1" w:rsidRDefault="00CC235C" w:rsidP="00B117C8">
      <w:pPr>
        <w:spacing w:line="360" w:lineRule="auto"/>
        <w:jc w:val="both"/>
        <w:rPr>
          <w:rFonts w:ascii="Garamond" w:hAnsi="Garamond" w:cs="Sylfaen"/>
          <w:b/>
          <w:iCs/>
        </w:rPr>
      </w:pPr>
      <w:r w:rsidRPr="000F21D1">
        <w:rPr>
          <w:rFonts w:ascii="Garamond" w:hAnsi="Garamond" w:cs="Sylfaen"/>
          <w:b/>
          <w:iCs/>
        </w:rPr>
        <w:t>In the forecast horizon, revenues generated in the tradable sector will, in turn, serve a</w:t>
      </w:r>
      <w:r w:rsidR="008911F9" w:rsidRPr="000F21D1">
        <w:rPr>
          <w:rFonts w:ascii="Garamond" w:hAnsi="Garamond" w:cs="Sylfaen"/>
          <w:b/>
          <w:iCs/>
        </w:rPr>
        <w:t>nother</w:t>
      </w:r>
      <w:r w:rsidRPr="000F21D1">
        <w:rPr>
          <w:rFonts w:ascii="Garamond" w:hAnsi="Garamond" w:cs="Sylfaen"/>
          <w:b/>
          <w:iCs/>
        </w:rPr>
        <w:t xml:space="preserve"> source to finance gross private expenditures and will </w:t>
      </w:r>
      <w:r w:rsidR="008911F9" w:rsidRPr="000F21D1">
        <w:rPr>
          <w:rFonts w:ascii="Garamond" w:hAnsi="Garamond" w:cs="Sylfaen"/>
          <w:b/>
          <w:iCs/>
        </w:rPr>
        <w:t>bolster</w:t>
      </w:r>
      <w:r w:rsidRPr="000F21D1">
        <w:rPr>
          <w:rFonts w:ascii="Garamond" w:hAnsi="Garamond" w:cs="Sylfaen"/>
          <w:b/>
          <w:iCs/>
        </w:rPr>
        <w:t xml:space="preserve"> the recovery of domestic demand and economic growth on the whole.</w:t>
      </w:r>
    </w:p>
    <w:p w14:paraId="447908DB" w14:textId="77777777" w:rsidR="004F349B" w:rsidRPr="000F21D1" w:rsidRDefault="004F349B" w:rsidP="00B117C8">
      <w:pPr>
        <w:spacing w:line="360" w:lineRule="auto"/>
        <w:jc w:val="both"/>
        <w:rPr>
          <w:rFonts w:ascii="Garamond" w:hAnsi="Garamond" w:cs="Sylfaen"/>
          <w:b/>
          <w:iCs/>
        </w:rPr>
      </w:pPr>
    </w:p>
    <w:p w14:paraId="72558A1B" w14:textId="77777777" w:rsidR="00F458E9" w:rsidRPr="000F21D1" w:rsidRDefault="00F458E9" w:rsidP="00B117C8">
      <w:pPr>
        <w:spacing w:line="360" w:lineRule="auto"/>
        <w:jc w:val="both"/>
        <w:rPr>
          <w:rFonts w:ascii="Garamond" w:hAnsi="Garamond" w:cs="Sylfaen"/>
          <w:b/>
          <w:iCs/>
        </w:rPr>
      </w:pPr>
      <w:r w:rsidRPr="000F21D1">
        <w:rPr>
          <w:rFonts w:ascii="Garamond" w:hAnsi="Garamond" w:cs="Sylfaen"/>
          <w:b/>
          <w:iCs/>
        </w:rPr>
        <w:t>Private sector spending</w:t>
      </w:r>
    </w:p>
    <w:p w14:paraId="56A011C3" w14:textId="77777777" w:rsidR="00F458E9" w:rsidRPr="000F21D1" w:rsidRDefault="009738A0" w:rsidP="00B117C8">
      <w:pPr>
        <w:spacing w:line="360" w:lineRule="auto"/>
        <w:jc w:val="both"/>
        <w:rPr>
          <w:rFonts w:ascii="Garamond" w:hAnsi="Garamond"/>
        </w:rPr>
      </w:pPr>
      <w:r w:rsidRPr="000F21D1">
        <w:rPr>
          <w:rFonts w:ascii="Garamond" w:hAnsi="Garamond"/>
        </w:rPr>
        <w:t xml:space="preserve">An anticipated </w:t>
      </w:r>
      <w:r w:rsidR="004F349B" w:rsidRPr="000F21D1">
        <w:rPr>
          <w:rFonts w:ascii="Garamond" w:hAnsi="Garamond"/>
        </w:rPr>
        <w:t xml:space="preserve">shrinkage in </w:t>
      </w:r>
      <w:r w:rsidR="004F349B" w:rsidRPr="000F21D1">
        <w:rPr>
          <w:rFonts w:ascii="Garamond" w:hAnsi="Garamond" w:cs="Sylfaen"/>
        </w:rPr>
        <w:t>private transfers</w:t>
      </w:r>
      <w:r w:rsidR="004F349B" w:rsidRPr="000F21D1">
        <w:rPr>
          <w:rFonts w:ascii="Garamond" w:hAnsi="Garamond"/>
        </w:rPr>
        <w:t xml:space="preserve"> from Russia</w:t>
      </w:r>
      <w:r w:rsidR="00F36833" w:rsidRPr="000F21D1">
        <w:rPr>
          <w:rFonts w:ascii="Garamond" w:hAnsi="Garamond"/>
          <w:lang w:val="hy-AM"/>
        </w:rPr>
        <w:t xml:space="preserve"> </w:t>
      </w:r>
      <w:r w:rsidR="004F349B" w:rsidRPr="000F21D1">
        <w:rPr>
          <w:rFonts w:ascii="Garamond" w:hAnsi="Garamond" w:cs="Sylfaen"/>
        </w:rPr>
        <w:t xml:space="preserve">in 2016 will negatively affect the household incomes. </w:t>
      </w:r>
      <w:r w:rsidRPr="000F21D1">
        <w:rPr>
          <w:rFonts w:ascii="Garamond" w:hAnsi="Garamond" w:cs="Sylfaen"/>
        </w:rPr>
        <w:t xml:space="preserve">The expectation, </w:t>
      </w:r>
      <w:r w:rsidR="004F349B" w:rsidRPr="000F21D1">
        <w:rPr>
          <w:rFonts w:ascii="Garamond" w:hAnsi="Garamond" w:cs="Sylfaen"/>
        </w:rPr>
        <w:t>however</w:t>
      </w:r>
      <w:r w:rsidR="00CE52D9" w:rsidRPr="000F21D1">
        <w:rPr>
          <w:rFonts w:ascii="Garamond" w:hAnsi="Garamond" w:cs="Sylfaen"/>
        </w:rPr>
        <w:t>,</w:t>
      </w:r>
      <w:r w:rsidR="004F349B" w:rsidRPr="000F21D1">
        <w:rPr>
          <w:rFonts w:ascii="Garamond" w:hAnsi="Garamond" w:cs="Sylfaen"/>
        </w:rPr>
        <w:t xml:space="preserve"> </w:t>
      </w:r>
      <w:r w:rsidR="002664BE" w:rsidRPr="000F21D1">
        <w:rPr>
          <w:rFonts w:ascii="Garamond" w:hAnsi="Garamond" w:cs="Sylfaen"/>
        </w:rPr>
        <w:t xml:space="preserve">is </w:t>
      </w:r>
      <w:r w:rsidR="004F349B" w:rsidRPr="000F21D1">
        <w:rPr>
          <w:rFonts w:ascii="Garamond" w:hAnsi="Garamond" w:cs="Sylfaen"/>
        </w:rPr>
        <w:t xml:space="preserve">that </w:t>
      </w:r>
      <w:r w:rsidR="004F349B" w:rsidRPr="000F21D1">
        <w:rPr>
          <w:rFonts w:ascii="Garamond" w:hAnsi="Garamond"/>
        </w:rPr>
        <w:t>final consumption expenditures of households will grow in 2016 by a</w:t>
      </w:r>
      <w:r w:rsidR="002D68FD" w:rsidRPr="000F21D1">
        <w:rPr>
          <w:rFonts w:ascii="Garamond" w:hAnsi="Garamond"/>
        </w:rPr>
        <w:t xml:space="preserve">round </w:t>
      </w:r>
      <w:r w:rsidR="004F349B" w:rsidRPr="000F21D1">
        <w:rPr>
          <w:rFonts w:ascii="Garamond" w:hAnsi="Garamond"/>
        </w:rPr>
        <w:t>1</w:t>
      </w:r>
      <w:r w:rsidR="002D68FD" w:rsidRPr="000F21D1">
        <w:rPr>
          <w:rFonts w:ascii="Garamond" w:hAnsi="Garamond"/>
        </w:rPr>
        <w:t>.5</w:t>
      </w:r>
      <w:r w:rsidR="004F349B" w:rsidRPr="000F21D1">
        <w:rPr>
          <w:rFonts w:ascii="Garamond" w:hAnsi="Garamond"/>
        </w:rPr>
        <w:t>%</w:t>
      </w:r>
      <w:r w:rsidR="002D68FD" w:rsidRPr="000F21D1">
        <w:rPr>
          <w:rFonts w:ascii="Garamond" w:hAnsi="Garamond"/>
        </w:rPr>
        <w:t xml:space="preserve"> (the change is not significant compared to the previous forecast)</w:t>
      </w:r>
      <w:r w:rsidR="00CE52D9" w:rsidRPr="000F21D1">
        <w:rPr>
          <w:rFonts w:ascii="Garamond" w:hAnsi="Garamond"/>
        </w:rPr>
        <w:t xml:space="preserve">, which will be underpinned by </w:t>
      </w:r>
      <w:r w:rsidR="004F349B" w:rsidRPr="000F21D1">
        <w:rPr>
          <w:rFonts w:ascii="Garamond" w:hAnsi="Garamond"/>
        </w:rPr>
        <w:t>expansionary monetary policy</w:t>
      </w:r>
      <w:r w:rsidR="00CE52D9" w:rsidRPr="000F21D1">
        <w:rPr>
          <w:rFonts w:ascii="Garamond" w:hAnsi="Garamond"/>
        </w:rPr>
        <w:t xml:space="preserve"> implementation since 2015</w:t>
      </w:r>
      <w:r w:rsidR="004F349B" w:rsidRPr="000F21D1">
        <w:rPr>
          <w:rFonts w:ascii="Garamond" w:hAnsi="Garamond"/>
        </w:rPr>
        <w:t xml:space="preserve">, </w:t>
      </w:r>
      <w:r w:rsidR="00CE52D9" w:rsidRPr="000F21D1">
        <w:rPr>
          <w:rFonts w:ascii="Garamond" w:hAnsi="Garamond"/>
        </w:rPr>
        <w:t>expansionary impact of the fiscal policy</w:t>
      </w:r>
      <w:r w:rsidR="002D68FD" w:rsidRPr="000F21D1">
        <w:rPr>
          <w:rFonts w:ascii="Garamond" w:hAnsi="Garamond"/>
        </w:rPr>
        <w:t xml:space="preserve"> </w:t>
      </w:r>
      <w:r w:rsidR="00CE52D9" w:rsidRPr="000F21D1">
        <w:rPr>
          <w:rFonts w:ascii="Garamond" w:hAnsi="Garamond"/>
        </w:rPr>
        <w:t xml:space="preserve">in the first half of 2016, </w:t>
      </w:r>
      <w:r w:rsidR="000D20D6" w:rsidRPr="000F21D1">
        <w:rPr>
          <w:rFonts w:ascii="Garamond" w:hAnsi="Garamond"/>
        </w:rPr>
        <w:t xml:space="preserve">a </w:t>
      </w:r>
      <w:r w:rsidR="00CE52D9" w:rsidRPr="000F21D1">
        <w:rPr>
          <w:rFonts w:ascii="Garamond" w:hAnsi="Garamond"/>
        </w:rPr>
        <w:t>low inflation environment in the economy, as well as positive i</w:t>
      </w:r>
      <w:r w:rsidR="009A5A72" w:rsidRPr="000F21D1">
        <w:rPr>
          <w:rFonts w:ascii="Garamond" w:hAnsi="Garamond"/>
        </w:rPr>
        <w:t xml:space="preserve">nfluences the economic growth will have </w:t>
      </w:r>
      <w:r w:rsidR="00CE52D9" w:rsidRPr="000F21D1">
        <w:rPr>
          <w:rFonts w:ascii="Garamond" w:hAnsi="Garamond"/>
        </w:rPr>
        <w:t>on disposable income</w:t>
      </w:r>
      <w:r w:rsidR="009A5A72" w:rsidRPr="000F21D1">
        <w:rPr>
          <w:rFonts w:ascii="Garamond" w:hAnsi="Garamond"/>
        </w:rPr>
        <w:t xml:space="preserve"> by contributing to </w:t>
      </w:r>
      <w:r w:rsidR="00CE52D9" w:rsidRPr="000F21D1">
        <w:rPr>
          <w:rFonts w:ascii="Garamond" w:hAnsi="Garamond"/>
        </w:rPr>
        <w:t xml:space="preserve">net exports. Despite </w:t>
      </w:r>
      <w:r w:rsidR="009A5A72" w:rsidRPr="000F21D1">
        <w:rPr>
          <w:rFonts w:ascii="Garamond" w:hAnsi="Garamond"/>
        </w:rPr>
        <w:t xml:space="preserve">an </w:t>
      </w:r>
      <w:r w:rsidR="00CE52D9" w:rsidRPr="000F21D1">
        <w:rPr>
          <w:rFonts w:ascii="Garamond" w:hAnsi="Garamond"/>
        </w:rPr>
        <w:t xml:space="preserve">expected private consumption growth in 2016, </w:t>
      </w:r>
      <w:r w:rsidR="00C70FB2" w:rsidRPr="000F21D1">
        <w:rPr>
          <w:rFonts w:ascii="Garamond" w:hAnsi="Garamond"/>
        </w:rPr>
        <w:t xml:space="preserve">estimates suggest that </w:t>
      </w:r>
      <w:r w:rsidR="009A5A72" w:rsidRPr="000F21D1">
        <w:rPr>
          <w:rFonts w:ascii="Garamond" w:hAnsi="Garamond"/>
        </w:rPr>
        <w:t xml:space="preserve">it </w:t>
      </w:r>
      <w:r w:rsidR="00CE52D9" w:rsidRPr="000F21D1">
        <w:rPr>
          <w:rFonts w:ascii="Garamond" w:hAnsi="Garamond"/>
        </w:rPr>
        <w:t>is still below</w:t>
      </w:r>
      <w:r w:rsidR="009A5A72" w:rsidRPr="000F21D1">
        <w:rPr>
          <w:rFonts w:ascii="Garamond" w:hAnsi="Garamond"/>
        </w:rPr>
        <w:t xml:space="preserve"> the </w:t>
      </w:r>
      <w:r w:rsidR="00CE52D9" w:rsidRPr="000F21D1">
        <w:rPr>
          <w:rFonts w:ascii="Garamond" w:hAnsi="Garamond"/>
        </w:rPr>
        <w:t>equilibrium</w:t>
      </w:r>
      <w:r w:rsidR="004F349B" w:rsidRPr="000F21D1">
        <w:rPr>
          <w:rFonts w:ascii="Garamond" w:hAnsi="Garamond"/>
        </w:rPr>
        <w:t>.</w:t>
      </w:r>
    </w:p>
    <w:p w14:paraId="55D64BAB" w14:textId="77777777" w:rsidR="0000246A" w:rsidRPr="000F21D1" w:rsidRDefault="0000246A" w:rsidP="00B117C8">
      <w:pPr>
        <w:spacing w:line="360" w:lineRule="auto"/>
        <w:jc w:val="both"/>
        <w:rPr>
          <w:rFonts w:ascii="Garamond" w:hAnsi="Garamond"/>
        </w:rPr>
      </w:pPr>
    </w:p>
    <w:p w14:paraId="1921B331" w14:textId="3F18E3C0" w:rsidR="0000246A" w:rsidRPr="000F21D1" w:rsidRDefault="002664BE" w:rsidP="00B117C8">
      <w:pPr>
        <w:spacing w:line="360" w:lineRule="auto"/>
        <w:jc w:val="both"/>
        <w:rPr>
          <w:rFonts w:ascii="Garamond" w:hAnsi="Garamond" w:cs="Sylfaen"/>
        </w:rPr>
      </w:pPr>
      <w:r w:rsidRPr="000F21D1">
        <w:rPr>
          <w:rFonts w:ascii="Garamond" w:hAnsi="Garamond" w:cs="Sylfaen"/>
        </w:rPr>
        <w:t>W</w:t>
      </w:r>
      <w:r w:rsidR="0000246A" w:rsidRPr="000F21D1">
        <w:rPr>
          <w:rFonts w:ascii="Garamond" w:hAnsi="Garamond" w:cs="Sylfaen"/>
        </w:rPr>
        <w:t xml:space="preserve">eak investment activity persisting in non-tradable sectors of the economy will adversely affect private investment in 2016. On the other hand, a relatively high investment activity in the tradable sector of the economy is possible </w:t>
      </w:r>
      <w:r w:rsidR="00EA3FA0">
        <w:rPr>
          <w:rFonts w:ascii="Garamond" w:hAnsi="Garamond" w:cs="Sylfaen"/>
        </w:rPr>
        <w:t>due</w:t>
      </w:r>
      <w:r w:rsidR="00EA3FA0" w:rsidRPr="000F21D1">
        <w:rPr>
          <w:rFonts w:ascii="Garamond" w:hAnsi="Garamond" w:cs="Sylfaen"/>
        </w:rPr>
        <w:t xml:space="preserve"> </w:t>
      </w:r>
      <w:r w:rsidR="0000246A" w:rsidRPr="000F21D1">
        <w:rPr>
          <w:rFonts w:ascii="Garamond" w:hAnsi="Garamond" w:cs="Sylfaen"/>
        </w:rPr>
        <w:t xml:space="preserve">to </w:t>
      </w:r>
      <w:r w:rsidR="00EA3FA0">
        <w:rPr>
          <w:rFonts w:ascii="Garamond" w:hAnsi="Garamond" w:cs="Sylfaen"/>
        </w:rPr>
        <w:t>the</w:t>
      </w:r>
      <w:r w:rsidR="00EA3FA0" w:rsidRPr="000F21D1">
        <w:rPr>
          <w:rFonts w:ascii="Garamond" w:hAnsi="Garamond" w:cs="Sylfaen"/>
        </w:rPr>
        <w:t xml:space="preserve"> </w:t>
      </w:r>
      <w:r w:rsidR="0000246A" w:rsidRPr="000F21D1">
        <w:rPr>
          <w:rFonts w:ascii="Garamond" w:hAnsi="Garamond" w:cs="Sylfaen"/>
        </w:rPr>
        <w:t xml:space="preserve">increase in relative competitiveness of the sector, which </w:t>
      </w:r>
      <w:r w:rsidR="0000246A" w:rsidRPr="000F21D1">
        <w:rPr>
          <w:rFonts w:ascii="Garamond" w:hAnsi="Garamond" w:cs="Sylfaen"/>
        </w:rPr>
        <w:lastRenderedPageBreak/>
        <w:t xml:space="preserve">was reflected in the growth in agriculture, industry and services sectors reported in 2015 and </w:t>
      </w:r>
      <w:r w:rsidRPr="000F21D1">
        <w:rPr>
          <w:rFonts w:ascii="Garamond" w:hAnsi="Garamond" w:cs="Sylfaen"/>
        </w:rPr>
        <w:t xml:space="preserve">the first half of </w:t>
      </w:r>
      <w:r w:rsidR="0000246A" w:rsidRPr="000F21D1">
        <w:rPr>
          <w:rFonts w:ascii="Garamond" w:hAnsi="Garamond" w:cs="Sylfaen"/>
        </w:rPr>
        <w:t xml:space="preserve">2016. These developments, therefore, denote that </w:t>
      </w:r>
      <w:r w:rsidR="007748E0" w:rsidRPr="000F21D1">
        <w:rPr>
          <w:rFonts w:ascii="Garamond" w:hAnsi="Garamond" w:cs="Sylfaen"/>
        </w:rPr>
        <w:t xml:space="preserve">gross </w:t>
      </w:r>
      <w:r w:rsidR="0000246A" w:rsidRPr="000F21D1">
        <w:rPr>
          <w:rFonts w:ascii="Garamond" w:hAnsi="Garamond" w:cs="Sylfaen"/>
        </w:rPr>
        <w:t xml:space="preserve">private investment in the economy in 2016 will </w:t>
      </w:r>
      <w:r w:rsidR="007748E0" w:rsidRPr="000F21D1">
        <w:rPr>
          <w:rFonts w:ascii="Garamond" w:hAnsi="Garamond" w:cs="Sylfaen"/>
        </w:rPr>
        <w:t>post a moderate growth of about 2%</w:t>
      </w:r>
      <w:r w:rsidRPr="000F21D1">
        <w:rPr>
          <w:rFonts w:ascii="Garamond" w:hAnsi="Garamond" w:cs="Sylfaen"/>
        </w:rPr>
        <w:t>, which is not that much different from previous projections.</w:t>
      </w:r>
    </w:p>
    <w:p w14:paraId="3CE430FF" w14:textId="77777777" w:rsidR="005A5A7D" w:rsidRPr="000F21D1" w:rsidRDefault="005A5A7D" w:rsidP="00B117C8">
      <w:pPr>
        <w:spacing w:line="360" w:lineRule="auto"/>
        <w:jc w:val="both"/>
        <w:rPr>
          <w:rFonts w:ascii="Garamond" w:hAnsi="Garamond" w:cs="Sylfaen"/>
        </w:rPr>
      </w:pPr>
    </w:p>
    <w:p w14:paraId="19388A72" w14:textId="77777777" w:rsidR="006D4423" w:rsidRPr="000F21D1" w:rsidRDefault="005A5A7D" w:rsidP="00B117C8">
      <w:pPr>
        <w:spacing w:line="360" w:lineRule="auto"/>
        <w:jc w:val="both"/>
        <w:rPr>
          <w:rFonts w:ascii="Garamond" w:hAnsi="Garamond" w:cs="Sylfaen"/>
        </w:rPr>
      </w:pPr>
      <w:r w:rsidRPr="000F21D1">
        <w:rPr>
          <w:rFonts w:ascii="Garamond" w:hAnsi="Garamond" w:cs="Sylfaen"/>
        </w:rPr>
        <w:t xml:space="preserve">Considerable </w:t>
      </w:r>
      <w:r w:rsidR="004F346B" w:rsidRPr="000F21D1">
        <w:rPr>
          <w:rFonts w:ascii="Garamond" w:hAnsi="Garamond" w:cs="Sylfaen"/>
        </w:rPr>
        <w:t>easing o</w:t>
      </w:r>
      <w:r w:rsidR="009B57DB" w:rsidRPr="000F21D1">
        <w:rPr>
          <w:rFonts w:ascii="Garamond" w:hAnsi="Garamond" w:cs="Sylfaen"/>
        </w:rPr>
        <w:t>f monetary conditions in 2015-2016 a</w:t>
      </w:r>
      <w:r w:rsidR="004F346B" w:rsidRPr="000F21D1">
        <w:rPr>
          <w:rFonts w:ascii="Garamond" w:hAnsi="Garamond" w:cs="Sylfaen"/>
        </w:rPr>
        <w:t xml:space="preserve">nd </w:t>
      </w:r>
      <w:r w:rsidRPr="000F21D1">
        <w:rPr>
          <w:rFonts w:ascii="Garamond" w:hAnsi="Garamond" w:cs="Sylfaen"/>
        </w:rPr>
        <w:t xml:space="preserve">growing budget deficit </w:t>
      </w:r>
      <w:r w:rsidR="004F346B" w:rsidRPr="000F21D1">
        <w:rPr>
          <w:rFonts w:ascii="Garamond" w:hAnsi="Garamond" w:cs="Sylfaen"/>
        </w:rPr>
        <w:t xml:space="preserve">are among the factors which not only </w:t>
      </w:r>
      <w:r w:rsidRPr="000F21D1">
        <w:rPr>
          <w:rFonts w:ascii="Garamond" w:hAnsi="Garamond" w:cs="Sylfaen"/>
        </w:rPr>
        <w:t>soften</w:t>
      </w:r>
      <w:r w:rsidR="009B57DB" w:rsidRPr="000F21D1">
        <w:rPr>
          <w:rFonts w:ascii="Garamond" w:hAnsi="Garamond" w:cs="Sylfaen"/>
        </w:rPr>
        <w:t>ed</w:t>
      </w:r>
      <w:r w:rsidRPr="000F21D1">
        <w:rPr>
          <w:rFonts w:ascii="Garamond" w:hAnsi="Garamond" w:cs="Sylfaen"/>
        </w:rPr>
        <w:t xml:space="preserve"> the</w:t>
      </w:r>
      <w:r w:rsidR="009B57DB" w:rsidRPr="000F21D1">
        <w:rPr>
          <w:rFonts w:ascii="Garamond" w:hAnsi="Garamond" w:cs="Sylfaen"/>
        </w:rPr>
        <w:t xml:space="preserve"> negative</w:t>
      </w:r>
      <w:r w:rsidR="00F36833" w:rsidRPr="000F21D1">
        <w:rPr>
          <w:rFonts w:ascii="Garamond" w:hAnsi="Garamond" w:cs="Sylfaen"/>
          <w:lang w:val="hy-AM"/>
        </w:rPr>
        <w:t xml:space="preserve"> </w:t>
      </w:r>
      <w:r w:rsidR="009B57DB" w:rsidRPr="000F21D1">
        <w:rPr>
          <w:rFonts w:ascii="Garamond" w:hAnsi="Garamond" w:cs="Sylfaen"/>
        </w:rPr>
        <w:t xml:space="preserve">impact of </w:t>
      </w:r>
      <w:r w:rsidRPr="000F21D1">
        <w:rPr>
          <w:rFonts w:ascii="Garamond" w:hAnsi="Garamond" w:cs="Sylfaen"/>
        </w:rPr>
        <w:t xml:space="preserve">decline in private </w:t>
      </w:r>
      <w:r w:rsidR="009B57DB" w:rsidRPr="000F21D1">
        <w:rPr>
          <w:rFonts w:ascii="Garamond" w:hAnsi="Garamond" w:cs="Sylfaen"/>
        </w:rPr>
        <w:t xml:space="preserve">transfers from Russia on private </w:t>
      </w:r>
      <w:r w:rsidRPr="000F21D1">
        <w:rPr>
          <w:rFonts w:ascii="Garamond" w:hAnsi="Garamond" w:cs="Sylfaen"/>
        </w:rPr>
        <w:t xml:space="preserve">consumption and investment in 2016, </w:t>
      </w:r>
      <w:r w:rsidR="00484009" w:rsidRPr="000F21D1">
        <w:rPr>
          <w:rFonts w:ascii="Garamond" w:hAnsi="Garamond" w:cs="Sylfaen"/>
        </w:rPr>
        <w:t xml:space="preserve">but are expected to </w:t>
      </w:r>
      <w:r w:rsidRPr="000F21D1">
        <w:rPr>
          <w:rFonts w:ascii="Garamond" w:hAnsi="Garamond" w:cs="Sylfaen"/>
        </w:rPr>
        <w:t>stimulate their growth in 2017-2018. It should be mentioned, however, that fiscal policy</w:t>
      </w:r>
      <w:r w:rsidR="00363061" w:rsidRPr="000F21D1">
        <w:rPr>
          <w:rFonts w:ascii="Garamond" w:hAnsi="Garamond" w:cs="Sylfaen"/>
        </w:rPr>
        <w:t xml:space="preserve">’s expansionary </w:t>
      </w:r>
      <w:r w:rsidRPr="000F21D1">
        <w:rPr>
          <w:rFonts w:ascii="Garamond" w:hAnsi="Garamond" w:cs="Sylfaen"/>
        </w:rPr>
        <w:t>impact on aggregate demand</w:t>
      </w:r>
      <w:r w:rsidR="00363061" w:rsidRPr="000F21D1">
        <w:rPr>
          <w:rFonts w:ascii="Garamond" w:hAnsi="Garamond" w:cs="Sylfaen"/>
        </w:rPr>
        <w:t xml:space="preserve"> will weaken starting from the </w:t>
      </w:r>
      <w:r w:rsidR="00385474" w:rsidRPr="000F21D1">
        <w:rPr>
          <w:rFonts w:ascii="Garamond" w:hAnsi="Garamond" w:cs="Sylfaen"/>
        </w:rPr>
        <w:t>latter</w:t>
      </w:r>
      <w:r w:rsidR="00363061" w:rsidRPr="000F21D1">
        <w:rPr>
          <w:rFonts w:ascii="Garamond" w:hAnsi="Garamond" w:cs="Sylfaen"/>
        </w:rPr>
        <w:t xml:space="preserve"> half of 2016</w:t>
      </w:r>
      <w:r w:rsidRPr="000F21D1">
        <w:rPr>
          <w:rFonts w:ascii="Garamond" w:hAnsi="Garamond" w:cs="Sylfaen"/>
        </w:rPr>
        <w:t xml:space="preserve">. </w:t>
      </w:r>
      <w:r w:rsidR="006D4423" w:rsidRPr="000F21D1">
        <w:rPr>
          <w:rFonts w:ascii="Garamond" w:hAnsi="Garamond" w:cs="Sylfaen"/>
        </w:rPr>
        <w:t>In 2017-2018, in view of maintaining the sustainability of public debt, the fiscal policy will have a contractionary effect on aggregate demand.</w:t>
      </w:r>
      <w:r w:rsidR="00F36833" w:rsidRPr="000F21D1">
        <w:rPr>
          <w:rFonts w:ascii="Garamond" w:hAnsi="Garamond" w:cs="Sylfaen"/>
          <w:lang w:val="hy-AM"/>
        </w:rPr>
        <w:t xml:space="preserve"> </w:t>
      </w:r>
      <w:r w:rsidR="00073136" w:rsidRPr="000F21D1">
        <w:rPr>
          <w:rFonts w:ascii="Garamond" w:hAnsi="Garamond" w:cs="Sylfaen"/>
        </w:rPr>
        <w:t>The increase of household incomes, which will be a result of improved economic environment in trade partner countries a</w:t>
      </w:r>
      <w:r w:rsidR="00433B8F" w:rsidRPr="000F21D1">
        <w:rPr>
          <w:rFonts w:ascii="Garamond" w:hAnsi="Garamond" w:cs="Sylfaen"/>
        </w:rPr>
        <w:t>nd</w:t>
      </w:r>
      <w:r w:rsidR="00073136" w:rsidRPr="000F21D1">
        <w:rPr>
          <w:rFonts w:ascii="Garamond" w:hAnsi="Garamond" w:cs="Sylfaen"/>
        </w:rPr>
        <w:t xml:space="preserve"> recovering exports, will </w:t>
      </w:r>
      <w:r w:rsidR="00433B8F" w:rsidRPr="000F21D1">
        <w:rPr>
          <w:rFonts w:ascii="Garamond" w:hAnsi="Garamond" w:cs="Sylfaen"/>
        </w:rPr>
        <w:t xml:space="preserve">also </w:t>
      </w:r>
      <w:r w:rsidR="00073136" w:rsidRPr="000F21D1">
        <w:rPr>
          <w:rFonts w:ascii="Garamond" w:hAnsi="Garamond" w:cs="Sylfaen"/>
        </w:rPr>
        <w:t>help the private sector demand to rebound. It is expected that private consumption will grow by 1.8-2.2% in 2017 and 2.</w:t>
      </w:r>
      <w:r w:rsidR="00433B8F" w:rsidRPr="000F21D1">
        <w:rPr>
          <w:rFonts w:ascii="Garamond" w:hAnsi="Garamond" w:cs="Sylfaen"/>
        </w:rPr>
        <w:t>3</w:t>
      </w:r>
      <w:r w:rsidR="00073136" w:rsidRPr="000F21D1">
        <w:rPr>
          <w:rFonts w:ascii="Garamond" w:hAnsi="Garamond" w:cs="Sylfaen"/>
        </w:rPr>
        <w:t>-2.</w:t>
      </w:r>
      <w:r w:rsidR="00433B8F" w:rsidRPr="000F21D1">
        <w:rPr>
          <w:rFonts w:ascii="Garamond" w:hAnsi="Garamond" w:cs="Sylfaen"/>
        </w:rPr>
        <w:t>7</w:t>
      </w:r>
      <w:r w:rsidR="00073136" w:rsidRPr="000F21D1">
        <w:rPr>
          <w:rFonts w:ascii="Garamond" w:hAnsi="Garamond" w:cs="Sylfaen"/>
        </w:rPr>
        <w:t>% in 2018.</w:t>
      </w:r>
    </w:p>
    <w:p w14:paraId="2923E8CB" w14:textId="77777777" w:rsidR="00607E10" w:rsidRPr="000F21D1" w:rsidRDefault="00607E10" w:rsidP="00B117C8">
      <w:pPr>
        <w:spacing w:line="360" w:lineRule="auto"/>
        <w:jc w:val="both"/>
        <w:rPr>
          <w:rFonts w:ascii="Garamond" w:hAnsi="Garamond" w:cs="Sylfaen"/>
        </w:rPr>
      </w:pPr>
    </w:p>
    <w:p w14:paraId="61A6821F" w14:textId="6AB3366B" w:rsidR="00607E10" w:rsidRPr="000F21D1" w:rsidRDefault="003A7A94" w:rsidP="00B117C8">
      <w:pPr>
        <w:spacing w:line="360" w:lineRule="auto"/>
        <w:jc w:val="both"/>
        <w:rPr>
          <w:rFonts w:ascii="Garamond" w:hAnsi="Garamond" w:cs="Sylfaen"/>
        </w:rPr>
      </w:pPr>
      <w:r w:rsidRPr="000F21D1">
        <w:rPr>
          <w:rFonts w:ascii="Garamond" w:hAnsi="Garamond" w:cs="Sylfaen"/>
        </w:rPr>
        <w:t>Given the incentives described above p</w:t>
      </w:r>
      <w:r w:rsidR="00607E10" w:rsidRPr="000F21D1">
        <w:rPr>
          <w:rFonts w:ascii="Garamond" w:hAnsi="Garamond" w:cs="Sylfaen"/>
        </w:rPr>
        <w:t xml:space="preserve">rivate investment </w:t>
      </w:r>
      <w:r w:rsidRPr="000F21D1">
        <w:rPr>
          <w:rFonts w:ascii="Garamond" w:hAnsi="Garamond" w:cs="Sylfaen"/>
        </w:rPr>
        <w:t xml:space="preserve">is predicted to </w:t>
      </w:r>
      <w:r w:rsidR="00607E10" w:rsidRPr="000F21D1">
        <w:rPr>
          <w:rFonts w:ascii="Garamond" w:hAnsi="Garamond" w:cs="Sylfaen"/>
        </w:rPr>
        <w:t xml:space="preserve">grow by </w:t>
      </w:r>
      <w:r w:rsidRPr="000F21D1">
        <w:rPr>
          <w:rFonts w:ascii="Garamond" w:hAnsi="Garamond" w:cs="Sylfaen"/>
        </w:rPr>
        <w:t>4</w:t>
      </w:r>
      <w:r w:rsidR="00607E10" w:rsidRPr="000F21D1">
        <w:rPr>
          <w:rFonts w:ascii="Garamond" w:hAnsi="Garamond" w:cs="Sylfaen"/>
        </w:rPr>
        <w:t>.0-</w:t>
      </w:r>
      <w:r w:rsidRPr="000F21D1">
        <w:rPr>
          <w:rFonts w:ascii="Garamond" w:hAnsi="Garamond" w:cs="Sylfaen"/>
        </w:rPr>
        <w:t>4</w:t>
      </w:r>
      <w:r w:rsidR="00607E10" w:rsidRPr="000F21D1">
        <w:rPr>
          <w:rFonts w:ascii="Garamond" w:hAnsi="Garamond" w:cs="Sylfaen"/>
        </w:rPr>
        <w:t>.5% in 2017 and 4.</w:t>
      </w:r>
      <w:r w:rsidRPr="000F21D1">
        <w:rPr>
          <w:rFonts w:ascii="Garamond" w:hAnsi="Garamond" w:cs="Sylfaen"/>
        </w:rPr>
        <w:t>5</w:t>
      </w:r>
      <w:r w:rsidR="00607E10" w:rsidRPr="000F21D1">
        <w:rPr>
          <w:rFonts w:ascii="Garamond" w:hAnsi="Garamond" w:cs="Sylfaen"/>
        </w:rPr>
        <w:t xml:space="preserve">-5.0% in 2018. </w:t>
      </w:r>
      <w:r w:rsidR="00EA31C1" w:rsidRPr="000F21D1">
        <w:rPr>
          <w:rFonts w:ascii="Garamond" w:hAnsi="Garamond" w:cs="Sylfaen"/>
        </w:rPr>
        <w:t xml:space="preserve">Expanding of capacities </w:t>
      </w:r>
      <w:r w:rsidR="00607E10" w:rsidRPr="000F21D1">
        <w:rPr>
          <w:rFonts w:ascii="Garamond" w:hAnsi="Garamond" w:cs="Sylfaen"/>
        </w:rPr>
        <w:t xml:space="preserve">in the tradable sector and continued structural reforms in the domestic economy will </w:t>
      </w:r>
      <w:r w:rsidR="009B5348" w:rsidRPr="000F21D1">
        <w:rPr>
          <w:rFonts w:ascii="Garamond" w:hAnsi="Garamond" w:cs="Sylfaen"/>
        </w:rPr>
        <w:t xml:space="preserve">also contribute to </w:t>
      </w:r>
      <w:r w:rsidR="00EA31C1" w:rsidRPr="000F21D1">
        <w:rPr>
          <w:rFonts w:ascii="Garamond" w:hAnsi="Garamond" w:cs="Sylfaen"/>
        </w:rPr>
        <w:t xml:space="preserve">a moderate growth in </w:t>
      </w:r>
      <w:r w:rsidR="00607E10" w:rsidRPr="000F21D1">
        <w:rPr>
          <w:rFonts w:ascii="Garamond" w:hAnsi="Garamond" w:cs="Sylfaen"/>
        </w:rPr>
        <w:t>investment.</w:t>
      </w:r>
      <w:r w:rsidR="00F36833" w:rsidRPr="000F21D1">
        <w:rPr>
          <w:rFonts w:ascii="Garamond" w:hAnsi="Garamond" w:cs="Sylfaen"/>
          <w:lang w:val="hy-AM"/>
        </w:rPr>
        <w:t xml:space="preserve"> </w:t>
      </w:r>
      <w:r w:rsidR="00EA31C1" w:rsidRPr="000F21D1">
        <w:rPr>
          <w:rFonts w:ascii="Garamond" w:hAnsi="Garamond" w:cs="Sylfaen"/>
        </w:rPr>
        <w:t xml:space="preserve">On the back of these developments, </w:t>
      </w:r>
      <w:r w:rsidR="001B393E">
        <w:rPr>
          <w:rFonts w:ascii="Garamond" w:hAnsi="Garamond" w:cs="Sylfaen"/>
        </w:rPr>
        <w:t>the</w:t>
      </w:r>
      <w:r w:rsidR="001B393E" w:rsidRPr="000F21D1">
        <w:rPr>
          <w:rFonts w:ascii="Garamond" w:hAnsi="Garamond" w:cs="Sylfaen"/>
        </w:rPr>
        <w:t xml:space="preserve"> </w:t>
      </w:r>
      <w:r w:rsidR="00EA31C1" w:rsidRPr="000F21D1">
        <w:rPr>
          <w:rFonts w:ascii="Garamond" w:hAnsi="Garamond" w:cs="Sylfaen"/>
        </w:rPr>
        <w:t>non-tradable sector of the economy – construction and trade sectors in particular – may anticipate a slowly recovering investment activity in 2017-2018, but the growth there is expected to be smaller than in the tradable sector.</w:t>
      </w:r>
    </w:p>
    <w:p w14:paraId="4BDAB8F3" w14:textId="77777777" w:rsidR="00064FDD" w:rsidRPr="000F21D1" w:rsidRDefault="00064FDD" w:rsidP="00B117C8">
      <w:pPr>
        <w:spacing w:line="360" w:lineRule="auto"/>
        <w:jc w:val="both"/>
        <w:rPr>
          <w:rFonts w:ascii="Garamond" w:hAnsi="Garamond" w:cs="Sylfaen"/>
        </w:rPr>
      </w:pPr>
    </w:p>
    <w:p w14:paraId="20F62C61" w14:textId="77777777" w:rsidR="00064FDD" w:rsidRPr="000F21D1" w:rsidRDefault="00064FDD" w:rsidP="00B117C8">
      <w:pPr>
        <w:spacing w:line="360" w:lineRule="auto"/>
        <w:jc w:val="both"/>
        <w:rPr>
          <w:rFonts w:ascii="Garamond" w:hAnsi="Garamond" w:cs="Sylfaen"/>
        </w:rPr>
      </w:pPr>
      <w:r w:rsidRPr="000F21D1">
        <w:rPr>
          <w:rFonts w:ascii="Garamond" w:hAnsi="Garamond"/>
        </w:rPr>
        <w:t>In view of the aforementioned developments with private consumption and investment, in 2016 private sector expenditures will increase by 1.</w:t>
      </w:r>
      <w:r w:rsidR="009035E3" w:rsidRPr="000F21D1">
        <w:rPr>
          <w:rFonts w:ascii="Garamond" w:hAnsi="Garamond"/>
        </w:rPr>
        <w:t>5</w:t>
      </w:r>
      <w:r w:rsidRPr="000F21D1">
        <w:rPr>
          <w:rFonts w:ascii="Garamond" w:hAnsi="Garamond"/>
        </w:rPr>
        <w:t>%.</w:t>
      </w:r>
      <w:r w:rsidR="00EC0192" w:rsidRPr="000F21D1">
        <w:rPr>
          <w:rFonts w:ascii="Garamond" w:hAnsi="Garamond"/>
        </w:rPr>
        <w:t xml:space="preserve"> </w:t>
      </w:r>
      <w:r w:rsidRPr="000F21D1">
        <w:rPr>
          <w:rFonts w:ascii="Garamond" w:hAnsi="Garamond"/>
        </w:rPr>
        <w:t xml:space="preserve">Starting from 2017, private spending will grow faster to </w:t>
      </w:r>
      <w:r w:rsidR="00B93ECF" w:rsidRPr="000F21D1">
        <w:rPr>
          <w:rFonts w:ascii="Garamond" w:hAnsi="Garamond"/>
        </w:rPr>
        <w:t xml:space="preserve">be within </w:t>
      </w:r>
      <w:r w:rsidRPr="000F21D1">
        <w:rPr>
          <w:rFonts w:ascii="Garamond" w:hAnsi="Garamond"/>
        </w:rPr>
        <w:t>2</w:t>
      </w:r>
      <w:r w:rsidRPr="000F21D1">
        <w:rPr>
          <w:rFonts w:ascii="Garamond" w:hAnsi="Garamond" w:cs="Sylfaen"/>
        </w:rPr>
        <w:t>.</w:t>
      </w:r>
      <w:r w:rsidR="00B93ECF" w:rsidRPr="000F21D1">
        <w:rPr>
          <w:rFonts w:ascii="Garamond" w:hAnsi="Garamond" w:cs="Sylfaen"/>
        </w:rPr>
        <w:t>2</w:t>
      </w:r>
      <w:r w:rsidRPr="000F21D1">
        <w:rPr>
          <w:rFonts w:ascii="Garamond" w:hAnsi="Garamond" w:cs="Sylfaen"/>
        </w:rPr>
        <w:t>-2.</w:t>
      </w:r>
      <w:r w:rsidR="00B93ECF" w:rsidRPr="000F21D1">
        <w:rPr>
          <w:rFonts w:ascii="Garamond" w:hAnsi="Garamond" w:cs="Sylfaen"/>
        </w:rPr>
        <w:t>6</w:t>
      </w:r>
      <w:r w:rsidRPr="000F21D1">
        <w:rPr>
          <w:rFonts w:ascii="Garamond" w:hAnsi="Garamond" w:cs="Sylfaen"/>
        </w:rPr>
        <w:t>%,</w:t>
      </w:r>
      <w:r w:rsidRPr="000F21D1">
        <w:rPr>
          <w:rFonts w:ascii="Garamond" w:hAnsi="Garamond"/>
        </w:rPr>
        <w:t xml:space="preserve"> and at the end of the forecast horizon it will stabilize </w:t>
      </w:r>
      <w:r w:rsidR="00B93ECF" w:rsidRPr="000F21D1">
        <w:rPr>
          <w:rFonts w:ascii="Garamond" w:hAnsi="Garamond"/>
        </w:rPr>
        <w:t xml:space="preserve">in the range of </w:t>
      </w:r>
      <w:r w:rsidRPr="000F21D1">
        <w:rPr>
          <w:rFonts w:ascii="Garamond" w:hAnsi="Garamond" w:cs="Sylfaen"/>
        </w:rPr>
        <w:t>2.</w:t>
      </w:r>
      <w:r w:rsidR="00B93ECF" w:rsidRPr="000F21D1">
        <w:rPr>
          <w:rFonts w:ascii="Garamond" w:hAnsi="Garamond" w:cs="Sylfaen"/>
        </w:rPr>
        <w:t>7</w:t>
      </w:r>
      <w:r w:rsidRPr="000F21D1">
        <w:rPr>
          <w:rFonts w:ascii="Garamond" w:hAnsi="Garamond" w:cs="Sylfaen"/>
        </w:rPr>
        <w:t>-3.</w:t>
      </w:r>
      <w:r w:rsidR="00B93ECF" w:rsidRPr="000F21D1">
        <w:rPr>
          <w:rFonts w:ascii="Garamond" w:hAnsi="Garamond" w:cs="Sylfaen"/>
        </w:rPr>
        <w:t>1</w:t>
      </w:r>
      <w:r w:rsidRPr="000F21D1">
        <w:rPr>
          <w:rFonts w:ascii="Garamond" w:hAnsi="Garamond" w:cs="Sylfaen"/>
        </w:rPr>
        <w:t xml:space="preserve">%. In the outcome, </w:t>
      </w:r>
      <w:r w:rsidRPr="000F21D1">
        <w:rPr>
          <w:rFonts w:ascii="Garamond" w:hAnsi="Garamond"/>
        </w:rPr>
        <w:t>private spending gap for the period 2016-2017 is estimated to be negative</w:t>
      </w:r>
      <w:r w:rsidRPr="000F21D1">
        <w:rPr>
          <w:rFonts w:ascii="Garamond" w:hAnsi="Garamond" w:cs="Sylfaen"/>
        </w:rPr>
        <w:t xml:space="preserve"> although the level of private spending is set to rebound gradually in the forecast horizon.</w:t>
      </w:r>
    </w:p>
    <w:p w14:paraId="1F114082" w14:textId="77777777" w:rsidR="00197AEE" w:rsidRPr="000F21D1" w:rsidRDefault="00197AEE" w:rsidP="00B117C8">
      <w:pPr>
        <w:spacing w:line="360" w:lineRule="auto"/>
        <w:jc w:val="both"/>
        <w:rPr>
          <w:rFonts w:ascii="Garamond" w:hAnsi="Garamond" w:cs="Sylfaen"/>
        </w:rPr>
      </w:pPr>
    </w:p>
    <w:p w14:paraId="73E488B3" w14:textId="77777777" w:rsidR="00197AEE" w:rsidRPr="000F21D1" w:rsidRDefault="00CE346D" w:rsidP="00B117C8">
      <w:pPr>
        <w:spacing w:line="360" w:lineRule="auto"/>
        <w:jc w:val="both"/>
        <w:rPr>
          <w:rFonts w:ascii="Garamond" w:hAnsi="Garamond"/>
        </w:rPr>
      </w:pPr>
      <w:r w:rsidRPr="000F21D1">
        <w:rPr>
          <w:rFonts w:ascii="Garamond" w:hAnsi="Garamond" w:cs="Sylfaen"/>
        </w:rPr>
        <w:t xml:space="preserve">The </w:t>
      </w:r>
      <w:r w:rsidR="00197AEE" w:rsidRPr="000F21D1">
        <w:rPr>
          <w:rFonts w:ascii="Garamond" w:hAnsi="Garamond" w:cs="Sylfaen"/>
        </w:rPr>
        <w:t xml:space="preserve">fiscal and monetary stimulus </w:t>
      </w:r>
      <w:r w:rsidRPr="000F21D1">
        <w:rPr>
          <w:rFonts w:ascii="Garamond" w:hAnsi="Garamond" w:cs="Sylfaen"/>
        </w:rPr>
        <w:t xml:space="preserve">provided </w:t>
      </w:r>
      <w:r w:rsidR="00197AEE" w:rsidRPr="000F21D1">
        <w:rPr>
          <w:rFonts w:ascii="Garamond" w:hAnsi="Garamond" w:cs="Sylfaen"/>
        </w:rPr>
        <w:t xml:space="preserve">to the economy, resurging investment activity in the domestic economy in 2015-2016, </w:t>
      </w:r>
      <w:r w:rsidR="00197AEE" w:rsidRPr="000F21D1">
        <w:rPr>
          <w:rFonts w:ascii="Garamond" w:hAnsi="Garamond"/>
        </w:rPr>
        <w:t xml:space="preserve">as well as acceleration of economic growth in partner countries to Armenia will gradually reduce the negative private spending gap and help this imbalance phase out at </w:t>
      </w:r>
      <w:r w:rsidR="00197AEE" w:rsidRPr="000F21D1">
        <w:rPr>
          <w:rFonts w:ascii="Garamond" w:hAnsi="Garamond"/>
        </w:rPr>
        <w:lastRenderedPageBreak/>
        <w:t>the end of 2017.</w:t>
      </w:r>
      <w:r w:rsidR="00E837D8" w:rsidRPr="000F21D1">
        <w:rPr>
          <w:rFonts w:ascii="Garamond" w:hAnsi="Garamond"/>
        </w:rPr>
        <w:t xml:space="preserve"> </w:t>
      </w:r>
      <w:r w:rsidR="007F57CF" w:rsidRPr="000F21D1">
        <w:rPr>
          <w:rFonts w:ascii="Garamond" w:hAnsi="Garamond"/>
        </w:rPr>
        <w:t xml:space="preserve">From end-2017 </w:t>
      </w:r>
      <w:r w:rsidR="00530CE8" w:rsidRPr="000F21D1">
        <w:rPr>
          <w:rFonts w:ascii="Garamond" w:hAnsi="Garamond"/>
        </w:rPr>
        <w:t>to</w:t>
      </w:r>
      <w:r w:rsidR="007F57CF" w:rsidRPr="000F21D1">
        <w:rPr>
          <w:rFonts w:ascii="Garamond" w:hAnsi="Garamond"/>
        </w:rPr>
        <w:t xml:space="preserve"> the end of the forecast horizon, the private spending gap is estimated to be positive.</w:t>
      </w:r>
    </w:p>
    <w:p w14:paraId="215D3430" w14:textId="77777777" w:rsidR="00530CE8" w:rsidRPr="000F21D1" w:rsidRDefault="00530CE8" w:rsidP="00B117C8">
      <w:pPr>
        <w:spacing w:line="360" w:lineRule="auto"/>
        <w:jc w:val="both"/>
        <w:rPr>
          <w:rFonts w:ascii="Garamond" w:hAnsi="Garamond"/>
        </w:rPr>
      </w:pPr>
    </w:p>
    <w:p w14:paraId="0FA7E457" w14:textId="206ED924" w:rsidR="00530CE8" w:rsidRPr="000F21D1" w:rsidRDefault="00530CE8" w:rsidP="00B117C8">
      <w:pPr>
        <w:spacing w:line="360" w:lineRule="auto"/>
        <w:jc w:val="both"/>
        <w:rPr>
          <w:rFonts w:ascii="Garamond" w:hAnsi="Garamond"/>
        </w:rPr>
      </w:pPr>
      <w:r w:rsidRPr="000F21D1">
        <w:rPr>
          <w:rFonts w:ascii="Garamond" w:hAnsi="Garamond"/>
        </w:rPr>
        <w:t xml:space="preserve">From the </w:t>
      </w:r>
      <w:r w:rsidR="00E837D8" w:rsidRPr="000F21D1">
        <w:rPr>
          <w:rFonts w:ascii="Garamond" w:hAnsi="Garamond"/>
        </w:rPr>
        <w:t>second half</w:t>
      </w:r>
      <w:r w:rsidRPr="000F21D1">
        <w:rPr>
          <w:rFonts w:ascii="Garamond" w:hAnsi="Garamond"/>
        </w:rPr>
        <w:t xml:space="preserve"> </w:t>
      </w:r>
      <w:r w:rsidR="00E837D8" w:rsidRPr="000F21D1">
        <w:rPr>
          <w:rFonts w:ascii="Garamond" w:hAnsi="Garamond"/>
        </w:rPr>
        <w:t xml:space="preserve">of </w:t>
      </w:r>
      <w:r w:rsidRPr="000F21D1">
        <w:rPr>
          <w:rFonts w:ascii="Garamond" w:hAnsi="Garamond"/>
        </w:rPr>
        <w:t xml:space="preserve">2016 to the end of 2017, the </w:t>
      </w:r>
      <w:r w:rsidRPr="000F21D1">
        <w:rPr>
          <w:rFonts w:ascii="Garamond" w:hAnsi="Garamond"/>
          <w:b/>
        </w:rPr>
        <w:t xml:space="preserve">private spending will create </w:t>
      </w:r>
      <w:r w:rsidR="001B393E">
        <w:rPr>
          <w:rFonts w:ascii="Garamond" w:hAnsi="Garamond"/>
          <w:b/>
        </w:rPr>
        <w:t>on</w:t>
      </w:r>
      <w:r w:rsidR="001B393E" w:rsidRPr="000F21D1">
        <w:rPr>
          <w:rFonts w:ascii="Garamond" w:hAnsi="Garamond"/>
          <w:b/>
        </w:rPr>
        <w:t xml:space="preserve"> </w:t>
      </w:r>
      <w:r w:rsidRPr="000F21D1">
        <w:rPr>
          <w:rFonts w:ascii="Garamond" w:hAnsi="Garamond"/>
          <w:b/>
        </w:rPr>
        <w:t>average 0.</w:t>
      </w:r>
      <w:r w:rsidR="00E837D8" w:rsidRPr="000F21D1">
        <w:rPr>
          <w:rFonts w:ascii="Garamond" w:hAnsi="Garamond"/>
          <w:b/>
        </w:rPr>
        <w:t>6</w:t>
      </w:r>
      <w:r w:rsidRPr="000F21D1">
        <w:rPr>
          <w:rFonts w:ascii="Garamond" w:hAnsi="Garamond"/>
          <w:b/>
        </w:rPr>
        <w:t>-</w:t>
      </w:r>
      <w:r w:rsidR="00E837D8" w:rsidRPr="000F21D1">
        <w:rPr>
          <w:rFonts w:ascii="Garamond" w:hAnsi="Garamond"/>
          <w:b/>
        </w:rPr>
        <w:t>0</w:t>
      </w:r>
      <w:r w:rsidRPr="000F21D1">
        <w:rPr>
          <w:rFonts w:ascii="Garamond" w:hAnsi="Garamond"/>
          <w:b/>
        </w:rPr>
        <w:t>.</w:t>
      </w:r>
      <w:r w:rsidR="00E837D8" w:rsidRPr="000F21D1">
        <w:rPr>
          <w:rFonts w:ascii="Garamond" w:hAnsi="Garamond"/>
          <w:b/>
        </w:rPr>
        <w:t>8</w:t>
      </w:r>
      <w:r w:rsidRPr="000F21D1">
        <w:rPr>
          <w:rFonts w:ascii="Garamond" w:hAnsi="Garamond"/>
          <w:b/>
        </w:rPr>
        <w:t xml:space="preserve"> pp of contractionary impact on the inflation</w:t>
      </w:r>
      <w:r w:rsidRPr="000F21D1">
        <w:rPr>
          <w:rFonts w:ascii="Garamond" w:hAnsi="Garamond"/>
        </w:rPr>
        <w:t xml:space="preserve">. </w:t>
      </w:r>
      <w:r w:rsidR="00E00977" w:rsidRPr="000F21D1">
        <w:rPr>
          <w:rFonts w:ascii="Garamond" w:hAnsi="Garamond"/>
        </w:rPr>
        <w:t xml:space="preserve">As domestic demand recovers thanks to an expansionary monetary policy, the abovementioned deflationary pressures will gradually vanish. </w:t>
      </w:r>
      <w:r w:rsidRPr="000F21D1">
        <w:rPr>
          <w:rFonts w:ascii="Garamond" w:hAnsi="Garamond"/>
        </w:rPr>
        <w:t xml:space="preserve">From the </w:t>
      </w:r>
      <w:r w:rsidR="001B393E">
        <w:rPr>
          <w:rFonts w:ascii="Garamond" w:hAnsi="Garamond"/>
        </w:rPr>
        <w:t>end</w:t>
      </w:r>
      <w:r w:rsidRPr="000F21D1">
        <w:rPr>
          <w:rFonts w:ascii="Garamond" w:hAnsi="Garamond"/>
        </w:rPr>
        <w:t xml:space="preserve"> of 2017 </w:t>
      </w:r>
      <w:r w:rsidR="00E00977" w:rsidRPr="000F21D1">
        <w:rPr>
          <w:rFonts w:ascii="Garamond" w:hAnsi="Garamond"/>
        </w:rPr>
        <w:t xml:space="preserve">to </w:t>
      </w:r>
      <w:r w:rsidRPr="000F21D1">
        <w:rPr>
          <w:rFonts w:ascii="Garamond" w:hAnsi="Garamond"/>
        </w:rPr>
        <w:t xml:space="preserve">the end of the forecast horizon, the </w:t>
      </w:r>
      <w:r w:rsidR="00E00977" w:rsidRPr="000F21D1">
        <w:rPr>
          <w:rFonts w:ascii="Garamond" w:hAnsi="Garamond"/>
        </w:rPr>
        <w:t xml:space="preserve">impact of </w:t>
      </w:r>
      <w:r w:rsidRPr="000F21D1">
        <w:rPr>
          <w:rFonts w:ascii="Garamond" w:hAnsi="Garamond"/>
        </w:rPr>
        <w:t xml:space="preserve">private spending will </w:t>
      </w:r>
      <w:r w:rsidR="00E00977" w:rsidRPr="000F21D1">
        <w:rPr>
          <w:rFonts w:ascii="Garamond" w:hAnsi="Garamond"/>
        </w:rPr>
        <w:t xml:space="preserve">be </w:t>
      </w:r>
      <w:r w:rsidR="00E837D8" w:rsidRPr="000F21D1">
        <w:rPr>
          <w:rFonts w:ascii="Garamond" w:hAnsi="Garamond"/>
        </w:rPr>
        <w:t>0</w:t>
      </w:r>
      <w:r w:rsidR="00E00977" w:rsidRPr="000F21D1">
        <w:rPr>
          <w:rFonts w:ascii="Garamond" w:hAnsi="Garamond"/>
        </w:rPr>
        <w:t>.</w:t>
      </w:r>
      <w:r w:rsidR="00E837D8" w:rsidRPr="000F21D1">
        <w:rPr>
          <w:rFonts w:ascii="Garamond" w:hAnsi="Garamond"/>
        </w:rPr>
        <w:t>7</w:t>
      </w:r>
      <w:r w:rsidR="00E00977" w:rsidRPr="000F21D1">
        <w:rPr>
          <w:rFonts w:ascii="Garamond" w:hAnsi="Garamond"/>
        </w:rPr>
        <w:t>-</w:t>
      </w:r>
      <w:r w:rsidR="00E837D8" w:rsidRPr="000F21D1">
        <w:rPr>
          <w:rFonts w:ascii="Garamond" w:hAnsi="Garamond"/>
        </w:rPr>
        <w:t>0</w:t>
      </w:r>
      <w:r w:rsidR="00E00977" w:rsidRPr="000F21D1">
        <w:rPr>
          <w:rFonts w:ascii="Garamond" w:hAnsi="Garamond"/>
        </w:rPr>
        <w:t>.</w:t>
      </w:r>
      <w:r w:rsidR="00E837D8" w:rsidRPr="000F21D1">
        <w:rPr>
          <w:rFonts w:ascii="Garamond" w:hAnsi="Garamond"/>
        </w:rPr>
        <w:t>9</w:t>
      </w:r>
      <w:r w:rsidR="00E00977" w:rsidRPr="000F21D1">
        <w:rPr>
          <w:rFonts w:ascii="Garamond" w:hAnsi="Garamond"/>
        </w:rPr>
        <w:t xml:space="preserve"> pp </w:t>
      </w:r>
      <w:r w:rsidRPr="000F21D1">
        <w:rPr>
          <w:rFonts w:ascii="Garamond" w:hAnsi="Garamond"/>
        </w:rPr>
        <w:t>inflation</w:t>
      </w:r>
      <w:r w:rsidR="00AE0B4A" w:rsidRPr="000F21D1">
        <w:rPr>
          <w:rFonts w:ascii="Garamond" w:hAnsi="Garamond"/>
        </w:rPr>
        <w:t>ary</w:t>
      </w:r>
      <w:r w:rsidRPr="000F21D1">
        <w:rPr>
          <w:rFonts w:ascii="Garamond" w:hAnsi="Garamond"/>
        </w:rPr>
        <w:t>.</w:t>
      </w:r>
    </w:p>
    <w:p w14:paraId="36EF9B59" w14:textId="77777777" w:rsidR="00B237AC" w:rsidRPr="000F21D1" w:rsidRDefault="00B237AC" w:rsidP="00B117C8">
      <w:pPr>
        <w:spacing w:line="360" w:lineRule="auto"/>
        <w:jc w:val="both"/>
        <w:rPr>
          <w:rFonts w:ascii="Garamond" w:hAnsi="Garamond"/>
        </w:rPr>
      </w:pPr>
    </w:p>
    <w:p w14:paraId="21277296" w14:textId="77777777" w:rsidR="00B237AC" w:rsidRPr="000F21D1" w:rsidRDefault="00B237AC" w:rsidP="00B117C8">
      <w:pPr>
        <w:spacing w:line="360" w:lineRule="auto"/>
        <w:jc w:val="both"/>
        <w:rPr>
          <w:rFonts w:ascii="Garamond" w:hAnsi="Garamond"/>
          <w:b/>
        </w:rPr>
      </w:pPr>
      <w:r w:rsidRPr="000F21D1">
        <w:rPr>
          <w:rFonts w:ascii="Garamond" w:hAnsi="Garamond"/>
          <w:b/>
        </w:rPr>
        <w:t>Current account</w:t>
      </w:r>
    </w:p>
    <w:p w14:paraId="0163A263" w14:textId="77777777" w:rsidR="003078C9" w:rsidRPr="000F21D1" w:rsidRDefault="00AD780C" w:rsidP="00B117C8">
      <w:pPr>
        <w:spacing w:line="360" w:lineRule="auto"/>
        <w:jc w:val="both"/>
        <w:rPr>
          <w:rFonts w:ascii="Garamond" w:hAnsi="Garamond"/>
          <w:iCs/>
          <w:color w:val="000000"/>
        </w:rPr>
      </w:pPr>
      <w:r w:rsidRPr="000F21D1">
        <w:rPr>
          <w:rFonts w:ascii="Garamond" w:hAnsi="Garamond"/>
          <w:iCs/>
          <w:color w:val="000000"/>
        </w:rPr>
        <w:t xml:space="preserve">With a persistently </w:t>
      </w:r>
      <w:r w:rsidR="00965C3E" w:rsidRPr="000F21D1">
        <w:rPr>
          <w:rFonts w:ascii="Garamond" w:hAnsi="Garamond"/>
          <w:iCs/>
          <w:color w:val="000000"/>
        </w:rPr>
        <w:t>weak demand in the global economy</w:t>
      </w:r>
      <w:r w:rsidRPr="000F21D1">
        <w:rPr>
          <w:rFonts w:ascii="Garamond" w:hAnsi="Garamond"/>
          <w:iCs/>
          <w:color w:val="000000"/>
        </w:rPr>
        <w:t>,</w:t>
      </w:r>
      <w:r w:rsidR="00965C3E" w:rsidRPr="000F21D1">
        <w:rPr>
          <w:rFonts w:ascii="Garamond" w:hAnsi="Garamond"/>
          <w:iCs/>
          <w:color w:val="000000"/>
        </w:rPr>
        <w:t xml:space="preserve"> </w:t>
      </w:r>
      <w:r w:rsidRPr="000F21D1">
        <w:rPr>
          <w:rFonts w:ascii="Garamond" w:hAnsi="Garamond"/>
          <w:iCs/>
          <w:color w:val="000000"/>
        </w:rPr>
        <w:t>p</w:t>
      </w:r>
      <w:r w:rsidR="00965C3E" w:rsidRPr="000F21D1">
        <w:rPr>
          <w:rFonts w:ascii="Garamond" w:hAnsi="Garamond"/>
          <w:iCs/>
          <w:color w:val="000000"/>
        </w:rPr>
        <w:t xml:space="preserve">ositive developments </w:t>
      </w:r>
      <w:r w:rsidRPr="000F21D1">
        <w:rPr>
          <w:rFonts w:ascii="Garamond" w:hAnsi="Garamond"/>
          <w:iCs/>
          <w:color w:val="000000"/>
        </w:rPr>
        <w:t>for export</w:t>
      </w:r>
      <w:r w:rsidR="00D26F61" w:rsidRPr="000F21D1">
        <w:rPr>
          <w:rFonts w:ascii="Garamond" w:hAnsi="Garamond"/>
          <w:iCs/>
          <w:color w:val="000000"/>
        </w:rPr>
        <w:t>s</w:t>
      </w:r>
      <w:r w:rsidRPr="000F21D1">
        <w:rPr>
          <w:rFonts w:ascii="Garamond" w:hAnsi="Garamond"/>
          <w:iCs/>
          <w:color w:val="000000"/>
        </w:rPr>
        <w:t xml:space="preserve"> </w:t>
      </w:r>
      <w:r w:rsidR="00965C3E" w:rsidRPr="000F21D1">
        <w:rPr>
          <w:rFonts w:ascii="Garamond" w:hAnsi="Garamond"/>
          <w:iCs/>
          <w:color w:val="000000"/>
        </w:rPr>
        <w:t xml:space="preserve">continued </w:t>
      </w:r>
      <w:r w:rsidRPr="000F21D1">
        <w:rPr>
          <w:rFonts w:ascii="Garamond" w:hAnsi="Garamond"/>
          <w:iCs/>
          <w:color w:val="000000"/>
        </w:rPr>
        <w:t xml:space="preserve">and even exceeded the expectations </w:t>
      </w:r>
      <w:r w:rsidR="00965C3E" w:rsidRPr="000F21D1">
        <w:rPr>
          <w:rFonts w:ascii="Garamond" w:hAnsi="Garamond"/>
          <w:iCs/>
          <w:color w:val="000000"/>
        </w:rPr>
        <w:t xml:space="preserve">in the second quarter </w:t>
      </w:r>
      <w:r w:rsidRPr="000F21D1">
        <w:rPr>
          <w:rFonts w:ascii="Garamond" w:hAnsi="Garamond"/>
          <w:iCs/>
          <w:color w:val="000000"/>
        </w:rPr>
        <w:t>of 2016. The growth wa</w:t>
      </w:r>
      <w:r w:rsidR="00965C3E" w:rsidRPr="000F21D1">
        <w:rPr>
          <w:rFonts w:ascii="Garamond" w:hAnsi="Garamond"/>
          <w:iCs/>
          <w:color w:val="000000"/>
        </w:rPr>
        <w:t xml:space="preserve">s </w:t>
      </w:r>
      <w:r w:rsidRPr="000F21D1">
        <w:rPr>
          <w:rFonts w:ascii="Garamond" w:hAnsi="Garamond"/>
          <w:iCs/>
          <w:color w:val="000000"/>
        </w:rPr>
        <w:t xml:space="preserve">fuelled </w:t>
      </w:r>
      <w:r w:rsidR="00965C3E" w:rsidRPr="000F21D1">
        <w:rPr>
          <w:rFonts w:ascii="Garamond" w:hAnsi="Garamond"/>
          <w:iCs/>
          <w:color w:val="000000"/>
        </w:rPr>
        <w:t>m</w:t>
      </w:r>
      <w:r w:rsidRPr="000F21D1">
        <w:rPr>
          <w:rFonts w:ascii="Garamond" w:hAnsi="Garamond"/>
          <w:iCs/>
          <w:color w:val="000000"/>
        </w:rPr>
        <w:t xml:space="preserve">ostly by recovered </w:t>
      </w:r>
      <w:r w:rsidR="00965C3E" w:rsidRPr="000F21D1">
        <w:rPr>
          <w:rFonts w:ascii="Garamond" w:hAnsi="Garamond"/>
          <w:iCs/>
          <w:color w:val="000000"/>
        </w:rPr>
        <w:t xml:space="preserve">export </w:t>
      </w:r>
      <w:r w:rsidRPr="000F21D1">
        <w:rPr>
          <w:rFonts w:ascii="Garamond" w:hAnsi="Garamond"/>
          <w:iCs/>
          <w:color w:val="000000"/>
        </w:rPr>
        <w:t>of brandy and high growth in items</w:t>
      </w:r>
      <w:r w:rsidR="00D47B58" w:rsidRPr="000F21D1">
        <w:rPr>
          <w:rFonts w:ascii="Garamond" w:hAnsi="Garamond"/>
          <w:iCs/>
          <w:color w:val="000000"/>
        </w:rPr>
        <w:t xml:space="preserve"> such as </w:t>
      </w:r>
      <w:r w:rsidRPr="000F21D1">
        <w:rPr>
          <w:rFonts w:ascii="Garamond" w:hAnsi="Garamond"/>
          <w:iCs/>
          <w:color w:val="000000"/>
        </w:rPr>
        <w:t>“T</w:t>
      </w:r>
      <w:r w:rsidR="00965C3E" w:rsidRPr="000F21D1">
        <w:rPr>
          <w:rFonts w:ascii="Garamond" w:hAnsi="Garamond"/>
          <w:iCs/>
          <w:color w:val="000000"/>
        </w:rPr>
        <w:t>obacco</w:t>
      </w:r>
      <w:r w:rsidRPr="000F21D1">
        <w:rPr>
          <w:rFonts w:ascii="Garamond" w:hAnsi="Garamond"/>
          <w:iCs/>
          <w:color w:val="000000"/>
        </w:rPr>
        <w:t>”</w:t>
      </w:r>
      <w:r w:rsidR="00965C3E" w:rsidRPr="000F21D1">
        <w:rPr>
          <w:rFonts w:ascii="Garamond" w:hAnsi="Garamond"/>
          <w:iCs/>
          <w:color w:val="000000"/>
        </w:rPr>
        <w:t xml:space="preserve">, </w:t>
      </w:r>
      <w:r w:rsidRPr="000F21D1">
        <w:rPr>
          <w:rFonts w:ascii="Garamond" w:hAnsi="Garamond"/>
          <w:iCs/>
          <w:color w:val="000000"/>
        </w:rPr>
        <w:t>“</w:t>
      </w:r>
      <w:r w:rsidR="00965C3E" w:rsidRPr="000F21D1">
        <w:rPr>
          <w:rFonts w:ascii="Garamond" w:hAnsi="Garamond"/>
          <w:iCs/>
          <w:color w:val="000000"/>
        </w:rPr>
        <w:t>Precious stones and metals and articles thereof</w:t>
      </w:r>
      <w:r w:rsidRPr="000F21D1">
        <w:rPr>
          <w:rFonts w:ascii="Garamond" w:hAnsi="Garamond"/>
          <w:iCs/>
          <w:color w:val="000000"/>
        </w:rPr>
        <w:t>” and</w:t>
      </w:r>
      <w:r w:rsidR="00965C3E" w:rsidRPr="000F21D1">
        <w:rPr>
          <w:rFonts w:ascii="Garamond" w:hAnsi="Garamond"/>
          <w:iCs/>
          <w:color w:val="000000"/>
        </w:rPr>
        <w:t xml:space="preserve"> </w:t>
      </w:r>
      <w:r w:rsidRPr="000F21D1">
        <w:rPr>
          <w:rFonts w:ascii="Garamond" w:hAnsi="Garamond"/>
          <w:iCs/>
          <w:color w:val="000000"/>
        </w:rPr>
        <w:t>“Textiles”</w:t>
      </w:r>
      <w:r w:rsidR="00965C3E" w:rsidRPr="000F21D1">
        <w:rPr>
          <w:rFonts w:ascii="Garamond" w:hAnsi="Garamond"/>
          <w:iCs/>
          <w:color w:val="000000"/>
        </w:rPr>
        <w:t xml:space="preserve">. As for imports, </w:t>
      </w:r>
      <w:r w:rsidR="00D26F61" w:rsidRPr="000F21D1">
        <w:rPr>
          <w:rFonts w:ascii="Garamond" w:hAnsi="Garamond"/>
          <w:iCs/>
          <w:color w:val="000000"/>
        </w:rPr>
        <w:t xml:space="preserve">foreign trade indicators </w:t>
      </w:r>
      <w:r w:rsidR="00D47B58" w:rsidRPr="000F21D1">
        <w:rPr>
          <w:rFonts w:ascii="Garamond" w:hAnsi="Garamond"/>
          <w:iCs/>
          <w:color w:val="000000"/>
        </w:rPr>
        <w:t xml:space="preserve">were </w:t>
      </w:r>
      <w:r w:rsidR="00D26F61" w:rsidRPr="000F21D1">
        <w:rPr>
          <w:rFonts w:ascii="Garamond" w:hAnsi="Garamond"/>
          <w:iCs/>
          <w:color w:val="000000"/>
        </w:rPr>
        <w:t xml:space="preserve">recalculated </w:t>
      </w:r>
      <w:r w:rsidR="00965C3E" w:rsidRPr="000F21D1">
        <w:rPr>
          <w:rFonts w:ascii="Garamond" w:hAnsi="Garamond"/>
          <w:iCs/>
          <w:color w:val="000000"/>
        </w:rPr>
        <w:t>by the National Statistic</w:t>
      </w:r>
      <w:r w:rsidR="00D26F61" w:rsidRPr="000F21D1">
        <w:rPr>
          <w:rFonts w:ascii="Garamond" w:hAnsi="Garamond"/>
          <w:iCs/>
          <w:color w:val="000000"/>
        </w:rPr>
        <w:t>s</w:t>
      </w:r>
      <w:r w:rsidR="00965C3E" w:rsidRPr="000F21D1">
        <w:rPr>
          <w:rFonts w:ascii="Garamond" w:hAnsi="Garamond"/>
          <w:iCs/>
          <w:color w:val="000000"/>
        </w:rPr>
        <w:t xml:space="preserve"> Service of Armenia. The main re</w:t>
      </w:r>
      <w:r w:rsidR="00D26F61" w:rsidRPr="000F21D1">
        <w:rPr>
          <w:rFonts w:ascii="Garamond" w:hAnsi="Garamond"/>
          <w:iCs/>
          <w:color w:val="000000"/>
        </w:rPr>
        <w:t xml:space="preserve">calculations pertain to the </w:t>
      </w:r>
      <w:r w:rsidR="00965C3E" w:rsidRPr="000F21D1">
        <w:rPr>
          <w:rFonts w:ascii="Garamond" w:hAnsi="Garamond"/>
          <w:iCs/>
          <w:color w:val="000000"/>
        </w:rPr>
        <w:t xml:space="preserve">dollar value of imports, </w:t>
      </w:r>
      <w:r w:rsidR="00D26F61" w:rsidRPr="000F21D1">
        <w:rPr>
          <w:rFonts w:ascii="Garamond" w:hAnsi="Garamond"/>
          <w:iCs/>
          <w:color w:val="000000"/>
        </w:rPr>
        <w:t xml:space="preserve">based on which the 2016 forecasts for imports were adjusted upside. In consideration of such revisions, the CBA has changed its import and current account estimations. </w:t>
      </w:r>
    </w:p>
    <w:p w14:paraId="665964CA" w14:textId="77777777" w:rsidR="00D26F61" w:rsidRPr="000F21D1" w:rsidRDefault="00D26F61" w:rsidP="00B117C8">
      <w:pPr>
        <w:spacing w:line="360" w:lineRule="auto"/>
        <w:jc w:val="both"/>
        <w:rPr>
          <w:rFonts w:ascii="Garamond" w:hAnsi="Garamond"/>
          <w:iCs/>
          <w:color w:val="000000"/>
        </w:rPr>
      </w:pPr>
    </w:p>
    <w:tbl>
      <w:tblPr>
        <w:tblStyle w:val="TableGrid"/>
        <w:tblW w:w="0" w:type="auto"/>
        <w:tblLook w:val="04A0" w:firstRow="1" w:lastRow="0" w:firstColumn="1" w:lastColumn="0" w:noHBand="0" w:noVBand="1"/>
      </w:tblPr>
      <w:tblGrid>
        <w:gridCol w:w="9576"/>
      </w:tblGrid>
      <w:tr w:rsidR="00D26F61" w:rsidRPr="00F720C4" w14:paraId="1EA4C885" w14:textId="77777777" w:rsidTr="00D26F61">
        <w:tc>
          <w:tcPr>
            <w:tcW w:w="9576" w:type="dxa"/>
          </w:tcPr>
          <w:p w14:paraId="0E7C7566" w14:textId="77777777" w:rsidR="00D26F61" w:rsidRPr="000F21D1" w:rsidRDefault="00D26F61" w:rsidP="00D26F61">
            <w:pPr>
              <w:spacing w:line="360" w:lineRule="auto"/>
              <w:jc w:val="right"/>
              <w:rPr>
                <w:rFonts w:ascii="Garamond" w:hAnsi="Garamond"/>
                <w:b/>
                <w:iCs/>
                <w:color w:val="000000"/>
              </w:rPr>
            </w:pPr>
            <w:r w:rsidRPr="000F21D1">
              <w:rPr>
                <w:rFonts w:ascii="Garamond" w:hAnsi="Garamond"/>
                <w:b/>
                <w:iCs/>
                <w:color w:val="000000"/>
              </w:rPr>
              <w:t>Box 3</w:t>
            </w:r>
          </w:p>
          <w:p w14:paraId="57B08B17" w14:textId="77777777" w:rsidR="00383887" w:rsidRPr="000F21D1" w:rsidRDefault="00383887" w:rsidP="00383887">
            <w:pPr>
              <w:spacing w:line="360" w:lineRule="auto"/>
              <w:jc w:val="center"/>
              <w:rPr>
                <w:rFonts w:ascii="Garamond" w:hAnsi="Garamond"/>
                <w:b/>
                <w:iCs/>
                <w:color w:val="000000"/>
              </w:rPr>
            </w:pPr>
            <w:r w:rsidRPr="000F21D1">
              <w:rPr>
                <w:rFonts w:ascii="Garamond" w:hAnsi="Garamond"/>
                <w:b/>
                <w:iCs/>
                <w:color w:val="000000"/>
              </w:rPr>
              <w:t>The revision of Armenia’s foreign trade indicators</w:t>
            </w:r>
          </w:p>
          <w:p w14:paraId="2AD4E4AC" w14:textId="578D01EF" w:rsidR="00383887" w:rsidRPr="000F21D1" w:rsidRDefault="00383887" w:rsidP="00383887">
            <w:pPr>
              <w:spacing w:line="360" w:lineRule="auto"/>
              <w:jc w:val="both"/>
              <w:rPr>
                <w:rFonts w:ascii="Garamond" w:hAnsi="Garamond"/>
                <w:iCs/>
                <w:color w:val="000000"/>
              </w:rPr>
            </w:pPr>
            <w:r w:rsidRPr="000F21D1">
              <w:rPr>
                <w:rFonts w:ascii="Garamond" w:hAnsi="Garamond"/>
                <w:iCs/>
                <w:color w:val="000000"/>
              </w:rPr>
              <w:t>In recent months, publications of the National Statistics Service of Armenia came in with revis</w:t>
            </w:r>
            <w:r w:rsidR="00B326BB" w:rsidRPr="000F21D1">
              <w:rPr>
                <w:rFonts w:ascii="Garamond" w:hAnsi="Garamond"/>
                <w:iCs/>
                <w:color w:val="000000"/>
              </w:rPr>
              <w:t xml:space="preserve">ed </w:t>
            </w:r>
            <w:r w:rsidRPr="000F21D1">
              <w:rPr>
                <w:rFonts w:ascii="Garamond" w:hAnsi="Garamond"/>
                <w:iCs/>
                <w:color w:val="000000"/>
              </w:rPr>
              <w:t>foreign trade indicators</w:t>
            </w:r>
            <w:r w:rsidR="00B326BB" w:rsidRPr="000F21D1">
              <w:rPr>
                <w:rFonts w:ascii="Garamond" w:hAnsi="Garamond"/>
                <w:iCs/>
                <w:color w:val="000000"/>
              </w:rPr>
              <w:t xml:space="preserve">. The matter is that companies engaged in trade business with countries of the Eurasian Economic Union made corrections in their reports and, in some cases, </w:t>
            </w:r>
            <w:r w:rsidR="00C3783D" w:rsidRPr="000F21D1">
              <w:rPr>
                <w:rFonts w:ascii="Garamond" w:hAnsi="Garamond"/>
                <w:iCs/>
                <w:color w:val="000000"/>
              </w:rPr>
              <w:t>submitted those</w:t>
            </w:r>
            <w:r w:rsidR="00B326BB" w:rsidRPr="000F21D1">
              <w:rPr>
                <w:rFonts w:ascii="Garamond" w:hAnsi="Garamond"/>
                <w:iCs/>
                <w:color w:val="000000"/>
              </w:rPr>
              <w:t xml:space="preserve"> reports with delays. Lots of revisions </w:t>
            </w:r>
            <w:r w:rsidRPr="000F21D1">
              <w:rPr>
                <w:rFonts w:ascii="Garamond" w:hAnsi="Garamond"/>
                <w:iCs/>
                <w:color w:val="000000"/>
              </w:rPr>
              <w:t xml:space="preserve">were </w:t>
            </w:r>
            <w:r w:rsidR="00B326BB" w:rsidRPr="000F21D1">
              <w:rPr>
                <w:rFonts w:ascii="Garamond" w:hAnsi="Garamond"/>
                <w:iCs/>
                <w:color w:val="000000"/>
              </w:rPr>
              <w:t xml:space="preserve">made using </w:t>
            </w:r>
            <w:r w:rsidR="00D27BB4" w:rsidRPr="000F21D1">
              <w:rPr>
                <w:rFonts w:ascii="Garamond" w:hAnsi="Garamond"/>
                <w:iCs/>
                <w:color w:val="000000"/>
              </w:rPr>
              <w:t xml:space="preserve">operational </w:t>
            </w:r>
            <w:r w:rsidRPr="000F21D1">
              <w:rPr>
                <w:rFonts w:ascii="Garamond" w:hAnsi="Garamond"/>
                <w:iCs/>
                <w:color w:val="000000"/>
              </w:rPr>
              <w:t xml:space="preserve">data published </w:t>
            </w:r>
            <w:r w:rsidR="00B326BB" w:rsidRPr="000F21D1">
              <w:rPr>
                <w:rFonts w:ascii="Garamond" w:hAnsi="Garamond"/>
                <w:iCs/>
                <w:color w:val="000000"/>
              </w:rPr>
              <w:t xml:space="preserve">as of </w:t>
            </w:r>
            <w:r w:rsidRPr="000F21D1">
              <w:rPr>
                <w:rFonts w:ascii="Garamond" w:hAnsi="Garamond"/>
                <w:iCs/>
                <w:color w:val="000000"/>
              </w:rPr>
              <w:t>May 20</w:t>
            </w:r>
            <w:r w:rsidR="00B326BB" w:rsidRPr="000F21D1">
              <w:rPr>
                <w:rFonts w:ascii="Garamond" w:hAnsi="Garamond"/>
                <w:iCs/>
                <w:color w:val="000000"/>
              </w:rPr>
              <w:t>, 2016</w:t>
            </w:r>
            <w:r w:rsidR="00294ED3" w:rsidRPr="000F21D1">
              <w:rPr>
                <w:rFonts w:ascii="Garamond" w:hAnsi="Garamond"/>
                <w:iCs/>
                <w:color w:val="000000"/>
              </w:rPr>
              <w:t xml:space="preserve">. Regular revisions were </w:t>
            </w:r>
            <w:r w:rsidRPr="000F21D1">
              <w:rPr>
                <w:rFonts w:ascii="Garamond" w:hAnsi="Garamond"/>
                <w:iCs/>
                <w:color w:val="000000"/>
              </w:rPr>
              <w:t xml:space="preserve">also carried out </w:t>
            </w:r>
            <w:r w:rsidR="006117AE" w:rsidRPr="000F21D1">
              <w:rPr>
                <w:rFonts w:ascii="Garamond" w:hAnsi="Garamond"/>
                <w:iCs/>
                <w:color w:val="000000"/>
              </w:rPr>
              <w:t xml:space="preserve">using </w:t>
            </w:r>
            <w:r w:rsidRPr="000F21D1">
              <w:rPr>
                <w:rFonts w:ascii="Garamond" w:hAnsi="Garamond"/>
                <w:iCs/>
                <w:color w:val="000000"/>
              </w:rPr>
              <w:t xml:space="preserve">the </w:t>
            </w:r>
            <w:r w:rsidR="00294ED3" w:rsidRPr="000F21D1">
              <w:rPr>
                <w:rFonts w:ascii="Garamond" w:hAnsi="Garamond"/>
                <w:iCs/>
                <w:color w:val="000000"/>
              </w:rPr>
              <w:t xml:space="preserve">operational </w:t>
            </w:r>
            <w:r w:rsidRPr="000F21D1">
              <w:rPr>
                <w:rFonts w:ascii="Garamond" w:hAnsi="Garamond"/>
                <w:iCs/>
                <w:color w:val="000000"/>
              </w:rPr>
              <w:t xml:space="preserve">data published in the next few months. According to the </w:t>
            </w:r>
            <w:r w:rsidR="006117AE" w:rsidRPr="000F21D1">
              <w:rPr>
                <w:rFonts w:ascii="Garamond" w:hAnsi="Garamond"/>
                <w:iCs/>
                <w:color w:val="000000"/>
              </w:rPr>
              <w:t xml:space="preserve">operational </w:t>
            </w:r>
            <w:r w:rsidRPr="000F21D1">
              <w:rPr>
                <w:rFonts w:ascii="Garamond" w:hAnsi="Garamond"/>
                <w:iCs/>
                <w:color w:val="000000"/>
              </w:rPr>
              <w:t xml:space="preserve">data, the </w:t>
            </w:r>
            <w:r w:rsidR="008D3CEC" w:rsidRPr="000F21D1">
              <w:rPr>
                <w:rFonts w:ascii="Garamond" w:hAnsi="Garamond"/>
                <w:iCs/>
                <w:color w:val="000000"/>
              </w:rPr>
              <w:t>value</w:t>
            </w:r>
            <w:r w:rsidRPr="000F21D1">
              <w:rPr>
                <w:rFonts w:ascii="Garamond" w:hAnsi="Garamond"/>
                <w:iCs/>
                <w:color w:val="000000"/>
              </w:rPr>
              <w:t xml:space="preserve"> of import in January-March amounted to </w:t>
            </w:r>
            <w:r w:rsidR="00385D40" w:rsidRPr="000F21D1">
              <w:rPr>
                <w:rFonts w:ascii="Garamond" w:hAnsi="Garamond"/>
                <w:iCs/>
                <w:color w:val="000000"/>
              </w:rPr>
              <w:t xml:space="preserve">USD </w:t>
            </w:r>
            <w:r w:rsidRPr="000F21D1">
              <w:rPr>
                <w:rFonts w:ascii="Garamond" w:hAnsi="Garamond"/>
                <w:iCs/>
                <w:color w:val="000000"/>
              </w:rPr>
              <w:t>621.1 million and</w:t>
            </w:r>
            <w:r w:rsidR="00385D40" w:rsidRPr="000F21D1">
              <w:rPr>
                <w:rFonts w:ascii="Garamond" w:hAnsi="Garamond"/>
                <w:iCs/>
                <w:color w:val="000000"/>
              </w:rPr>
              <w:t>,</w:t>
            </w:r>
            <w:r w:rsidRPr="000F21D1">
              <w:rPr>
                <w:rFonts w:ascii="Garamond" w:hAnsi="Garamond"/>
                <w:iCs/>
                <w:color w:val="000000"/>
              </w:rPr>
              <w:t xml:space="preserve"> </w:t>
            </w:r>
            <w:r w:rsidR="00385D40" w:rsidRPr="000F21D1">
              <w:rPr>
                <w:rFonts w:ascii="Garamond" w:hAnsi="Garamond"/>
                <w:iCs/>
                <w:color w:val="000000"/>
              </w:rPr>
              <w:t>a</w:t>
            </w:r>
            <w:r w:rsidRPr="000F21D1">
              <w:rPr>
                <w:rFonts w:ascii="Garamond" w:hAnsi="Garamond"/>
                <w:iCs/>
                <w:color w:val="000000"/>
              </w:rPr>
              <w:t>fter the July 20</w:t>
            </w:r>
            <w:r w:rsidR="00385D40" w:rsidRPr="000F21D1">
              <w:rPr>
                <w:rFonts w:ascii="Garamond" w:hAnsi="Garamond"/>
                <w:iCs/>
                <w:color w:val="000000"/>
              </w:rPr>
              <w:t>, 2016</w:t>
            </w:r>
            <w:r w:rsidRPr="000F21D1">
              <w:rPr>
                <w:rFonts w:ascii="Garamond" w:hAnsi="Garamond"/>
                <w:iCs/>
                <w:color w:val="000000"/>
              </w:rPr>
              <w:t xml:space="preserve"> revi</w:t>
            </w:r>
            <w:r w:rsidR="00385D40" w:rsidRPr="000F21D1">
              <w:rPr>
                <w:rFonts w:ascii="Garamond" w:hAnsi="Garamond"/>
                <w:iCs/>
                <w:color w:val="000000"/>
              </w:rPr>
              <w:t xml:space="preserve">sion, USD </w:t>
            </w:r>
            <w:r w:rsidRPr="000F21D1">
              <w:rPr>
                <w:rFonts w:ascii="Garamond" w:hAnsi="Garamond"/>
                <w:iCs/>
                <w:color w:val="000000"/>
              </w:rPr>
              <w:t xml:space="preserve">683.7 million. Revisions were made in respect of all the </w:t>
            </w:r>
            <w:r w:rsidR="00385D40" w:rsidRPr="000F21D1">
              <w:rPr>
                <w:rFonts w:ascii="Garamond" w:hAnsi="Garamond"/>
                <w:iCs/>
                <w:color w:val="000000"/>
              </w:rPr>
              <w:t>commodity groups</w:t>
            </w:r>
            <w:r w:rsidR="00C3783D" w:rsidRPr="000F21D1">
              <w:rPr>
                <w:rFonts w:ascii="Garamond" w:hAnsi="Garamond"/>
                <w:iCs/>
                <w:color w:val="000000"/>
              </w:rPr>
              <w:t xml:space="preserve">, while </w:t>
            </w:r>
            <w:r w:rsidR="00F85FAD" w:rsidRPr="000F21D1">
              <w:rPr>
                <w:rFonts w:ascii="Garamond" w:hAnsi="Garamond"/>
                <w:iCs/>
                <w:color w:val="000000"/>
              </w:rPr>
              <w:t xml:space="preserve">much broader revisions were made in items </w:t>
            </w:r>
            <w:r w:rsidR="00D47B58" w:rsidRPr="000F21D1">
              <w:rPr>
                <w:rFonts w:ascii="Garamond" w:hAnsi="Garamond"/>
                <w:iCs/>
                <w:color w:val="000000"/>
              </w:rPr>
              <w:t xml:space="preserve">such as </w:t>
            </w:r>
            <w:r w:rsidR="00C3783D" w:rsidRPr="000F21D1">
              <w:rPr>
                <w:rFonts w:ascii="Garamond" w:hAnsi="Garamond"/>
                <w:iCs/>
                <w:color w:val="000000"/>
              </w:rPr>
              <w:t>“Non-precious metals and articles thereof”</w:t>
            </w:r>
            <w:r w:rsidRPr="000F21D1">
              <w:rPr>
                <w:rFonts w:ascii="Garamond" w:hAnsi="Garamond"/>
                <w:iCs/>
                <w:color w:val="000000"/>
              </w:rPr>
              <w:t xml:space="preserve">, </w:t>
            </w:r>
            <w:r w:rsidR="00C3783D" w:rsidRPr="000F21D1">
              <w:rPr>
                <w:rFonts w:ascii="Garamond" w:hAnsi="Garamond"/>
                <w:iCs/>
                <w:color w:val="000000"/>
              </w:rPr>
              <w:t>“P</w:t>
            </w:r>
            <w:r w:rsidRPr="000F21D1">
              <w:rPr>
                <w:rFonts w:ascii="Garamond" w:hAnsi="Garamond"/>
                <w:iCs/>
                <w:color w:val="000000"/>
              </w:rPr>
              <w:t>roduct</w:t>
            </w:r>
            <w:r w:rsidR="00C3783D" w:rsidRPr="000F21D1">
              <w:rPr>
                <w:rFonts w:ascii="Garamond" w:hAnsi="Garamond"/>
                <w:iCs/>
                <w:color w:val="000000"/>
              </w:rPr>
              <w:t>s</w:t>
            </w:r>
            <w:r w:rsidRPr="000F21D1">
              <w:rPr>
                <w:rFonts w:ascii="Garamond" w:hAnsi="Garamond"/>
                <w:iCs/>
                <w:color w:val="000000"/>
              </w:rPr>
              <w:t xml:space="preserve"> of </w:t>
            </w:r>
            <w:r w:rsidR="00C3783D" w:rsidRPr="000F21D1">
              <w:rPr>
                <w:rFonts w:ascii="Garamond" w:hAnsi="Garamond"/>
                <w:iCs/>
                <w:color w:val="000000"/>
              </w:rPr>
              <w:t xml:space="preserve">vegetables </w:t>
            </w:r>
            <w:r w:rsidRPr="000F21D1">
              <w:rPr>
                <w:rFonts w:ascii="Garamond" w:hAnsi="Garamond"/>
                <w:iCs/>
                <w:color w:val="000000"/>
              </w:rPr>
              <w:t>origin</w:t>
            </w:r>
            <w:r w:rsidR="00C3783D" w:rsidRPr="000F21D1">
              <w:rPr>
                <w:rFonts w:ascii="Garamond" w:hAnsi="Garamond"/>
                <w:iCs/>
                <w:color w:val="000000"/>
              </w:rPr>
              <w:t>”</w:t>
            </w:r>
            <w:r w:rsidRPr="000F21D1">
              <w:rPr>
                <w:rFonts w:ascii="Garamond" w:hAnsi="Garamond"/>
                <w:iCs/>
                <w:color w:val="000000"/>
              </w:rPr>
              <w:t xml:space="preserve">, </w:t>
            </w:r>
            <w:r w:rsidR="00C3783D" w:rsidRPr="000F21D1">
              <w:rPr>
                <w:rFonts w:ascii="Garamond" w:hAnsi="Garamond"/>
                <w:iCs/>
                <w:color w:val="000000"/>
              </w:rPr>
              <w:t>“</w:t>
            </w:r>
            <w:r w:rsidRPr="000F21D1">
              <w:rPr>
                <w:rFonts w:ascii="Garamond" w:hAnsi="Garamond"/>
                <w:iCs/>
                <w:color w:val="000000"/>
              </w:rPr>
              <w:t>Machinery and equipment</w:t>
            </w:r>
            <w:r w:rsidR="00C3783D" w:rsidRPr="000F21D1">
              <w:rPr>
                <w:rFonts w:ascii="Garamond" w:hAnsi="Garamond"/>
                <w:iCs/>
                <w:color w:val="000000"/>
              </w:rPr>
              <w:t>”</w:t>
            </w:r>
            <w:r w:rsidR="00F85FAD" w:rsidRPr="000F21D1">
              <w:rPr>
                <w:rFonts w:ascii="Garamond" w:hAnsi="Garamond"/>
                <w:iCs/>
                <w:color w:val="000000"/>
              </w:rPr>
              <w:t xml:space="preserve"> and</w:t>
            </w:r>
            <w:r w:rsidRPr="000F21D1">
              <w:rPr>
                <w:rFonts w:ascii="Garamond" w:hAnsi="Garamond"/>
                <w:iCs/>
                <w:color w:val="000000"/>
              </w:rPr>
              <w:t xml:space="preserve"> </w:t>
            </w:r>
            <w:r w:rsidR="00C3783D" w:rsidRPr="000F21D1">
              <w:rPr>
                <w:rFonts w:ascii="Garamond" w:hAnsi="Garamond"/>
                <w:iCs/>
                <w:color w:val="000000"/>
              </w:rPr>
              <w:t>“Products of p</w:t>
            </w:r>
            <w:r w:rsidRPr="000F21D1">
              <w:rPr>
                <w:rFonts w:ascii="Garamond" w:hAnsi="Garamond"/>
                <w:iCs/>
                <w:color w:val="000000"/>
              </w:rPr>
              <w:t>repared food</w:t>
            </w:r>
            <w:r w:rsidR="00C3783D" w:rsidRPr="000F21D1">
              <w:rPr>
                <w:rFonts w:ascii="Garamond" w:hAnsi="Garamond"/>
                <w:iCs/>
                <w:color w:val="000000"/>
              </w:rPr>
              <w:t>”</w:t>
            </w:r>
            <w:r w:rsidR="006021FA" w:rsidRPr="000F21D1">
              <w:rPr>
                <w:rFonts w:ascii="Garamond" w:hAnsi="Garamond"/>
                <w:iCs/>
                <w:color w:val="000000"/>
              </w:rPr>
              <w:t>.</w:t>
            </w:r>
          </w:p>
          <w:p w14:paraId="445562DD" w14:textId="77777777" w:rsidR="006021FA" w:rsidRPr="000F21D1" w:rsidRDefault="006021FA" w:rsidP="00383887">
            <w:pPr>
              <w:spacing w:line="360" w:lineRule="auto"/>
              <w:jc w:val="both"/>
              <w:rPr>
                <w:rFonts w:ascii="Garamond" w:hAnsi="Garamond"/>
                <w:iCs/>
                <w:color w:val="000000"/>
              </w:rPr>
            </w:pPr>
          </w:p>
          <w:p w14:paraId="1ABEA3F6" w14:textId="57900F14" w:rsidR="00D26F61" w:rsidRPr="000F21D1" w:rsidRDefault="006021FA" w:rsidP="008958B5">
            <w:pPr>
              <w:spacing w:line="360" w:lineRule="auto"/>
              <w:jc w:val="both"/>
              <w:rPr>
                <w:rFonts w:ascii="Garamond" w:hAnsi="Garamond"/>
                <w:b/>
                <w:iCs/>
                <w:color w:val="000000"/>
              </w:rPr>
            </w:pPr>
            <w:r w:rsidRPr="000F21D1">
              <w:rPr>
                <w:rFonts w:ascii="Garamond" w:hAnsi="Garamond"/>
                <w:iCs/>
                <w:color w:val="000000"/>
              </w:rPr>
              <w:t xml:space="preserve">The statistical </w:t>
            </w:r>
            <w:r w:rsidR="008D3CEC" w:rsidRPr="000F21D1">
              <w:rPr>
                <w:rFonts w:ascii="Garamond" w:hAnsi="Garamond"/>
                <w:iCs/>
                <w:color w:val="000000"/>
              </w:rPr>
              <w:t>revisions</w:t>
            </w:r>
            <w:r w:rsidRPr="000F21D1">
              <w:rPr>
                <w:rFonts w:ascii="Garamond" w:hAnsi="Garamond"/>
                <w:iCs/>
                <w:color w:val="000000"/>
              </w:rPr>
              <w:t xml:space="preserve"> described above urged the CBA to reconsider its 2016 import forecasts accordingly. The forecasts of the report for the second quarter of 2016 were </w:t>
            </w:r>
            <w:r w:rsidR="00F31E88" w:rsidRPr="000F21D1">
              <w:rPr>
                <w:rFonts w:ascii="Garamond" w:hAnsi="Garamond"/>
                <w:iCs/>
                <w:color w:val="000000"/>
              </w:rPr>
              <w:t xml:space="preserve">made using </w:t>
            </w:r>
            <w:r w:rsidRPr="000F21D1">
              <w:rPr>
                <w:rFonts w:ascii="Garamond" w:hAnsi="Garamond"/>
                <w:iCs/>
                <w:color w:val="000000"/>
              </w:rPr>
              <w:t xml:space="preserve">actual data as of </w:t>
            </w:r>
            <w:r w:rsidR="00383887" w:rsidRPr="000F21D1">
              <w:rPr>
                <w:rFonts w:ascii="Garamond" w:hAnsi="Garamond"/>
                <w:iCs/>
                <w:color w:val="000000"/>
              </w:rPr>
              <w:t xml:space="preserve">May 17, </w:t>
            </w:r>
            <w:r w:rsidRPr="000F21D1">
              <w:rPr>
                <w:rFonts w:ascii="Garamond" w:hAnsi="Garamond"/>
                <w:iCs/>
                <w:color w:val="000000"/>
              </w:rPr>
              <w:t>2016. According to these data, t</w:t>
            </w:r>
            <w:r w:rsidR="00383887" w:rsidRPr="000F21D1">
              <w:rPr>
                <w:rFonts w:ascii="Garamond" w:hAnsi="Garamond"/>
                <w:iCs/>
                <w:color w:val="000000"/>
              </w:rPr>
              <w:t xml:space="preserve">he </w:t>
            </w:r>
            <w:r w:rsidRPr="000F21D1">
              <w:rPr>
                <w:rFonts w:ascii="Garamond" w:hAnsi="Garamond"/>
                <w:iCs/>
                <w:color w:val="000000"/>
              </w:rPr>
              <w:t xml:space="preserve">decrease in the </w:t>
            </w:r>
            <w:r w:rsidR="00383887" w:rsidRPr="000F21D1">
              <w:rPr>
                <w:rFonts w:ascii="Garamond" w:hAnsi="Garamond"/>
                <w:iCs/>
                <w:color w:val="000000"/>
              </w:rPr>
              <w:t xml:space="preserve">dollar value of imports </w:t>
            </w:r>
            <w:r w:rsidRPr="000F21D1">
              <w:rPr>
                <w:rFonts w:ascii="Garamond" w:hAnsi="Garamond"/>
                <w:iCs/>
                <w:color w:val="000000"/>
              </w:rPr>
              <w:t xml:space="preserve">in the first quarter of 2016 was </w:t>
            </w:r>
            <w:r w:rsidR="00383887" w:rsidRPr="000F21D1">
              <w:rPr>
                <w:rFonts w:ascii="Garamond" w:hAnsi="Garamond"/>
                <w:iCs/>
                <w:color w:val="000000"/>
              </w:rPr>
              <w:t>15.9%</w:t>
            </w:r>
            <w:r w:rsidRPr="000F21D1">
              <w:rPr>
                <w:rFonts w:ascii="Garamond" w:hAnsi="Garamond"/>
                <w:iCs/>
                <w:color w:val="000000"/>
              </w:rPr>
              <w:t xml:space="preserve"> y/y</w:t>
            </w:r>
            <w:r w:rsidR="00383887" w:rsidRPr="000F21D1">
              <w:rPr>
                <w:rFonts w:ascii="Garamond" w:hAnsi="Garamond"/>
                <w:iCs/>
                <w:color w:val="000000"/>
              </w:rPr>
              <w:t xml:space="preserve">, based on </w:t>
            </w:r>
            <w:r w:rsidR="00F31E88" w:rsidRPr="000F21D1">
              <w:rPr>
                <w:rFonts w:ascii="Garamond" w:hAnsi="Garamond"/>
                <w:iCs/>
                <w:color w:val="000000"/>
              </w:rPr>
              <w:t xml:space="preserve">which </w:t>
            </w:r>
            <w:r w:rsidR="00383887" w:rsidRPr="000F21D1">
              <w:rPr>
                <w:rFonts w:ascii="Garamond" w:hAnsi="Garamond"/>
                <w:iCs/>
                <w:color w:val="000000"/>
              </w:rPr>
              <w:t xml:space="preserve">the </w:t>
            </w:r>
            <w:r w:rsidR="00F31E88" w:rsidRPr="000F21D1">
              <w:rPr>
                <w:rFonts w:ascii="Garamond" w:hAnsi="Garamond"/>
                <w:iCs/>
                <w:color w:val="000000"/>
              </w:rPr>
              <w:t xml:space="preserve">real </w:t>
            </w:r>
            <w:r w:rsidR="00383887" w:rsidRPr="000F21D1">
              <w:rPr>
                <w:rFonts w:ascii="Garamond" w:hAnsi="Garamond"/>
                <w:iCs/>
                <w:color w:val="000000"/>
              </w:rPr>
              <w:t xml:space="preserve">decrease in </w:t>
            </w:r>
            <w:r w:rsidR="00F31E88" w:rsidRPr="000F21D1">
              <w:rPr>
                <w:rFonts w:ascii="Garamond" w:hAnsi="Garamond"/>
                <w:iCs/>
                <w:color w:val="000000"/>
              </w:rPr>
              <w:t xml:space="preserve">volume of </w:t>
            </w:r>
            <w:r w:rsidR="00383887" w:rsidRPr="000F21D1">
              <w:rPr>
                <w:rFonts w:ascii="Garamond" w:hAnsi="Garamond"/>
                <w:iCs/>
                <w:color w:val="000000"/>
              </w:rPr>
              <w:t xml:space="preserve">goods and services </w:t>
            </w:r>
            <w:r w:rsidR="00F31E88" w:rsidRPr="000F21D1">
              <w:rPr>
                <w:rFonts w:ascii="Garamond" w:hAnsi="Garamond"/>
                <w:iCs/>
                <w:color w:val="000000"/>
              </w:rPr>
              <w:t xml:space="preserve">for </w:t>
            </w:r>
            <w:r w:rsidR="00383887" w:rsidRPr="000F21D1">
              <w:rPr>
                <w:rFonts w:ascii="Garamond" w:hAnsi="Garamond"/>
                <w:iCs/>
                <w:color w:val="000000"/>
              </w:rPr>
              <w:t>2016</w:t>
            </w:r>
            <w:r w:rsidR="00F31E88" w:rsidRPr="000F21D1">
              <w:rPr>
                <w:rFonts w:ascii="Garamond" w:hAnsi="Garamond"/>
                <w:iCs/>
                <w:color w:val="000000"/>
              </w:rPr>
              <w:t xml:space="preserve"> is predicted within </w:t>
            </w:r>
            <w:r w:rsidR="00383887" w:rsidRPr="000F21D1">
              <w:rPr>
                <w:rFonts w:ascii="Garamond" w:hAnsi="Garamond"/>
                <w:iCs/>
                <w:color w:val="000000"/>
              </w:rPr>
              <w:t>6-8%. After revi</w:t>
            </w:r>
            <w:r w:rsidR="00C821A3" w:rsidRPr="000F21D1">
              <w:rPr>
                <w:rFonts w:ascii="Garamond" w:hAnsi="Garamond"/>
                <w:iCs/>
                <w:color w:val="000000"/>
              </w:rPr>
              <w:t>sion,</w:t>
            </w:r>
            <w:r w:rsidR="00383887" w:rsidRPr="000F21D1">
              <w:rPr>
                <w:rFonts w:ascii="Garamond" w:hAnsi="Garamond"/>
                <w:iCs/>
                <w:color w:val="000000"/>
              </w:rPr>
              <w:t xml:space="preserve"> the nominal dec</w:t>
            </w:r>
            <w:r w:rsidR="00C821A3" w:rsidRPr="000F21D1">
              <w:rPr>
                <w:rFonts w:ascii="Garamond" w:hAnsi="Garamond"/>
                <w:iCs/>
                <w:color w:val="000000"/>
              </w:rPr>
              <w:t xml:space="preserve">line in import of goods </w:t>
            </w:r>
            <w:r w:rsidR="00383887" w:rsidRPr="000F21D1">
              <w:rPr>
                <w:rFonts w:ascii="Garamond" w:hAnsi="Garamond"/>
                <w:iCs/>
                <w:color w:val="000000"/>
              </w:rPr>
              <w:t>in the first quarter</w:t>
            </w:r>
            <w:r w:rsidR="00C821A3" w:rsidRPr="000F21D1">
              <w:rPr>
                <w:rFonts w:ascii="Garamond" w:hAnsi="Garamond"/>
                <w:iCs/>
                <w:color w:val="000000"/>
              </w:rPr>
              <w:t xml:space="preserve"> a</w:t>
            </w:r>
            <w:r w:rsidR="00383887" w:rsidRPr="000F21D1">
              <w:rPr>
                <w:rFonts w:ascii="Garamond" w:hAnsi="Garamond"/>
                <w:iCs/>
                <w:color w:val="000000"/>
              </w:rPr>
              <w:t>mounted to 6.9%</w:t>
            </w:r>
            <w:r w:rsidR="00C821A3" w:rsidRPr="000F21D1">
              <w:rPr>
                <w:rFonts w:ascii="Garamond" w:hAnsi="Garamond"/>
                <w:iCs/>
                <w:color w:val="000000"/>
              </w:rPr>
              <w:t>.</w:t>
            </w:r>
            <w:r w:rsidR="00383887" w:rsidRPr="000F21D1">
              <w:rPr>
                <w:rFonts w:ascii="Garamond" w:hAnsi="Garamond"/>
                <w:iCs/>
                <w:color w:val="000000"/>
              </w:rPr>
              <w:t xml:space="preserve"> </w:t>
            </w:r>
            <w:r w:rsidR="00C821A3" w:rsidRPr="000F21D1">
              <w:rPr>
                <w:rFonts w:ascii="Garamond" w:hAnsi="Garamond"/>
                <w:iCs/>
                <w:color w:val="000000"/>
              </w:rPr>
              <w:t xml:space="preserve">The </w:t>
            </w:r>
            <w:r w:rsidR="00383887" w:rsidRPr="000F21D1">
              <w:rPr>
                <w:rFonts w:ascii="Garamond" w:hAnsi="Garamond"/>
                <w:iCs/>
                <w:color w:val="000000"/>
              </w:rPr>
              <w:t xml:space="preserve">forecast </w:t>
            </w:r>
            <w:r w:rsidR="00C821A3" w:rsidRPr="000F21D1">
              <w:rPr>
                <w:rFonts w:ascii="Garamond" w:hAnsi="Garamond"/>
                <w:iCs/>
                <w:color w:val="000000"/>
              </w:rPr>
              <w:t xml:space="preserve">of real decrease in volume of goods and services for 2016 </w:t>
            </w:r>
            <w:r w:rsidR="008958B5" w:rsidRPr="000F21D1">
              <w:rPr>
                <w:rFonts w:ascii="Garamond" w:hAnsi="Garamond"/>
                <w:iCs/>
                <w:color w:val="000000"/>
              </w:rPr>
              <w:t xml:space="preserve">was </w:t>
            </w:r>
            <w:r w:rsidR="00C821A3" w:rsidRPr="000F21D1">
              <w:rPr>
                <w:rFonts w:ascii="Garamond" w:hAnsi="Garamond"/>
                <w:iCs/>
                <w:color w:val="000000"/>
              </w:rPr>
              <w:t>revised a</w:t>
            </w:r>
            <w:r w:rsidR="00383887" w:rsidRPr="000F21D1">
              <w:rPr>
                <w:rFonts w:ascii="Garamond" w:hAnsi="Garamond"/>
                <w:iCs/>
                <w:color w:val="000000"/>
              </w:rPr>
              <w:t xml:space="preserve">nd will be in the </w:t>
            </w:r>
            <w:r w:rsidR="00C821A3" w:rsidRPr="000F21D1">
              <w:rPr>
                <w:rFonts w:ascii="Garamond" w:hAnsi="Garamond"/>
                <w:iCs/>
                <w:color w:val="000000"/>
              </w:rPr>
              <w:t xml:space="preserve">range of </w:t>
            </w:r>
            <w:r w:rsidR="00383887" w:rsidRPr="000F21D1">
              <w:rPr>
                <w:rFonts w:ascii="Garamond" w:hAnsi="Garamond"/>
                <w:iCs/>
                <w:color w:val="000000"/>
              </w:rPr>
              <w:t>1.5-3.5%.</w:t>
            </w:r>
          </w:p>
        </w:tc>
      </w:tr>
    </w:tbl>
    <w:p w14:paraId="32AD59FA" w14:textId="77777777" w:rsidR="00D26F61" w:rsidRPr="000F21D1" w:rsidRDefault="00D26F61" w:rsidP="00B117C8">
      <w:pPr>
        <w:spacing w:line="360" w:lineRule="auto"/>
        <w:jc w:val="both"/>
        <w:rPr>
          <w:rFonts w:ascii="Garamond" w:hAnsi="Garamond"/>
          <w:iCs/>
          <w:color w:val="000000"/>
        </w:rPr>
      </w:pPr>
    </w:p>
    <w:p w14:paraId="3F61A67C" w14:textId="4C9F69A0" w:rsidR="002278EE" w:rsidRPr="000F21D1" w:rsidRDefault="002278EE" w:rsidP="00B117C8">
      <w:pPr>
        <w:spacing w:line="360" w:lineRule="auto"/>
        <w:jc w:val="both"/>
        <w:rPr>
          <w:rFonts w:ascii="Garamond" w:hAnsi="Garamond"/>
          <w:iCs/>
          <w:color w:val="000000"/>
        </w:rPr>
      </w:pPr>
      <w:r w:rsidRPr="000F21D1">
        <w:rPr>
          <w:rFonts w:ascii="Garamond" w:hAnsi="Garamond"/>
          <w:iCs/>
          <w:color w:val="000000"/>
        </w:rPr>
        <w:t xml:space="preserve">The 2016 forecasts of growth of </w:t>
      </w:r>
      <w:r w:rsidR="008D3CEC" w:rsidRPr="000F21D1">
        <w:rPr>
          <w:rFonts w:ascii="Garamond" w:hAnsi="Garamond"/>
          <w:iCs/>
          <w:color w:val="000000"/>
        </w:rPr>
        <w:t xml:space="preserve">real </w:t>
      </w:r>
      <w:r w:rsidRPr="000F21D1">
        <w:rPr>
          <w:rFonts w:ascii="Garamond" w:hAnsi="Garamond"/>
          <w:iCs/>
          <w:color w:val="000000"/>
        </w:rPr>
        <w:t xml:space="preserve">export of goods and services were </w:t>
      </w:r>
      <w:r w:rsidR="008958B5" w:rsidRPr="000F21D1">
        <w:rPr>
          <w:rFonts w:ascii="Garamond" w:hAnsi="Garamond"/>
          <w:iCs/>
          <w:color w:val="000000"/>
        </w:rPr>
        <w:t xml:space="preserve">adjusted upside (the growth rate will be in the range 11.0-13.0%) in view of the favorable developments </w:t>
      </w:r>
      <w:r w:rsidR="008D3CEC" w:rsidRPr="000F21D1">
        <w:rPr>
          <w:rFonts w:ascii="Garamond" w:hAnsi="Garamond"/>
          <w:iCs/>
          <w:color w:val="000000"/>
        </w:rPr>
        <w:t xml:space="preserve">in the first half of the year </w:t>
      </w:r>
      <w:r w:rsidR="008958B5" w:rsidRPr="000F21D1">
        <w:rPr>
          <w:rFonts w:ascii="Garamond" w:hAnsi="Garamond"/>
          <w:iCs/>
          <w:color w:val="000000"/>
        </w:rPr>
        <w:t xml:space="preserve">and continued productivity growth in the tradable sector. </w:t>
      </w:r>
      <w:r w:rsidR="004C38A3" w:rsidRPr="000F21D1">
        <w:rPr>
          <w:rFonts w:ascii="Garamond" w:hAnsi="Garamond"/>
          <w:iCs/>
          <w:color w:val="000000"/>
        </w:rPr>
        <w:t xml:space="preserve">Unlike high rates of decline predicted for the previous quarter, new forecasts suggest that the </w:t>
      </w:r>
      <w:r w:rsidR="008D3CEC" w:rsidRPr="000F21D1">
        <w:rPr>
          <w:rFonts w:ascii="Garamond" w:hAnsi="Garamond"/>
          <w:iCs/>
          <w:color w:val="000000"/>
        </w:rPr>
        <w:t xml:space="preserve">real </w:t>
      </w:r>
      <w:r w:rsidR="004C38A3" w:rsidRPr="000F21D1">
        <w:rPr>
          <w:rFonts w:ascii="Garamond" w:hAnsi="Garamond"/>
          <w:iCs/>
          <w:color w:val="000000"/>
        </w:rPr>
        <w:t xml:space="preserve">imports will decline at lower rates, within 1.5-3.5%, which will be determined by revised import statistics. </w:t>
      </w:r>
    </w:p>
    <w:p w14:paraId="203CB4A5" w14:textId="77777777" w:rsidR="00DD675A" w:rsidRPr="000F21D1" w:rsidRDefault="00DD675A" w:rsidP="00B117C8">
      <w:pPr>
        <w:spacing w:line="360" w:lineRule="auto"/>
        <w:jc w:val="both"/>
        <w:rPr>
          <w:rFonts w:ascii="Garamond" w:hAnsi="Garamond"/>
          <w:iCs/>
          <w:color w:val="000000"/>
        </w:rPr>
      </w:pPr>
    </w:p>
    <w:p w14:paraId="53EAF05D" w14:textId="77777777" w:rsidR="00DD675A" w:rsidRPr="000F21D1" w:rsidRDefault="00DD675A" w:rsidP="00B117C8">
      <w:pPr>
        <w:spacing w:line="360" w:lineRule="auto"/>
        <w:jc w:val="both"/>
        <w:rPr>
          <w:rFonts w:ascii="Garamond" w:hAnsi="Garamond"/>
          <w:iCs/>
          <w:color w:val="000000"/>
        </w:rPr>
      </w:pPr>
      <w:r w:rsidRPr="000F21D1">
        <w:rPr>
          <w:rFonts w:ascii="Garamond" w:hAnsi="Garamond"/>
          <w:iCs/>
          <w:color w:val="000000"/>
        </w:rPr>
        <w:t xml:space="preserve">The </w:t>
      </w:r>
      <w:r w:rsidR="0037593B" w:rsidRPr="000F21D1">
        <w:rPr>
          <w:rFonts w:ascii="Garamond" w:hAnsi="Garamond"/>
          <w:iCs/>
          <w:color w:val="000000"/>
        </w:rPr>
        <w:t xml:space="preserve">forecasts for remittances remained the same in relation to the previous ones, which means that the narrowing of net inflow of remittances will be in the range of 6.0-8.0%, in light of new forecasts for the Russian economy and expectations for the ruble’s exchange rate. </w:t>
      </w:r>
    </w:p>
    <w:p w14:paraId="7713F221" w14:textId="77777777" w:rsidR="00D76692" w:rsidRPr="000F21D1" w:rsidRDefault="00D76692" w:rsidP="00B117C8">
      <w:pPr>
        <w:spacing w:line="360" w:lineRule="auto"/>
        <w:jc w:val="both"/>
        <w:rPr>
          <w:rFonts w:ascii="Garamond" w:hAnsi="Garamond"/>
          <w:iCs/>
          <w:color w:val="000000"/>
        </w:rPr>
      </w:pPr>
    </w:p>
    <w:p w14:paraId="533CCDBB" w14:textId="77777777" w:rsidR="00D76692" w:rsidRPr="000F21D1" w:rsidRDefault="00D76692" w:rsidP="00B117C8">
      <w:pPr>
        <w:spacing w:line="360" w:lineRule="auto"/>
        <w:jc w:val="both"/>
        <w:rPr>
          <w:rFonts w:ascii="Garamond" w:hAnsi="Garamond"/>
          <w:iCs/>
        </w:rPr>
      </w:pPr>
      <w:r w:rsidRPr="000F21D1">
        <w:rPr>
          <w:rFonts w:ascii="Garamond" w:hAnsi="Garamond"/>
          <w:iCs/>
        </w:rPr>
        <w:t>Based on the above projections</w:t>
      </w:r>
      <w:r w:rsidR="00535682" w:rsidRPr="000F21D1">
        <w:rPr>
          <w:rFonts w:ascii="Garamond" w:hAnsi="Garamond"/>
          <w:iCs/>
        </w:rPr>
        <w:t xml:space="preserve"> and actual revisions</w:t>
      </w:r>
      <w:r w:rsidRPr="000F21D1">
        <w:rPr>
          <w:rFonts w:ascii="Garamond" w:hAnsi="Garamond"/>
          <w:iCs/>
        </w:rPr>
        <w:t xml:space="preserve">, the current account deficit-to-GDP ratio will </w:t>
      </w:r>
      <w:r w:rsidR="00535682" w:rsidRPr="000F21D1">
        <w:rPr>
          <w:rFonts w:ascii="Garamond" w:hAnsi="Garamond"/>
          <w:iCs/>
        </w:rPr>
        <w:t>get higher against the previous forecast and run in the range of 2.0-3.0% for 2016</w:t>
      </w:r>
      <w:r w:rsidRPr="000F21D1">
        <w:rPr>
          <w:rFonts w:ascii="Garamond" w:hAnsi="Garamond"/>
          <w:iCs/>
        </w:rPr>
        <w:t xml:space="preserve">. Given productivity growth in the tradable sector is </w:t>
      </w:r>
      <w:r w:rsidR="00535682" w:rsidRPr="000F21D1">
        <w:rPr>
          <w:rFonts w:ascii="Garamond" w:hAnsi="Garamond"/>
          <w:iCs/>
        </w:rPr>
        <w:t>persistent</w:t>
      </w:r>
      <w:r w:rsidRPr="000F21D1">
        <w:rPr>
          <w:rFonts w:ascii="Garamond" w:hAnsi="Garamond"/>
          <w:iCs/>
        </w:rPr>
        <w:t xml:space="preserve"> </w:t>
      </w:r>
      <w:r w:rsidR="00535682" w:rsidRPr="000F21D1">
        <w:rPr>
          <w:rFonts w:ascii="Garamond" w:hAnsi="Garamond"/>
          <w:iCs/>
        </w:rPr>
        <w:t xml:space="preserve">while </w:t>
      </w:r>
      <w:r w:rsidRPr="000F21D1">
        <w:rPr>
          <w:rFonts w:ascii="Garamond" w:hAnsi="Garamond"/>
          <w:iCs/>
        </w:rPr>
        <w:t>remittances and domestic demand recover, the current account deficit-to-GDP ratio will stabilize over the medium run in the range of 2.0-3.0%.</w:t>
      </w:r>
    </w:p>
    <w:p w14:paraId="5EAD4E95" w14:textId="77777777" w:rsidR="00FF79BC" w:rsidRPr="000F21D1" w:rsidRDefault="00FF79BC" w:rsidP="00B117C8">
      <w:pPr>
        <w:spacing w:line="360" w:lineRule="auto"/>
        <w:jc w:val="both"/>
        <w:rPr>
          <w:rFonts w:ascii="Garamond" w:hAnsi="Garamond"/>
          <w:iCs/>
        </w:rPr>
      </w:pPr>
    </w:p>
    <w:p w14:paraId="39AC8731" w14:textId="126BC521" w:rsidR="00FF79BC" w:rsidRPr="000F21D1" w:rsidRDefault="00FF79BC" w:rsidP="00B117C8">
      <w:pPr>
        <w:spacing w:line="360" w:lineRule="auto"/>
        <w:jc w:val="both"/>
        <w:rPr>
          <w:rFonts w:ascii="Garamond" w:hAnsi="Garamond"/>
          <w:bCs/>
          <w:iCs/>
        </w:rPr>
      </w:pPr>
      <w:r w:rsidRPr="000F21D1">
        <w:rPr>
          <w:rFonts w:ascii="Garamond" w:hAnsi="Garamond"/>
          <w:bCs/>
          <w:iCs/>
        </w:rPr>
        <w:t xml:space="preserve">The </w:t>
      </w:r>
      <w:r w:rsidR="00AF1697" w:rsidRPr="000F21D1">
        <w:rPr>
          <w:rFonts w:ascii="Garamond" w:hAnsi="Garamond"/>
          <w:bCs/>
          <w:iCs/>
        </w:rPr>
        <w:t xml:space="preserve">CBA estimated the </w:t>
      </w:r>
      <w:r w:rsidRPr="000F21D1">
        <w:rPr>
          <w:rFonts w:ascii="Garamond" w:hAnsi="Garamond"/>
          <w:b/>
          <w:bCs/>
          <w:iCs/>
        </w:rPr>
        <w:t>fiscal policy’s impact</w:t>
      </w:r>
      <w:r w:rsidRPr="000F21D1">
        <w:rPr>
          <w:rFonts w:ascii="Garamond" w:hAnsi="Garamond"/>
          <w:bCs/>
          <w:iCs/>
        </w:rPr>
        <w:t xml:space="preserve"> on overall demand for 2016 </w:t>
      </w:r>
      <w:r w:rsidR="00AF1697" w:rsidRPr="000F21D1">
        <w:rPr>
          <w:rFonts w:ascii="Garamond" w:hAnsi="Garamond"/>
          <w:bCs/>
          <w:iCs/>
        </w:rPr>
        <w:t xml:space="preserve">using </w:t>
      </w:r>
      <w:r w:rsidR="00C634EB" w:rsidRPr="000F21D1">
        <w:rPr>
          <w:rFonts w:ascii="Garamond" w:hAnsi="Garamond"/>
          <w:bCs/>
          <w:iCs/>
        </w:rPr>
        <w:t xml:space="preserve">a/ </w:t>
      </w:r>
      <w:r w:rsidR="00AF1697" w:rsidRPr="000F21D1">
        <w:rPr>
          <w:rFonts w:ascii="Garamond" w:hAnsi="Garamond"/>
          <w:bCs/>
          <w:iCs/>
        </w:rPr>
        <w:t>the</w:t>
      </w:r>
      <w:r w:rsidRPr="000F21D1">
        <w:rPr>
          <w:rFonts w:ascii="Garamond" w:hAnsi="Garamond"/>
          <w:bCs/>
          <w:iCs/>
        </w:rPr>
        <w:t xml:space="preserve"> </w:t>
      </w:r>
      <w:r w:rsidR="00431888" w:rsidRPr="000F21D1">
        <w:rPr>
          <w:rFonts w:ascii="Garamond" w:hAnsi="Garamond"/>
          <w:bCs/>
          <w:iCs/>
        </w:rPr>
        <w:t>revenue and expenditure figures</w:t>
      </w:r>
      <w:r w:rsidR="00C4551D" w:rsidRPr="000F21D1">
        <w:rPr>
          <w:rFonts w:ascii="Garamond" w:hAnsi="Garamond"/>
          <w:bCs/>
          <w:iCs/>
        </w:rPr>
        <w:t xml:space="preserve"> as established by </w:t>
      </w:r>
      <w:r w:rsidRPr="000F21D1">
        <w:rPr>
          <w:rFonts w:ascii="Garamond" w:hAnsi="Garamond"/>
          <w:bCs/>
          <w:iCs/>
        </w:rPr>
        <w:t>the Republic of Armenia Law on “State Budget 2016”</w:t>
      </w:r>
      <w:r w:rsidR="00AF1697" w:rsidRPr="000F21D1">
        <w:rPr>
          <w:rFonts w:ascii="Garamond" w:hAnsi="Garamond"/>
          <w:bCs/>
          <w:iCs/>
        </w:rPr>
        <w:t xml:space="preserve"> </w:t>
      </w:r>
      <w:r w:rsidR="00431888" w:rsidRPr="000F21D1">
        <w:rPr>
          <w:rFonts w:ascii="Garamond" w:hAnsi="Garamond"/>
          <w:bCs/>
          <w:iCs/>
        </w:rPr>
        <w:t xml:space="preserve">and </w:t>
      </w:r>
      <w:r w:rsidR="00AF1697" w:rsidRPr="000F21D1">
        <w:rPr>
          <w:rFonts w:ascii="Garamond" w:hAnsi="Garamond"/>
          <w:bCs/>
          <w:iCs/>
        </w:rPr>
        <w:t xml:space="preserve">adjusted under relevant </w:t>
      </w:r>
      <w:r w:rsidR="004E3BA7" w:rsidRPr="000F21D1">
        <w:rPr>
          <w:rFonts w:ascii="Garamond" w:hAnsi="Garamond"/>
          <w:bCs/>
          <w:iCs/>
        </w:rPr>
        <w:t>Gover</w:t>
      </w:r>
      <w:r w:rsidR="00431888" w:rsidRPr="000F21D1">
        <w:rPr>
          <w:rFonts w:ascii="Garamond" w:hAnsi="Garamond"/>
          <w:bCs/>
          <w:iCs/>
        </w:rPr>
        <w:t xml:space="preserve">nment </w:t>
      </w:r>
      <w:r w:rsidR="004E3BA7" w:rsidRPr="000F21D1">
        <w:rPr>
          <w:rFonts w:ascii="Garamond" w:hAnsi="Garamond"/>
          <w:bCs/>
          <w:iCs/>
        </w:rPr>
        <w:t>decisions</w:t>
      </w:r>
      <w:r w:rsidR="00AF1697" w:rsidRPr="000F21D1">
        <w:rPr>
          <w:rStyle w:val="FootnoteReference"/>
          <w:rFonts w:ascii="Garamond" w:hAnsi="Garamond"/>
          <w:bCs/>
          <w:iCs/>
        </w:rPr>
        <w:footnoteReference w:customMarkFollows="1" w:id="10"/>
        <w:t>10</w:t>
      </w:r>
      <w:r w:rsidR="00C634EB" w:rsidRPr="000F21D1">
        <w:rPr>
          <w:rFonts w:ascii="Garamond" w:hAnsi="Garamond"/>
          <w:bCs/>
          <w:iCs/>
        </w:rPr>
        <w:t xml:space="preserve"> and </w:t>
      </w:r>
      <w:r w:rsidR="00F3395A" w:rsidRPr="000F21D1">
        <w:rPr>
          <w:rFonts w:ascii="Garamond" w:hAnsi="Garamond"/>
          <w:bCs/>
          <w:iCs/>
        </w:rPr>
        <w:t xml:space="preserve">based on </w:t>
      </w:r>
      <w:r w:rsidR="00C634EB" w:rsidRPr="000F21D1">
        <w:rPr>
          <w:rFonts w:ascii="Garamond" w:hAnsi="Garamond"/>
          <w:bCs/>
          <w:iCs/>
        </w:rPr>
        <w:t xml:space="preserve">the </w:t>
      </w:r>
      <w:r w:rsidR="00C4551D" w:rsidRPr="000F21D1">
        <w:rPr>
          <w:rFonts w:ascii="Garamond" w:hAnsi="Garamond"/>
          <w:bCs/>
          <w:iCs/>
        </w:rPr>
        <w:t xml:space="preserve">main </w:t>
      </w:r>
      <w:r w:rsidR="00C4551D" w:rsidRPr="000F21D1">
        <w:rPr>
          <w:rFonts w:ascii="Garamond" w:hAnsi="Garamond" w:cs="Sylfaen"/>
          <w:iCs/>
          <w:color w:val="000000"/>
        </w:rPr>
        <w:t xml:space="preserve">indicators of </w:t>
      </w:r>
      <w:r w:rsidR="00C4551D" w:rsidRPr="000F21D1">
        <w:rPr>
          <w:rFonts w:ascii="Garamond" w:hAnsi="Garamond"/>
          <w:bCs/>
          <w:iCs/>
        </w:rPr>
        <w:t xml:space="preserve">the Republic of Armenia Law on “State Budget 2016” as outlined in </w:t>
      </w:r>
      <w:r w:rsidR="00C4551D" w:rsidRPr="000F21D1">
        <w:rPr>
          <w:rFonts w:ascii="Garamond" w:hAnsi="Garamond" w:cs="Sylfaen"/>
          <w:iCs/>
          <w:color w:val="000000"/>
        </w:rPr>
        <w:t xml:space="preserve">the </w:t>
      </w:r>
      <w:r w:rsidR="00C4551D" w:rsidRPr="000F21D1">
        <w:rPr>
          <w:rFonts w:ascii="Garamond" w:hAnsi="Garamond"/>
          <w:bCs/>
          <w:iCs/>
        </w:rPr>
        <w:t xml:space="preserve">Republic of Armenia “Medium-Term Public Expenditures Program for 2017-2019”. </w:t>
      </w:r>
      <w:r w:rsidR="00C634EB" w:rsidRPr="000F21D1">
        <w:rPr>
          <w:rFonts w:ascii="Garamond" w:hAnsi="Garamond"/>
          <w:bCs/>
          <w:iCs/>
        </w:rPr>
        <w:t xml:space="preserve">In 2016, relative to </w:t>
      </w:r>
      <w:r w:rsidR="00CE5EEB" w:rsidRPr="000F21D1">
        <w:rPr>
          <w:rFonts w:ascii="Garamond" w:hAnsi="Garamond"/>
          <w:bCs/>
          <w:iCs/>
        </w:rPr>
        <w:t>2015</w:t>
      </w:r>
      <w:r w:rsidR="00C634EB" w:rsidRPr="000F21D1">
        <w:rPr>
          <w:rFonts w:ascii="Garamond" w:hAnsi="Garamond"/>
          <w:bCs/>
          <w:iCs/>
        </w:rPr>
        <w:t xml:space="preserve">, </w:t>
      </w:r>
      <w:r w:rsidR="00D17C48" w:rsidRPr="000F21D1">
        <w:rPr>
          <w:rFonts w:ascii="Garamond" w:hAnsi="Garamond"/>
          <w:bCs/>
          <w:iCs/>
        </w:rPr>
        <w:t xml:space="preserve">the revenue-to-GDP ratio </w:t>
      </w:r>
      <w:r w:rsidR="00C634EB" w:rsidRPr="000F21D1">
        <w:rPr>
          <w:rFonts w:ascii="Garamond" w:hAnsi="Garamond"/>
          <w:bCs/>
          <w:iCs/>
        </w:rPr>
        <w:t xml:space="preserve">is </w:t>
      </w:r>
      <w:r w:rsidR="00C634EB" w:rsidRPr="000F21D1">
        <w:rPr>
          <w:rFonts w:ascii="Garamond" w:hAnsi="Garamond"/>
          <w:bCs/>
          <w:iCs/>
        </w:rPr>
        <w:lastRenderedPageBreak/>
        <w:t>expected to decrease by 0.9 pp</w:t>
      </w:r>
      <w:r w:rsidR="00CE5EEB" w:rsidRPr="000F21D1">
        <w:rPr>
          <w:rFonts w:ascii="Garamond" w:hAnsi="Garamond"/>
          <w:bCs/>
          <w:iCs/>
        </w:rPr>
        <w:t xml:space="preserve">, the tax-to-GDP ratio to drop by 0.6 pp and </w:t>
      </w:r>
      <w:r w:rsidR="00D17C48" w:rsidRPr="000F21D1">
        <w:rPr>
          <w:rFonts w:ascii="Garamond" w:hAnsi="Garamond"/>
          <w:bCs/>
          <w:iCs/>
        </w:rPr>
        <w:t xml:space="preserve">the expenditure-to-GDP ratio </w:t>
      </w:r>
      <w:r w:rsidR="00CE5EEB" w:rsidRPr="000F21D1">
        <w:rPr>
          <w:rFonts w:ascii="Garamond" w:hAnsi="Garamond"/>
          <w:bCs/>
          <w:iCs/>
        </w:rPr>
        <w:t xml:space="preserve">to reduce by </w:t>
      </w:r>
      <w:r w:rsidR="00D17C48" w:rsidRPr="000F21D1">
        <w:rPr>
          <w:rFonts w:ascii="Garamond" w:hAnsi="Garamond"/>
          <w:bCs/>
          <w:iCs/>
        </w:rPr>
        <w:t>1.</w:t>
      </w:r>
      <w:r w:rsidR="00CE5EEB" w:rsidRPr="000F21D1">
        <w:rPr>
          <w:rFonts w:ascii="Garamond" w:hAnsi="Garamond"/>
          <w:bCs/>
          <w:iCs/>
        </w:rPr>
        <w:t>5</w:t>
      </w:r>
      <w:r w:rsidR="00D17C48" w:rsidRPr="000F21D1">
        <w:rPr>
          <w:rFonts w:ascii="Garamond" w:hAnsi="Garamond"/>
          <w:bCs/>
          <w:iCs/>
        </w:rPr>
        <w:t xml:space="preserve"> pp, at the expense of </w:t>
      </w:r>
      <w:r w:rsidR="00CE5EEB" w:rsidRPr="000F21D1">
        <w:rPr>
          <w:rFonts w:ascii="Garamond" w:hAnsi="Garamond"/>
          <w:bCs/>
          <w:iCs/>
        </w:rPr>
        <w:t xml:space="preserve">both </w:t>
      </w:r>
      <w:r w:rsidR="00D17C48" w:rsidRPr="000F21D1">
        <w:rPr>
          <w:rFonts w:ascii="Garamond" w:hAnsi="Garamond"/>
          <w:bCs/>
          <w:iCs/>
        </w:rPr>
        <w:t>current costs</w:t>
      </w:r>
      <w:r w:rsidR="00CE5EEB" w:rsidRPr="000F21D1">
        <w:rPr>
          <w:rFonts w:ascii="Garamond" w:hAnsi="Garamond"/>
          <w:bCs/>
          <w:iCs/>
        </w:rPr>
        <w:t xml:space="preserve"> and capital</w:t>
      </w:r>
      <w:r w:rsidR="00F3395A" w:rsidRPr="000F21D1">
        <w:rPr>
          <w:rFonts w:ascii="Garamond" w:hAnsi="Garamond"/>
          <w:bCs/>
          <w:iCs/>
        </w:rPr>
        <w:t xml:space="preserve"> expenditure</w:t>
      </w:r>
      <w:r w:rsidR="00D17C48" w:rsidRPr="000F21D1">
        <w:rPr>
          <w:rFonts w:ascii="Garamond" w:hAnsi="Garamond"/>
          <w:bCs/>
          <w:iCs/>
        </w:rPr>
        <w:t xml:space="preserve">. </w:t>
      </w:r>
      <w:r w:rsidR="00CE5EEB" w:rsidRPr="000F21D1">
        <w:rPr>
          <w:rFonts w:ascii="Garamond" w:hAnsi="Garamond"/>
          <w:bCs/>
          <w:iCs/>
        </w:rPr>
        <w:t xml:space="preserve">According to estimates, the deficit-to-GDP ratio will be </w:t>
      </w:r>
      <w:r w:rsidR="001A32D2" w:rsidRPr="000F21D1">
        <w:rPr>
          <w:rFonts w:ascii="Garamond" w:hAnsi="Garamond"/>
          <w:bCs/>
          <w:iCs/>
        </w:rPr>
        <w:t xml:space="preserve">higher </w:t>
      </w:r>
      <w:r w:rsidR="00A80F21" w:rsidRPr="000F21D1">
        <w:rPr>
          <w:rFonts w:ascii="Garamond" w:hAnsi="Garamond"/>
          <w:bCs/>
          <w:iCs/>
        </w:rPr>
        <w:t>in 2016</w:t>
      </w:r>
      <w:r w:rsidR="00CE5EEB" w:rsidRPr="000F21D1">
        <w:rPr>
          <w:rFonts w:ascii="Garamond" w:hAnsi="Garamond"/>
          <w:bCs/>
          <w:iCs/>
        </w:rPr>
        <w:t xml:space="preserve">, </w:t>
      </w:r>
      <w:r w:rsidR="00A80F21" w:rsidRPr="000F21D1">
        <w:rPr>
          <w:rFonts w:ascii="Garamond" w:hAnsi="Garamond"/>
          <w:bCs/>
          <w:iCs/>
        </w:rPr>
        <w:t xml:space="preserve">amounting to </w:t>
      </w:r>
      <w:r w:rsidR="00CE5EEB" w:rsidRPr="000F21D1">
        <w:rPr>
          <w:rFonts w:ascii="Garamond" w:hAnsi="Garamond"/>
          <w:bCs/>
          <w:iCs/>
        </w:rPr>
        <w:t>4.1% instead of 3.5%</w:t>
      </w:r>
      <w:r w:rsidR="00A80F21" w:rsidRPr="000F21D1">
        <w:rPr>
          <w:rFonts w:ascii="Garamond" w:hAnsi="Garamond"/>
          <w:bCs/>
          <w:iCs/>
        </w:rPr>
        <w:t>,</w:t>
      </w:r>
      <w:r w:rsidR="00CE5EEB" w:rsidRPr="000F21D1">
        <w:rPr>
          <w:rFonts w:ascii="Garamond" w:hAnsi="Garamond"/>
          <w:bCs/>
          <w:iCs/>
        </w:rPr>
        <w:t xml:space="preserve"> as pr</w:t>
      </w:r>
      <w:r w:rsidR="00D256FE" w:rsidRPr="000F21D1">
        <w:rPr>
          <w:rFonts w:ascii="Garamond" w:hAnsi="Garamond"/>
          <w:bCs/>
          <w:iCs/>
        </w:rPr>
        <w:t>escribed</w:t>
      </w:r>
      <w:r w:rsidR="00CE5EEB" w:rsidRPr="000F21D1">
        <w:rPr>
          <w:rFonts w:ascii="Garamond" w:hAnsi="Garamond"/>
          <w:bCs/>
          <w:iCs/>
        </w:rPr>
        <w:t xml:space="preserve"> by law.</w:t>
      </w:r>
    </w:p>
    <w:p w14:paraId="2ACB2D35" w14:textId="77777777" w:rsidR="00D17C48" w:rsidRPr="000F21D1" w:rsidRDefault="00D17C48" w:rsidP="00B117C8">
      <w:pPr>
        <w:spacing w:line="360" w:lineRule="auto"/>
        <w:jc w:val="both"/>
        <w:rPr>
          <w:rFonts w:ascii="Garamond" w:hAnsi="Garamond"/>
          <w:bCs/>
          <w:iCs/>
        </w:rPr>
      </w:pPr>
    </w:p>
    <w:p w14:paraId="4F920BE4" w14:textId="77777777" w:rsidR="004258B2" w:rsidRPr="000F21D1" w:rsidRDefault="00D17C48" w:rsidP="00B117C8">
      <w:pPr>
        <w:spacing w:line="360" w:lineRule="auto"/>
        <w:jc w:val="both"/>
        <w:rPr>
          <w:rFonts w:ascii="Garamond" w:hAnsi="Garamond" w:cs="Sylfaen"/>
          <w:iCs/>
          <w:color w:val="000000"/>
        </w:rPr>
      </w:pPr>
      <w:r w:rsidRPr="000F21D1">
        <w:rPr>
          <w:rFonts w:ascii="Garamond" w:hAnsi="Garamond" w:cs="Sylfaen"/>
          <w:iCs/>
          <w:color w:val="000000"/>
        </w:rPr>
        <w:t>Notwithstanding a</w:t>
      </w:r>
      <w:r w:rsidR="00D256FE" w:rsidRPr="000F21D1">
        <w:rPr>
          <w:rFonts w:ascii="Garamond" w:hAnsi="Garamond" w:cs="Sylfaen"/>
          <w:iCs/>
          <w:color w:val="000000"/>
        </w:rPr>
        <w:t>n anticipated</w:t>
      </w:r>
      <w:r w:rsidRPr="000F21D1">
        <w:rPr>
          <w:rFonts w:ascii="Garamond" w:hAnsi="Garamond" w:cs="Sylfaen"/>
          <w:iCs/>
          <w:color w:val="000000"/>
        </w:rPr>
        <w:t xml:space="preserve"> large budget deficit in 2016</w:t>
      </w:r>
      <w:r w:rsidR="00F50850" w:rsidRPr="000F21D1">
        <w:rPr>
          <w:rFonts w:ascii="Garamond" w:hAnsi="Garamond" w:cs="Sylfaen"/>
          <w:iCs/>
          <w:color w:val="000000"/>
        </w:rPr>
        <w:t>,</w:t>
      </w:r>
      <w:r w:rsidR="00D3403C" w:rsidRPr="000F21D1">
        <w:rPr>
          <w:rFonts w:ascii="Garamond" w:hAnsi="Garamond" w:cs="Sylfaen"/>
          <w:iCs/>
          <w:color w:val="000000"/>
        </w:rPr>
        <w:t xml:space="preserve"> </w:t>
      </w:r>
      <w:r w:rsidRPr="000F21D1">
        <w:rPr>
          <w:rFonts w:ascii="Garamond" w:hAnsi="Garamond" w:cs="Sylfaen"/>
          <w:iCs/>
          <w:color w:val="000000"/>
        </w:rPr>
        <w:t xml:space="preserve">the </w:t>
      </w:r>
      <w:r w:rsidR="00F50850" w:rsidRPr="000F21D1">
        <w:rPr>
          <w:rFonts w:ascii="Garamond" w:hAnsi="Garamond" w:cs="Sylfaen"/>
          <w:iCs/>
          <w:color w:val="000000"/>
        </w:rPr>
        <w:t>revenues are expected to leave a</w:t>
      </w:r>
      <w:r w:rsidR="00D256FE" w:rsidRPr="000F21D1">
        <w:rPr>
          <w:rFonts w:ascii="Garamond" w:hAnsi="Garamond" w:cs="Sylfaen"/>
          <w:iCs/>
          <w:color w:val="000000"/>
        </w:rPr>
        <w:t>n</w:t>
      </w:r>
      <w:r w:rsidR="00F50850" w:rsidRPr="000F21D1">
        <w:rPr>
          <w:rFonts w:ascii="Garamond" w:hAnsi="Garamond" w:cs="Sylfaen"/>
          <w:iCs/>
          <w:color w:val="000000"/>
        </w:rPr>
        <w:t xml:space="preserve"> </w:t>
      </w:r>
      <w:r w:rsidR="00D256FE" w:rsidRPr="000F21D1">
        <w:rPr>
          <w:rFonts w:ascii="Garamond" w:hAnsi="Garamond" w:cs="Sylfaen"/>
          <w:iCs/>
          <w:color w:val="000000"/>
        </w:rPr>
        <w:t xml:space="preserve">expansionary </w:t>
      </w:r>
      <w:r w:rsidR="00D3403C" w:rsidRPr="000F21D1">
        <w:rPr>
          <w:rFonts w:ascii="Garamond" w:hAnsi="Garamond" w:cs="Sylfaen"/>
          <w:iCs/>
          <w:color w:val="000000"/>
        </w:rPr>
        <w:t xml:space="preserve">effect </w:t>
      </w:r>
      <w:r w:rsidR="00F50850" w:rsidRPr="000F21D1">
        <w:rPr>
          <w:rFonts w:ascii="Garamond" w:hAnsi="Garamond" w:cs="Sylfaen"/>
          <w:iCs/>
          <w:color w:val="000000"/>
        </w:rPr>
        <w:t xml:space="preserve">and expenditures a contractionary effect on </w:t>
      </w:r>
      <w:r w:rsidR="00D3403C" w:rsidRPr="000F21D1">
        <w:rPr>
          <w:rFonts w:ascii="Garamond" w:hAnsi="Garamond" w:cs="Sylfaen"/>
          <w:iCs/>
          <w:color w:val="000000"/>
        </w:rPr>
        <w:t xml:space="preserve">aggregate </w:t>
      </w:r>
      <w:r w:rsidR="00F50850" w:rsidRPr="000F21D1">
        <w:rPr>
          <w:rFonts w:ascii="Garamond" w:hAnsi="Garamond" w:cs="Sylfaen"/>
          <w:iCs/>
          <w:color w:val="000000"/>
        </w:rPr>
        <w:t xml:space="preserve">demand, according to the fiscal impulse indicator. Moreover, contractionary effects are </w:t>
      </w:r>
      <w:r w:rsidR="005D2065" w:rsidRPr="000F21D1">
        <w:rPr>
          <w:rFonts w:ascii="Garamond" w:hAnsi="Garamond" w:cs="Sylfaen"/>
          <w:iCs/>
          <w:color w:val="000000"/>
        </w:rPr>
        <w:t xml:space="preserve">likely </w:t>
      </w:r>
      <w:r w:rsidR="00F50850" w:rsidRPr="000F21D1">
        <w:rPr>
          <w:rFonts w:ascii="Garamond" w:hAnsi="Garamond" w:cs="Sylfaen"/>
          <w:iCs/>
          <w:color w:val="000000"/>
        </w:rPr>
        <w:t xml:space="preserve">for the </w:t>
      </w:r>
      <w:r w:rsidR="00D256FE" w:rsidRPr="000F21D1">
        <w:rPr>
          <w:rFonts w:ascii="Garamond" w:hAnsi="Garamond" w:cs="Sylfaen"/>
          <w:iCs/>
          <w:color w:val="000000"/>
        </w:rPr>
        <w:t xml:space="preserve">third and fourth </w:t>
      </w:r>
      <w:r w:rsidR="00F50850" w:rsidRPr="000F21D1">
        <w:rPr>
          <w:rFonts w:ascii="Garamond" w:hAnsi="Garamond" w:cs="Sylfaen"/>
          <w:iCs/>
          <w:color w:val="000000"/>
        </w:rPr>
        <w:t xml:space="preserve">quarters. </w:t>
      </w:r>
      <w:r w:rsidR="00F5537E" w:rsidRPr="000F21D1">
        <w:rPr>
          <w:rFonts w:ascii="Garamond" w:hAnsi="Garamond" w:cs="Sylfaen"/>
          <w:iCs/>
          <w:color w:val="000000"/>
        </w:rPr>
        <w:t xml:space="preserve">For the year, the contractionary effect </w:t>
      </w:r>
      <w:r w:rsidR="00D256FE" w:rsidRPr="000F21D1">
        <w:rPr>
          <w:rFonts w:ascii="Garamond" w:hAnsi="Garamond" w:cs="Sylfaen"/>
          <w:iCs/>
          <w:color w:val="000000"/>
        </w:rPr>
        <w:t>will be within 0.4-0.6</w:t>
      </w:r>
      <w:r w:rsidR="00F5537E" w:rsidRPr="000F21D1">
        <w:rPr>
          <w:rFonts w:ascii="Garamond" w:hAnsi="Garamond" w:cs="Sylfaen"/>
          <w:iCs/>
          <w:color w:val="000000"/>
        </w:rPr>
        <w:t>.</w:t>
      </w:r>
    </w:p>
    <w:p w14:paraId="30DF082A" w14:textId="77777777" w:rsidR="006104F0" w:rsidRPr="000F21D1" w:rsidRDefault="006104F0" w:rsidP="00B117C8">
      <w:pPr>
        <w:spacing w:line="360" w:lineRule="auto"/>
        <w:jc w:val="both"/>
        <w:rPr>
          <w:rFonts w:ascii="Garamond" w:hAnsi="Garamond" w:cs="Sylfaen"/>
          <w:iCs/>
          <w:color w:val="000000"/>
        </w:rPr>
      </w:pPr>
    </w:p>
    <w:p w14:paraId="77490108" w14:textId="77777777" w:rsidR="006104F0" w:rsidRPr="000F21D1" w:rsidRDefault="00E1126A" w:rsidP="00B117C8">
      <w:pPr>
        <w:spacing w:line="360" w:lineRule="auto"/>
        <w:jc w:val="both"/>
        <w:rPr>
          <w:rFonts w:ascii="Garamond" w:hAnsi="Garamond" w:cs="Sylfaen"/>
          <w:iCs/>
        </w:rPr>
      </w:pPr>
      <w:r w:rsidRPr="000F21D1">
        <w:rPr>
          <w:rFonts w:ascii="Garamond" w:hAnsi="Garamond"/>
          <w:b/>
          <w:bCs/>
          <w:iCs/>
          <w:color w:val="000000"/>
        </w:rPr>
        <w:t>P</w:t>
      </w:r>
      <w:r w:rsidR="006104F0" w:rsidRPr="000F21D1">
        <w:rPr>
          <w:rFonts w:ascii="Garamond" w:hAnsi="Garamond"/>
          <w:b/>
          <w:bCs/>
          <w:iCs/>
          <w:color w:val="000000"/>
        </w:rPr>
        <w:t>rojections of the fiscal policy</w:t>
      </w:r>
      <w:r w:rsidR="00F36833" w:rsidRPr="000F21D1">
        <w:rPr>
          <w:rFonts w:ascii="Garamond" w:hAnsi="Garamond"/>
          <w:b/>
          <w:bCs/>
          <w:iCs/>
          <w:color w:val="000000"/>
          <w:lang w:val="hy-AM"/>
        </w:rPr>
        <w:t xml:space="preserve"> </w:t>
      </w:r>
      <w:r w:rsidR="006104F0" w:rsidRPr="000F21D1">
        <w:rPr>
          <w:rFonts w:ascii="Garamond" w:hAnsi="Garamond"/>
          <w:b/>
          <w:bCs/>
          <w:iCs/>
          <w:color w:val="000000"/>
        </w:rPr>
        <w:t xml:space="preserve">in the forecast horizon </w:t>
      </w:r>
      <w:r w:rsidR="006104F0" w:rsidRPr="000F21D1">
        <w:rPr>
          <w:rFonts w:ascii="Garamond" w:hAnsi="Garamond"/>
          <w:bCs/>
          <w:iCs/>
          <w:color w:val="000000"/>
        </w:rPr>
        <w:t>are based on</w:t>
      </w:r>
      <w:r w:rsidR="00F36833" w:rsidRPr="000F21D1">
        <w:rPr>
          <w:rFonts w:ascii="Garamond" w:hAnsi="Garamond" w:cs="Sylfaen"/>
          <w:iCs/>
          <w:color w:val="000000"/>
          <w:lang w:val="hy-AM"/>
        </w:rPr>
        <w:t xml:space="preserve"> </w:t>
      </w:r>
      <w:r w:rsidR="00F36833" w:rsidRPr="000F21D1">
        <w:rPr>
          <w:rFonts w:ascii="Garamond" w:hAnsi="Garamond"/>
          <w:bCs/>
          <w:iCs/>
        </w:rPr>
        <w:t>t</w:t>
      </w:r>
      <w:r w:rsidR="006104F0" w:rsidRPr="000F21D1">
        <w:rPr>
          <w:rFonts w:ascii="Garamond" w:hAnsi="Garamond" w:cs="Sylfaen"/>
          <w:iCs/>
          <w:color w:val="000000"/>
        </w:rPr>
        <w:t xml:space="preserve">he </w:t>
      </w:r>
      <w:r w:rsidR="00F5538C" w:rsidRPr="000F21D1">
        <w:rPr>
          <w:rFonts w:ascii="Garamond" w:hAnsi="Garamond" w:cs="Sylfaen"/>
          <w:iCs/>
          <w:color w:val="000000"/>
        </w:rPr>
        <w:t xml:space="preserve">main </w:t>
      </w:r>
      <w:r w:rsidR="00C874A8" w:rsidRPr="000F21D1">
        <w:rPr>
          <w:rFonts w:ascii="Garamond" w:hAnsi="Garamond" w:cs="Sylfaen"/>
          <w:iCs/>
          <w:color w:val="000000"/>
        </w:rPr>
        <w:t>macroeconomic</w:t>
      </w:r>
      <w:r w:rsidR="006104F0" w:rsidRPr="000F21D1">
        <w:rPr>
          <w:rFonts w:ascii="Garamond" w:hAnsi="Garamond" w:cs="Sylfaen"/>
          <w:iCs/>
          <w:color w:val="000000"/>
        </w:rPr>
        <w:t xml:space="preserve"> indicators </w:t>
      </w:r>
      <w:r w:rsidR="00F5538C" w:rsidRPr="000F21D1">
        <w:rPr>
          <w:rFonts w:ascii="Garamond" w:hAnsi="Garamond" w:cs="Sylfaen"/>
          <w:iCs/>
          <w:color w:val="000000"/>
        </w:rPr>
        <w:t xml:space="preserve">outlined </w:t>
      </w:r>
      <w:r w:rsidR="006104F0" w:rsidRPr="000F21D1">
        <w:rPr>
          <w:rFonts w:ascii="Garamond" w:hAnsi="Garamond" w:cs="Sylfaen"/>
          <w:iCs/>
          <w:color w:val="000000"/>
        </w:rPr>
        <w:t xml:space="preserve">in </w:t>
      </w:r>
      <w:r w:rsidRPr="000F21D1">
        <w:rPr>
          <w:rFonts w:ascii="Garamond" w:hAnsi="Garamond"/>
          <w:bCs/>
          <w:iCs/>
        </w:rPr>
        <w:t xml:space="preserve">the </w:t>
      </w:r>
      <w:r w:rsidR="00C874A8" w:rsidRPr="000F21D1">
        <w:rPr>
          <w:rFonts w:ascii="Garamond" w:hAnsi="Garamond" w:cs="Sylfaen"/>
          <w:iCs/>
          <w:color w:val="000000"/>
        </w:rPr>
        <w:t>R</w:t>
      </w:r>
      <w:r w:rsidR="006104F0" w:rsidRPr="000F21D1">
        <w:rPr>
          <w:rFonts w:ascii="Garamond" w:hAnsi="Garamond"/>
          <w:bCs/>
          <w:iCs/>
        </w:rPr>
        <w:t xml:space="preserve">epublic of Armenia </w:t>
      </w:r>
      <w:r w:rsidRPr="000F21D1">
        <w:rPr>
          <w:rFonts w:ascii="Garamond" w:hAnsi="Garamond"/>
          <w:bCs/>
          <w:iCs/>
        </w:rPr>
        <w:t>“</w:t>
      </w:r>
      <w:r w:rsidR="006104F0" w:rsidRPr="000F21D1">
        <w:rPr>
          <w:rFonts w:ascii="Garamond" w:hAnsi="Garamond"/>
          <w:bCs/>
          <w:iCs/>
        </w:rPr>
        <w:t>Medium-Term Publ</w:t>
      </w:r>
      <w:r w:rsidR="00C874A8" w:rsidRPr="000F21D1">
        <w:rPr>
          <w:rFonts w:ascii="Garamond" w:hAnsi="Garamond"/>
          <w:bCs/>
          <w:iCs/>
        </w:rPr>
        <w:t>ic Expenditures Program for 2017</w:t>
      </w:r>
      <w:r w:rsidR="006104F0" w:rsidRPr="000F21D1">
        <w:rPr>
          <w:rFonts w:ascii="Garamond" w:hAnsi="Garamond"/>
          <w:bCs/>
          <w:iCs/>
        </w:rPr>
        <w:t>-201</w:t>
      </w:r>
      <w:r w:rsidR="00C874A8" w:rsidRPr="000F21D1">
        <w:rPr>
          <w:rFonts w:ascii="Garamond" w:hAnsi="Garamond"/>
          <w:bCs/>
          <w:iCs/>
        </w:rPr>
        <w:t>9</w:t>
      </w:r>
      <w:r w:rsidRPr="000F21D1">
        <w:rPr>
          <w:rFonts w:ascii="Garamond" w:hAnsi="Garamond"/>
          <w:bCs/>
          <w:iCs/>
        </w:rPr>
        <w:t>”</w:t>
      </w:r>
      <w:r w:rsidR="006104F0" w:rsidRPr="000F21D1">
        <w:rPr>
          <w:rFonts w:ascii="Garamond" w:hAnsi="Garamond"/>
          <w:bCs/>
          <w:iCs/>
        </w:rPr>
        <w:t xml:space="preserve">. </w:t>
      </w:r>
      <w:r w:rsidR="006104F0" w:rsidRPr="000F21D1">
        <w:rPr>
          <w:rFonts w:ascii="Garamond" w:hAnsi="Garamond" w:cs="Sylfaen"/>
          <w:b/>
          <w:iCs/>
        </w:rPr>
        <w:t>In the medium run</w:t>
      </w:r>
      <w:r w:rsidR="00C874A8" w:rsidRPr="000F21D1">
        <w:rPr>
          <w:rFonts w:ascii="Garamond" w:hAnsi="Garamond" w:cs="Sylfaen"/>
          <w:iCs/>
        </w:rPr>
        <w:t>,</w:t>
      </w:r>
      <w:r w:rsidR="006104F0" w:rsidRPr="000F21D1">
        <w:rPr>
          <w:rFonts w:ascii="Garamond" w:hAnsi="Garamond" w:cs="Sylfaen"/>
          <w:b/>
          <w:iCs/>
        </w:rPr>
        <w:t xml:space="preserve"> </w:t>
      </w:r>
      <w:r w:rsidR="00C874A8" w:rsidRPr="000F21D1">
        <w:rPr>
          <w:rFonts w:ascii="Garamond" w:hAnsi="Garamond" w:cs="Sylfaen"/>
          <w:iCs/>
        </w:rPr>
        <w:t>in pursuit of gradual reduction of the deficit for fiscal and public debt sustainability, the fiscal policy will have a contractionary effect on aggregate demand.</w:t>
      </w:r>
      <w:r w:rsidR="006104F0" w:rsidRPr="000F21D1">
        <w:rPr>
          <w:rFonts w:ascii="Garamond" w:hAnsi="Garamond" w:cs="Sylfaen"/>
          <w:iCs/>
        </w:rPr>
        <w:t xml:space="preserve"> </w:t>
      </w:r>
    </w:p>
    <w:p w14:paraId="46B97E93" w14:textId="77777777" w:rsidR="008931CF" w:rsidRPr="000F21D1" w:rsidRDefault="008931CF" w:rsidP="00B117C8">
      <w:pPr>
        <w:spacing w:line="360" w:lineRule="auto"/>
        <w:jc w:val="both"/>
        <w:rPr>
          <w:rFonts w:ascii="Garamond" w:hAnsi="Garamond" w:cs="Sylfaen"/>
          <w:iCs/>
        </w:rPr>
      </w:pPr>
    </w:p>
    <w:p w14:paraId="5539B22E" w14:textId="77777777" w:rsidR="008931CF" w:rsidRPr="000F21D1" w:rsidRDefault="00844655" w:rsidP="00B117C8">
      <w:pPr>
        <w:spacing w:line="360" w:lineRule="auto"/>
        <w:jc w:val="both"/>
        <w:rPr>
          <w:rFonts w:ascii="Garamond" w:hAnsi="Garamond" w:cs="Sylfaen"/>
          <w:iCs/>
        </w:rPr>
      </w:pPr>
      <w:r w:rsidRPr="000F21D1">
        <w:rPr>
          <w:rFonts w:ascii="Garamond" w:hAnsi="Garamond" w:cs="Sylfaen"/>
          <w:iCs/>
        </w:rPr>
        <w:t xml:space="preserve">In the structure of public expenditures for </w:t>
      </w:r>
      <w:r w:rsidR="008931CF" w:rsidRPr="000F21D1">
        <w:rPr>
          <w:rFonts w:ascii="Garamond" w:hAnsi="Garamond" w:cs="Sylfaen"/>
          <w:iCs/>
        </w:rPr>
        <w:t>201</w:t>
      </w:r>
      <w:r w:rsidR="00C874A8" w:rsidRPr="000F21D1">
        <w:rPr>
          <w:rFonts w:ascii="Garamond" w:hAnsi="Garamond" w:cs="Sylfaen"/>
          <w:iCs/>
        </w:rPr>
        <w:t>7</w:t>
      </w:r>
      <w:r w:rsidR="008931CF" w:rsidRPr="000F21D1">
        <w:rPr>
          <w:rFonts w:ascii="Garamond" w:hAnsi="Garamond" w:cs="Sylfaen"/>
          <w:iCs/>
        </w:rPr>
        <w:t>-201</w:t>
      </w:r>
      <w:r w:rsidR="00C874A8" w:rsidRPr="000F21D1">
        <w:rPr>
          <w:rFonts w:ascii="Garamond" w:hAnsi="Garamond" w:cs="Sylfaen"/>
          <w:iCs/>
        </w:rPr>
        <w:t>9</w:t>
      </w:r>
      <w:r w:rsidRPr="000F21D1">
        <w:rPr>
          <w:rFonts w:ascii="Garamond" w:hAnsi="Garamond" w:cs="Sylfaen"/>
          <w:iCs/>
        </w:rPr>
        <w:t>,</w:t>
      </w:r>
      <w:r w:rsidR="00F36833" w:rsidRPr="000F21D1">
        <w:rPr>
          <w:rFonts w:ascii="Garamond" w:hAnsi="Garamond" w:cs="Sylfaen"/>
          <w:iCs/>
          <w:lang w:val="hy-AM"/>
        </w:rPr>
        <w:t xml:space="preserve"> </w:t>
      </w:r>
      <w:r w:rsidR="00050B69" w:rsidRPr="000F21D1">
        <w:rPr>
          <w:rFonts w:ascii="Garamond" w:hAnsi="Garamond" w:cs="Sylfaen"/>
          <w:iCs/>
        </w:rPr>
        <w:t xml:space="preserve">public debt </w:t>
      </w:r>
      <w:r w:rsidRPr="000F21D1">
        <w:rPr>
          <w:rFonts w:ascii="Garamond" w:hAnsi="Garamond" w:cs="Sylfaen"/>
          <w:iCs/>
        </w:rPr>
        <w:t xml:space="preserve">interest </w:t>
      </w:r>
      <w:r w:rsidR="00050B69" w:rsidRPr="000F21D1">
        <w:rPr>
          <w:rFonts w:ascii="Garamond" w:hAnsi="Garamond" w:cs="Sylfaen"/>
          <w:iCs/>
        </w:rPr>
        <w:t xml:space="preserve">payment </w:t>
      </w:r>
      <w:r w:rsidRPr="000F21D1">
        <w:rPr>
          <w:rFonts w:ascii="Garamond" w:hAnsi="Garamond" w:cs="Sylfaen"/>
          <w:iCs/>
        </w:rPr>
        <w:t xml:space="preserve">constitutes an average </w:t>
      </w:r>
      <w:r w:rsidR="00AB63DE" w:rsidRPr="000F21D1">
        <w:rPr>
          <w:rFonts w:ascii="Garamond" w:hAnsi="Garamond" w:cs="Sylfaen"/>
          <w:iCs/>
        </w:rPr>
        <w:t>2</w:t>
      </w:r>
      <w:r w:rsidR="008931CF" w:rsidRPr="000F21D1">
        <w:rPr>
          <w:rFonts w:ascii="Garamond" w:hAnsi="Garamond" w:cs="Sylfaen"/>
          <w:iCs/>
        </w:rPr>
        <w:t>% of GDP</w:t>
      </w:r>
      <w:r w:rsidRPr="000F21D1">
        <w:rPr>
          <w:rFonts w:ascii="Garamond" w:hAnsi="Garamond" w:cs="Sylfaen"/>
          <w:iCs/>
        </w:rPr>
        <w:t xml:space="preserve"> and </w:t>
      </w:r>
      <w:r w:rsidR="008931CF" w:rsidRPr="000F21D1">
        <w:rPr>
          <w:rFonts w:ascii="Garamond" w:hAnsi="Garamond" w:cs="Sylfaen"/>
          <w:iCs/>
        </w:rPr>
        <w:t>the primary deficit</w:t>
      </w:r>
      <w:r w:rsidRPr="000F21D1">
        <w:rPr>
          <w:rFonts w:ascii="Garamond" w:hAnsi="Garamond" w:cs="Sylfaen"/>
          <w:iCs/>
        </w:rPr>
        <w:t>-to-</w:t>
      </w:r>
      <w:r w:rsidR="008931CF" w:rsidRPr="000F21D1">
        <w:rPr>
          <w:rFonts w:ascii="Garamond" w:hAnsi="Garamond" w:cs="Sylfaen"/>
          <w:iCs/>
        </w:rPr>
        <w:t xml:space="preserve">GDP </w:t>
      </w:r>
      <w:r w:rsidRPr="000F21D1">
        <w:rPr>
          <w:rFonts w:ascii="Garamond" w:hAnsi="Garamond" w:cs="Sylfaen"/>
          <w:iCs/>
        </w:rPr>
        <w:t xml:space="preserve">ratio </w:t>
      </w:r>
      <w:r w:rsidR="008931CF" w:rsidRPr="000F21D1">
        <w:rPr>
          <w:rFonts w:ascii="Garamond" w:hAnsi="Garamond" w:cs="Sylfaen"/>
          <w:iCs/>
        </w:rPr>
        <w:t xml:space="preserve">(deficit </w:t>
      </w:r>
      <w:r w:rsidRPr="000F21D1">
        <w:rPr>
          <w:rFonts w:ascii="Garamond" w:hAnsi="Garamond" w:cs="Sylfaen"/>
          <w:iCs/>
        </w:rPr>
        <w:t>less debt interest</w:t>
      </w:r>
      <w:r w:rsidR="00050B69" w:rsidRPr="000F21D1">
        <w:rPr>
          <w:rFonts w:ascii="Garamond" w:hAnsi="Garamond" w:cs="Sylfaen"/>
          <w:iCs/>
        </w:rPr>
        <w:t xml:space="preserve"> payment</w:t>
      </w:r>
      <w:r w:rsidR="00AB63DE" w:rsidRPr="000F21D1">
        <w:rPr>
          <w:rStyle w:val="FootnoteReference"/>
          <w:rFonts w:ascii="Garamond" w:hAnsi="Garamond" w:cs="Sylfaen"/>
          <w:iCs/>
        </w:rPr>
        <w:footnoteReference w:customMarkFollows="1" w:id="11"/>
        <w:t>11</w:t>
      </w:r>
      <w:r w:rsidR="008931CF" w:rsidRPr="000F21D1">
        <w:rPr>
          <w:rFonts w:ascii="Garamond" w:hAnsi="Garamond" w:cs="Sylfaen"/>
          <w:iCs/>
        </w:rPr>
        <w:t xml:space="preserve">) will average </w:t>
      </w:r>
      <w:r w:rsidR="00AB63DE" w:rsidRPr="000F21D1">
        <w:rPr>
          <w:rFonts w:ascii="Garamond" w:hAnsi="Garamond" w:cs="Sylfaen"/>
          <w:iCs/>
        </w:rPr>
        <w:t>-</w:t>
      </w:r>
      <w:r w:rsidR="008931CF" w:rsidRPr="000F21D1">
        <w:rPr>
          <w:rFonts w:ascii="Garamond" w:hAnsi="Garamond" w:cs="Sylfaen"/>
          <w:iCs/>
        </w:rPr>
        <w:t>0.</w:t>
      </w:r>
      <w:r w:rsidR="00AB63DE" w:rsidRPr="000F21D1">
        <w:rPr>
          <w:rFonts w:ascii="Garamond" w:hAnsi="Garamond" w:cs="Sylfaen"/>
          <w:iCs/>
        </w:rPr>
        <w:t>8</w:t>
      </w:r>
      <w:r w:rsidR="008931CF" w:rsidRPr="000F21D1">
        <w:rPr>
          <w:rFonts w:ascii="Garamond" w:hAnsi="Garamond" w:cs="Sylfaen"/>
          <w:iCs/>
        </w:rPr>
        <w:t>%</w:t>
      </w:r>
      <w:r w:rsidRPr="000F21D1">
        <w:rPr>
          <w:rFonts w:ascii="Garamond" w:hAnsi="Garamond" w:cs="Sylfaen"/>
          <w:iCs/>
        </w:rPr>
        <w:t xml:space="preserve"> of GDP</w:t>
      </w:r>
      <w:r w:rsidR="00AB63DE" w:rsidRPr="000F21D1">
        <w:rPr>
          <w:rFonts w:ascii="Garamond" w:hAnsi="Garamond" w:cs="Sylfaen"/>
          <w:iCs/>
        </w:rPr>
        <w:t xml:space="preserve"> in 2017, will be around zero in 2018 and will reach 0.3% in 2019</w:t>
      </w:r>
      <w:r w:rsidR="008931CF" w:rsidRPr="000F21D1">
        <w:rPr>
          <w:rFonts w:ascii="Garamond" w:hAnsi="Garamond" w:cs="Sylfaen"/>
          <w:iCs/>
        </w:rPr>
        <w:t xml:space="preserve">. </w:t>
      </w:r>
      <w:r w:rsidRPr="000F21D1">
        <w:rPr>
          <w:rFonts w:ascii="Garamond" w:hAnsi="Garamond" w:cs="Sylfaen"/>
          <w:iCs/>
        </w:rPr>
        <w:t xml:space="preserve">The </w:t>
      </w:r>
      <w:r w:rsidR="008931CF" w:rsidRPr="000F21D1">
        <w:rPr>
          <w:rFonts w:ascii="Garamond" w:hAnsi="Garamond" w:cs="Sylfaen"/>
          <w:iCs/>
        </w:rPr>
        <w:t xml:space="preserve">change in </w:t>
      </w:r>
      <w:r w:rsidRPr="000F21D1">
        <w:rPr>
          <w:rFonts w:ascii="Garamond" w:hAnsi="Garamond" w:cs="Sylfaen"/>
          <w:iCs/>
        </w:rPr>
        <w:t xml:space="preserve">primary </w:t>
      </w:r>
      <w:r w:rsidR="008931CF" w:rsidRPr="000F21D1">
        <w:rPr>
          <w:rFonts w:ascii="Garamond" w:hAnsi="Garamond" w:cs="Sylfaen"/>
          <w:iCs/>
        </w:rPr>
        <w:t xml:space="preserve">structural balance (the primary balance adjusted </w:t>
      </w:r>
      <w:r w:rsidRPr="000F21D1">
        <w:rPr>
          <w:rFonts w:ascii="Garamond" w:hAnsi="Garamond" w:cs="Sylfaen"/>
          <w:iCs/>
        </w:rPr>
        <w:t xml:space="preserve">by temporary entries and </w:t>
      </w:r>
      <w:r w:rsidR="008931CF" w:rsidRPr="000F21D1">
        <w:rPr>
          <w:rFonts w:ascii="Garamond" w:hAnsi="Garamond" w:cs="Sylfaen"/>
          <w:iCs/>
        </w:rPr>
        <w:t xml:space="preserve">cyclical effects </w:t>
      </w:r>
      <w:r w:rsidRPr="000F21D1">
        <w:rPr>
          <w:rFonts w:ascii="Garamond" w:hAnsi="Garamond" w:cs="Sylfaen"/>
          <w:iCs/>
        </w:rPr>
        <w:t>of</w:t>
      </w:r>
      <w:r w:rsidR="008931CF" w:rsidRPr="000F21D1">
        <w:rPr>
          <w:rFonts w:ascii="Garamond" w:hAnsi="Garamond" w:cs="Sylfaen"/>
          <w:iCs/>
        </w:rPr>
        <w:t xml:space="preserve"> GDP)</w:t>
      </w:r>
      <w:r w:rsidR="004A4E1C" w:rsidRPr="000F21D1">
        <w:rPr>
          <w:rFonts w:ascii="Garamond" w:hAnsi="Garamond" w:cs="Sylfaen"/>
          <w:iCs/>
        </w:rPr>
        <w:t>, which is the effect of the Government’s fiscal policy,</w:t>
      </w:r>
      <w:r w:rsidR="008931CF" w:rsidRPr="000F21D1">
        <w:rPr>
          <w:rFonts w:ascii="Garamond" w:hAnsi="Garamond" w:cs="Sylfaen"/>
          <w:iCs/>
        </w:rPr>
        <w:t xml:space="preserve"> </w:t>
      </w:r>
      <w:r w:rsidRPr="000F21D1">
        <w:rPr>
          <w:rFonts w:ascii="Garamond" w:hAnsi="Garamond" w:cs="Sylfaen"/>
          <w:iCs/>
        </w:rPr>
        <w:t>is</w:t>
      </w:r>
      <w:r w:rsidR="008931CF" w:rsidRPr="000F21D1">
        <w:rPr>
          <w:rFonts w:ascii="Garamond" w:hAnsi="Garamond" w:cs="Sylfaen"/>
          <w:iCs/>
        </w:rPr>
        <w:t xml:space="preserve"> estimated </w:t>
      </w:r>
      <w:r w:rsidR="004A4E1C" w:rsidRPr="000F21D1">
        <w:rPr>
          <w:rFonts w:ascii="Garamond" w:hAnsi="Garamond" w:cs="Sylfaen"/>
          <w:iCs/>
        </w:rPr>
        <w:t xml:space="preserve">to be neutral in </w:t>
      </w:r>
      <w:r w:rsidRPr="000F21D1">
        <w:rPr>
          <w:rFonts w:ascii="Garamond" w:hAnsi="Garamond" w:cs="Sylfaen"/>
          <w:iCs/>
        </w:rPr>
        <w:t>2017</w:t>
      </w:r>
      <w:r w:rsidR="004A4E1C" w:rsidRPr="000F21D1">
        <w:rPr>
          <w:rFonts w:ascii="Garamond" w:hAnsi="Garamond" w:cs="Sylfaen"/>
          <w:iCs/>
        </w:rPr>
        <w:t>-2019, reaching 0.9 on average</w:t>
      </w:r>
      <w:r w:rsidR="008931CF" w:rsidRPr="000F21D1">
        <w:rPr>
          <w:rFonts w:ascii="Garamond" w:hAnsi="Garamond" w:cs="Sylfaen"/>
          <w:iCs/>
        </w:rPr>
        <w:t>.</w:t>
      </w:r>
    </w:p>
    <w:p w14:paraId="21757451" w14:textId="77777777" w:rsidR="00E36407" w:rsidRPr="000F21D1" w:rsidRDefault="00E36407" w:rsidP="00B117C8">
      <w:pPr>
        <w:spacing w:line="360" w:lineRule="auto"/>
        <w:jc w:val="both"/>
        <w:rPr>
          <w:rFonts w:ascii="Garamond" w:hAnsi="Garamond" w:cs="Sylfaen"/>
          <w:iCs/>
        </w:rPr>
      </w:pPr>
    </w:p>
    <w:p w14:paraId="31FC0697" w14:textId="77777777" w:rsidR="00E36407" w:rsidRPr="000F21D1" w:rsidRDefault="00E36407" w:rsidP="00B117C8">
      <w:pPr>
        <w:spacing w:line="360" w:lineRule="auto"/>
        <w:jc w:val="both"/>
        <w:rPr>
          <w:rFonts w:ascii="Garamond" w:hAnsi="Garamond" w:cs="Sylfaen"/>
          <w:iCs/>
          <w:color w:val="000000"/>
        </w:rPr>
      </w:pPr>
      <w:r w:rsidRPr="000F21D1">
        <w:rPr>
          <w:rFonts w:ascii="Garamond" w:hAnsi="Garamond" w:cs="Sylfaen"/>
          <w:iCs/>
          <w:color w:val="000000"/>
        </w:rPr>
        <w:t xml:space="preserve">The fiscal policy’s impact over the medium-term is </w:t>
      </w:r>
      <w:r w:rsidRPr="000F21D1">
        <w:rPr>
          <w:rFonts w:ascii="Garamond" w:hAnsi="Garamond" w:cs="Sylfaen"/>
          <w:b/>
          <w:iCs/>
          <w:color w:val="000000"/>
        </w:rPr>
        <w:t>non-inflationary</w:t>
      </w:r>
      <w:r w:rsidRPr="000F21D1">
        <w:rPr>
          <w:rFonts w:ascii="Garamond" w:hAnsi="Garamond" w:cs="Sylfaen"/>
          <w:iCs/>
          <w:color w:val="000000"/>
        </w:rPr>
        <w:t>.</w:t>
      </w:r>
    </w:p>
    <w:p w14:paraId="2C95AD6B" w14:textId="77777777" w:rsidR="00B62C86" w:rsidRPr="000F21D1" w:rsidRDefault="00B62C86" w:rsidP="00B117C8">
      <w:pPr>
        <w:spacing w:line="360" w:lineRule="auto"/>
        <w:jc w:val="both"/>
        <w:rPr>
          <w:rFonts w:ascii="Garamond" w:hAnsi="Garamond" w:cs="Sylfaen"/>
          <w:iCs/>
          <w:color w:val="000000"/>
        </w:rPr>
      </w:pPr>
    </w:p>
    <w:p w14:paraId="052A9E31" w14:textId="77777777" w:rsidR="00B62C86" w:rsidRPr="000F21D1" w:rsidRDefault="00B62C86" w:rsidP="00B117C8">
      <w:pPr>
        <w:spacing w:line="360" w:lineRule="auto"/>
        <w:jc w:val="both"/>
        <w:rPr>
          <w:rFonts w:ascii="Garamond" w:hAnsi="Garamond"/>
          <w:b/>
          <w:bCs/>
          <w:iCs/>
        </w:rPr>
      </w:pPr>
      <w:r w:rsidRPr="000F21D1">
        <w:rPr>
          <w:rFonts w:ascii="Garamond" w:hAnsi="Garamond" w:cs="Sylfaen"/>
          <w:b/>
        </w:rPr>
        <w:t xml:space="preserve">Summary: </w:t>
      </w:r>
      <w:r w:rsidRPr="000F21D1">
        <w:rPr>
          <w:rFonts w:ascii="Garamond" w:hAnsi="Garamond"/>
          <w:b/>
          <w:bCs/>
          <w:iCs/>
        </w:rPr>
        <w:t xml:space="preserve">from the </w:t>
      </w:r>
      <w:r w:rsidR="00BA5700" w:rsidRPr="000F21D1">
        <w:rPr>
          <w:rFonts w:ascii="Garamond" w:hAnsi="Garamond"/>
          <w:b/>
          <w:bCs/>
          <w:iCs/>
        </w:rPr>
        <w:t xml:space="preserve">second half </w:t>
      </w:r>
      <w:r w:rsidRPr="000F21D1">
        <w:rPr>
          <w:rFonts w:ascii="Garamond" w:hAnsi="Garamond"/>
          <w:b/>
          <w:bCs/>
          <w:iCs/>
        </w:rPr>
        <w:t>of 2016 to end-2017 the combined impact of the fiscal policy, private demand and labor market on domestic prices will be deflationary, in the range of 1.</w:t>
      </w:r>
      <w:r w:rsidR="00BA5700" w:rsidRPr="000F21D1">
        <w:rPr>
          <w:rFonts w:ascii="Garamond" w:hAnsi="Garamond"/>
          <w:b/>
          <w:bCs/>
          <w:iCs/>
        </w:rPr>
        <w:t>2</w:t>
      </w:r>
      <w:r w:rsidRPr="000F21D1">
        <w:rPr>
          <w:rFonts w:ascii="Garamond" w:hAnsi="Garamond"/>
          <w:b/>
          <w:bCs/>
          <w:iCs/>
        </w:rPr>
        <w:t>-1.</w:t>
      </w:r>
      <w:r w:rsidR="00BA5700" w:rsidRPr="000F21D1">
        <w:rPr>
          <w:rFonts w:ascii="Garamond" w:hAnsi="Garamond"/>
          <w:b/>
          <w:bCs/>
          <w:iCs/>
        </w:rPr>
        <w:t>4</w:t>
      </w:r>
      <w:r w:rsidRPr="000F21D1">
        <w:rPr>
          <w:rFonts w:ascii="Garamond" w:hAnsi="Garamond"/>
          <w:b/>
          <w:bCs/>
          <w:iCs/>
        </w:rPr>
        <w:t xml:space="preserve"> pp. This will be determined by predominantly deflationary impact of private spending amid stabilizing inflation expectations. Also, given the 0.</w:t>
      </w:r>
      <w:r w:rsidR="00C211EC" w:rsidRPr="000F21D1">
        <w:rPr>
          <w:rFonts w:ascii="Garamond" w:hAnsi="Garamond"/>
          <w:b/>
          <w:bCs/>
          <w:iCs/>
        </w:rPr>
        <w:t>2</w:t>
      </w:r>
      <w:r w:rsidRPr="000F21D1">
        <w:rPr>
          <w:rFonts w:ascii="Garamond" w:hAnsi="Garamond"/>
          <w:b/>
          <w:bCs/>
          <w:iCs/>
        </w:rPr>
        <w:t>-0.</w:t>
      </w:r>
      <w:r w:rsidR="00C211EC" w:rsidRPr="000F21D1">
        <w:rPr>
          <w:rFonts w:ascii="Garamond" w:hAnsi="Garamond"/>
          <w:b/>
          <w:bCs/>
          <w:iCs/>
        </w:rPr>
        <w:t>3</w:t>
      </w:r>
      <w:r w:rsidRPr="000F21D1">
        <w:rPr>
          <w:rFonts w:ascii="Garamond" w:hAnsi="Garamond"/>
          <w:b/>
          <w:bCs/>
          <w:iCs/>
        </w:rPr>
        <w:t xml:space="preserve"> p</w:t>
      </w:r>
      <w:r w:rsidR="00A96CCB" w:rsidRPr="000F21D1">
        <w:rPr>
          <w:rFonts w:ascii="Garamond" w:hAnsi="Garamond"/>
          <w:b/>
          <w:bCs/>
          <w:iCs/>
        </w:rPr>
        <w:t>p</w:t>
      </w:r>
      <w:r w:rsidRPr="000F21D1">
        <w:rPr>
          <w:rFonts w:ascii="Garamond" w:hAnsi="Garamond"/>
          <w:b/>
          <w:bCs/>
          <w:iCs/>
        </w:rPr>
        <w:t xml:space="preserve"> inflationary impact of net external demand, one may conclude that overall aggregate demand and labor market developments in the above-mentioned period will create an average </w:t>
      </w:r>
      <w:r w:rsidR="00C211EC" w:rsidRPr="000F21D1">
        <w:rPr>
          <w:rFonts w:ascii="Garamond" w:hAnsi="Garamond"/>
          <w:b/>
          <w:bCs/>
          <w:iCs/>
        </w:rPr>
        <w:t>0</w:t>
      </w:r>
      <w:r w:rsidRPr="000F21D1">
        <w:rPr>
          <w:rFonts w:ascii="Garamond" w:hAnsi="Garamond"/>
          <w:b/>
          <w:bCs/>
          <w:iCs/>
        </w:rPr>
        <w:t>.</w:t>
      </w:r>
      <w:r w:rsidR="00C211EC" w:rsidRPr="000F21D1">
        <w:rPr>
          <w:rFonts w:ascii="Garamond" w:hAnsi="Garamond"/>
          <w:b/>
          <w:bCs/>
          <w:iCs/>
        </w:rPr>
        <w:t>9</w:t>
      </w:r>
      <w:r w:rsidRPr="000F21D1">
        <w:rPr>
          <w:rFonts w:ascii="Garamond" w:hAnsi="Garamond"/>
          <w:b/>
          <w:bCs/>
          <w:iCs/>
        </w:rPr>
        <w:t>-1.</w:t>
      </w:r>
      <w:r w:rsidR="00C211EC" w:rsidRPr="000F21D1">
        <w:rPr>
          <w:rFonts w:ascii="Garamond" w:hAnsi="Garamond"/>
          <w:b/>
          <w:bCs/>
          <w:iCs/>
        </w:rPr>
        <w:t>1</w:t>
      </w:r>
      <w:r w:rsidRPr="000F21D1">
        <w:rPr>
          <w:rFonts w:ascii="Garamond" w:hAnsi="Garamond"/>
          <w:b/>
          <w:bCs/>
          <w:iCs/>
        </w:rPr>
        <w:t xml:space="preserve"> pp</w:t>
      </w:r>
      <w:r w:rsidR="00BE7257" w:rsidRPr="000F21D1">
        <w:rPr>
          <w:rFonts w:ascii="Garamond" w:hAnsi="Garamond"/>
          <w:b/>
          <w:bCs/>
          <w:iCs/>
          <w:lang w:val="hy-AM"/>
        </w:rPr>
        <w:t xml:space="preserve"> </w:t>
      </w:r>
      <w:r w:rsidR="00C211EC" w:rsidRPr="000F21D1">
        <w:rPr>
          <w:rFonts w:ascii="Garamond" w:hAnsi="Garamond"/>
          <w:b/>
          <w:bCs/>
          <w:iCs/>
        </w:rPr>
        <w:t xml:space="preserve">of </w:t>
      </w:r>
      <w:r w:rsidRPr="000F21D1">
        <w:rPr>
          <w:rFonts w:ascii="Garamond" w:hAnsi="Garamond"/>
          <w:b/>
          <w:bCs/>
          <w:iCs/>
        </w:rPr>
        <w:t>deflationary pressures in the consumer market.</w:t>
      </w:r>
    </w:p>
    <w:p w14:paraId="4F0379BE" w14:textId="77777777" w:rsidR="00A70330" w:rsidRPr="000F21D1" w:rsidRDefault="00A70330" w:rsidP="00B117C8">
      <w:pPr>
        <w:spacing w:line="360" w:lineRule="auto"/>
        <w:jc w:val="both"/>
        <w:rPr>
          <w:rFonts w:ascii="Garamond" w:hAnsi="Garamond"/>
          <w:b/>
          <w:bCs/>
          <w:iCs/>
        </w:rPr>
      </w:pPr>
    </w:p>
    <w:p w14:paraId="536253DA" w14:textId="77777777" w:rsidR="00A70330" w:rsidRPr="000F21D1" w:rsidRDefault="001D74AC" w:rsidP="001D74AC">
      <w:pPr>
        <w:tabs>
          <w:tab w:val="left" w:pos="5850"/>
        </w:tabs>
        <w:spacing w:line="360" w:lineRule="auto"/>
        <w:jc w:val="both"/>
        <w:rPr>
          <w:rFonts w:ascii="Garamond" w:hAnsi="Garamond"/>
          <w:b/>
          <w:bCs/>
          <w:iCs/>
        </w:rPr>
      </w:pPr>
      <w:r w:rsidRPr="000F21D1">
        <w:rPr>
          <w:rFonts w:ascii="Garamond" w:hAnsi="Garamond"/>
          <w:b/>
          <w:bCs/>
          <w:iCs/>
        </w:rPr>
        <w:t>In the above-mentioned period, as aggregate demand recovers</w:t>
      </w:r>
      <w:r w:rsidR="00202757" w:rsidRPr="000F21D1">
        <w:rPr>
          <w:rFonts w:ascii="Garamond" w:hAnsi="Garamond"/>
          <w:b/>
          <w:bCs/>
          <w:iCs/>
        </w:rPr>
        <w:t xml:space="preserve"> on the premise of easing monetary conditions</w:t>
      </w:r>
      <w:r w:rsidRPr="000F21D1">
        <w:rPr>
          <w:rFonts w:ascii="Garamond" w:hAnsi="Garamond"/>
          <w:b/>
          <w:bCs/>
          <w:iCs/>
        </w:rPr>
        <w:t xml:space="preserve">, these deflationary pressures will phase out gradually. </w:t>
      </w:r>
      <w:r w:rsidR="00A70330" w:rsidRPr="000F21D1">
        <w:rPr>
          <w:rFonts w:ascii="Garamond" w:hAnsi="Garamond"/>
          <w:b/>
          <w:bCs/>
          <w:iCs/>
        </w:rPr>
        <w:t>Starting from the fourth quarter of 2017 up until the e</w:t>
      </w:r>
      <w:r w:rsidRPr="000F21D1">
        <w:rPr>
          <w:rFonts w:ascii="Garamond" w:hAnsi="Garamond"/>
          <w:b/>
          <w:bCs/>
          <w:iCs/>
        </w:rPr>
        <w:t xml:space="preserve">nd of the forecast horizon, the </w:t>
      </w:r>
      <w:r w:rsidR="00A70330" w:rsidRPr="000F21D1">
        <w:rPr>
          <w:rFonts w:ascii="Garamond" w:hAnsi="Garamond"/>
          <w:b/>
          <w:bCs/>
          <w:iCs/>
        </w:rPr>
        <w:t xml:space="preserve">overall aggregate demand and labor market </w:t>
      </w:r>
      <w:r w:rsidRPr="000F21D1">
        <w:rPr>
          <w:rFonts w:ascii="Garamond" w:hAnsi="Garamond"/>
          <w:b/>
          <w:bCs/>
          <w:iCs/>
        </w:rPr>
        <w:t xml:space="preserve">will create </w:t>
      </w:r>
      <w:r w:rsidR="00A70330" w:rsidRPr="000F21D1">
        <w:rPr>
          <w:rFonts w:ascii="Garamond" w:hAnsi="Garamond"/>
          <w:b/>
          <w:bCs/>
          <w:iCs/>
        </w:rPr>
        <w:t>inflation</w:t>
      </w:r>
      <w:r w:rsidRPr="000F21D1">
        <w:rPr>
          <w:rFonts w:ascii="Garamond" w:hAnsi="Garamond"/>
          <w:b/>
          <w:bCs/>
          <w:iCs/>
        </w:rPr>
        <w:t>ary effect, making up 1.</w:t>
      </w:r>
      <w:r w:rsidR="00202757" w:rsidRPr="000F21D1">
        <w:rPr>
          <w:rFonts w:ascii="Garamond" w:hAnsi="Garamond"/>
          <w:b/>
          <w:bCs/>
          <w:iCs/>
        </w:rPr>
        <w:t>6</w:t>
      </w:r>
      <w:r w:rsidRPr="000F21D1">
        <w:rPr>
          <w:rFonts w:ascii="Garamond" w:hAnsi="Garamond"/>
          <w:b/>
          <w:bCs/>
          <w:iCs/>
        </w:rPr>
        <w:t>-1.</w:t>
      </w:r>
      <w:r w:rsidR="00202757" w:rsidRPr="000F21D1">
        <w:rPr>
          <w:rFonts w:ascii="Garamond" w:hAnsi="Garamond"/>
          <w:b/>
          <w:bCs/>
          <w:iCs/>
        </w:rPr>
        <w:t>8</w:t>
      </w:r>
      <w:r w:rsidRPr="000F21D1">
        <w:rPr>
          <w:rFonts w:ascii="Garamond" w:hAnsi="Garamond"/>
          <w:b/>
          <w:bCs/>
          <w:iCs/>
        </w:rPr>
        <w:t xml:space="preserve"> pp on average</w:t>
      </w:r>
      <w:r w:rsidR="00A70330" w:rsidRPr="000F21D1">
        <w:rPr>
          <w:rFonts w:ascii="Garamond" w:hAnsi="Garamond"/>
          <w:b/>
          <w:bCs/>
          <w:iCs/>
        </w:rPr>
        <w:t>.</w:t>
      </w:r>
    </w:p>
    <w:p w14:paraId="7E37A643" w14:textId="77777777" w:rsidR="00CE2FF3" w:rsidRPr="000F21D1" w:rsidRDefault="00CE2FF3" w:rsidP="001D74AC">
      <w:pPr>
        <w:tabs>
          <w:tab w:val="left" w:pos="5850"/>
        </w:tabs>
        <w:spacing w:line="360" w:lineRule="auto"/>
        <w:jc w:val="both"/>
        <w:rPr>
          <w:rFonts w:ascii="Garamond" w:hAnsi="Garamond"/>
          <w:b/>
          <w:bCs/>
          <w:iCs/>
        </w:rPr>
      </w:pPr>
    </w:p>
    <w:p w14:paraId="37F250E6" w14:textId="77777777" w:rsidR="009B54D7" w:rsidRPr="000F21D1" w:rsidRDefault="00CE2FF3" w:rsidP="00CE2FF3">
      <w:pPr>
        <w:tabs>
          <w:tab w:val="left" w:pos="5850"/>
        </w:tabs>
        <w:spacing w:line="360" w:lineRule="auto"/>
        <w:jc w:val="both"/>
        <w:rPr>
          <w:rFonts w:ascii="Garamond" w:hAnsi="Garamond"/>
          <w:b/>
          <w:bCs/>
          <w:iCs/>
        </w:rPr>
      </w:pPr>
      <w:r w:rsidRPr="000F21D1">
        <w:rPr>
          <w:rFonts w:ascii="Garamond" w:hAnsi="Garamond"/>
          <w:b/>
          <w:bCs/>
          <w:iCs/>
        </w:rPr>
        <w:t>2.3. Inflation forecasts and monetary policy directions in 3-year forecast horizon</w:t>
      </w:r>
    </w:p>
    <w:p w14:paraId="66166B6F" w14:textId="77777777" w:rsidR="00CE2FF3" w:rsidRPr="000F21D1" w:rsidRDefault="00CE2FF3" w:rsidP="00CE2FF3">
      <w:pPr>
        <w:tabs>
          <w:tab w:val="left" w:pos="5850"/>
        </w:tabs>
        <w:spacing w:line="360" w:lineRule="auto"/>
        <w:jc w:val="both"/>
        <w:rPr>
          <w:rFonts w:ascii="Garamond" w:hAnsi="Garamond"/>
          <w:b/>
          <w:bCs/>
          <w:iCs/>
        </w:rPr>
      </w:pPr>
    </w:p>
    <w:p w14:paraId="0524600A" w14:textId="77777777" w:rsidR="00CE2FF3" w:rsidRPr="000F21D1" w:rsidRDefault="00CD29E8" w:rsidP="00CE2FF3">
      <w:pPr>
        <w:tabs>
          <w:tab w:val="left" w:pos="5850"/>
        </w:tabs>
        <w:spacing w:line="360" w:lineRule="auto"/>
        <w:jc w:val="both"/>
        <w:rPr>
          <w:rFonts w:ascii="Garamond" w:hAnsi="Garamond" w:cs="Sylfaen"/>
          <w:b/>
          <w:color w:val="000000"/>
        </w:rPr>
      </w:pPr>
      <w:r w:rsidRPr="000F21D1">
        <w:rPr>
          <w:rFonts w:ascii="Garamond" w:hAnsi="Garamond" w:cs="Sylfaen"/>
        </w:rPr>
        <w:t xml:space="preserve">With the global demand staying weak, the second quarter of 2016 reported </w:t>
      </w:r>
      <w:r w:rsidRPr="000F21D1">
        <w:rPr>
          <w:rFonts w:ascii="Garamond" w:hAnsi="Garamond" w:cs="Sylfaen"/>
          <w:b/>
        </w:rPr>
        <w:t>some acceleration in economic activity in the main partner countries to Armenia</w:t>
      </w:r>
      <w:r w:rsidRPr="000F21D1">
        <w:rPr>
          <w:rFonts w:ascii="Garamond" w:hAnsi="Garamond" w:cs="Sylfaen"/>
        </w:rPr>
        <w:t xml:space="preserve">, except the U.S.A. where economic growth rates </w:t>
      </w:r>
      <w:r w:rsidR="00B04247" w:rsidRPr="000F21D1">
        <w:rPr>
          <w:rFonts w:ascii="Garamond" w:hAnsi="Garamond" w:cs="Sylfaen"/>
        </w:rPr>
        <w:t xml:space="preserve">have </w:t>
      </w:r>
      <w:r w:rsidRPr="000F21D1">
        <w:rPr>
          <w:rFonts w:ascii="Garamond" w:hAnsi="Garamond" w:cs="Sylfaen"/>
        </w:rPr>
        <w:t xml:space="preserve">slowed down. </w:t>
      </w:r>
      <w:r w:rsidR="00B04247" w:rsidRPr="000F21D1">
        <w:rPr>
          <w:rFonts w:ascii="Garamond" w:hAnsi="Garamond" w:cs="Sylfaen"/>
        </w:rPr>
        <w:t>E</w:t>
      </w:r>
      <w:r w:rsidR="00B074AD" w:rsidRPr="000F21D1">
        <w:rPr>
          <w:rFonts w:ascii="Garamond" w:hAnsi="Garamond" w:cs="Sylfaen"/>
        </w:rPr>
        <w:t>conomic d</w:t>
      </w:r>
      <w:r w:rsidR="005355D1" w:rsidRPr="000F21D1">
        <w:rPr>
          <w:rFonts w:ascii="Garamond" w:hAnsi="Garamond" w:cs="Sylfaen"/>
        </w:rPr>
        <w:t xml:space="preserve">ecline in </w:t>
      </w:r>
      <w:r w:rsidR="00B074AD" w:rsidRPr="000F21D1">
        <w:rPr>
          <w:rFonts w:ascii="Garamond" w:hAnsi="Garamond" w:cs="Sylfaen"/>
        </w:rPr>
        <w:t>Russia was slower</w:t>
      </w:r>
      <w:r w:rsidRPr="000F21D1">
        <w:rPr>
          <w:rFonts w:ascii="Garamond" w:hAnsi="Garamond" w:cs="Sylfaen"/>
        </w:rPr>
        <w:t xml:space="preserve"> than anticipated</w:t>
      </w:r>
      <w:r w:rsidR="005355D1" w:rsidRPr="000F21D1">
        <w:rPr>
          <w:rFonts w:ascii="Garamond" w:hAnsi="Garamond" w:cs="Sylfaen"/>
        </w:rPr>
        <w:t xml:space="preserve"> (it is an </w:t>
      </w:r>
      <w:r w:rsidR="00B074AD" w:rsidRPr="000F21D1">
        <w:rPr>
          <w:rFonts w:ascii="Garamond" w:hAnsi="Garamond" w:cs="Sylfaen"/>
        </w:rPr>
        <w:t>estimated -</w:t>
      </w:r>
      <w:r w:rsidR="00E5405B" w:rsidRPr="000F21D1">
        <w:rPr>
          <w:rFonts w:ascii="Garamond" w:hAnsi="Garamond" w:cs="Sylfaen"/>
        </w:rPr>
        <w:t>0</w:t>
      </w:r>
      <w:r w:rsidR="00B074AD" w:rsidRPr="000F21D1">
        <w:rPr>
          <w:rFonts w:ascii="Garamond" w:hAnsi="Garamond" w:cs="Sylfaen"/>
        </w:rPr>
        <w:t>.</w:t>
      </w:r>
      <w:r w:rsidR="00E5405B" w:rsidRPr="000F21D1">
        <w:rPr>
          <w:rFonts w:ascii="Garamond" w:hAnsi="Garamond" w:cs="Sylfaen"/>
        </w:rPr>
        <w:t>6</w:t>
      </w:r>
      <w:r w:rsidR="00B074AD" w:rsidRPr="000F21D1">
        <w:rPr>
          <w:rFonts w:ascii="Garamond" w:hAnsi="Garamond" w:cs="Sylfaen"/>
        </w:rPr>
        <w:t xml:space="preserve">% </w:t>
      </w:r>
      <w:r w:rsidR="005355D1" w:rsidRPr="000F21D1">
        <w:rPr>
          <w:rFonts w:ascii="Garamond" w:hAnsi="Garamond" w:cs="Sylfaen"/>
        </w:rPr>
        <w:t xml:space="preserve">for the </w:t>
      </w:r>
      <w:r w:rsidR="00E5405B" w:rsidRPr="000F21D1">
        <w:rPr>
          <w:rFonts w:ascii="Garamond" w:hAnsi="Garamond" w:cs="Sylfaen"/>
        </w:rPr>
        <w:t>second</w:t>
      </w:r>
      <w:r w:rsidR="005355D1" w:rsidRPr="000F21D1">
        <w:rPr>
          <w:rFonts w:ascii="Garamond" w:hAnsi="Garamond" w:cs="Sylfaen"/>
        </w:rPr>
        <w:t xml:space="preserve"> quarter of 2016 </w:t>
      </w:r>
      <w:r w:rsidR="00B074AD" w:rsidRPr="000F21D1">
        <w:rPr>
          <w:rFonts w:ascii="Garamond" w:hAnsi="Garamond" w:cs="Sylfaen"/>
        </w:rPr>
        <w:t xml:space="preserve">instead of </w:t>
      </w:r>
      <w:r w:rsidR="00E5405B" w:rsidRPr="000F21D1">
        <w:rPr>
          <w:rFonts w:ascii="Garamond" w:hAnsi="Garamond" w:cs="Sylfaen"/>
        </w:rPr>
        <w:t>projected</w:t>
      </w:r>
      <w:r w:rsidR="005355D1" w:rsidRPr="000F21D1">
        <w:rPr>
          <w:rFonts w:ascii="Garamond" w:hAnsi="Garamond" w:cs="Sylfaen"/>
        </w:rPr>
        <w:t xml:space="preserve"> </w:t>
      </w:r>
      <w:r w:rsidR="00B074AD" w:rsidRPr="000F21D1">
        <w:rPr>
          <w:rFonts w:ascii="Garamond" w:hAnsi="Garamond" w:cs="Sylfaen"/>
        </w:rPr>
        <w:t>-</w:t>
      </w:r>
      <w:r w:rsidR="00E5405B" w:rsidRPr="000F21D1">
        <w:rPr>
          <w:rFonts w:ascii="Garamond" w:hAnsi="Garamond" w:cs="Sylfaen"/>
        </w:rPr>
        <w:t>1</w:t>
      </w:r>
      <w:r w:rsidR="00B074AD" w:rsidRPr="000F21D1">
        <w:rPr>
          <w:rFonts w:ascii="Garamond" w:hAnsi="Garamond" w:cs="Sylfaen"/>
        </w:rPr>
        <w:t>.</w:t>
      </w:r>
      <w:r w:rsidR="00E5405B" w:rsidRPr="000F21D1">
        <w:rPr>
          <w:rFonts w:ascii="Garamond" w:hAnsi="Garamond" w:cs="Sylfaen"/>
        </w:rPr>
        <w:t>3</w:t>
      </w:r>
      <w:r w:rsidR="00B074AD" w:rsidRPr="000F21D1">
        <w:rPr>
          <w:rFonts w:ascii="Garamond" w:hAnsi="Garamond" w:cs="Sylfaen"/>
        </w:rPr>
        <w:t>%</w:t>
      </w:r>
      <w:r w:rsidR="005355D1" w:rsidRPr="000F21D1">
        <w:rPr>
          <w:rFonts w:ascii="Garamond" w:hAnsi="Garamond" w:cs="Sylfaen"/>
        </w:rPr>
        <w:t>)</w:t>
      </w:r>
      <w:r w:rsidR="00B074AD" w:rsidRPr="000F21D1">
        <w:rPr>
          <w:rFonts w:ascii="Garamond" w:hAnsi="Garamond" w:cs="Sylfaen"/>
        </w:rPr>
        <w:t xml:space="preserve">. </w:t>
      </w:r>
      <w:r w:rsidR="00B04247" w:rsidRPr="000F21D1">
        <w:rPr>
          <w:rFonts w:ascii="Garamond" w:hAnsi="Garamond" w:cs="Sylfaen"/>
        </w:rPr>
        <w:t xml:space="preserve">In the meantime, </w:t>
      </w:r>
      <w:r w:rsidR="00AC2FAF" w:rsidRPr="000F21D1">
        <w:rPr>
          <w:rFonts w:ascii="Garamond" w:hAnsi="Garamond" w:cs="Sylfaen"/>
          <w:b/>
        </w:rPr>
        <w:t>a relative stability persisted</w:t>
      </w:r>
      <w:r w:rsidR="00AC2FAF" w:rsidRPr="000F21D1">
        <w:rPr>
          <w:rFonts w:ascii="Garamond" w:hAnsi="Garamond"/>
          <w:b/>
          <w:iCs/>
        </w:rPr>
        <w:t xml:space="preserve"> </w:t>
      </w:r>
      <w:r w:rsidR="00B04247" w:rsidRPr="000F21D1">
        <w:rPr>
          <w:rFonts w:ascii="Garamond" w:hAnsi="Garamond"/>
          <w:b/>
          <w:iCs/>
        </w:rPr>
        <w:t>in commodity and food product markets of the world</w:t>
      </w:r>
      <w:r w:rsidR="00B04247" w:rsidRPr="000F21D1">
        <w:rPr>
          <w:rFonts w:ascii="Garamond" w:hAnsi="Garamond" w:cs="Sylfaen"/>
        </w:rPr>
        <w:t xml:space="preserve"> in the face of reduced supply factors, </w:t>
      </w:r>
      <w:r w:rsidR="00AC2FAF" w:rsidRPr="000F21D1">
        <w:rPr>
          <w:rFonts w:ascii="Garamond" w:hAnsi="Garamond" w:cs="Sylfaen"/>
        </w:rPr>
        <w:t xml:space="preserve">although some inflationary patterns were observable in respect of a number of food products. </w:t>
      </w:r>
    </w:p>
    <w:p w14:paraId="5F850386" w14:textId="77777777" w:rsidR="00DB0661" w:rsidRPr="000F21D1" w:rsidRDefault="00DB0661" w:rsidP="00CE2FF3">
      <w:pPr>
        <w:tabs>
          <w:tab w:val="left" w:pos="5850"/>
        </w:tabs>
        <w:spacing w:line="360" w:lineRule="auto"/>
        <w:jc w:val="both"/>
        <w:rPr>
          <w:rFonts w:ascii="Garamond" w:hAnsi="Garamond" w:cs="Sylfaen"/>
          <w:b/>
          <w:color w:val="000000"/>
        </w:rPr>
      </w:pPr>
    </w:p>
    <w:p w14:paraId="0CE505BF" w14:textId="77777777" w:rsidR="00DB0661" w:rsidRPr="000F21D1" w:rsidRDefault="00DB0661" w:rsidP="00CE2FF3">
      <w:pPr>
        <w:tabs>
          <w:tab w:val="left" w:pos="5850"/>
        </w:tabs>
        <w:spacing w:line="360" w:lineRule="auto"/>
        <w:jc w:val="both"/>
        <w:rPr>
          <w:rFonts w:ascii="Garamond" w:hAnsi="Garamond" w:cs="Sylfaen"/>
        </w:rPr>
      </w:pPr>
      <w:r w:rsidRPr="000F21D1">
        <w:rPr>
          <w:rFonts w:ascii="Garamond" w:hAnsi="Garamond"/>
          <w:b/>
          <w:iCs/>
        </w:rPr>
        <w:t>In the forecast horizon</w:t>
      </w:r>
      <w:r w:rsidRPr="000F21D1">
        <w:rPr>
          <w:rFonts w:ascii="Garamond" w:hAnsi="Garamond"/>
          <w:iCs/>
        </w:rPr>
        <w:t xml:space="preserve"> </w:t>
      </w:r>
      <w:r w:rsidRPr="000F21D1">
        <w:rPr>
          <w:rFonts w:ascii="Garamond" w:hAnsi="Garamond"/>
          <w:b/>
          <w:iCs/>
        </w:rPr>
        <w:t>global economic growth will continue at a slow pace</w:t>
      </w:r>
      <w:r w:rsidR="00454718" w:rsidRPr="000F21D1">
        <w:rPr>
          <w:rFonts w:ascii="Garamond" w:hAnsi="Garamond"/>
          <w:iCs/>
        </w:rPr>
        <w:t>.</w:t>
      </w:r>
      <w:r w:rsidR="00BE7257" w:rsidRPr="000F21D1">
        <w:rPr>
          <w:rFonts w:ascii="Garamond" w:hAnsi="Garamond"/>
          <w:iCs/>
          <w:lang w:val="hy-AM"/>
        </w:rPr>
        <w:t xml:space="preserve"> </w:t>
      </w:r>
      <w:r w:rsidR="00454718" w:rsidRPr="000F21D1">
        <w:rPr>
          <w:rFonts w:ascii="Garamond" w:hAnsi="Garamond"/>
          <w:iCs/>
        </w:rPr>
        <w:t>W</w:t>
      </w:r>
      <w:r w:rsidRPr="000F21D1">
        <w:rPr>
          <w:rFonts w:ascii="Garamond" w:hAnsi="Garamond"/>
          <w:iCs/>
        </w:rPr>
        <w:t xml:space="preserve">hile economic growth rates </w:t>
      </w:r>
      <w:r w:rsidR="00454718" w:rsidRPr="000F21D1">
        <w:rPr>
          <w:rFonts w:ascii="Garamond" w:hAnsi="Garamond"/>
          <w:iCs/>
        </w:rPr>
        <w:t xml:space="preserve">are predicted to </w:t>
      </w:r>
      <w:r w:rsidR="00C47E98" w:rsidRPr="000F21D1">
        <w:rPr>
          <w:rFonts w:ascii="Garamond" w:hAnsi="Garamond"/>
          <w:iCs/>
        </w:rPr>
        <w:t xml:space="preserve">somehow </w:t>
      </w:r>
      <w:r w:rsidR="00454718" w:rsidRPr="000F21D1">
        <w:rPr>
          <w:rFonts w:ascii="Garamond" w:hAnsi="Garamond"/>
          <w:iCs/>
        </w:rPr>
        <w:t xml:space="preserve">accelerate </w:t>
      </w:r>
      <w:r w:rsidRPr="000F21D1">
        <w:rPr>
          <w:rFonts w:ascii="Garamond" w:hAnsi="Garamond"/>
          <w:iCs/>
        </w:rPr>
        <w:t>in develop</w:t>
      </w:r>
      <w:r w:rsidR="00C47E98" w:rsidRPr="000F21D1">
        <w:rPr>
          <w:rFonts w:ascii="Garamond" w:hAnsi="Garamond"/>
          <w:iCs/>
        </w:rPr>
        <w:t>ing</w:t>
      </w:r>
      <w:r w:rsidRPr="000F21D1">
        <w:rPr>
          <w:rFonts w:ascii="Garamond" w:hAnsi="Garamond"/>
          <w:iCs/>
        </w:rPr>
        <w:t xml:space="preserve"> countries, growth rates will </w:t>
      </w:r>
      <w:r w:rsidR="00C47E98" w:rsidRPr="000F21D1">
        <w:rPr>
          <w:rFonts w:ascii="Garamond" w:hAnsi="Garamond"/>
          <w:iCs/>
        </w:rPr>
        <w:t xml:space="preserve">remain sluggish </w:t>
      </w:r>
      <w:r w:rsidRPr="000F21D1">
        <w:rPr>
          <w:rFonts w:ascii="Garamond" w:hAnsi="Garamond"/>
          <w:iCs/>
        </w:rPr>
        <w:t>in develop</w:t>
      </w:r>
      <w:r w:rsidR="00C47E98" w:rsidRPr="000F21D1">
        <w:rPr>
          <w:rFonts w:ascii="Garamond" w:hAnsi="Garamond"/>
          <w:iCs/>
        </w:rPr>
        <w:t xml:space="preserve">ed </w:t>
      </w:r>
      <w:r w:rsidRPr="000F21D1">
        <w:rPr>
          <w:rFonts w:ascii="Garamond" w:hAnsi="Garamond"/>
          <w:iCs/>
        </w:rPr>
        <w:t>countries. In view of geopolitical and country</w:t>
      </w:r>
      <w:r w:rsidR="00BB259A" w:rsidRPr="000F21D1">
        <w:rPr>
          <w:rFonts w:ascii="Garamond" w:hAnsi="Garamond"/>
          <w:iCs/>
        </w:rPr>
        <w:t xml:space="preserve">-specific </w:t>
      </w:r>
      <w:r w:rsidRPr="000F21D1">
        <w:rPr>
          <w:rFonts w:ascii="Garamond" w:hAnsi="Garamond"/>
          <w:iCs/>
        </w:rPr>
        <w:t>developments</w:t>
      </w:r>
      <w:r w:rsidRPr="000F21D1">
        <w:rPr>
          <w:rFonts w:ascii="Garamond" w:hAnsi="Garamond" w:cs="Sylfaen"/>
          <w:color w:val="000000"/>
        </w:rPr>
        <w:t xml:space="preserve">, </w:t>
      </w:r>
      <w:r w:rsidR="00BB259A" w:rsidRPr="000F21D1">
        <w:rPr>
          <w:rFonts w:ascii="Garamond" w:hAnsi="Garamond" w:cs="Sylfaen"/>
          <w:b/>
          <w:color w:val="000000"/>
        </w:rPr>
        <w:t>economic decline in</w:t>
      </w:r>
      <w:r w:rsidR="00BE7257" w:rsidRPr="000F21D1">
        <w:rPr>
          <w:rFonts w:ascii="Garamond" w:hAnsi="Garamond" w:cs="Sylfaen"/>
          <w:b/>
          <w:color w:val="000000"/>
          <w:lang w:val="hy-AM"/>
        </w:rPr>
        <w:t xml:space="preserve"> </w:t>
      </w:r>
      <w:r w:rsidRPr="000F21D1">
        <w:rPr>
          <w:rFonts w:ascii="Garamond" w:hAnsi="Garamond" w:cs="Sylfaen"/>
          <w:b/>
          <w:color w:val="000000"/>
        </w:rPr>
        <w:t>Russia</w:t>
      </w:r>
      <w:r w:rsidR="00BB259A" w:rsidRPr="000F21D1">
        <w:rPr>
          <w:rFonts w:ascii="Garamond" w:hAnsi="Garamond" w:cs="Sylfaen"/>
          <w:b/>
          <w:color w:val="000000"/>
        </w:rPr>
        <w:t xml:space="preserve"> will continue </w:t>
      </w:r>
      <w:r w:rsidRPr="000F21D1">
        <w:rPr>
          <w:rFonts w:ascii="Garamond" w:hAnsi="Garamond" w:cs="Sylfaen"/>
          <w:b/>
          <w:color w:val="000000"/>
        </w:rPr>
        <w:t xml:space="preserve">over 2016 </w:t>
      </w:r>
      <w:r w:rsidR="00BB259A" w:rsidRPr="000F21D1">
        <w:rPr>
          <w:rFonts w:ascii="Garamond" w:hAnsi="Garamond" w:cs="Sylfaen"/>
          <w:b/>
          <w:color w:val="000000"/>
        </w:rPr>
        <w:t>but</w:t>
      </w:r>
      <w:r w:rsidRPr="000F21D1">
        <w:rPr>
          <w:rFonts w:ascii="Garamond" w:hAnsi="Garamond" w:cs="Sylfaen"/>
          <w:b/>
          <w:color w:val="000000"/>
        </w:rPr>
        <w:t xml:space="preserve"> will</w:t>
      </w:r>
      <w:r w:rsidR="00C47E98" w:rsidRPr="000F21D1">
        <w:rPr>
          <w:rFonts w:ascii="Garamond" w:hAnsi="Garamond" w:cs="Sylfaen"/>
          <w:b/>
          <w:color w:val="000000"/>
        </w:rPr>
        <w:t xml:space="preserve"> </w:t>
      </w:r>
      <w:r w:rsidRPr="000F21D1">
        <w:rPr>
          <w:rFonts w:ascii="Garamond" w:hAnsi="Garamond" w:cs="Sylfaen"/>
          <w:b/>
          <w:color w:val="000000"/>
        </w:rPr>
        <w:t xml:space="preserve">be </w:t>
      </w:r>
      <w:r w:rsidR="00BB259A" w:rsidRPr="000F21D1">
        <w:rPr>
          <w:rFonts w:ascii="Garamond" w:hAnsi="Garamond" w:cs="Sylfaen"/>
          <w:b/>
          <w:color w:val="000000"/>
        </w:rPr>
        <w:t xml:space="preserve">slower </w:t>
      </w:r>
      <w:r w:rsidRPr="000F21D1">
        <w:rPr>
          <w:rFonts w:ascii="Garamond" w:hAnsi="Garamond" w:cs="Sylfaen"/>
          <w:b/>
          <w:color w:val="000000"/>
        </w:rPr>
        <w:t>compared to the previous forecast</w:t>
      </w:r>
      <w:r w:rsidR="00C47E98" w:rsidRPr="000F21D1">
        <w:rPr>
          <w:rFonts w:ascii="Garamond" w:hAnsi="Garamond" w:cs="Sylfaen"/>
          <w:b/>
          <w:color w:val="000000"/>
        </w:rPr>
        <w:t xml:space="preserve"> </w:t>
      </w:r>
      <w:r w:rsidR="00BB259A" w:rsidRPr="000F21D1">
        <w:rPr>
          <w:rFonts w:ascii="Garamond" w:hAnsi="Garamond" w:cs="Sylfaen"/>
          <w:color w:val="000000"/>
        </w:rPr>
        <w:t>(</w:t>
      </w:r>
      <w:r w:rsidR="00C47E98" w:rsidRPr="000F21D1">
        <w:rPr>
          <w:rFonts w:ascii="Garamond" w:hAnsi="Garamond" w:cs="Sylfaen"/>
          <w:color w:val="000000"/>
        </w:rPr>
        <w:t>0</w:t>
      </w:r>
      <w:r w:rsidR="00BB259A" w:rsidRPr="000F21D1">
        <w:rPr>
          <w:rFonts w:ascii="Garamond" w:hAnsi="Garamond" w:cs="Sylfaen"/>
          <w:color w:val="000000"/>
        </w:rPr>
        <w:t>.</w:t>
      </w:r>
      <w:r w:rsidR="00C47E98" w:rsidRPr="000F21D1">
        <w:rPr>
          <w:rFonts w:ascii="Garamond" w:hAnsi="Garamond" w:cs="Sylfaen"/>
          <w:color w:val="000000"/>
        </w:rPr>
        <w:t>8</w:t>
      </w:r>
      <w:r w:rsidR="00BB259A" w:rsidRPr="000F21D1">
        <w:rPr>
          <w:rFonts w:ascii="Garamond" w:hAnsi="Garamond" w:cs="Sylfaen"/>
          <w:color w:val="000000"/>
        </w:rPr>
        <w:t xml:space="preserve">% </w:t>
      </w:r>
      <w:r w:rsidR="00C47E98" w:rsidRPr="000F21D1">
        <w:rPr>
          <w:rFonts w:ascii="Garamond" w:hAnsi="Garamond" w:cs="Sylfaen"/>
          <w:color w:val="000000"/>
        </w:rPr>
        <w:t xml:space="preserve">decline against that of previously forecasted </w:t>
      </w:r>
      <w:r w:rsidR="00BB259A" w:rsidRPr="000F21D1">
        <w:rPr>
          <w:rFonts w:ascii="Garamond" w:hAnsi="Garamond" w:cs="Sylfaen"/>
          <w:color w:val="000000"/>
        </w:rPr>
        <w:t>1.</w:t>
      </w:r>
      <w:r w:rsidR="00C47E98" w:rsidRPr="000F21D1">
        <w:rPr>
          <w:rFonts w:ascii="Garamond" w:hAnsi="Garamond" w:cs="Sylfaen"/>
          <w:color w:val="000000"/>
        </w:rPr>
        <w:t>2</w:t>
      </w:r>
      <w:r w:rsidR="00BB259A" w:rsidRPr="000F21D1">
        <w:rPr>
          <w:rFonts w:ascii="Garamond" w:hAnsi="Garamond" w:cs="Sylfaen"/>
          <w:color w:val="000000"/>
        </w:rPr>
        <w:t>%)</w:t>
      </w:r>
      <w:r w:rsidRPr="000F21D1">
        <w:rPr>
          <w:rFonts w:ascii="Garamond" w:hAnsi="Garamond" w:cs="Sylfaen"/>
          <w:color w:val="000000"/>
        </w:rPr>
        <w:t>.</w:t>
      </w:r>
      <w:r w:rsidR="00C47E98" w:rsidRPr="000F21D1">
        <w:rPr>
          <w:rFonts w:ascii="Garamond" w:hAnsi="Garamond" w:cs="Sylfaen"/>
          <w:color w:val="000000"/>
        </w:rPr>
        <w:t xml:space="preserve"> </w:t>
      </w:r>
      <w:r w:rsidR="002D34D2" w:rsidRPr="000F21D1">
        <w:rPr>
          <w:rFonts w:ascii="Garamond" w:hAnsi="Garamond" w:cs="Sylfaen"/>
          <w:color w:val="000000"/>
        </w:rPr>
        <w:t xml:space="preserve">The economy will only enter a positive growth territory </w:t>
      </w:r>
      <w:r w:rsidR="00E763F8" w:rsidRPr="000F21D1">
        <w:rPr>
          <w:rFonts w:ascii="Garamond" w:hAnsi="Garamond" w:cs="Sylfaen"/>
          <w:color w:val="000000"/>
        </w:rPr>
        <w:t>in mid-</w:t>
      </w:r>
      <w:r w:rsidRPr="000F21D1">
        <w:rPr>
          <w:rFonts w:ascii="Garamond" w:hAnsi="Garamond"/>
          <w:iCs/>
        </w:rPr>
        <w:t>2017</w:t>
      </w:r>
      <w:r w:rsidR="002D34D2" w:rsidRPr="000F21D1">
        <w:rPr>
          <w:rFonts w:ascii="Garamond" w:hAnsi="Garamond"/>
          <w:iCs/>
        </w:rPr>
        <w:t xml:space="preserve"> and at the end of the forecast horizon the economic growth will be near</w:t>
      </w:r>
      <w:r w:rsidR="00E763F8" w:rsidRPr="000F21D1">
        <w:rPr>
          <w:rFonts w:ascii="Garamond" w:hAnsi="Garamond"/>
          <w:iCs/>
        </w:rPr>
        <w:t>ly</w:t>
      </w:r>
      <w:r w:rsidR="004F5E13" w:rsidRPr="000F21D1">
        <w:rPr>
          <w:rFonts w:ascii="Garamond" w:hAnsi="Garamond"/>
          <w:iCs/>
        </w:rPr>
        <w:t xml:space="preserve"> 1.1</w:t>
      </w:r>
      <w:r w:rsidR="002D34D2" w:rsidRPr="000F21D1">
        <w:rPr>
          <w:rFonts w:ascii="Garamond" w:hAnsi="Garamond"/>
          <w:iCs/>
        </w:rPr>
        <w:t xml:space="preserve">%. </w:t>
      </w:r>
      <w:r w:rsidR="00551648" w:rsidRPr="000F21D1">
        <w:rPr>
          <w:rFonts w:ascii="Garamond" w:hAnsi="Garamond"/>
          <w:iCs/>
        </w:rPr>
        <w:t>In the m</w:t>
      </w:r>
      <w:r w:rsidRPr="000F21D1">
        <w:rPr>
          <w:rFonts w:ascii="Garamond" w:hAnsi="Garamond"/>
          <w:iCs/>
        </w:rPr>
        <w:t>ean</w:t>
      </w:r>
      <w:r w:rsidR="00551648" w:rsidRPr="000F21D1">
        <w:rPr>
          <w:rFonts w:ascii="Garamond" w:hAnsi="Garamond"/>
          <w:iCs/>
        </w:rPr>
        <w:t>time</w:t>
      </w:r>
      <w:r w:rsidRPr="000F21D1">
        <w:rPr>
          <w:rFonts w:ascii="Garamond" w:hAnsi="Garamond"/>
          <w:iCs/>
        </w:rPr>
        <w:t xml:space="preserve">, </w:t>
      </w:r>
      <w:r w:rsidR="00AD5403" w:rsidRPr="000F21D1">
        <w:rPr>
          <w:rFonts w:ascii="Garamond" w:hAnsi="Garamond"/>
          <w:iCs/>
        </w:rPr>
        <w:t xml:space="preserve">risks and uncertainties about further pace of the global economy, pinpointed in the previous forecast, will be </w:t>
      </w:r>
      <w:r w:rsidR="003B0DC1" w:rsidRPr="000F21D1">
        <w:rPr>
          <w:rFonts w:ascii="Garamond" w:hAnsi="Garamond"/>
          <w:iCs/>
          <w:color w:val="FF0000"/>
        </w:rPr>
        <w:t>encumbered</w:t>
      </w:r>
      <w:r w:rsidR="003B0DC1" w:rsidRPr="000F21D1">
        <w:rPr>
          <w:rFonts w:ascii="Garamond" w:hAnsi="Garamond"/>
          <w:iCs/>
        </w:rPr>
        <w:t xml:space="preserve"> with </w:t>
      </w:r>
      <w:r w:rsidR="005858AE" w:rsidRPr="000F21D1">
        <w:rPr>
          <w:rFonts w:ascii="Garamond" w:hAnsi="Garamond"/>
          <w:iCs/>
        </w:rPr>
        <w:t xml:space="preserve">how </w:t>
      </w:r>
      <w:r w:rsidR="00AD5403" w:rsidRPr="000F21D1">
        <w:rPr>
          <w:rFonts w:ascii="Garamond" w:hAnsi="Garamond"/>
          <w:iCs/>
        </w:rPr>
        <w:t xml:space="preserve">the developments </w:t>
      </w:r>
      <w:r w:rsidR="005858AE" w:rsidRPr="000F21D1">
        <w:rPr>
          <w:rFonts w:ascii="Garamond" w:hAnsi="Garamond"/>
          <w:iCs/>
        </w:rPr>
        <w:t xml:space="preserve">will unfold </w:t>
      </w:r>
      <w:r w:rsidR="00AD5403" w:rsidRPr="000F21D1">
        <w:rPr>
          <w:rFonts w:ascii="Garamond" w:hAnsi="Garamond"/>
          <w:iCs/>
        </w:rPr>
        <w:t>in the E</w:t>
      </w:r>
      <w:r w:rsidR="003B0DC1" w:rsidRPr="000F21D1">
        <w:rPr>
          <w:rFonts w:ascii="Garamond" w:hAnsi="Garamond"/>
          <w:iCs/>
        </w:rPr>
        <w:t xml:space="preserve">uropean </w:t>
      </w:r>
      <w:r w:rsidR="00AD5403" w:rsidRPr="000F21D1">
        <w:rPr>
          <w:rFonts w:ascii="Garamond" w:hAnsi="Garamond"/>
          <w:iCs/>
        </w:rPr>
        <w:t>U</w:t>
      </w:r>
      <w:r w:rsidR="003B0DC1" w:rsidRPr="000F21D1">
        <w:rPr>
          <w:rFonts w:ascii="Garamond" w:hAnsi="Garamond"/>
          <w:iCs/>
        </w:rPr>
        <w:t>nion</w:t>
      </w:r>
      <w:r w:rsidR="00AD5403" w:rsidRPr="000F21D1">
        <w:rPr>
          <w:rFonts w:ascii="Garamond" w:hAnsi="Garamond"/>
          <w:iCs/>
        </w:rPr>
        <w:t xml:space="preserve"> in connection with Brexit</w:t>
      </w:r>
      <w:r w:rsidRPr="000F21D1">
        <w:rPr>
          <w:rFonts w:ascii="Garamond" w:hAnsi="Garamond"/>
          <w:iCs/>
        </w:rPr>
        <w:t>.</w:t>
      </w:r>
      <w:r w:rsidR="00BE7257" w:rsidRPr="000F21D1">
        <w:rPr>
          <w:rFonts w:ascii="Garamond" w:hAnsi="Garamond"/>
          <w:iCs/>
          <w:lang w:val="hy-AM"/>
        </w:rPr>
        <w:t xml:space="preserve"> </w:t>
      </w:r>
    </w:p>
    <w:p w14:paraId="491A309A" w14:textId="77777777" w:rsidR="005341FC" w:rsidRPr="000F21D1" w:rsidRDefault="005341FC" w:rsidP="00CE2FF3">
      <w:pPr>
        <w:tabs>
          <w:tab w:val="left" w:pos="5850"/>
        </w:tabs>
        <w:spacing w:line="360" w:lineRule="auto"/>
        <w:jc w:val="both"/>
        <w:rPr>
          <w:rFonts w:ascii="Garamond" w:hAnsi="Garamond" w:cs="Sylfaen"/>
        </w:rPr>
      </w:pPr>
    </w:p>
    <w:p w14:paraId="0CC750FA" w14:textId="77777777" w:rsidR="005341FC" w:rsidRPr="000F21D1" w:rsidRDefault="00AC238F" w:rsidP="00CE2FF3">
      <w:pPr>
        <w:tabs>
          <w:tab w:val="left" w:pos="5850"/>
        </w:tabs>
        <w:spacing w:line="360" w:lineRule="auto"/>
        <w:jc w:val="both"/>
        <w:rPr>
          <w:rStyle w:val="longtext"/>
          <w:rFonts w:ascii="Garamond" w:hAnsi="Garamond"/>
          <w:color w:val="000000"/>
          <w:shd w:val="clear" w:color="auto" w:fill="FFFFFF"/>
        </w:rPr>
      </w:pPr>
      <w:r w:rsidRPr="000F21D1">
        <w:rPr>
          <w:rStyle w:val="longtext"/>
          <w:rFonts w:ascii="Garamond" w:hAnsi="Garamond"/>
          <w:b/>
          <w:color w:val="000000"/>
          <w:shd w:val="clear" w:color="auto" w:fill="FFFFFF"/>
        </w:rPr>
        <w:t>Given</w:t>
      </w:r>
      <w:r w:rsidR="003B0DC1" w:rsidRPr="000F21D1">
        <w:rPr>
          <w:rStyle w:val="longtext"/>
          <w:rFonts w:ascii="Garamond" w:hAnsi="Garamond"/>
          <w:b/>
          <w:color w:val="000000"/>
          <w:shd w:val="clear" w:color="auto" w:fill="FFFFFF"/>
        </w:rPr>
        <w:t xml:space="preserve"> </w:t>
      </w:r>
      <w:r w:rsidR="005858AE" w:rsidRPr="000F21D1">
        <w:rPr>
          <w:rStyle w:val="longtext"/>
          <w:rFonts w:ascii="Garamond" w:hAnsi="Garamond"/>
          <w:b/>
          <w:color w:val="000000"/>
          <w:shd w:val="clear" w:color="auto" w:fill="FFFFFF"/>
        </w:rPr>
        <w:t xml:space="preserve">the </w:t>
      </w:r>
      <w:r w:rsidR="003B0DC1" w:rsidRPr="000F21D1">
        <w:rPr>
          <w:rStyle w:val="longtext"/>
          <w:rFonts w:ascii="Garamond" w:hAnsi="Garamond"/>
          <w:b/>
          <w:color w:val="000000"/>
          <w:shd w:val="clear" w:color="auto" w:fill="FFFFFF"/>
        </w:rPr>
        <w:t>relative stability in international markets of commodities and food products</w:t>
      </w:r>
      <w:r w:rsidR="0069027D" w:rsidRPr="000F21D1">
        <w:rPr>
          <w:rStyle w:val="longtext"/>
          <w:rFonts w:ascii="Garamond" w:hAnsi="Garamond"/>
          <w:color w:val="000000"/>
          <w:shd w:val="clear" w:color="auto" w:fill="FFFFFF"/>
        </w:rPr>
        <w:t xml:space="preserve"> </w:t>
      </w:r>
      <w:r w:rsidRPr="000F21D1">
        <w:rPr>
          <w:rStyle w:val="longtext"/>
          <w:rFonts w:ascii="Garamond" w:hAnsi="Garamond"/>
          <w:color w:val="000000"/>
          <w:shd w:val="clear" w:color="auto" w:fill="FFFFFF"/>
        </w:rPr>
        <w:t xml:space="preserve">the inflation environment </w:t>
      </w:r>
      <w:r w:rsidRPr="000F21D1">
        <w:rPr>
          <w:rStyle w:val="longtext"/>
          <w:rFonts w:ascii="Garamond" w:hAnsi="Garamond"/>
          <w:b/>
          <w:color w:val="000000"/>
          <w:shd w:val="clear" w:color="auto" w:fill="FFFFFF"/>
        </w:rPr>
        <w:t>will remain low</w:t>
      </w:r>
      <w:r w:rsidRPr="000F21D1">
        <w:rPr>
          <w:rStyle w:val="longtext"/>
          <w:rFonts w:ascii="Garamond" w:hAnsi="Garamond"/>
          <w:color w:val="000000"/>
          <w:shd w:val="clear" w:color="auto" w:fill="FFFFFF"/>
        </w:rPr>
        <w:t xml:space="preserve"> in selected product markets </w:t>
      </w:r>
      <w:r w:rsidR="003B0DC1" w:rsidRPr="000F21D1">
        <w:rPr>
          <w:rStyle w:val="longtext"/>
          <w:rFonts w:ascii="Garamond" w:hAnsi="Garamond"/>
          <w:color w:val="000000"/>
          <w:shd w:val="clear" w:color="auto" w:fill="FFFFFF"/>
        </w:rPr>
        <w:t xml:space="preserve">in the short </w:t>
      </w:r>
      <w:r w:rsidR="00223057" w:rsidRPr="000F21D1">
        <w:rPr>
          <w:rStyle w:val="longtext"/>
          <w:rFonts w:ascii="Garamond" w:hAnsi="Garamond"/>
          <w:color w:val="000000"/>
          <w:shd w:val="clear" w:color="auto" w:fill="FFFFFF"/>
        </w:rPr>
        <w:t xml:space="preserve">run </w:t>
      </w:r>
      <w:r w:rsidR="003B0DC1" w:rsidRPr="000F21D1">
        <w:rPr>
          <w:rStyle w:val="longtext"/>
          <w:rFonts w:ascii="Garamond" w:hAnsi="Garamond"/>
          <w:color w:val="000000"/>
          <w:shd w:val="clear" w:color="auto" w:fill="FFFFFF"/>
        </w:rPr>
        <w:t>due to supply factors.</w:t>
      </w:r>
      <w:r w:rsidR="005341FC" w:rsidRPr="000F21D1">
        <w:rPr>
          <w:rStyle w:val="longtext"/>
          <w:rFonts w:ascii="Garamond" w:hAnsi="Garamond"/>
          <w:color w:val="000000"/>
          <w:shd w:val="clear" w:color="auto" w:fill="FFFFFF"/>
        </w:rPr>
        <w:t xml:space="preserve"> In</w:t>
      </w:r>
      <w:r w:rsidR="004E5D71" w:rsidRPr="000F21D1">
        <w:rPr>
          <w:rStyle w:val="longtext"/>
          <w:rFonts w:ascii="Garamond" w:hAnsi="Garamond"/>
          <w:color w:val="000000"/>
          <w:shd w:val="clear" w:color="auto" w:fill="FFFFFF"/>
        </w:rPr>
        <w:t xml:space="preserve"> the forecast horizon, however, in</w:t>
      </w:r>
      <w:r w:rsidR="005341FC" w:rsidRPr="000F21D1">
        <w:rPr>
          <w:rStyle w:val="longtext"/>
          <w:rFonts w:ascii="Garamond" w:hAnsi="Garamond"/>
          <w:color w:val="000000"/>
          <w:shd w:val="clear" w:color="auto" w:fill="FFFFFF"/>
        </w:rPr>
        <w:t xml:space="preserve">ternational prices of commodities and food products </w:t>
      </w:r>
      <w:r w:rsidR="004E5D71" w:rsidRPr="000F21D1">
        <w:rPr>
          <w:rStyle w:val="longtext"/>
          <w:rFonts w:ascii="Garamond" w:hAnsi="Garamond"/>
          <w:color w:val="000000"/>
          <w:shd w:val="clear" w:color="auto" w:fill="FFFFFF"/>
        </w:rPr>
        <w:t xml:space="preserve">will trend slowly upward </w:t>
      </w:r>
      <w:r w:rsidR="005341FC" w:rsidRPr="000F21D1">
        <w:rPr>
          <w:rStyle w:val="longtext"/>
          <w:rFonts w:ascii="Garamond" w:hAnsi="Garamond"/>
          <w:color w:val="000000"/>
          <w:shd w:val="clear" w:color="auto" w:fill="FFFFFF"/>
        </w:rPr>
        <w:t xml:space="preserve">as global demand recovers gradually and production volumes </w:t>
      </w:r>
      <w:r w:rsidRPr="000F21D1">
        <w:rPr>
          <w:rStyle w:val="longtext"/>
          <w:rFonts w:ascii="Garamond" w:hAnsi="Garamond"/>
          <w:color w:val="000000"/>
          <w:shd w:val="clear" w:color="auto" w:fill="FFFFFF"/>
        </w:rPr>
        <w:t>reduce</w:t>
      </w:r>
      <w:r w:rsidR="005341FC" w:rsidRPr="000F21D1">
        <w:rPr>
          <w:rStyle w:val="longtext"/>
          <w:rFonts w:ascii="Garamond" w:hAnsi="Garamond"/>
          <w:color w:val="000000"/>
          <w:shd w:val="clear" w:color="auto" w:fill="FFFFFF"/>
        </w:rPr>
        <w:t>.</w:t>
      </w:r>
    </w:p>
    <w:p w14:paraId="557A2FCE" w14:textId="77777777" w:rsidR="00AD742C" w:rsidRPr="000F21D1" w:rsidRDefault="00AD742C" w:rsidP="00CE2FF3">
      <w:pPr>
        <w:tabs>
          <w:tab w:val="left" w:pos="5850"/>
        </w:tabs>
        <w:spacing w:line="360" w:lineRule="auto"/>
        <w:jc w:val="both"/>
        <w:rPr>
          <w:rStyle w:val="longtext"/>
          <w:rFonts w:ascii="Garamond" w:hAnsi="Garamond"/>
          <w:color w:val="000000"/>
          <w:shd w:val="clear" w:color="auto" w:fill="FFFFFF"/>
        </w:rPr>
      </w:pPr>
    </w:p>
    <w:p w14:paraId="4B88D963" w14:textId="77777777" w:rsidR="00D11F44" w:rsidRPr="000F21D1" w:rsidRDefault="00AD742C" w:rsidP="00CE2FF3">
      <w:pPr>
        <w:tabs>
          <w:tab w:val="left" w:pos="5850"/>
        </w:tabs>
        <w:spacing w:line="360" w:lineRule="auto"/>
        <w:jc w:val="both"/>
        <w:rPr>
          <w:rFonts w:ascii="Garamond" w:hAnsi="Garamond" w:cs="Sylfaen"/>
          <w:color w:val="000000"/>
        </w:rPr>
      </w:pPr>
      <w:r w:rsidRPr="000F21D1">
        <w:rPr>
          <w:rFonts w:ascii="Garamond" w:hAnsi="Garamond" w:cs="Sylfaen"/>
          <w:color w:val="000000"/>
        </w:rPr>
        <w:lastRenderedPageBreak/>
        <w:t xml:space="preserve">In the </w:t>
      </w:r>
      <w:r w:rsidR="00FE26B2" w:rsidRPr="000F21D1">
        <w:rPr>
          <w:rFonts w:ascii="Garamond" w:hAnsi="Garamond" w:cs="Sylfaen"/>
          <w:color w:val="000000"/>
        </w:rPr>
        <w:t>second</w:t>
      </w:r>
      <w:r w:rsidRPr="000F21D1">
        <w:rPr>
          <w:rFonts w:ascii="Garamond" w:hAnsi="Garamond" w:cs="Sylfaen"/>
          <w:color w:val="000000"/>
        </w:rPr>
        <w:t xml:space="preserve"> quarter of 201</w:t>
      </w:r>
      <w:r w:rsidR="00D11F44" w:rsidRPr="000F21D1">
        <w:rPr>
          <w:rFonts w:ascii="Garamond" w:hAnsi="Garamond" w:cs="Sylfaen"/>
          <w:color w:val="000000"/>
        </w:rPr>
        <w:t>6</w:t>
      </w:r>
      <w:r w:rsidRPr="000F21D1">
        <w:rPr>
          <w:rFonts w:ascii="Garamond" w:hAnsi="Garamond" w:cs="Sylfaen"/>
          <w:color w:val="000000"/>
        </w:rPr>
        <w:t xml:space="preserve"> the </w:t>
      </w:r>
      <w:r w:rsidRPr="000F21D1">
        <w:rPr>
          <w:rFonts w:ascii="Garamond" w:hAnsi="Garamond" w:cs="Sylfaen"/>
          <w:b/>
          <w:color w:val="000000"/>
        </w:rPr>
        <w:t xml:space="preserve">domestic economic growth rates </w:t>
      </w:r>
      <w:r w:rsidR="00FE26B2" w:rsidRPr="000F21D1">
        <w:rPr>
          <w:rFonts w:ascii="Garamond" w:hAnsi="Garamond" w:cs="Sylfaen"/>
          <w:b/>
          <w:color w:val="000000"/>
        </w:rPr>
        <w:t>are</w:t>
      </w:r>
      <w:r w:rsidRPr="000F21D1">
        <w:rPr>
          <w:rFonts w:ascii="Garamond" w:hAnsi="Garamond" w:cs="Sylfaen"/>
          <w:b/>
          <w:color w:val="000000"/>
        </w:rPr>
        <w:t xml:space="preserve"> estimated </w:t>
      </w:r>
      <w:r w:rsidR="00FE26B2" w:rsidRPr="000F21D1">
        <w:rPr>
          <w:rFonts w:ascii="Garamond" w:hAnsi="Garamond" w:cs="Sylfaen"/>
          <w:b/>
          <w:color w:val="000000"/>
        </w:rPr>
        <w:t xml:space="preserve">to </w:t>
      </w:r>
      <w:r w:rsidR="00162C9B" w:rsidRPr="000F21D1">
        <w:rPr>
          <w:rFonts w:ascii="Garamond" w:hAnsi="Garamond" w:cs="Sylfaen"/>
          <w:b/>
          <w:color w:val="000000"/>
        </w:rPr>
        <w:t>outstrip the e</w:t>
      </w:r>
      <w:r w:rsidR="00FE26B2" w:rsidRPr="000F21D1">
        <w:rPr>
          <w:rFonts w:ascii="Garamond" w:hAnsi="Garamond" w:cs="Sylfaen"/>
          <w:b/>
          <w:color w:val="000000"/>
        </w:rPr>
        <w:t>xpect</w:t>
      </w:r>
      <w:r w:rsidR="00162C9B" w:rsidRPr="000F21D1">
        <w:rPr>
          <w:rFonts w:ascii="Garamond" w:hAnsi="Garamond" w:cs="Sylfaen"/>
          <w:b/>
          <w:color w:val="000000"/>
        </w:rPr>
        <w:t>ation</w:t>
      </w:r>
      <w:r w:rsidR="00FE26B2" w:rsidRPr="000F21D1">
        <w:rPr>
          <w:rFonts w:ascii="Garamond" w:hAnsi="Garamond" w:cs="Sylfaen"/>
          <w:color w:val="000000"/>
        </w:rPr>
        <w:t>,</w:t>
      </w:r>
      <w:r w:rsidRPr="000F21D1">
        <w:rPr>
          <w:rFonts w:ascii="Garamond" w:hAnsi="Garamond" w:cs="Sylfaen"/>
          <w:color w:val="000000"/>
        </w:rPr>
        <w:t xml:space="preserve"> </w:t>
      </w:r>
      <w:r w:rsidR="00215B58" w:rsidRPr="000F21D1">
        <w:rPr>
          <w:rFonts w:ascii="Garamond" w:hAnsi="Garamond" w:cs="Sylfaen"/>
          <w:color w:val="000000"/>
        </w:rPr>
        <w:t xml:space="preserve">owing to </w:t>
      </w:r>
      <w:r w:rsidR="00D11F44" w:rsidRPr="000F21D1">
        <w:rPr>
          <w:rFonts w:ascii="Garamond" w:hAnsi="Garamond" w:cs="Sylfaen"/>
          <w:color w:val="000000"/>
        </w:rPr>
        <w:t xml:space="preserve">more positive developments in </w:t>
      </w:r>
      <w:r w:rsidRPr="000F21D1">
        <w:rPr>
          <w:rFonts w:ascii="Garamond" w:hAnsi="Garamond" w:cs="Sylfaen"/>
          <w:color w:val="000000"/>
        </w:rPr>
        <w:t xml:space="preserve">the </w:t>
      </w:r>
      <w:r w:rsidR="00D11F44" w:rsidRPr="000F21D1">
        <w:rPr>
          <w:rFonts w:ascii="Garamond" w:hAnsi="Garamond" w:cs="Sylfaen"/>
          <w:color w:val="000000"/>
        </w:rPr>
        <w:t>tradable sector (</w:t>
      </w:r>
      <w:r w:rsidRPr="000F21D1">
        <w:rPr>
          <w:rFonts w:ascii="Garamond" w:hAnsi="Garamond" w:cs="Sylfaen"/>
          <w:color w:val="000000"/>
        </w:rPr>
        <w:t xml:space="preserve">industry and </w:t>
      </w:r>
      <w:r w:rsidR="00FE26B2" w:rsidRPr="000F21D1">
        <w:rPr>
          <w:rFonts w:ascii="Garamond" w:hAnsi="Garamond" w:cs="Sylfaen"/>
          <w:color w:val="000000"/>
        </w:rPr>
        <w:t>agriculture</w:t>
      </w:r>
      <w:r w:rsidR="00D11F44" w:rsidRPr="000F21D1">
        <w:rPr>
          <w:rFonts w:ascii="Garamond" w:hAnsi="Garamond" w:cs="Sylfaen"/>
          <w:color w:val="000000"/>
        </w:rPr>
        <w:t>, in particular) of the economy</w:t>
      </w:r>
      <w:r w:rsidRPr="000F21D1">
        <w:rPr>
          <w:rFonts w:ascii="Garamond" w:hAnsi="Garamond" w:cs="Sylfaen"/>
          <w:color w:val="000000"/>
        </w:rPr>
        <w:t xml:space="preserve">. </w:t>
      </w:r>
      <w:r w:rsidR="00162C9B" w:rsidRPr="000F21D1">
        <w:rPr>
          <w:rFonts w:ascii="Garamond" w:hAnsi="Garamond" w:cs="Sylfaen"/>
          <w:color w:val="000000"/>
        </w:rPr>
        <w:t xml:space="preserve">In this case, the economic growth in the first half of 2016 will be in the range of </w:t>
      </w:r>
      <w:r w:rsidR="00162C9B" w:rsidRPr="000F21D1">
        <w:rPr>
          <w:rFonts w:ascii="Garamond" w:hAnsi="Garamond" w:cs="Sylfaen"/>
          <w:b/>
          <w:color w:val="000000"/>
        </w:rPr>
        <w:t>3.9-4.1%</w:t>
      </w:r>
      <w:r w:rsidR="00162C9B" w:rsidRPr="000F21D1">
        <w:rPr>
          <w:rFonts w:ascii="Garamond" w:hAnsi="Garamond" w:cs="Sylfaen"/>
          <w:color w:val="000000"/>
        </w:rPr>
        <w:t>, with agriculture and industry as the main driving force to the growth.</w:t>
      </w:r>
    </w:p>
    <w:p w14:paraId="5C0885DA" w14:textId="77777777" w:rsidR="00D11F44" w:rsidRPr="000F21D1" w:rsidRDefault="00D11F44" w:rsidP="00CE2FF3">
      <w:pPr>
        <w:tabs>
          <w:tab w:val="left" w:pos="5850"/>
        </w:tabs>
        <w:spacing w:line="360" w:lineRule="auto"/>
        <w:jc w:val="both"/>
        <w:rPr>
          <w:rFonts w:ascii="Garamond" w:hAnsi="Garamond" w:cs="Sylfaen"/>
          <w:color w:val="000000"/>
        </w:rPr>
      </w:pPr>
    </w:p>
    <w:p w14:paraId="4E03E2B2" w14:textId="77777777" w:rsidR="006D0708" w:rsidRPr="000F21D1" w:rsidRDefault="00073B73" w:rsidP="0085120F">
      <w:pPr>
        <w:tabs>
          <w:tab w:val="left" w:pos="5850"/>
        </w:tabs>
        <w:spacing w:line="360" w:lineRule="auto"/>
        <w:jc w:val="both"/>
        <w:rPr>
          <w:rFonts w:ascii="Garamond" w:hAnsi="Garamond"/>
        </w:rPr>
      </w:pPr>
      <w:r w:rsidRPr="000F21D1">
        <w:rPr>
          <w:rFonts w:ascii="Garamond" w:hAnsi="Garamond"/>
        </w:rPr>
        <w:t>Notwithstanding a slower pace of decline observed in t</w:t>
      </w:r>
      <w:r w:rsidR="004C090B" w:rsidRPr="000F21D1">
        <w:rPr>
          <w:rFonts w:ascii="Garamond" w:hAnsi="Garamond"/>
        </w:rPr>
        <w:t xml:space="preserve">he </w:t>
      </w:r>
      <w:r w:rsidR="00D11F44" w:rsidRPr="000F21D1">
        <w:rPr>
          <w:rFonts w:ascii="Garamond" w:hAnsi="Garamond"/>
        </w:rPr>
        <w:t xml:space="preserve">Russian economy, the </w:t>
      </w:r>
      <w:r w:rsidR="00D11F44" w:rsidRPr="000F21D1">
        <w:rPr>
          <w:rFonts w:ascii="Garamond" w:hAnsi="Garamond"/>
          <w:b/>
        </w:rPr>
        <w:t>dollar value of</w:t>
      </w:r>
      <w:r w:rsidR="00BE7257" w:rsidRPr="000F21D1">
        <w:rPr>
          <w:rFonts w:ascii="Garamond" w:hAnsi="Garamond"/>
          <w:b/>
          <w:lang w:val="hy-AM"/>
        </w:rPr>
        <w:t xml:space="preserve"> </w:t>
      </w:r>
      <w:r w:rsidR="00D11F44" w:rsidRPr="000F21D1">
        <w:rPr>
          <w:rFonts w:ascii="Garamond" w:hAnsi="Garamond"/>
          <w:b/>
        </w:rPr>
        <w:t xml:space="preserve">net inflow of private remittances and seasonal worker pays </w:t>
      </w:r>
      <w:r w:rsidRPr="000F21D1">
        <w:rPr>
          <w:rFonts w:ascii="Garamond" w:hAnsi="Garamond"/>
        </w:rPr>
        <w:t>has decreased faster than anticipated for the quarter</w:t>
      </w:r>
      <w:r w:rsidR="004C090B" w:rsidRPr="000F21D1">
        <w:rPr>
          <w:rFonts w:ascii="Garamond" w:hAnsi="Garamond"/>
        </w:rPr>
        <w:t xml:space="preserve">, </w:t>
      </w:r>
      <w:r w:rsidRPr="000F21D1">
        <w:rPr>
          <w:rFonts w:ascii="Garamond" w:hAnsi="Garamond"/>
        </w:rPr>
        <w:t>amounting to -21</w:t>
      </w:r>
      <w:r w:rsidR="004C090B" w:rsidRPr="000F21D1">
        <w:rPr>
          <w:rFonts w:ascii="Garamond" w:hAnsi="Garamond"/>
        </w:rPr>
        <w:t>.</w:t>
      </w:r>
      <w:r w:rsidRPr="000F21D1">
        <w:rPr>
          <w:rFonts w:ascii="Garamond" w:hAnsi="Garamond"/>
        </w:rPr>
        <w:t>3</w:t>
      </w:r>
      <w:r w:rsidR="004C090B" w:rsidRPr="000F21D1">
        <w:rPr>
          <w:rFonts w:ascii="Garamond" w:hAnsi="Garamond"/>
        </w:rPr>
        <w:t xml:space="preserve">% y/y. This </w:t>
      </w:r>
      <w:r w:rsidRPr="000F21D1">
        <w:rPr>
          <w:rFonts w:ascii="Garamond" w:hAnsi="Garamond"/>
        </w:rPr>
        <w:t xml:space="preserve">has </w:t>
      </w:r>
      <w:r w:rsidR="004C090B" w:rsidRPr="000F21D1">
        <w:rPr>
          <w:rFonts w:ascii="Garamond" w:hAnsi="Garamond"/>
        </w:rPr>
        <w:t xml:space="preserve">contributed to the </w:t>
      </w:r>
      <w:r w:rsidRPr="000F21D1">
        <w:rPr>
          <w:rFonts w:ascii="Garamond" w:hAnsi="Garamond"/>
        </w:rPr>
        <w:t xml:space="preserve">further </w:t>
      </w:r>
      <w:r w:rsidR="008B2854" w:rsidRPr="000F21D1">
        <w:rPr>
          <w:rFonts w:ascii="Garamond" w:hAnsi="Garamond"/>
        </w:rPr>
        <w:t xml:space="preserve">narrowing </w:t>
      </w:r>
      <w:r w:rsidR="004C090B" w:rsidRPr="000F21D1">
        <w:rPr>
          <w:rFonts w:ascii="Garamond" w:hAnsi="Garamond"/>
        </w:rPr>
        <w:t>of the negative gap of real private transfers.</w:t>
      </w:r>
      <w:r w:rsidR="008050A1" w:rsidRPr="000F21D1">
        <w:rPr>
          <w:rFonts w:ascii="Garamond" w:hAnsi="Garamond"/>
        </w:rPr>
        <w:t xml:space="preserve"> </w:t>
      </w:r>
      <w:r w:rsidR="00337E9B" w:rsidRPr="000F21D1">
        <w:rPr>
          <w:rFonts w:ascii="Garamond" w:hAnsi="Garamond" w:cs="Sylfaen"/>
          <w:color w:val="000000"/>
        </w:rPr>
        <w:t xml:space="preserve">On the back of </w:t>
      </w:r>
      <w:r w:rsidR="008050A1" w:rsidRPr="000F21D1">
        <w:rPr>
          <w:rFonts w:ascii="Garamond" w:hAnsi="Garamond" w:cs="Sylfaen"/>
          <w:color w:val="000000"/>
        </w:rPr>
        <w:t xml:space="preserve">continued shrinking </w:t>
      </w:r>
      <w:r w:rsidR="006D0708" w:rsidRPr="000F21D1">
        <w:rPr>
          <w:rFonts w:ascii="Garamond" w:hAnsi="Garamond" w:cs="Sylfaen"/>
          <w:color w:val="000000"/>
        </w:rPr>
        <w:t xml:space="preserve">of </w:t>
      </w:r>
      <w:r w:rsidR="006D0708" w:rsidRPr="000F21D1">
        <w:rPr>
          <w:rFonts w:ascii="Garamond" w:hAnsi="Garamond"/>
        </w:rPr>
        <w:t>private transfers</w:t>
      </w:r>
      <w:r w:rsidR="006D0708" w:rsidRPr="000F21D1">
        <w:rPr>
          <w:rFonts w:ascii="Garamond" w:hAnsi="Garamond" w:cs="Sylfaen"/>
          <w:color w:val="000000"/>
        </w:rPr>
        <w:t xml:space="preserve">, </w:t>
      </w:r>
      <w:r w:rsidR="00337E9B" w:rsidRPr="000F21D1">
        <w:rPr>
          <w:rFonts w:ascii="Garamond" w:hAnsi="Garamond"/>
        </w:rPr>
        <w:t xml:space="preserve">the </w:t>
      </w:r>
      <w:r w:rsidR="008050A1" w:rsidRPr="000F21D1">
        <w:rPr>
          <w:rFonts w:ascii="Garamond" w:hAnsi="Garamond"/>
        </w:rPr>
        <w:t>second</w:t>
      </w:r>
      <w:r w:rsidR="00337E9B" w:rsidRPr="000F21D1">
        <w:rPr>
          <w:rFonts w:ascii="Garamond" w:hAnsi="Garamond"/>
        </w:rPr>
        <w:t xml:space="preserve"> quarter of </w:t>
      </w:r>
      <w:r w:rsidR="008050A1" w:rsidRPr="000F21D1">
        <w:rPr>
          <w:rFonts w:ascii="Garamond" w:hAnsi="Garamond"/>
        </w:rPr>
        <w:t xml:space="preserve">2016 </w:t>
      </w:r>
      <w:r w:rsidR="00337E9B" w:rsidRPr="000F21D1">
        <w:rPr>
          <w:rFonts w:ascii="Garamond" w:hAnsi="Garamond"/>
        </w:rPr>
        <w:t xml:space="preserve">saw </w:t>
      </w:r>
      <w:r w:rsidR="008050A1" w:rsidRPr="000F21D1">
        <w:rPr>
          <w:rFonts w:ascii="Garamond" w:hAnsi="Garamond"/>
        </w:rPr>
        <w:t>a moderate growth in private consumption instead of anticipated decline</w:t>
      </w:r>
      <w:r w:rsidR="006A39D2" w:rsidRPr="000F21D1">
        <w:rPr>
          <w:rFonts w:ascii="Garamond" w:hAnsi="Garamond"/>
        </w:rPr>
        <w:t xml:space="preserve">, which was underpinned by monetary conditions the CBA had continuously eased since the beginning of the previous year </w:t>
      </w:r>
      <w:r w:rsidR="004C3AE8" w:rsidRPr="000F21D1">
        <w:rPr>
          <w:rFonts w:ascii="Garamond" w:hAnsi="Garamond"/>
        </w:rPr>
        <w:t>a</w:t>
      </w:r>
      <w:r w:rsidR="006A39D2" w:rsidRPr="000F21D1">
        <w:rPr>
          <w:rFonts w:ascii="Garamond" w:hAnsi="Garamond"/>
        </w:rPr>
        <w:t xml:space="preserve">nd low inflationary environment in the economy amid growing economic activity and acceleration of the growth rate </w:t>
      </w:r>
      <w:r w:rsidR="004C3AE8" w:rsidRPr="000F21D1">
        <w:rPr>
          <w:rFonts w:ascii="Garamond" w:hAnsi="Garamond"/>
        </w:rPr>
        <w:t>in lending.</w:t>
      </w:r>
      <w:r w:rsidR="005B0FF8" w:rsidRPr="000F21D1">
        <w:rPr>
          <w:rFonts w:ascii="Garamond" w:hAnsi="Garamond"/>
        </w:rPr>
        <w:t xml:space="preserve"> In the meantime, investment activity has been weak, as was anticipated, in which case private spending and domestic demand recovered at a faster rate than expected. </w:t>
      </w:r>
      <w:r w:rsidR="006D0708" w:rsidRPr="000F21D1">
        <w:rPr>
          <w:rFonts w:ascii="Garamond" w:hAnsi="Garamond"/>
        </w:rPr>
        <w:t xml:space="preserve">Note that </w:t>
      </w:r>
      <w:r w:rsidR="0099631A" w:rsidRPr="000F21D1">
        <w:rPr>
          <w:rFonts w:ascii="Garamond" w:hAnsi="Garamond"/>
        </w:rPr>
        <w:t xml:space="preserve">upside revision of the actual volumes of import by the National Statistics Service of Armenia, which is consistent with a more rapid recovery of domestic demand, </w:t>
      </w:r>
      <w:r w:rsidR="00A62DC1" w:rsidRPr="000F21D1">
        <w:rPr>
          <w:rFonts w:ascii="Garamond" w:hAnsi="Garamond"/>
        </w:rPr>
        <w:t xml:space="preserve">prompted the CBA to worsen </w:t>
      </w:r>
      <w:r w:rsidR="00871951" w:rsidRPr="000F21D1">
        <w:rPr>
          <w:rFonts w:ascii="Garamond" w:hAnsi="Garamond"/>
        </w:rPr>
        <w:t>its</w:t>
      </w:r>
      <w:r w:rsidR="00A62DC1" w:rsidRPr="000F21D1">
        <w:rPr>
          <w:rFonts w:ascii="Garamond" w:hAnsi="Garamond"/>
        </w:rPr>
        <w:t xml:space="preserve"> estimates of the current account for the quarter </w:t>
      </w:r>
      <w:r w:rsidR="00871951" w:rsidRPr="000F21D1">
        <w:rPr>
          <w:rFonts w:ascii="Garamond" w:hAnsi="Garamond"/>
        </w:rPr>
        <w:t xml:space="preserve">amid a narrowing inflow of private transfers. However, net external demand kept on improving in the course of </w:t>
      </w:r>
      <w:r w:rsidR="0099631A" w:rsidRPr="000F21D1">
        <w:rPr>
          <w:rFonts w:ascii="Garamond" w:hAnsi="Garamond"/>
        </w:rPr>
        <w:t>high real growth in exports</w:t>
      </w:r>
      <w:r w:rsidR="00871951" w:rsidRPr="000F21D1">
        <w:rPr>
          <w:rFonts w:ascii="Garamond" w:hAnsi="Garamond"/>
        </w:rPr>
        <w:t>.</w:t>
      </w:r>
      <w:r w:rsidR="0099631A" w:rsidRPr="000F21D1">
        <w:rPr>
          <w:rFonts w:ascii="Garamond" w:hAnsi="Garamond"/>
        </w:rPr>
        <w:t xml:space="preserve"> </w:t>
      </w:r>
    </w:p>
    <w:p w14:paraId="061CB317" w14:textId="77777777" w:rsidR="002C6CE2" w:rsidRPr="000F21D1" w:rsidRDefault="002C6CE2" w:rsidP="0085120F">
      <w:pPr>
        <w:tabs>
          <w:tab w:val="left" w:pos="5850"/>
        </w:tabs>
        <w:spacing w:line="360" w:lineRule="auto"/>
        <w:jc w:val="both"/>
        <w:rPr>
          <w:rFonts w:ascii="Garamond" w:hAnsi="Garamond" w:cs="Sylfaen"/>
          <w:color w:val="000000"/>
        </w:rPr>
      </w:pPr>
    </w:p>
    <w:p w14:paraId="160F2677" w14:textId="77777777" w:rsidR="000A2C22" w:rsidRPr="000F21D1" w:rsidRDefault="00015474" w:rsidP="0085120F">
      <w:pPr>
        <w:tabs>
          <w:tab w:val="left" w:pos="5850"/>
        </w:tabs>
        <w:spacing w:line="360" w:lineRule="auto"/>
        <w:jc w:val="both"/>
        <w:rPr>
          <w:rFonts w:ascii="Garamond" w:hAnsi="Garamond" w:cs="Sylfaen"/>
          <w:color w:val="000000"/>
        </w:rPr>
      </w:pPr>
      <w:r w:rsidRPr="000F21D1">
        <w:rPr>
          <w:rFonts w:ascii="Garamond" w:hAnsi="Garamond" w:cs="Sylfaen"/>
          <w:color w:val="000000"/>
        </w:rPr>
        <w:t>As a result of these developments</w:t>
      </w:r>
      <w:r w:rsidRPr="000F21D1">
        <w:rPr>
          <w:rFonts w:ascii="Garamond" w:hAnsi="Garamond" w:cs="Sylfaen"/>
          <w:b/>
          <w:color w:val="000000"/>
        </w:rPr>
        <w:t xml:space="preserve"> the </w:t>
      </w:r>
      <w:r w:rsidR="00244247" w:rsidRPr="000F21D1">
        <w:rPr>
          <w:rFonts w:ascii="Garamond" w:hAnsi="Garamond" w:cs="Sylfaen"/>
          <w:b/>
          <w:color w:val="000000"/>
        </w:rPr>
        <w:t>second</w:t>
      </w:r>
      <w:r w:rsidRPr="000F21D1">
        <w:rPr>
          <w:rFonts w:ascii="Garamond" w:hAnsi="Garamond" w:cs="Sylfaen"/>
          <w:b/>
          <w:color w:val="000000"/>
        </w:rPr>
        <w:t xml:space="preserve"> quarter’s negative GDP gap has narrowed in comparison with the previous quarter</w:t>
      </w:r>
      <w:r w:rsidR="00244247" w:rsidRPr="000F21D1">
        <w:rPr>
          <w:rFonts w:ascii="Garamond" w:hAnsi="Garamond" w:cs="Sylfaen"/>
          <w:b/>
          <w:color w:val="000000"/>
        </w:rPr>
        <w:t xml:space="preserve"> and is estimated </w:t>
      </w:r>
      <w:r w:rsidR="005152A6" w:rsidRPr="000F21D1">
        <w:rPr>
          <w:rFonts w:ascii="Garamond" w:hAnsi="Garamond" w:cs="Sylfaen"/>
          <w:b/>
          <w:color w:val="000000"/>
        </w:rPr>
        <w:t xml:space="preserve">to be </w:t>
      </w:r>
      <w:r w:rsidR="00244247" w:rsidRPr="000F21D1">
        <w:rPr>
          <w:rFonts w:ascii="Garamond" w:hAnsi="Garamond" w:cs="Sylfaen"/>
          <w:b/>
          <w:color w:val="000000"/>
        </w:rPr>
        <w:t>less negative than expected.</w:t>
      </w:r>
      <w:r w:rsidR="00BE7257" w:rsidRPr="000F21D1">
        <w:rPr>
          <w:rFonts w:ascii="Garamond" w:hAnsi="Garamond" w:cs="Sylfaen"/>
          <w:color w:val="000000"/>
          <w:lang w:val="hy-AM"/>
        </w:rPr>
        <w:t xml:space="preserve"> </w:t>
      </w:r>
      <w:r w:rsidR="004150BC" w:rsidRPr="000F21D1">
        <w:rPr>
          <w:rFonts w:ascii="Garamond" w:hAnsi="Garamond" w:cs="Sylfaen"/>
          <w:color w:val="000000"/>
        </w:rPr>
        <w:t>With a domestic demand still sluggish a</w:t>
      </w:r>
      <w:r w:rsidR="005152A6" w:rsidRPr="000F21D1">
        <w:rPr>
          <w:rFonts w:ascii="Garamond" w:hAnsi="Garamond" w:cs="Sylfaen"/>
          <w:color w:val="000000"/>
        </w:rPr>
        <w:t xml:space="preserve">nd </w:t>
      </w:r>
      <w:r w:rsidR="002C6CE2" w:rsidRPr="000F21D1">
        <w:rPr>
          <w:rFonts w:ascii="Garamond" w:hAnsi="Garamond" w:cs="Sylfaen"/>
          <w:color w:val="000000"/>
        </w:rPr>
        <w:t xml:space="preserve">deflationary effects </w:t>
      </w:r>
      <w:r w:rsidR="00153D45" w:rsidRPr="000F21D1">
        <w:rPr>
          <w:rFonts w:ascii="Garamond" w:hAnsi="Garamond" w:cs="Sylfaen"/>
          <w:color w:val="000000"/>
        </w:rPr>
        <w:t xml:space="preserve">further </w:t>
      </w:r>
      <w:r w:rsidR="002C6CE2" w:rsidRPr="000F21D1">
        <w:rPr>
          <w:rFonts w:ascii="Garamond" w:hAnsi="Garamond" w:cs="Sylfaen"/>
          <w:color w:val="000000"/>
        </w:rPr>
        <w:t>transmitt</w:t>
      </w:r>
      <w:r w:rsidR="004150BC" w:rsidRPr="000F21D1">
        <w:rPr>
          <w:rFonts w:ascii="Garamond" w:hAnsi="Garamond" w:cs="Sylfaen"/>
          <w:color w:val="000000"/>
        </w:rPr>
        <w:t xml:space="preserve">ing </w:t>
      </w:r>
      <w:r w:rsidR="002C6CE2" w:rsidRPr="000F21D1">
        <w:rPr>
          <w:rFonts w:ascii="Garamond" w:hAnsi="Garamond" w:cs="Sylfaen"/>
          <w:color w:val="000000"/>
        </w:rPr>
        <w:t>onto domestic prices</w:t>
      </w:r>
      <w:r w:rsidR="004150BC" w:rsidRPr="000F21D1">
        <w:rPr>
          <w:rFonts w:ascii="Garamond" w:hAnsi="Garamond" w:cs="Sylfaen"/>
          <w:color w:val="000000"/>
        </w:rPr>
        <w:t xml:space="preserve"> from international commodity markets,</w:t>
      </w:r>
      <w:r w:rsidR="002C6CE2" w:rsidRPr="000F21D1">
        <w:rPr>
          <w:rFonts w:ascii="Garamond" w:hAnsi="Garamond" w:cs="Sylfaen"/>
          <w:color w:val="000000"/>
        </w:rPr>
        <w:t xml:space="preserve"> </w:t>
      </w:r>
      <w:r w:rsidR="00153D45" w:rsidRPr="000F21D1">
        <w:rPr>
          <w:rFonts w:ascii="Garamond" w:hAnsi="Garamond" w:cs="Sylfaen"/>
          <w:color w:val="000000"/>
        </w:rPr>
        <w:t xml:space="preserve">the </w:t>
      </w:r>
      <w:r w:rsidR="00153D45" w:rsidRPr="000F21D1">
        <w:rPr>
          <w:rFonts w:ascii="Garamond" w:hAnsi="Garamond" w:cs="Sylfaen"/>
          <w:b/>
          <w:color w:val="000000"/>
        </w:rPr>
        <w:t xml:space="preserve">core inflation rate fell </w:t>
      </w:r>
      <w:r w:rsidR="004150BC" w:rsidRPr="000F21D1">
        <w:rPr>
          <w:rFonts w:ascii="Garamond" w:hAnsi="Garamond" w:cs="Sylfaen"/>
          <w:b/>
          <w:color w:val="000000"/>
        </w:rPr>
        <w:t xml:space="preserve">somewhat </w:t>
      </w:r>
      <w:r w:rsidR="005152A6" w:rsidRPr="000F21D1">
        <w:rPr>
          <w:rFonts w:ascii="Garamond" w:hAnsi="Garamond" w:cs="Sylfaen"/>
          <w:b/>
          <w:color w:val="000000"/>
        </w:rPr>
        <w:t xml:space="preserve">faster during the quarter </w:t>
      </w:r>
      <w:r w:rsidR="00153D45" w:rsidRPr="000F21D1">
        <w:rPr>
          <w:rFonts w:ascii="Garamond" w:hAnsi="Garamond" w:cs="Sylfaen"/>
          <w:b/>
          <w:color w:val="000000"/>
        </w:rPr>
        <w:t>than expected</w:t>
      </w:r>
      <w:r w:rsidR="00153D45" w:rsidRPr="000F21D1">
        <w:rPr>
          <w:rFonts w:ascii="Garamond" w:hAnsi="Garamond" w:cs="Sylfaen"/>
          <w:color w:val="000000"/>
        </w:rPr>
        <w:t xml:space="preserve">, </w:t>
      </w:r>
      <w:r w:rsidR="004150BC" w:rsidRPr="000F21D1">
        <w:rPr>
          <w:rFonts w:ascii="Garamond" w:hAnsi="Garamond" w:cs="Sylfaen"/>
          <w:color w:val="000000"/>
        </w:rPr>
        <w:t xml:space="preserve">in which case the 12-month indicator remained almost unchanged, amounting </w:t>
      </w:r>
      <w:r w:rsidR="00153D45" w:rsidRPr="000F21D1">
        <w:rPr>
          <w:rFonts w:ascii="Garamond" w:hAnsi="Garamond" w:cs="Sylfaen"/>
          <w:color w:val="000000"/>
        </w:rPr>
        <w:t xml:space="preserve">to </w:t>
      </w:r>
      <w:r w:rsidR="00153D45" w:rsidRPr="000F21D1">
        <w:rPr>
          <w:rFonts w:ascii="Garamond" w:hAnsi="Garamond" w:cs="Sylfaen"/>
          <w:b/>
          <w:color w:val="000000"/>
        </w:rPr>
        <w:t>-1.</w:t>
      </w:r>
      <w:r w:rsidR="004150BC" w:rsidRPr="000F21D1">
        <w:rPr>
          <w:rFonts w:ascii="Garamond" w:hAnsi="Garamond" w:cs="Sylfaen"/>
          <w:b/>
          <w:color w:val="000000"/>
        </w:rPr>
        <w:t>8</w:t>
      </w:r>
      <w:r w:rsidR="00153D45" w:rsidRPr="000F21D1">
        <w:rPr>
          <w:rFonts w:ascii="Garamond" w:hAnsi="Garamond" w:cs="Sylfaen"/>
          <w:b/>
          <w:color w:val="000000"/>
        </w:rPr>
        <w:t>%</w:t>
      </w:r>
      <w:r w:rsidR="00153D45" w:rsidRPr="000F21D1">
        <w:rPr>
          <w:rFonts w:ascii="Garamond" w:hAnsi="Garamond" w:cs="Sylfaen"/>
          <w:color w:val="000000"/>
        </w:rPr>
        <w:t xml:space="preserve"> in </w:t>
      </w:r>
      <w:r w:rsidR="004150BC" w:rsidRPr="000F21D1">
        <w:rPr>
          <w:rFonts w:ascii="Garamond" w:hAnsi="Garamond" w:cs="Sylfaen"/>
          <w:color w:val="000000"/>
        </w:rPr>
        <w:t>late June</w:t>
      </w:r>
      <w:r w:rsidR="00153D45" w:rsidRPr="000F21D1">
        <w:rPr>
          <w:rFonts w:ascii="Garamond" w:hAnsi="Garamond" w:cs="Sylfaen"/>
          <w:color w:val="000000"/>
        </w:rPr>
        <w:t xml:space="preserve">. </w:t>
      </w:r>
      <w:r w:rsidR="006313F6" w:rsidRPr="000F21D1">
        <w:rPr>
          <w:rFonts w:ascii="Garamond" w:hAnsi="Garamond" w:cs="Sylfaen"/>
          <w:color w:val="000000"/>
        </w:rPr>
        <w:t xml:space="preserve">The price drop during the quarter was modest compared to the forecast, mainly due to a lesser seasonal falling of prices of agricultural products, which, instead, was observable in relatively deep deflationary developments in July. </w:t>
      </w:r>
      <w:r w:rsidR="008A45A4" w:rsidRPr="000F21D1">
        <w:rPr>
          <w:rFonts w:ascii="Garamond" w:hAnsi="Garamond" w:cs="Sylfaen"/>
          <w:color w:val="000000"/>
        </w:rPr>
        <w:t xml:space="preserve">About 6.0% decrease in natural gas tariff, with its direct deflationary impact of -0.36 pp, has also contributed to the above price deflation. </w:t>
      </w:r>
      <w:r w:rsidR="00CE0941" w:rsidRPr="000F21D1">
        <w:rPr>
          <w:rFonts w:ascii="Garamond" w:hAnsi="Garamond" w:cs="Sylfaen"/>
          <w:color w:val="000000"/>
        </w:rPr>
        <w:t>As a result</w:t>
      </w:r>
      <w:r w:rsidR="0058366E" w:rsidRPr="000F21D1">
        <w:rPr>
          <w:rFonts w:ascii="Garamond" w:hAnsi="Garamond" w:cs="Sylfaen"/>
          <w:color w:val="000000"/>
        </w:rPr>
        <w:t xml:space="preserve">, the </w:t>
      </w:r>
      <w:r w:rsidR="0058366E" w:rsidRPr="000F21D1">
        <w:rPr>
          <w:rFonts w:ascii="Garamond" w:hAnsi="Garamond" w:cs="Sylfaen"/>
          <w:b/>
          <w:color w:val="000000"/>
        </w:rPr>
        <w:t>12-month deflation rate</w:t>
      </w:r>
      <w:r w:rsidR="0058366E" w:rsidRPr="000F21D1">
        <w:rPr>
          <w:rFonts w:ascii="Garamond" w:hAnsi="Garamond" w:cs="Sylfaen"/>
          <w:color w:val="000000"/>
        </w:rPr>
        <w:t xml:space="preserve"> declined in June more rapidly than expected, reaching </w:t>
      </w:r>
      <w:r w:rsidR="0058366E" w:rsidRPr="000F21D1">
        <w:rPr>
          <w:rFonts w:ascii="Garamond" w:hAnsi="Garamond" w:cs="Sylfaen"/>
          <w:b/>
          <w:color w:val="000000"/>
        </w:rPr>
        <w:t>1.1%</w:t>
      </w:r>
      <w:r w:rsidR="0058366E" w:rsidRPr="000F21D1">
        <w:rPr>
          <w:rFonts w:ascii="Garamond" w:hAnsi="Garamond" w:cs="Sylfaen"/>
          <w:color w:val="000000"/>
        </w:rPr>
        <w:t xml:space="preserve">, but in July it came close to the forecasts, reducing to a </w:t>
      </w:r>
      <w:r w:rsidR="0058366E" w:rsidRPr="000F21D1">
        <w:rPr>
          <w:rFonts w:ascii="Garamond" w:hAnsi="Garamond" w:cs="Sylfaen"/>
          <w:b/>
          <w:color w:val="000000"/>
        </w:rPr>
        <w:t>1.3%</w:t>
      </w:r>
      <w:r w:rsidR="0058366E" w:rsidRPr="000F21D1">
        <w:rPr>
          <w:rFonts w:ascii="Garamond" w:hAnsi="Garamond" w:cs="Sylfaen"/>
          <w:color w:val="000000"/>
        </w:rPr>
        <w:t xml:space="preserve"> level. </w:t>
      </w:r>
    </w:p>
    <w:p w14:paraId="5E43640B" w14:textId="77777777" w:rsidR="000A2C22" w:rsidRPr="000F21D1" w:rsidRDefault="000A2C22" w:rsidP="0085120F">
      <w:pPr>
        <w:tabs>
          <w:tab w:val="left" w:pos="5850"/>
        </w:tabs>
        <w:spacing w:line="360" w:lineRule="auto"/>
        <w:jc w:val="both"/>
        <w:rPr>
          <w:rFonts w:ascii="Garamond" w:hAnsi="Garamond" w:cs="Sylfaen"/>
          <w:color w:val="000000"/>
        </w:rPr>
      </w:pPr>
    </w:p>
    <w:p w14:paraId="5A61D868" w14:textId="77777777" w:rsidR="000A2C22" w:rsidRPr="000F21D1" w:rsidRDefault="004303E9" w:rsidP="0085120F">
      <w:pPr>
        <w:tabs>
          <w:tab w:val="left" w:pos="5850"/>
        </w:tabs>
        <w:spacing w:line="360" w:lineRule="auto"/>
        <w:jc w:val="both"/>
        <w:rPr>
          <w:rFonts w:ascii="Garamond" w:hAnsi="Garamond" w:cs="Sylfaen"/>
          <w:color w:val="000000"/>
        </w:rPr>
      </w:pPr>
      <w:r w:rsidRPr="000F21D1">
        <w:rPr>
          <w:rFonts w:ascii="Garamond" w:hAnsi="Garamond" w:cs="Sylfaen"/>
          <w:color w:val="000000"/>
        </w:rPr>
        <w:t>In view of</w:t>
      </w:r>
      <w:r w:rsidR="0035146E" w:rsidRPr="000F21D1">
        <w:rPr>
          <w:rFonts w:ascii="Garamond" w:hAnsi="Garamond" w:cs="Sylfaen"/>
          <w:color w:val="000000"/>
        </w:rPr>
        <w:t xml:space="preserve"> the </w:t>
      </w:r>
      <w:r w:rsidRPr="000F21D1">
        <w:rPr>
          <w:rFonts w:ascii="Garamond" w:hAnsi="Garamond" w:cs="Sylfaen"/>
          <w:color w:val="000000"/>
        </w:rPr>
        <w:t>inflation environment</w:t>
      </w:r>
      <w:r w:rsidR="00E8152B" w:rsidRPr="000F21D1">
        <w:rPr>
          <w:rFonts w:ascii="Garamond" w:hAnsi="Garamond" w:cs="Sylfaen"/>
          <w:color w:val="000000"/>
        </w:rPr>
        <w:t>,</w:t>
      </w:r>
      <w:r w:rsidRPr="000F21D1">
        <w:rPr>
          <w:rFonts w:ascii="Garamond" w:hAnsi="Garamond" w:cs="Sylfaen"/>
          <w:color w:val="000000"/>
        </w:rPr>
        <w:t xml:space="preserve"> </w:t>
      </w:r>
      <w:r w:rsidR="0035146E" w:rsidRPr="000F21D1">
        <w:rPr>
          <w:rFonts w:ascii="Garamond" w:hAnsi="Garamond" w:cs="Sylfaen"/>
          <w:color w:val="000000"/>
        </w:rPr>
        <w:t xml:space="preserve">low at the time and </w:t>
      </w:r>
      <w:r w:rsidR="002C6D47" w:rsidRPr="000F21D1">
        <w:rPr>
          <w:rFonts w:ascii="Garamond" w:hAnsi="Garamond" w:cs="Sylfaen"/>
          <w:color w:val="000000"/>
        </w:rPr>
        <w:t>expected to remain such in an upcoming period</w:t>
      </w:r>
      <w:r w:rsidR="0035146E" w:rsidRPr="000F21D1">
        <w:rPr>
          <w:rFonts w:ascii="Garamond" w:hAnsi="Garamond" w:cs="Sylfaen"/>
          <w:color w:val="000000"/>
        </w:rPr>
        <w:t>,</w:t>
      </w:r>
      <w:r w:rsidRPr="000F21D1">
        <w:rPr>
          <w:rFonts w:ascii="Garamond" w:hAnsi="Garamond" w:cs="Sylfaen"/>
          <w:color w:val="000000"/>
        </w:rPr>
        <w:t xml:space="preserve"> a</w:t>
      </w:r>
      <w:r w:rsidR="00E8152B" w:rsidRPr="000F21D1">
        <w:rPr>
          <w:rFonts w:ascii="Garamond" w:hAnsi="Garamond" w:cs="Sylfaen"/>
          <w:color w:val="000000"/>
        </w:rPr>
        <w:t>nd</w:t>
      </w:r>
      <w:r w:rsidRPr="000F21D1">
        <w:rPr>
          <w:rFonts w:ascii="Garamond" w:hAnsi="Garamond" w:cs="Sylfaen"/>
          <w:color w:val="000000"/>
        </w:rPr>
        <w:t xml:space="preserve"> relatively stabilizing inflation expectations</w:t>
      </w:r>
      <w:r w:rsidR="002C6D47" w:rsidRPr="000F21D1">
        <w:rPr>
          <w:rFonts w:ascii="Garamond" w:hAnsi="Garamond" w:cs="Sylfaen"/>
          <w:color w:val="000000"/>
        </w:rPr>
        <w:t>,</w:t>
      </w:r>
      <w:r w:rsidRPr="000F21D1">
        <w:rPr>
          <w:rFonts w:ascii="Garamond" w:hAnsi="Garamond" w:cs="Sylfaen"/>
          <w:color w:val="000000"/>
        </w:rPr>
        <w:t xml:space="preserve"> </w:t>
      </w:r>
      <w:r w:rsidR="00E57CFA" w:rsidRPr="000F21D1">
        <w:rPr>
          <w:rFonts w:ascii="Garamond" w:hAnsi="Garamond" w:cs="Sylfaen"/>
          <w:color w:val="000000"/>
        </w:rPr>
        <w:t xml:space="preserve">the </w:t>
      </w:r>
      <w:r w:rsidR="00E57CFA" w:rsidRPr="000F21D1">
        <w:rPr>
          <w:rFonts w:ascii="Garamond" w:hAnsi="Garamond" w:cs="Sylfaen"/>
          <w:b/>
          <w:color w:val="000000"/>
        </w:rPr>
        <w:t xml:space="preserve">CBA </w:t>
      </w:r>
      <w:r w:rsidR="002C6D47" w:rsidRPr="000F21D1">
        <w:rPr>
          <w:rFonts w:ascii="Garamond" w:hAnsi="Garamond" w:cs="Sylfaen"/>
          <w:b/>
          <w:color w:val="000000"/>
        </w:rPr>
        <w:t>kept on easing m</w:t>
      </w:r>
      <w:r w:rsidR="00E57CFA" w:rsidRPr="000F21D1">
        <w:rPr>
          <w:rFonts w:ascii="Garamond" w:hAnsi="Garamond" w:cs="Sylfaen"/>
          <w:b/>
          <w:color w:val="000000"/>
        </w:rPr>
        <w:t>onetary conditions</w:t>
      </w:r>
      <w:r w:rsidR="005F6DF3" w:rsidRPr="000F21D1">
        <w:rPr>
          <w:rFonts w:ascii="Garamond" w:hAnsi="Garamond" w:cs="Sylfaen"/>
          <w:b/>
          <w:color w:val="000000"/>
        </w:rPr>
        <w:t xml:space="preserve"> in the </w:t>
      </w:r>
      <w:r w:rsidR="002C6D47" w:rsidRPr="000F21D1">
        <w:rPr>
          <w:rFonts w:ascii="Garamond" w:hAnsi="Garamond" w:cs="Sylfaen"/>
          <w:b/>
          <w:color w:val="000000"/>
        </w:rPr>
        <w:t xml:space="preserve">second </w:t>
      </w:r>
      <w:r w:rsidR="005F6DF3" w:rsidRPr="000F21D1">
        <w:rPr>
          <w:rFonts w:ascii="Garamond" w:hAnsi="Garamond" w:cs="Sylfaen"/>
          <w:b/>
          <w:color w:val="000000"/>
        </w:rPr>
        <w:t xml:space="preserve">quarter </w:t>
      </w:r>
      <w:r w:rsidR="002C6D47" w:rsidRPr="000F21D1">
        <w:rPr>
          <w:rFonts w:ascii="Garamond" w:hAnsi="Garamond" w:cs="Sylfaen"/>
          <w:b/>
          <w:color w:val="000000"/>
        </w:rPr>
        <w:t xml:space="preserve">by cutting </w:t>
      </w:r>
      <w:r w:rsidR="000A2C22" w:rsidRPr="000F21D1">
        <w:rPr>
          <w:rFonts w:ascii="Garamond" w:hAnsi="Garamond" w:cs="Sylfaen"/>
          <w:b/>
          <w:color w:val="000000"/>
        </w:rPr>
        <w:t xml:space="preserve">the refinancing rate </w:t>
      </w:r>
      <w:r w:rsidR="0035146E" w:rsidRPr="000F21D1">
        <w:rPr>
          <w:rFonts w:ascii="Garamond" w:hAnsi="Garamond" w:cs="Sylfaen"/>
          <w:color w:val="000000"/>
        </w:rPr>
        <w:t xml:space="preserve">in May and June </w:t>
      </w:r>
      <w:r w:rsidR="0035146E" w:rsidRPr="000F21D1">
        <w:rPr>
          <w:rFonts w:ascii="Garamond" w:hAnsi="Garamond" w:cs="Sylfaen"/>
          <w:b/>
          <w:color w:val="000000"/>
        </w:rPr>
        <w:t xml:space="preserve">for </w:t>
      </w:r>
      <w:r w:rsidR="002C6D47" w:rsidRPr="000F21D1">
        <w:rPr>
          <w:rFonts w:ascii="Garamond" w:hAnsi="Garamond" w:cs="Sylfaen"/>
          <w:b/>
          <w:color w:val="000000"/>
        </w:rPr>
        <w:t xml:space="preserve">a total of </w:t>
      </w:r>
      <w:r w:rsidR="000A2C22" w:rsidRPr="000F21D1">
        <w:rPr>
          <w:rFonts w:ascii="Garamond" w:hAnsi="Garamond" w:cs="Sylfaen"/>
          <w:b/>
          <w:color w:val="000000"/>
        </w:rPr>
        <w:t>0.</w:t>
      </w:r>
      <w:r w:rsidR="002C6D47" w:rsidRPr="000F21D1">
        <w:rPr>
          <w:rFonts w:ascii="Garamond" w:hAnsi="Garamond" w:cs="Sylfaen"/>
          <w:b/>
          <w:color w:val="000000"/>
        </w:rPr>
        <w:t>7</w:t>
      </w:r>
      <w:r w:rsidR="000A2C22" w:rsidRPr="000F21D1">
        <w:rPr>
          <w:rFonts w:ascii="Garamond" w:hAnsi="Garamond" w:cs="Sylfaen"/>
          <w:b/>
          <w:color w:val="000000"/>
        </w:rPr>
        <w:t>5 p</w:t>
      </w:r>
      <w:r w:rsidR="005F6DF3" w:rsidRPr="000F21D1">
        <w:rPr>
          <w:rFonts w:ascii="Garamond" w:hAnsi="Garamond" w:cs="Sylfaen"/>
          <w:b/>
          <w:color w:val="000000"/>
        </w:rPr>
        <w:t>p</w:t>
      </w:r>
      <w:r w:rsidR="0035146E" w:rsidRPr="000F21D1">
        <w:rPr>
          <w:rFonts w:ascii="Garamond" w:hAnsi="Garamond" w:cs="Sylfaen"/>
          <w:b/>
          <w:color w:val="000000"/>
        </w:rPr>
        <w:t xml:space="preserve"> to </w:t>
      </w:r>
      <w:r w:rsidR="002C6D47" w:rsidRPr="000F21D1">
        <w:rPr>
          <w:rFonts w:ascii="Garamond" w:hAnsi="Garamond" w:cs="Sylfaen"/>
          <w:b/>
          <w:color w:val="000000"/>
        </w:rPr>
        <w:t>7</w:t>
      </w:r>
      <w:r w:rsidR="000A2C22" w:rsidRPr="000F21D1">
        <w:rPr>
          <w:rFonts w:ascii="Garamond" w:hAnsi="Garamond" w:cs="Sylfaen"/>
          <w:b/>
          <w:color w:val="000000"/>
        </w:rPr>
        <w:t>.5%</w:t>
      </w:r>
      <w:r w:rsidR="002C6D47" w:rsidRPr="000F21D1">
        <w:rPr>
          <w:rFonts w:ascii="Garamond" w:hAnsi="Garamond" w:cs="Sylfaen"/>
          <w:color w:val="000000"/>
        </w:rPr>
        <w:t xml:space="preserve"> in late June.</w:t>
      </w:r>
      <w:r w:rsidR="000A2C22" w:rsidRPr="000F21D1">
        <w:rPr>
          <w:rFonts w:ascii="Garamond" w:hAnsi="Garamond" w:cs="Sylfaen"/>
          <w:color w:val="000000"/>
        </w:rPr>
        <w:t xml:space="preserve"> </w:t>
      </w:r>
      <w:r w:rsidR="00394A76" w:rsidRPr="000F21D1">
        <w:rPr>
          <w:rFonts w:ascii="Garamond" w:hAnsi="Garamond" w:cs="Sylfaen"/>
          <w:color w:val="000000"/>
        </w:rPr>
        <w:t xml:space="preserve">Consistent monetary policy conducted by the CBA has softened inflation expectations, </w:t>
      </w:r>
      <w:r w:rsidR="00364A36" w:rsidRPr="000F21D1">
        <w:rPr>
          <w:rFonts w:ascii="Garamond" w:hAnsi="Garamond" w:cs="Sylfaen"/>
          <w:color w:val="000000"/>
        </w:rPr>
        <w:t xml:space="preserve">in which circumstance </w:t>
      </w:r>
      <w:r w:rsidR="00394A76" w:rsidRPr="000F21D1">
        <w:rPr>
          <w:rFonts w:ascii="Garamond" w:hAnsi="Garamond" w:cs="Sylfaen"/>
          <w:color w:val="000000"/>
        </w:rPr>
        <w:t xml:space="preserve">long-term market rates </w:t>
      </w:r>
      <w:r w:rsidR="00364A36" w:rsidRPr="000F21D1">
        <w:rPr>
          <w:rFonts w:ascii="Garamond" w:hAnsi="Garamond" w:cs="Sylfaen"/>
          <w:color w:val="000000"/>
        </w:rPr>
        <w:t xml:space="preserve">have fallen </w:t>
      </w:r>
      <w:r w:rsidR="00394A76" w:rsidRPr="000F21D1">
        <w:rPr>
          <w:rFonts w:ascii="Garamond" w:hAnsi="Garamond" w:cs="Sylfaen"/>
          <w:color w:val="000000"/>
        </w:rPr>
        <w:t xml:space="preserve">as much as possible thus </w:t>
      </w:r>
      <w:r w:rsidR="00364A36" w:rsidRPr="000F21D1">
        <w:rPr>
          <w:rFonts w:ascii="Garamond" w:hAnsi="Garamond" w:cs="Sylfaen"/>
          <w:color w:val="000000"/>
        </w:rPr>
        <w:t xml:space="preserve">helping private consumption and domestic demand </w:t>
      </w:r>
      <w:r w:rsidR="0041099B" w:rsidRPr="000F21D1">
        <w:rPr>
          <w:rFonts w:ascii="Garamond" w:hAnsi="Garamond" w:cs="Sylfaen"/>
          <w:color w:val="000000"/>
        </w:rPr>
        <w:t>to recover gradually</w:t>
      </w:r>
      <w:r w:rsidR="00394A76" w:rsidRPr="000F21D1">
        <w:rPr>
          <w:rFonts w:ascii="Garamond" w:hAnsi="Garamond" w:cs="Sylfaen"/>
          <w:color w:val="000000"/>
        </w:rPr>
        <w:t>.</w:t>
      </w:r>
    </w:p>
    <w:p w14:paraId="76B7E286" w14:textId="77777777" w:rsidR="0072219E" w:rsidRPr="000F21D1" w:rsidRDefault="0072219E" w:rsidP="0085120F">
      <w:pPr>
        <w:tabs>
          <w:tab w:val="left" w:pos="5850"/>
        </w:tabs>
        <w:spacing w:line="360" w:lineRule="auto"/>
        <w:jc w:val="both"/>
        <w:rPr>
          <w:rFonts w:ascii="Garamond" w:hAnsi="Garamond" w:cs="Sylfaen"/>
          <w:color w:val="000000"/>
        </w:rPr>
      </w:pPr>
    </w:p>
    <w:p w14:paraId="077A193B" w14:textId="77777777" w:rsidR="0072219E" w:rsidRPr="000F21D1" w:rsidRDefault="00251CAF" w:rsidP="0085120F">
      <w:pPr>
        <w:tabs>
          <w:tab w:val="left" w:pos="5850"/>
        </w:tabs>
        <w:spacing w:line="360" w:lineRule="auto"/>
        <w:jc w:val="both"/>
        <w:rPr>
          <w:rFonts w:ascii="Garamond" w:hAnsi="Garamond"/>
        </w:rPr>
      </w:pPr>
      <w:r w:rsidRPr="000F21D1">
        <w:rPr>
          <w:rFonts w:ascii="Garamond" w:hAnsi="Garamond" w:cs="Times Armenian"/>
          <w:iCs/>
        </w:rPr>
        <w:t xml:space="preserve">The 2016 forecast of economic growth as part of macroeconomic forecasts by the CBA remained almost unchanged compared to the previous one, as macroeconomic developments were generally in line with projections. The </w:t>
      </w:r>
      <w:r w:rsidRPr="000F21D1">
        <w:rPr>
          <w:rFonts w:ascii="Garamond" w:hAnsi="Garamond" w:cs="Times Armenian"/>
          <w:b/>
          <w:iCs/>
        </w:rPr>
        <w:t>e</w:t>
      </w:r>
      <w:r w:rsidR="0072219E" w:rsidRPr="000F21D1">
        <w:rPr>
          <w:rFonts w:ascii="Garamond" w:hAnsi="Garamond" w:cs="Times Armenian"/>
          <w:b/>
          <w:iCs/>
        </w:rPr>
        <w:t xml:space="preserve">conomic growth in 2016 is expected in the range of </w:t>
      </w:r>
      <w:r w:rsidR="00847264" w:rsidRPr="000F21D1">
        <w:rPr>
          <w:rFonts w:ascii="Garamond" w:hAnsi="Garamond"/>
          <w:b/>
        </w:rPr>
        <w:t>2</w:t>
      </w:r>
      <w:r w:rsidR="0072219E" w:rsidRPr="000F21D1">
        <w:rPr>
          <w:rFonts w:ascii="Garamond" w:hAnsi="Garamond"/>
          <w:b/>
        </w:rPr>
        <w:t>.</w:t>
      </w:r>
      <w:r w:rsidRPr="000F21D1">
        <w:rPr>
          <w:rFonts w:ascii="Garamond" w:hAnsi="Garamond"/>
          <w:b/>
        </w:rPr>
        <w:t>8</w:t>
      </w:r>
      <w:r w:rsidR="0072219E" w:rsidRPr="000F21D1">
        <w:rPr>
          <w:rFonts w:ascii="Garamond" w:hAnsi="Garamond"/>
          <w:b/>
        </w:rPr>
        <w:t>-</w:t>
      </w:r>
      <w:r w:rsidR="00847264" w:rsidRPr="000F21D1">
        <w:rPr>
          <w:rFonts w:ascii="Garamond" w:hAnsi="Garamond"/>
          <w:b/>
        </w:rPr>
        <w:t>3</w:t>
      </w:r>
      <w:r w:rsidR="0072219E" w:rsidRPr="000F21D1">
        <w:rPr>
          <w:rFonts w:ascii="Garamond" w:hAnsi="Garamond"/>
          <w:b/>
        </w:rPr>
        <w:t>.</w:t>
      </w:r>
      <w:r w:rsidRPr="000F21D1">
        <w:rPr>
          <w:rFonts w:ascii="Garamond" w:hAnsi="Garamond"/>
          <w:b/>
        </w:rPr>
        <w:t>4</w:t>
      </w:r>
      <w:r w:rsidR="0072219E" w:rsidRPr="000F21D1">
        <w:rPr>
          <w:rFonts w:ascii="Garamond" w:hAnsi="Garamond"/>
          <w:b/>
        </w:rPr>
        <w:t>%</w:t>
      </w:r>
      <w:r w:rsidR="0072219E" w:rsidRPr="000F21D1">
        <w:rPr>
          <w:rFonts w:ascii="Garamond" w:hAnsi="Garamond"/>
        </w:rPr>
        <w:t xml:space="preserve">, </w:t>
      </w:r>
      <w:r w:rsidR="00847264" w:rsidRPr="000F21D1">
        <w:rPr>
          <w:rFonts w:ascii="Garamond" w:hAnsi="Garamond"/>
        </w:rPr>
        <w:t>with the tradable sector</w:t>
      </w:r>
      <w:r w:rsidR="00293B44" w:rsidRPr="000F21D1">
        <w:rPr>
          <w:rFonts w:ascii="Garamond" w:hAnsi="Garamond"/>
        </w:rPr>
        <w:t xml:space="preserve"> (</w:t>
      </w:r>
      <w:r w:rsidR="00847264" w:rsidRPr="000F21D1">
        <w:rPr>
          <w:rFonts w:ascii="Garamond" w:hAnsi="Garamond"/>
        </w:rPr>
        <w:t>particularly mining and services</w:t>
      </w:r>
      <w:r w:rsidR="00293B44" w:rsidRPr="000F21D1">
        <w:rPr>
          <w:rFonts w:ascii="Garamond" w:hAnsi="Garamond"/>
        </w:rPr>
        <w:t>)</w:t>
      </w:r>
      <w:r w:rsidR="00847264" w:rsidRPr="000F21D1">
        <w:rPr>
          <w:rFonts w:ascii="Garamond" w:hAnsi="Garamond"/>
        </w:rPr>
        <w:t xml:space="preserve"> </w:t>
      </w:r>
      <w:r w:rsidR="00293B44" w:rsidRPr="000F21D1">
        <w:rPr>
          <w:rFonts w:ascii="Garamond" w:hAnsi="Garamond"/>
        </w:rPr>
        <w:t>as the main driver</w:t>
      </w:r>
      <w:r w:rsidR="009A2E19" w:rsidRPr="000F21D1">
        <w:rPr>
          <w:rFonts w:ascii="Garamond" w:hAnsi="Garamond"/>
        </w:rPr>
        <w:t xml:space="preserve"> to growth</w:t>
      </w:r>
      <w:r w:rsidR="00293B44" w:rsidRPr="000F21D1">
        <w:rPr>
          <w:rFonts w:ascii="Garamond" w:hAnsi="Garamond"/>
        </w:rPr>
        <w:t>,</w:t>
      </w:r>
      <w:r w:rsidRPr="000F21D1">
        <w:rPr>
          <w:rFonts w:ascii="Garamond" w:hAnsi="Garamond"/>
        </w:rPr>
        <w:t xml:space="preserve"> largely incurring the impact of loosened monetary conditions</w:t>
      </w:r>
      <w:r w:rsidR="003562CE" w:rsidRPr="000F21D1">
        <w:rPr>
          <w:rFonts w:ascii="Garamond" w:hAnsi="Garamond"/>
        </w:rPr>
        <w:t xml:space="preserve"> since the beginning of the previous year</w:t>
      </w:r>
      <w:r w:rsidRPr="000F21D1">
        <w:rPr>
          <w:rFonts w:ascii="Garamond" w:hAnsi="Garamond"/>
        </w:rPr>
        <w:t>.</w:t>
      </w:r>
      <w:r w:rsidR="009A2E19" w:rsidRPr="000F21D1">
        <w:rPr>
          <w:rFonts w:ascii="Garamond" w:hAnsi="Garamond"/>
        </w:rPr>
        <w:t xml:space="preserve"> </w:t>
      </w:r>
    </w:p>
    <w:p w14:paraId="7226AB4C" w14:textId="77777777" w:rsidR="00CF2EC9" w:rsidRPr="000F21D1" w:rsidRDefault="00CF2EC9" w:rsidP="0085120F">
      <w:pPr>
        <w:tabs>
          <w:tab w:val="left" w:pos="5850"/>
        </w:tabs>
        <w:spacing w:line="360" w:lineRule="auto"/>
        <w:jc w:val="both"/>
        <w:rPr>
          <w:rFonts w:ascii="Garamond" w:hAnsi="Garamond"/>
        </w:rPr>
      </w:pPr>
    </w:p>
    <w:p w14:paraId="50866BA8" w14:textId="77777777" w:rsidR="00794D69" w:rsidRPr="000F21D1" w:rsidRDefault="00CF2EC9" w:rsidP="0085120F">
      <w:pPr>
        <w:tabs>
          <w:tab w:val="left" w:pos="5850"/>
        </w:tabs>
        <w:spacing w:line="360" w:lineRule="auto"/>
        <w:jc w:val="both"/>
        <w:rPr>
          <w:rFonts w:ascii="Garamond" w:hAnsi="Garamond" w:cs="Sylfaen"/>
          <w:color w:val="000000"/>
        </w:rPr>
      </w:pPr>
      <w:r w:rsidRPr="000F21D1">
        <w:rPr>
          <w:rFonts w:ascii="Garamond" w:hAnsi="Garamond" w:cs="Sylfaen"/>
          <w:color w:val="000000"/>
        </w:rPr>
        <w:t xml:space="preserve">In consideration of slower rates of decline of the Russian economy and </w:t>
      </w:r>
      <w:r w:rsidRPr="000F21D1">
        <w:rPr>
          <w:rFonts w:ascii="Garamond" w:hAnsi="Garamond"/>
          <w:iCs/>
          <w:color w:val="000000"/>
        </w:rPr>
        <w:t xml:space="preserve">vanishing expectations of the ruble exchange rate depreciation against the U.S. dollar, the </w:t>
      </w:r>
      <w:r w:rsidRPr="000F21D1">
        <w:rPr>
          <w:rFonts w:ascii="Garamond" w:hAnsi="Garamond"/>
          <w:b/>
          <w:iCs/>
          <w:color w:val="000000"/>
        </w:rPr>
        <w:t>dollar value of net inflow of remittances</w:t>
      </w:r>
      <w:r w:rsidR="003562CE" w:rsidRPr="000F21D1">
        <w:rPr>
          <w:rFonts w:ascii="Garamond" w:hAnsi="Garamond"/>
          <w:b/>
          <w:iCs/>
          <w:color w:val="000000"/>
        </w:rPr>
        <w:t xml:space="preserve"> will reduce at a slower pace</w:t>
      </w:r>
      <w:r w:rsidR="00BE7257" w:rsidRPr="000F21D1">
        <w:rPr>
          <w:rFonts w:ascii="Garamond" w:hAnsi="Garamond"/>
          <w:b/>
          <w:iCs/>
          <w:color w:val="000000"/>
          <w:lang w:val="hy-AM"/>
        </w:rPr>
        <w:t xml:space="preserve"> </w:t>
      </w:r>
      <w:r w:rsidR="003562CE" w:rsidRPr="000F21D1">
        <w:rPr>
          <w:rFonts w:ascii="Garamond" w:hAnsi="Garamond"/>
          <w:iCs/>
          <w:color w:val="000000"/>
        </w:rPr>
        <w:t xml:space="preserve">in 2016, generally in line with previous forecasts. </w:t>
      </w:r>
      <w:r w:rsidRPr="000F21D1">
        <w:rPr>
          <w:rFonts w:ascii="Garamond" w:hAnsi="Garamond" w:cs="Sylfaen"/>
          <w:color w:val="000000"/>
        </w:rPr>
        <w:t>A</w:t>
      </w:r>
      <w:r w:rsidR="00794D69" w:rsidRPr="000F21D1">
        <w:rPr>
          <w:rFonts w:ascii="Garamond" w:hAnsi="Garamond" w:cs="Sylfaen"/>
          <w:color w:val="000000"/>
        </w:rPr>
        <w:t>l</w:t>
      </w:r>
      <w:r w:rsidRPr="000F21D1">
        <w:rPr>
          <w:rFonts w:ascii="Garamond" w:hAnsi="Garamond" w:cs="Sylfaen"/>
          <w:color w:val="000000"/>
        </w:rPr>
        <w:t>s</w:t>
      </w:r>
      <w:r w:rsidR="00794D69" w:rsidRPr="000F21D1">
        <w:rPr>
          <w:rFonts w:ascii="Garamond" w:hAnsi="Garamond" w:cs="Sylfaen"/>
          <w:color w:val="000000"/>
        </w:rPr>
        <w:t>o,</w:t>
      </w:r>
      <w:r w:rsidRPr="000F21D1">
        <w:rPr>
          <w:rFonts w:ascii="Garamond" w:hAnsi="Garamond" w:cs="Sylfaen"/>
          <w:color w:val="000000"/>
        </w:rPr>
        <w:t xml:space="preserve"> </w:t>
      </w:r>
      <w:r w:rsidR="00794D69" w:rsidRPr="000F21D1">
        <w:rPr>
          <w:rFonts w:ascii="Garamond" w:hAnsi="Garamond" w:cs="Sylfaen"/>
          <w:color w:val="000000"/>
        </w:rPr>
        <w:t xml:space="preserve">given a </w:t>
      </w:r>
      <w:r w:rsidRPr="000F21D1">
        <w:rPr>
          <w:rFonts w:ascii="Garamond" w:hAnsi="Garamond" w:cs="Sylfaen"/>
          <w:color w:val="000000"/>
        </w:rPr>
        <w:t xml:space="preserve">weak </w:t>
      </w:r>
      <w:r w:rsidR="001F25A9" w:rsidRPr="000F21D1">
        <w:rPr>
          <w:rFonts w:ascii="Garamond" w:hAnsi="Garamond" w:cs="Sylfaen"/>
          <w:color w:val="000000"/>
        </w:rPr>
        <w:t xml:space="preserve">inflation environment, the level of </w:t>
      </w:r>
      <w:r w:rsidRPr="000F21D1">
        <w:rPr>
          <w:rFonts w:ascii="Garamond" w:hAnsi="Garamond" w:cs="Sylfaen"/>
          <w:color w:val="000000"/>
        </w:rPr>
        <w:t xml:space="preserve">private spending </w:t>
      </w:r>
      <w:r w:rsidR="00794D69" w:rsidRPr="000F21D1">
        <w:rPr>
          <w:rFonts w:ascii="Garamond" w:hAnsi="Garamond" w:cs="Sylfaen"/>
          <w:color w:val="000000"/>
        </w:rPr>
        <w:t>in</w:t>
      </w:r>
      <w:r w:rsidR="001F25A9" w:rsidRPr="000F21D1">
        <w:rPr>
          <w:rFonts w:ascii="Garamond" w:hAnsi="Garamond" w:cs="Sylfaen"/>
          <w:color w:val="000000"/>
        </w:rPr>
        <w:t xml:space="preserve"> 2016 </w:t>
      </w:r>
      <w:r w:rsidR="00794D69" w:rsidRPr="000F21D1">
        <w:rPr>
          <w:rFonts w:ascii="Garamond" w:hAnsi="Garamond" w:cs="Sylfaen"/>
          <w:color w:val="000000"/>
        </w:rPr>
        <w:t xml:space="preserve">will somewhat recover, not varying significantly from previous forecasts. Moreover, </w:t>
      </w:r>
      <w:r w:rsidR="007825BC" w:rsidRPr="000F21D1">
        <w:rPr>
          <w:rFonts w:ascii="Garamond" w:hAnsi="Garamond" w:cs="Sylfaen"/>
          <w:color w:val="000000"/>
        </w:rPr>
        <w:t xml:space="preserve">in the event </w:t>
      </w:r>
      <w:r w:rsidR="00BE23D0" w:rsidRPr="000F21D1">
        <w:rPr>
          <w:rFonts w:ascii="Garamond" w:hAnsi="Garamond" w:cs="Sylfaen"/>
          <w:color w:val="000000"/>
        </w:rPr>
        <w:t xml:space="preserve">private investment </w:t>
      </w:r>
      <w:r w:rsidR="007825BC" w:rsidRPr="000F21D1">
        <w:rPr>
          <w:rFonts w:ascii="Garamond" w:hAnsi="Garamond" w:cs="Sylfaen"/>
          <w:color w:val="000000"/>
        </w:rPr>
        <w:t xml:space="preserve">grows </w:t>
      </w:r>
      <w:r w:rsidR="00BE23D0" w:rsidRPr="000F21D1">
        <w:rPr>
          <w:rFonts w:ascii="Garamond" w:hAnsi="Garamond" w:cs="Sylfaen"/>
          <w:color w:val="000000"/>
        </w:rPr>
        <w:t>moderate</w:t>
      </w:r>
      <w:r w:rsidR="007825BC" w:rsidRPr="000F21D1">
        <w:rPr>
          <w:rFonts w:ascii="Garamond" w:hAnsi="Garamond" w:cs="Sylfaen"/>
          <w:color w:val="000000"/>
        </w:rPr>
        <w:t>ly,</w:t>
      </w:r>
      <w:r w:rsidR="00794D69" w:rsidRPr="000F21D1">
        <w:rPr>
          <w:rFonts w:ascii="Garamond" w:hAnsi="Garamond" w:cs="Sylfaen"/>
          <w:color w:val="000000"/>
        </w:rPr>
        <w:t xml:space="preserve"> </w:t>
      </w:r>
      <w:r w:rsidR="00BE23D0" w:rsidRPr="000F21D1">
        <w:rPr>
          <w:rFonts w:ascii="Garamond" w:hAnsi="Garamond" w:cs="Sylfaen"/>
          <w:color w:val="000000"/>
        </w:rPr>
        <w:t xml:space="preserve">private consumption </w:t>
      </w:r>
      <w:r w:rsidR="00794D69" w:rsidRPr="000F21D1">
        <w:rPr>
          <w:rFonts w:ascii="Garamond" w:hAnsi="Garamond" w:cs="Sylfaen"/>
          <w:color w:val="000000"/>
        </w:rPr>
        <w:t>will gradually increase,</w:t>
      </w:r>
      <w:r w:rsidR="00BE23D0" w:rsidRPr="000F21D1">
        <w:rPr>
          <w:rFonts w:ascii="Garamond" w:hAnsi="Garamond" w:cs="Sylfaen"/>
          <w:color w:val="000000"/>
        </w:rPr>
        <w:t xml:space="preserve"> staying within the forecast.</w:t>
      </w:r>
      <w:r w:rsidR="00794D69" w:rsidRPr="000F21D1">
        <w:rPr>
          <w:rFonts w:ascii="Garamond" w:hAnsi="Garamond" w:cs="Sylfaen"/>
          <w:color w:val="000000"/>
        </w:rPr>
        <w:t xml:space="preserve"> In this c</w:t>
      </w:r>
      <w:r w:rsidR="00BE23D0" w:rsidRPr="000F21D1">
        <w:rPr>
          <w:rFonts w:ascii="Garamond" w:hAnsi="Garamond" w:cs="Sylfaen"/>
          <w:color w:val="000000"/>
        </w:rPr>
        <w:t>ircumstance</w:t>
      </w:r>
      <w:r w:rsidR="00794D69" w:rsidRPr="000F21D1">
        <w:rPr>
          <w:rFonts w:ascii="Garamond" w:hAnsi="Garamond" w:cs="Sylfaen"/>
          <w:color w:val="000000"/>
        </w:rPr>
        <w:t>, domestic demand</w:t>
      </w:r>
      <w:r w:rsidR="00BE23D0" w:rsidRPr="000F21D1">
        <w:rPr>
          <w:rFonts w:ascii="Garamond" w:hAnsi="Garamond" w:cs="Sylfaen"/>
          <w:color w:val="000000"/>
        </w:rPr>
        <w:t>,</w:t>
      </w:r>
      <w:r w:rsidR="00794D69" w:rsidRPr="000F21D1">
        <w:rPr>
          <w:rFonts w:ascii="Garamond" w:hAnsi="Garamond" w:cs="Sylfaen"/>
          <w:color w:val="000000"/>
        </w:rPr>
        <w:t xml:space="preserve"> </w:t>
      </w:r>
      <w:r w:rsidR="0012594D" w:rsidRPr="000F21D1">
        <w:rPr>
          <w:rFonts w:ascii="Garamond" w:hAnsi="Garamond" w:cs="Sylfaen"/>
          <w:color w:val="000000"/>
        </w:rPr>
        <w:t xml:space="preserve">persisting at a low level, </w:t>
      </w:r>
      <w:r w:rsidR="00BE23D0" w:rsidRPr="000F21D1">
        <w:rPr>
          <w:rFonts w:ascii="Garamond" w:hAnsi="Garamond" w:cs="Sylfaen"/>
          <w:color w:val="000000"/>
        </w:rPr>
        <w:t>will recover gradually in 2016</w:t>
      </w:r>
      <w:r w:rsidR="0012594D" w:rsidRPr="000F21D1">
        <w:rPr>
          <w:rFonts w:ascii="Garamond" w:hAnsi="Garamond" w:cs="Sylfaen"/>
          <w:color w:val="000000"/>
        </w:rPr>
        <w:t xml:space="preserve"> but will still </w:t>
      </w:r>
      <w:r w:rsidR="00BE23D0" w:rsidRPr="000F21D1">
        <w:rPr>
          <w:rFonts w:ascii="Garamond" w:hAnsi="Garamond" w:cs="Sylfaen"/>
          <w:color w:val="000000"/>
        </w:rPr>
        <w:t>run</w:t>
      </w:r>
      <w:r w:rsidR="0012594D" w:rsidRPr="000F21D1">
        <w:rPr>
          <w:rFonts w:ascii="Garamond" w:hAnsi="Garamond" w:cs="Sylfaen"/>
          <w:color w:val="000000"/>
        </w:rPr>
        <w:t xml:space="preserve"> </w:t>
      </w:r>
      <w:r w:rsidR="00794D69" w:rsidRPr="000F21D1">
        <w:rPr>
          <w:rFonts w:ascii="Garamond" w:hAnsi="Garamond" w:cs="Sylfaen"/>
          <w:color w:val="000000"/>
        </w:rPr>
        <w:t xml:space="preserve">below </w:t>
      </w:r>
      <w:r w:rsidR="00BE23D0" w:rsidRPr="000F21D1">
        <w:rPr>
          <w:rFonts w:ascii="Garamond" w:hAnsi="Garamond" w:cs="Sylfaen"/>
          <w:color w:val="000000"/>
        </w:rPr>
        <w:t xml:space="preserve">its </w:t>
      </w:r>
      <w:r w:rsidR="00794D69" w:rsidRPr="000F21D1">
        <w:rPr>
          <w:rFonts w:ascii="Garamond" w:hAnsi="Garamond" w:cs="Sylfaen"/>
          <w:color w:val="000000"/>
        </w:rPr>
        <w:t>equilibrium</w:t>
      </w:r>
      <w:r w:rsidR="00BE23D0" w:rsidRPr="000F21D1">
        <w:rPr>
          <w:rFonts w:ascii="Garamond" w:hAnsi="Garamond" w:cs="Sylfaen"/>
          <w:color w:val="000000"/>
        </w:rPr>
        <w:t>.</w:t>
      </w:r>
      <w:r w:rsidR="00794D69" w:rsidRPr="000F21D1">
        <w:rPr>
          <w:rFonts w:ascii="Garamond" w:hAnsi="Garamond" w:cs="Sylfaen"/>
          <w:color w:val="000000"/>
        </w:rPr>
        <w:t xml:space="preserve"> </w:t>
      </w:r>
    </w:p>
    <w:p w14:paraId="4FDCFF58" w14:textId="77777777" w:rsidR="00794D69" w:rsidRPr="000F21D1" w:rsidRDefault="00794D69" w:rsidP="0085120F">
      <w:pPr>
        <w:tabs>
          <w:tab w:val="left" w:pos="5850"/>
        </w:tabs>
        <w:spacing w:line="360" w:lineRule="auto"/>
        <w:jc w:val="both"/>
        <w:rPr>
          <w:rFonts w:ascii="Garamond" w:hAnsi="Garamond" w:cs="Sylfaen"/>
          <w:color w:val="000000"/>
        </w:rPr>
      </w:pPr>
    </w:p>
    <w:p w14:paraId="6C3CC1B6" w14:textId="77777777" w:rsidR="00CF2EC9" w:rsidRPr="000F21D1" w:rsidRDefault="00A753F4" w:rsidP="0085120F">
      <w:pPr>
        <w:tabs>
          <w:tab w:val="left" w:pos="5850"/>
        </w:tabs>
        <w:spacing w:line="360" w:lineRule="auto"/>
        <w:jc w:val="both"/>
        <w:rPr>
          <w:rFonts w:ascii="Garamond" w:hAnsi="Garamond" w:cs="Sylfaen"/>
          <w:color w:val="000000"/>
        </w:rPr>
      </w:pPr>
      <w:r w:rsidRPr="000F21D1">
        <w:rPr>
          <w:rFonts w:ascii="Garamond" w:hAnsi="Garamond" w:cs="Sylfaen"/>
          <w:color w:val="000000"/>
        </w:rPr>
        <w:t>C</w:t>
      </w:r>
      <w:r w:rsidR="00CF2EC9" w:rsidRPr="000F21D1">
        <w:rPr>
          <w:rFonts w:ascii="Garamond" w:eastAsia="Calibri" w:hAnsi="Garamond" w:cs="Sylfaen"/>
          <w:color w:val="000000"/>
        </w:rPr>
        <w:t>onsiderabl</w:t>
      </w:r>
      <w:r w:rsidRPr="000F21D1">
        <w:rPr>
          <w:rFonts w:ascii="Garamond" w:eastAsia="Calibri" w:hAnsi="Garamond" w:cs="Sylfaen"/>
          <w:color w:val="000000"/>
        </w:rPr>
        <w:t>e easing of</w:t>
      </w:r>
      <w:r w:rsidR="00CF2EC9" w:rsidRPr="000F21D1">
        <w:rPr>
          <w:rFonts w:ascii="Garamond" w:eastAsia="Calibri" w:hAnsi="Garamond" w:cs="Sylfaen"/>
          <w:color w:val="000000"/>
        </w:rPr>
        <w:t xml:space="preserve"> monetary conditions</w:t>
      </w:r>
      <w:r w:rsidRPr="000F21D1">
        <w:rPr>
          <w:rFonts w:ascii="Garamond" w:eastAsia="Calibri" w:hAnsi="Garamond" w:cs="Sylfaen"/>
          <w:color w:val="000000"/>
        </w:rPr>
        <w:t>,</w:t>
      </w:r>
      <w:r w:rsidR="00BE7257" w:rsidRPr="000F21D1">
        <w:rPr>
          <w:rFonts w:ascii="Garamond" w:eastAsia="Calibri" w:hAnsi="Garamond" w:cs="Sylfaen"/>
          <w:color w:val="000000"/>
          <w:lang w:val="hy-AM"/>
        </w:rPr>
        <w:t xml:space="preserve"> </w:t>
      </w:r>
      <w:r w:rsidRPr="000F21D1">
        <w:rPr>
          <w:rFonts w:ascii="Garamond" w:eastAsia="Calibri" w:hAnsi="Garamond" w:cs="Sylfaen"/>
          <w:color w:val="000000"/>
        </w:rPr>
        <w:t xml:space="preserve">expanding of budget deficit and a low inflation environment </w:t>
      </w:r>
      <w:r w:rsidR="0075154D" w:rsidRPr="000F21D1">
        <w:rPr>
          <w:rFonts w:ascii="Garamond" w:eastAsia="Calibri" w:hAnsi="Garamond" w:cs="Sylfaen"/>
          <w:color w:val="000000"/>
        </w:rPr>
        <w:t>in 2015-2016</w:t>
      </w:r>
      <w:r w:rsidR="00794D69" w:rsidRPr="000F21D1">
        <w:rPr>
          <w:rFonts w:ascii="Garamond" w:eastAsia="Calibri" w:hAnsi="Garamond" w:cs="Sylfaen"/>
          <w:color w:val="000000"/>
        </w:rPr>
        <w:t xml:space="preserve"> </w:t>
      </w:r>
      <w:r w:rsidR="00CF2EC9" w:rsidRPr="000F21D1">
        <w:rPr>
          <w:rFonts w:ascii="Garamond" w:eastAsia="Calibri" w:hAnsi="Garamond" w:cs="Sylfaen"/>
          <w:color w:val="000000"/>
        </w:rPr>
        <w:t xml:space="preserve">will somewhat </w:t>
      </w:r>
      <w:r w:rsidR="0075154D" w:rsidRPr="000F21D1">
        <w:rPr>
          <w:rFonts w:ascii="Garamond" w:eastAsia="Calibri" w:hAnsi="Garamond" w:cs="Sylfaen"/>
          <w:color w:val="000000"/>
        </w:rPr>
        <w:t xml:space="preserve">facilitate </w:t>
      </w:r>
      <w:r w:rsidR="00CF2EC9" w:rsidRPr="000F21D1">
        <w:rPr>
          <w:rFonts w:ascii="Garamond" w:eastAsia="Calibri" w:hAnsi="Garamond" w:cs="Sylfaen"/>
          <w:color w:val="000000"/>
        </w:rPr>
        <w:t xml:space="preserve">the </w:t>
      </w:r>
      <w:r w:rsidR="0075154D" w:rsidRPr="000F21D1">
        <w:rPr>
          <w:rFonts w:ascii="Garamond" w:eastAsia="Calibri" w:hAnsi="Garamond" w:cs="Sylfaen"/>
          <w:color w:val="000000"/>
        </w:rPr>
        <w:t xml:space="preserve">recovery of domestic demand in </w:t>
      </w:r>
      <w:r w:rsidR="00CF2EC9" w:rsidRPr="000F21D1">
        <w:rPr>
          <w:rFonts w:ascii="Garamond" w:hAnsi="Garamond" w:cs="Sylfaen"/>
          <w:color w:val="000000"/>
        </w:rPr>
        <w:t xml:space="preserve">2016. </w:t>
      </w:r>
      <w:r w:rsidR="00F3762E" w:rsidRPr="000F21D1">
        <w:rPr>
          <w:rFonts w:ascii="Garamond" w:hAnsi="Garamond" w:cs="Sylfaen"/>
          <w:color w:val="000000"/>
        </w:rPr>
        <w:t>I</w:t>
      </w:r>
      <w:r w:rsidR="00CF2EC9" w:rsidRPr="000F21D1">
        <w:rPr>
          <w:rFonts w:ascii="Garamond" w:hAnsi="Garamond" w:cs="Sylfaen"/>
          <w:color w:val="000000"/>
        </w:rPr>
        <w:t xml:space="preserve">n </w:t>
      </w:r>
      <w:r w:rsidR="00F3762E" w:rsidRPr="000F21D1">
        <w:rPr>
          <w:rFonts w:ascii="Garamond" w:hAnsi="Garamond" w:cs="Sylfaen"/>
          <w:color w:val="000000"/>
        </w:rPr>
        <w:t xml:space="preserve">the event </w:t>
      </w:r>
      <w:r w:rsidR="00CF2EC9" w:rsidRPr="000F21D1">
        <w:rPr>
          <w:rFonts w:ascii="Garamond" w:hAnsi="Garamond" w:cs="Sylfaen"/>
          <w:color w:val="000000"/>
        </w:rPr>
        <w:t>productivity growth in the tradable sector</w:t>
      </w:r>
      <w:r w:rsidR="00F3762E" w:rsidRPr="000F21D1">
        <w:rPr>
          <w:rFonts w:ascii="Garamond" w:hAnsi="Garamond" w:cs="Sylfaen"/>
          <w:color w:val="000000"/>
        </w:rPr>
        <w:t xml:space="preserve"> remains sustainable</w:t>
      </w:r>
      <w:r w:rsidR="00CF2EC9" w:rsidRPr="000F21D1">
        <w:rPr>
          <w:rFonts w:ascii="Garamond" w:hAnsi="Garamond" w:cs="Sylfaen"/>
          <w:color w:val="000000"/>
        </w:rPr>
        <w:t xml:space="preserve">, the external demand </w:t>
      </w:r>
      <w:r w:rsidR="00EB1BBB" w:rsidRPr="000F21D1">
        <w:rPr>
          <w:rFonts w:ascii="Garamond" w:hAnsi="Garamond" w:cs="Sylfaen"/>
          <w:color w:val="000000"/>
        </w:rPr>
        <w:t>can</w:t>
      </w:r>
      <w:r w:rsidR="00F3762E" w:rsidRPr="000F21D1">
        <w:rPr>
          <w:rFonts w:ascii="Garamond" w:hAnsi="Garamond" w:cs="Sylfaen"/>
          <w:color w:val="000000"/>
        </w:rPr>
        <w:t xml:space="preserve"> i</w:t>
      </w:r>
      <w:r w:rsidR="00CF2EC9" w:rsidRPr="000F21D1">
        <w:rPr>
          <w:rFonts w:ascii="Garamond" w:hAnsi="Garamond" w:cs="Sylfaen"/>
          <w:color w:val="000000"/>
        </w:rPr>
        <w:t>mprove</w:t>
      </w:r>
      <w:r w:rsidR="00F3762E" w:rsidRPr="000F21D1">
        <w:rPr>
          <w:rFonts w:ascii="Garamond" w:hAnsi="Garamond" w:cs="Sylfaen"/>
          <w:color w:val="000000"/>
        </w:rPr>
        <w:t xml:space="preserve"> in </w:t>
      </w:r>
      <w:r w:rsidR="00C005EF" w:rsidRPr="000F21D1">
        <w:rPr>
          <w:rFonts w:ascii="Garamond" w:hAnsi="Garamond" w:cs="Sylfaen"/>
          <w:color w:val="000000"/>
        </w:rPr>
        <w:t>2016</w:t>
      </w:r>
      <w:r w:rsidR="007E3F00" w:rsidRPr="000F21D1">
        <w:rPr>
          <w:rFonts w:ascii="Garamond" w:hAnsi="Garamond" w:cs="Sylfaen"/>
          <w:color w:val="000000"/>
        </w:rPr>
        <w:t xml:space="preserve">. This development is possible </w:t>
      </w:r>
      <w:r w:rsidR="0034270F" w:rsidRPr="000F21D1">
        <w:rPr>
          <w:rFonts w:ascii="Garamond" w:hAnsi="Garamond" w:cs="Sylfaen"/>
          <w:color w:val="000000"/>
        </w:rPr>
        <w:t>if s</w:t>
      </w:r>
      <w:r w:rsidR="00EB1BBB" w:rsidRPr="000F21D1">
        <w:rPr>
          <w:rFonts w:ascii="Garamond" w:hAnsi="Garamond" w:cs="Sylfaen"/>
          <w:color w:val="000000"/>
        </w:rPr>
        <w:t>upported by s</w:t>
      </w:r>
      <w:r w:rsidR="0034270F" w:rsidRPr="000F21D1">
        <w:rPr>
          <w:rFonts w:ascii="Garamond" w:hAnsi="Garamond" w:cs="Sylfaen"/>
          <w:color w:val="000000"/>
        </w:rPr>
        <w:t xml:space="preserve">trong </w:t>
      </w:r>
      <w:r w:rsidR="007E3F00" w:rsidRPr="000F21D1">
        <w:rPr>
          <w:rFonts w:ascii="Garamond" w:hAnsi="Garamond" w:cs="Sylfaen"/>
          <w:color w:val="000000"/>
        </w:rPr>
        <w:t>growth rates of real export</w:t>
      </w:r>
      <w:r w:rsidR="00EB1BBB" w:rsidRPr="000F21D1">
        <w:rPr>
          <w:rFonts w:ascii="Garamond" w:hAnsi="Garamond" w:cs="Sylfaen"/>
          <w:color w:val="000000"/>
        </w:rPr>
        <w:t xml:space="preserve">, </w:t>
      </w:r>
      <w:r w:rsidR="0034270F" w:rsidRPr="000F21D1">
        <w:rPr>
          <w:rFonts w:ascii="Garamond" w:hAnsi="Garamond" w:cs="Sylfaen"/>
          <w:color w:val="000000"/>
        </w:rPr>
        <w:t xml:space="preserve">an </w:t>
      </w:r>
      <w:r w:rsidR="007E3F00" w:rsidRPr="000F21D1">
        <w:rPr>
          <w:rFonts w:ascii="Garamond" w:hAnsi="Garamond" w:cs="Sylfaen"/>
          <w:color w:val="000000"/>
        </w:rPr>
        <w:t xml:space="preserve">upward revision of </w:t>
      </w:r>
      <w:r w:rsidR="0034270F" w:rsidRPr="000F21D1">
        <w:rPr>
          <w:rFonts w:ascii="Garamond" w:hAnsi="Garamond" w:cs="Sylfaen"/>
          <w:color w:val="000000"/>
        </w:rPr>
        <w:t xml:space="preserve">real volumes of import </w:t>
      </w:r>
      <w:r w:rsidR="00EB1BBB" w:rsidRPr="000F21D1">
        <w:rPr>
          <w:rFonts w:ascii="Garamond" w:hAnsi="Garamond" w:cs="Sylfaen"/>
          <w:color w:val="000000"/>
        </w:rPr>
        <w:t xml:space="preserve">and currently anticipated </w:t>
      </w:r>
      <w:r w:rsidR="007E3F00" w:rsidRPr="000F21D1">
        <w:rPr>
          <w:rFonts w:ascii="Garamond" w:hAnsi="Garamond" w:cs="Sylfaen"/>
          <w:color w:val="000000"/>
        </w:rPr>
        <w:t xml:space="preserve">zero growth </w:t>
      </w:r>
      <w:r w:rsidR="00EB1BBB" w:rsidRPr="000F21D1">
        <w:rPr>
          <w:rFonts w:ascii="Garamond" w:hAnsi="Garamond" w:cs="Sylfaen"/>
          <w:color w:val="000000"/>
        </w:rPr>
        <w:t xml:space="preserve">for imports instead of previously expected </w:t>
      </w:r>
      <w:r w:rsidR="007E3F00" w:rsidRPr="000F21D1">
        <w:rPr>
          <w:rFonts w:ascii="Garamond" w:hAnsi="Garamond" w:cs="Sylfaen"/>
          <w:color w:val="000000"/>
        </w:rPr>
        <w:t>decline</w:t>
      </w:r>
      <w:r w:rsidR="00C005EF" w:rsidRPr="000F21D1">
        <w:rPr>
          <w:rFonts w:ascii="Garamond" w:hAnsi="Garamond" w:cs="Sylfaen"/>
          <w:color w:val="000000"/>
        </w:rPr>
        <w:t>.</w:t>
      </w:r>
      <w:r w:rsidR="00EB1BBB" w:rsidRPr="000F21D1">
        <w:rPr>
          <w:rFonts w:ascii="Garamond" w:hAnsi="Garamond" w:cs="Sylfaen"/>
          <w:color w:val="000000"/>
        </w:rPr>
        <w:t xml:space="preserve"> However, with a projected decline in remittances in 2016, the current account deficit in GDP will increase against previous prediction to be in the range of 2-3%.</w:t>
      </w:r>
      <w:r w:rsidR="00BE7257" w:rsidRPr="000F21D1">
        <w:rPr>
          <w:rFonts w:ascii="Garamond" w:hAnsi="Garamond" w:cs="Sylfaen"/>
          <w:color w:val="000000"/>
          <w:lang w:val="hy-AM"/>
        </w:rPr>
        <w:t xml:space="preserve"> </w:t>
      </w:r>
      <w:r w:rsidR="00043B62" w:rsidRPr="000F21D1">
        <w:rPr>
          <w:rFonts w:ascii="Garamond" w:hAnsi="Garamond" w:cs="Sylfaen"/>
          <w:color w:val="000000"/>
        </w:rPr>
        <w:t>As a result of these developments,</w:t>
      </w:r>
      <w:r w:rsidR="00BE7257" w:rsidRPr="000F21D1">
        <w:rPr>
          <w:rFonts w:ascii="Garamond" w:hAnsi="Garamond" w:cs="Sylfaen"/>
          <w:color w:val="000000"/>
          <w:lang w:val="hy-AM"/>
        </w:rPr>
        <w:t xml:space="preserve"> </w:t>
      </w:r>
      <w:r w:rsidR="00043B62" w:rsidRPr="000F21D1">
        <w:rPr>
          <w:rFonts w:ascii="Garamond" w:hAnsi="Garamond" w:cs="Sylfaen"/>
          <w:color w:val="000000"/>
        </w:rPr>
        <w:t>t</w:t>
      </w:r>
      <w:r w:rsidR="00CF2EC9" w:rsidRPr="000F21D1">
        <w:rPr>
          <w:rFonts w:ascii="Garamond" w:hAnsi="Garamond" w:cs="Sylfaen"/>
          <w:color w:val="000000"/>
        </w:rPr>
        <w:t>he GDP gap</w:t>
      </w:r>
      <w:r w:rsidR="00043B62" w:rsidRPr="000F21D1">
        <w:rPr>
          <w:rFonts w:ascii="Garamond" w:hAnsi="Garamond" w:cs="Sylfaen"/>
          <w:color w:val="000000"/>
        </w:rPr>
        <w:t xml:space="preserve">, still in a negative territory, </w:t>
      </w:r>
      <w:r w:rsidR="00CF2EC9" w:rsidRPr="000F21D1">
        <w:rPr>
          <w:rFonts w:ascii="Garamond" w:hAnsi="Garamond" w:cs="Sylfaen"/>
          <w:color w:val="000000"/>
        </w:rPr>
        <w:t xml:space="preserve">will reduce </w:t>
      </w:r>
      <w:r w:rsidR="00043B62" w:rsidRPr="000F21D1">
        <w:rPr>
          <w:rFonts w:ascii="Garamond" w:hAnsi="Garamond" w:cs="Sylfaen"/>
          <w:color w:val="000000"/>
        </w:rPr>
        <w:t>gradually in 2016</w:t>
      </w:r>
      <w:r w:rsidR="00CF2EC9" w:rsidRPr="000F21D1">
        <w:rPr>
          <w:rFonts w:ascii="Garamond" w:hAnsi="Garamond" w:cs="Sylfaen"/>
          <w:color w:val="000000"/>
        </w:rPr>
        <w:t>.</w:t>
      </w:r>
    </w:p>
    <w:p w14:paraId="71E04EC9" w14:textId="77777777" w:rsidR="00597C08" w:rsidRPr="000F21D1" w:rsidRDefault="00597C08" w:rsidP="0085120F">
      <w:pPr>
        <w:tabs>
          <w:tab w:val="left" w:pos="5850"/>
        </w:tabs>
        <w:spacing w:line="360" w:lineRule="auto"/>
        <w:jc w:val="both"/>
        <w:rPr>
          <w:rFonts w:ascii="Garamond" w:hAnsi="Garamond" w:cs="Sylfaen"/>
          <w:color w:val="000000"/>
        </w:rPr>
      </w:pPr>
    </w:p>
    <w:p w14:paraId="453B75F9" w14:textId="77777777" w:rsidR="00597C08" w:rsidRPr="000F21D1" w:rsidRDefault="007177CF" w:rsidP="0085120F">
      <w:pPr>
        <w:tabs>
          <w:tab w:val="left" w:pos="5850"/>
        </w:tabs>
        <w:spacing w:line="360" w:lineRule="auto"/>
        <w:jc w:val="both"/>
        <w:rPr>
          <w:rFonts w:ascii="Garamond" w:eastAsia="Calibri" w:hAnsi="Garamond" w:cs="Sylfaen"/>
        </w:rPr>
      </w:pPr>
      <w:r w:rsidRPr="000F21D1">
        <w:rPr>
          <w:rFonts w:ascii="Garamond" w:hAnsi="Garamond"/>
        </w:rPr>
        <w:lastRenderedPageBreak/>
        <w:t>The p</w:t>
      </w:r>
      <w:r w:rsidR="00597C08" w:rsidRPr="000F21D1">
        <w:rPr>
          <w:rFonts w:ascii="Garamond" w:hAnsi="Garamond"/>
        </w:rPr>
        <w:t xml:space="preserve">rediction of the period </w:t>
      </w:r>
      <w:r w:rsidR="00597C08" w:rsidRPr="000F21D1">
        <w:rPr>
          <w:rFonts w:ascii="Garamond" w:hAnsi="Garamond" w:cs="Times Armenian"/>
          <w:b/>
          <w:iCs/>
        </w:rPr>
        <w:t>2017-2019</w:t>
      </w:r>
      <w:r w:rsidR="00597C08" w:rsidRPr="000F21D1">
        <w:rPr>
          <w:rFonts w:ascii="Garamond" w:hAnsi="Garamond" w:cs="Times Armenian"/>
          <w:iCs/>
        </w:rPr>
        <w:t xml:space="preserve"> </w:t>
      </w:r>
      <w:r w:rsidRPr="000F21D1">
        <w:rPr>
          <w:rFonts w:ascii="Garamond" w:hAnsi="Garamond" w:cs="Times Armenian"/>
          <w:iCs/>
        </w:rPr>
        <w:t xml:space="preserve">is that </w:t>
      </w:r>
      <w:r w:rsidR="00597C08" w:rsidRPr="000F21D1">
        <w:rPr>
          <w:rFonts w:ascii="Garamond" w:hAnsi="Garamond" w:cs="Times Armenian"/>
          <w:iCs/>
        </w:rPr>
        <w:t xml:space="preserve">the domestic demand will rebound gradually amid improving external economic environment, recovering growth rates in private remittances and implementation of a number of projects by the Government to promote the tradable sector. </w:t>
      </w:r>
      <w:r w:rsidR="00D970C2" w:rsidRPr="000F21D1">
        <w:rPr>
          <w:rFonts w:ascii="Garamond" w:hAnsi="Garamond" w:cs="Times Armenian"/>
          <w:iCs/>
        </w:rPr>
        <w:t>In the meantime</w:t>
      </w:r>
      <w:r w:rsidR="00347C30" w:rsidRPr="000F21D1">
        <w:rPr>
          <w:rFonts w:ascii="Garamond" w:hAnsi="Garamond" w:cs="Times Armenian"/>
          <w:iCs/>
        </w:rPr>
        <w:t>, external demand will continue fostering the economic growth.</w:t>
      </w:r>
      <w:r w:rsidR="00BE7257" w:rsidRPr="000F21D1">
        <w:rPr>
          <w:rFonts w:ascii="Garamond" w:hAnsi="Garamond" w:cs="Times Armenian"/>
          <w:iCs/>
          <w:lang w:val="hy-AM"/>
        </w:rPr>
        <w:t xml:space="preserve"> </w:t>
      </w:r>
      <w:r w:rsidR="00597C08" w:rsidRPr="000F21D1">
        <w:rPr>
          <w:rFonts w:ascii="Garamond" w:hAnsi="Garamond" w:cs="Times Armenian"/>
          <w:iCs/>
        </w:rPr>
        <w:t xml:space="preserve">In the </w:t>
      </w:r>
      <w:r w:rsidR="00D970C2" w:rsidRPr="000F21D1">
        <w:rPr>
          <w:rFonts w:ascii="Garamond" w:hAnsi="Garamond" w:cs="Times Armenian"/>
          <w:iCs/>
        </w:rPr>
        <w:t>course of 2017 th</w:t>
      </w:r>
      <w:r w:rsidR="00597C08" w:rsidRPr="000F21D1">
        <w:rPr>
          <w:rFonts w:ascii="Garamond" w:hAnsi="Garamond" w:cs="Times Armenian"/>
          <w:iCs/>
        </w:rPr>
        <w:t xml:space="preserve">e </w:t>
      </w:r>
      <w:r w:rsidR="00D970C2" w:rsidRPr="000F21D1">
        <w:rPr>
          <w:rFonts w:ascii="Garamond" w:hAnsi="Garamond" w:cs="Times Armenian"/>
          <w:iCs/>
        </w:rPr>
        <w:t xml:space="preserve">negative </w:t>
      </w:r>
      <w:r w:rsidR="00597C08" w:rsidRPr="000F21D1">
        <w:rPr>
          <w:rFonts w:ascii="Garamond" w:hAnsi="Garamond" w:cs="Times Armenian"/>
          <w:iCs/>
        </w:rPr>
        <w:t xml:space="preserve">GDP gap will </w:t>
      </w:r>
      <w:r w:rsidR="00D970C2" w:rsidRPr="000F21D1">
        <w:rPr>
          <w:rFonts w:ascii="Garamond" w:hAnsi="Garamond" w:cs="Times Armenian"/>
          <w:iCs/>
        </w:rPr>
        <w:t>reduce further</w:t>
      </w:r>
      <w:r w:rsidR="00603367" w:rsidRPr="000F21D1">
        <w:rPr>
          <w:rFonts w:ascii="Garamond" w:hAnsi="Garamond" w:cs="Times Armenian"/>
          <w:iCs/>
        </w:rPr>
        <w:t>, take a positive value since the second half of 2017 and keep fairly positive throughout</w:t>
      </w:r>
      <w:r w:rsidR="00597C08" w:rsidRPr="000F21D1">
        <w:rPr>
          <w:rFonts w:ascii="Garamond" w:hAnsi="Garamond" w:cs="Times Armenian"/>
          <w:iCs/>
        </w:rPr>
        <w:t xml:space="preserve"> the </w:t>
      </w:r>
      <w:r w:rsidR="00603367" w:rsidRPr="000F21D1">
        <w:rPr>
          <w:rFonts w:ascii="Garamond" w:hAnsi="Garamond" w:cs="Times Armenian"/>
          <w:iCs/>
        </w:rPr>
        <w:t>foreca</w:t>
      </w:r>
      <w:r w:rsidR="00597C08" w:rsidRPr="000F21D1">
        <w:rPr>
          <w:rFonts w:ascii="Garamond" w:hAnsi="Garamond" w:cs="Times Armenian"/>
          <w:iCs/>
        </w:rPr>
        <w:t>st horizon.</w:t>
      </w:r>
      <w:r w:rsidR="00BE7257" w:rsidRPr="000F21D1">
        <w:rPr>
          <w:rFonts w:ascii="Garamond" w:hAnsi="Garamond" w:cs="Times Armenian"/>
          <w:iCs/>
          <w:lang w:val="hy-AM"/>
        </w:rPr>
        <w:t xml:space="preserve"> </w:t>
      </w:r>
      <w:r w:rsidR="00E44D7B" w:rsidRPr="000F21D1">
        <w:rPr>
          <w:rFonts w:ascii="Garamond" w:hAnsi="Garamond" w:cs="Times Armenian"/>
          <w:iCs/>
        </w:rPr>
        <w:t>I</w:t>
      </w:r>
      <w:r w:rsidR="00597C08" w:rsidRPr="000F21D1">
        <w:rPr>
          <w:rFonts w:ascii="Garamond" w:hAnsi="Garamond"/>
          <w:bCs/>
          <w:iCs/>
          <w:color w:val="000000"/>
        </w:rPr>
        <w:t xml:space="preserve">t is expected that </w:t>
      </w:r>
      <w:r w:rsidR="00597C08" w:rsidRPr="000F21D1">
        <w:rPr>
          <w:rFonts w:ascii="Garamond" w:hAnsi="Garamond"/>
          <w:b/>
          <w:bCs/>
          <w:iCs/>
          <w:color w:val="000000"/>
        </w:rPr>
        <w:t xml:space="preserve">economic growth will </w:t>
      </w:r>
      <w:r w:rsidR="00E44D7B" w:rsidRPr="000F21D1">
        <w:rPr>
          <w:rFonts w:ascii="Garamond" w:hAnsi="Garamond"/>
          <w:b/>
          <w:bCs/>
          <w:iCs/>
          <w:color w:val="000000"/>
        </w:rPr>
        <w:t xml:space="preserve">also accelerate </w:t>
      </w:r>
      <w:r w:rsidR="00E44D7B" w:rsidRPr="000F21D1">
        <w:rPr>
          <w:rFonts w:ascii="Garamond" w:hAnsi="Garamond" w:cs="Times Armenian"/>
          <w:b/>
          <w:iCs/>
        </w:rPr>
        <w:t>throughout the horizon,</w:t>
      </w:r>
      <w:r w:rsidR="00E44D7B" w:rsidRPr="000F21D1">
        <w:rPr>
          <w:rFonts w:ascii="Garamond" w:hAnsi="Garamond"/>
          <w:b/>
          <w:bCs/>
          <w:iCs/>
          <w:color w:val="000000"/>
        </w:rPr>
        <w:t xml:space="preserve"> </w:t>
      </w:r>
      <w:r w:rsidR="00E8152B" w:rsidRPr="000F21D1">
        <w:rPr>
          <w:rFonts w:ascii="Garamond" w:hAnsi="Garamond"/>
          <w:b/>
          <w:bCs/>
          <w:iCs/>
          <w:color w:val="000000"/>
        </w:rPr>
        <w:t xml:space="preserve">with the indicator </w:t>
      </w:r>
      <w:r w:rsidR="00E44D7B" w:rsidRPr="000F21D1">
        <w:rPr>
          <w:rFonts w:ascii="Garamond" w:hAnsi="Garamond"/>
          <w:b/>
          <w:bCs/>
          <w:iCs/>
          <w:color w:val="000000"/>
        </w:rPr>
        <w:t xml:space="preserve">drifting within </w:t>
      </w:r>
      <w:r w:rsidR="00597C08" w:rsidRPr="000F21D1">
        <w:rPr>
          <w:rFonts w:ascii="Garamond" w:hAnsi="Garamond"/>
          <w:b/>
          <w:bCs/>
          <w:iCs/>
          <w:color w:val="000000"/>
        </w:rPr>
        <w:t>3.0-4.5%</w:t>
      </w:r>
      <w:r w:rsidR="00D970C2" w:rsidRPr="000F21D1">
        <w:rPr>
          <w:rFonts w:ascii="Garamond" w:hAnsi="Garamond"/>
          <w:bCs/>
          <w:iCs/>
          <w:color w:val="000000"/>
        </w:rPr>
        <w:t>. This w</w:t>
      </w:r>
      <w:r w:rsidR="00597C08" w:rsidRPr="000F21D1">
        <w:rPr>
          <w:rFonts w:ascii="Garamond" w:hAnsi="Garamond"/>
          <w:bCs/>
          <w:iCs/>
          <w:color w:val="000000"/>
        </w:rPr>
        <w:t>ill be largely driven by the tradable sector</w:t>
      </w:r>
      <w:r w:rsidR="003C05E3" w:rsidRPr="000F21D1">
        <w:rPr>
          <w:rFonts w:ascii="Garamond" w:hAnsi="Garamond"/>
          <w:bCs/>
          <w:iCs/>
          <w:color w:val="000000"/>
        </w:rPr>
        <w:t xml:space="preserve"> </w:t>
      </w:r>
      <w:r w:rsidR="00E8152B" w:rsidRPr="000F21D1">
        <w:rPr>
          <w:rFonts w:ascii="Garamond" w:hAnsi="Garamond"/>
          <w:b/>
          <w:bCs/>
          <w:iCs/>
          <w:color w:val="000000"/>
        </w:rPr>
        <w:t xml:space="preserve">for </w:t>
      </w:r>
      <w:r w:rsidR="003C05E3" w:rsidRPr="000F21D1">
        <w:rPr>
          <w:rFonts w:ascii="Garamond" w:hAnsi="Garamond"/>
          <w:b/>
          <w:bCs/>
          <w:iCs/>
          <w:color w:val="000000"/>
        </w:rPr>
        <w:t xml:space="preserve">which </w:t>
      </w:r>
      <w:r w:rsidR="00D970C2" w:rsidRPr="000F21D1">
        <w:rPr>
          <w:rFonts w:ascii="Garamond" w:hAnsi="Garamond"/>
          <w:b/>
          <w:bCs/>
          <w:iCs/>
          <w:color w:val="000000"/>
        </w:rPr>
        <w:t xml:space="preserve">consistent monetary policy implementation by the CBA </w:t>
      </w:r>
      <w:r w:rsidR="003C05E3" w:rsidRPr="000F21D1">
        <w:rPr>
          <w:rFonts w:ascii="Garamond" w:hAnsi="Garamond"/>
          <w:b/>
          <w:bCs/>
          <w:iCs/>
          <w:color w:val="000000"/>
        </w:rPr>
        <w:t xml:space="preserve">has </w:t>
      </w:r>
      <w:r w:rsidR="00D970C2" w:rsidRPr="000F21D1">
        <w:rPr>
          <w:rFonts w:ascii="Garamond" w:hAnsi="Garamond"/>
          <w:b/>
          <w:bCs/>
          <w:iCs/>
          <w:color w:val="000000"/>
        </w:rPr>
        <w:t>created favorable conditions</w:t>
      </w:r>
      <w:r w:rsidR="00597C08" w:rsidRPr="000F21D1">
        <w:rPr>
          <w:rFonts w:ascii="Garamond" w:hAnsi="Garamond"/>
          <w:bCs/>
          <w:iCs/>
          <w:color w:val="000000"/>
        </w:rPr>
        <w:t>.</w:t>
      </w:r>
      <w:r w:rsidR="00BE7257" w:rsidRPr="000F21D1">
        <w:rPr>
          <w:rFonts w:ascii="Garamond" w:hAnsi="Garamond"/>
          <w:bCs/>
          <w:iCs/>
          <w:color w:val="000000"/>
          <w:lang w:val="hy-AM"/>
        </w:rPr>
        <w:t xml:space="preserve"> </w:t>
      </w:r>
      <w:r w:rsidR="00597C08" w:rsidRPr="000F21D1">
        <w:rPr>
          <w:rFonts w:ascii="Garamond" w:eastAsia="Calibri" w:hAnsi="Garamond" w:cs="Sylfaen"/>
        </w:rPr>
        <w:t>The economic growth forecasts, nevertheless, greatly depend on investments in the private sector, the scale, directions and effectiveness of the projects carried out by the Government</w:t>
      </w:r>
      <w:r w:rsidR="003B7483" w:rsidRPr="000F21D1">
        <w:rPr>
          <w:rFonts w:ascii="Garamond" w:eastAsia="Calibri" w:hAnsi="Garamond" w:cs="Sylfaen"/>
        </w:rPr>
        <w:t>,</w:t>
      </w:r>
      <w:r w:rsidR="00597C08" w:rsidRPr="000F21D1">
        <w:rPr>
          <w:rFonts w:ascii="Garamond" w:eastAsia="Calibri" w:hAnsi="Garamond" w:cs="Sylfaen"/>
        </w:rPr>
        <w:t xml:space="preserve"> as well as on how the developments in the external sector will unfold.</w:t>
      </w:r>
    </w:p>
    <w:p w14:paraId="15299C2A" w14:textId="77777777" w:rsidR="003B7483" w:rsidRPr="000F21D1" w:rsidRDefault="003B7483" w:rsidP="0085120F">
      <w:pPr>
        <w:tabs>
          <w:tab w:val="left" w:pos="5850"/>
        </w:tabs>
        <w:spacing w:line="360" w:lineRule="auto"/>
        <w:jc w:val="both"/>
        <w:rPr>
          <w:rFonts w:ascii="Garamond" w:eastAsia="Calibri" w:hAnsi="Garamond" w:cs="Sylfaen"/>
        </w:rPr>
      </w:pPr>
    </w:p>
    <w:p w14:paraId="7858AE67" w14:textId="77777777" w:rsidR="003B7483" w:rsidRPr="000F21D1" w:rsidRDefault="003B7483" w:rsidP="0085120F">
      <w:pPr>
        <w:tabs>
          <w:tab w:val="left" w:pos="5850"/>
        </w:tabs>
        <w:spacing w:line="360" w:lineRule="auto"/>
        <w:jc w:val="both"/>
        <w:rPr>
          <w:rFonts w:ascii="Garamond" w:hAnsi="Garamond"/>
        </w:rPr>
      </w:pPr>
      <w:r w:rsidRPr="000F21D1">
        <w:rPr>
          <w:rFonts w:ascii="Garamond" w:hAnsi="Garamond"/>
          <w:b/>
        </w:rPr>
        <w:t xml:space="preserve">The 2016 inflation forecasts </w:t>
      </w:r>
      <w:r w:rsidRPr="000F21D1">
        <w:rPr>
          <w:rFonts w:ascii="Garamond" w:hAnsi="Garamond"/>
        </w:rPr>
        <w:t>are generally in line with the estimations outlined in the previous program</w:t>
      </w:r>
      <w:r w:rsidRPr="00F720C4">
        <w:rPr>
          <w:rFonts w:ascii="Garamond" w:hAnsi="Garamond"/>
        </w:rPr>
        <w:t>, a</w:t>
      </w:r>
      <w:r w:rsidRPr="000F21D1">
        <w:rPr>
          <w:rFonts w:ascii="Garamond" w:hAnsi="Garamond"/>
        </w:rPr>
        <w:t xml:space="preserve">lthough some revisions in respect of certain </w:t>
      </w:r>
      <w:r w:rsidR="00660D91" w:rsidRPr="000F21D1">
        <w:rPr>
          <w:rFonts w:ascii="Garamond" w:hAnsi="Garamond"/>
        </w:rPr>
        <w:t>commodities had been inevitable. Specifically, c</w:t>
      </w:r>
      <w:r w:rsidRPr="000F21D1">
        <w:rPr>
          <w:rFonts w:ascii="Garamond" w:hAnsi="Garamond"/>
        </w:rPr>
        <w:t>onsider</w:t>
      </w:r>
      <w:r w:rsidR="00660D91" w:rsidRPr="000F21D1">
        <w:rPr>
          <w:rFonts w:ascii="Garamond" w:hAnsi="Garamond"/>
        </w:rPr>
        <w:t xml:space="preserve">ing </w:t>
      </w:r>
      <w:r w:rsidRPr="000F21D1">
        <w:rPr>
          <w:rFonts w:ascii="Garamond" w:hAnsi="Garamond"/>
        </w:rPr>
        <w:t>th</w:t>
      </w:r>
      <w:r w:rsidR="00660D91" w:rsidRPr="000F21D1">
        <w:rPr>
          <w:rFonts w:ascii="Garamond" w:hAnsi="Garamond"/>
        </w:rPr>
        <w:t xml:space="preserve">e </w:t>
      </w:r>
      <w:r w:rsidRPr="000F21D1">
        <w:rPr>
          <w:rFonts w:ascii="Garamond" w:hAnsi="Garamond"/>
        </w:rPr>
        <w:t xml:space="preserve">international commodity markets’ deflationary impact </w:t>
      </w:r>
      <w:r w:rsidR="00660D91" w:rsidRPr="000F21D1">
        <w:rPr>
          <w:rFonts w:ascii="Garamond" w:hAnsi="Garamond"/>
        </w:rPr>
        <w:t>s</w:t>
      </w:r>
      <w:r w:rsidRPr="000F21D1">
        <w:rPr>
          <w:rFonts w:ascii="Garamond" w:hAnsi="Garamond"/>
        </w:rPr>
        <w:t xml:space="preserve">till </w:t>
      </w:r>
      <w:r w:rsidR="00660D91" w:rsidRPr="000F21D1">
        <w:rPr>
          <w:rFonts w:ascii="Garamond" w:hAnsi="Garamond"/>
        </w:rPr>
        <w:t>transmitting on</w:t>
      </w:r>
      <w:r w:rsidRPr="000F21D1">
        <w:rPr>
          <w:rFonts w:ascii="Garamond" w:hAnsi="Garamond"/>
        </w:rPr>
        <w:t>to the domestic prices and</w:t>
      </w:r>
      <w:r w:rsidR="00660D91" w:rsidRPr="000F21D1">
        <w:rPr>
          <w:rFonts w:ascii="Garamond" w:hAnsi="Garamond"/>
        </w:rPr>
        <w:t xml:space="preserve"> that the </w:t>
      </w:r>
      <w:r w:rsidRPr="000F21D1">
        <w:rPr>
          <w:rFonts w:ascii="Garamond" w:hAnsi="Garamond"/>
        </w:rPr>
        <w:t>domestic demand</w:t>
      </w:r>
      <w:r w:rsidR="00660D91" w:rsidRPr="000F21D1">
        <w:rPr>
          <w:rFonts w:ascii="Garamond" w:hAnsi="Garamond"/>
        </w:rPr>
        <w:t xml:space="preserve"> is persistently weak</w:t>
      </w:r>
      <w:r w:rsidRPr="000F21D1">
        <w:rPr>
          <w:rFonts w:ascii="Garamond" w:hAnsi="Garamond"/>
        </w:rPr>
        <w:t>, the forecasts of core inflation were revised downside. There is however anticipation that regulated service tariffs w</w:t>
      </w:r>
      <w:r w:rsidR="00660D91" w:rsidRPr="000F21D1">
        <w:rPr>
          <w:rFonts w:ascii="Garamond" w:hAnsi="Garamond"/>
        </w:rPr>
        <w:t xml:space="preserve">ill somewhat </w:t>
      </w:r>
      <w:r w:rsidRPr="000F21D1">
        <w:rPr>
          <w:rFonts w:ascii="Garamond" w:hAnsi="Garamond"/>
        </w:rPr>
        <w:t>increase</w:t>
      </w:r>
      <w:r w:rsidR="000704AE" w:rsidRPr="000F21D1">
        <w:rPr>
          <w:rFonts w:ascii="Garamond" w:hAnsi="Garamond"/>
        </w:rPr>
        <w:t xml:space="preserve"> </w:t>
      </w:r>
      <w:r w:rsidR="00474127" w:rsidRPr="000F21D1">
        <w:rPr>
          <w:rFonts w:ascii="Garamond" w:hAnsi="Garamond"/>
        </w:rPr>
        <w:t xml:space="preserve">in view of </w:t>
      </w:r>
      <w:r w:rsidR="00E60CAE" w:rsidRPr="000F21D1">
        <w:rPr>
          <w:rFonts w:ascii="Garamond" w:hAnsi="Garamond"/>
        </w:rPr>
        <w:t xml:space="preserve">Dram </w:t>
      </w:r>
      <w:r w:rsidR="00474127" w:rsidRPr="000F21D1">
        <w:rPr>
          <w:rFonts w:ascii="Garamond" w:hAnsi="Garamond"/>
        </w:rPr>
        <w:t>2.58</w:t>
      </w:r>
      <w:r w:rsidR="00E60CAE" w:rsidRPr="000F21D1">
        <w:rPr>
          <w:rFonts w:ascii="Garamond" w:hAnsi="Garamond"/>
        </w:rPr>
        <w:t xml:space="preserve"> </w:t>
      </w:r>
      <w:r w:rsidR="00474127" w:rsidRPr="000F21D1">
        <w:rPr>
          <w:rFonts w:ascii="Garamond" w:hAnsi="Garamond"/>
        </w:rPr>
        <w:t>reduction</w:t>
      </w:r>
      <w:r w:rsidR="000704AE" w:rsidRPr="000F21D1">
        <w:rPr>
          <w:rStyle w:val="FootnoteReference"/>
          <w:rFonts w:ascii="Garamond" w:hAnsi="Garamond"/>
        </w:rPr>
        <w:footnoteReference w:customMarkFollows="1" w:id="12"/>
        <w:t>13</w:t>
      </w:r>
      <w:r w:rsidR="00474127" w:rsidRPr="000F21D1">
        <w:rPr>
          <w:rFonts w:ascii="Garamond" w:hAnsi="Garamond"/>
        </w:rPr>
        <w:t xml:space="preserve"> of electricity price for consumers by the Public Services Regulatory Commission, effective from August 1st, and </w:t>
      </w:r>
      <w:r w:rsidR="000704AE" w:rsidRPr="000F21D1">
        <w:rPr>
          <w:rFonts w:ascii="Garamond" w:hAnsi="Garamond"/>
        </w:rPr>
        <w:t>a government decision to end the subsidizing of electricity price by the Government and “Electric Networks of Armenia” CJSC in benefit for some households and small businesses</w:t>
      </w:r>
      <w:r w:rsidR="000704AE" w:rsidRPr="000F21D1">
        <w:rPr>
          <w:rStyle w:val="FootnoteReference"/>
          <w:rFonts w:ascii="Garamond" w:hAnsi="Garamond"/>
        </w:rPr>
        <w:footnoteReference w:customMarkFollows="1" w:id="13"/>
        <w:t>14</w:t>
      </w:r>
      <w:r w:rsidR="000704AE" w:rsidRPr="000F21D1">
        <w:rPr>
          <w:rFonts w:ascii="Garamond" w:hAnsi="Garamond"/>
        </w:rPr>
        <w:t>.</w:t>
      </w:r>
      <w:r w:rsidR="00AF3E86" w:rsidRPr="000F21D1">
        <w:rPr>
          <w:rFonts w:ascii="Garamond" w:hAnsi="Garamond"/>
        </w:rPr>
        <w:t xml:space="preserve"> The </w:t>
      </w:r>
      <w:r w:rsidR="005973A3" w:rsidRPr="000F21D1">
        <w:rPr>
          <w:rFonts w:ascii="Garamond" w:hAnsi="Garamond"/>
        </w:rPr>
        <w:t>combined</w:t>
      </w:r>
      <w:r w:rsidR="00AF3E86" w:rsidRPr="000F21D1">
        <w:rPr>
          <w:rFonts w:ascii="Garamond" w:hAnsi="Garamond"/>
        </w:rPr>
        <w:t xml:space="preserve"> effect of these factors on inflation is </w:t>
      </w:r>
      <w:r w:rsidR="005973A3" w:rsidRPr="000F21D1">
        <w:rPr>
          <w:rFonts w:ascii="Garamond" w:hAnsi="Garamond"/>
        </w:rPr>
        <w:t xml:space="preserve">roughly </w:t>
      </w:r>
      <w:r w:rsidR="00AF3E86" w:rsidRPr="000F21D1">
        <w:rPr>
          <w:rFonts w:ascii="Garamond" w:hAnsi="Garamond"/>
        </w:rPr>
        <w:t>0.3 p</w:t>
      </w:r>
      <w:r w:rsidR="005973A3" w:rsidRPr="000F21D1">
        <w:rPr>
          <w:rFonts w:ascii="Garamond" w:hAnsi="Garamond"/>
        </w:rPr>
        <w:t xml:space="preserve">p, according to the CBA estimation. </w:t>
      </w:r>
      <w:r w:rsidRPr="000F21D1">
        <w:rPr>
          <w:rFonts w:ascii="Garamond" w:hAnsi="Garamond"/>
        </w:rPr>
        <w:t xml:space="preserve">In view </w:t>
      </w:r>
      <w:r w:rsidR="00E60CAE" w:rsidRPr="000F21D1">
        <w:rPr>
          <w:rFonts w:ascii="Garamond" w:hAnsi="Garamond"/>
        </w:rPr>
        <w:t xml:space="preserve">of </w:t>
      </w:r>
      <w:r w:rsidRPr="000F21D1">
        <w:rPr>
          <w:rFonts w:ascii="Garamond" w:hAnsi="Garamond"/>
        </w:rPr>
        <w:t>the above developments, the CBA estimates that the deflationary environment will be maintained in the third quarter</w:t>
      </w:r>
      <w:r w:rsidR="005973A3" w:rsidRPr="000F21D1">
        <w:rPr>
          <w:rFonts w:ascii="Garamond" w:hAnsi="Garamond"/>
        </w:rPr>
        <w:t>, reaching -1.7% in late September;</w:t>
      </w:r>
      <w:r w:rsidRPr="000F21D1">
        <w:rPr>
          <w:rFonts w:ascii="Garamond" w:hAnsi="Garamond"/>
        </w:rPr>
        <w:t xml:space="preserve"> then it will gradually decrease</w:t>
      </w:r>
      <w:r w:rsidR="005973A3" w:rsidRPr="000F21D1">
        <w:rPr>
          <w:rFonts w:ascii="Garamond" w:hAnsi="Garamond"/>
        </w:rPr>
        <w:t>.</w:t>
      </w:r>
      <w:r w:rsidRPr="000F21D1">
        <w:rPr>
          <w:rFonts w:ascii="Garamond" w:hAnsi="Garamond"/>
        </w:rPr>
        <w:t xml:space="preserve"> </w:t>
      </w:r>
      <w:r w:rsidR="005973A3" w:rsidRPr="000F21D1">
        <w:rPr>
          <w:rFonts w:ascii="Garamond" w:hAnsi="Garamond"/>
        </w:rPr>
        <w:t>I</w:t>
      </w:r>
      <w:r w:rsidRPr="000F21D1">
        <w:rPr>
          <w:rFonts w:ascii="Garamond" w:hAnsi="Garamond"/>
        </w:rPr>
        <w:t>n the forecast horizon, the 12-month inflation rate will gradually return to the target.</w:t>
      </w:r>
    </w:p>
    <w:p w14:paraId="7D2799A1" w14:textId="77777777" w:rsidR="002D5CC6" w:rsidRPr="000F21D1" w:rsidRDefault="002D5CC6" w:rsidP="0085120F">
      <w:pPr>
        <w:tabs>
          <w:tab w:val="left" w:pos="5850"/>
        </w:tabs>
        <w:spacing w:line="360" w:lineRule="auto"/>
        <w:jc w:val="both"/>
        <w:rPr>
          <w:rFonts w:ascii="Garamond" w:eastAsia="Calibri" w:hAnsi="Garamond" w:cs="Sylfaen"/>
        </w:rPr>
      </w:pPr>
    </w:p>
    <w:p w14:paraId="733DAB33" w14:textId="77777777" w:rsidR="00322BA3" w:rsidRPr="000F21D1" w:rsidRDefault="00322BA3" w:rsidP="00322BA3">
      <w:pPr>
        <w:spacing w:line="360" w:lineRule="auto"/>
        <w:jc w:val="both"/>
        <w:rPr>
          <w:rFonts w:ascii="Garamond" w:hAnsi="Garamond"/>
        </w:rPr>
      </w:pPr>
      <w:r w:rsidRPr="000F21D1">
        <w:rPr>
          <w:rFonts w:ascii="Garamond" w:hAnsi="Garamond"/>
          <w:b/>
        </w:rPr>
        <w:lastRenderedPageBreak/>
        <w:t xml:space="preserve">The CBA considers that </w:t>
      </w:r>
      <w:r w:rsidR="002667B0" w:rsidRPr="000F21D1">
        <w:rPr>
          <w:rFonts w:ascii="Garamond" w:hAnsi="Garamond"/>
          <w:b/>
        </w:rPr>
        <w:t xml:space="preserve">further </w:t>
      </w:r>
      <w:r w:rsidRPr="000F21D1">
        <w:rPr>
          <w:rFonts w:ascii="Garamond" w:hAnsi="Garamond"/>
          <w:b/>
        </w:rPr>
        <w:t xml:space="preserve">easing </w:t>
      </w:r>
      <w:r w:rsidR="002667B0" w:rsidRPr="000F21D1">
        <w:rPr>
          <w:rFonts w:ascii="Garamond" w:hAnsi="Garamond"/>
          <w:b/>
        </w:rPr>
        <w:t xml:space="preserve">of </w:t>
      </w:r>
      <w:r w:rsidRPr="000F21D1">
        <w:rPr>
          <w:rFonts w:ascii="Garamond" w:hAnsi="Garamond"/>
          <w:b/>
        </w:rPr>
        <w:t>monetary conditions</w:t>
      </w:r>
      <w:r w:rsidR="002667B0" w:rsidRPr="000F21D1">
        <w:rPr>
          <w:rFonts w:ascii="Garamond" w:hAnsi="Garamond"/>
          <w:b/>
        </w:rPr>
        <w:t xml:space="preserve"> </w:t>
      </w:r>
      <w:r w:rsidRPr="000F21D1">
        <w:rPr>
          <w:rFonts w:ascii="Garamond" w:hAnsi="Garamond"/>
          <w:b/>
        </w:rPr>
        <w:t>in the second quarter of 2016 is relevant</w:t>
      </w:r>
      <w:r w:rsidRPr="000F21D1">
        <w:rPr>
          <w:rFonts w:ascii="Garamond" w:hAnsi="Garamond"/>
        </w:rPr>
        <w:t xml:space="preserve">. </w:t>
      </w:r>
      <w:r w:rsidR="002667B0" w:rsidRPr="000F21D1">
        <w:rPr>
          <w:rFonts w:ascii="Garamond" w:hAnsi="Garamond"/>
        </w:rPr>
        <w:t xml:space="preserve">This would lead to </w:t>
      </w:r>
      <w:r w:rsidR="00E60CAE" w:rsidRPr="000F21D1">
        <w:rPr>
          <w:rFonts w:ascii="Garamond" w:hAnsi="Garamond"/>
        </w:rPr>
        <w:t xml:space="preserve">a </w:t>
      </w:r>
      <w:r w:rsidR="002667B0" w:rsidRPr="000F21D1">
        <w:rPr>
          <w:rFonts w:ascii="Garamond" w:hAnsi="Garamond"/>
        </w:rPr>
        <w:t xml:space="preserve">further </w:t>
      </w:r>
      <w:r w:rsidRPr="000F21D1">
        <w:rPr>
          <w:rFonts w:ascii="Garamond" w:hAnsi="Garamond"/>
        </w:rPr>
        <w:t>expanding aggregate demand</w:t>
      </w:r>
      <w:r w:rsidR="002667B0" w:rsidRPr="000F21D1">
        <w:rPr>
          <w:rFonts w:ascii="Garamond" w:hAnsi="Garamond"/>
        </w:rPr>
        <w:t xml:space="preserve">, gradually phasing out deflationary environment </w:t>
      </w:r>
      <w:r w:rsidRPr="000F21D1">
        <w:rPr>
          <w:rFonts w:ascii="Garamond" w:hAnsi="Garamond"/>
        </w:rPr>
        <w:t xml:space="preserve">and </w:t>
      </w:r>
      <w:r w:rsidR="002667B0" w:rsidRPr="000F21D1">
        <w:rPr>
          <w:rFonts w:ascii="Garamond" w:hAnsi="Garamond"/>
        </w:rPr>
        <w:t xml:space="preserve">inflation </w:t>
      </w:r>
      <w:r w:rsidRPr="000F21D1">
        <w:rPr>
          <w:rFonts w:ascii="Garamond" w:hAnsi="Garamond"/>
        </w:rPr>
        <w:t xml:space="preserve">stabilizing around the target in the forecast horizon. </w:t>
      </w:r>
    </w:p>
    <w:p w14:paraId="1FDDAB28" w14:textId="77777777" w:rsidR="00322BA3" w:rsidRPr="000F21D1" w:rsidRDefault="00322BA3" w:rsidP="00322BA3">
      <w:pPr>
        <w:spacing w:line="360" w:lineRule="auto"/>
        <w:jc w:val="both"/>
        <w:rPr>
          <w:rFonts w:ascii="Garamond" w:hAnsi="Garamond"/>
        </w:rPr>
      </w:pPr>
    </w:p>
    <w:p w14:paraId="15FBD91A" w14:textId="77777777" w:rsidR="00322BA3" w:rsidRPr="000F21D1" w:rsidRDefault="00E57266" w:rsidP="00347AC8">
      <w:pPr>
        <w:spacing w:line="360" w:lineRule="auto"/>
        <w:jc w:val="both"/>
        <w:rPr>
          <w:rFonts w:ascii="Garamond" w:hAnsi="Garamond"/>
        </w:rPr>
      </w:pPr>
      <w:r w:rsidRPr="000F21D1">
        <w:rPr>
          <w:rFonts w:ascii="Garamond" w:hAnsi="Garamond"/>
          <w:b/>
        </w:rPr>
        <w:t>Risks that inflation will deviate from the</w:t>
      </w:r>
      <w:r w:rsidRPr="000F21D1">
        <w:rPr>
          <w:rFonts w:ascii="Garamond" w:hAnsi="Garamond"/>
          <w:b/>
          <w:lang w:val="hy-AM"/>
        </w:rPr>
        <w:t xml:space="preserve"> </w:t>
      </w:r>
      <w:r w:rsidRPr="000F21D1">
        <w:rPr>
          <w:rFonts w:ascii="Garamond" w:hAnsi="Garamond"/>
          <w:b/>
        </w:rPr>
        <w:t>projected value</w:t>
      </w:r>
      <w:r w:rsidRPr="000F21D1">
        <w:rPr>
          <w:rFonts w:ascii="Garamond" w:hAnsi="Garamond"/>
          <w:b/>
          <w:lang w:val="hy-AM"/>
        </w:rPr>
        <w:t xml:space="preserve"> </w:t>
      </w:r>
      <w:r w:rsidRPr="000F21D1">
        <w:rPr>
          <w:rFonts w:ascii="Garamond" w:hAnsi="Garamond"/>
          <w:b/>
        </w:rPr>
        <w:t>are estimated to be downward in the short run and balanced in the medium run</w:t>
      </w:r>
      <w:r w:rsidRPr="000F21D1">
        <w:rPr>
          <w:rFonts w:ascii="Garamond" w:hAnsi="Garamond"/>
        </w:rPr>
        <w:t>.</w:t>
      </w:r>
      <w:r w:rsidRPr="000F21D1">
        <w:rPr>
          <w:rFonts w:ascii="Garamond" w:hAnsi="Garamond"/>
          <w:lang w:val="hy-AM"/>
        </w:rPr>
        <w:t xml:space="preserve"> </w:t>
      </w:r>
      <w:r w:rsidRPr="000F21D1">
        <w:rPr>
          <w:rFonts w:ascii="Garamond" w:hAnsi="Garamond"/>
          <w:color w:val="000000"/>
        </w:rPr>
        <w:t>Risks deriving from external and domestic sectors mostly persisted in relation to the previous forecast.</w:t>
      </w:r>
      <w:r w:rsidRPr="000F21D1">
        <w:rPr>
          <w:rFonts w:ascii="Garamond" w:hAnsi="Garamond" w:cs="Sylfaen"/>
          <w:color w:val="000000"/>
        </w:rPr>
        <w:t xml:space="preserve"> In particular, the </w:t>
      </w:r>
      <w:r w:rsidRPr="000F21D1">
        <w:rPr>
          <w:rFonts w:ascii="Garamond" w:hAnsi="Garamond" w:cs="Sylfaen"/>
          <w:b/>
          <w:color w:val="000000"/>
        </w:rPr>
        <w:t>external sector risks</w:t>
      </w:r>
      <w:r w:rsidRPr="000F21D1">
        <w:rPr>
          <w:rFonts w:ascii="Garamond" w:hAnsi="Garamond" w:cs="Sylfaen"/>
          <w:color w:val="000000"/>
        </w:rPr>
        <w:t xml:space="preserve"> are related to</w:t>
      </w:r>
      <w:r w:rsidRPr="000F21D1">
        <w:rPr>
          <w:rFonts w:ascii="Garamond" w:hAnsi="Garamond" w:cs="Sylfaen"/>
          <w:color w:val="000000"/>
          <w:lang w:val="hy-AM"/>
        </w:rPr>
        <w:t xml:space="preserve"> </w:t>
      </w:r>
      <w:r w:rsidRPr="000F21D1">
        <w:rPr>
          <w:rFonts w:ascii="Garamond" w:hAnsi="Garamond"/>
        </w:rPr>
        <w:t xml:space="preserve">capital outflows from developing countries and, consequently, volatilities in financial markets, the processes in the European Union, a likely slowdown of global economic growth resulting from </w:t>
      </w:r>
      <w:r w:rsidR="00CE1E50" w:rsidRPr="000F21D1">
        <w:rPr>
          <w:rFonts w:ascii="Garamond" w:hAnsi="Garamond"/>
        </w:rPr>
        <w:t>re</w:t>
      </w:r>
      <w:r w:rsidRPr="000F21D1">
        <w:rPr>
          <w:rFonts w:ascii="Garamond" w:hAnsi="Garamond"/>
        </w:rPr>
        <w:t>structur</w:t>
      </w:r>
      <w:r w:rsidR="00CE1E50" w:rsidRPr="000F21D1">
        <w:rPr>
          <w:rFonts w:ascii="Garamond" w:hAnsi="Garamond"/>
        </w:rPr>
        <w:t xml:space="preserve">ing of </w:t>
      </w:r>
      <w:r w:rsidRPr="000F21D1">
        <w:rPr>
          <w:rFonts w:ascii="Garamond" w:hAnsi="Garamond"/>
        </w:rPr>
        <w:t xml:space="preserve">the Chinese economy as well as risks related to developments in international prices of raw materials and food products. </w:t>
      </w:r>
      <w:r w:rsidRPr="000F21D1">
        <w:rPr>
          <w:rFonts w:ascii="Garamond" w:hAnsi="Garamond"/>
          <w:b/>
        </w:rPr>
        <w:t>Risks deriving from the domestic sector</w:t>
      </w:r>
      <w:r w:rsidRPr="000F21D1">
        <w:rPr>
          <w:rFonts w:ascii="Garamond" w:hAnsi="Garamond"/>
        </w:rPr>
        <w:t xml:space="preserve"> are</w:t>
      </w:r>
      <w:r w:rsidRPr="000F21D1">
        <w:rPr>
          <w:rFonts w:ascii="Garamond" w:hAnsi="Garamond"/>
          <w:lang w:val="hy-AM"/>
        </w:rPr>
        <w:t xml:space="preserve"> </w:t>
      </w:r>
      <w:r w:rsidRPr="000F21D1">
        <w:rPr>
          <w:rFonts w:ascii="Garamond" w:hAnsi="Garamond"/>
          <w:color w:val="000000"/>
        </w:rPr>
        <w:t xml:space="preserve">mostly associated with the extent to which </w:t>
      </w:r>
      <w:r w:rsidRPr="000F21D1">
        <w:rPr>
          <w:rFonts w:ascii="Garamond" w:hAnsi="Garamond"/>
        </w:rPr>
        <w:t>external environment’s deflationary impact will spill over to the domestic prices,</w:t>
      </w:r>
      <w:r w:rsidRPr="000F21D1">
        <w:rPr>
          <w:rFonts w:ascii="Garamond" w:hAnsi="Garamond"/>
          <w:lang w:val="hy-AM"/>
        </w:rPr>
        <w:t xml:space="preserve"> </w:t>
      </w:r>
      <w:r w:rsidRPr="000F21D1">
        <w:rPr>
          <w:rFonts w:ascii="Garamond" w:hAnsi="Garamond"/>
          <w:color w:val="000000"/>
        </w:rPr>
        <w:t>developments in agriculture, a sector greatly depending on weather conditions, the pace at which domestic demand and private investments will recover, as well as Government-led structural reforms.</w:t>
      </w:r>
      <w:r w:rsidRPr="000F21D1">
        <w:rPr>
          <w:rFonts w:ascii="Garamond" w:hAnsi="Garamond" w:cs="GHEA Grapalat"/>
        </w:rPr>
        <w:t xml:space="preserve"> </w:t>
      </w:r>
      <w:r w:rsidRPr="000F21D1">
        <w:rPr>
          <w:rFonts w:ascii="Garamond" w:hAnsi="Garamond"/>
        </w:rPr>
        <w:t>If the aforementioned risks materialize, the CBA will react accordingly by maintaining the inflation target in the medium run.</w:t>
      </w:r>
      <w:r w:rsidR="00CE1E50" w:rsidRPr="000F21D1">
        <w:rPr>
          <w:rFonts w:ascii="Garamond" w:hAnsi="Garamond"/>
        </w:rPr>
        <w:t xml:space="preserve"> </w:t>
      </w:r>
    </w:p>
    <w:p w14:paraId="79C47D6E" w14:textId="77777777" w:rsidR="00721072" w:rsidRPr="000F21D1" w:rsidRDefault="00721072" w:rsidP="00347AC8">
      <w:pPr>
        <w:spacing w:line="360" w:lineRule="auto"/>
        <w:jc w:val="both"/>
        <w:rPr>
          <w:rFonts w:ascii="Garamond" w:hAnsi="Garamond"/>
        </w:rPr>
      </w:pPr>
    </w:p>
    <w:p w14:paraId="020CCDA4" w14:textId="77777777" w:rsidR="00721072" w:rsidRPr="000F21D1" w:rsidRDefault="00721072" w:rsidP="00721072">
      <w:pPr>
        <w:spacing w:line="360" w:lineRule="auto"/>
        <w:jc w:val="both"/>
        <w:rPr>
          <w:rFonts w:ascii="Garamond" w:hAnsi="Garamond"/>
          <w:b/>
        </w:rPr>
      </w:pPr>
      <w:r w:rsidRPr="000F21D1">
        <w:rPr>
          <w:rFonts w:ascii="Garamond" w:hAnsi="Garamond"/>
          <w:b/>
        </w:rPr>
        <w:t>3. Actual developments in Q</w:t>
      </w:r>
      <w:r w:rsidR="009C7703" w:rsidRPr="000F21D1">
        <w:rPr>
          <w:rFonts w:ascii="Garamond" w:hAnsi="Garamond"/>
          <w:b/>
        </w:rPr>
        <w:t>2</w:t>
      </w:r>
      <w:r w:rsidRPr="000F21D1">
        <w:rPr>
          <w:rFonts w:ascii="Garamond" w:hAnsi="Garamond"/>
          <w:b/>
        </w:rPr>
        <w:t>, 2016</w:t>
      </w:r>
    </w:p>
    <w:p w14:paraId="4039B69D" w14:textId="77777777" w:rsidR="00721072" w:rsidRPr="000F21D1" w:rsidRDefault="00721072" w:rsidP="00721072">
      <w:pPr>
        <w:spacing w:line="360" w:lineRule="auto"/>
        <w:jc w:val="both"/>
        <w:rPr>
          <w:rFonts w:ascii="Garamond" w:hAnsi="Garamond"/>
          <w:b/>
        </w:rPr>
      </w:pPr>
      <w:r w:rsidRPr="000F21D1">
        <w:rPr>
          <w:rFonts w:ascii="Garamond" w:hAnsi="Garamond"/>
          <w:b/>
        </w:rPr>
        <w:t>3.1. Inflation</w:t>
      </w:r>
    </w:p>
    <w:p w14:paraId="011F7B0F" w14:textId="77777777" w:rsidR="00B57C33" w:rsidRPr="000F21D1" w:rsidRDefault="00B57C33" w:rsidP="00721072">
      <w:pPr>
        <w:spacing w:line="360" w:lineRule="auto"/>
        <w:jc w:val="both"/>
        <w:rPr>
          <w:rFonts w:ascii="Garamond" w:hAnsi="Garamond"/>
          <w:b/>
        </w:rPr>
      </w:pPr>
      <w:r w:rsidRPr="000F21D1">
        <w:rPr>
          <w:rFonts w:ascii="Garamond" w:hAnsi="Garamond"/>
          <w:b/>
        </w:rPr>
        <w:t xml:space="preserve">3.1.1. Actual inflation and fulfilment of the inflation target </w:t>
      </w:r>
    </w:p>
    <w:p w14:paraId="2FC0A6A6" w14:textId="77777777" w:rsidR="00B57C33" w:rsidRPr="000F21D1" w:rsidRDefault="00B57C33" w:rsidP="00721072">
      <w:pPr>
        <w:spacing w:line="360" w:lineRule="auto"/>
        <w:jc w:val="both"/>
        <w:rPr>
          <w:rFonts w:ascii="Garamond" w:hAnsi="Garamond"/>
          <w:b/>
        </w:rPr>
      </w:pPr>
    </w:p>
    <w:p w14:paraId="0CC5EAA0" w14:textId="77777777" w:rsidR="0002455C" w:rsidRPr="000F21D1" w:rsidRDefault="00291537" w:rsidP="00FF3CD9">
      <w:pPr>
        <w:spacing w:line="360" w:lineRule="auto"/>
        <w:jc w:val="both"/>
        <w:rPr>
          <w:rFonts w:ascii="Garamond" w:hAnsi="Garamond" w:cs="Sylfaen"/>
          <w:bCs/>
          <w:iCs/>
          <w:color w:val="000000"/>
        </w:rPr>
      </w:pPr>
      <w:r w:rsidRPr="000F21D1">
        <w:rPr>
          <w:rFonts w:ascii="Garamond" w:hAnsi="Garamond" w:cs="Sylfaen"/>
          <w:bCs/>
          <w:iCs/>
          <w:color w:val="000000"/>
        </w:rPr>
        <w:t xml:space="preserve">International commodity markets’ deflationary impact transmitted onto domestic prices, weak domestic demand and favorable developments in the agricultural sector all have led to a 1.4% deflation recorded in the second quarter of 2016. The deflation was mainly attributable to the prices of food products, decreased by 2.4%, and prices of non-food products and service tariffs, fallen by 0.8% and 0.5%, respectively. </w:t>
      </w:r>
      <w:r w:rsidR="0002455C" w:rsidRPr="000F21D1">
        <w:rPr>
          <w:rFonts w:ascii="Garamond" w:hAnsi="Garamond" w:cs="Sylfaen"/>
          <w:bCs/>
          <w:iCs/>
          <w:color w:val="000000"/>
        </w:rPr>
        <w:t xml:space="preserve">The quarter’s price deflation was weaker than forecast, due to smaller decline in prices of seasonal agricultural products, as opposed to relatively deep deflationary patterns observed in July. </w:t>
      </w:r>
      <w:r w:rsidR="00187B89" w:rsidRPr="000F21D1">
        <w:rPr>
          <w:rFonts w:ascii="Garamond" w:hAnsi="Garamond" w:cs="Sylfaen"/>
          <w:bCs/>
          <w:iCs/>
          <w:color w:val="000000"/>
        </w:rPr>
        <w:t xml:space="preserve">As a result, in June the </w:t>
      </w:r>
      <w:r w:rsidR="00187B89" w:rsidRPr="000F21D1">
        <w:rPr>
          <w:rFonts w:ascii="Garamond" w:hAnsi="Garamond" w:cs="Sylfaen"/>
          <w:b/>
          <w:bCs/>
          <w:iCs/>
          <w:color w:val="000000"/>
        </w:rPr>
        <w:t>12-month deflation rate</w:t>
      </w:r>
      <w:r w:rsidR="00187B89" w:rsidRPr="000F21D1">
        <w:rPr>
          <w:rFonts w:ascii="Garamond" w:hAnsi="Garamond" w:cs="Sylfaen"/>
          <w:bCs/>
          <w:iCs/>
          <w:color w:val="000000"/>
        </w:rPr>
        <w:t xml:space="preserve"> declined rapidly than expected, reaching </w:t>
      </w:r>
      <w:r w:rsidR="00187B89" w:rsidRPr="000F21D1">
        <w:rPr>
          <w:rFonts w:ascii="Garamond" w:hAnsi="Garamond" w:cs="Sylfaen"/>
          <w:b/>
          <w:bCs/>
          <w:iCs/>
          <w:color w:val="000000"/>
        </w:rPr>
        <w:t>1.1%</w:t>
      </w:r>
      <w:r w:rsidR="00187B89" w:rsidRPr="000F21D1">
        <w:rPr>
          <w:rFonts w:ascii="Garamond" w:hAnsi="Garamond" w:cs="Sylfaen"/>
          <w:bCs/>
          <w:iCs/>
          <w:color w:val="000000"/>
        </w:rPr>
        <w:t xml:space="preserve">, but in July it run close to the forecasts, falling to </w:t>
      </w:r>
      <w:r w:rsidR="00187B89" w:rsidRPr="000F21D1">
        <w:rPr>
          <w:rFonts w:ascii="Garamond" w:hAnsi="Garamond" w:cs="Sylfaen"/>
          <w:b/>
          <w:bCs/>
          <w:iCs/>
          <w:color w:val="000000"/>
        </w:rPr>
        <w:t>1.3%</w:t>
      </w:r>
      <w:r w:rsidR="00187B89" w:rsidRPr="000F21D1">
        <w:rPr>
          <w:rFonts w:ascii="Garamond" w:hAnsi="Garamond" w:cs="Sylfaen"/>
          <w:bCs/>
          <w:iCs/>
          <w:color w:val="000000"/>
        </w:rPr>
        <w:t>, which has also been driven by around 6.0% decrease in natural gas price (</w:t>
      </w:r>
      <w:r w:rsidR="00187B89" w:rsidRPr="000F21D1">
        <w:rPr>
          <w:rFonts w:ascii="Garamond" w:hAnsi="Garamond" w:cs="Sylfaen"/>
          <w:bCs/>
          <w:iCs/>
        </w:rPr>
        <w:t>contribution to inflation: -</w:t>
      </w:r>
      <w:r w:rsidR="00187B89" w:rsidRPr="000F21D1">
        <w:rPr>
          <w:rFonts w:ascii="Garamond" w:hAnsi="Garamond" w:cs="Sylfaen"/>
          <w:bCs/>
          <w:iCs/>
          <w:color w:val="000000"/>
        </w:rPr>
        <w:t>0.36 pp).</w:t>
      </w:r>
      <w:r w:rsidR="00446522" w:rsidRPr="000F21D1">
        <w:rPr>
          <w:rFonts w:ascii="Garamond" w:hAnsi="Garamond"/>
        </w:rPr>
        <w:t xml:space="preserve"> </w:t>
      </w:r>
      <w:r w:rsidR="008D794A" w:rsidRPr="000F21D1">
        <w:rPr>
          <w:rFonts w:ascii="Garamond" w:hAnsi="Garamond"/>
        </w:rPr>
        <w:t>In the second quarter, however</w:t>
      </w:r>
      <w:r w:rsidR="00446522" w:rsidRPr="000F21D1">
        <w:rPr>
          <w:rFonts w:ascii="Garamond" w:hAnsi="Garamond" w:cs="Sylfaen"/>
          <w:bCs/>
          <w:iCs/>
          <w:color w:val="000000"/>
        </w:rPr>
        <w:t xml:space="preserve">, in view of external and domestic factors described above, the </w:t>
      </w:r>
      <w:r w:rsidR="00446522" w:rsidRPr="000F21D1">
        <w:rPr>
          <w:rFonts w:ascii="Garamond" w:hAnsi="Garamond" w:cs="Sylfaen"/>
          <w:b/>
          <w:bCs/>
          <w:iCs/>
          <w:color w:val="000000"/>
        </w:rPr>
        <w:t xml:space="preserve">core inflation rate fell </w:t>
      </w:r>
      <w:r w:rsidR="00446522" w:rsidRPr="000F21D1">
        <w:rPr>
          <w:rFonts w:ascii="Garamond" w:hAnsi="Garamond" w:cs="Sylfaen"/>
          <w:b/>
          <w:bCs/>
          <w:iCs/>
          <w:color w:val="000000"/>
        </w:rPr>
        <w:lastRenderedPageBreak/>
        <w:t>slightly faster</w:t>
      </w:r>
      <w:r w:rsidR="008D794A" w:rsidRPr="000F21D1">
        <w:rPr>
          <w:rFonts w:ascii="Garamond" w:hAnsi="Garamond" w:cs="Sylfaen"/>
          <w:b/>
          <w:bCs/>
          <w:iCs/>
          <w:color w:val="000000"/>
        </w:rPr>
        <w:t>, by 0.5%,</w:t>
      </w:r>
      <w:r w:rsidR="00446522" w:rsidRPr="000F21D1">
        <w:rPr>
          <w:rFonts w:ascii="Garamond" w:hAnsi="Garamond" w:cs="Sylfaen"/>
          <w:b/>
          <w:bCs/>
          <w:iCs/>
          <w:color w:val="000000"/>
        </w:rPr>
        <w:t xml:space="preserve"> </w:t>
      </w:r>
      <w:r w:rsidR="008D794A" w:rsidRPr="000F21D1">
        <w:rPr>
          <w:rFonts w:ascii="Garamond" w:hAnsi="Garamond" w:cs="Sylfaen"/>
          <w:b/>
          <w:bCs/>
          <w:iCs/>
          <w:color w:val="000000"/>
        </w:rPr>
        <w:t>than anticipated</w:t>
      </w:r>
      <w:r w:rsidR="00446522" w:rsidRPr="000F21D1">
        <w:rPr>
          <w:rFonts w:ascii="Garamond" w:hAnsi="Garamond" w:cs="Sylfaen"/>
          <w:bCs/>
          <w:iCs/>
          <w:color w:val="000000"/>
        </w:rPr>
        <w:t xml:space="preserve">, while the 12-month </w:t>
      </w:r>
      <w:r w:rsidR="008D794A" w:rsidRPr="000F21D1">
        <w:rPr>
          <w:rFonts w:ascii="Garamond" w:hAnsi="Garamond" w:cs="Sylfaen"/>
          <w:bCs/>
          <w:iCs/>
          <w:color w:val="000000"/>
        </w:rPr>
        <w:t xml:space="preserve">indicator remained </w:t>
      </w:r>
      <w:r w:rsidR="00446522" w:rsidRPr="000F21D1">
        <w:rPr>
          <w:rFonts w:ascii="Garamond" w:hAnsi="Garamond" w:cs="Sylfaen"/>
          <w:bCs/>
          <w:iCs/>
          <w:color w:val="000000"/>
        </w:rPr>
        <w:t>almost unchanged</w:t>
      </w:r>
      <w:r w:rsidR="008D794A" w:rsidRPr="000F21D1">
        <w:rPr>
          <w:rFonts w:ascii="Garamond" w:hAnsi="Garamond" w:cs="Sylfaen"/>
          <w:bCs/>
          <w:iCs/>
          <w:color w:val="000000"/>
        </w:rPr>
        <w:t>,</w:t>
      </w:r>
      <w:r w:rsidR="00446522" w:rsidRPr="000F21D1">
        <w:rPr>
          <w:rFonts w:ascii="Garamond" w:hAnsi="Garamond" w:cs="Sylfaen"/>
          <w:bCs/>
          <w:iCs/>
          <w:color w:val="000000"/>
        </w:rPr>
        <w:t xml:space="preserve"> amount</w:t>
      </w:r>
      <w:r w:rsidR="008D794A" w:rsidRPr="000F21D1">
        <w:rPr>
          <w:rFonts w:ascii="Garamond" w:hAnsi="Garamond" w:cs="Sylfaen"/>
          <w:bCs/>
          <w:iCs/>
          <w:color w:val="000000"/>
        </w:rPr>
        <w:t>ing to</w:t>
      </w:r>
      <w:r w:rsidR="00446522" w:rsidRPr="000F21D1">
        <w:rPr>
          <w:rFonts w:ascii="Garamond" w:hAnsi="Garamond" w:cs="Sylfaen"/>
          <w:bCs/>
          <w:iCs/>
          <w:color w:val="000000"/>
        </w:rPr>
        <w:t xml:space="preserve"> </w:t>
      </w:r>
      <w:r w:rsidR="00446522" w:rsidRPr="000F21D1">
        <w:rPr>
          <w:rFonts w:ascii="Garamond" w:hAnsi="Garamond" w:cs="Sylfaen"/>
          <w:b/>
          <w:bCs/>
          <w:iCs/>
          <w:color w:val="000000"/>
        </w:rPr>
        <w:t>-1.8%</w:t>
      </w:r>
      <w:r w:rsidR="00446522" w:rsidRPr="000F21D1">
        <w:rPr>
          <w:rFonts w:ascii="Garamond" w:hAnsi="Garamond" w:cs="Sylfaen"/>
          <w:bCs/>
          <w:iCs/>
          <w:color w:val="000000"/>
        </w:rPr>
        <w:t xml:space="preserve"> </w:t>
      </w:r>
      <w:r w:rsidR="008D794A" w:rsidRPr="000F21D1">
        <w:rPr>
          <w:rFonts w:ascii="Garamond" w:hAnsi="Garamond" w:cs="Sylfaen"/>
          <w:bCs/>
          <w:iCs/>
          <w:color w:val="000000"/>
        </w:rPr>
        <w:t xml:space="preserve">at the end of </w:t>
      </w:r>
      <w:r w:rsidR="00446522" w:rsidRPr="000F21D1">
        <w:rPr>
          <w:rFonts w:ascii="Garamond" w:hAnsi="Garamond" w:cs="Sylfaen"/>
          <w:bCs/>
          <w:iCs/>
          <w:color w:val="000000"/>
        </w:rPr>
        <w:t>June.</w:t>
      </w:r>
    </w:p>
    <w:p w14:paraId="1FC6C392" w14:textId="77777777" w:rsidR="00BF0570" w:rsidRPr="000F21D1" w:rsidRDefault="00BF0570" w:rsidP="00FF3CD9">
      <w:pPr>
        <w:spacing w:line="360" w:lineRule="auto"/>
        <w:jc w:val="both"/>
        <w:rPr>
          <w:rFonts w:ascii="Garamond" w:hAnsi="Garamond" w:cs="Sylfaen"/>
          <w:bCs/>
          <w:iCs/>
          <w:color w:val="000000"/>
        </w:rPr>
      </w:pPr>
    </w:p>
    <w:p w14:paraId="27498627" w14:textId="77777777" w:rsidR="00BF0570" w:rsidRPr="000F21D1" w:rsidRDefault="00BF0570" w:rsidP="00FF3CD9">
      <w:pPr>
        <w:spacing w:line="360" w:lineRule="auto"/>
        <w:jc w:val="both"/>
        <w:rPr>
          <w:rFonts w:ascii="Garamond" w:hAnsi="Garamond" w:cs="Sylfaen"/>
          <w:bCs/>
          <w:iCs/>
          <w:color w:val="000000"/>
        </w:rPr>
      </w:pPr>
      <w:r w:rsidRPr="000F21D1">
        <w:rPr>
          <w:rFonts w:ascii="Garamond" w:hAnsi="Garamond" w:cs="Sylfaen"/>
          <w:bCs/>
          <w:iCs/>
          <w:color w:val="000000"/>
        </w:rPr>
        <w:t xml:space="preserve">The deflationary effects of the external environment </w:t>
      </w:r>
      <w:r w:rsidR="009D385B" w:rsidRPr="000F21D1">
        <w:rPr>
          <w:rFonts w:ascii="Garamond" w:hAnsi="Garamond" w:cs="Sylfaen"/>
          <w:bCs/>
          <w:iCs/>
          <w:color w:val="000000"/>
        </w:rPr>
        <w:t xml:space="preserve">on the one hand </w:t>
      </w:r>
      <w:r w:rsidRPr="000F21D1">
        <w:rPr>
          <w:rFonts w:ascii="Garamond" w:hAnsi="Garamond" w:cs="Sylfaen"/>
          <w:bCs/>
          <w:iCs/>
          <w:color w:val="000000"/>
        </w:rPr>
        <w:t xml:space="preserve">and a sluggish domestic demand </w:t>
      </w:r>
      <w:r w:rsidR="009D385B" w:rsidRPr="000F21D1">
        <w:rPr>
          <w:rFonts w:ascii="Garamond" w:hAnsi="Garamond" w:cs="Sylfaen"/>
          <w:bCs/>
          <w:iCs/>
          <w:color w:val="000000"/>
        </w:rPr>
        <w:t xml:space="preserve">on the other continued determining the price developments for </w:t>
      </w:r>
      <w:r w:rsidRPr="000F21D1">
        <w:rPr>
          <w:rFonts w:ascii="Garamond" w:hAnsi="Garamond" w:cs="Sylfaen"/>
          <w:bCs/>
          <w:iCs/>
          <w:color w:val="000000"/>
        </w:rPr>
        <w:t>imported non-food products, particularly textiles and clothing, footwear, detergents and cosmetic</w:t>
      </w:r>
      <w:r w:rsidR="009D385B" w:rsidRPr="000F21D1">
        <w:rPr>
          <w:rFonts w:ascii="Garamond" w:hAnsi="Garamond" w:cs="Sylfaen"/>
          <w:bCs/>
          <w:iCs/>
          <w:color w:val="000000"/>
        </w:rPr>
        <w:t>s, during the second quarter</w:t>
      </w:r>
      <w:r w:rsidRPr="000F21D1">
        <w:rPr>
          <w:rFonts w:ascii="Garamond" w:hAnsi="Garamond" w:cs="Sylfaen"/>
          <w:bCs/>
          <w:iCs/>
          <w:color w:val="000000"/>
        </w:rPr>
        <w:t xml:space="preserve">. The decrease </w:t>
      </w:r>
      <w:r w:rsidR="00631797" w:rsidRPr="000F21D1">
        <w:rPr>
          <w:rFonts w:ascii="Garamond" w:hAnsi="Garamond" w:cs="Sylfaen"/>
          <w:bCs/>
          <w:iCs/>
          <w:color w:val="000000"/>
        </w:rPr>
        <w:t xml:space="preserve">in service tariffs </w:t>
      </w:r>
      <w:r w:rsidRPr="000F21D1">
        <w:rPr>
          <w:rFonts w:ascii="Garamond" w:hAnsi="Garamond" w:cs="Sylfaen"/>
          <w:bCs/>
          <w:iCs/>
          <w:color w:val="000000"/>
        </w:rPr>
        <w:t xml:space="preserve">was mainly </w:t>
      </w:r>
      <w:r w:rsidR="00631797" w:rsidRPr="000F21D1">
        <w:rPr>
          <w:rFonts w:ascii="Garamond" w:hAnsi="Garamond" w:cs="Sylfaen"/>
          <w:bCs/>
          <w:iCs/>
          <w:color w:val="000000"/>
        </w:rPr>
        <w:t xml:space="preserve">attributable to </w:t>
      </w:r>
      <w:r w:rsidRPr="000F21D1">
        <w:rPr>
          <w:rFonts w:ascii="Garamond" w:hAnsi="Garamond" w:cs="Sylfaen"/>
          <w:bCs/>
          <w:iCs/>
          <w:color w:val="000000"/>
        </w:rPr>
        <w:t xml:space="preserve">recreational </w:t>
      </w:r>
      <w:r w:rsidRPr="000F21D1">
        <w:rPr>
          <w:rFonts w:ascii="Garamond" w:hAnsi="Garamond" w:cs="Sylfaen"/>
          <w:bCs/>
          <w:iCs/>
          <w:color w:val="FF0000"/>
        </w:rPr>
        <w:t xml:space="preserve">and </w:t>
      </w:r>
      <w:r w:rsidR="00631797" w:rsidRPr="000F21D1">
        <w:rPr>
          <w:rFonts w:ascii="Garamond" w:hAnsi="Garamond" w:cs="Sylfaen"/>
          <w:bCs/>
          <w:iCs/>
          <w:color w:val="000000"/>
        </w:rPr>
        <w:t xml:space="preserve">housing </w:t>
      </w:r>
      <w:r w:rsidR="00631797" w:rsidRPr="000F21D1">
        <w:rPr>
          <w:rFonts w:ascii="Garamond" w:hAnsi="Garamond" w:cs="Sylfaen"/>
          <w:bCs/>
          <w:iCs/>
          <w:color w:val="FF0000"/>
        </w:rPr>
        <w:t>&amp;</w:t>
      </w:r>
      <w:r w:rsidR="00631797" w:rsidRPr="000F21D1">
        <w:rPr>
          <w:rFonts w:ascii="Garamond" w:hAnsi="Garamond" w:cs="Sylfaen"/>
          <w:bCs/>
          <w:iCs/>
          <w:color w:val="000000"/>
        </w:rPr>
        <w:t xml:space="preserve"> utility </w:t>
      </w:r>
      <w:r w:rsidRPr="000F21D1">
        <w:rPr>
          <w:rFonts w:ascii="Garamond" w:hAnsi="Garamond" w:cs="Sylfaen"/>
          <w:bCs/>
          <w:iCs/>
          <w:color w:val="000000"/>
        </w:rPr>
        <w:t xml:space="preserve">services </w:t>
      </w:r>
      <w:r w:rsidR="00631797" w:rsidRPr="000F21D1">
        <w:rPr>
          <w:rFonts w:ascii="Garamond" w:hAnsi="Garamond" w:cs="Sylfaen"/>
          <w:bCs/>
          <w:iCs/>
          <w:color w:val="000000"/>
        </w:rPr>
        <w:t xml:space="preserve">fees having dropped by </w:t>
      </w:r>
      <w:r w:rsidRPr="000F21D1">
        <w:rPr>
          <w:rFonts w:ascii="Garamond" w:hAnsi="Garamond" w:cs="Sylfaen"/>
          <w:bCs/>
          <w:iCs/>
          <w:color w:val="000000"/>
        </w:rPr>
        <w:t>6.6% and 1.7%</w:t>
      </w:r>
      <w:r w:rsidR="00631797" w:rsidRPr="000F21D1">
        <w:rPr>
          <w:rFonts w:ascii="Garamond" w:hAnsi="Garamond" w:cs="Sylfaen"/>
          <w:bCs/>
          <w:iCs/>
          <w:color w:val="000000"/>
        </w:rPr>
        <w:t>, respectively</w:t>
      </w:r>
      <w:r w:rsidRPr="000F21D1">
        <w:rPr>
          <w:rFonts w:ascii="Garamond" w:hAnsi="Garamond" w:cs="Sylfaen"/>
          <w:bCs/>
          <w:iCs/>
          <w:color w:val="000000"/>
        </w:rPr>
        <w:t xml:space="preserve"> </w:t>
      </w:r>
      <w:r w:rsidR="00631797" w:rsidRPr="000F21D1">
        <w:rPr>
          <w:rFonts w:ascii="Garamond" w:hAnsi="Garamond" w:cs="Sylfaen"/>
          <w:bCs/>
          <w:iCs/>
          <w:color w:val="000000"/>
        </w:rPr>
        <w:t xml:space="preserve">(combined </w:t>
      </w:r>
      <w:r w:rsidR="00631797" w:rsidRPr="000F21D1">
        <w:rPr>
          <w:rFonts w:ascii="Garamond" w:hAnsi="Garamond" w:cs="Sylfaen"/>
          <w:bCs/>
          <w:iCs/>
        </w:rPr>
        <w:t>contribution to inflation: -</w:t>
      </w:r>
      <w:r w:rsidR="00631797" w:rsidRPr="000F21D1">
        <w:rPr>
          <w:rFonts w:ascii="Garamond" w:hAnsi="Garamond" w:cs="Sylfaen"/>
          <w:bCs/>
          <w:iCs/>
          <w:color w:val="000000"/>
        </w:rPr>
        <w:t>0.25 pp), which wa</w:t>
      </w:r>
      <w:r w:rsidRPr="000F21D1">
        <w:rPr>
          <w:rFonts w:ascii="Garamond" w:hAnsi="Garamond" w:cs="Sylfaen"/>
          <w:bCs/>
          <w:iCs/>
          <w:color w:val="000000"/>
        </w:rPr>
        <w:t xml:space="preserve">s somewhat </w:t>
      </w:r>
      <w:r w:rsidR="00631797" w:rsidRPr="000F21D1">
        <w:rPr>
          <w:rFonts w:ascii="Garamond" w:hAnsi="Garamond" w:cs="Sylfaen"/>
          <w:bCs/>
          <w:iCs/>
          <w:color w:val="000000"/>
        </w:rPr>
        <w:t>offset</w:t>
      </w:r>
      <w:r w:rsidRPr="000F21D1">
        <w:rPr>
          <w:rFonts w:ascii="Garamond" w:hAnsi="Garamond" w:cs="Sylfaen"/>
          <w:bCs/>
          <w:iCs/>
          <w:color w:val="000000"/>
        </w:rPr>
        <w:t xml:space="preserve"> by </w:t>
      </w:r>
      <w:r w:rsidR="00631797" w:rsidRPr="000F21D1">
        <w:rPr>
          <w:rFonts w:ascii="Garamond" w:hAnsi="Garamond" w:cs="Sylfaen"/>
          <w:bCs/>
          <w:iCs/>
          <w:color w:val="000000"/>
        </w:rPr>
        <w:t xml:space="preserve">a 10.5% increase in </w:t>
      </w:r>
      <w:r w:rsidRPr="000F21D1">
        <w:rPr>
          <w:rFonts w:ascii="Garamond" w:hAnsi="Garamond" w:cs="Sylfaen"/>
          <w:bCs/>
          <w:iCs/>
          <w:color w:val="000000"/>
        </w:rPr>
        <w:t>air transport fare</w:t>
      </w:r>
      <w:r w:rsidR="00631797" w:rsidRPr="000F21D1">
        <w:rPr>
          <w:rFonts w:ascii="Garamond" w:hAnsi="Garamond" w:cs="Sylfaen"/>
          <w:bCs/>
          <w:iCs/>
          <w:color w:val="000000"/>
        </w:rPr>
        <w:t xml:space="preserve"> </w:t>
      </w:r>
      <w:r w:rsidRPr="000F21D1">
        <w:rPr>
          <w:rFonts w:ascii="Garamond" w:hAnsi="Garamond" w:cs="Sylfaen"/>
          <w:bCs/>
          <w:iCs/>
          <w:color w:val="000000"/>
        </w:rPr>
        <w:t xml:space="preserve">(contribution </w:t>
      </w:r>
      <w:r w:rsidR="00631797" w:rsidRPr="000F21D1">
        <w:rPr>
          <w:rFonts w:ascii="Garamond" w:hAnsi="Garamond" w:cs="Sylfaen"/>
          <w:bCs/>
          <w:iCs/>
          <w:color w:val="000000"/>
        </w:rPr>
        <w:t xml:space="preserve">to </w:t>
      </w:r>
      <w:r w:rsidRPr="000F21D1">
        <w:rPr>
          <w:rFonts w:ascii="Garamond" w:hAnsi="Garamond" w:cs="Sylfaen"/>
          <w:bCs/>
          <w:iCs/>
          <w:color w:val="000000"/>
        </w:rPr>
        <w:t>inflation</w:t>
      </w:r>
      <w:r w:rsidR="00631797" w:rsidRPr="000F21D1">
        <w:rPr>
          <w:rFonts w:ascii="Garamond" w:hAnsi="Garamond" w:cs="Sylfaen"/>
          <w:bCs/>
          <w:iCs/>
          <w:color w:val="000000"/>
        </w:rPr>
        <w:t>:</w:t>
      </w:r>
      <w:r w:rsidRPr="000F21D1">
        <w:rPr>
          <w:rFonts w:ascii="Garamond" w:hAnsi="Garamond" w:cs="Sylfaen"/>
          <w:bCs/>
          <w:iCs/>
          <w:color w:val="000000"/>
        </w:rPr>
        <w:t xml:space="preserve"> 0.09 p</w:t>
      </w:r>
      <w:r w:rsidR="00631797" w:rsidRPr="000F21D1">
        <w:rPr>
          <w:rFonts w:ascii="Garamond" w:hAnsi="Garamond" w:cs="Sylfaen"/>
          <w:bCs/>
          <w:iCs/>
          <w:color w:val="000000"/>
        </w:rPr>
        <w:t>p</w:t>
      </w:r>
      <w:r w:rsidRPr="000F21D1">
        <w:rPr>
          <w:rFonts w:ascii="Garamond" w:hAnsi="Garamond" w:cs="Sylfaen"/>
          <w:bCs/>
          <w:iCs/>
          <w:color w:val="000000"/>
        </w:rPr>
        <w:t>).</w:t>
      </w:r>
    </w:p>
    <w:p w14:paraId="4AAC5AA6" w14:textId="77777777" w:rsidR="00BF0570" w:rsidRPr="000F21D1" w:rsidRDefault="00BF0570" w:rsidP="00FF3CD9">
      <w:pPr>
        <w:spacing w:line="360" w:lineRule="auto"/>
        <w:jc w:val="both"/>
        <w:rPr>
          <w:rFonts w:ascii="Garamond" w:hAnsi="Garamond" w:cs="Sylfaen"/>
          <w:bCs/>
          <w:iCs/>
          <w:color w:val="000000"/>
        </w:rPr>
      </w:pPr>
    </w:p>
    <w:p w14:paraId="511E77A5" w14:textId="77777777" w:rsidR="00CD3666" w:rsidRPr="000F21D1" w:rsidRDefault="00E70FBB" w:rsidP="00FF3CD9">
      <w:pPr>
        <w:spacing w:line="360" w:lineRule="auto"/>
        <w:jc w:val="both"/>
        <w:rPr>
          <w:rFonts w:ascii="Garamond" w:hAnsi="Garamond" w:cs="Sylfaen"/>
        </w:rPr>
      </w:pPr>
      <w:r w:rsidRPr="000F21D1">
        <w:rPr>
          <w:rFonts w:ascii="Garamond" w:hAnsi="Garamond" w:cs="Sylfaen"/>
        </w:rPr>
        <w:t>For</w:t>
      </w:r>
      <w:r w:rsidR="00046C53" w:rsidRPr="000F21D1">
        <w:rPr>
          <w:rFonts w:ascii="Garamond" w:hAnsi="Garamond" w:cs="Sylfaen"/>
        </w:rPr>
        <w:t xml:space="preserve"> the previous one-year horizon</w:t>
      </w:r>
      <w:r w:rsidRPr="000F21D1">
        <w:rPr>
          <w:rFonts w:ascii="Garamond" w:hAnsi="Garamond" w:cs="Sylfaen"/>
        </w:rPr>
        <w:t xml:space="preserve"> </w:t>
      </w:r>
      <w:r w:rsidR="00E60CAE" w:rsidRPr="000F21D1">
        <w:rPr>
          <w:rFonts w:ascii="Garamond" w:hAnsi="Garamond" w:cs="Sylfaen"/>
        </w:rPr>
        <w:t xml:space="preserve">which </w:t>
      </w:r>
      <w:r w:rsidR="000C4B1B" w:rsidRPr="000F21D1">
        <w:rPr>
          <w:rFonts w:ascii="Garamond" w:hAnsi="Garamond" w:cs="Sylfaen"/>
        </w:rPr>
        <w:t>tak</w:t>
      </w:r>
      <w:r w:rsidR="00E60CAE" w:rsidRPr="000F21D1">
        <w:rPr>
          <w:rFonts w:ascii="Garamond" w:hAnsi="Garamond" w:cs="Sylfaen"/>
        </w:rPr>
        <w:t>es</w:t>
      </w:r>
      <w:r w:rsidR="000C4B1B" w:rsidRPr="000F21D1">
        <w:rPr>
          <w:rFonts w:ascii="Garamond" w:hAnsi="Garamond" w:cs="Sylfaen"/>
        </w:rPr>
        <w:t xml:space="preserve"> a timespan </w:t>
      </w:r>
      <w:r w:rsidR="00EE150F" w:rsidRPr="000F21D1">
        <w:rPr>
          <w:rFonts w:ascii="Garamond" w:hAnsi="Garamond" w:cs="Sylfaen"/>
        </w:rPr>
        <w:t>between Q3,</w:t>
      </w:r>
      <w:r w:rsidRPr="000F21D1">
        <w:rPr>
          <w:rFonts w:ascii="Garamond" w:hAnsi="Garamond" w:cs="Sylfaen"/>
        </w:rPr>
        <w:t xml:space="preserve"> 2015 </w:t>
      </w:r>
      <w:r w:rsidR="00EE150F" w:rsidRPr="000F21D1">
        <w:rPr>
          <w:rFonts w:ascii="Garamond" w:hAnsi="Garamond" w:cs="Sylfaen"/>
        </w:rPr>
        <w:t xml:space="preserve">and Q3, </w:t>
      </w:r>
      <w:r w:rsidRPr="000F21D1">
        <w:rPr>
          <w:rFonts w:ascii="Garamond" w:hAnsi="Garamond" w:cs="Sylfaen"/>
        </w:rPr>
        <w:t>2016, high inflation environment was forecast to diminish gradually</w:t>
      </w:r>
      <w:r w:rsidR="00EE150F" w:rsidRPr="000F21D1">
        <w:rPr>
          <w:rFonts w:ascii="Garamond" w:hAnsi="Garamond" w:cs="Sylfaen"/>
        </w:rPr>
        <w:t xml:space="preserve">, as positive developments in the agriculture sector </w:t>
      </w:r>
      <w:r w:rsidR="005F25EC" w:rsidRPr="000F21D1">
        <w:rPr>
          <w:rFonts w:ascii="Garamond" w:hAnsi="Garamond" w:cs="Sylfaen"/>
        </w:rPr>
        <w:t>w</w:t>
      </w:r>
      <w:r w:rsidR="006C2E3C" w:rsidRPr="000F21D1">
        <w:rPr>
          <w:rFonts w:ascii="Garamond" w:hAnsi="Garamond" w:cs="Sylfaen"/>
        </w:rPr>
        <w:t xml:space="preserve">ere to </w:t>
      </w:r>
      <w:r w:rsidR="00CD3666" w:rsidRPr="000F21D1">
        <w:rPr>
          <w:rFonts w:ascii="Garamond" w:hAnsi="Garamond" w:cs="Sylfaen"/>
        </w:rPr>
        <w:t xml:space="preserve">lead to lower prices of food products compared to the same reference period of the previous year. </w:t>
      </w:r>
      <w:r w:rsidR="00EE150F" w:rsidRPr="000F21D1">
        <w:rPr>
          <w:rFonts w:ascii="Garamond" w:hAnsi="Garamond" w:cs="Sylfaen"/>
        </w:rPr>
        <w:t xml:space="preserve">Moreover, easing </w:t>
      </w:r>
      <w:r w:rsidR="00CD3666" w:rsidRPr="000F21D1">
        <w:rPr>
          <w:rFonts w:ascii="Garamond" w:hAnsi="Garamond" w:cs="Sylfaen"/>
        </w:rPr>
        <w:t xml:space="preserve">of the </w:t>
      </w:r>
      <w:r w:rsidR="00EE150F" w:rsidRPr="000F21D1">
        <w:rPr>
          <w:rFonts w:ascii="Garamond" w:hAnsi="Garamond" w:cs="Sylfaen"/>
        </w:rPr>
        <w:t xml:space="preserve">inflation </w:t>
      </w:r>
      <w:r w:rsidR="00CD3666" w:rsidRPr="000F21D1">
        <w:rPr>
          <w:rFonts w:ascii="Garamond" w:hAnsi="Garamond" w:cs="Sylfaen"/>
        </w:rPr>
        <w:t xml:space="preserve">environment </w:t>
      </w:r>
      <w:r w:rsidR="00EE150F" w:rsidRPr="000F21D1">
        <w:rPr>
          <w:rFonts w:ascii="Garamond" w:hAnsi="Garamond" w:cs="Sylfaen"/>
        </w:rPr>
        <w:t xml:space="preserve">was </w:t>
      </w:r>
      <w:r w:rsidR="00CD3666" w:rsidRPr="000F21D1">
        <w:rPr>
          <w:rFonts w:ascii="Garamond" w:hAnsi="Garamond" w:cs="Sylfaen"/>
        </w:rPr>
        <w:t xml:space="preserve">to be </w:t>
      </w:r>
      <w:r w:rsidR="00EE150F" w:rsidRPr="000F21D1">
        <w:rPr>
          <w:rFonts w:ascii="Garamond" w:hAnsi="Garamond" w:cs="Sylfaen"/>
        </w:rPr>
        <w:t xml:space="preserve">partly offset </w:t>
      </w:r>
      <w:r w:rsidR="00CD3666" w:rsidRPr="000F21D1">
        <w:rPr>
          <w:rFonts w:ascii="Garamond" w:hAnsi="Garamond" w:cs="Sylfaen"/>
        </w:rPr>
        <w:t>by monetary conditions which the CBA had loosened back in th</w:t>
      </w:r>
      <w:r w:rsidR="00EE150F" w:rsidRPr="000F21D1">
        <w:rPr>
          <w:rFonts w:ascii="Garamond" w:hAnsi="Garamond" w:cs="Sylfaen"/>
        </w:rPr>
        <w:t xml:space="preserve">e first half of </w:t>
      </w:r>
      <w:r w:rsidR="00CD3666" w:rsidRPr="000F21D1">
        <w:rPr>
          <w:rFonts w:ascii="Garamond" w:hAnsi="Garamond" w:cs="Sylfaen"/>
        </w:rPr>
        <w:t xml:space="preserve">2015 and </w:t>
      </w:r>
      <w:r w:rsidR="00EE150F" w:rsidRPr="000F21D1">
        <w:rPr>
          <w:rFonts w:ascii="Garamond" w:hAnsi="Garamond" w:cs="Sylfaen"/>
        </w:rPr>
        <w:t xml:space="preserve">the lagged </w:t>
      </w:r>
      <w:r w:rsidR="00CD3666" w:rsidRPr="000F21D1">
        <w:rPr>
          <w:rFonts w:ascii="Garamond" w:hAnsi="Garamond" w:cs="Sylfaen"/>
        </w:rPr>
        <w:t>impact</w:t>
      </w:r>
      <w:r w:rsidR="00EE150F" w:rsidRPr="000F21D1">
        <w:rPr>
          <w:rFonts w:ascii="Garamond" w:hAnsi="Garamond" w:cs="Sylfaen"/>
        </w:rPr>
        <w:t xml:space="preserve"> of </w:t>
      </w:r>
      <w:r w:rsidR="00CD3666" w:rsidRPr="000F21D1">
        <w:rPr>
          <w:rFonts w:ascii="Garamond" w:hAnsi="Garamond" w:cs="Sylfaen"/>
        </w:rPr>
        <w:t xml:space="preserve">more expansionary </w:t>
      </w:r>
      <w:r w:rsidR="00EE150F" w:rsidRPr="000F21D1">
        <w:rPr>
          <w:rFonts w:ascii="Garamond" w:hAnsi="Garamond" w:cs="Sylfaen"/>
        </w:rPr>
        <w:t>fiscal policy.</w:t>
      </w:r>
      <w:r w:rsidR="00CD3666" w:rsidRPr="000F21D1">
        <w:rPr>
          <w:rFonts w:ascii="Garamond" w:hAnsi="Garamond" w:cs="Sylfaen"/>
        </w:rPr>
        <w:t xml:space="preserve"> In this situation, </w:t>
      </w:r>
      <w:r w:rsidR="00D53CE7" w:rsidRPr="000F21D1">
        <w:rPr>
          <w:rFonts w:ascii="Garamond" w:hAnsi="Garamond" w:cs="Sylfaen"/>
        </w:rPr>
        <w:t xml:space="preserve">the CBA considered </w:t>
      </w:r>
      <w:r w:rsidR="00D53CE7" w:rsidRPr="000F21D1">
        <w:rPr>
          <w:rFonts w:ascii="Garamond" w:hAnsi="Garamond" w:cs="Sylfaen"/>
          <w:b/>
        </w:rPr>
        <w:t xml:space="preserve">further </w:t>
      </w:r>
      <w:r w:rsidR="00CD3666" w:rsidRPr="000F21D1">
        <w:rPr>
          <w:rFonts w:ascii="Garamond" w:hAnsi="Garamond" w:cs="Sylfaen"/>
          <w:b/>
        </w:rPr>
        <w:t>easing of monetary conditions</w:t>
      </w:r>
      <w:r w:rsidR="00D53CE7" w:rsidRPr="000F21D1">
        <w:rPr>
          <w:rFonts w:ascii="Garamond" w:hAnsi="Garamond" w:cs="Sylfaen"/>
        </w:rPr>
        <w:t xml:space="preserve"> in the latter half of 2015</w:t>
      </w:r>
      <w:r w:rsidR="00CD3666" w:rsidRPr="000F21D1">
        <w:rPr>
          <w:rFonts w:ascii="Garamond" w:hAnsi="Garamond" w:cs="Sylfaen"/>
        </w:rPr>
        <w:t>,</w:t>
      </w:r>
      <w:r w:rsidR="00D53CE7" w:rsidRPr="000F21D1">
        <w:rPr>
          <w:rFonts w:ascii="Garamond" w:hAnsi="Garamond" w:cs="Sylfaen"/>
        </w:rPr>
        <w:t xml:space="preserve"> which would help the 12-month inflation rate stabilize around the target in the forecast horizon.</w:t>
      </w:r>
    </w:p>
    <w:p w14:paraId="18E0D54D" w14:textId="77777777" w:rsidR="00CD3666" w:rsidRPr="000F21D1" w:rsidRDefault="00CD3666" w:rsidP="00FF3CD9">
      <w:pPr>
        <w:spacing w:line="360" w:lineRule="auto"/>
        <w:jc w:val="both"/>
        <w:rPr>
          <w:rFonts w:ascii="Garamond" w:hAnsi="Garamond" w:cs="Sylfaen"/>
        </w:rPr>
      </w:pPr>
    </w:p>
    <w:p w14:paraId="0463B515" w14:textId="77777777" w:rsidR="000D1448" w:rsidRPr="000F21D1" w:rsidRDefault="00B91BD5" w:rsidP="00FF3CD9">
      <w:pPr>
        <w:spacing w:line="360" w:lineRule="auto"/>
        <w:jc w:val="both"/>
        <w:rPr>
          <w:rFonts w:ascii="Garamond" w:hAnsi="Garamond"/>
        </w:rPr>
      </w:pPr>
      <w:r w:rsidRPr="000F21D1">
        <w:rPr>
          <w:rFonts w:ascii="Garamond" w:hAnsi="Garamond"/>
        </w:rPr>
        <w:t xml:space="preserve">Actual developments drove the </w:t>
      </w:r>
      <w:r w:rsidR="000D1448" w:rsidRPr="000F21D1">
        <w:rPr>
          <w:rFonts w:ascii="Garamond" w:hAnsi="Garamond"/>
        </w:rPr>
        <w:t xml:space="preserve">inflation environment </w:t>
      </w:r>
      <w:r w:rsidRPr="000F21D1">
        <w:rPr>
          <w:rFonts w:ascii="Garamond" w:hAnsi="Garamond"/>
        </w:rPr>
        <w:t xml:space="preserve">to further soften </w:t>
      </w:r>
      <w:r w:rsidR="00EF2B48" w:rsidRPr="000F21D1">
        <w:rPr>
          <w:rFonts w:ascii="Garamond" w:hAnsi="Garamond"/>
        </w:rPr>
        <w:t>in</w:t>
      </w:r>
      <w:r w:rsidR="00284EE4" w:rsidRPr="000F21D1">
        <w:rPr>
          <w:rFonts w:ascii="Garamond" w:hAnsi="Garamond"/>
        </w:rPr>
        <w:t xml:space="preserve"> the</w:t>
      </w:r>
      <w:r w:rsidRPr="000F21D1">
        <w:rPr>
          <w:rFonts w:ascii="Garamond" w:hAnsi="Garamond"/>
        </w:rPr>
        <w:t xml:space="preserve"> second half of 2015</w:t>
      </w:r>
      <w:r w:rsidR="00EF2B48" w:rsidRPr="000F21D1">
        <w:rPr>
          <w:rFonts w:ascii="Garamond" w:hAnsi="Garamond"/>
        </w:rPr>
        <w:t xml:space="preserve">. Moreover, a 1.9% price deflation recorded in the third quarter of 2015 was determined by </w:t>
      </w:r>
      <w:r w:rsidR="00284EE4" w:rsidRPr="000F21D1">
        <w:rPr>
          <w:rFonts w:ascii="Garamond" w:hAnsi="Garamond"/>
        </w:rPr>
        <w:t>relatively high growth rates in agriculture (</w:t>
      </w:r>
      <w:r w:rsidR="00EF2B48" w:rsidRPr="000F21D1">
        <w:rPr>
          <w:rFonts w:ascii="Garamond" w:hAnsi="Garamond"/>
        </w:rPr>
        <w:t xml:space="preserve">food product </w:t>
      </w:r>
      <w:r w:rsidR="00284EE4" w:rsidRPr="000F21D1">
        <w:rPr>
          <w:rFonts w:ascii="Garamond" w:hAnsi="Garamond"/>
        </w:rPr>
        <w:t>contribution to headline inflation</w:t>
      </w:r>
      <w:r w:rsidR="00EF2B48" w:rsidRPr="000F21D1">
        <w:rPr>
          <w:rFonts w:ascii="Garamond" w:hAnsi="Garamond"/>
        </w:rPr>
        <w:t>:</w:t>
      </w:r>
      <w:r w:rsidR="00284EE4" w:rsidRPr="000F21D1">
        <w:rPr>
          <w:rFonts w:ascii="Garamond" w:hAnsi="Garamond"/>
        </w:rPr>
        <w:t xml:space="preserve"> -1.9%), </w:t>
      </w:r>
      <w:r w:rsidR="00EF2B48" w:rsidRPr="000F21D1">
        <w:rPr>
          <w:rFonts w:ascii="Garamond" w:hAnsi="Garamond"/>
        </w:rPr>
        <w:t>in which ca</w:t>
      </w:r>
      <w:r w:rsidR="00284EE4" w:rsidRPr="000F21D1">
        <w:rPr>
          <w:rFonts w:ascii="Garamond" w:hAnsi="Garamond"/>
        </w:rPr>
        <w:t>s</w:t>
      </w:r>
      <w:r w:rsidR="00EF2B48" w:rsidRPr="000F21D1">
        <w:rPr>
          <w:rFonts w:ascii="Garamond" w:hAnsi="Garamond"/>
        </w:rPr>
        <w:t>e</w:t>
      </w:r>
      <w:r w:rsidR="00284EE4" w:rsidRPr="000F21D1">
        <w:rPr>
          <w:rFonts w:ascii="Garamond" w:hAnsi="Garamond"/>
        </w:rPr>
        <w:t xml:space="preserve"> the </w:t>
      </w:r>
      <w:r w:rsidR="00284EE4" w:rsidRPr="000F21D1">
        <w:rPr>
          <w:rFonts w:ascii="Garamond" w:hAnsi="Garamond"/>
          <w:b/>
        </w:rPr>
        <w:t>12-month inflation</w:t>
      </w:r>
      <w:r w:rsidR="00EF2B48" w:rsidRPr="000F21D1">
        <w:rPr>
          <w:rFonts w:ascii="Garamond" w:hAnsi="Garamond"/>
          <w:b/>
        </w:rPr>
        <w:t xml:space="preserve"> rate</w:t>
      </w:r>
      <w:r w:rsidR="00284EE4" w:rsidRPr="000F21D1">
        <w:rPr>
          <w:rFonts w:ascii="Garamond" w:hAnsi="Garamond"/>
        </w:rPr>
        <w:t xml:space="preserve"> </w:t>
      </w:r>
      <w:r w:rsidR="00EF2B48" w:rsidRPr="000F21D1">
        <w:rPr>
          <w:rFonts w:ascii="Garamond" w:hAnsi="Garamond"/>
        </w:rPr>
        <w:t xml:space="preserve">had slowed down to </w:t>
      </w:r>
      <w:r w:rsidR="00284EE4" w:rsidRPr="000F21D1">
        <w:rPr>
          <w:rFonts w:ascii="Garamond" w:hAnsi="Garamond"/>
          <w:b/>
        </w:rPr>
        <w:t>3.3%</w:t>
      </w:r>
      <w:r w:rsidR="00284EE4" w:rsidRPr="000F21D1">
        <w:rPr>
          <w:rFonts w:ascii="Garamond" w:hAnsi="Garamond"/>
        </w:rPr>
        <w:t xml:space="preserve"> </w:t>
      </w:r>
      <w:r w:rsidR="00EF2B48" w:rsidRPr="000F21D1">
        <w:rPr>
          <w:rFonts w:ascii="Garamond" w:hAnsi="Garamond"/>
        </w:rPr>
        <w:t xml:space="preserve">at the end of September from 5.5% reported in late June. </w:t>
      </w:r>
      <w:r w:rsidR="00297F63" w:rsidRPr="000F21D1">
        <w:rPr>
          <w:rFonts w:ascii="Garamond" w:hAnsi="Garamond"/>
        </w:rPr>
        <w:t>Notwithstanding a</w:t>
      </w:r>
      <w:r w:rsidR="00907B56" w:rsidRPr="000F21D1">
        <w:rPr>
          <w:rFonts w:ascii="Garamond" w:hAnsi="Garamond"/>
        </w:rPr>
        <w:t xml:space="preserve"> </w:t>
      </w:r>
      <w:r w:rsidR="000D1448" w:rsidRPr="000F21D1">
        <w:rPr>
          <w:rFonts w:ascii="Garamond" w:hAnsi="Garamond"/>
        </w:rPr>
        <w:t xml:space="preserve">low inflation </w:t>
      </w:r>
      <w:r w:rsidR="00907B56" w:rsidRPr="000F21D1">
        <w:rPr>
          <w:rFonts w:ascii="Garamond" w:hAnsi="Garamond"/>
        </w:rPr>
        <w:t xml:space="preserve">environment </w:t>
      </w:r>
      <w:r w:rsidR="000D1448" w:rsidRPr="000F21D1">
        <w:rPr>
          <w:rFonts w:ascii="Garamond" w:hAnsi="Garamond"/>
        </w:rPr>
        <w:t xml:space="preserve">and </w:t>
      </w:r>
      <w:r w:rsidR="00DC74DD" w:rsidRPr="000F21D1">
        <w:rPr>
          <w:rFonts w:ascii="Garamond" w:hAnsi="Garamond"/>
        </w:rPr>
        <w:t>non-inflationary effects</w:t>
      </w:r>
      <w:r w:rsidR="00907B56" w:rsidRPr="000F21D1">
        <w:rPr>
          <w:rFonts w:ascii="Garamond" w:hAnsi="Garamond"/>
        </w:rPr>
        <w:t xml:space="preserve"> </w:t>
      </w:r>
      <w:r w:rsidR="00297F63" w:rsidRPr="000F21D1">
        <w:rPr>
          <w:rFonts w:ascii="Garamond" w:hAnsi="Garamond"/>
        </w:rPr>
        <w:t xml:space="preserve">anticipated </w:t>
      </w:r>
      <w:r w:rsidR="00907B56" w:rsidRPr="000F21D1">
        <w:rPr>
          <w:rFonts w:ascii="Garamond" w:hAnsi="Garamond"/>
        </w:rPr>
        <w:t>from</w:t>
      </w:r>
      <w:r w:rsidR="002A11DD" w:rsidRPr="000F21D1">
        <w:rPr>
          <w:rFonts w:ascii="Garamond" w:hAnsi="Garamond"/>
          <w:lang w:val="hy-AM"/>
        </w:rPr>
        <w:t xml:space="preserve"> </w:t>
      </w:r>
      <w:r w:rsidR="00297F63" w:rsidRPr="000F21D1">
        <w:rPr>
          <w:rFonts w:ascii="Garamond" w:hAnsi="Garamond"/>
        </w:rPr>
        <w:t xml:space="preserve">a sluggish external and domestic </w:t>
      </w:r>
      <w:r w:rsidR="00DC74DD" w:rsidRPr="000F21D1">
        <w:rPr>
          <w:rFonts w:ascii="Garamond" w:hAnsi="Garamond"/>
        </w:rPr>
        <w:t>demand</w:t>
      </w:r>
      <w:r w:rsidR="000D1448" w:rsidRPr="000F21D1">
        <w:rPr>
          <w:rFonts w:ascii="Garamond" w:hAnsi="Garamond"/>
        </w:rPr>
        <w:t xml:space="preserve">, </w:t>
      </w:r>
      <w:r w:rsidR="00297F63" w:rsidRPr="000F21D1">
        <w:rPr>
          <w:rFonts w:ascii="Garamond" w:hAnsi="Garamond"/>
        </w:rPr>
        <w:t>the</w:t>
      </w:r>
      <w:r w:rsidR="000D1448" w:rsidRPr="000F21D1">
        <w:rPr>
          <w:rFonts w:ascii="Garamond" w:hAnsi="Garamond"/>
        </w:rPr>
        <w:t xml:space="preserve"> inflation expectations</w:t>
      </w:r>
      <w:r w:rsidR="00297F63" w:rsidRPr="000F21D1">
        <w:rPr>
          <w:rFonts w:ascii="Garamond" w:hAnsi="Garamond"/>
        </w:rPr>
        <w:t xml:space="preserve"> were estimated to be high in the third quarter</w:t>
      </w:r>
      <w:r w:rsidR="000D1448" w:rsidRPr="000F21D1">
        <w:rPr>
          <w:rFonts w:ascii="Garamond" w:hAnsi="Garamond"/>
        </w:rPr>
        <w:t xml:space="preserve"> (</w:t>
      </w:r>
      <w:r w:rsidR="00907B56" w:rsidRPr="000F21D1">
        <w:rPr>
          <w:rFonts w:ascii="Garamond" w:hAnsi="Garamond"/>
        </w:rPr>
        <w:t xml:space="preserve">the </w:t>
      </w:r>
      <w:r w:rsidR="000D1448" w:rsidRPr="000F21D1">
        <w:rPr>
          <w:rFonts w:ascii="Garamond" w:hAnsi="Garamond"/>
        </w:rPr>
        <w:t xml:space="preserve">12-month </w:t>
      </w:r>
      <w:r w:rsidR="00907B56" w:rsidRPr="000F21D1">
        <w:rPr>
          <w:rFonts w:ascii="Garamond" w:hAnsi="Garamond"/>
        </w:rPr>
        <w:t xml:space="preserve">core </w:t>
      </w:r>
      <w:r w:rsidR="000D1448" w:rsidRPr="000F21D1">
        <w:rPr>
          <w:rFonts w:ascii="Garamond" w:hAnsi="Garamond"/>
        </w:rPr>
        <w:t xml:space="preserve">inflation </w:t>
      </w:r>
      <w:r w:rsidR="00907B56" w:rsidRPr="000F21D1">
        <w:rPr>
          <w:rFonts w:ascii="Garamond" w:hAnsi="Garamond"/>
        </w:rPr>
        <w:t xml:space="preserve">rate was </w:t>
      </w:r>
      <w:r w:rsidR="000D1448" w:rsidRPr="000F21D1">
        <w:rPr>
          <w:rFonts w:ascii="Garamond" w:hAnsi="Garamond"/>
        </w:rPr>
        <w:t xml:space="preserve">4.4%), </w:t>
      </w:r>
      <w:r w:rsidR="00297F63" w:rsidRPr="000F21D1">
        <w:rPr>
          <w:rFonts w:ascii="Garamond" w:hAnsi="Garamond"/>
        </w:rPr>
        <w:t xml:space="preserve">which is why </w:t>
      </w:r>
      <w:r w:rsidR="00907B56" w:rsidRPr="000F21D1">
        <w:rPr>
          <w:rFonts w:ascii="Garamond" w:hAnsi="Garamond"/>
        </w:rPr>
        <w:t xml:space="preserve">the </w:t>
      </w:r>
      <w:r w:rsidR="00907B56" w:rsidRPr="000F21D1">
        <w:rPr>
          <w:rFonts w:ascii="Garamond" w:hAnsi="Garamond"/>
          <w:b/>
        </w:rPr>
        <w:t xml:space="preserve">CBA </w:t>
      </w:r>
      <w:r w:rsidR="00297F63" w:rsidRPr="000F21D1">
        <w:rPr>
          <w:rFonts w:ascii="Garamond" w:hAnsi="Garamond"/>
          <w:b/>
        </w:rPr>
        <w:t xml:space="preserve">lowered </w:t>
      </w:r>
      <w:r w:rsidR="000D1448" w:rsidRPr="000F21D1">
        <w:rPr>
          <w:rFonts w:ascii="Garamond" w:hAnsi="Garamond"/>
          <w:b/>
        </w:rPr>
        <w:t xml:space="preserve">the refinancing rate </w:t>
      </w:r>
      <w:r w:rsidR="00297F63" w:rsidRPr="000F21D1">
        <w:rPr>
          <w:rFonts w:ascii="Garamond" w:hAnsi="Garamond"/>
          <w:b/>
        </w:rPr>
        <w:t>during the quarter</w:t>
      </w:r>
      <w:r w:rsidR="00B26CF3">
        <w:rPr>
          <w:rFonts w:ascii="Garamond" w:hAnsi="Garamond"/>
          <w:b/>
        </w:rPr>
        <w:t xml:space="preserve"> only</w:t>
      </w:r>
      <w:r w:rsidR="00297F63" w:rsidRPr="000F21D1">
        <w:rPr>
          <w:rFonts w:ascii="Garamond" w:hAnsi="Garamond"/>
          <w:b/>
        </w:rPr>
        <w:t xml:space="preserve"> </w:t>
      </w:r>
      <w:r w:rsidR="00907B56" w:rsidRPr="000F21D1">
        <w:rPr>
          <w:rFonts w:ascii="Garamond" w:hAnsi="Garamond"/>
          <w:b/>
        </w:rPr>
        <w:t>by</w:t>
      </w:r>
      <w:r w:rsidR="000D1448" w:rsidRPr="000F21D1">
        <w:rPr>
          <w:rFonts w:ascii="Garamond" w:hAnsi="Garamond"/>
          <w:b/>
        </w:rPr>
        <w:t xml:space="preserve"> 0.25 p</w:t>
      </w:r>
      <w:r w:rsidR="00907B56" w:rsidRPr="000F21D1">
        <w:rPr>
          <w:rFonts w:ascii="Garamond" w:hAnsi="Garamond"/>
          <w:b/>
        </w:rPr>
        <w:t xml:space="preserve">p </w:t>
      </w:r>
      <w:r w:rsidR="000D1448" w:rsidRPr="000F21D1">
        <w:rPr>
          <w:rFonts w:ascii="Garamond" w:hAnsi="Garamond"/>
          <w:b/>
        </w:rPr>
        <w:t>to 10.25%</w:t>
      </w:r>
      <w:r w:rsidR="000D1448" w:rsidRPr="000F21D1">
        <w:rPr>
          <w:rFonts w:ascii="Garamond" w:hAnsi="Garamond"/>
        </w:rPr>
        <w:t>.</w:t>
      </w:r>
    </w:p>
    <w:p w14:paraId="00268C66" w14:textId="77777777" w:rsidR="00186A58" w:rsidRPr="000F21D1" w:rsidRDefault="00186A58" w:rsidP="00FF3CD9">
      <w:pPr>
        <w:spacing w:line="360" w:lineRule="auto"/>
        <w:jc w:val="both"/>
        <w:rPr>
          <w:rFonts w:ascii="Garamond" w:hAnsi="Garamond"/>
        </w:rPr>
      </w:pPr>
    </w:p>
    <w:p w14:paraId="61E4C725" w14:textId="77777777" w:rsidR="00186A58" w:rsidRPr="000F21D1" w:rsidRDefault="00186A58" w:rsidP="00FF3CD9">
      <w:pPr>
        <w:spacing w:line="360" w:lineRule="auto"/>
        <w:jc w:val="both"/>
        <w:rPr>
          <w:rFonts w:ascii="Garamond" w:hAnsi="Garamond"/>
        </w:rPr>
      </w:pPr>
      <w:r w:rsidRPr="000F21D1">
        <w:rPr>
          <w:rFonts w:ascii="Garamond" w:hAnsi="Garamond"/>
          <w:b/>
        </w:rPr>
        <w:t>In the fourth quarter of 2015</w:t>
      </w:r>
      <w:r w:rsidR="00B91BD5" w:rsidRPr="000F21D1">
        <w:rPr>
          <w:rFonts w:ascii="Garamond" w:hAnsi="Garamond"/>
          <w:b/>
        </w:rPr>
        <w:t xml:space="preserve"> </w:t>
      </w:r>
      <w:r w:rsidR="005E2744" w:rsidRPr="000F21D1">
        <w:rPr>
          <w:rFonts w:ascii="Garamond" w:hAnsi="Garamond"/>
        </w:rPr>
        <w:t xml:space="preserve">high inflation expectations </w:t>
      </w:r>
      <w:r w:rsidR="00E60CAE" w:rsidRPr="000F21D1">
        <w:rPr>
          <w:rFonts w:ascii="Garamond" w:hAnsi="Garamond"/>
        </w:rPr>
        <w:t xml:space="preserve">subsided </w:t>
      </w:r>
      <w:r w:rsidR="005E2744" w:rsidRPr="000F21D1">
        <w:rPr>
          <w:rFonts w:ascii="Garamond" w:hAnsi="Garamond"/>
        </w:rPr>
        <w:t xml:space="preserve">under </w:t>
      </w:r>
      <w:r w:rsidR="0044404F" w:rsidRPr="000F21D1">
        <w:rPr>
          <w:rFonts w:ascii="Garamond" w:hAnsi="Garamond"/>
        </w:rPr>
        <w:t>influence</w:t>
      </w:r>
      <w:r w:rsidR="005E2744" w:rsidRPr="000F21D1">
        <w:rPr>
          <w:rFonts w:ascii="Garamond" w:hAnsi="Garamond"/>
        </w:rPr>
        <w:t xml:space="preserve"> of</w:t>
      </w:r>
      <w:r w:rsidRPr="000F21D1">
        <w:rPr>
          <w:rFonts w:ascii="Garamond" w:hAnsi="Garamond"/>
        </w:rPr>
        <w:t xml:space="preserve"> </w:t>
      </w:r>
      <w:r w:rsidR="005E2744" w:rsidRPr="000F21D1">
        <w:rPr>
          <w:rFonts w:ascii="Garamond" w:hAnsi="Garamond"/>
        </w:rPr>
        <w:t xml:space="preserve">falling </w:t>
      </w:r>
      <w:r w:rsidRPr="000F21D1">
        <w:rPr>
          <w:rFonts w:ascii="Garamond" w:hAnsi="Garamond"/>
        </w:rPr>
        <w:t>prices</w:t>
      </w:r>
      <w:r w:rsidR="0044404F" w:rsidRPr="000F21D1">
        <w:rPr>
          <w:rFonts w:ascii="Garamond" w:hAnsi="Garamond"/>
        </w:rPr>
        <w:t xml:space="preserve"> in the external sector, which was in part reflected in domestic prices</w:t>
      </w:r>
      <w:r w:rsidR="005E2744" w:rsidRPr="000F21D1">
        <w:rPr>
          <w:rFonts w:ascii="Garamond" w:hAnsi="Garamond"/>
        </w:rPr>
        <w:t xml:space="preserve"> </w:t>
      </w:r>
      <w:r w:rsidR="0044404F" w:rsidRPr="000F21D1">
        <w:rPr>
          <w:rFonts w:ascii="Garamond" w:hAnsi="Garamond"/>
        </w:rPr>
        <w:t xml:space="preserve">and the factor of large supply in </w:t>
      </w:r>
      <w:r w:rsidRPr="000F21D1">
        <w:rPr>
          <w:rFonts w:ascii="Garamond" w:hAnsi="Garamond"/>
        </w:rPr>
        <w:t>agriculture</w:t>
      </w:r>
      <w:r w:rsidR="007E71BE" w:rsidRPr="000F21D1">
        <w:rPr>
          <w:rFonts w:ascii="Garamond" w:hAnsi="Garamond"/>
        </w:rPr>
        <w:t>.</w:t>
      </w:r>
      <w:r w:rsidR="0044404F" w:rsidRPr="000F21D1">
        <w:rPr>
          <w:rFonts w:ascii="Garamond" w:hAnsi="Garamond"/>
        </w:rPr>
        <w:t xml:space="preserve"> </w:t>
      </w:r>
      <w:r w:rsidRPr="000F21D1">
        <w:rPr>
          <w:rFonts w:ascii="Garamond" w:hAnsi="Garamond"/>
        </w:rPr>
        <w:t xml:space="preserve">As a result, </w:t>
      </w:r>
      <w:r w:rsidR="0052421F" w:rsidRPr="000F21D1">
        <w:rPr>
          <w:rFonts w:ascii="Garamond" w:hAnsi="Garamond"/>
        </w:rPr>
        <w:t xml:space="preserve">the fourth quarter saw only </w:t>
      </w:r>
      <w:r w:rsidRPr="000F21D1">
        <w:rPr>
          <w:rFonts w:ascii="Garamond" w:hAnsi="Garamond"/>
        </w:rPr>
        <w:t xml:space="preserve">1.9% </w:t>
      </w:r>
      <w:r w:rsidR="0052421F" w:rsidRPr="000F21D1">
        <w:rPr>
          <w:rFonts w:ascii="Garamond" w:hAnsi="Garamond"/>
        </w:rPr>
        <w:t xml:space="preserve">of inflation compared to </w:t>
      </w:r>
      <w:r w:rsidRPr="000F21D1">
        <w:rPr>
          <w:rFonts w:ascii="Garamond" w:hAnsi="Garamond"/>
        </w:rPr>
        <w:t xml:space="preserve">5.4% </w:t>
      </w:r>
      <w:r w:rsidR="0052421F" w:rsidRPr="000F21D1">
        <w:rPr>
          <w:rFonts w:ascii="Garamond" w:hAnsi="Garamond"/>
        </w:rPr>
        <w:t xml:space="preserve">reported </w:t>
      </w:r>
      <w:r w:rsidRPr="000F21D1">
        <w:rPr>
          <w:rFonts w:ascii="Garamond" w:hAnsi="Garamond"/>
        </w:rPr>
        <w:t xml:space="preserve">in </w:t>
      </w:r>
      <w:r w:rsidRPr="000F21D1">
        <w:rPr>
          <w:rFonts w:ascii="Garamond" w:hAnsi="Garamond"/>
        </w:rPr>
        <w:lastRenderedPageBreak/>
        <w:t xml:space="preserve">the same </w:t>
      </w:r>
      <w:r w:rsidR="0052421F" w:rsidRPr="000F21D1">
        <w:rPr>
          <w:rFonts w:ascii="Garamond" w:hAnsi="Garamond"/>
        </w:rPr>
        <w:t xml:space="preserve">reference </w:t>
      </w:r>
      <w:r w:rsidRPr="000F21D1">
        <w:rPr>
          <w:rFonts w:ascii="Garamond" w:hAnsi="Garamond"/>
        </w:rPr>
        <w:t xml:space="preserve">period last year, leaving the year </w:t>
      </w:r>
      <w:r w:rsidR="0052421F" w:rsidRPr="000F21D1">
        <w:rPr>
          <w:rFonts w:ascii="Garamond" w:hAnsi="Garamond"/>
        </w:rPr>
        <w:t xml:space="preserve">to </w:t>
      </w:r>
      <w:r w:rsidRPr="000F21D1">
        <w:rPr>
          <w:rFonts w:ascii="Garamond" w:hAnsi="Garamond"/>
        </w:rPr>
        <w:t>end</w:t>
      </w:r>
      <w:r w:rsidR="0052421F" w:rsidRPr="000F21D1">
        <w:rPr>
          <w:rFonts w:ascii="Garamond" w:hAnsi="Garamond"/>
        </w:rPr>
        <w:t xml:space="preserve"> with </w:t>
      </w:r>
      <w:r w:rsidRPr="000F21D1">
        <w:rPr>
          <w:rFonts w:ascii="Garamond" w:hAnsi="Garamond"/>
        </w:rPr>
        <w:t>the 12-month inflation rate</w:t>
      </w:r>
      <w:r w:rsidR="0052421F" w:rsidRPr="000F21D1">
        <w:rPr>
          <w:rFonts w:ascii="Garamond" w:hAnsi="Garamond"/>
        </w:rPr>
        <w:t xml:space="preserve"> of</w:t>
      </w:r>
      <w:r w:rsidR="005E2744" w:rsidRPr="000F21D1">
        <w:rPr>
          <w:rFonts w:ascii="Garamond" w:hAnsi="Garamond"/>
        </w:rPr>
        <w:t xml:space="preserve"> </w:t>
      </w:r>
      <w:r w:rsidRPr="000F21D1">
        <w:rPr>
          <w:rFonts w:ascii="Garamond" w:hAnsi="Garamond"/>
          <w:b/>
        </w:rPr>
        <w:t>-0.1%</w:t>
      </w:r>
      <w:r w:rsidRPr="000F21D1">
        <w:rPr>
          <w:rFonts w:ascii="Garamond" w:hAnsi="Garamond"/>
        </w:rPr>
        <w:t>.</w:t>
      </w:r>
    </w:p>
    <w:p w14:paraId="20B8C916" w14:textId="77777777" w:rsidR="00C27AF7" w:rsidRPr="000F21D1" w:rsidRDefault="00C27AF7" w:rsidP="00FF3CD9">
      <w:pPr>
        <w:spacing w:line="360" w:lineRule="auto"/>
        <w:jc w:val="both"/>
        <w:rPr>
          <w:rFonts w:ascii="Garamond" w:hAnsi="Garamond"/>
        </w:rPr>
      </w:pPr>
    </w:p>
    <w:p w14:paraId="6C070F68" w14:textId="77777777" w:rsidR="00C27AF7" w:rsidRPr="000F21D1" w:rsidRDefault="00C27AF7" w:rsidP="00FF3CD9">
      <w:pPr>
        <w:spacing w:line="360" w:lineRule="auto"/>
        <w:jc w:val="both"/>
        <w:rPr>
          <w:rFonts w:ascii="Garamond" w:hAnsi="Garamond"/>
        </w:rPr>
      </w:pPr>
      <w:r w:rsidRPr="000F21D1">
        <w:rPr>
          <w:rFonts w:ascii="Garamond" w:hAnsi="Garamond" w:cs="GHEA Grapalat"/>
        </w:rPr>
        <w:t xml:space="preserve">In view of </w:t>
      </w:r>
      <w:r w:rsidR="00E1750E" w:rsidRPr="000F21D1">
        <w:rPr>
          <w:rFonts w:ascii="Garamond" w:hAnsi="Garamond" w:cs="GHEA Grapalat"/>
        </w:rPr>
        <w:t xml:space="preserve">such inflation </w:t>
      </w:r>
      <w:r w:rsidRPr="000F21D1">
        <w:rPr>
          <w:rFonts w:ascii="Garamond" w:hAnsi="Garamond" w:cs="GHEA Grapalat"/>
        </w:rPr>
        <w:t xml:space="preserve">developments, the CBA notably eased monetary conditions in November-December by reducing the refinancing rate by 1.5 pp to </w:t>
      </w:r>
      <w:r w:rsidRPr="000F21D1">
        <w:rPr>
          <w:rFonts w:ascii="Garamond" w:hAnsi="Garamond" w:cs="GHEA Grapalat"/>
          <w:b/>
        </w:rPr>
        <w:t>8.75%</w:t>
      </w:r>
      <w:r w:rsidR="00E1750E" w:rsidRPr="000F21D1">
        <w:rPr>
          <w:rFonts w:ascii="Garamond" w:hAnsi="Garamond" w:cs="GHEA Grapalat"/>
          <w:b/>
        </w:rPr>
        <w:t xml:space="preserve"> </w:t>
      </w:r>
      <w:r w:rsidRPr="000F21D1">
        <w:rPr>
          <w:rFonts w:ascii="Garamond" w:hAnsi="Garamond" w:cs="GHEA Grapalat"/>
        </w:rPr>
        <w:t xml:space="preserve">at the end of December. It was estimated that </w:t>
      </w:r>
      <w:r w:rsidRPr="000F21D1">
        <w:rPr>
          <w:rFonts w:ascii="Garamond" w:hAnsi="Garamond"/>
        </w:rPr>
        <w:t xml:space="preserve">inflationary risks arisen from the previous year-end had been largely overcome, and </w:t>
      </w:r>
      <w:r w:rsidR="0066332E" w:rsidRPr="000F21D1">
        <w:rPr>
          <w:rFonts w:ascii="Garamond" w:hAnsi="Garamond"/>
        </w:rPr>
        <w:t xml:space="preserve">abrupt </w:t>
      </w:r>
      <w:r w:rsidRPr="000F21D1">
        <w:rPr>
          <w:rFonts w:ascii="Garamond" w:hAnsi="Garamond"/>
        </w:rPr>
        <w:t>easing of monetary conditions made it possible to return to the normal situation that existed before November of 2014.</w:t>
      </w:r>
    </w:p>
    <w:p w14:paraId="65E6EE62" w14:textId="77777777" w:rsidR="00DF25A9" w:rsidRPr="000F21D1" w:rsidRDefault="00DF25A9" w:rsidP="00FF3CD9">
      <w:pPr>
        <w:spacing w:line="360" w:lineRule="auto"/>
        <w:jc w:val="both"/>
        <w:rPr>
          <w:rFonts w:ascii="Garamond" w:hAnsi="Garamond"/>
        </w:rPr>
      </w:pPr>
    </w:p>
    <w:p w14:paraId="67540B21" w14:textId="77777777" w:rsidR="00DF25A9" w:rsidRPr="000F21D1" w:rsidRDefault="004F4927" w:rsidP="00FF3CD9">
      <w:pPr>
        <w:spacing w:line="360" w:lineRule="auto"/>
        <w:jc w:val="both"/>
        <w:rPr>
          <w:rFonts w:ascii="Garamond" w:hAnsi="Garamond"/>
        </w:rPr>
      </w:pPr>
      <w:r w:rsidRPr="000F21D1">
        <w:rPr>
          <w:rFonts w:ascii="Garamond" w:hAnsi="Garamond"/>
        </w:rPr>
        <w:t>T</w:t>
      </w:r>
      <w:r w:rsidR="00DF25A9" w:rsidRPr="000F21D1">
        <w:rPr>
          <w:rFonts w:ascii="Garamond" w:hAnsi="Garamond"/>
        </w:rPr>
        <w:t xml:space="preserve">rends in international commodity markets </w:t>
      </w:r>
      <w:r w:rsidR="002871A6" w:rsidRPr="000F21D1">
        <w:rPr>
          <w:rFonts w:ascii="Garamond" w:hAnsi="Garamond"/>
        </w:rPr>
        <w:t xml:space="preserve">were further </w:t>
      </w:r>
      <w:r w:rsidRPr="000F21D1">
        <w:rPr>
          <w:rFonts w:ascii="Garamond" w:hAnsi="Garamond"/>
        </w:rPr>
        <w:t xml:space="preserve">deflationary </w:t>
      </w:r>
      <w:r w:rsidR="00DF25A9" w:rsidRPr="000F21D1">
        <w:rPr>
          <w:rFonts w:ascii="Garamond" w:hAnsi="Garamond"/>
        </w:rPr>
        <w:t>and the</w:t>
      </w:r>
      <w:r w:rsidRPr="000F21D1">
        <w:rPr>
          <w:rFonts w:ascii="Garamond" w:hAnsi="Garamond"/>
        </w:rPr>
        <w:t xml:space="preserve">ir effect on domestic prices persisted </w:t>
      </w:r>
      <w:r w:rsidRPr="000F21D1">
        <w:rPr>
          <w:rFonts w:ascii="Garamond" w:hAnsi="Garamond"/>
          <w:b/>
        </w:rPr>
        <w:t>in the first quarter of 2016</w:t>
      </w:r>
      <w:r w:rsidRPr="000F21D1">
        <w:rPr>
          <w:rFonts w:ascii="Garamond" w:hAnsi="Garamond"/>
        </w:rPr>
        <w:t>. A</w:t>
      </w:r>
      <w:r w:rsidR="00DF25A9" w:rsidRPr="000F21D1">
        <w:rPr>
          <w:rFonts w:ascii="Garamond" w:hAnsi="Garamond"/>
        </w:rPr>
        <w:t xml:space="preserve">s well as </w:t>
      </w:r>
      <w:r w:rsidRPr="000F21D1">
        <w:rPr>
          <w:rFonts w:ascii="Garamond" w:hAnsi="Garamond"/>
        </w:rPr>
        <w:t xml:space="preserve">prices of </w:t>
      </w:r>
      <w:r w:rsidR="002871A6" w:rsidRPr="000F21D1">
        <w:rPr>
          <w:rFonts w:ascii="Garamond" w:hAnsi="Garamond"/>
        </w:rPr>
        <w:t xml:space="preserve">food products remained at lower levels in relation to the same reference period last year thanks to strong growth in agriculture sector. </w:t>
      </w:r>
      <w:r w:rsidR="00DF25A9" w:rsidRPr="000F21D1">
        <w:rPr>
          <w:rFonts w:ascii="Garamond" w:hAnsi="Garamond"/>
        </w:rPr>
        <w:t xml:space="preserve">As a result, </w:t>
      </w:r>
      <w:r w:rsidR="00284736" w:rsidRPr="000F21D1">
        <w:rPr>
          <w:rFonts w:ascii="Garamond" w:hAnsi="Garamond"/>
        </w:rPr>
        <w:t>inflation amounted to a mere 0.4% in the first quarter</w:t>
      </w:r>
      <w:r w:rsidR="002A11DD" w:rsidRPr="000F21D1">
        <w:rPr>
          <w:rFonts w:ascii="Garamond" w:hAnsi="Garamond"/>
          <w:lang w:val="hy-AM"/>
        </w:rPr>
        <w:t xml:space="preserve"> </w:t>
      </w:r>
      <w:r w:rsidR="00284736" w:rsidRPr="000F21D1">
        <w:rPr>
          <w:rFonts w:ascii="Garamond" w:hAnsi="Garamond"/>
        </w:rPr>
        <w:t xml:space="preserve">compared to around 3.0% inflation on average reported </w:t>
      </w:r>
      <w:r w:rsidR="00FB5853" w:rsidRPr="000F21D1">
        <w:rPr>
          <w:rFonts w:ascii="Garamond" w:hAnsi="Garamond"/>
        </w:rPr>
        <w:t xml:space="preserve">in the </w:t>
      </w:r>
      <w:r w:rsidR="00DF25A9" w:rsidRPr="000F21D1">
        <w:rPr>
          <w:rFonts w:ascii="Garamond" w:hAnsi="Garamond"/>
        </w:rPr>
        <w:t xml:space="preserve">last 5 </w:t>
      </w:r>
      <w:r w:rsidR="00EE7CBE" w:rsidRPr="000F21D1">
        <w:rPr>
          <w:rFonts w:ascii="Garamond" w:hAnsi="Garamond"/>
        </w:rPr>
        <w:t>years, in</w:t>
      </w:r>
      <w:r w:rsidR="00FB5853" w:rsidRPr="000F21D1">
        <w:rPr>
          <w:rFonts w:ascii="Garamond" w:hAnsi="Garamond"/>
        </w:rPr>
        <w:t xml:space="preserve"> which case </w:t>
      </w:r>
      <w:r w:rsidR="00DF25A9" w:rsidRPr="000F21D1">
        <w:rPr>
          <w:rFonts w:ascii="Garamond" w:hAnsi="Garamond"/>
        </w:rPr>
        <w:t xml:space="preserve">the 12-month inflation </w:t>
      </w:r>
      <w:r w:rsidR="00FB5853" w:rsidRPr="000F21D1">
        <w:rPr>
          <w:rFonts w:ascii="Garamond" w:hAnsi="Garamond"/>
        </w:rPr>
        <w:t xml:space="preserve">rate </w:t>
      </w:r>
      <w:r w:rsidR="00DF25A9" w:rsidRPr="000F21D1">
        <w:rPr>
          <w:rFonts w:ascii="Garamond" w:hAnsi="Garamond"/>
        </w:rPr>
        <w:t xml:space="preserve">continued </w:t>
      </w:r>
      <w:r w:rsidR="00FB5853" w:rsidRPr="000F21D1">
        <w:rPr>
          <w:rFonts w:ascii="Garamond" w:hAnsi="Garamond"/>
        </w:rPr>
        <w:t>reducing to</w:t>
      </w:r>
      <w:r w:rsidR="00DF25A9" w:rsidRPr="000F21D1">
        <w:rPr>
          <w:rFonts w:ascii="Garamond" w:hAnsi="Garamond"/>
        </w:rPr>
        <w:t xml:space="preserve"> -2.0% </w:t>
      </w:r>
      <w:r w:rsidR="00FB5853" w:rsidRPr="000F21D1">
        <w:rPr>
          <w:rFonts w:ascii="Garamond" w:hAnsi="Garamond"/>
        </w:rPr>
        <w:t xml:space="preserve">in </w:t>
      </w:r>
      <w:r w:rsidR="00305DB7" w:rsidRPr="000F21D1">
        <w:rPr>
          <w:rFonts w:ascii="Garamond" w:hAnsi="Garamond"/>
        </w:rPr>
        <w:t xml:space="preserve">late </w:t>
      </w:r>
      <w:r w:rsidR="00FB5853" w:rsidRPr="000F21D1">
        <w:rPr>
          <w:rFonts w:ascii="Garamond" w:hAnsi="Garamond"/>
        </w:rPr>
        <w:t xml:space="preserve">March </w:t>
      </w:r>
      <w:r w:rsidR="00DF25A9" w:rsidRPr="000F21D1">
        <w:rPr>
          <w:rFonts w:ascii="Garamond" w:hAnsi="Garamond"/>
        </w:rPr>
        <w:t xml:space="preserve">(contribution of </w:t>
      </w:r>
      <w:r w:rsidR="00FB5853" w:rsidRPr="000F21D1">
        <w:rPr>
          <w:rFonts w:ascii="Garamond" w:hAnsi="Garamond"/>
        </w:rPr>
        <w:t xml:space="preserve">decreased </w:t>
      </w:r>
      <w:r w:rsidR="00DF25A9" w:rsidRPr="000F21D1">
        <w:rPr>
          <w:rFonts w:ascii="Garamond" w:hAnsi="Garamond"/>
        </w:rPr>
        <w:t xml:space="preserve">food prices </w:t>
      </w:r>
      <w:r w:rsidR="00FB5853" w:rsidRPr="000F21D1">
        <w:rPr>
          <w:rFonts w:ascii="Garamond" w:hAnsi="Garamond"/>
        </w:rPr>
        <w:t>to headline de</w:t>
      </w:r>
      <w:r w:rsidR="00DF25A9" w:rsidRPr="000F21D1">
        <w:rPr>
          <w:rFonts w:ascii="Garamond" w:hAnsi="Garamond"/>
        </w:rPr>
        <w:t>flation</w:t>
      </w:r>
      <w:r w:rsidR="00FB5853" w:rsidRPr="000F21D1">
        <w:rPr>
          <w:rFonts w:ascii="Garamond" w:hAnsi="Garamond"/>
        </w:rPr>
        <w:t>:</w:t>
      </w:r>
      <w:r w:rsidR="00DF25A9" w:rsidRPr="000F21D1">
        <w:rPr>
          <w:rFonts w:ascii="Garamond" w:hAnsi="Garamond"/>
        </w:rPr>
        <w:t xml:space="preserve"> 2.3 p</w:t>
      </w:r>
      <w:r w:rsidR="00FB5853" w:rsidRPr="000F21D1">
        <w:rPr>
          <w:rFonts w:ascii="Garamond" w:hAnsi="Garamond"/>
        </w:rPr>
        <w:t>p</w:t>
      </w:r>
      <w:r w:rsidR="00DF25A9" w:rsidRPr="000F21D1">
        <w:rPr>
          <w:rFonts w:ascii="Garamond" w:hAnsi="Garamond"/>
        </w:rPr>
        <w:t>).</w:t>
      </w:r>
    </w:p>
    <w:p w14:paraId="1E3BCF8D" w14:textId="77777777" w:rsidR="005C4780" w:rsidRPr="000F21D1" w:rsidRDefault="005C4780" w:rsidP="00FF3CD9">
      <w:pPr>
        <w:spacing w:line="360" w:lineRule="auto"/>
        <w:jc w:val="both"/>
        <w:rPr>
          <w:rFonts w:ascii="Garamond" w:hAnsi="Garamond"/>
        </w:rPr>
      </w:pPr>
    </w:p>
    <w:p w14:paraId="77961089" w14:textId="77777777" w:rsidR="005C4780" w:rsidRPr="000F21D1" w:rsidRDefault="005C4780" w:rsidP="00FF3CD9">
      <w:pPr>
        <w:spacing w:line="360" w:lineRule="auto"/>
        <w:jc w:val="both"/>
        <w:rPr>
          <w:rFonts w:ascii="Garamond" w:hAnsi="Garamond"/>
        </w:rPr>
      </w:pPr>
      <w:r w:rsidRPr="000F21D1">
        <w:rPr>
          <w:rFonts w:ascii="Garamond" w:hAnsi="Garamond" w:cs="Sylfaen"/>
        </w:rPr>
        <w:t xml:space="preserve">In the </w:t>
      </w:r>
      <w:r w:rsidR="00A95A01" w:rsidRPr="000F21D1">
        <w:rPr>
          <w:rFonts w:ascii="Garamond" w:hAnsi="Garamond" w:cs="Sylfaen"/>
        </w:rPr>
        <w:t xml:space="preserve">second quarter of 2016 a </w:t>
      </w:r>
      <w:r w:rsidRPr="000F21D1">
        <w:rPr>
          <w:rFonts w:ascii="Garamond" w:hAnsi="Garamond" w:cs="Sylfaen"/>
        </w:rPr>
        <w:t xml:space="preserve">relative stability </w:t>
      </w:r>
      <w:r w:rsidR="00A95A01" w:rsidRPr="000F21D1">
        <w:rPr>
          <w:rFonts w:ascii="Garamond" w:hAnsi="Garamond" w:cs="Sylfaen"/>
        </w:rPr>
        <w:t xml:space="preserve">was achieved </w:t>
      </w:r>
      <w:r w:rsidRPr="000F21D1">
        <w:rPr>
          <w:rFonts w:ascii="Garamond" w:hAnsi="Garamond"/>
          <w:iCs/>
        </w:rPr>
        <w:t>in commodity markets of the world</w:t>
      </w:r>
      <w:r w:rsidR="00BD0E7F" w:rsidRPr="000F21D1">
        <w:rPr>
          <w:rFonts w:ascii="Garamond" w:hAnsi="Garamond"/>
          <w:iCs/>
        </w:rPr>
        <w:t>,</w:t>
      </w:r>
      <w:r w:rsidR="00A95A01" w:rsidRPr="000F21D1">
        <w:rPr>
          <w:rFonts w:ascii="Garamond" w:hAnsi="Garamond"/>
          <w:iCs/>
        </w:rPr>
        <w:t xml:space="preserve"> </w:t>
      </w:r>
      <w:r w:rsidR="00BD0E7F" w:rsidRPr="000F21D1">
        <w:rPr>
          <w:rFonts w:ascii="Garamond" w:hAnsi="Garamond"/>
          <w:iCs/>
        </w:rPr>
        <w:t xml:space="preserve">although </w:t>
      </w:r>
      <w:r w:rsidR="00A95A01" w:rsidRPr="000F21D1">
        <w:rPr>
          <w:rFonts w:ascii="Garamond" w:hAnsi="Garamond"/>
          <w:iCs/>
        </w:rPr>
        <w:t>deflation</w:t>
      </w:r>
      <w:r w:rsidR="00F005A8" w:rsidRPr="000F21D1">
        <w:rPr>
          <w:rFonts w:ascii="Garamond" w:hAnsi="Garamond"/>
          <w:iCs/>
        </w:rPr>
        <w:t>ary patterns we</w:t>
      </w:r>
      <w:r w:rsidR="00BD0E7F" w:rsidRPr="000F21D1">
        <w:rPr>
          <w:rFonts w:ascii="Garamond" w:hAnsi="Garamond"/>
          <w:iCs/>
        </w:rPr>
        <w:t xml:space="preserve">re still </w:t>
      </w:r>
      <w:r w:rsidRPr="000F21D1">
        <w:rPr>
          <w:rFonts w:ascii="Garamond" w:hAnsi="Garamond" w:cs="Sylfaen"/>
        </w:rPr>
        <w:t xml:space="preserve">observable in respect of </w:t>
      </w:r>
      <w:r w:rsidR="00BD0E7F" w:rsidRPr="000F21D1">
        <w:rPr>
          <w:rFonts w:ascii="Garamond" w:hAnsi="Garamond" w:cs="Sylfaen"/>
        </w:rPr>
        <w:t>certain p</w:t>
      </w:r>
      <w:r w:rsidRPr="000F21D1">
        <w:rPr>
          <w:rFonts w:ascii="Garamond" w:hAnsi="Garamond" w:cs="Sylfaen"/>
        </w:rPr>
        <w:t>roducts.</w:t>
      </w:r>
      <w:r w:rsidR="00D80B0A" w:rsidRPr="000F21D1">
        <w:rPr>
          <w:rFonts w:ascii="Garamond" w:hAnsi="Garamond" w:cs="Sylfaen"/>
        </w:rPr>
        <w:t xml:space="preserve"> Influenced by </w:t>
      </w:r>
      <w:r w:rsidR="00D80B0A" w:rsidRPr="000F21D1">
        <w:rPr>
          <w:rFonts w:ascii="Garamond" w:hAnsi="Garamond"/>
        </w:rPr>
        <w:t>expansionary policy implementation by the CBA and the Government, the domestic economy saw aggregate demand bouncing back at much faster rates,</w:t>
      </w:r>
      <w:r w:rsidR="00D80B0A" w:rsidRPr="000F21D1">
        <w:rPr>
          <w:rFonts w:ascii="Garamond" w:hAnsi="Garamond" w:cs="Sylfaen"/>
        </w:rPr>
        <w:t xml:space="preserve"> reflecting </w:t>
      </w:r>
      <w:r w:rsidR="00860D7D" w:rsidRPr="000F21D1">
        <w:rPr>
          <w:rFonts w:ascii="Garamond" w:hAnsi="Garamond" w:cs="Sylfaen"/>
        </w:rPr>
        <w:t>the import of goods and len</w:t>
      </w:r>
      <w:r w:rsidR="00D80B0A" w:rsidRPr="000F21D1">
        <w:rPr>
          <w:rFonts w:ascii="Garamond" w:hAnsi="Garamond" w:cs="Sylfaen"/>
        </w:rPr>
        <w:t xml:space="preserve">ding to the economy and </w:t>
      </w:r>
      <w:r w:rsidR="00860D7D" w:rsidRPr="000F21D1">
        <w:rPr>
          <w:rFonts w:ascii="Garamond" w:hAnsi="Garamond" w:cs="Sylfaen"/>
        </w:rPr>
        <w:t>the</w:t>
      </w:r>
      <w:r w:rsidR="00D80B0A" w:rsidRPr="000F21D1">
        <w:rPr>
          <w:rFonts w:ascii="Garamond" w:hAnsi="Garamond" w:cs="Sylfaen"/>
        </w:rPr>
        <w:t xml:space="preserve"> growth</w:t>
      </w:r>
      <w:r w:rsidR="00860D7D" w:rsidRPr="000F21D1">
        <w:rPr>
          <w:rFonts w:ascii="Garamond" w:hAnsi="Garamond" w:cs="Sylfaen"/>
        </w:rPr>
        <w:t xml:space="preserve"> reported </w:t>
      </w:r>
      <w:r w:rsidR="00D80B0A" w:rsidRPr="000F21D1">
        <w:rPr>
          <w:rFonts w:ascii="Garamond" w:hAnsi="Garamond" w:cs="Sylfaen"/>
        </w:rPr>
        <w:t>in the tradable sector of the economy.</w:t>
      </w:r>
    </w:p>
    <w:p w14:paraId="53056070" w14:textId="77777777" w:rsidR="00DF25A9" w:rsidRPr="000F21D1" w:rsidRDefault="00DF25A9" w:rsidP="00FF3CD9">
      <w:pPr>
        <w:spacing w:line="360" w:lineRule="auto"/>
        <w:jc w:val="both"/>
        <w:rPr>
          <w:rFonts w:ascii="Garamond" w:hAnsi="Garamond"/>
        </w:rPr>
      </w:pPr>
    </w:p>
    <w:p w14:paraId="10518E85" w14:textId="77777777" w:rsidR="00F12835" w:rsidRPr="000F21D1" w:rsidRDefault="00DF25A9" w:rsidP="00FF3CD9">
      <w:pPr>
        <w:spacing w:line="360" w:lineRule="auto"/>
        <w:jc w:val="both"/>
        <w:rPr>
          <w:rFonts w:ascii="Garamond" w:hAnsi="Garamond" w:cs="Sylfaen"/>
          <w:color w:val="000000"/>
        </w:rPr>
      </w:pPr>
      <w:r w:rsidRPr="000F21D1">
        <w:rPr>
          <w:rFonts w:ascii="Garamond" w:hAnsi="Garamond" w:cs="Sylfaen"/>
          <w:color w:val="000000"/>
        </w:rPr>
        <w:t>Despite a low inflation environment</w:t>
      </w:r>
      <w:r w:rsidR="002F44CD" w:rsidRPr="000F21D1">
        <w:rPr>
          <w:rFonts w:ascii="Garamond" w:hAnsi="Garamond" w:cs="Sylfaen"/>
          <w:color w:val="000000"/>
        </w:rPr>
        <w:t xml:space="preserve">, </w:t>
      </w:r>
      <w:r w:rsidRPr="000F21D1">
        <w:rPr>
          <w:rFonts w:ascii="Garamond" w:hAnsi="Garamond" w:cs="Sylfaen"/>
          <w:color w:val="000000"/>
        </w:rPr>
        <w:t>inflation expectations</w:t>
      </w:r>
      <w:r w:rsidR="002A11DD" w:rsidRPr="000F21D1">
        <w:rPr>
          <w:rFonts w:ascii="Garamond" w:hAnsi="Garamond" w:cs="Sylfaen"/>
          <w:color w:val="000000"/>
          <w:lang w:val="hy-AM"/>
        </w:rPr>
        <w:t xml:space="preserve"> </w:t>
      </w:r>
      <w:r w:rsidR="002F44CD" w:rsidRPr="000F21D1">
        <w:rPr>
          <w:rFonts w:ascii="Garamond" w:hAnsi="Garamond" w:cs="Sylfaen"/>
          <w:color w:val="000000"/>
        </w:rPr>
        <w:t xml:space="preserve">were estimated to be relatively high amid </w:t>
      </w:r>
      <w:r w:rsidRPr="000F21D1">
        <w:rPr>
          <w:rFonts w:ascii="Garamond" w:hAnsi="Garamond" w:cs="Sylfaen"/>
          <w:color w:val="000000"/>
        </w:rPr>
        <w:t xml:space="preserve">downside price rigidities and a likelihood of increasing dollarization, </w:t>
      </w:r>
      <w:r w:rsidR="008C7485" w:rsidRPr="000F21D1">
        <w:rPr>
          <w:rFonts w:ascii="Garamond" w:hAnsi="Garamond" w:cs="Sylfaen"/>
          <w:color w:val="000000"/>
        </w:rPr>
        <w:t xml:space="preserve">and </w:t>
      </w:r>
      <w:r w:rsidRPr="000F21D1">
        <w:rPr>
          <w:rFonts w:ascii="Garamond" w:hAnsi="Garamond" w:cs="Sylfaen"/>
          <w:color w:val="000000"/>
        </w:rPr>
        <w:t>an abrupt easing of monetary conditions at the end of the previous year</w:t>
      </w:r>
      <w:r w:rsidR="008C7485" w:rsidRPr="000F21D1">
        <w:rPr>
          <w:rFonts w:ascii="Garamond" w:hAnsi="Garamond" w:cs="Sylfaen"/>
          <w:color w:val="000000"/>
        </w:rPr>
        <w:t xml:space="preserve"> was </w:t>
      </w:r>
      <w:r w:rsidR="00AB58B1" w:rsidRPr="000F21D1">
        <w:rPr>
          <w:rFonts w:ascii="Garamond" w:hAnsi="Garamond" w:cs="Sylfaen"/>
          <w:color w:val="000000"/>
        </w:rPr>
        <w:t xml:space="preserve">quite enough </w:t>
      </w:r>
      <w:r w:rsidR="008C7485" w:rsidRPr="000F21D1">
        <w:rPr>
          <w:rFonts w:ascii="Garamond" w:hAnsi="Garamond" w:cs="Sylfaen"/>
          <w:color w:val="000000"/>
        </w:rPr>
        <w:t>to neutralize the deflationary pressures during the year.</w:t>
      </w:r>
      <w:r w:rsidR="002A11DD" w:rsidRPr="000F21D1">
        <w:rPr>
          <w:rFonts w:ascii="Garamond" w:hAnsi="Garamond" w:cs="Sylfaen"/>
          <w:color w:val="000000"/>
          <w:lang w:val="hy-AM"/>
        </w:rPr>
        <w:t xml:space="preserve"> </w:t>
      </w:r>
      <w:r w:rsidR="008C7485" w:rsidRPr="000F21D1">
        <w:rPr>
          <w:rFonts w:ascii="Garamond" w:hAnsi="Garamond" w:cs="Sylfaen"/>
          <w:color w:val="000000"/>
        </w:rPr>
        <w:t xml:space="preserve">In </w:t>
      </w:r>
      <w:r w:rsidRPr="000F21D1">
        <w:rPr>
          <w:rFonts w:ascii="Garamond" w:hAnsi="Garamond" w:cs="Sylfaen"/>
          <w:color w:val="000000"/>
        </w:rPr>
        <w:t>the</w:t>
      </w:r>
      <w:r w:rsidR="008C7485" w:rsidRPr="000F21D1">
        <w:rPr>
          <w:rFonts w:ascii="Garamond" w:hAnsi="Garamond" w:cs="Sylfaen"/>
          <w:color w:val="000000"/>
        </w:rPr>
        <w:t xml:space="preserve"> first quarter</w:t>
      </w:r>
      <w:r w:rsidR="00AB58B1" w:rsidRPr="000F21D1">
        <w:rPr>
          <w:rFonts w:ascii="Garamond" w:hAnsi="Garamond" w:cs="Sylfaen"/>
          <w:color w:val="000000"/>
        </w:rPr>
        <w:t xml:space="preserve"> of 2016</w:t>
      </w:r>
      <w:r w:rsidR="008C7485" w:rsidRPr="000F21D1">
        <w:rPr>
          <w:rFonts w:ascii="Garamond" w:hAnsi="Garamond" w:cs="Sylfaen"/>
          <w:color w:val="000000"/>
        </w:rPr>
        <w:t>, therefore, the</w:t>
      </w:r>
      <w:r w:rsidR="002A11DD" w:rsidRPr="000F21D1">
        <w:rPr>
          <w:rFonts w:ascii="Garamond" w:hAnsi="Garamond" w:cs="Sylfaen"/>
          <w:color w:val="000000"/>
          <w:lang w:val="hy-AM"/>
        </w:rPr>
        <w:t xml:space="preserve"> </w:t>
      </w:r>
      <w:r w:rsidRPr="000F21D1">
        <w:rPr>
          <w:rFonts w:ascii="Garamond" w:hAnsi="Garamond" w:cs="Sylfaen"/>
          <w:color w:val="000000"/>
        </w:rPr>
        <w:t>CBA loosened monetary conditions</w:t>
      </w:r>
      <w:r w:rsidR="008C7485" w:rsidRPr="000F21D1">
        <w:rPr>
          <w:rFonts w:ascii="Garamond" w:hAnsi="Garamond" w:cs="Sylfaen"/>
          <w:color w:val="000000"/>
        </w:rPr>
        <w:t>,</w:t>
      </w:r>
      <w:r w:rsidR="002A11DD" w:rsidRPr="000F21D1">
        <w:rPr>
          <w:rFonts w:ascii="Garamond" w:hAnsi="Garamond" w:cs="Sylfaen"/>
          <w:color w:val="000000"/>
          <w:lang w:val="hy-AM"/>
        </w:rPr>
        <w:t xml:space="preserve"> </w:t>
      </w:r>
      <w:r w:rsidR="008C7485" w:rsidRPr="000F21D1">
        <w:rPr>
          <w:rFonts w:ascii="Garamond" w:hAnsi="Garamond" w:cs="Sylfaen"/>
          <w:color w:val="000000"/>
        </w:rPr>
        <w:t>cutting</w:t>
      </w:r>
      <w:r w:rsidRPr="000F21D1">
        <w:rPr>
          <w:rFonts w:ascii="Garamond" w:hAnsi="Garamond" w:cs="Sylfaen"/>
          <w:color w:val="000000"/>
        </w:rPr>
        <w:t xml:space="preserve"> the refinancing rate </w:t>
      </w:r>
      <w:r w:rsidR="00AB58B1" w:rsidRPr="000F21D1">
        <w:rPr>
          <w:rFonts w:ascii="Garamond" w:hAnsi="Garamond" w:cs="Sylfaen"/>
          <w:color w:val="000000"/>
        </w:rPr>
        <w:t xml:space="preserve">each by </w:t>
      </w:r>
      <w:r w:rsidR="008C7485" w:rsidRPr="000F21D1">
        <w:rPr>
          <w:rFonts w:ascii="Garamond" w:hAnsi="Garamond" w:cs="Sylfaen"/>
          <w:color w:val="000000"/>
        </w:rPr>
        <w:t xml:space="preserve">0.25 pp </w:t>
      </w:r>
      <w:r w:rsidR="00AB58B1" w:rsidRPr="000F21D1">
        <w:rPr>
          <w:rFonts w:ascii="Garamond" w:hAnsi="Garamond" w:cs="Sylfaen"/>
          <w:color w:val="000000"/>
        </w:rPr>
        <w:t xml:space="preserve">in February and March </w:t>
      </w:r>
      <w:r w:rsidR="008C7485" w:rsidRPr="000F21D1">
        <w:rPr>
          <w:rFonts w:ascii="Garamond" w:hAnsi="Garamond" w:cs="Sylfaen"/>
          <w:color w:val="000000"/>
        </w:rPr>
        <w:t xml:space="preserve">to </w:t>
      </w:r>
      <w:r w:rsidRPr="000F21D1">
        <w:rPr>
          <w:rFonts w:ascii="Garamond" w:hAnsi="Garamond" w:cs="Sylfaen"/>
          <w:b/>
          <w:color w:val="000000"/>
        </w:rPr>
        <w:t>8.25%</w:t>
      </w:r>
      <w:r w:rsidRPr="000F21D1">
        <w:rPr>
          <w:rFonts w:ascii="Garamond" w:hAnsi="Garamond" w:cs="Sylfaen"/>
          <w:color w:val="000000"/>
        </w:rPr>
        <w:t xml:space="preserve">. A low inflation resulting from such a policy </w:t>
      </w:r>
      <w:r w:rsidR="008C7485" w:rsidRPr="000F21D1">
        <w:rPr>
          <w:rFonts w:ascii="Garamond" w:hAnsi="Garamond" w:cs="Sylfaen"/>
          <w:color w:val="000000"/>
        </w:rPr>
        <w:t xml:space="preserve">was to </w:t>
      </w:r>
      <w:r w:rsidRPr="000F21D1">
        <w:rPr>
          <w:rFonts w:ascii="Garamond" w:hAnsi="Garamond" w:cs="Sylfaen"/>
          <w:color w:val="000000"/>
        </w:rPr>
        <w:t>contribute to maintaining the purchasing power, reduction of company costs and gradual decline in inflation expectations.</w:t>
      </w:r>
      <w:r w:rsidR="00315DF6" w:rsidRPr="000F21D1">
        <w:rPr>
          <w:rFonts w:ascii="Garamond" w:hAnsi="Garamond" w:cs="Sylfaen"/>
          <w:color w:val="000000"/>
        </w:rPr>
        <w:t xml:space="preserve"> </w:t>
      </w:r>
    </w:p>
    <w:p w14:paraId="23D53206" w14:textId="77777777" w:rsidR="00F12835" w:rsidRPr="000F21D1" w:rsidRDefault="00F12835" w:rsidP="00FF3CD9">
      <w:pPr>
        <w:spacing w:line="360" w:lineRule="auto"/>
        <w:jc w:val="both"/>
        <w:rPr>
          <w:rFonts w:ascii="Garamond" w:hAnsi="Garamond" w:cs="Sylfaen"/>
          <w:color w:val="000000"/>
        </w:rPr>
      </w:pPr>
    </w:p>
    <w:p w14:paraId="44ECE260" w14:textId="77777777" w:rsidR="00DF25A9" w:rsidRPr="000F21D1" w:rsidRDefault="00A4251D" w:rsidP="00FF3CD9">
      <w:pPr>
        <w:spacing w:line="360" w:lineRule="auto"/>
        <w:jc w:val="both"/>
        <w:rPr>
          <w:rFonts w:ascii="Garamond" w:hAnsi="Garamond" w:cs="Sylfaen"/>
          <w:color w:val="000000"/>
        </w:rPr>
      </w:pPr>
      <w:r w:rsidRPr="000F21D1">
        <w:rPr>
          <w:rFonts w:ascii="Garamond" w:hAnsi="Garamond" w:cs="Sylfaen"/>
          <w:color w:val="000000"/>
        </w:rPr>
        <w:t>The e</w:t>
      </w:r>
      <w:r w:rsidR="00F12835" w:rsidRPr="000F21D1">
        <w:rPr>
          <w:rFonts w:ascii="Garamond" w:hAnsi="Garamond" w:cs="Sylfaen"/>
          <w:color w:val="000000"/>
        </w:rPr>
        <w:t xml:space="preserve">conomic and inflationary developments in the second quarter </w:t>
      </w:r>
      <w:r w:rsidRPr="000F21D1">
        <w:rPr>
          <w:rFonts w:ascii="Garamond" w:hAnsi="Garamond" w:cs="Sylfaen"/>
          <w:color w:val="000000"/>
        </w:rPr>
        <w:t xml:space="preserve">of 2016 </w:t>
      </w:r>
      <w:r w:rsidR="00F12835" w:rsidRPr="000F21D1">
        <w:rPr>
          <w:rFonts w:ascii="Garamond" w:hAnsi="Garamond" w:cs="Sylfaen"/>
          <w:color w:val="000000"/>
        </w:rPr>
        <w:t xml:space="preserve">showed </w:t>
      </w:r>
      <w:r w:rsidRPr="000F21D1">
        <w:rPr>
          <w:rFonts w:ascii="Garamond" w:hAnsi="Garamond" w:cs="Sylfaen"/>
          <w:color w:val="000000"/>
        </w:rPr>
        <w:t>that c</w:t>
      </w:r>
      <w:r w:rsidR="00F12835" w:rsidRPr="000F21D1">
        <w:rPr>
          <w:rFonts w:ascii="Garamond" w:hAnsi="Garamond" w:cs="Sylfaen"/>
          <w:color w:val="000000"/>
        </w:rPr>
        <w:t xml:space="preserve">onsistent monetary policy </w:t>
      </w:r>
      <w:r w:rsidRPr="000F21D1">
        <w:rPr>
          <w:rFonts w:ascii="Garamond" w:hAnsi="Garamond" w:cs="Sylfaen"/>
          <w:color w:val="000000"/>
        </w:rPr>
        <w:t xml:space="preserve">of </w:t>
      </w:r>
      <w:r w:rsidR="00F12835" w:rsidRPr="000F21D1">
        <w:rPr>
          <w:rFonts w:ascii="Garamond" w:hAnsi="Garamond" w:cs="Sylfaen"/>
          <w:color w:val="000000"/>
        </w:rPr>
        <w:t xml:space="preserve">the CBA has </w:t>
      </w:r>
      <w:r w:rsidRPr="000F21D1">
        <w:rPr>
          <w:rFonts w:ascii="Garamond" w:hAnsi="Garamond" w:cs="Sylfaen"/>
          <w:color w:val="000000"/>
        </w:rPr>
        <w:t xml:space="preserve">gradually eased </w:t>
      </w:r>
      <w:r w:rsidR="00F12835" w:rsidRPr="000F21D1">
        <w:rPr>
          <w:rFonts w:ascii="Garamond" w:hAnsi="Garamond" w:cs="Sylfaen"/>
          <w:color w:val="000000"/>
        </w:rPr>
        <w:t>inflation expectations</w:t>
      </w:r>
      <w:r w:rsidRPr="000F21D1">
        <w:rPr>
          <w:rFonts w:ascii="Garamond" w:hAnsi="Garamond" w:cs="Sylfaen"/>
          <w:color w:val="000000"/>
        </w:rPr>
        <w:t xml:space="preserve">, and anticipated reduction in </w:t>
      </w:r>
      <w:r w:rsidRPr="000F21D1">
        <w:rPr>
          <w:rFonts w:ascii="Garamond" w:hAnsi="Garamond" w:cs="Sylfaen"/>
          <w:color w:val="000000"/>
        </w:rPr>
        <w:lastRenderedPageBreak/>
        <w:t xml:space="preserve">natural gas price since the second half of the year has </w:t>
      </w:r>
      <w:r w:rsidR="0055635D" w:rsidRPr="000F21D1">
        <w:rPr>
          <w:rFonts w:ascii="Garamond" w:hAnsi="Garamond" w:cs="Sylfaen"/>
          <w:color w:val="000000"/>
        </w:rPr>
        <w:t>reinforced such expectations. Taking into account</w:t>
      </w:r>
      <w:r w:rsidR="00F12835" w:rsidRPr="000F21D1">
        <w:rPr>
          <w:rFonts w:ascii="Garamond" w:hAnsi="Garamond" w:cs="Sylfaen"/>
          <w:color w:val="000000"/>
        </w:rPr>
        <w:t xml:space="preserve"> </w:t>
      </w:r>
      <w:r w:rsidR="0055635D" w:rsidRPr="000F21D1">
        <w:rPr>
          <w:rFonts w:ascii="Garamond" w:hAnsi="Garamond" w:cs="Sylfaen"/>
          <w:color w:val="000000"/>
        </w:rPr>
        <w:t>the current situation and relatively stabilizing inflation expectations</w:t>
      </w:r>
      <w:r w:rsidR="00F12835" w:rsidRPr="000F21D1">
        <w:rPr>
          <w:rFonts w:ascii="Garamond" w:hAnsi="Garamond" w:cs="Sylfaen"/>
          <w:color w:val="000000"/>
        </w:rPr>
        <w:t xml:space="preserve">, the CBA cut the refinancing rate in </w:t>
      </w:r>
      <w:r w:rsidR="0055635D" w:rsidRPr="000F21D1">
        <w:rPr>
          <w:rFonts w:ascii="Garamond" w:hAnsi="Garamond" w:cs="Sylfaen"/>
          <w:color w:val="000000"/>
        </w:rPr>
        <w:t xml:space="preserve">the second quarter by </w:t>
      </w:r>
      <w:r w:rsidR="00F12835" w:rsidRPr="000F21D1">
        <w:rPr>
          <w:rFonts w:ascii="Garamond" w:hAnsi="Garamond" w:cs="Sylfaen"/>
          <w:color w:val="000000"/>
        </w:rPr>
        <w:t xml:space="preserve">0.75 pp to </w:t>
      </w:r>
      <w:r w:rsidR="00F12835" w:rsidRPr="000F21D1">
        <w:rPr>
          <w:rFonts w:ascii="Garamond" w:hAnsi="Garamond" w:cs="Sylfaen"/>
          <w:b/>
          <w:color w:val="000000"/>
        </w:rPr>
        <w:t>7.5%</w:t>
      </w:r>
      <w:r w:rsidR="00F12835" w:rsidRPr="000F21D1">
        <w:rPr>
          <w:rFonts w:ascii="Garamond" w:hAnsi="Garamond" w:cs="Sylfaen"/>
          <w:color w:val="000000"/>
        </w:rPr>
        <w:t xml:space="preserve"> in late June. </w:t>
      </w:r>
      <w:r w:rsidR="00315DF6" w:rsidRPr="000F21D1">
        <w:rPr>
          <w:rFonts w:ascii="Garamond" w:hAnsi="Garamond" w:cs="Sylfaen"/>
          <w:color w:val="000000"/>
        </w:rPr>
        <w:t>In the outcome, the deflationary environment will gradually ease starting from the second half of the year and the 12-month inflation rate will approach the target in the forecast horizon.</w:t>
      </w:r>
    </w:p>
    <w:p w14:paraId="4EB560AE" w14:textId="77777777" w:rsidR="00B01C5D" w:rsidRPr="000F21D1" w:rsidRDefault="00B01C5D" w:rsidP="00FF3CD9">
      <w:pPr>
        <w:spacing w:line="360" w:lineRule="auto"/>
        <w:jc w:val="both"/>
        <w:rPr>
          <w:rFonts w:ascii="Garamond" w:hAnsi="Garamond" w:cs="Sylfaen"/>
          <w:color w:val="000000"/>
        </w:rPr>
      </w:pPr>
    </w:p>
    <w:p w14:paraId="1F4ACAF4" w14:textId="77777777" w:rsidR="00B01C5D" w:rsidRPr="000F21D1" w:rsidRDefault="00B01C5D" w:rsidP="00FF3CD9">
      <w:pPr>
        <w:spacing w:line="360" w:lineRule="auto"/>
        <w:jc w:val="both"/>
        <w:rPr>
          <w:rFonts w:ascii="Garamond" w:hAnsi="Garamond" w:cs="Sylfaen"/>
          <w:b/>
          <w:color w:val="000000"/>
        </w:rPr>
      </w:pPr>
      <w:r w:rsidRPr="000F21D1">
        <w:rPr>
          <w:rFonts w:ascii="Garamond" w:hAnsi="Garamond" w:cs="Sylfaen"/>
          <w:b/>
          <w:color w:val="000000"/>
        </w:rPr>
        <w:t xml:space="preserve">3.1.2. </w:t>
      </w:r>
      <w:r w:rsidR="00FF7337" w:rsidRPr="000F21D1">
        <w:rPr>
          <w:rFonts w:ascii="Garamond" w:hAnsi="Garamond" w:cs="Sylfaen"/>
          <w:b/>
          <w:color w:val="000000"/>
        </w:rPr>
        <w:t>Import prices and producer prices</w:t>
      </w:r>
    </w:p>
    <w:p w14:paraId="1358C105" w14:textId="77777777" w:rsidR="00FF7337" w:rsidRPr="000F21D1" w:rsidRDefault="00FF7337" w:rsidP="00FF3CD9">
      <w:pPr>
        <w:spacing w:line="360" w:lineRule="auto"/>
        <w:jc w:val="both"/>
        <w:rPr>
          <w:rFonts w:ascii="Garamond" w:hAnsi="Garamond" w:cs="Sylfaen"/>
          <w:b/>
          <w:color w:val="000000"/>
        </w:rPr>
      </w:pPr>
    </w:p>
    <w:p w14:paraId="4EF19024" w14:textId="77777777" w:rsidR="00714C05" w:rsidRPr="000F21D1" w:rsidRDefault="00FF7337" w:rsidP="00FF3CD9">
      <w:pPr>
        <w:spacing w:line="360" w:lineRule="auto"/>
        <w:jc w:val="both"/>
        <w:rPr>
          <w:rFonts w:ascii="Garamond" w:hAnsi="Garamond"/>
        </w:rPr>
      </w:pPr>
      <w:r w:rsidRPr="000F21D1">
        <w:rPr>
          <w:rFonts w:ascii="Garamond" w:hAnsi="Garamond"/>
          <w:b/>
        </w:rPr>
        <w:t>Import prices:</w:t>
      </w:r>
      <w:r w:rsidR="002A11DD" w:rsidRPr="000F21D1">
        <w:rPr>
          <w:rFonts w:ascii="Garamond" w:hAnsi="Garamond"/>
          <w:b/>
          <w:lang w:val="hy-AM"/>
        </w:rPr>
        <w:t xml:space="preserve"> </w:t>
      </w:r>
      <w:r w:rsidRPr="000F21D1">
        <w:rPr>
          <w:rFonts w:ascii="Garamond" w:hAnsi="Garamond"/>
        </w:rPr>
        <w:t xml:space="preserve">in the </w:t>
      </w:r>
      <w:r w:rsidR="0055635D" w:rsidRPr="000F21D1">
        <w:rPr>
          <w:rFonts w:ascii="Garamond" w:hAnsi="Garamond"/>
        </w:rPr>
        <w:t>second</w:t>
      </w:r>
      <w:r w:rsidRPr="000F21D1">
        <w:rPr>
          <w:rFonts w:ascii="Garamond" w:hAnsi="Garamond"/>
        </w:rPr>
        <w:t xml:space="preserve"> quarter of 2016 the dollar prices of import of goods and services </w:t>
      </w:r>
      <w:r w:rsidR="002C3366" w:rsidRPr="000F21D1">
        <w:rPr>
          <w:rFonts w:ascii="Garamond" w:hAnsi="Garamond"/>
        </w:rPr>
        <w:t xml:space="preserve">grew </w:t>
      </w:r>
      <w:r w:rsidRPr="000F21D1">
        <w:rPr>
          <w:rFonts w:ascii="Garamond" w:hAnsi="Garamond"/>
        </w:rPr>
        <w:t xml:space="preserve">by </w:t>
      </w:r>
      <w:r w:rsidR="002C3366" w:rsidRPr="000F21D1">
        <w:rPr>
          <w:rFonts w:ascii="Garamond" w:hAnsi="Garamond"/>
        </w:rPr>
        <w:t>4</w:t>
      </w:r>
      <w:r w:rsidRPr="000F21D1">
        <w:rPr>
          <w:rFonts w:ascii="Garamond" w:hAnsi="Garamond"/>
        </w:rPr>
        <w:t xml:space="preserve">.9% q/q. However, the declining has </w:t>
      </w:r>
      <w:r w:rsidR="00714C05" w:rsidRPr="000F21D1">
        <w:rPr>
          <w:rFonts w:ascii="Garamond" w:hAnsi="Garamond"/>
        </w:rPr>
        <w:t xml:space="preserve">somewhat </w:t>
      </w:r>
      <w:r w:rsidRPr="000F21D1">
        <w:rPr>
          <w:rFonts w:ascii="Garamond" w:hAnsi="Garamond"/>
        </w:rPr>
        <w:t>slowed down in comparison with th</w:t>
      </w:r>
      <w:r w:rsidR="002C3366" w:rsidRPr="000F21D1">
        <w:rPr>
          <w:rFonts w:ascii="Garamond" w:hAnsi="Garamond"/>
        </w:rPr>
        <w:t>e previous reference period to 2</w:t>
      </w:r>
      <w:r w:rsidRPr="000F21D1">
        <w:rPr>
          <w:rFonts w:ascii="Garamond" w:hAnsi="Garamond"/>
        </w:rPr>
        <w:t>.</w:t>
      </w:r>
      <w:r w:rsidR="002C3366" w:rsidRPr="000F21D1">
        <w:rPr>
          <w:rFonts w:ascii="Garamond" w:hAnsi="Garamond"/>
        </w:rPr>
        <w:t>7</w:t>
      </w:r>
      <w:r w:rsidRPr="000F21D1">
        <w:rPr>
          <w:rFonts w:ascii="Garamond" w:hAnsi="Garamond"/>
        </w:rPr>
        <w:t xml:space="preserve">% y/y. </w:t>
      </w:r>
    </w:p>
    <w:p w14:paraId="24339F2E" w14:textId="77777777" w:rsidR="00714C05" w:rsidRPr="000F21D1" w:rsidRDefault="00714C05" w:rsidP="00FF3CD9">
      <w:pPr>
        <w:spacing w:line="360" w:lineRule="auto"/>
        <w:jc w:val="both"/>
        <w:rPr>
          <w:rFonts w:ascii="Garamond" w:hAnsi="Garamond"/>
        </w:rPr>
      </w:pPr>
    </w:p>
    <w:p w14:paraId="6B6E62FA" w14:textId="77777777" w:rsidR="00FF7337" w:rsidRPr="000F21D1" w:rsidRDefault="00FF7337" w:rsidP="00FF3CD9">
      <w:pPr>
        <w:spacing w:line="360" w:lineRule="auto"/>
        <w:jc w:val="both"/>
        <w:rPr>
          <w:rStyle w:val="longtext"/>
          <w:rFonts w:ascii="Garamond" w:hAnsi="Garamond"/>
          <w:shd w:val="clear" w:color="auto" w:fill="FFFFFF"/>
        </w:rPr>
      </w:pPr>
      <w:r w:rsidRPr="000F21D1">
        <w:rPr>
          <w:rStyle w:val="longtext"/>
          <w:rFonts w:ascii="Garamond" w:hAnsi="Garamond"/>
          <w:shd w:val="clear" w:color="auto" w:fill="FFFFFF"/>
        </w:rPr>
        <w:t xml:space="preserve">The y/y </w:t>
      </w:r>
      <w:r w:rsidR="00167B8F" w:rsidRPr="000F21D1">
        <w:rPr>
          <w:rStyle w:val="longtext"/>
          <w:rFonts w:ascii="Garamond" w:hAnsi="Garamond"/>
          <w:shd w:val="clear" w:color="auto" w:fill="FFFFFF"/>
        </w:rPr>
        <w:t xml:space="preserve">decrease </w:t>
      </w:r>
      <w:r w:rsidRPr="000F21D1">
        <w:rPr>
          <w:rStyle w:val="longtext"/>
          <w:rFonts w:ascii="Garamond" w:hAnsi="Garamond"/>
          <w:shd w:val="clear" w:color="auto" w:fill="FFFFFF"/>
        </w:rPr>
        <w:t xml:space="preserve">in dollar prices of import was </w:t>
      </w:r>
      <w:r w:rsidR="00167B8F" w:rsidRPr="000F21D1">
        <w:rPr>
          <w:rStyle w:val="longtext"/>
          <w:rFonts w:ascii="Garamond" w:hAnsi="Garamond"/>
          <w:shd w:val="clear" w:color="auto" w:fill="FFFFFF"/>
        </w:rPr>
        <w:t>driven by</w:t>
      </w:r>
      <w:r w:rsidR="00F72DAA" w:rsidRPr="000F21D1">
        <w:rPr>
          <w:rStyle w:val="longtext"/>
          <w:rFonts w:ascii="Garamond" w:hAnsi="Garamond"/>
          <w:shd w:val="clear" w:color="auto" w:fill="FFFFFF"/>
        </w:rPr>
        <w:t xml:space="preserve"> </w:t>
      </w:r>
      <w:r w:rsidR="00167B8F" w:rsidRPr="000F21D1">
        <w:rPr>
          <w:rStyle w:val="longtext"/>
          <w:rFonts w:ascii="Garamond" w:hAnsi="Garamond"/>
          <w:shd w:val="clear" w:color="auto" w:fill="FFFFFF"/>
        </w:rPr>
        <w:t xml:space="preserve">prices of goods and services, which </w:t>
      </w:r>
      <w:r w:rsidRPr="000F21D1">
        <w:rPr>
          <w:rStyle w:val="longtext"/>
          <w:rFonts w:ascii="Garamond" w:hAnsi="Garamond"/>
          <w:shd w:val="clear" w:color="auto" w:fill="FFFFFF"/>
        </w:rPr>
        <w:t>hav</w:t>
      </w:r>
      <w:r w:rsidR="00167B8F" w:rsidRPr="000F21D1">
        <w:rPr>
          <w:rStyle w:val="longtext"/>
          <w:rFonts w:ascii="Garamond" w:hAnsi="Garamond"/>
          <w:shd w:val="clear" w:color="auto" w:fill="FFFFFF"/>
        </w:rPr>
        <w:t xml:space="preserve">e </w:t>
      </w:r>
      <w:r w:rsidRPr="000F21D1">
        <w:rPr>
          <w:rStyle w:val="longtext"/>
          <w:rFonts w:ascii="Garamond" w:hAnsi="Garamond"/>
          <w:shd w:val="clear" w:color="auto" w:fill="FFFFFF"/>
        </w:rPr>
        <w:t xml:space="preserve">fallen by </w:t>
      </w:r>
      <w:r w:rsidR="00167B8F" w:rsidRPr="000F21D1">
        <w:rPr>
          <w:rStyle w:val="longtext"/>
          <w:rFonts w:ascii="Garamond" w:hAnsi="Garamond"/>
          <w:shd w:val="clear" w:color="auto" w:fill="FFFFFF"/>
        </w:rPr>
        <w:t>2</w:t>
      </w:r>
      <w:r w:rsidRPr="000F21D1">
        <w:rPr>
          <w:rStyle w:val="longtext"/>
          <w:rFonts w:ascii="Garamond" w:hAnsi="Garamond"/>
          <w:shd w:val="clear" w:color="auto" w:fill="FFFFFF"/>
        </w:rPr>
        <w:t>.</w:t>
      </w:r>
      <w:r w:rsidR="00167B8F" w:rsidRPr="000F21D1">
        <w:rPr>
          <w:rStyle w:val="longtext"/>
          <w:rFonts w:ascii="Garamond" w:hAnsi="Garamond"/>
          <w:shd w:val="clear" w:color="auto" w:fill="FFFFFF"/>
        </w:rPr>
        <w:t>3</w:t>
      </w:r>
      <w:r w:rsidRPr="000F21D1">
        <w:rPr>
          <w:rStyle w:val="longtext"/>
          <w:rFonts w:ascii="Garamond" w:hAnsi="Garamond"/>
          <w:shd w:val="clear" w:color="auto" w:fill="FFFFFF"/>
        </w:rPr>
        <w:t xml:space="preserve"> and </w:t>
      </w:r>
      <w:r w:rsidR="00F72DAA" w:rsidRPr="000F21D1">
        <w:rPr>
          <w:rStyle w:val="longtext"/>
          <w:rFonts w:ascii="Garamond" w:hAnsi="Garamond"/>
          <w:shd w:val="clear" w:color="auto" w:fill="FFFFFF"/>
        </w:rPr>
        <w:t>0</w:t>
      </w:r>
      <w:r w:rsidRPr="000F21D1">
        <w:rPr>
          <w:rStyle w:val="longtext"/>
          <w:rFonts w:ascii="Garamond" w:hAnsi="Garamond"/>
          <w:shd w:val="clear" w:color="auto" w:fill="FFFFFF"/>
        </w:rPr>
        <w:t>.</w:t>
      </w:r>
      <w:r w:rsidR="00167B8F" w:rsidRPr="000F21D1">
        <w:rPr>
          <w:rStyle w:val="longtext"/>
          <w:rFonts w:ascii="Garamond" w:hAnsi="Garamond"/>
          <w:shd w:val="clear" w:color="auto" w:fill="FFFFFF"/>
        </w:rPr>
        <w:t>4</w:t>
      </w:r>
      <w:r w:rsidRPr="000F21D1">
        <w:rPr>
          <w:rStyle w:val="longtext"/>
          <w:rFonts w:ascii="Garamond" w:hAnsi="Garamond"/>
          <w:shd w:val="clear" w:color="auto" w:fill="FFFFFF"/>
        </w:rPr>
        <w:t xml:space="preserve"> pp, respectively. The </w:t>
      </w:r>
      <w:r w:rsidR="005A4407" w:rsidRPr="000F21D1">
        <w:rPr>
          <w:rStyle w:val="longtext"/>
          <w:rFonts w:ascii="Garamond" w:hAnsi="Garamond"/>
          <w:shd w:val="clear" w:color="auto" w:fill="FFFFFF"/>
        </w:rPr>
        <w:t xml:space="preserve">y/y </w:t>
      </w:r>
      <w:r w:rsidRPr="000F21D1">
        <w:rPr>
          <w:rStyle w:val="longtext"/>
          <w:rFonts w:ascii="Garamond" w:hAnsi="Garamond"/>
          <w:shd w:val="clear" w:color="auto" w:fill="FFFFFF"/>
        </w:rPr>
        <w:t>dec</w:t>
      </w:r>
      <w:r w:rsidR="00167B8F" w:rsidRPr="000F21D1">
        <w:rPr>
          <w:rStyle w:val="longtext"/>
          <w:rFonts w:ascii="Garamond" w:hAnsi="Garamond"/>
          <w:shd w:val="clear" w:color="auto" w:fill="FFFFFF"/>
        </w:rPr>
        <w:t xml:space="preserve">line </w:t>
      </w:r>
      <w:r w:rsidRPr="000F21D1">
        <w:rPr>
          <w:rStyle w:val="longtext"/>
          <w:rFonts w:ascii="Garamond" w:hAnsi="Garamond"/>
          <w:shd w:val="clear" w:color="auto" w:fill="FFFFFF"/>
        </w:rPr>
        <w:t xml:space="preserve">in dollar prices of import of goods was </w:t>
      </w:r>
      <w:r w:rsidR="00167B8F" w:rsidRPr="000F21D1">
        <w:rPr>
          <w:rStyle w:val="longtext"/>
          <w:rFonts w:ascii="Garamond" w:hAnsi="Garamond"/>
          <w:shd w:val="clear" w:color="auto" w:fill="FFFFFF"/>
        </w:rPr>
        <w:t xml:space="preserve">determined </w:t>
      </w:r>
      <w:r w:rsidR="004C7B38" w:rsidRPr="000F21D1">
        <w:rPr>
          <w:rStyle w:val="longtext"/>
          <w:rFonts w:ascii="Garamond" w:hAnsi="Garamond"/>
          <w:shd w:val="clear" w:color="auto" w:fill="FFFFFF"/>
        </w:rPr>
        <w:t xml:space="preserve">by prices of intermediate goods </w:t>
      </w:r>
      <w:r w:rsidR="00167B8F" w:rsidRPr="000F21D1">
        <w:rPr>
          <w:rStyle w:val="longtext"/>
          <w:rFonts w:ascii="Garamond" w:hAnsi="Garamond"/>
          <w:shd w:val="clear" w:color="auto" w:fill="FFFFFF"/>
        </w:rPr>
        <w:t xml:space="preserve">having reduced y/y </w:t>
      </w:r>
      <w:r w:rsidR="004C7B38" w:rsidRPr="000F21D1">
        <w:rPr>
          <w:rStyle w:val="longtext"/>
          <w:rFonts w:ascii="Garamond" w:hAnsi="Garamond"/>
          <w:shd w:val="clear" w:color="auto" w:fill="FFFFFF"/>
        </w:rPr>
        <w:t xml:space="preserve">as a result of </w:t>
      </w:r>
      <w:r w:rsidRPr="000F21D1">
        <w:rPr>
          <w:rStyle w:val="longtext"/>
          <w:rFonts w:ascii="Garamond" w:hAnsi="Garamond"/>
          <w:shd w:val="clear" w:color="auto" w:fill="FFFFFF"/>
        </w:rPr>
        <w:t xml:space="preserve">falling international </w:t>
      </w:r>
      <w:r w:rsidR="00167B8F" w:rsidRPr="000F21D1">
        <w:rPr>
          <w:rStyle w:val="longtext"/>
          <w:rFonts w:ascii="Garamond" w:hAnsi="Garamond"/>
          <w:shd w:val="clear" w:color="auto" w:fill="FFFFFF"/>
        </w:rPr>
        <w:t xml:space="preserve">oil and gas </w:t>
      </w:r>
      <w:r w:rsidRPr="000F21D1">
        <w:rPr>
          <w:rStyle w:val="longtext"/>
          <w:rFonts w:ascii="Garamond" w:hAnsi="Garamond"/>
          <w:shd w:val="clear" w:color="auto" w:fill="FFFFFF"/>
        </w:rPr>
        <w:t>prices, as well as the depreciation of the currencies of the partner countries.</w:t>
      </w:r>
    </w:p>
    <w:p w14:paraId="04D804AA" w14:textId="77777777" w:rsidR="00656DB6" w:rsidRPr="000F21D1" w:rsidRDefault="00656DB6" w:rsidP="00FF3CD9">
      <w:pPr>
        <w:spacing w:line="360" w:lineRule="auto"/>
        <w:jc w:val="both"/>
        <w:rPr>
          <w:rStyle w:val="longtext"/>
          <w:rFonts w:ascii="Garamond" w:hAnsi="Garamond"/>
          <w:shd w:val="clear" w:color="auto" w:fill="FFFFFF"/>
        </w:rPr>
      </w:pPr>
    </w:p>
    <w:p w14:paraId="6E379A56" w14:textId="77777777" w:rsidR="00656DB6" w:rsidRPr="000F21D1" w:rsidRDefault="00656DB6" w:rsidP="00FF3CD9">
      <w:pPr>
        <w:spacing w:line="360" w:lineRule="auto"/>
        <w:jc w:val="both"/>
        <w:rPr>
          <w:rStyle w:val="longtext"/>
          <w:rFonts w:ascii="Garamond" w:hAnsi="Garamond"/>
          <w:shd w:val="clear" w:color="auto" w:fill="FFFFFF"/>
        </w:rPr>
      </w:pPr>
      <w:r w:rsidRPr="000F21D1">
        <w:rPr>
          <w:rStyle w:val="longtext"/>
          <w:rFonts w:ascii="Garamond" w:hAnsi="Garamond"/>
          <w:shd w:val="clear" w:color="auto" w:fill="FFFFFF"/>
        </w:rPr>
        <w:t>The y/y falling of dollar prices of consumer goods owed mainly to y/y decrease in dollar prices in China</w:t>
      </w:r>
      <w:r w:rsidR="00AE343D" w:rsidRPr="000F21D1">
        <w:rPr>
          <w:rStyle w:val="longtext"/>
          <w:rFonts w:ascii="Garamond" w:hAnsi="Garamond"/>
          <w:shd w:val="clear" w:color="auto" w:fill="FFFFFF"/>
        </w:rPr>
        <w:t xml:space="preserve"> and </w:t>
      </w:r>
      <w:r w:rsidRPr="000F21D1">
        <w:rPr>
          <w:rStyle w:val="longtext"/>
          <w:rFonts w:ascii="Garamond" w:hAnsi="Garamond"/>
          <w:shd w:val="clear" w:color="auto" w:fill="FFFFFF"/>
        </w:rPr>
        <w:t>Russia. Consumer goods had a 0.</w:t>
      </w:r>
      <w:r w:rsidR="00AE343D" w:rsidRPr="000F21D1">
        <w:rPr>
          <w:rStyle w:val="longtext"/>
          <w:rFonts w:ascii="Garamond" w:hAnsi="Garamond"/>
          <w:shd w:val="clear" w:color="auto" w:fill="FFFFFF"/>
        </w:rPr>
        <w:t>3</w:t>
      </w:r>
      <w:r w:rsidRPr="000F21D1">
        <w:rPr>
          <w:rStyle w:val="longtext"/>
          <w:rFonts w:ascii="Garamond" w:hAnsi="Garamond"/>
          <w:shd w:val="clear" w:color="auto" w:fill="FFFFFF"/>
        </w:rPr>
        <w:t xml:space="preserve"> pp of negative contribution.</w:t>
      </w:r>
    </w:p>
    <w:p w14:paraId="6628D85D" w14:textId="77777777" w:rsidR="004A0D05" w:rsidRPr="000F21D1" w:rsidRDefault="004A0D05" w:rsidP="00FF3CD9">
      <w:pPr>
        <w:spacing w:line="360" w:lineRule="auto"/>
        <w:jc w:val="both"/>
        <w:rPr>
          <w:rStyle w:val="longtext"/>
          <w:rFonts w:ascii="Garamond" w:hAnsi="Garamond"/>
          <w:shd w:val="clear" w:color="auto" w:fill="FFFFFF"/>
        </w:rPr>
      </w:pPr>
    </w:p>
    <w:p w14:paraId="48016331" w14:textId="77777777" w:rsidR="004A0D05" w:rsidRPr="000F21D1" w:rsidRDefault="004A0D05" w:rsidP="00FF3CD9">
      <w:pPr>
        <w:spacing w:line="360" w:lineRule="auto"/>
        <w:jc w:val="both"/>
        <w:rPr>
          <w:rFonts w:ascii="Garamond" w:hAnsi="Garamond"/>
        </w:rPr>
      </w:pPr>
      <w:r w:rsidRPr="000F21D1">
        <w:rPr>
          <w:rFonts w:ascii="Garamond" w:hAnsi="Garamond" w:cs="Sylfaen"/>
          <w:b/>
        </w:rPr>
        <w:t>Producer prices</w:t>
      </w:r>
      <w:r w:rsidR="00D60FE6" w:rsidRPr="000F21D1">
        <w:rPr>
          <w:rStyle w:val="FootnoteReference"/>
          <w:rFonts w:ascii="Garamond" w:hAnsi="Garamond"/>
          <w:b/>
        </w:rPr>
        <w:footnoteReference w:customMarkFollows="1" w:id="14"/>
        <w:t>15</w:t>
      </w:r>
      <w:r w:rsidRPr="000F21D1">
        <w:rPr>
          <w:rFonts w:ascii="Garamond" w:hAnsi="Garamond"/>
          <w:b/>
        </w:rPr>
        <w:t>:</w:t>
      </w:r>
      <w:r w:rsidR="002A11DD" w:rsidRPr="000F21D1">
        <w:rPr>
          <w:rFonts w:ascii="Garamond" w:hAnsi="Garamond"/>
          <w:b/>
          <w:lang w:val="hy-AM"/>
        </w:rPr>
        <w:t xml:space="preserve"> </w:t>
      </w:r>
      <w:r w:rsidRPr="000F21D1">
        <w:rPr>
          <w:rFonts w:ascii="Garamond" w:hAnsi="Garamond"/>
        </w:rPr>
        <w:t>price</w:t>
      </w:r>
      <w:r w:rsidR="002A11DD" w:rsidRPr="000F21D1">
        <w:rPr>
          <w:rFonts w:ascii="Garamond" w:hAnsi="Garamond"/>
          <w:lang w:val="hy-AM"/>
        </w:rPr>
        <w:t xml:space="preserve"> </w:t>
      </w:r>
      <w:r w:rsidR="00D60FE6" w:rsidRPr="000F21D1">
        <w:rPr>
          <w:rFonts w:ascii="Garamond" w:hAnsi="Garamond"/>
        </w:rPr>
        <w:t xml:space="preserve">indexes </w:t>
      </w:r>
      <w:r w:rsidRPr="000F21D1">
        <w:rPr>
          <w:rFonts w:ascii="Garamond" w:hAnsi="Garamond"/>
        </w:rPr>
        <w:t xml:space="preserve">in </w:t>
      </w:r>
      <w:r w:rsidR="00D60FE6" w:rsidRPr="000F21D1">
        <w:rPr>
          <w:rFonts w:ascii="Garamond" w:hAnsi="Garamond"/>
        </w:rPr>
        <w:t>all sectors</w:t>
      </w:r>
      <w:r w:rsidRPr="000F21D1">
        <w:rPr>
          <w:rFonts w:ascii="Garamond" w:hAnsi="Garamond"/>
        </w:rPr>
        <w:t xml:space="preserve"> of the economy </w:t>
      </w:r>
      <w:r w:rsidR="00D60FE6" w:rsidRPr="000F21D1">
        <w:rPr>
          <w:rFonts w:ascii="Garamond" w:hAnsi="Garamond"/>
        </w:rPr>
        <w:t xml:space="preserve">reported decreases </w:t>
      </w:r>
      <w:r w:rsidRPr="000F21D1">
        <w:rPr>
          <w:rFonts w:ascii="Garamond" w:hAnsi="Garamond"/>
        </w:rPr>
        <w:t xml:space="preserve">in the </w:t>
      </w:r>
      <w:r w:rsidR="00D60FE6" w:rsidRPr="000F21D1">
        <w:rPr>
          <w:rFonts w:ascii="Garamond" w:hAnsi="Garamond"/>
        </w:rPr>
        <w:t>second</w:t>
      </w:r>
      <w:r w:rsidRPr="000F21D1">
        <w:rPr>
          <w:rFonts w:ascii="Garamond" w:hAnsi="Garamond"/>
        </w:rPr>
        <w:t xml:space="preserve"> quarter of 2016</w:t>
      </w:r>
      <w:r w:rsidR="00D60FE6" w:rsidRPr="000F21D1">
        <w:rPr>
          <w:rFonts w:ascii="Garamond" w:hAnsi="Garamond"/>
        </w:rPr>
        <w:t>,</w:t>
      </w:r>
      <w:r w:rsidR="002A11DD" w:rsidRPr="000F21D1">
        <w:rPr>
          <w:rFonts w:ascii="Garamond" w:hAnsi="Garamond"/>
          <w:lang w:val="hy-AM"/>
        </w:rPr>
        <w:t xml:space="preserve"> </w:t>
      </w:r>
      <w:r w:rsidR="00D60FE6" w:rsidRPr="000F21D1">
        <w:rPr>
          <w:rFonts w:ascii="Garamond" w:hAnsi="Garamond"/>
        </w:rPr>
        <w:t xml:space="preserve">and the </w:t>
      </w:r>
      <w:r w:rsidRPr="000F21D1">
        <w:rPr>
          <w:rFonts w:ascii="Garamond" w:hAnsi="Garamond"/>
        </w:rPr>
        <w:t xml:space="preserve">GDP deflator </w:t>
      </w:r>
      <w:r w:rsidR="00D60FE6" w:rsidRPr="000F21D1">
        <w:rPr>
          <w:rFonts w:ascii="Garamond" w:hAnsi="Garamond"/>
        </w:rPr>
        <w:t>in January-June has been around 99.5 y/y, according to CBA estimates</w:t>
      </w:r>
      <w:r w:rsidRPr="000F21D1">
        <w:rPr>
          <w:rFonts w:ascii="Garamond" w:hAnsi="Garamond"/>
        </w:rPr>
        <w:t>.</w:t>
      </w:r>
    </w:p>
    <w:p w14:paraId="78472EDB" w14:textId="77777777" w:rsidR="004A0D05" w:rsidRPr="000F21D1" w:rsidRDefault="004A0D05" w:rsidP="00FF3CD9">
      <w:pPr>
        <w:spacing w:line="360" w:lineRule="auto"/>
        <w:jc w:val="both"/>
        <w:rPr>
          <w:rFonts w:ascii="Garamond" w:hAnsi="Garamond"/>
        </w:rPr>
      </w:pPr>
    </w:p>
    <w:p w14:paraId="5DDD8284" w14:textId="77777777" w:rsidR="004A0D05" w:rsidRPr="000F21D1" w:rsidRDefault="004A0D05" w:rsidP="00FF3CD9">
      <w:pPr>
        <w:spacing w:line="360" w:lineRule="auto"/>
        <w:jc w:val="both"/>
        <w:rPr>
          <w:rFonts w:ascii="Garamond" w:hAnsi="Garamond"/>
        </w:rPr>
      </w:pPr>
      <w:r w:rsidRPr="000F21D1">
        <w:rPr>
          <w:rFonts w:ascii="Garamond" w:hAnsi="Garamond" w:cs="Sylfaen"/>
          <w:b/>
        </w:rPr>
        <w:t xml:space="preserve">Industry </w:t>
      </w:r>
      <w:r w:rsidR="00C077A5" w:rsidRPr="000F21D1">
        <w:rPr>
          <w:rFonts w:ascii="Garamond" w:hAnsi="Garamond" w:cs="Sylfaen"/>
        </w:rPr>
        <w:t xml:space="preserve">reported </w:t>
      </w:r>
      <w:r w:rsidR="00D60FE6" w:rsidRPr="000F21D1">
        <w:rPr>
          <w:rFonts w:ascii="Garamond" w:hAnsi="Garamond" w:cs="Sylfaen"/>
        </w:rPr>
        <w:t>0</w:t>
      </w:r>
      <w:r w:rsidR="00C077A5" w:rsidRPr="000F21D1">
        <w:rPr>
          <w:rFonts w:ascii="Garamond" w:hAnsi="Garamond" w:cs="Sylfaen"/>
        </w:rPr>
        <w:t>.</w:t>
      </w:r>
      <w:r w:rsidR="00D60FE6" w:rsidRPr="000F21D1">
        <w:rPr>
          <w:rFonts w:ascii="Garamond" w:hAnsi="Garamond" w:cs="Sylfaen"/>
        </w:rPr>
        <w:t>8</w:t>
      </w:r>
      <w:r w:rsidR="00C077A5" w:rsidRPr="000F21D1">
        <w:rPr>
          <w:rFonts w:ascii="Garamond" w:hAnsi="Garamond" w:cs="Sylfaen"/>
        </w:rPr>
        <w:t xml:space="preserve">% y/y drop in prices </w:t>
      </w:r>
      <w:r w:rsidR="00D60FE6" w:rsidRPr="000F21D1">
        <w:rPr>
          <w:rFonts w:ascii="Garamond" w:hAnsi="Garamond" w:cs="Sylfaen"/>
        </w:rPr>
        <w:t>in the second quarter</w:t>
      </w:r>
      <w:r w:rsidR="00D60FE6" w:rsidRPr="000F21D1">
        <w:rPr>
          <w:rFonts w:ascii="Garamond" w:hAnsi="Garamond" w:cs="Sylfaen"/>
          <w:lang w:val="hy-AM"/>
        </w:rPr>
        <w:t xml:space="preserve">, with the </w:t>
      </w:r>
      <w:r w:rsidR="00D60FE6" w:rsidRPr="000F21D1">
        <w:rPr>
          <w:rFonts w:ascii="Garamond" w:hAnsi="Garamond"/>
        </w:rPr>
        <w:t>January-June</w:t>
      </w:r>
      <w:r w:rsidR="00D60FE6" w:rsidRPr="000F21D1">
        <w:rPr>
          <w:rFonts w:ascii="Garamond" w:hAnsi="Garamond" w:cs="Sylfaen"/>
        </w:rPr>
        <w:t xml:space="preserve"> decline having reached 2.4%. The price reduction </w:t>
      </w:r>
      <w:r w:rsidR="000F4AA2" w:rsidRPr="000F21D1">
        <w:rPr>
          <w:rFonts w:ascii="Garamond" w:hAnsi="Garamond" w:cs="Sylfaen"/>
        </w:rPr>
        <w:t xml:space="preserve">owed </w:t>
      </w:r>
      <w:r w:rsidR="00C077A5" w:rsidRPr="000F21D1">
        <w:rPr>
          <w:rFonts w:ascii="Garamond" w:hAnsi="Garamond" w:cs="Sylfaen"/>
        </w:rPr>
        <w:t xml:space="preserve">to falling </w:t>
      </w:r>
      <w:r w:rsidR="000F4AA2" w:rsidRPr="000F21D1">
        <w:rPr>
          <w:rFonts w:ascii="Garamond" w:hAnsi="Garamond"/>
        </w:rPr>
        <w:t>prices in m</w:t>
      </w:r>
      <w:r w:rsidR="00C077A5" w:rsidRPr="000F21D1">
        <w:rPr>
          <w:rFonts w:ascii="Garamond" w:hAnsi="Garamond"/>
        </w:rPr>
        <w:t>ining (</w:t>
      </w:r>
      <w:r w:rsidR="000F4AA2" w:rsidRPr="000F21D1">
        <w:rPr>
          <w:rFonts w:ascii="Garamond" w:hAnsi="Garamond"/>
        </w:rPr>
        <w:t>8</w:t>
      </w:r>
      <w:r w:rsidR="00C077A5" w:rsidRPr="000F21D1">
        <w:rPr>
          <w:rFonts w:ascii="Garamond" w:hAnsi="Garamond"/>
        </w:rPr>
        <w:t>.</w:t>
      </w:r>
      <w:r w:rsidR="000F4AA2" w:rsidRPr="000F21D1">
        <w:rPr>
          <w:rFonts w:ascii="Garamond" w:hAnsi="Garamond"/>
        </w:rPr>
        <w:t>3</w:t>
      </w:r>
      <w:r w:rsidR="00C077A5" w:rsidRPr="000F21D1">
        <w:rPr>
          <w:rFonts w:ascii="Garamond" w:hAnsi="Garamond"/>
        </w:rPr>
        <w:t>%)</w:t>
      </w:r>
      <w:r w:rsidR="000F4AA2" w:rsidRPr="000F21D1">
        <w:rPr>
          <w:rFonts w:ascii="Garamond" w:hAnsi="Garamond"/>
        </w:rPr>
        <w:t>,</w:t>
      </w:r>
      <w:r w:rsidR="00C077A5" w:rsidRPr="000F21D1">
        <w:rPr>
          <w:rFonts w:ascii="Garamond" w:hAnsi="Garamond"/>
        </w:rPr>
        <w:t xml:space="preserve"> </w:t>
      </w:r>
      <w:r w:rsidR="000F4AA2" w:rsidRPr="000F21D1">
        <w:rPr>
          <w:rFonts w:ascii="Garamond" w:hAnsi="Garamond"/>
        </w:rPr>
        <w:t>p</w:t>
      </w:r>
      <w:r w:rsidRPr="000F21D1">
        <w:rPr>
          <w:rFonts w:ascii="Garamond" w:hAnsi="Garamond"/>
        </w:rPr>
        <w:t>rocessing industry (</w:t>
      </w:r>
      <w:r w:rsidR="00C077A5" w:rsidRPr="000F21D1">
        <w:rPr>
          <w:rFonts w:ascii="Garamond" w:hAnsi="Garamond"/>
        </w:rPr>
        <w:t>1</w:t>
      </w:r>
      <w:r w:rsidRPr="000F21D1">
        <w:rPr>
          <w:rFonts w:ascii="Garamond" w:hAnsi="Garamond"/>
        </w:rPr>
        <w:t>.</w:t>
      </w:r>
      <w:r w:rsidR="000F4AA2" w:rsidRPr="000F21D1">
        <w:rPr>
          <w:rFonts w:ascii="Garamond" w:hAnsi="Garamond"/>
        </w:rPr>
        <w:t>2</w:t>
      </w:r>
      <w:r w:rsidRPr="000F21D1">
        <w:rPr>
          <w:rFonts w:ascii="Garamond" w:hAnsi="Garamond"/>
        </w:rPr>
        <w:t>%)</w:t>
      </w:r>
      <w:r w:rsidR="000F4AA2" w:rsidRPr="000F21D1">
        <w:rPr>
          <w:rFonts w:ascii="Garamond" w:hAnsi="Garamond"/>
        </w:rPr>
        <w:t xml:space="preserve"> and energy, gas production and distribution (3.2%)</w:t>
      </w:r>
      <w:r w:rsidR="00C077A5" w:rsidRPr="000F21D1">
        <w:rPr>
          <w:rFonts w:ascii="Garamond" w:hAnsi="Garamond"/>
        </w:rPr>
        <w:t xml:space="preserve">. </w:t>
      </w:r>
      <w:r w:rsidR="001E499D" w:rsidRPr="000F21D1">
        <w:rPr>
          <w:rFonts w:ascii="Garamond" w:hAnsi="Garamond"/>
        </w:rPr>
        <w:t>The falling of prices in mining, which saw the highest price decline, was driven by the decrease in prices of non-ferrous metals in the international market.</w:t>
      </w:r>
    </w:p>
    <w:p w14:paraId="15E4DEA4" w14:textId="77777777" w:rsidR="003E6532" w:rsidRPr="000F21D1" w:rsidRDefault="003E6532" w:rsidP="00FF3CD9">
      <w:pPr>
        <w:spacing w:line="360" w:lineRule="auto"/>
        <w:jc w:val="both"/>
        <w:rPr>
          <w:rFonts w:ascii="Garamond" w:hAnsi="Garamond"/>
        </w:rPr>
      </w:pPr>
    </w:p>
    <w:p w14:paraId="083E0782" w14:textId="77777777" w:rsidR="003E6532" w:rsidRPr="000F21D1" w:rsidRDefault="003E6532" w:rsidP="00FF3CD9">
      <w:pPr>
        <w:spacing w:line="360" w:lineRule="auto"/>
        <w:jc w:val="both"/>
        <w:rPr>
          <w:rFonts w:ascii="Garamond" w:hAnsi="Garamond"/>
        </w:rPr>
      </w:pPr>
      <w:r w:rsidRPr="000F21D1">
        <w:rPr>
          <w:rFonts w:ascii="Garamond" w:hAnsi="Garamond"/>
          <w:b/>
        </w:rPr>
        <w:lastRenderedPageBreak/>
        <w:t>Agriculture</w:t>
      </w:r>
      <w:r w:rsidR="002A11DD" w:rsidRPr="000F21D1">
        <w:rPr>
          <w:rFonts w:ascii="Garamond" w:hAnsi="Garamond"/>
          <w:b/>
          <w:lang w:val="hy-AM"/>
        </w:rPr>
        <w:t xml:space="preserve"> </w:t>
      </w:r>
      <w:r w:rsidR="00975A03" w:rsidRPr="000F21D1">
        <w:rPr>
          <w:rFonts w:ascii="Garamond" w:hAnsi="Garamond"/>
        </w:rPr>
        <w:t>posted</w:t>
      </w:r>
      <w:r w:rsidRPr="000F21D1">
        <w:rPr>
          <w:rFonts w:ascii="Garamond" w:hAnsi="Garamond"/>
        </w:rPr>
        <w:t xml:space="preserve"> </w:t>
      </w:r>
      <w:r w:rsidR="00975A03" w:rsidRPr="000F21D1">
        <w:rPr>
          <w:rFonts w:ascii="Garamond" w:hAnsi="Garamond"/>
        </w:rPr>
        <w:t xml:space="preserve">a </w:t>
      </w:r>
      <w:r w:rsidRPr="000F21D1">
        <w:rPr>
          <w:rFonts w:ascii="Garamond" w:hAnsi="Garamond"/>
        </w:rPr>
        <w:t>1.</w:t>
      </w:r>
      <w:r w:rsidR="00975A03" w:rsidRPr="000F21D1">
        <w:rPr>
          <w:rFonts w:ascii="Garamond" w:hAnsi="Garamond"/>
        </w:rPr>
        <w:t>4% y/y growth</w:t>
      </w:r>
      <w:r w:rsidRPr="000F21D1">
        <w:rPr>
          <w:rFonts w:ascii="Garamond" w:hAnsi="Garamond"/>
        </w:rPr>
        <w:t xml:space="preserve"> in prices</w:t>
      </w:r>
      <w:r w:rsidR="00CC279B" w:rsidRPr="000F21D1">
        <w:rPr>
          <w:rStyle w:val="FootnoteReference"/>
          <w:rFonts w:ascii="Garamond" w:hAnsi="Garamond" w:cs="Sylfaen"/>
        </w:rPr>
        <w:footnoteReference w:customMarkFollows="1" w:id="15"/>
        <w:t xml:space="preserve">16 </w:t>
      </w:r>
      <w:r w:rsidRPr="000F21D1">
        <w:rPr>
          <w:rFonts w:ascii="Garamond" w:hAnsi="Garamond" w:cs="Sylfaen"/>
        </w:rPr>
        <w:t>during the quarter</w:t>
      </w:r>
      <w:r w:rsidR="00975A03" w:rsidRPr="000F21D1">
        <w:rPr>
          <w:rFonts w:ascii="Garamond" w:hAnsi="Garamond" w:cs="Sylfaen"/>
        </w:rPr>
        <w:t xml:space="preserve">, with </w:t>
      </w:r>
      <w:r w:rsidR="00975A03" w:rsidRPr="000F21D1">
        <w:rPr>
          <w:rFonts w:ascii="Garamond" w:hAnsi="Garamond" w:cs="Sylfaen"/>
          <w:lang w:val="hy-AM"/>
        </w:rPr>
        <w:t xml:space="preserve">the </w:t>
      </w:r>
      <w:r w:rsidR="00975A03" w:rsidRPr="000F21D1">
        <w:rPr>
          <w:rFonts w:ascii="Garamond" w:hAnsi="Garamond"/>
        </w:rPr>
        <w:t>January-June</w:t>
      </w:r>
      <w:r w:rsidR="00975A03" w:rsidRPr="000F21D1">
        <w:rPr>
          <w:rFonts w:ascii="Garamond" w:hAnsi="Garamond" w:cs="Sylfaen"/>
        </w:rPr>
        <w:t xml:space="preserve"> price deflation having amounted to 2.6% y/y</w:t>
      </w:r>
      <w:r w:rsidRPr="000F21D1">
        <w:rPr>
          <w:rFonts w:ascii="Garamond" w:hAnsi="Garamond" w:cs="Sylfaen"/>
        </w:rPr>
        <w:t xml:space="preserve"> </w:t>
      </w:r>
      <w:r w:rsidRPr="000F21D1">
        <w:rPr>
          <w:rFonts w:ascii="Garamond" w:hAnsi="Garamond"/>
        </w:rPr>
        <w:t xml:space="preserve">as a result of </w:t>
      </w:r>
      <w:r w:rsidR="00975A03" w:rsidRPr="000F21D1">
        <w:rPr>
          <w:rFonts w:ascii="Garamond" w:hAnsi="Garamond"/>
        </w:rPr>
        <w:t xml:space="preserve">reduced </w:t>
      </w:r>
      <w:r w:rsidRPr="000F21D1">
        <w:rPr>
          <w:rFonts w:ascii="Garamond" w:hAnsi="Garamond"/>
        </w:rPr>
        <w:t>prices in plant growing (</w:t>
      </w:r>
      <w:r w:rsidR="00975A03" w:rsidRPr="000F21D1">
        <w:rPr>
          <w:rFonts w:ascii="Garamond" w:hAnsi="Garamond"/>
        </w:rPr>
        <w:t>15</w:t>
      </w:r>
      <w:r w:rsidRPr="000F21D1">
        <w:rPr>
          <w:rFonts w:ascii="Garamond" w:hAnsi="Garamond"/>
        </w:rPr>
        <w:t>.</w:t>
      </w:r>
      <w:r w:rsidR="00975A03" w:rsidRPr="000F21D1">
        <w:rPr>
          <w:rFonts w:ascii="Garamond" w:hAnsi="Garamond"/>
        </w:rPr>
        <w:t>5</w:t>
      </w:r>
      <w:r w:rsidRPr="000F21D1">
        <w:rPr>
          <w:rFonts w:ascii="Garamond" w:hAnsi="Garamond"/>
        </w:rPr>
        <w:t>%)</w:t>
      </w:r>
      <w:r w:rsidR="00975A03" w:rsidRPr="000F21D1">
        <w:rPr>
          <w:rFonts w:ascii="Garamond" w:hAnsi="Garamond"/>
        </w:rPr>
        <w:t xml:space="preserve"> and animal breeding (9%)</w:t>
      </w:r>
      <w:r w:rsidRPr="000F21D1">
        <w:rPr>
          <w:rFonts w:ascii="Garamond" w:hAnsi="Garamond"/>
        </w:rPr>
        <w:t>.</w:t>
      </w:r>
      <w:r w:rsidR="00975A03" w:rsidRPr="000F21D1">
        <w:rPr>
          <w:rFonts w:ascii="Garamond" w:hAnsi="Garamond"/>
        </w:rPr>
        <w:t xml:space="preserve"> The fall in prices is due to the decrease in international food prices and weak domestic demand.</w:t>
      </w:r>
      <w:r w:rsidRPr="000F21D1">
        <w:rPr>
          <w:rFonts w:ascii="Garamond" w:hAnsi="Garamond"/>
        </w:rPr>
        <w:t xml:space="preserve"> </w:t>
      </w:r>
    </w:p>
    <w:p w14:paraId="4EB2B61B" w14:textId="77777777" w:rsidR="003E6532" w:rsidRPr="000F21D1" w:rsidRDefault="003E6532" w:rsidP="00FF3CD9">
      <w:pPr>
        <w:spacing w:line="360" w:lineRule="auto"/>
        <w:jc w:val="both"/>
        <w:rPr>
          <w:rFonts w:ascii="Garamond" w:hAnsi="Garamond"/>
        </w:rPr>
      </w:pPr>
    </w:p>
    <w:p w14:paraId="39010645" w14:textId="77777777" w:rsidR="003E6532" w:rsidRPr="000F21D1" w:rsidRDefault="003E6532" w:rsidP="00FF3CD9">
      <w:pPr>
        <w:spacing w:line="360" w:lineRule="auto"/>
        <w:jc w:val="both"/>
        <w:rPr>
          <w:rFonts w:ascii="Garamond" w:hAnsi="Garamond"/>
        </w:rPr>
      </w:pPr>
      <w:r w:rsidRPr="000F21D1">
        <w:rPr>
          <w:rFonts w:ascii="Garamond" w:hAnsi="Garamond" w:cs="Sylfaen"/>
        </w:rPr>
        <w:t xml:space="preserve">The price deflation in plant growing </w:t>
      </w:r>
      <w:r w:rsidR="00C64DA5" w:rsidRPr="000F21D1">
        <w:rPr>
          <w:rFonts w:ascii="Garamond" w:hAnsi="Garamond" w:cs="Sylfaen"/>
        </w:rPr>
        <w:t>wa</w:t>
      </w:r>
      <w:r w:rsidRPr="000F21D1">
        <w:rPr>
          <w:rFonts w:ascii="Garamond" w:hAnsi="Garamond" w:cs="Sylfaen"/>
        </w:rPr>
        <w:t xml:space="preserve">s </w:t>
      </w:r>
      <w:r w:rsidR="00BF149B" w:rsidRPr="000F21D1">
        <w:rPr>
          <w:rFonts w:ascii="Garamond" w:hAnsi="Garamond" w:cs="Sylfaen"/>
        </w:rPr>
        <w:t xml:space="preserve">mainly </w:t>
      </w:r>
      <w:r w:rsidRPr="000F21D1">
        <w:rPr>
          <w:rFonts w:ascii="Garamond" w:hAnsi="Garamond" w:cs="Sylfaen"/>
        </w:rPr>
        <w:t>driven by reduced prices of potato and gourds and melons (</w:t>
      </w:r>
      <w:r w:rsidR="00BF149B" w:rsidRPr="000F21D1">
        <w:rPr>
          <w:rFonts w:ascii="Garamond" w:hAnsi="Garamond" w:cs="Sylfaen"/>
        </w:rPr>
        <w:t>12</w:t>
      </w:r>
      <w:r w:rsidRPr="000F21D1">
        <w:rPr>
          <w:rFonts w:ascii="Garamond" w:hAnsi="Garamond" w:cs="Sylfaen"/>
        </w:rPr>
        <w:t>.</w:t>
      </w:r>
      <w:r w:rsidR="00BF149B" w:rsidRPr="000F21D1">
        <w:rPr>
          <w:rFonts w:ascii="Garamond" w:hAnsi="Garamond" w:cs="Sylfaen"/>
        </w:rPr>
        <w:t>6</w:t>
      </w:r>
      <w:r w:rsidRPr="000F21D1">
        <w:rPr>
          <w:rFonts w:ascii="Garamond" w:hAnsi="Garamond" w:cs="Sylfaen"/>
        </w:rPr>
        <w:t>%), grain crops (</w:t>
      </w:r>
      <w:r w:rsidR="00BF149B" w:rsidRPr="000F21D1">
        <w:rPr>
          <w:rFonts w:ascii="Garamond" w:hAnsi="Garamond" w:cs="Sylfaen"/>
        </w:rPr>
        <w:t>3</w:t>
      </w:r>
      <w:r w:rsidRPr="000F21D1">
        <w:rPr>
          <w:rFonts w:ascii="Garamond" w:hAnsi="Garamond" w:cs="Sylfaen"/>
        </w:rPr>
        <w:t>.7%), forage crops (2</w:t>
      </w:r>
      <w:r w:rsidR="00BF149B" w:rsidRPr="000F21D1">
        <w:rPr>
          <w:rFonts w:ascii="Garamond" w:hAnsi="Garamond" w:cs="Sylfaen"/>
        </w:rPr>
        <w:t>9</w:t>
      </w:r>
      <w:r w:rsidRPr="000F21D1">
        <w:rPr>
          <w:rFonts w:ascii="Garamond" w:hAnsi="Garamond" w:cs="Sylfaen"/>
        </w:rPr>
        <w:t>.</w:t>
      </w:r>
      <w:r w:rsidR="00BF149B" w:rsidRPr="000F21D1">
        <w:rPr>
          <w:rFonts w:ascii="Garamond" w:hAnsi="Garamond" w:cs="Sylfaen"/>
        </w:rPr>
        <w:t>2</w:t>
      </w:r>
      <w:r w:rsidRPr="000F21D1">
        <w:rPr>
          <w:rFonts w:ascii="Garamond" w:hAnsi="Garamond" w:cs="Sylfaen"/>
        </w:rPr>
        <w:t>%) and fruit and berries (</w:t>
      </w:r>
      <w:r w:rsidR="00BF149B" w:rsidRPr="000F21D1">
        <w:rPr>
          <w:rFonts w:ascii="Garamond" w:hAnsi="Garamond" w:cs="Sylfaen"/>
        </w:rPr>
        <w:t>28</w:t>
      </w:r>
      <w:r w:rsidRPr="000F21D1">
        <w:rPr>
          <w:rFonts w:ascii="Garamond" w:hAnsi="Garamond" w:cs="Sylfaen"/>
        </w:rPr>
        <w:t>.</w:t>
      </w:r>
      <w:r w:rsidR="00BF149B" w:rsidRPr="000F21D1">
        <w:rPr>
          <w:rFonts w:ascii="Garamond" w:hAnsi="Garamond" w:cs="Sylfaen"/>
        </w:rPr>
        <w:t>8</w:t>
      </w:r>
      <w:r w:rsidRPr="000F21D1">
        <w:rPr>
          <w:rFonts w:ascii="Garamond" w:hAnsi="Garamond" w:cs="Sylfaen"/>
        </w:rPr>
        <w:t>%).</w:t>
      </w:r>
      <w:r w:rsidR="00BF149B" w:rsidRPr="000F21D1">
        <w:rPr>
          <w:rFonts w:ascii="Garamond" w:hAnsi="Garamond" w:cs="Sylfaen"/>
        </w:rPr>
        <w:t xml:space="preserve"> </w:t>
      </w:r>
      <w:r w:rsidR="002E7E19" w:rsidRPr="000F21D1">
        <w:rPr>
          <w:rFonts w:ascii="Garamond" w:hAnsi="Garamond"/>
        </w:rPr>
        <w:t>The decline in prices in animal breeding was attributable to reduced prices of milk, dairy products (1</w:t>
      </w:r>
      <w:r w:rsidR="00C64DA5" w:rsidRPr="000F21D1">
        <w:rPr>
          <w:rFonts w:ascii="Garamond" w:hAnsi="Garamond"/>
        </w:rPr>
        <w:t>0</w:t>
      </w:r>
      <w:r w:rsidR="002E7E19" w:rsidRPr="000F21D1">
        <w:rPr>
          <w:rFonts w:ascii="Garamond" w:hAnsi="Garamond"/>
        </w:rPr>
        <w:t>.3%), eggs (1</w:t>
      </w:r>
      <w:r w:rsidR="00C64DA5" w:rsidRPr="000F21D1">
        <w:rPr>
          <w:rFonts w:ascii="Garamond" w:hAnsi="Garamond"/>
        </w:rPr>
        <w:t>4</w:t>
      </w:r>
      <w:r w:rsidR="002E7E19" w:rsidRPr="000F21D1">
        <w:rPr>
          <w:rFonts w:ascii="Garamond" w:hAnsi="Garamond"/>
        </w:rPr>
        <w:t>.</w:t>
      </w:r>
      <w:r w:rsidR="00C64DA5" w:rsidRPr="000F21D1">
        <w:rPr>
          <w:rFonts w:ascii="Garamond" w:hAnsi="Garamond"/>
        </w:rPr>
        <w:t>5</w:t>
      </w:r>
      <w:r w:rsidR="002E7E19" w:rsidRPr="000F21D1">
        <w:rPr>
          <w:rFonts w:ascii="Garamond" w:hAnsi="Garamond"/>
        </w:rPr>
        <w:t>%) and meat (7</w:t>
      </w:r>
      <w:r w:rsidR="00C64DA5" w:rsidRPr="000F21D1">
        <w:rPr>
          <w:rFonts w:ascii="Garamond" w:hAnsi="Garamond"/>
        </w:rPr>
        <w:t>.6</w:t>
      </w:r>
      <w:r w:rsidR="002E7E19" w:rsidRPr="000F21D1">
        <w:rPr>
          <w:rFonts w:ascii="Garamond" w:hAnsi="Garamond"/>
        </w:rPr>
        <w:t>%).</w:t>
      </w:r>
    </w:p>
    <w:p w14:paraId="775A6472" w14:textId="77777777" w:rsidR="00F51B36" w:rsidRPr="000F21D1" w:rsidRDefault="00F51B36" w:rsidP="00FF3CD9">
      <w:pPr>
        <w:spacing w:line="360" w:lineRule="auto"/>
        <w:jc w:val="both"/>
        <w:rPr>
          <w:rFonts w:ascii="Garamond" w:hAnsi="Garamond"/>
        </w:rPr>
      </w:pPr>
    </w:p>
    <w:p w14:paraId="61CC7262" w14:textId="77777777" w:rsidR="00F51B36" w:rsidRPr="000F21D1" w:rsidRDefault="00F51B36" w:rsidP="00FF3CD9">
      <w:pPr>
        <w:spacing w:line="360" w:lineRule="auto"/>
        <w:jc w:val="both"/>
        <w:rPr>
          <w:rFonts w:ascii="Garamond" w:hAnsi="Garamond"/>
        </w:rPr>
      </w:pPr>
      <w:r w:rsidRPr="000F21D1">
        <w:rPr>
          <w:rFonts w:ascii="Garamond" w:hAnsi="Garamond"/>
          <w:b/>
        </w:rPr>
        <w:t xml:space="preserve">Construction </w:t>
      </w:r>
      <w:r w:rsidRPr="000F21D1">
        <w:rPr>
          <w:rFonts w:ascii="Garamond" w:hAnsi="Garamond"/>
        </w:rPr>
        <w:t>posted</w:t>
      </w:r>
      <w:r w:rsidR="002A11DD" w:rsidRPr="000F21D1">
        <w:rPr>
          <w:rFonts w:ascii="Garamond" w:hAnsi="Garamond"/>
          <w:lang w:val="hy-AM"/>
        </w:rPr>
        <w:t xml:space="preserve"> </w:t>
      </w:r>
      <w:r w:rsidR="00EC45CF" w:rsidRPr="000F21D1">
        <w:rPr>
          <w:rFonts w:ascii="Garamond" w:hAnsi="Garamond"/>
        </w:rPr>
        <w:t>a 2</w:t>
      </w:r>
      <w:r w:rsidRPr="000F21D1">
        <w:rPr>
          <w:rFonts w:ascii="Garamond" w:hAnsi="Garamond"/>
        </w:rPr>
        <w:t>.</w:t>
      </w:r>
      <w:r w:rsidR="00EC45CF" w:rsidRPr="000F21D1">
        <w:rPr>
          <w:rFonts w:ascii="Garamond" w:hAnsi="Garamond"/>
        </w:rPr>
        <w:t>7</w:t>
      </w:r>
      <w:r w:rsidRPr="000F21D1">
        <w:rPr>
          <w:rFonts w:ascii="Garamond" w:hAnsi="Garamond"/>
        </w:rPr>
        <w:t xml:space="preserve">% y/y price </w:t>
      </w:r>
      <w:r w:rsidR="00EC45CF" w:rsidRPr="000F21D1">
        <w:rPr>
          <w:rFonts w:ascii="Garamond" w:hAnsi="Garamond"/>
        </w:rPr>
        <w:t>de</w:t>
      </w:r>
      <w:r w:rsidRPr="000F21D1">
        <w:rPr>
          <w:rFonts w:ascii="Garamond" w:hAnsi="Garamond"/>
        </w:rPr>
        <w:t xml:space="preserve">crease </w:t>
      </w:r>
      <w:r w:rsidR="00EC45CF" w:rsidRPr="000F21D1">
        <w:rPr>
          <w:rFonts w:ascii="Garamond" w:hAnsi="Garamond"/>
        </w:rPr>
        <w:t>during the</w:t>
      </w:r>
      <w:r w:rsidRPr="000F21D1">
        <w:rPr>
          <w:rFonts w:ascii="Garamond" w:hAnsi="Garamond"/>
        </w:rPr>
        <w:t xml:space="preserve"> quarter</w:t>
      </w:r>
      <w:r w:rsidR="00EC45CF" w:rsidRPr="000F21D1">
        <w:rPr>
          <w:rFonts w:ascii="Garamond" w:hAnsi="Garamond"/>
        </w:rPr>
        <w:t xml:space="preserve">, </w:t>
      </w:r>
      <w:r w:rsidR="00EC45CF" w:rsidRPr="000F21D1">
        <w:rPr>
          <w:rFonts w:ascii="Garamond" w:hAnsi="Garamond" w:cs="Sylfaen"/>
        </w:rPr>
        <w:t xml:space="preserve">with </w:t>
      </w:r>
      <w:r w:rsidR="00EC45CF" w:rsidRPr="000F21D1">
        <w:rPr>
          <w:rFonts w:ascii="Garamond" w:hAnsi="Garamond" w:cs="Sylfaen"/>
          <w:lang w:val="hy-AM"/>
        </w:rPr>
        <w:t xml:space="preserve">the </w:t>
      </w:r>
      <w:r w:rsidR="00EC45CF" w:rsidRPr="000F21D1">
        <w:rPr>
          <w:rFonts w:ascii="Garamond" w:hAnsi="Garamond"/>
        </w:rPr>
        <w:t>January-June</w:t>
      </w:r>
      <w:r w:rsidR="00EC45CF" w:rsidRPr="000F21D1">
        <w:rPr>
          <w:rFonts w:ascii="Garamond" w:hAnsi="Garamond" w:cs="Sylfaen"/>
        </w:rPr>
        <w:t xml:space="preserve"> price deflation having reached 1.2% y/y,</w:t>
      </w:r>
      <w:r w:rsidRPr="000F21D1">
        <w:rPr>
          <w:rFonts w:ascii="Garamond" w:hAnsi="Garamond"/>
        </w:rPr>
        <w:t xml:space="preserve"> primarily </w:t>
      </w:r>
      <w:r w:rsidR="00EC45CF" w:rsidRPr="000F21D1">
        <w:rPr>
          <w:rFonts w:ascii="Garamond" w:hAnsi="Garamond"/>
        </w:rPr>
        <w:t>due to</w:t>
      </w:r>
      <w:r w:rsidRPr="000F21D1">
        <w:rPr>
          <w:rFonts w:ascii="Garamond" w:hAnsi="Garamond"/>
        </w:rPr>
        <w:t xml:space="preserve"> </w:t>
      </w:r>
      <w:r w:rsidR="00EC45CF" w:rsidRPr="000F21D1">
        <w:rPr>
          <w:rFonts w:ascii="Garamond" w:hAnsi="Garamond"/>
        </w:rPr>
        <w:t xml:space="preserve">reduced </w:t>
      </w:r>
      <w:r w:rsidRPr="000F21D1">
        <w:rPr>
          <w:rFonts w:ascii="Garamond" w:hAnsi="Garamond"/>
        </w:rPr>
        <w:t>costs in construction and assembly works (</w:t>
      </w:r>
      <w:r w:rsidR="00EC45CF" w:rsidRPr="000F21D1">
        <w:rPr>
          <w:rFonts w:ascii="Garamond" w:hAnsi="Garamond"/>
        </w:rPr>
        <w:t>1</w:t>
      </w:r>
      <w:r w:rsidRPr="000F21D1">
        <w:rPr>
          <w:rFonts w:ascii="Garamond" w:hAnsi="Garamond"/>
        </w:rPr>
        <w:t>.</w:t>
      </w:r>
      <w:r w:rsidR="00EC45CF" w:rsidRPr="000F21D1">
        <w:rPr>
          <w:rFonts w:ascii="Garamond" w:hAnsi="Garamond"/>
        </w:rPr>
        <w:t>5</w:t>
      </w:r>
      <w:r w:rsidRPr="000F21D1">
        <w:rPr>
          <w:rFonts w:ascii="Garamond" w:hAnsi="Garamond"/>
        </w:rPr>
        <w:t>%)</w:t>
      </w:r>
      <w:r w:rsidR="00EC45CF" w:rsidRPr="000F21D1">
        <w:rPr>
          <w:rFonts w:ascii="Garamond" w:hAnsi="Garamond"/>
        </w:rPr>
        <w:t xml:space="preserve">, </w:t>
      </w:r>
      <w:r w:rsidRPr="000F21D1">
        <w:rPr>
          <w:rFonts w:ascii="Garamond" w:hAnsi="Garamond"/>
        </w:rPr>
        <w:t>equipment and materials (0.</w:t>
      </w:r>
      <w:r w:rsidR="00EC45CF" w:rsidRPr="000F21D1">
        <w:rPr>
          <w:rFonts w:ascii="Garamond" w:hAnsi="Garamond"/>
        </w:rPr>
        <w:t>7</w:t>
      </w:r>
      <w:r w:rsidRPr="000F21D1">
        <w:rPr>
          <w:rFonts w:ascii="Garamond" w:hAnsi="Garamond"/>
        </w:rPr>
        <w:t>%)</w:t>
      </w:r>
      <w:r w:rsidR="00EC45CF" w:rsidRPr="000F21D1">
        <w:rPr>
          <w:rFonts w:ascii="Garamond" w:hAnsi="Garamond"/>
        </w:rPr>
        <w:t xml:space="preserve"> and other expenditures (0.5%)</w:t>
      </w:r>
      <w:r w:rsidRPr="000F21D1">
        <w:rPr>
          <w:rFonts w:ascii="Garamond" w:hAnsi="Garamond"/>
        </w:rPr>
        <w:t>.</w:t>
      </w:r>
      <w:r w:rsidR="00EC45CF" w:rsidRPr="000F21D1">
        <w:rPr>
          <w:rFonts w:ascii="Garamond" w:hAnsi="Garamond"/>
        </w:rPr>
        <w:t xml:space="preserve"> The price deflation on item </w:t>
      </w:r>
      <w:r w:rsidR="0099740A" w:rsidRPr="000F21D1">
        <w:rPr>
          <w:rFonts w:ascii="Garamond" w:hAnsi="Garamond"/>
        </w:rPr>
        <w:t>“</w:t>
      </w:r>
      <w:r w:rsidR="00EC45CF" w:rsidRPr="000F21D1">
        <w:rPr>
          <w:rFonts w:ascii="Garamond" w:hAnsi="Garamond"/>
        </w:rPr>
        <w:t>other expenditures</w:t>
      </w:r>
      <w:r w:rsidR="0099740A" w:rsidRPr="000F21D1">
        <w:rPr>
          <w:rFonts w:ascii="Garamond" w:hAnsi="Garamond"/>
        </w:rPr>
        <w:t>”</w:t>
      </w:r>
      <w:r w:rsidR="00EC45CF" w:rsidRPr="000F21D1">
        <w:rPr>
          <w:rFonts w:ascii="Garamond" w:hAnsi="Garamond"/>
        </w:rPr>
        <w:t xml:space="preserve"> is m</w:t>
      </w:r>
      <w:r w:rsidR="0099740A" w:rsidRPr="000F21D1">
        <w:rPr>
          <w:rFonts w:ascii="Garamond" w:hAnsi="Garamond"/>
        </w:rPr>
        <w:t xml:space="preserve">ostly a result of reduced </w:t>
      </w:r>
      <w:r w:rsidR="00EC45CF" w:rsidRPr="000F21D1">
        <w:rPr>
          <w:rFonts w:ascii="Garamond" w:hAnsi="Garamond"/>
        </w:rPr>
        <w:t xml:space="preserve">wages </w:t>
      </w:r>
      <w:r w:rsidR="0099740A" w:rsidRPr="000F21D1">
        <w:rPr>
          <w:rFonts w:ascii="Garamond" w:hAnsi="Garamond"/>
        </w:rPr>
        <w:t>in the construction sector</w:t>
      </w:r>
      <w:r w:rsidR="00EC45CF" w:rsidRPr="000F21D1">
        <w:rPr>
          <w:rFonts w:ascii="Garamond" w:hAnsi="Garamond"/>
        </w:rPr>
        <w:t xml:space="preserve">. </w:t>
      </w:r>
      <w:r w:rsidR="0099740A" w:rsidRPr="000F21D1">
        <w:rPr>
          <w:rFonts w:ascii="Garamond" w:hAnsi="Garamond"/>
        </w:rPr>
        <w:t xml:space="preserve">Furthermore, the deflation in the sector owed to shrinking </w:t>
      </w:r>
      <w:r w:rsidR="00EC45CF" w:rsidRPr="000F21D1">
        <w:rPr>
          <w:rFonts w:ascii="Garamond" w:hAnsi="Garamond"/>
        </w:rPr>
        <w:t xml:space="preserve">construction volumes </w:t>
      </w:r>
      <w:r w:rsidR="0099740A" w:rsidRPr="000F21D1">
        <w:rPr>
          <w:rFonts w:ascii="Garamond" w:hAnsi="Garamond"/>
        </w:rPr>
        <w:t>amid sluggish e</w:t>
      </w:r>
      <w:r w:rsidR="00EC45CF" w:rsidRPr="000F21D1">
        <w:rPr>
          <w:rFonts w:ascii="Garamond" w:hAnsi="Garamond"/>
        </w:rPr>
        <w:t>conomic activity.</w:t>
      </w:r>
    </w:p>
    <w:p w14:paraId="7B4CF4F0" w14:textId="77777777" w:rsidR="00F51B36" w:rsidRPr="000F21D1" w:rsidRDefault="00F51B36" w:rsidP="00FF3CD9">
      <w:pPr>
        <w:spacing w:line="360" w:lineRule="auto"/>
        <w:jc w:val="both"/>
        <w:rPr>
          <w:rFonts w:ascii="Garamond" w:hAnsi="Garamond"/>
        </w:rPr>
      </w:pPr>
    </w:p>
    <w:p w14:paraId="525D8523" w14:textId="77777777" w:rsidR="00F51B36" w:rsidRPr="000F21D1" w:rsidRDefault="00F51B36" w:rsidP="00FF3CD9">
      <w:pPr>
        <w:spacing w:line="360" w:lineRule="auto"/>
        <w:jc w:val="both"/>
        <w:rPr>
          <w:rFonts w:ascii="Garamond" w:hAnsi="Garamond"/>
        </w:rPr>
      </w:pPr>
      <w:r w:rsidRPr="000F21D1">
        <w:rPr>
          <w:rFonts w:ascii="Garamond" w:hAnsi="Garamond"/>
          <w:b/>
        </w:rPr>
        <w:t xml:space="preserve">Carriage service </w:t>
      </w:r>
      <w:r w:rsidRPr="000F21D1">
        <w:rPr>
          <w:rFonts w:ascii="Garamond" w:hAnsi="Garamond"/>
        </w:rPr>
        <w:t xml:space="preserve">reported </w:t>
      </w:r>
      <w:r w:rsidR="00C50087" w:rsidRPr="000F21D1">
        <w:rPr>
          <w:rFonts w:ascii="Garamond" w:hAnsi="Garamond"/>
        </w:rPr>
        <w:t>a 2.</w:t>
      </w:r>
      <w:r w:rsidRPr="000F21D1">
        <w:rPr>
          <w:rFonts w:ascii="Garamond" w:hAnsi="Garamond"/>
        </w:rPr>
        <w:t>3% y/y d</w:t>
      </w:r>
      <w:r w:rsidR="00C50087" w:rsidRPr="000F21D1">
        <w:rPr>
          <w:rFonts w:ascii="Garamond" w:hAnsi="Garamond"/>
        </w:rPr>
        <w:t xml:space="preserve">rop </w:t>
      </w:r>
      <w:r w:rsidRPr="000F21D1">
        <w:rPr>
          <w:rFonts w:ascii="Garamond" w:hAnsi="Garamond"/>
        </w:rPr>
        <w:t xml:space="preserve">in tariffs </w:t>
      </w:r>
      <w:r w:rsidR="00C50087" w:rsidRPr="000F21D1">
        <w:rPr>
          <w:rFonts w:ascii="Garamond" w:hAnsi="Garamond"/>
        </w:rPr>
        <w:t xml:space="preserve">during </w:t>
      </w:r>
      <w:r w:rsidRPr="000F21D1">
        <w:rPr>
          <w:rFonts w:ascii="Garamond" w:hAnsi="Garamond"/>
        </w:rPr>
        <w:t>the quarter</w:t>
      </w:r>
      <w:r w:rsidR="00C50087" w:rsidRPr="000F21D1">
        <w:rPr>
          <w:rFonts w:ascii="Garamond" w:hAnsi="Garamond"/>
        </w:rPr>
        <w:t xml:space="preserve">, </w:t>
      </w:r>
      <w:r w:rsidR="00C50087" w:rsidRPr="000F21D1">
        <w:rPr>
          <w:rFonts w:ascii="Garamond" w:hAnsi="Garamond" w:cs="Sylfaen"/>
        </w:rPr>
        <w:t xml:space="preserve">with </w:t>
      </w:r>
      <w:r w:rsidR="00C50087" w:rsidRPr="000F21D1">
        <w:rPr>
          <w:rFonts w:ascii="Garamond" w:hAnsi="Garamond" w:cs="Sylfaen"/>
          <w:lang w:val="hy-AM"/>
        </w:rPr>
        <w:t xml:space="preserve">the </w:t>
      </w:r>
      <w:r w:rsidR="00C50087" w:rsidRPr="000F21D1">
        <w:rPr>
          <w:rFonts w:ascii="Garamond" w:hAnsi="Garamond"/>
        </w:rPr>
        <w:t>January-June</w:t>
      </w:r>
      <w:r w:rsidR="00C50087" w:rsidRPr="000F21D1">
        <w:rPr>
          <w:rFonts w:ascii="Garamond" w:hAnsi="Garamond" w:cs="Sylfaen"/>
        </w:rPr>
        <w:t xml:space="preserve"> deflation having </w:t>
      </w:r>
      <w:r w:rsidR="00F005A8" w:rsidRPr="000F21D1">
        <w:rPr>
          <w:rFonts w:ascii="Garamond" w:hAnsi="Garamond" w:cs="Sylfaen"/>
        </w:rPr>
        <w:t xml:space="preserve">amounted to </w:t>
      </w:r>
      <w:r w:rsidR="00C50087" w:rsidRPr="000F21D1">
        <w:rPr>
          <w:rFonts w:ascii="Garamond" w:hAnsi="Garamond" w:cs="Sylfaen"/>
        </w:rPr>
        <w:t>2.2% y/y,</w:t>
      </w:r>
      <w:r w:rsidRPr="000F21D1">
        <w:rPr>
          <w:rFonts w:ascii="Garamond" w:hAnsi="Garamond"/>
        </w:rPr>
        <w:t xml:space="preserve"> as a result of reduced fare of railroad transport (</w:t>
      </w:r>
      <w:r w:rsidR="00C50087" w:rsidRPr="000F21D1">
        <w:rPr>
          <w:rFonts w:ascii="Garamond" w:hAnsi="Garamond"/>
        </w:rPr>
        <w:t>2</w:t>
      </w:r>
      <w:r w:rsidRPr="000F21D1">
        <w:rPr>
          <w:rFonts w:ascii="Garamond" w:hAnsi="Garamond"/>
        </w:rPr>
        <w:t>.</w:t>
      </w:r>
      <w:r w:rsidR="00C50087" w:rsidRPr="000F21D1">
        <w:rPr>
          <w:rFonts w:ascii="Garamond" w:hAnsi="Garamond"/>
        </w:rPr>
        <w:t>7</w:t>
      </w:r>
      <w:r w:rsidRPr="000F21D1">
        <w:rPr>
          <w:rFonts w:ascii="Garamond" w:hAnsi="Garamond"/>
        </w:rPr>
        <w:t>%) and motor transport (</w:t>
      </w:r>
      <w:r w:rsidR="00C50087" w:rsidRPr="000F21D1">
        <w:rPr>
          <w:rFonts w:ascii="Garamond" w:hAnsi="Garamond"/>
        </w:rPr>
        <w:t>5</w:t>
      </w:r>
      <w:r w:rsidRPr="000F21D1">
        <w:rPr>
          <w:rFonts w:ascii="Garamond" w:hAnsi="Garamond"/>
        </w:rPr>
        <w:t>.4%).</w:t>
      </w:r>
      <w:r w:rsidR="00C50087" w:rsidRPr="000F21D1">
        <w:rPr>
          <w:rFonts w:ascii="Garamond" w:hAnsi="Garamond"/>
        </w:rPr>
        <w:t xml:space="preserve"> </w:t>
      </w:r>
      <w:r w:rsidR="00A00F56" w:rsidRPr="000F21D1">
        <w:rPr>
          <w:rFonts w:ascii="Garamond" w:hAnsi="Garamond"/>
        </w:rPr>
        <w:t>The highest decrease in tariffs recorded in motor transport</w:t>
      </w:r>
      <w:r w:rsidR="002A11DD" w:rsidRPr="000F21D1">
        <w:rPr>
          <w:rFonts w:ascii="Garamond" w:hAnsi="Garamond"/>
          <w:lang w:val="hy-AM"/>
        </w:rPr>
        <w:t xml:space="preserve"> </w:t>
      </w:r>
      <w:r w:rsidR="00A00F56" w:rsidRPr="000F21D1">
        <w:rPr>
          <w:rFonts w:ascii="Garamond" w:hAnsi="Garamond"/>
        </w:rPr>
        <w:t>was mainly driven by fallen prices of petrol and diesel.</w:t>
      </w:r>
    </w:p>
    <w:p w14:paraId="68C9638F" w14:textId="77777777" w:rsidR="00E31CBC" w:rsidRPr="000F21D1" w:rsidRDefault="00E31CBC" w:rsidP="00FF3CD9">
      <w:pPr>
        <w:spacing w:line="360" w:lineRule="auto"/>
        <w:jc w:val="both"/>
        <w:rPr>
          <w:rFonts w:ascii="Garamond" w:hAnsi="Garamond"/>
        </w:rPr>
      </w:pPr>
    </w:p>
    <w:p w14:paraId="10FD489B" w14:textId="77777777" w:rsidR="00E31CBC" w:rsidRPr="000F21D1" w:rsidRDefault="00E31CBC" w:rsidP="00FF3CD9">
      <w:pPr>
        <w:spacing w:line="360" w:lineRule="auto"/>
        <w:jc w:val="both"/>
        <w:rPr>
          <w:rFonts w:ascii="Garamond" w:hAnsi="Garamond"/>
          <w:b/>
        </w:rPr>
      </w:pPr>
      <w:r w:rsidRPr="000F21D1">
        <w:rPr>
          <w:rFonts w:ascii="Garamond" w:hAnsi="Garamond"/>
          <w:b/>
        </w:rPr>
        <w:t>3.1.3. Inflation and interest rate expectations</w:t>
      </w:r>
    </w:p>
    <w:p w14:paraId="5FD72C1D" w14:textId="77777777" w:rsidR="00E31CBC" w:rsidRPr="000F21D1" w:rsidRDefault="00E31CBC" w:rsidP="00FF3CD9">
      <w:pPr>
        <w:spacing w:line="360" w:lineRule="auto"/>
        <w:jc w:val="both"/>
        <w:rPr>
          <w:rFonts w:ascii="Garamond" w:hAnsi="Garamond"/>
          <w:b/>
        </w:rPr>
      </w:pPr>
    </w:p>
    <w:p w14:paraId="5CC42B27" w14:textId="77777777" w:rsidR="00E31CBC" w:rsidRPr="000F21D1" w:rsidRDefault="00E31CBC" w:rsidP="00FF3CD9">
      <w:pPr>
        <w:spacing w:line="360" w:lineRule="auto"/>
        <w:jc w:val="both"/>
        <w:rPr>
          <w:rFonts w:ascii="Garamond" w:hAnsi="Garamond"/>
          <w:iCs/>
        </w:rPr>
      </w:pPr>
      <w:r w:rsidRPr="000F21D1">
        <w:rPr>
          <w:rFonts w:ascii="Garamond" w:hAnsi="Garamond"/>
          <w:iCs/>
        </w:rPr>
        <w:t xml:space="preserve">The </w:t>
      </w:r>
      <w:r w:rsidRPr="000F21D1">
        <w:rPr>
          <w:rFonts w:ascii="Garamond" w:hAnsi="Garamond"/>
        </w:rPr>
        <w:t>financial sector survey by the CBA</w:t>
      </w:r>
      <w:r w:rsidR="00610D1F" w:rsidRPr="000F21D1">
        <w:rPr>
          <w:rFonts w:ascii="Garamond" w:hAnsi="Garamond"/>
          <w:iCs/>
        </w:rPr>
        <w:t xml:space="preserve"> for the </w:t>
      </w:r>
      <w:r w:rsidR="001711FF" w:rsidRPr="000F21D1">
        <w:rPr>
          <w:rFonts w:ascii="Garamond" w:hAnsi="Garamond"/>
          <w:iCs/>
        </w:rPr>
        <w:t>second</w:t>
      </w:r>
      <w:r w:rsidRPr="000F21D1">
        <w:rPr>
          <w:rFonts w:ascii="Garamond" w:hAnsi="Garamond"/>
          <w:iCs/>
        </w:rPr>
        <w:t xml:space="preserve"> quarter of </w:t>
      </w:r>
      <w:r w:rsidR="00610D1F" w:rsidRPr="000F21D1">
        <w:rPr>
          <w:rFonts w:ascii="Garamond" w:hAnsi="Garamond"/>
          <w:iCs/>
        </w:rPr>
        <w:t>2016</w:t>
      </w:r>
      <w:r w:rsidRPr="000F21D1">
        <w:rPr>
          <w:rFonts w:ascii="Garamond" w:hAnsi="Garamond"/>
          <w:iCs/>
        </w:rPr>
        <w:t xml:space="preserve"> </w:t>
      </w:r>
      <w:r w:rsidR="00F1319F" w:rsidRPr="000F21D1">
        <w:rPr>
          <w:rFonts w:ascii="Garamond" w:hAnsi="Garamond"/>
          <w:iCs/>
        </w:rPr>
        <w:t>shows</w:t>
      </w:r>
      <w:r w:rsidRPr="000F21D1">
        <w:rPr>
          <w:rFonts w:ascii="Garamond" w:hAnsi="Garamond"/>
          <w:iCs/>
        </w:rPr>
        <w:t xml:space="preserve"> that </w:t>
      </w:r>
      <w:r w:rsidRPr="000F21D1">
        <w:rPr>
          <w:rFonts w:ascii="Garamond" w:hAnsi="Garamond"/>
        </w:rPr>
        <w:t>households’ inflation expectations</w:t>
      </w:r>
      <w:r w:rsidR="002A11DD" w:rsidRPr="000F21D1">
        <w:rPr>
          <w:rFonts w:ascii="Garamond" w:hAnsi="Garamond"/>
          <w:lang w:val="hy-AM"/>
        </w:rPr>
        <w:t xml:space="preserve"> </w:t>
      </w:r>
      <w:r w:rsidRPr="000F21D1">
        <w:rPr>
          <w:rFonts w:ascii="Garamond" w:hAnsi="Garamond"/>
        </w:rPr>
        <w:t xml:space="preserve">for an upcoming one-year horizon have </w:t>
      </w:r>
      <w:r w:rsidR="006E25F7" w:rsidRPr="000F21D1">
        <w:rPr>
          <w:rFonts w:ascii="Garamond" w:hAnsi="Garamond"/>
        </w:rPr>
        <w:t xml:space="preserve">reduced </w:t>
      </w:r>
      <w:r w:rsidRPr="000F21D1">
        <w:rPr>
          <w:rFonts w:ascii="Garamond" w:hAnsi="Garamond"/>
        </w:rPr>
        <w:t>notably</w:t>
      </w:r>
      <w:r w:rsidR="00F1319F" w:rsidRPr="000F21D1">
        <w:rPr>
          <w:rFonts w:ascii="Garamond" w:hAnsi="Garamond"/>
          <w:iCs/>
        </w:rPr>
        <w:t xml:space="preserve"> as the</w:t>
      </w:r>
      <w:r w:rsidR="006E25F7" w:rsidRPr="000F21D1">
        <w:rPr>
          <w:rFonts w:ascii="Garamond" w:hAnsi="Garamond"/>
          <w:iCs/>
        </w:rPr>
        <w:t xml:space="preserve"> prices of goods, net of seasonal agricultural products, </w:t>
      </w:r>
      <w:r w:rsidR="000F6DDC" w:rsidRPr="000F21D1">
        <w:rPr>
          <w:rFonts w:ascii="Garamond" w:hAnsi="Garamond"/>
          <w:iCs/>
        </w:rPr>
        <w:t xml:space="preserve">followed a path that further sloped down. </w:t>
      </w:r>
      <w:r w:rsidR="006E25F7" w:rsidRPr="000F21D1">
        <w:rPr>
          <w:rFonts w:ascii="Garamond" w:hAnsi="Garamond"/>
          <w:iCs/>
        </w:rPr>
        <w:t xml:space="preserve">Estimations produced </w:t>
      </w:r>
      <w:r w:rsidR="0092387B" w:rsidRPr="000F21D1">
        <w:rPr>
          <w:rFonts w:ascii="Garamond" w:hAnsi="Garamond"/>
          <w:iCs/>
        </w:rPr>
        <w:t xml:space="preserve">on </w:t>
      </w:r>
      <w:r w:rsidR="006E25F7" w:rsidRPr="000F21D1">
        <w:rPr>
          <w:rFonts w:ascii="Garamond" w:hAnsi="Garamond"/>
          <w:iCs/>
        </w:rPr>
        <w:t xml:space="preserve">the CBA’s core model suggest that inflation expectations reduced </w:t>
      </w:r>
      <w:r w:rsidR="0092387B" w:rsidRPr="000F21D1">
        <w:rPr>
          <w:rFonts w:ascii="Garamond" w:hAnsi="Garamond"/>
          <w:iCs/>
        </w:rPr>
        <w:t xml:space="preserve">faster </w:t>
      </w:r>
      <w:r w:rsidR="00731916" w:rsidRPr="000F21D1">
        <w:rPr>
          <w:rFonts w:ascii="Garamond" w:hAnsi="Garamond"/>
          <w:iCs/>
        </w:rPr>
        <w:t xml:space="preserve">this quarter </w:t>
      </w:r>
      <w:r w:rsidR="006E25F7" w:rsidRPr="000F21D1">
        <w:rPr>
          <w:rFonts w:ascii="Garamond" w:hAnsi="Garamond"/>
          <w:iCs/>
        </w:rPr>
        <w:t xml:space="preserve">than expected, amounting to </w:t>
      </w:r>
      <w:r w:rsidR="000F6DDC" w:rsidRPr="000F21D1">
        <w:rPr>
          <w:rFonts w:ascii="Garamond" w:hAnsi="Garamond"/>
          <w:iCs/>
        </w:rPr>
        <w:t>1</w:t>
      </w:r>
      <w:r w:rsidR="006E25F7" w:rsidRPr="000F21D1">
        <w:rPr>
          <w:rFonts w:ascii="Garamond" w:hAnsi="Garamond"/>
          <w:iCs/>
        </w:rPr>
        <w:t>.</w:t>
      </w:r>
      <w:r w:rsidR="000F6DDC" w:rsidRPr="000F21D1">
        <w:rPr>
          <w:rFonts w:ascii="Garamond" w:hAnsi="Garamond"/>
          <w:iCs/>
        </w:rPr>
        <w:t>5</w:t>
      </w:r>
      <w:r w:rsidR="006E25F7" w:rsidRPr="000F21D1">
        <w:rPr>
          <w:rFonts w:ascii="Garamond" w:hAnsi="Garamond"/>
          <w:iCs/>
        </w:rPr>
        <w:t xml:space="preserve">%, mainly </w:t>
      </w:r>
      <w:r w:rsidR="00731916" w:rsidRPr="000F21D1">
        <w:rPr>
          <w:rFonts w:ascii="Garamond" w:hAnsi="Garamond"/>
          <w:iCs/>
        </w:rPr>
        <w:t>t</w:t>
      </w:r>
      <w:r w:rsidR="0092387B" w:rsidRPr="000F21D1">
        <w:rPr>
          <w:rFonts w:ascii="Garamond" w:hAnsi="Garamond"/>
          <w:iCs/>
        </w:rPr>
        <w:t>h</w:t>
      </w:r>
      <w:r w:rsidR="00731916" w:rsidRPr="000F21D1">
        <w:rPr>
          <w:rFonts w:ascii="Garamond" w:hAnsi="Garamond"/>
          <w:iCs/>
        </w:rPr>
        <w:t>anks to t</w:t>
      </w:r>
      <w:r w:rsidR="006E25F7" w:rsidRPr="000F21D1">
        <w:rPr>
          <w:rFonts w:ascii="Garamond" w:hAnsi="Garamond"/>
          <w:iCs/>
        </w:rPr>
        <w:t>he consistent monetary policy</w:t>
      </w:r>
      <w:r w:rsidR="00731916" w:rsidRPr="000F21D1">
        <w:rPr>
          <w:rFonts w:ascii="Garamond" w:hAnsi="Garamond"/>
          <w:iCs/>
        </w:rPr>
        <w:t xml:space="preserve"> carried out by the CBA</w:t>
      </w:r>
      <w:r w:rsidR="006E25F7" w:rsidRPr="000F21D1">
        <w:rPr>
          <w:rFonts w:ascii="Garamond" w:hAnsi="Garamond"/>
          <w:iCs/>
        </w:rPr>
        <w:t>.</w:t>
      </w:r>
    </w:p>
    <w:p w14:paraId="6CB8501B" w14:textId="77777777" w:rsidR="00B705A8" w:rsidRPr="000F21D1" w:rsidRDefault="00B705A8" w:rsidP="00FF3CD9">
      <w:pPr>
        <w:spacing w:line="360" w:lineRule="auto"/>
        <w:jc w:val="both"/>
        <w:rPr>
          <w:rFonts w:ascii="Garamond" w:hAnsi="Garamond"/>
          <w:iCs/>
        </w:rPr>
      </w:pPr>
    </w:p>
    <w:p w14:paraId="75E60CF3" w14:textId="77777777" w:rsidR="00B705A8" w:rsidRPr="000F21D1" w:rsidRDefault="00C661EF" w:rsidP="00FF3CD9">
      <w:pPr>
        <w:spacing w:line="360" w:lineRule="auto"/>
        <w:jc w:val="both"/>
        <w:rPr>
          <w:rFonts w:ascii="Garamond" w:hAnsi="Garamond"/>
          <w:iCs/>
        </w:rPr>
      </w:pPr>
      <w:r w:rsidRPr="000F21D1">
        <w:rPr>
          <w:rFonts w:ascii="Garamond" w:hAnsi="Garamond"/>
          <w:iCs/>
        </w:rPr>
        <w:lastRenderedPageBreak/>
        <w:t xml:space="preserve">In the second quarter </w:t>
      </w:r>
      <w:r w:rsidR="003735BC" w:rsidRPr="000F21D1">
        <w:rPr>
          <w:rFonts w:ascii="Garamond" w:hAnsi="Garamond"/>
          <w:iCs/>
        </w:rPr>
        <w:t xml:space="preserve">of 2016 </w:t>
      </w:r>
      <w:r w:rsidRPr="000F21D1">
        <w:rPr>
          <w:rFonts w:ascii="Garamond" w:hAnsi="Garamond"/>
          <w:iCs/>
        </w:rPr>
        <w:t xml:space="preserve">the CBA continued its surveys with the financial sector and households to figure out what are their expectations of a selected number of macroeconomic indicators. The results of the survey point to the </w:t>
      </w:r>
      <w:r w:rsidR="00A41E9D" w:rsidRPr="000F21D1">
        <w:rPr>
          <w:rFonts w:ascii="Garamond" w:hAnsi="Garamond"/>
          <w:iCs/>
        </w:rPr>
        <w:t xml:space="preserve">easing of inflationary expectations </w:t>
      </w:r>
      <w:r w:rsidRPr="000F21D1">
        <w:rPr>
          <w:rFonts w:ascii="Garamond" w:hAnsi="Garamond"/>
          <w:iCs/>
        </w:rPr>
        <w:t>this quarter; t</w:t>
      </w:r>
      <w:r w:rsidR="00B705A8" w:rsidRPr="000F21D1">
        <w:rPr>
          <w:rFonts w:ascii="Garamond" w:hAnsi="Garamond"/>
        </w:rPr>
        <w:t xml:space="preserve">he average level of inflation expectations </w:t>
      </w:r>
      <w:r w:rsidR="00907F05" w:rsidRPr="000F21D1">
        <w:rPr>
          <w:rFonts w:ascii="Garamond" w:hAnsi="Garamond"/>
        </w:rPr>
        <w:t>in</w:t>
      </w:r>
      <w:r w:rsidR="00B705A8" w:rsidRPr="000F21D1">
        <w:rPr>
          <w:rFonts w:ascii="Garamond" w:hAnsi="Garamond"/>
        </w:rPr>
        <w:t xml:space="preserve"> the financial system</w:t>
      </w:r>
      <w:r w:rsidR="00907F05" w:rsidRPr="000F21D1">
        <w:rPr>
          <w:rFonts w:ascii="Garamond" w:hAnsi="Garamond"/>
        </w:rPr>
        <w:t xml:space="preserve"> is</w:t>
      </w:r>
      <w:r w:rsidR="00B705A8" w:rsidRPr="000F21D1">
        <w:rPr>
          <w:rFonts w:ascii="Garamond" w:hAnsi="Garamond"/>
        </w:rPr>
        <w:t xml:space="preserve"> 3</w:t>
      </w:r>
      <w:r w:rsidRPr="000F21D1">
        <w:rPr>
          <w:rFonts w:ascii="Garamond" w:hAnsi="Garamond"/>
        </w:rPr>
        <w:t>.0</w:t>
      </w:r>
      <w:r w:rsidR="00B705A8" w:rsidRPr="000F21D1">
        <w:rPr>
          <w:rFonts w:ascii="Garamond" w:hAnsi="Garamond"/>
        </w:rPr>
        <w:t xml:space="preserve">% </w:t>
      </w:r>
      <w:r w:rsidRPr="000F21D1">
        <w:rPr>
          <w:rFonts w:ascii="Garamond" w:hAnsi="Garamond"/>
        </w:rPr>
        <w:t xml:space="preserve">for </w:t>
      </w:r>
      <w:r w:rsidR="00907F05" w:rsidRPr="000F21D1">
        <w:rPr>
          <w:rFonts w:ascii="Garamond" w:hAnsi="Garamond"/>
        </w:rPr>
        <w:t>the upcoming one-year horizon compared to the relevant indicator of</w:t>
      </w:r>
      <w:r w:rsidRPr="000F21D1">
        <w:rPr>
          <w:rFonts w:ascii="Garamond" w:hAnsi="Garamond"/>
        </w:rPr>
        <w:t xml:space="preserve"> 3</w:t>
      </w:r>
      <w:r w:rsidR="00B705A8" w:rsidRPr="000F21D1">
        <w:rPr>
          <w:rFonts w:ascii="Garamond" w:hAnsi="Garamond"/>
        </w:rPr>
        <w:t>.</w:t>
      </w:r>
      <w:r w:rsidRPr="000F21D1">
        <w:rPr>
          <w:rFonts w:ascii="Garamond" w:hAnsi="Garamond"/>
        </w:rPr>
        <w:t>5</w:t>
      </w:r>
      <w:r w:rsidR="00B705A8" w:rsidRPr="000F21D1">
        <w:rPr>
          <w:rFonts w:ascii="Garamond" w:hAnsi="Garamond"/>
        </w:rPr>
        <w:t xml:space="preserve">% </w:t>
      </w:r>
      <w:r w:rsidR="00907F05" w:rsidRPr="000F21D1">
        <w:rPr>
          <w:rFonts w:ascii="Garamond" w:hAnsi="Garamond"/>
        </w:rPr>
        <w:t xml:space="preserve">reported in the </w:t>
      </w:r>
      <w:r w:rsidR="00B705A8" w:rsidRPr="000F21D1">
        <w:rPr>
          <w:rFonts w:ascii="Garamond" w:hAnsi="Garamond"/>
        </w:rPr>
        <w:t>previous survey.</w:t>
      </w:r>
      <w:r w:rsidR="003735BC" w:rsidRPr="000F21D1">
        <w:rPr>
          <w:rFonts w:ascii="Garamond" w:hAnsi="Garamond"/>
        </w:rPr>
        <w:t xml:space="preserve"> </w:t>
      </w:r>
      <w:r w:rsidR="00B705A8" w:rsidRPr="000F21D1">
        <w:rPr>
          <w:rFonts w:ascii="Garamond" w:hAnsi="Garamond"/>
        </w:rPr>
        <w:t xml:space="preserve">Thus, </w:t>
      </w:r>
      <w:r w:rsidR="00907F05" w:rsidRPr="000F21D1">
        <w:rPr>
          <w:rFonts w:ascii="Garamond" w:hAnsi="Garamond"/>
          <w:b/>
        </w:rPr>
        <w:t xml:space="preserve">commercial </w:t>
      </w:r>
      <w:r w:rsidR="00B705A8" w:rsidRPr="000F21D1">
        <w:rPr>
          <w:rFonts w:ascii="Garamond" w:hAnsi="Garamond"/>
          <w:b/>
        </w:rPr>
        <w:t>banks</w:t>
      </w:r>
      <w:r w:rsidR="00B705A8" w:rsidRPr="000F21D1">
        <w:rPr>
          <w:rFonts w:ascii="Garamond" w:hAnsi="Garamond"/>
        </w:rPr>
        <w:t xml:space="preserve"> ha</w:t>
      </w:r>
      <w:r w:rsidR="00137211" w:rsidRPr="000F21D1">
        <w:rPr>
          <w:rFonts w:ascii="Garamond" w:hAnsi="Garamond"/>
        </w:rPr>
        <w:t>ve</w:t>
      </w:r>
      <w:r w:rsidR="00B705A8" w:rsidRPr="000F21D1">
        <w:rPr>
          <w:rFonts w:ascii="Garamond" w:hAnsi="Garamond"/>
        </w:rPr>
        <w:t xml:space="preserve"> their expectations of the 12-month inflation rate anchored around a </w:t>
      </w:r>
      <w:r w:rsidR="00137211" w:rsidRPr="000F21D1">
        <w:rPr>
          <w:rFonts w:ascii="Garamond" w:hAnsi="Garamond"/>
          <w:b/>
        </w:rPr>
        <w:t>2</w:t>
      </w:r>
      <w:r w:rsidR="00B705A8" w:rsidRPr="000F21D1">
        <w:rPr>
          <w:rFonts w:ascii="Garamond" w:hAnsi="Garamond"/>
          <w:b/>
        </w:rPr>
        <w:t>.</w:t>
      </w:r>
      <w:r w:rsidR="00137211" w:rsidRPr="000F21D1">
        <w:rPr>
          <w:rFonts w:ascii="Garamond" w:hAnsi="Garamond"/>
          <w:b/>
        </w:rPr>
        <w:t>5</w:t>
      </w:r>
      <w:r w:rsidR="00B705A8" w:rsidRPr="000F21D1">
        <w:rPr>
          <w:rFonts w:ascii="Garamond" w:hAnsi="Garamond"/>
          <w:b/>
        </w:rPr>
        <w:t>%</w:t>
      </w:r>
      <w:r w:rsidR="00B705A8" w:rsidRPr="000F21D1">
        <w:rPr>
          <w:rFonts w:ascii="Garamond" w:hAnsi="Garamond"/>
        </w:rPr>
        <w:t xml:space="preserve"> level</w:t>
      </w:r>
      <w:r w:rsidR="00907F05" w:rsidRPr="000F21D1">
        <w:rPr>
          <w:rFonts w:ascii="Garamond" w:hAnsi="Garamond"/>
        </w:rPr>
        <w:t xml:space="preserve"> against the average figure of </w:t>
      </w:r>
      <w:r w:rsidR="00137211" w:rsidRPr="000F21D1">
        <w:rPr>
          <w:rFonts w:ascii="Garamond" w:hAnsi="Garamond"/>
          <w:b/>
        </w:rPr>
        <w:t>3</w:t>
      </w:r>
      <w:r w:rsidR="00907F05" w:rsidRPr="000F21D1">
        <w:rPr>
          <w:rFonts w:ascii="Garamond" w:hAnsi="Garamond"/>
          <w:b/>
        </w:rPr>
        <w:t>.3%</w:t>
      </w:r>
      <w:r w:rsidR="00907F05" w:rsidRPr="000F21D1">
        <w:rPr>
          <w:rFonts w:ascii="Garamond" w:hAnsi="Garamond"/>
        </w:rPr>
        <w:t xml:space="preserve"> reported in the previous survey</w:t>
      </w:r>
      <w:r w:rsidR="00B705A8" w:rsidRPr="000F21D1">
        <w:rPr>
          <w:rFonts w:ascii="Garamond" w:hAnsi="Garamond"/>
        </w:rPr>
        <w:t xml:space="preserve">; </w:t>
      </w:r>
      <w:r w:rsidR="00B705A8" w:rsidRPr="000F21D1">
        <w:rPr>
          <w:rFonts w:ascii="Garamond" w:hAnsi="Garamond"/>
          <w:b/>
        </w:rPr>
        <w:t>credit organizations’</w:t>
      </w:r>
      <w:r w:rsidR="00B705A8" w:rsidRPr="000F21D1">
        <w:rPr>
          <w:rFonts w:ascii="Garamond" w:hAnsi="Garamond"/>
        </w:rPr>
        <w:t xml:space="preserve"> expectations have averaged </w:t>
      </w:r>
      <w:r w:rsidR="00907F05" w:rsidRPr="000F21D1">
        <w:rPr>
          <w:rFonts w:ascii="Garamond" w:hAnsi="Garamond"/>
          <w:b/>
        </w:rPr>
        <w:t>3</w:t>
      </w:r>
      <w:r w:rsidR="00B705A8" w:rsidRPr="000F21D1">
        <w:rPr>
          <w:rFonts w:ascii="Garamond" w:hAnsi="Garamond"/>
          <w:b/>
        </w:rPr>
        <w:t>.</w:t>
      </w:r>
      <w:r w:rsidR="00137211" w:rsidRPr="000F21D1">
        <w:rPr>
          <w:rFonts w:ascii="Garamond" w:hAnsi="Garamond"/>
          <w:b/>
        </w:rPr>
        <w:t>3</w:t>
      </w:r>
      <w:r w:rsidR="00B705A8" w:rsidRPr="000F21D1">
        <w:rPr>
          <w:rFonts w:ascii="Garamond" w:hAnsi="Garamond"/>
          <w:b/>
        </w:rPr>
        <w:t>%</w:t>
      </w:r>
      <w:r w:rsidR="00B705A8" w:rsidRPr="000F21D1">
        <w:rPr>
          <w:rFonts w:ascii="Garamond" w:hAnsi="Garamond"/>
        </w:rPr>
        <w:t xml:space="preserve"> compared to the previous indicator of </w:t>
      </w:r>
      <w:r w:rsidR="00137211" w:rsidRPr="000F21D1">
        <w:rPr>
          <w:rFonts w:ascii="Garamond" w:hAnsi="Garamond"/>
          <w:b/>
        </w:rPr>
        <w:t>3</w:t>
      </w:r>
      <w:r w:rsidR="00630551" w:rsidRPr="000F21D1">
        <w:rPr>
          <w:rFonts w:ascii="Garamond" w:hAnsi="Garamond"/>
          <w:b/>
        </w:rPr>
        <w:t>.</w:t>
      </w:r>
      <w:r w:rsidR="00137211" w:rsidRPr="000F21D1">
        <w:rPr>
          <w:rFonts w:ascii="Garamond" w:hAnsi="Garamond"/>
          <w:b/>
        </w:rPr>
        <w:t>6</w:t>
      </w:r>
      <w:r w:rsidR="00B705A8" w:rsidRPr="000F21D1">
        <w:rPr>
          <w:rFonts w:ascii="Garamond" w:hAnsi="Garamond"/>
          <w:b/>
        </w:rPr>
        <w:t>%</w:t>
      </w:r>
      <w:r w:rsidR="00137211" w:rsidRPr="000F21D1">
        <w:rPr>
          <w:rFonts w:ascii="Garamond" w:hAnsi="Garamond"/>
        </w:rPr>
        <w:t>;</w:t>
      </w:r>
      <w:r w:rsidR="00137211" w:rsidRPr="000F21D1">
        <w:rPr>
          <w:rFonts w:ascii="Garamond" w:hAnsi="Garamond"/>
          <w:b/>
        </w:rPr>
        <w:t xml:space="preserve"> </w:t>
      </w:r>
      <w:r w:rsidR="00137211" w:rsidRPr="000F21D1">
        <w:rPr>
          <w:rFonts w:ascii="Garamond" w:hAnsi="Garamond"/>
        </w:rPr>
        <w:t>and</w:t>
      </w:r>
      <w:r w:rsidR="00B705A8" w:rsidRPr="000F21D1">
        <w:rPr>
          <w:rFonts w:ascii="Garamond" w:hAnsi="Garamond"/>
          <w:iCs/>
        </w:rPr>
        <w:t xml:space="preserve"> households ha</w:t>
      </w:r>
      <w:r w:rsidR="00137211" w:rsidRPr="000F21D1">
        <w:rPr>
          <w:rFonts w:ascii="Garamond" w:hAnsi="Garamond"/>
          <w:iCs/>
        </w:rPr>
        <w:t>d</w:t>
      </w:r>
      <w:r w:rsidR="00B705A8" w:rsidRPr="000F21D1">
        <w:rPr>
          <w:rFonts w:ascii="Garamond" w:hAnsi="Garamond"/>
          <w:iCs/>
        </w:rPr>
        <w:t xml:space="preserve"> their inflation expectations </w:t>
      </w:r>
      <w:r w:rsidR="00B705A8" w:rsidRPr="000F21D1">
        <w:rPr>
          <w:rFonts w:ascii="Garamond" w:hAnsi="Garamond"/>
        </w:rPr>
        <w:t>of the 12-month inflation rate</w:t>
      </w:r>
      <w:r w:rsidR="00B705A8" w:rsidRPr="000F21D1">
        <w:rPr>
          <w:rFonts w:ascii="Garamond" w:hAnsi="Garamond"/>
          <w:iCs/>
        </w:rPr>
        <w:t xml:space="preserve"> around a </w:t>
      </w:r>
      <w:r w:rsidR="00137211" w:rsidRPr="000F21D1">
        <w:rPr>
          <w:rFonts w:ascii="Garamond" w:hAnsi="Garamond"/>
          <w:b/>
          <w:iCs/>
        </w:rPr>
        <w:t>1</w:t>
      </w:r>
      <w:r w:rsidR="00630551" w:rsidRPr="000F21D1">
        <w:rPr>
          <w:rFonts w:ascii="Garamond" w:hAnsi="Garamond"/>
          <w:b/>
          <w:iCs/>
        </w:rPr>
        <w:t>.</w:t>
      </w:r>
      <w:r w:rsidR="00137211" w:rsidRPr="000F21D1">
        <w:rPr>
          <w:rFonts w:ascii="Garamond" w:hAnsi="Garamond"/>
          <w:b/>
          <w:iCs/>
        </w:rPr>
        <w:t>2</w:t>
      </w:r>
      <w:r w:rsidR="00B705A8" w:rsidRPr="000F21D1">
        <w:rPr>
          <w:rFonts w:ascii="Garamond" w:hAnsi="Garamond"/>
          <w:b/>
          <w:iCs/>
        </w:rPr>
        <w:t>%</w:t>
      </w:r>
      <w:r w:rsidR="00B705A8" w:rsidRPr="000F21D1">
        <w:rPr>
          <w:rFonts w:ascii="Garamond" w:hAnsi="Garamond"/>
          <w:iCs/>
        </w:rPr>
        <w:t xml:space="preserve"> level </w:t>
      </w:r>
      <w:r w:rsidR="00137211" w:rsidRPr="000F21D1">
        <w:rPr>
          <w:rFonts w:ascii="Garamond" w:hAnsi="Garamond"/>
          <w:iCs/>
        </w:rPr>
        <w:t xml:space="preserve">against that of </w:t>
      </w:r>
      <w:r w:rsidR="00630551" w:rsidRPr="000F21D1">
        <w:rPr>
          <w:rFonts w:ascii="Garamond" w:hAnsi="Garamond"/>
          <w:b/>
          <w:iCs/>
        </w:rPr>
        <w:t>2</w:t>
      </w:r>
      <w:r w:rsidR="00B705A8" w:rsidRPr="000F21D1">
        <w:rPr>
          <w:rFonts w:ascii="Garamond" w:hAnsi="Garamond"/>
          <w:b/>
          <w:iCs/>
        </w:rPr>
        <w:t>.</w:t>
      </w:r>
      <w:r w:rsidR="00137211" w:rsidRPr="000F21D1">
        <w:rPr>
          <w:rFonts w:ascii="Garamond" w:hAnsi="Garamond"/>
          <w:b/>
          <w:iCs/>
        </w:rPr>
        <w:t>0</w:t>
      </w:r>
      <w:r w:rsidR="00B705A8" w:rsidRPr="000F21D1">
        <w:rPr>
          <w:rFonts w:ascii="Garamond" w:hAnsi="Garamond"/>
          <w:b/>
          <w:iCs/>
        </w:rPr>
        <w:t>%</w:t>
      </w:r>
      <w:r w:rsidR="00B705A8" w:rsidRPr="000F21D1">
        <w:rPr>
          <w:rFonts w:ascii="Garamond" w:hAnsi="Garamond"/>
          <w:iCs/>
        </w:rPr>
        <w:t xml:space="preserve"> reported in the previous quarter’s survey.</w:t>
      </w:r>
    </w:p>
    <w:p w14:paraId="158BAAE9" w14:textId="77777777" w:rsidR="009D2F92" w:rsidRPr="000F21D1" w:rsidRDefault="009D2F92" w:rsidP="00FF3CD9">
      <w:pPr>
        <w:spacing w:line="360" w:lineRule="auto"/>
        <w:jc w:val="both"/>
        <w:rPr>
          <w:rFonts w:ascii="Garamond" w:hAnsi="Garamond"/>
          <w:iCs/>
        </w:rPr>
      </w:pPr>
    </w:p>
    <w:p w14:paraId="2A285E06" w14:textId="77777777" w:rsidR="00A56248" w:rsidRPr="000F21D1" w:rsidRDefault="007826AB" w:rsidP="00FF3CD9">
      <w:pPr>
        <w:spacing w:line="360" w:lineRule="auto"/>
        <w:jc w:val="both"/>
        <w:rPr>
          <w:rFonts w:ascii="Garamond" w:hAnsi="Garamond"/>
        </w:rPr>
      </w:pPr>
      <w:r w:rsidRPr="000F21D1">
        <w:rPr>
          <w:rFonts w:ascii="Garamond" w:hAnsi="Garamond"/>
        </w:rPr>
        <w:t>In the second quarter too, loosened monetary conditi</w:t>
      </w:r>
      <w:r w:rsidR="00A56248" w:rsidRPr="000F21D1">
        <w:rPr>
          <w:rFonts w:ascii="Garamond" w:hAnsi="Garamond"/>
        </w:rPr>
        <w:t>ons had their impulse passed on</w:t>
      </w:r>
      <w:r w:rsidRPr="000F21D1">
        <w:rPr>
          <w:rFonts w:ascii="Garamond" w:hAnsi="Garamond"/>
        </w:rPr>
        <w:t>to interest rates of the financial market</w:t>
      </w:r>
      <w:r w:rsidR="006501FB" w:rsidRPr="000F21D1">
        <w:rPr>
          <w:rFonts w:ascii="Garamond" w:hAnsi="Garamond"/>
        </w:rPr>
        <w:t>,</w:t>
      </w:r>
      <w:r w:rsidR="00A56248" w:rsidRPr="000F21D1">
        <w:rPr>
          <w:rFonts w:ascii="Garamond" w:hAnsi="Garamond"/>
        </w:rPr>
        <w:t xml:space="preserve"> as</w:t>
      </w:r>
      <w:r w:rsidRPr="000F21D1">
        <w:rPr>
          <w:rFonts w:ascii="Garamond" w:hAnsi="Garamond"/>
        </w:rPr>
        <w:t xml:space="preserve"> </w:t>
      </w:r>
      <w:r w:rsidR="006501FB" w:rsidRPr="000F21D1">
        <w:rPr>
          <w:rFonts w:ascii="Garamond" w:hAnsi="Garamond"/>
        </w:rPr>
        <w:t xml:space="preserve">almost all funds, both attracted and allocated, and maturities posted </w:t>
      </w:r>
      <w:r w:rsidR="00A56248" w:rsidRPr="000F21D1">
        <w:rPr>
          <w:rFonts w:ascii="Garamond" w:hAnsi="Garamond"/>
        </w:rPr>
        <w:t>fallen in</w:t>
      </w:r>
      <w:r w:rsidR="006501FB" w:rsidRPr="000F21D1">
        <w:rPr>
          <w:rFonts w:ascii="Garamond" w:hAnsi="Garamond"/>
        </w:rPr>
        <w:t>terest rates</w:t>
      </w:r>
      <w:r w:rsidR="00A56248" w:rsidRPr="000F21D1">
        <w:rPr>
          <w:rFonts w:ascii="Garamond" w:hAnsi="Garamond"/>
        </w:rPr>
        <w:t>. In</w:t>
      </w:r>
      <w:r w:rsidRPr="000F21D1">
        <w:rPr>
          <w:rFonts w:ascii="Garamond" w:hAnsi="Garamond"/>
        </w:rPr>
        <w:t xml:space="preserve"> the government bond market</w:t>
      </w:r>
      <w:r w:rsidR="00A56248" w:rsidRPr="000F21D1">
        <w:rPr>
          <w:rFonts w:ascii="Garamond" w:hAnsi="Garamond"/>
        </w:rPr>
        <w:t xml:space="preserve">, yields have </w:t>
      </w:r>
      <w:r w:rsidRPr="000F21D1">
        <w:rPr>
          <w:rFonts w:ascii="Garamond" w:hAnsi="Garamond"/>
        </w:rPr>
        <w:t>decline</w:t>
      </w:r>
      <w:r w:rsidR="00A56248" w:rsidRPr="000F21D1">
        <w:rPr>
          <w:rFonts w:ascii="Garamond" w:hAnsi="Garamond"/>
        </w:rPr>
        <w:t>d</w:t>
      </w:r>
      <w:r w:rsidRPr="000F21D1">
        <w:rPr>
          <w:rFonts w:ascii="Garamond" w:hAnsi="Garamond"/>
        </w:rPr>
        <w:t xml:space="preserve"> all along the curve (</w:t>
      </w:r>
      <w:r w:rsidR="00A56248" w:rsidRPr="000F21D1">
        <w:rPr>
          <w:rFonts w:ascii="Garamond" w:hAnsi="Garamond"/>
        </w:rPr>
        <w:t xml:space="preserve">see </w:t>
      </w:r>
      <w:r w:rsidRPr="000F21D1">
        <w:rPr>
          <w:rFonts w:ascii="Garamond" w:hAnsi="Garamond"/>
        </w:rPr>
        <w:t>detail</w:t>
      </w:r>
      <w:r w:rsidR="00A56248" w:rsidRPr="000F21D1">
        <w:rPr>
          <w:rFonts w:ascii="Garamond" w:hAnsi="Garamond"/>
        </w:rPr>
        <w:t>s</w:t>
      </w:r>
      <w:r w:rsidRPr="000F21D1">
        <w:rPr>
          <w:rFonts w:ascii="Garamond" w:hAnsi="Garamond"/>
        </w:rPr>
        <w:t xml:space="preserve"> in</w:t>
      </w:r>
      <w:r w:rsidR="00A56248" w:rsidRPr="000F21D1">
        <w:rPr>
          <w:rFonts w:ascii="Garamond" w:hAnsi="Garamond"/>
        </w:rPr>
        <w:t xml:space="preserve"> section</w:t>
      </w:r>
      <w:r w:rsidRPr="000F21D1">
        <w:rPr>
          <w:rFonts w:ascii="Garamond" w:hAnsi="Garamond"/>
        </w:rPr>
        <w:t xml:space="preserve"> </w:t>
      </w:r>
      <w:r w:rsidR="00A56248" w:rsidRPr="000F21D1">
        <w:rPr>
          <w:rFonts w:ascii="Garamond" w:hAnsi="Garamond"/>
        </w:rPr>
        <w:t>“</w:t>
      </w:r>
      <w:r w:rsidRPr="000F21D1">
        <w:rPr>
          <w:rFonts w:ascii="Garamond" w:hAnsi="Garamond"/>
        </w:rPr>
        <w:t>3.3</w:t>
      </w:r>
      <w:r w:rsidR="00A56248" w:rsidRPr="000F21D1">
        <w:rPr>
          <w:rFonts w:ascii="Garamond" w:hAnsi="Garamond"/>
        </w:rPr>
        <w:t>.</w:t>
      </w:r>
      <w:r w:rsidRPr="000F21D1">
        <w:rPr>
          <w:rFonts w:ascii="Garamond" w:hAnsi="Garamond"/>
        </w:rPr>
        <w:t xml:space="preserve"> Money </w:t>
      </w:r>
      <w:r w:rsidR="00A56248" w:rsidRPr="000F21D1">
        <w:rPr>
          <w:rFonts w:ascii="Garamond" w:hAnsi="Garamond"/>
        </w:rPr>
        <w:t xml:space="preserve">and </w:t>
      </w:r>
      <w:r w:rsidRPr="000F21D1">
        <w:rPr>
          <w:rFonts w:ascii="Garamond" w:hAnsi="Garamond"/>
        </w:rPr>
        <w:t xml:space="preserve">financial </w:t>
      </w:r>
      <w:r w:rsidR="00A56248" w:rsidRPr="000F21D1">
        <w:rPr>
          <w:rFonts w:ascii="Garamond" w:hAnsi="Garamond"/>
        </w:rPr>
        <w:t xml:space="preserve">market </w:t>
      </w:r>
      <w:r w:rsidRPr="000F21D1">
        <w:rPr>
          <w:rFonts w:ascii="Garamond" w:hAnsi="Garamond"/>
        </w:rPr>
        <w:t>developments</w:t>
      </w:r>
      <w:r w:rsidR="00A56248" w:rsidRPr="000F21D1">
        <w:rPr>
          <w:rFonts w:ascii="Garamond" w:hAnsi="Garamond"/>
        </w:rPr>
        <w:t>”</w:t>
      </w:r>
      <w:r w:rsidRPr="000F21D1">
        <w:rPr>
          <w:rFonts w:ascii="Garamond" w:hAnsi="Garamond"/>
        </w:rPr>
        <w:t>).</w:t>
      </w:r>
      <w:r w:rsidR="00A56248" w:rsidRPr="000F21D1">
        <w:rPr>
          <w:rFonts w:ascii="Garamond" w:hAnsi="Garamond"/>
        </w:rPr>
        <w:t xml:space="preserve"> </w:t>
      </w:r>
    </w:p>
    <w:p w14:paraId="69ABDA8D" w14:textId="77777777" w:rsidR="00A56248" w:rsidRPr="000F21D1" w:rsidRDefault="00A56248" w:rsidP="00FF3CD9">
      <w:pPr>
        <w:spacing w:line="360" w:lineRule="auto"/>
        <w:jc w:val="both"/>
        <w:rPr>
          <w:rFonts w:ascii="Garamond" w:hAnsi="Garamond"/>
        </w:rPr>
      </w:pPr>
    </w:p>
    <w:p w14:paraId="00EC5347" w14:textId="77777777" w:rsidR="009D2F92" w:rsidRPr="000F21D1" w:rsidRDefault="009D2F92" w:rsidP="00FF3CD9">
      <w:pPr>
        <w:spacing w:line="360" w:lineRule="auto"/>
        <w:jc w:val="both"/>
        <w:rPr>
          <w:rFonts w:ascii="Garamond" w:hAnsi="Garamond"/>
        </w:rPr>
      </w:pPr>
      <w:r w:rsidRPr="000F21D1">
        <w:rPr>
          <w:rFonts w:ascii="Garamond" w:hAnsi="Garamond"/>
        </w:rPr>
        <w:t xml:space="preserve">This </w:t>
      </w:r>
      <w:r w:rsidR="00A56248" w:rsidRPr="000F21D1">
        <w:rPr>
          <w:rFonts w:ascii="Garamond" w:hAnsi="Garamond"/>
        </w:rPr>
        <w:t xml:space="preserve">trend </w:t>
      </w:r>
      <w:r w:rsidRPr="000F21D1">
        <w:rPr>
          <w:rFonts w:ascii="Garamond" w:hAnsi="Garamond"/>
        </w:rPr>
        <w:t xml:space="preserve">in turn reflected </w:t>
      </w:r>
      <w:r w:rsidR="00B60003" w:rsidRPr="000F21D1">
        <w:rPr>
          <w:rFonts w:ascii="Garamond" w:hAnsi="Garamond"/>
        </w:rPr>
        <w:t xml:space="preserve">the financial market’s expectations for </w:t>
      </w:r>
      <w:r w:rsidRPr="000F21D1">
        <w:rPr>
          <w:rFonts w:ascii="Garamond" w:hAnsi="Garamond"/>
        </w:rPr>
        <w:t>interest rates</w:t>
      </w:r>
      <w:r w:rsidR="00B60003" w:rsidRPr="000F21D1">
        <w:rPr>
          <w:rFonts w:ascii="Garamond" w:hAnsi="Garamond"/>
        </w:rPr>
        <w:t>.</w:t>
      </w:r>
      <w:r w:rsidRPr="000F21D1">
        <w:rPr>
          <w:rFonts w:ascii="Garamond" w:hAnsi="Garamond"/>
        </w:rPr>
        <w:t xml:space="preserve"> According to the survey results, </w:t>
      </w:r>
      <w:r w:rsidR="00652B80" w:rsidRPr="000F21D1">
        <w:rPr>
          <w:rFonts w:ascii="Garamond" w:hAnsi="Garamond"/>
        </w:rPr>
        <w:t xml:space="preserve">still anticipating that </w:t>
      </w:r>
      <w:r w:rsidR="00B60003" w:rsidRPr="000F21D1">
        <w:rPr>
          <w:rFonts w:ascii="Garamond" w:hAnsi="Garamond"/>
        </w:rPr>
        <w:t xml:space="preserve">interest rates on funds </w:t>
      </w:r>
      <w:r w:rsidR="00652B80" w:rsidRPr="000F21D1">
        <w:rPr>
          <w:rFonts w:ascii="Garamond" w:hAnsi="Garamond"/>
        </w:rPr>
        <w:t>attracted and allocated would drop gradually in a one-year perspective, the financial system incur</w:t>
      </w:r>
      <w:r w:rsidR="009213E1" w:rsidRPr="000F21D1">
        <w:rPr>
          <w:rFonts w:ascii="Garamond" w:hAnsi="Garamond"/>
        </w:rPr>
        <w:t xml:space="preserve">s most of </w:t>
      </w:r>
      <w:r w:rsidR="00652B80" w:rsidRPr="000F21D1">
        <w:rPr>
          <w:rFonts w:ascii="Garamond" w:hAnsi="Garamond"/>
        </w:rPr>
        <w:t xml:space="preserve">the influence from considerable easing of inflationary expectations. </w:t>
      </w:r>
    </w:p>
    <w:p w14:paraId="05438E88" w14:textId="77777777" w:rsidR="00171EEE" w:rsidRPr="000F21D1" w:rsidRDefault="00171EEE" w:rsidP="00FF3CD9">
      <w:pPr>
        <w:spacing w:line="360" w:lineRule="auto"/>
        <w:jc w:val="both"/>
        <w:rPr>
          <w:rFonts w:ascii="Garamond" w:hAnsi="Garamond"/>
        </w:rPr>
      </w:pPr>
    </w:p>
    <w:p w14:paraId="0BBFB2AE" w14:textId="77777777" w:rsidR="00171EEE" w:rsidRPr="000F21D1" w:rsidRDefault="00171EEE" w:rsidP="00FF3CD9">
      <w:pPr>
        <w:spacing w:line="360" w:lineRule="auto"/>
        <w:jc w:val="both"/>
        <w:rPr>
          <w:rFonts w:ascii="Garamond" w:hAnsi="Garamond"/>
          <w:b/>
        </w:rPr>
      </w:pPr>
      <w:r w:rsidRPr="000F21D1">
        <w:rPr>
          <w:rFonts w:ascii="Garamond" w:hAnsi="Garamond"/>
          <w:b/>
        </w:rPr>
        <w:t>3.2. Aggregate supply and aggregate demand</w:t>
      </w:r>
    </w:p>
    <w:p w14:paraId="54366FD2" w14:textId="77777777" w:rsidR="00171EEE" w:rsidRPr="000F21D1" w:rsidRDefault="00171EEE" w:rsidP="00FF3CD9">
      <w:pPr>
        <w:spacing w:line="360" w:lineRule="auto"/>
        <w:jc w:val="both"/>
        <w:rPr>
          <w:rFonts w:ascii="Garamond" w:hAnsi="Garamond"/>
          <w:b/>
        </w:rPr>
      </w:pPr>
      <w:r w:rsidRPr="000F21D1">
        <w:rPr>
          <w:rFonts w:ascii="Garamond" w:hAnsi="Garamond"/>
          <w:b/>
        </w:rPr>
        <w:t>3.2.1. Aggregate supply</w:t>
      </w:r>
      <w:r w:rsidR="009620E3" w:rsidRPr="000F21D1">
        <w:rPr>
          <w:rStyle w:val="FootnoteReference"/>
          <w:rFonts w:ascii="Garamond" w:hAnsi="Garamond"/>
          <w:b/>
        </w:rPr>
        <w:footnoteReference w:customMarkFollows="1" w:id="16"/>
        <w:t>17</w:t>
      </w:r>
    </w:p>
    <w:p w14:paraId="476CA51C" w14:textId="77777777" w:rsidR="00171EEE" w:rsidRPr="000F21D1" w:rsidRDefault="00171EEE" w:rsidP="00FF3CD9">
      <w:pPr>
        <w:spacing w:line="360" w:lineRule="auto"/>
        <w:jc w:val="both"/>
        <w:rPr>
          <w:rFonts w:ascii="Garamond" w:hAnsi="Garamond"/>
          <w:b/>
        </w:rPr>
      </w:pPr>
    </w:p>
    <w:p w14:paraId="2E06FCB6" w14:textId="77777777" w:rsidR="00C55DA1" w:rsidRPr="000F21D1" w:rsidRDefault="00EC0F2E" w:rsidP="00FF3CD9">
      <w:pPr>
        <w:spacing w:line="360" w:lineRule="auto"/>
        <w:jc w:val="both"/>
        <w:rPr>
          <w:rStyle w:val="longtext"/>
          <w:rFonts w:ascii="Garamond" w:hAnsi="Garamond"/>
          <w:color w:val="000000"/>
          <w:shd w:val="clear" w:color="auto" w:fill="FFFFFF"/>
        </w:rPr>
      </w:pPr>
      <w:r w:rsidRPr="000F21D1">
        <w:rPr>
          <w:rStyle w:val="longtext"/>
          <w:rFonts w:ascii="Garamond" w:hAnsi="Garamond"/>
          <w:color w:val="000000"/>
          <w:shd w:val="clear" w:color="auto" w:fill="FFFFFF"/>
        </w:rPr>
        <w:t xml:space="preserve">The </w:t>
      </w:r>
      <w:r w:rsidRPr="000F21D1">
        <w:rPr>
          <w:rStyle w:val="longtext"/>
          <w:rFonts w:ascii="Garamond" w:hAnsi="Garamond"/>
          <w:b/>
          <w:color w:val="000000"/>
          <w:shd w:val="clear" w:color="auto" w:fill="FFFFFF"/>
        </w:rPr>
        <w:t>economic growth indicator</w:t>
      </w:r>
      <w:r w:rsidR="00FB246E" w:rsidRPr="000F21D1">
        <w:rPr>
          <w:rStyle w:val="longtext"/>
          <w:rFonts w:ascii="Garamond" w:hAnsi="Garamond"/>
          <w:b/>
          <w:color w:val="000000"/>
          <w:shd w:val="clear" w:color="auto" w:fill="FFFFFF"/>
          <w:lang w:val="hy-AM"/>
        </w:rPr>
        <w:t xml:space="preserve"> </w:t>
      </w:r>
      <w:r w:rsidRPr="000F21D1">
        <w:rPr>
          <w:rStyle w:val="longtext"/>
          <w:rFonts w:ascii="Garamond" w:hAnsi="Garamond"/>
          <w:color w:val="000000"/>
          <w:shd w:val="clear" w:color="auto" w:fill="FFFFFF"/>
        </w:rPr>
        <w:t>published by the National Statistics Service of Armenia</w:t>
      </w:r>
      <w:r w:rsidR="00FB246E" w:rsidRPr="000F21D1">
        <w:rPr>
          <w:rStyle w:val="longtext"/>
          <w:rFonts w:ascii="Garamond" w:hAnsi="Garamond"/>
          <w:color w:val="000000"/>
          <w:shd w:val="clear" w:color="auto" w:fill="FFFFFF"/>
          <w:lang w:val="hy-AM"/>
        </w:rPr>
        <w:t xml:space="preserve"> </w:t>
      </w:r>
      <w:r w:rsidR="00ED2DD0" w:rsidRPr="000F21D1">
        <w:rPr>
          <w:rStyle w:val="longtext"/>
          <w:rFonts w:ascii="Garamond" w:hAnsi="Garamond"/>
          <w:color w:val="000000"/>
          <w:shd w:val="clear" w:color="auto" w:fill="FFFFFF"/>
        </w:rPr>
        <w:t>for the f</w:t>
      </w:r>
      <w:r w:rsidR="00590C92" w:rsidRPr="000F21D1">
        <w:rPr>
          <w:rStyle w:val="longtext"/>
          <w:rFonts w:ascii="Garamond" w:hAnsi="Garamond"/>
          <w:color w:val="000000"/>
          <w:shd w:val="clear" w:color="auto" w:fill="FFFFFF"/>
        </w:rPr>
        <w:t xml:space="preserve">irst </w:t>
      </w:r>
      <w:r w:rsidR="00ED2DD0" w:rsidRPr="000F21D1">
        <w:rPr>
          <w:rStyle w:val="longtext"/>
          <w:rFonts w:ascii="Garamond" w:hAnsi="Garamond"/>
          <w:color w:val="000000"/>
          <w:shd w:val="clear" w:color="auto" w:fill="FFFFFF"/>
        </w:rPr>
        <w:t>quarter of 201</w:t>
      </w:r>
      <w:r w:rsidR="00590C92" w:rsidRPr="000F21D1">
        <w:rPr>
          <w:rStyle w:val="longtext"/>
          <w:rFonts w:ascii="Garamond" w:hAnsi="Garamond"/>
          <w:color w:val="000000"/>
          <w:shd w:val="clear" w:color="auto" w:fill="FFFFFF"/>
        </w:rPr>
        <w:t xml:space="preserve">6 </w:t>
      </w:r>
      <w:r w:rsidRPr="000F21D1">
        <w:rPr>
          <w:rStyle w:val="longtext"/>
          <w:rFonts w:ascii="Garamond" w:hAnsi="Garamond"/>
          <w:color w:val="000000"/>
          <w:shd w:val="clear" w:color="auto" w:fill="FFFFFF"/>
        </w:rPr>
        <w:t xml:space="preserve">was </w:t>
      </w:r>
      <w:r w:rsidR="00590C92" w:rsidRPr="000F21D1">
        <w:rPr>
          <w:rStyle w:val="longtext"/>
          <w:rFonts w:ascii="Garamond" w:hAnsi="Garamond"/>
          <w:color w:val="000000"/>
          <w:shd w:val="clear" w:color="auto" w:fill="FFFFFF"/>
        </w:rPr>
        <w:t>4</w:t>
      </w:r>
      <w:r w:rsidRPr="000F21D1">
        <w:rPr>
          <w:rStyle w:val="longtext"/>
          <w:rFonts w:ascii="Garamond" w:hAnsi="Garamond"/>
          <w:color w:val="000000"/>
          <w:shd w:val="clear" w:color="auto" w:fill="FFFFFF"/>
        </w:rPr>
        <w:t>.</w:t>
      </w:r>
      <w:r w:rsidR="00590C92" w:rsidRPr="000F21D1">
        <w:rPr>
          <w:rStyle w:val="longtext"/>
          <w:rFonts w:ascii="Garamond" w:hAnsi="Garamond"/>
          <w:color w:val="000000"/>
          <w:shd w:val="clear" w:color="auto" w:fill="FFFFFF"/>
        </w:rPr>
        <w:t>4</w:t>
      </w:r>
      <w:r w:rsidRPr="000F21D1">
        <w:rPr>
          <w:rStyle w:val="longtext"/>
          <w:rFonts w:ascii="Garamond" w:hAnsi="Garamond"/>
          <w:color w:val="000000"/>
          <w:shd w:val="clear" w:color="auto" w:fill="FFFFFF"/>
        </w:rPr>
        <w:t xml:space="preserve">% y/y, </w:t>
      </w:r>
      <w:r w:rsidR="00ED2DD0" w:rsidRPr="000F21D1">
        <w:rPr>
          <w:rStyle w:val="longtext"/>
          <w:rFonts w:ascii="Garamond" w:hAnsi="Garamond"/>
          <w:color w:val="000000"/>
          <w:shd w:val="clear" w:color="auto" w:fill="FFFFFF"/>
        </w:rPr>
        <w:t xml:space="preserve">which is </w:t>
      </w:r>
      <w:r w:rsidR="00590C92" w:rsidRPr="000F21D1">
        <w:rPr>
          <w:rStyle w:val="longtext"/>
          <w:rFonts w:ascii="Garamond" w:hAnsi="Garamond"/>
          <w:color w:val="000000"/>
          <w:shd w:val="clear" w:color="auto" w:fill="FFFFFF"/>
        </w:rPr>
        <w:t xml:space="preserve">0.5 pp smaller from </w:t>
      </w:r>
      <w:r w:rsidRPr="000F21D1">
        <w:rPr>
          <w:rFonts w:ascii="Garamond" w:hAnsi="Garamond" w:cs="Sylfaen"/>
          <w:iCs/>
        </w:rPr>
        <w:t xml:space="preserve">the </w:t>
      </w:r>
      <w:r w:rsidR="00590C92" w:rsidRPr="000F21D1">
        <w:rPr>
          <w:rFonts w:ascii="Garamond" w:hAnsi="Garamond" w:cs="Sylfaen"/>
          <w:iCs/>
        </w:rPr>
        <w:t xml:space="preserve">most probable value of the CBA </w:t>
      </w:r>
      <w:r w:rsidRPr="000F21D1">
        <w:rPr>
          <w:rStyle w:val="longtext"/>
          <w:rFonts w:ascii="Garamond" w:hAnsi="Garamond"/>
          <w:color w:val="000000"/>
          <w:shd w:val="clear" w:color="auto" w:fill="FFFFFF"/>
        </w:rPr>
        <w:t>forecast</w:t>
      </w:r>
      <w:r w:rsidR="00ED2DD0" w:rsidRPr="000F21D1">
        <w:rPr>
          <w:rStyle w:val="longtext"/>
          <w:rFonts w:ascii="Garamond" w:hAnsi="Garamond"/>
          <w:color w:val="000000"/>
          <w:shd w:val="clear" w:color="auto" w:fill="FFFFFF"/>
        </w:rPr>
        <w:t>.</w:t>
      </w:r>
    </w:p>
    <w:p w14:paraId="5D19AE47" w14:textId="77777777" w:rsidR="00C55DA1" w:rsidRPr="000F21D1" w:rsidRDefault="00C55DA1" w:rsidP="00FF3CD9">
      <w:pPr>
        <w:spacing w:line="360" w:lineRule="auto"/>
        <w:jc w:val="both"/>
        <w:rPr>
          <w:rStyle w:val="longtext"/>
          <w:rFonts w:ascii="Garamond" w:hAnsi="Garamond"/>
          <w:color w:val="000000"/>
          <w:shd w:val="clear" w:color="auto" w:fill="FFFFFF"/>
        </w:rPr>
      </w:pPr>
    </w:p>
    <w:p w14:paraId="3D3FC3AB" w14:textId="77777777" w:rsidR="00C55DA1" w:rsidRPr="000F21D1" w:rsidRDefault="008F4C50" w:rsidP="00FF3CD9">
      <w:pPr>
        <w:spacing w:line="360" w:lineRule="auto"/>
        <w:jc w:val="both"/>
        <w:rPr>
          <w:rStyle w:val="longtext"/>
          <w:rFonts w:ascii="Garamond" w:hAnsi="Garamond"/>
          <w:color w:val="000000"/>
          <w:shd w:val="clear" w:color="auto" w:fill="FFFFFF"/>
        </w:rPr>
      </w:pPr>
      <w:r w:rsidRPr="000F21D1">
        <w:rPr>
          <w:rStyle w:val="longtext"/>
          <w:rFonts w:ascii="Garamond" w:hAnsi="Garamond"/>
          <w:color w:val="000000"/>
          <w:shd w:val="clear" w:color="auto" w:fill="FFFFFF"/>
        </w:rPr>
        <w:lastRenderedPageBreak/>
        <w:t xml:space="preserve">Albeit somewhat slowed down in the second quarter of 2016, the Economic Activity Indicator </w:t>
      </w:r>
      <w:r w:rsidR="00DE377A" w:rsidRPr="000F21D1">
        <w:rPr>
          <w:rStyle w:val="longtext"/>
          <w:rFonts w:ascii="Garamond" w:hAnsi="Garamond"/>
          <w:color w:val="000000"/>
          <w:shd w:val="clear" w:color="auto" w:fill="FFFFFF"/>
        </w:rPr>
        <w:t xml:space="preserve">nevertheless </w:t>
      </w:r>
      <w:r w:rsidRPr="000F21D1">
        <w:rPr>
          <w:rStyle w:val="longtext"/>
          <w:rFonts w:ascii="Garamond" w:hAnsi="Garamond"/>
          <w:color w:val="000000"/>
          <w:shd w:val="clear" w:color="auto" w:fill="FFFFFF"/>
        </w:rPr>
        <w:t>remained strong</w:t>
      </w:r>
      <w:r w:rsidR="00DE377A" w:rsidRPr="000F21D1">
        <w:rPr>
          <w:rStyle w:val="longtext"/>
          <w:rFonts w:ascii="Garamond" w:hAnsi="Garamond"/>
          <w:color w:val="000000"/>
          <w:shd w:val="clear" w:color="auto" w:fill="FFFFFF"/>
        </w:rPr>
        <w:t>. A</w:t>
      </w:r>
      <w:r w:rsidRPr="000F21D1">
        <w:rPr>
          <w:rStyle w:val="longtext"/>
          <w:rFonts w:ascii="Garamond" w:hAnsi="Garamond"/>
          <w:color w:val="000000"/>
          <w:shd w:val="clear" w:color="auto" w:fill="FFFFFF"/>
        </w:rPr>
        <w:t xml:space="preserve">s a result, the economic activity over the first half of 2016 amounted to 4.7% y/y compared to </w:t>
      </w:r>
      <w:r w:rsidR="00DE377A" w:rsidRPr="000F21D1">
        <w:rPr>
          <w:rStyle w:val="longtext"/>
          <w:rFonts w:ascii="Garamond" w:hAnsi="Garamond"/>
          <w:color w:val="000000"/>
          <w:shd w:val="clear" w:color="auto" w:fill="FFFFFF"/>
        </w:rPr>
        <w:t xml:space="preserve">5.4% recorded </w:t>
      </w:r>
      <w:r w:rsidRPr="000F21D1">
        <w:rPr>
          <w:rStyle w:val="longtext"/>
          <w:rFonts w:ascii="Garamond" w:hAnsi="Garamond"/>
          <w:color w:val="000000"/>
          <w:shd w:val="clear" w:color="auto" w:fill="FFFFFF"/>
        </w:rPr>
        <w:t>in January-March</w:t>
      </w:r>
      <w:r w:rsidR="00C55DA1" w:rsidRPr="000F21D1">
        <w:rPr>
          <w:rStyle w:val="longtext"/>
          <w:rFonts w:ascii="Garamond" w:hAnsi="Garamond"/>
          <w:color w:val="000000"/>
          <w:shd w:val="clear" w:color="auto" w:fill="FFFFFF"/>
        </w:rPr>
        <w:t xml:space="preserve">. </w:t>
      </w:r>
    </w:p>
    <w:p w14:paraId="524243D9" w14:textId="77777777" w:rsidR="00C55DA1" w:rsidRPr="000F21D1" w:rsidRDefault="00C55DA1" w:rsidP="00FF3CD9">
      <w:pPr>
        <w:spacing w:line="360" w:lineRule="auto"/>
        <w:jc w:val="both"/>
        <w:rPr>
          <w:rStyle w:val="longtext"/>
          <w:rFonts w:ascii="Garamond" w:hAnsi="Garamond"/>
          <w:color w:val="000000"/>
          <w:shd w:val="clear" w:color="auto" w:fill="FFFFFF"/>
        </w:rPr>
      </w:pPr>
    </w:p>
    <w:p w14:paraId="5331B5AC" w14:textId="77777777" w:rsidR="00171EEE" w:rsidRPr="000F21D1" w:rsidRDefault="001725FE" w:rsidP="00FF3CD9">
      <w:pPr>
        <w:spacing w:line="360" w:lineRule="auto"/>
        <w:jc w:val="both"/>
        <w:rPr>
          <w:rFonts w:ascii="Garamond" w:hAnsi="Garamond"/>
        </w:rPr>
      </w:pPr>
      <w:r w:rsidRPr="000F21D1">
        <w:rPr>
          <w:rFonts w:ascii="Garamond" w:hAnsi="Garamond" w:cs="Sylfaen"/>
          <w:iCs/>
        </w:rPr>
        <w:t xml:space="preserve">Given the higher-than-expected output growth in the industry and agriculture sectors in the second quarter of 2016, economic growth estimates </w:t>
      </w:r>
      <w:r w:rsidR="00AF2805" w:rsidRPr="000F21D1">
        <w:rPr>
          <w:rFonts w:ascii="Garamond" w:hAnsi="Garamond" w:cs="Sylfaen"/>
          <w:iCs/>
        </w:rPr>
        <w:t xml:space="preserve">were </w:t>
      </w:r>
      <w:r w:rsidRPr="000F21D1">
        <w:rPr>
          <w:rFonts w:ascii="Garamond" w:hAnsi="Garamond" w:cs="Sylfaen"/>
          <w:iCs/>
        </w:rPr>
        <w:t xml:space="preserve">revised upward. </w:t>
      </w:r>
      <w:r w:rsidR="00C55DA1" w:rsidRPr="000F21D1">
        <w:rPr>
          <w:rFonts w:ascii="Garamond" w:hAnsi="Garamond" w:cs="Sylfaen"/>
          <w:iCs/>
        </w:rPr>
        <w:t xml:space="preserve">As a result, economic growth in the first </w:t>
      </w:r>
      <w:r w:rsidRPr="000F21D1">
        <w:rPr>
          <w:rFonts w:ascii="Garamond" w:hAnsi="Garamond" w:cs="Sylfaen"/>
          <w:iCs/>
        </w:rPr>
        <w:t xml:space="preserve">half </w:t>
      </w:r>
      <w:r w:rsidR="00C55DA1" w:rsidRPr="000F21D1">
        <w:rPr>
          <w:rFonts w:ascii="Garamond" w:hAnsi="Garamond" w:cs="Sylfaen"/>
          <w:iCs/>
        </w:rPr>
        <w:t xml:space="preserve">of 2016 </w:t>
      </w:r>
      <w:r w:rsidR="003E3E73" w:rsidRPr="000F21D1">
        <w:rPr>
          <w:rFonts w:ascii="Garamond" w:hAnsi="Garamond" w:cs="Sylfaen"/>
          <w:iCs/>
        </w:rPr>
        <w:t xml:space="preserve">is </w:t>
      </w:r>
      <w:r w:rsidR="002A52AC" w:rsidRPr="000F21D1">
        <w:rPr>
          <w:rFonts w:ascii="Garamond" w:hAnsi="Garamond" w:cs="Sylfaen"/>
          <w:iCs/>
        </w:rPr>
        <w:t xml:space="preserve">estimated </w:t>
      </w:r>
      <w:r w:rsidR="003E3E73" w:rsidRPr="000F21D1">
        <w:rPr>
          <w:rFonts w:ascii="Garamond" w:hAnsi="Garamond" w:cs="Sylfaen"/>
          <w:iCs/>
        </w:rPr>
        <w:t xml:space="preserve">in the range of </w:t>
      </w:r>
      <w:r w:rsidRPr="000F21D1">
        <w:rPr>
          <w:rFonts w:ascii="Garamond" w:hAnsi="Garamond" w:cs="Sylfaen"/>
          <w:iCs/>
        </w:rPr>
        <w:t>3</w:t>
      </w:r>
      <w:r w:rsidR="00C55DA1" w:rsidRPr="000F21D1">
        <w:rPr>
          <w:rFonts w:ascii="Garamond" w:hAnsi="Garamond" w:cs="Sylfaen"/>
          <w:iCs/>
        </w:rPr>
        <w:t>.</w:t>
      </w:r>
      <w:r w:rsidRPr="000F21D1">
        <w:rPr>
          <w:rFonts w:ascii="Garamond" w:hAnsi="Garamond" w:cs="Sylfaen"/>
          <w:iCs/>
        </w:rPr>
        <w:t>9</w:t>
      </w:r>
      <w:r w:rsidR="00C55DA1" w:rsidRPr="000F21D1">
        <w:rPr>
          <w:rFonts w:ascii="Garamond" w:hAnsi="Garamond" w:cs="Sylfaen"/>
          <w:iCs/>
        </w:rPr>
        <w:t>-</w:t>
      </w:r>
      <w:r w:rsidRPr="000F21D1">
        <w:rPr>
          <w:rFonts w:ascii="Garamond" w:hAnsi="Garamond" w:cs="Sylfaen"/>
          <w:iCs/>
        </w:rPr>
        <w:t>4.1</w:t>
      </w:r>
      <w:r w:rsidR="00C55DA1" w:rsidRPr="000F21D1">
        <w:rPr>
          <w:rFonts w:ascii="Garamond" w:hAnsi="Garamond" w:cs="Sylfaen"/>
          <w:iCs/>
        </w:rPr>
        <w:t>%</w:t>
      </w:r>
      <w:r w:rsidR="00590C92" w:rsidRPr="000F21D1">
        <w:rPr>
          <w:rStyle w:val="FootnoteReference"/>
          <w:rFonts w:ascii="Garamond" w:hAnsi="Garamond" w:cs="Sylfaen"/>
        </w:rPr>
        <w:footnoteReference w:customMarkFollows="1" w:id="17"/>
        <w:t>18</w:t>
      </w:r>
      <w:r w:rsidR="00C55DA1" w:rsidRPr="000F21D1">
        <w:rPr>
          <w:rFonts w:ascii="Garamond" w:hAnsi="Garamond" w:cs="Sylfaen"/>
        </w:rPr>
        <w:t>.</w:t>
      </w:r>
    </w:p>
    <w:p w14:paraId="35135928" w14:textId="77777777" w:rsidR="002F1EDA" w:rsidRPr="000F21D1" w:rsidRDefault="002F1EDA" w:rsidP="00FF3CD9">
      <w:pPr>
        <w:spacing w:line="360" w:lineRule="auto"/>
        <w:jc w:val="both"/>
        <w:rPr>
          <w:rFonts w:ascii="Garamond" w:hAnsi="Garamond"/>
        </w:rPr>
      </w:pPr>
    </w:p>
    <w:p w14:paraId="42502CEC" w14:textId="77777777" w:rsidR="002F1EDA" w:rsidRPr="000F21D1" w:rsidRDefault="002F1EDA" w:rsidP="00FF3CD9">
      <w:pPr>
        <w:spacing w:line="360" w:lineRule="auto"/>
        <w:jc w:val="both"/>
        <w:rPr>
          <w:rFonts w:ascii="Garamond" w:hAnsi="Garamond"/>
          <w:iCs/>
        </w:rPr>
      </w:pPr>
      <w:r w:rsidRPr="000F21D1">
        <w:rPr>
          <w:rFonts w:ascii="Garamond" w:hAnsi="Garamond"/>
        </w:rPr>
        <w:t xml:space="preserve">Taking into account an increased output of 8.9% y/y reported in </w:t>
      </w:r>
      <w:r w:rsidRPr="000F21D1">
        <w:rPr>
          <w:rFonts w:ascii="Garamond" w:hAnsi="Garamond"/>
          <w:b/>
        </w:rPr>
        <w:t xml:space="preserve">Industry </w:t>
      </w:r>
      <w:r w:rsidRPr="000F21D1">
        <w:rPr>
          <w:rFonts w:ascii="Garamond" w:hAnsi="Garamond"/>
        </w:rPr>
        <w:t xml:space="preserve">in </w:t>
      </w:r>
      <w:r w:rsidR="001725FE" w:rsidRPr="000F21D1">
        <w:rPr>
          <w:rFonts w:ascii="Garamond" w:hAnsi="Garamond"/>
        </w:rPr>
        <w:t xml:space="preserve">January-June </w:t>
      </w:r>
      <w:r w:rsidRPr="000F21D1">
        <w:rPr>
          <w:rFonts w:ascii="Garamond" w:hAnsi="Garamond"/>
        </w:rPr>
        <w:t xml:space="preserve">2016, the growth of value added </w:t>
      </w:r>
      <w:r w:rsidR="006F687A" w:rsidRPr="000F21D1">
        <w:rPr>
          <w:rFonts w:ascii="Garamond" w:hAnsi="Garamond"/>
        </w:rPr>
        <w:t>t</w:t>
      </w:r>
      <w:r w:rsidRPr="000F21D1">
        <w:rPr>
          <w:rFonts w:ascii="Garamond" w:hAnsi="Garamond"/>
        </w:rPr>
        <w:t xml:space="preserve">here for the </w:t>
      </w:r>
      <w:r w:rsidR="00B568B2" w:rsidRPr="000F21D1">
        <w:rPr>
          <w:rFonts w:ascii="Garamond" w:hAnsi="Garamond"/>
        </w:rPr>
        <w:t xml:space="preserve">first half of the year </w:t>
      </w:r>
      <w:r w:rsidRPr="000F21D1">
        <w:rPr>
          <w:rFonts w:ascii="Garamond" w:hAnsi="Garamond"/>
        </w:rPr>
        <w:t xml:space="preserve">is estimated within </w:t>
      </w:r>
      <w:r w:rsidR="007149A1" w:rsidRPr="000F21D1">
        <w:rPr>
          <w:rFonts w:ascii="Garamond" w:hAnsi="Garamond"/>
        </w:rPr>
        <w:t>8</w:t>
      </w:r>
      <w:r w:rsidRPr="000F21D1">
        <w:rPr>
          <w:rFonts w:ascii="Garamond" w:hAnsi="Garamond"/>
        </w:rPr>
        <w:t>.</w:t>
      </w:r>
      <w:r w:rsidR="007149A1" w:rsidRPr="000F21D1">
        <w:rPr>
          <w:rFonts w:ascii="Garamond" w:hAnsi="Garamond"/>
        </w:rPr>
        <w:t>8</w:t>
      </w:r>
      <w:r w:rsidRPr="000F21D1">
        <w:rPr>
          <w:rFonts w:ascii="Garamond" w:hAnsi="Garamond"/>
        </w:rPr>
        <w:t>-</w:t>
      </w:r>
      <w:r w:rsidR="007149A1" w:rsidRPr="000F21D1">
        <w:rPr>
          <w:rFonts w:ascii="Garamond" w:hAnsi="Garamond"/>
        </w:rPr>
        <w:t>9.3</w:t>
      </w:r>
      <w:r w:rsidRPr="000F21D1">
        <w:rPr>
          <w:rFonts w:ascii="Garamond" w:hAnsi="Garamond"/>
        </w:rPr>
        <w:t xml:space="preserve">% y/y. This is mainly due to increased </w:t>
      </w:r>
      <w:r w:rsidR="003D5A71" w:rsidRPr="000F21D1">
        <w:rPr>
          <w:rFonts w:ascii="Garamond" w:hAnsi="Garamond"/>
        </w:rPr>
        <w:t>output</w:t>
      </w:r>
      <w:r w:rsidR="007149A1" w:rsidRPr="000F21D1">
        <w:rPr>
          <w:rFonts w:ascii="Garamond" w:hAnsi="Garamond"/>
        </w:rPr>
        <w:t>s</w:t>
      </w:r>
      <w:r w:rsidR="003D5A71" w:rsidRPr="000F21D1">
        <w:rPr>
          <w:rFonts w:ascii="Garamond" w:hAnsi="Garamond"/>
        </w:rPr>
        <w:t xml:space="preserve"> </w:t>
      </w:r>
      <w:r w:rsidRPr="000F21D1">
        <w:rPr>
          <w:rFonts w:ascii="Garamond" w:hAnsi="Garamond"/>
        </w:rPr>
        <w:t xml:space="preserve">in </w:t>
      </w:r>
      <w:r w:rsidR="003D5A71" w:rsidRPr="000F21D1">
        <w:rPr>
          <w:rFonts w:ascii="Garamond" w:hAnsi="Garamond" w:cs="Sylfaen"/>
        </w:rPr>
        <w:t>mining industry (</w:t>
      </w:r>
      <w:r w:rsidR="007149A1" w:rsidRPr="000F21D1">
        <w:rPr>
          <w:rFonts w:ascii="Garamond" w:hAnsi="Garamond" w:cs="Sylfaen"/>
        </w:rPr>
        <w:t>18.8</w:t>
      </w:r>
      <w:r w:rsidR="003D5A71" w:rsidRPr="000F21D1">
        <w:rPr>
          <w:rFonts w:ascii="Garamond" w:hAnsi="Garamond" w:cs="Sylfaen"/>
        </w:rPr>
        <w:t xml:space="preserve">%), </w:t>
      </w:r>
      <w:r w:rsidR="007149A1" w:rsidRPr="000F21D1">
        <w:rPr>
          <w:rFonts w:ascii="Garamond" w:hAnsi="Garamond" w:cs="Sylfaen"/>
        </w:rPr>
        <w:t>food production</w:t>
      </w:r>
      <w:r w:rsidR="007149A1" w:rsidRPr="000F21D1">
        <w:rPr>
          <w:rStyle w:val="FootnoteReference"/>
          <w:rFonts w:ascii="Garamond" w:hAnsi="Garamond" w:cs="Sylfaen"/>
        </w:rPr>
        <w:footnoteReference w:customMarkFollows="1" w:id="18"/>
        <w:t>19</w:t>
      </w:r>
      <w:r w:rsidR="007149A1" w:rsidRPr="000F21D1">
        <w:rPr>
          <w:rFonts w:ascii="Garamond" w:hAnsi="Garamond" w:cs="Sylfaen"/>
        </w:rPr>
        <w:t xml:space="preserve"> (5.4%), </w:t>
      </w:r>
      <w:r w:rsidR="003D5A71" w:rsidRPr="000F21D1">
        <w:rPr>
          <w:rFonts w:ascii="Garamond" w:hAnsi="Garamond" w:cs="Sylfaen"/>
        </w:rPr>
        <w:t xml:space="preserve">beverage </w:t>
      </w:r>
      <w:r w:rsidR="007149A1" w:rsidRPr="000F21D1">
        <w:rPr>
          <w:rFonts w:ascii="Garamond" w:hAnsi="Garamond" w:cs="Sylfaen"/>
        </w:rPr>
        <w:t>production</w:t>
      </w:r>
      <w:r w:rsidR="007149A1" w:rsidRPr="000F21D1">
        <w:rPr>
          <w:rStyle w:val="FootnoteReference"/>
          <w:rFonts w:ascii="Garamond" w:hAnsi="Garamond" w:cs="Sylfaen"/>
        </w:rPr>
        <w:footnoteReference w:customMarkFollows="1" w:id="19"/>
        <w:t>20</w:t>
      </w:r>
      <w:r w:rsidR="007149A1" w:rsidRPr="000F21D1">
        <w:rPr>
          <w:rFonts w:ascii="Garamond" w:hAnsi="Garamond" w:cs="Sylfaen"/>
        </w:rPr>
        <w:t xml:space="preserve"> </w:t>
      </w:r>
      <w:r w:rsidR="003D5A71" w:rsidRPr="000F21D1">
        <w:rPr>
          <w:rFonts w:ascii="Garamond" w:hAnsi="Garamond" w:cs="Sylfaen"/>
        </w:rPr>
        <w:t>(</w:t>
      </w:r>
      <w:r w:rsidR="00331036" w:rsidRPr="000F21D1">
        <w:rPr>
          <w:rFonts w:ascii="Garamond" w:hAnsi="Garamond" w:cs="Sylfaen"/>
        </w:rPr>
        <w:t>1</w:t>
      </w:r>
      <w:r w:rsidR="007149A1" w:rsidRPr="000F21D1">
        <w:rPr>
          <w:rFonts w:ascii="Garamond" w:hAnsi="Garamond" w:cs="Sylfaen"/>
        </w:rPr>
        <w:t>4</w:t>
      </w:r>
      <w:r w:rsidR="00331036" w:rsidRPr="000F21D1">
        <w:rPr>
          <w:rFonts w:ascii="Garamond" w:hAnsi="Garamond" w:cs="Sylfaen"/>
        </w:rPr>
        <w:t>.</w:t>
      </w:r>
      <w:r w:rsidR="007149A1" w:rsidRPr="000F21D1">
        <w:rPr>
          <w:rFonts w:ascii="Garamond" w:hAnsi="Garamond" w:cs="Sylfaen"/>
        </w:rPr>
        <w:t>9</w:t>
      </w:r>
      <w:r w:rsidR="00331036" w:rsidRPr="000F21D1">
        <w:rPr>
          <w:rFonts w:ascii="Garamond" w:hAnsi="Garamond" w:cs="Sylfaen"/>
        </w:rPr>
        <w:t>%</w:t>
      </w:r>
      <w:r w:rsidR="003D5A71" w:rsidRPr="000F21D1">
        <w:rPr>
          <w:rFonts w:ascii="Garamond" w:hAnsi="Garamond" w:cs="Sylfaen"/>
        </w:rPr>
        <w:t>)</w:t>
      </w:r>
      <w:r w:rsidR="00331036" w:rsidRPr="000F21D1">
        <w:rPr>
          <w:rFonts w:ascii="Garamond" w:hAnsi="Garamond" w:cs="Sylfaen"/>
        </w:rPr>
        <w:t xml:space="preserve">, </w:t>
      </w:r>
      <w:r w:rsidRPr="000F21D1">
        <w:rPr>
          <w:rFonts w:ascii="Garamond" w:hAnsi="Garamond"/>
        </w:rPr>
        <w:t>tobacco</w:t>
      </w:r>
      <w:r w:rsidR="007149A1" w:rsidRPr="000F21D1">
        <w:rPr>
          <w:rFonts w:ascii="Garamond" w:hAnsi="Garamond"/>
        </w:rPr>
        <w:t xml:space="preserve"> production</w:t>
      </w:r>
      <w:r w:rsidRPr="000F21D1">
        <w:rPr>
          <w:rFonts w:ascii="Garamond" w:hAnsi="Garamond" w:cs="Sylfaen"/>
        </w:rPr>
        <w:t xml:space="preserve"> (</w:t>
      </w:r>
      <w:r w:rsidR="007149A1" w:rsidRPr="000F21D1">
        <w:rPr>
          <w:rFonts w:ascii="Garamond" w:hAnsi="Garamond" w:cs="Sylfaen"/>
        </w:rPr>
        <w:t>2</w:t>
      </w:r>
      <w:r w:rsidR="00331036" w:rsidRPr="000F21D1">
        <w:rPr>
          <w:rFonts w:ascii="Garamond" w:hAnsi="Garamond" w:cs="Sylfaen"/>
        </w:rPr>
        <w:t>1</w:t>
      </w:r>
      <w:r w:rsidRPr="000F21D1">
        <w:rPr>
          <w:rFonts w:ascii="Garamond" w:hAnsi="Garamond" w:cs="Sylfaen"/>
        </w:rPr>
        <w:t xml:space="preserve">.1%), </w:t>
      </w:r>
      <w:r w:rsidR="00331036" w:rsidRPr="000F21D1">
        <w:rPr>
          <w:rFonts w:ascii="Garamond" w:hAnsi="Garamond" w:cs="Sylfaen"/>
        </w:rPr>
        <w:t>jewelry crafting (</w:t>
      </w:r>
      <w:r w:rsidR="007149A1" w:rsidRPr="000F21D1">
        <w:rPr>
          <w:rFonts w:ascii="Garamond" w:hAnsi="Garamond" w:cs="Sylfaen"/>
        </w:rPr>
        <w:t>2</w:t>
      </w:r>
      <w:r w:rsidR="00331036" w:rsidRPr="000F21D1">
        <w:rPr>
          <w:rFonts w:ascii="Garamond" w:hAnsi="Garamond" w:cs="Sylfaen"/>
        </w:rPr>
        <w:t>.7</w:t>
      </w:r>
      <w:r w:rsidR="007149A1" w:rsidRPr="000F21D1">
        <w:rPr>
          <w:rFonts w:ascii="Garamond" w:hAnsi="Garamond" w:cs="Sylfaen"/>
        </w:rPr>
        <w:t>-fold)</w:t>
      </w:r>
      <w:r w:rsidR="00331036" w:rsidRPr="000F21D1">
        <w:rPr>
          <w:rFonts w:ascii="Garamond" w:hAnsi="Garamond" w:cs="Sylfaen"/>
        </w:rPr>
        <w:t>, clothing (</w:t>
      </w:r>
      <w:r w:rsidR="007149A1" w:rsidRPr="000F21D1">
        <w:rPr>
          <w:rFonts w:ascii="Garamond" w:hAnsi="Garamond" w:cs="Sylfaen"/>
        </w:rPr>
        <w:t>37</w:t>
      </w:r>
      <w:r w:rsidR="00331036" w:rsidRPr="000F21D1">
        <w:rPr>
          <w:rFonts w:ascii="Garamond" w:hAnsi="Garamond" w:cs="Sylfaen"/>
        </w:rPr>
        <w:t>.</w:t>
      </w:r>
      <w:r w:rsidR="007149A1" w:rsidRPr="000F21D1">
        <w:rPr>
          <w:rFonts w:ascii="Garamond" w:hAnsi="Garamond" w:cs="Sylfaen"/>
        </w:rPr>
        <w:t>5</w:t>
      </w:r>
      <w:r w:rsidR="00331036" w:rsidRPr="000F21D1">
        <w:rPr>
          <w:rFonts w:ascii="Garamond" w:hAnsi="Garamond" w:cs="Sylfaen"/>
        </w:rPr>
        <w:t xml:space="preserve">%), </w:t>
      </w:r>
      <w:r w:rsidR="007149A1" w:rsidRPr="000F21D1">
        <w:rPr>
          <w:rFonts w:ascii="Garamond" w:hAnsi="Garamond" w:cs="Sylfaen"/>
        </w:rPr>
        <w:t>and manufacturing and waste management (22.7%)</w:t>
      </w:r>
      <w:r w:rsidRPr="000F21D1">
        <w:rPr>
          <w:rFonts w:ascii="Garamond" w:hAnsi="Garamond" w:cs="Sylfaen"/>
        </w:rPr>
        <w:t>.</w:t>
      </w:r>
      <w:r w:rsidR="007149A1" w:rsidRPr="000F21D1">
        <w:rPr>
          <w:rFonts w:ascii="Garamond" w:hAnsi="Garamond" w:cs="Sylfaen"/>
        </w:rPr>
        <w:t xml:space="preserve"> </w:t>
      </w:r>
      <w:r w:rsidR="00A40D3A" w:rsidRPr="000F21D1">
        <w:rPr>
          <w:rFonts w:ascii="Garamond" w:hAnsi="Garamond" w:cs="Sylfaen"/>
        </w:rPr>
        <w:t>As well as positive developments in t</w:t>
      </w:r>
      <w:r w:rsidR="00A40D3A" w:rsidRPr="000F21D1">
        <w:rPr>
          <w:rFonts w:ascii="Garamond" w:hAnsi="Garamond"/>
          <w:iCs/>
        </w:rPr>
        <w:t>he industry sector a strong growth of 15.8% has been recorded in terms of electricity generation, transmission and distribution. The high growth in industrial output owed to external demand recovering amid growing economic activity in partner countries.</w:t>
      </w:r>
    </w:p>
    <w:p w14:paraId="18D827F6" w14:textId="77777777" w:rsidR="00E807D1" w:rsidRPr="000F21D1" w:rsidRDefault="00E807D1" w:rsidP="00FF3CD9">
      <w:pPr>
        <w:spacing w:line="360" w:lineRule="auto"/>
        <w:jc w:val="both"/>
        <w:rPr>
          <w:rFonts w:ascii="Garamond" w:hAnsi="Garamond"/>
          <w:iCs/>
        </w:rPr>
      </w:pPr>
    </w:p>
    <w:p w14:paraId="3781D41F" w14:textId="77777777" w:rsidR="00E807D1" w:rsidRPr="000F21D1" w:rsidRDefault="00FB5314" w:rsidP="00FF3CD9">
      <w:pPr>
        <w:spacing w:line="360" w:lineRule="auto"/>
        <w:jc w:val="both"/>
        <w:rPr>
          <w:rFonts w:ascii="Garamond" w:hAnsi="Garamond"/>
        </w:rPr>
      </w:pPr>
      <w:r w:rsidRPr="000F21D1">
        <w:rPr>
          <w:rFonts w:ascii="Garamond" w:hAnsi="Garamond"/>
        </w:rPr>
        <w:t xml:space="preserve">In view of </w:t>
      </w:r>
      <w:r w:rsidR="00E807D1" w:rsidRPr="000F21D1">
        <w:rPr>
          <w:rFonts w:ascii="Garamond" w:hAnsi="Garamond"/>
        </w:rPr>
        <w:t>a</w:t>
      </w:r>
      <w:r w:rsidR="00D37098" w:rsidRPr="000F21D1">
        <w:rPr>
          <w:rFonts w:ascii="Garamond" w:hAnsi="Garamond"/>
        </w:rPr>
        <w:t>n a</w:t>
      </w:r>
      <w:r w:rsidR="00E807D1" w:rsidRPr="000F21D1">
        <w:rPr>
          <w:rFonts w:ascii="Garamond" w:hAnsi="Garamond"/>
        </w:rPr>
        <w:t xml:space="preserve">ctual </w:t>
      </w:r>
      <w:r w:rsidRPr="000F21D1">
        <w:rPr>
          <w:rFonts w:ascii="Garamond" w:hAnsi="Garamond"/>
        </w:rPr>
        <w:t xml:space="preserve">decrease in </w:t>
      </w:r>
      <w:r w:rsidR="00E807D1" w:rsidRPr="000F21D1">
        <w:rPr>
          <w:rFonts w:ascii="Garamond" w:hAnsi="Garamond"/>
        </w:rPr>
        <w:t>output volumes (</w:t>
      </w:r>
      <w:r w:rsidRPr="000F21D1">
        <w:rPr>
          <w:rFonts w:ascii="Garamond" w:hAnsi="Garamond"/>
        </w:rPr>
        <w:t>7</w:t>
      </w:r>
      <w:r w:rsidR="00E807D1" w:rsidRPr="000F21D1">
        <w:rPr>
          <w:rFonts w:ascii="Garamond" w:hAnsi="Garamond"/>
        </w:rPr>
        <w:t>.</w:t>
      </w:r>
      <w:r w:rsidRPr="000F21D1">
        <w:rPr>
          <w:rFonts w:ascii="Garamond" w:hAnsi="Garamond"/>
        </w:rPr>
        <w:t>8</w:t>
      </w:r>
      <w:r w:rsidR="00E807D1" w:rsidRPr="000F21D1">
        <w:rPr>
          <w:rFonts w:ascii="Garamond" w:hAnsi="Garamond"/>
        </w:rPr>
        <w:t>%</w:t>
      </w:r>
      <w:r w:rsidRPr="000F21D1">
        <w:rPr>
          <w:rFonts w:ascii="Garamond" w:hAnsi="Garamond"/>
        </w:rPr>
        <w:t xml:space="preserve"> y/y</w:t>
      </w:r>
      <w:r w:rsidR="00E807D1" w:rsidRPr="000F21D1">
        <w:rPr>
          <w:rFonts w:ascii="Garamond" w:hAnsi="Garamond"/>
        </w:rPr>
        <w:t xml:space="preserve">) reported in </w:t>
      </w:r>
      <w:r w:rsidR="00E807D1" w:rsidRPr="000F21D1">
        <w:rPr>
          <w:rFonts w:ascii="Garamond" w:hAnsi="Garamond"/>
          <w:b/>
        </w:rPr>
        <w:t>Construction</w:t>
      </w:r>
      <w:r w:rsidR="00E807D1" w:rsidRPr="000F21D1">
        <w:rPr>
          <w:rFonts w:ascii="Garamond" w:hAnsi="Garamond"/>
        </w:rPr>
        <w:t xml:space="preserve"> for January-</w:t>
      </w:r>
      <w:r w:rsidRPr="000F21D1">
        <w:rPr>
          <w:rFonts w:ascii="Garamond" w:hAnsi="Garamond"/>
        </w:rPr>
        <w:t>June</w:t>
      </w:r>
      <w:r w:rsidR="00E807D1" w:rsidRPr="000F21D1">
        <w:rPr>
          <w:rFonts w:ascii="Garamond" w:hAnsi="Garamond"/>
        </w:rPr>
        <w:t xml:space="preserve"> 2016, the dec</w:t>
      </w:r>
      <w:r w:rsidRPr="000F21D1">
        <w:rPr>
          <w:rFonts w:ascii="Garamond" w:hAnsi="Garamond"/>
        </w:rPr>
        <w:t>line o</w:t>
      </w:r>
      <w:r w:rsidR="00E807D1" w:rsidRPr="000F21D1">
        <w:rPr>
          <w:rFonts w:ascii="Garamond" w:hAnsi="Garamond"/>
        </w:rPr>
        <w:t xml:space="preserve">f value added </w:t>
      </w:r>
      <w:r w:rsidR="00DC2F31" w:rsidRPr="000F21D1">
        <w:rPr>
          <w:rFonts w:ascii="Garamond" w:hAnsi="Garamond"/>
        </w:rPr>
        <w:t xml:space="preserve">for that period </w:t>
      </w:r>
      <w:r w:rsidR="00E807D1" w:rsidRPr="000F21D1">
        <w:rPr>
          <w:rFonts w:ascii="Garamond" w:hAnsi="Garamond"/>
        </w:rPr>
        <w:t xml:space="preserve">is estimated </w:t>
      </w:r>
      <w:r w:rsidRPr="000F21D1">
        <w:rPr>
          <w:rFonts w:ascii="Garamond" w:hAnsi="Garamond"/>
        </w:rPr>
        <w:t xml:space="preserve">within </w:t>
      </w:r>
      <w:r w:rsidR="00DC2F31" w:rsidRPr="000F21D1">
        <w:rPr>
          <w:rFonts w:ascii="Garamond" w:hAnsi="Garamond"/>
        </w:rPr>
        <w:t>2</w:t>
      </w:r>
      <w:r w:rsidR="00E807D1" w:rsidRPr="000F21D1">
        <w:rPr>
          <w:rFonts w:ascii="Garamond" w:hAnsi="Garamond"/>
        </w:rPr>
        <w:t>-</w:t>
      </w:r>
      <w:r w:rsidR="00DC2F31" w:rsidRPr="000F21D1">
        <w:rPr>
          <w:rFonts w:ascii="Garamond" w:hAnsi="Garamond"/>
        </w:rPr>
        <w:t>2</w:t>
      </w:r>
      <w:r w:rsidR="00E807D1" w:rsidRPr="000F21D1">
        <w:rPr>
          <w:rFonts w:ascii="Garamond" w:hAnsi="Garamond"/>
        </w:rPr>
        <w:t>.</w:t>
      </w:r>
      <w:r w:rsidR="00DC2F31" w:rsidRPr="000F21D1">
        <w:rPr>
          <w:rFonts w:ascii="Garamond" w:hAnsi="Garamond"/>
        </w:rPr>
        <w:t>5</w:t>
      </w:r>
      <w:r w:rsidR="00E807D1" w:rsidRPr="000F21D1">
        <w:rPr>
          <w:rFonts w:ascii="Garamond" w:hAnsi="Garamond"/>
        </w:rPr>
        <w:t>% y/y.</w:t>
      </w:r>
      <w:r w:rsidR="00FB246E" w:rsidRPr="000F21D1">
        <w:rPr>
          <w:rFonts w:ascii="Garamond" w:hAnsi="Garamond"/>
          <w:lang w:val="hy-AM"/>
        </w:rPr>
        <w:t xml:space="preserve"> </w:t>
      </w:r>
      <w:r w:rsidR="00D62F87" w:rsidRPr="000F21D1">
        <w:rPr>
          <w:rFonts w:ascii="Garamond" w:hAnsi="Garamond"/>
          <w:iCs/>
        </w:rPr>
        <w:t xml:space="preserve">Save for the volumes of </w:t>
      </w:r>
      <w:r w:rsidR="00D62F87" w:rsidRPr="000F21D1">
        <w:rPr>
          <w:rFonts w:ascii="Garamond" w:hAnsi="Garamond"/>
        </w:rPr>
        <w:t xml:space="preserve">construction </w:t>
      </w:r>
      <w:r w:rsidR="00E807D1" w:rsidRPr="000F21D1">
        <w:rPr>
          <w:rFonts w:ascii="Garamond" w:hAnsi="Garamond"/>
        </w:rPr>
        <w:t xml:space="preserve">financed by </w:t>
      </w:r>
      <w:r w:rsidR="003012F2" w:rsidRPr="000F21D1">
        <w:rPr>
          <w:rFonts w:ascii="Garamond" w:hAnsi="Garamond"/>
        </w:rPr>
        <w:t xml:space="preserve">local </w:t>
      </w:r>
      <w:r w:rsidR="00D62F87" w:rsidRPr="000F21D1">
        <w:rPr>
          <w:rFonts w:ascii="Garamond" w:hAnsi="Garamond"/>
        </w:rPr>
        <w:t>budgets (</w:t>
      </w:r>
      <w:r w:rsidR="006B14C9" w:rsidRPr="000F21D1">
        <w:rPr>
          <w:rFonts w:ascii="Garamond" w:hAnsi="Garamond"/>
        </w:rPr>
        <w:t>2</w:t>
      </w:r>
      <w:r w:rsidR="00D62F87" w:rsidRPr="000F21D1">
        <w:rPr>
          <w:rFonts w:ascii="Garamond" w:hAnsi="Garamond"/>
        </w:rPr>
        <w:t xml:space="preserve">.7% growth) and </w:t>
      </w:r>
      <w:r w:rsidR="00D62F87" w:rsidRPr="000F21D1">
        <w:rPr>
          <w:rFonts w:ascii="Garamond" w:hAnsi="Garamond" w:cs="Sylfaen"/>
        </w:rPr>
        <w:t>international loans</w:t>
      </w:r>
      <w:r w:rsidR="006B14C9" w:rsidRPr="000F21D1">
        <w:rPr>
          <w:rFonts w:ascii="Garamond" w:hAnsi="Garamond" w:cs="Sylfaen"/>
        </w:rPr>
        <w:t xml:space="preserve"> </w:t>
      </w:r>
      <w:r w:rsidR="00D62F87" w:rsidRPr="000F21D1">
        <w:rPr>
          <w:rFonts w:ascii="Garamond" w:hAnsi="Garamond"/>
        </w:rPr>
        <w:t>(</w:t>
      </w:r>
      <w:r w:rsidR="006B14C9" w:rsidRPr="000F21D1">
        <w:rPr>
          <w:rFonts w:ascii="Garamond" w:hAnsi="Garamond"/>
        </w:rPr>
        <w:t>75</w:t>
      </w:r>
      <w:r w:rsidR="00D62F87" w:rsidRPr="000F21D1">
        <w:rPr>
          <w:rFonts w:ascii="Garamond" w:hAnsi="Garamond"/>
        </w:rPr>
        <w:t>.</w:t>
      </w:r>
      <w:r w:rsidR="006B14C9" w:rsidRPr="000F21D1">
        <w:rPr>
          <w:rFonts w:ascii="Garamond" w:hAnsi="Garamond"/>
        </w:rPr>
        <w:t>5%</w:t>
      </w:r>
      <w:r w:rsidR="00D62F87" w:rsidRPr="000F21D1">
        <w:rPr>
          <w:rFonts w:ascii="Garamond" w:hAnsi="Garamond"/>
        </w:rPr>
        <w:t xml:space="preserve"> growth), all other sources of financing reported </w:t>
      </w:r>
      <w:r w:rsidR="00CB4E02" w:rsidRPr="000F21D1">
        <w:rPr>
          <w:rFonts w:ascii="Garamond" w:hAnsi="Garamond"/>
        </w:rPr>
        <w:t xml:space="preserve">a </w:t>
      </w:r>
      <w:r w:rsidR="00D62F87" w:rsidRPr="000F21D1">
        <w:rPr>
          <w:rFonts w:ascii="Garamond" w:hAnsi="Garamond"/>
        </w:rPr>
        <w:t xml:space="preserve">decrement: construction financed by </w:t>
      </w:r>
      <w:r w:rsidR="00E807D1" w:rsidRPr="000F21D1">
        <w:rPr>
          <w:rFonts w:ascii="Garamond" w:hAnsi="Garamond"/>
        </w:rPr>
        <w:t>households (</w:t>
      </w:r>
      <w:r w:rsidR="00D62F87" w:rsidRPr="000F21D1">
        <w:rPr>
          <w:rFonts w:ascii="Garamond" w:hAnsi="Garamond"/>
        </w:rPr>
        <w:t>-</w:t>
      </w:r>
      <w:r w:rsidR="003F12D9" w:rsidRPr="000F21D1">
        <w:rPr>
          <w:rFonts w:ascii="Garamond" w:hAnsi="Garamond"/>
        </w:rPr>
        <w:t>9</w:t>
      </w:r>
      <w:r w:rsidR="00E807D1" w:rsidRPr="000F21D1">
        <w:rPr>
          <w:rFonts w:ascii="Garamond" w:hAnsi="Garamond"/>
        </w:rPr>
        <w:t xml:space="preserve">%), </w:t>
      </w:r>
      <w:r w:rsidR="00D37098" w:rsidRPr="000F21D1">
        <w:rPr>
          <w:rFonts w:ascii="Garamond" w:hAnsi="Garamond"/>
        </w:rPr>
        <w:t xml:space="preserve">by </w:t>
      </w:r>
      <w:r w:rsidR="00AF2805" w:rsidRPr="000F21D1">
        <w:rPr>
          <w:rFonts w:ascii="Garamond" w:hAnsi="Garamond"/>
        </w:rPr>
        <w:t>state budget (-</w:t>
      </w:r>
      <w:r w:rsidR="003012F2" w:rsidRPr="000F21D1">
        <w:rPr>
          <w:rFonts w:ascii="Garamond" w:hAnsi="Garamond"/>
        </w:rPr>
        <w:t>3</w:t>
      </w:r>
      <w:r w:rsidR="003F12D9" w:rsidRPr="000F21D1">
        <w:rPr>
          <w:rFonts w:ascii="Garamond" w:hAnsi="Garamond"/>
        </w:rPr>
        <w:t>0</w:t>
      </w:r>
      <w:r w:rsidR="003012F2" w:rsidRPr="000F21D1">
        <w:rPr>
          <w:rFonts w:ascii="Garamond" w:hAnsi="Garamond"/>
        </w:rPr>
        <w:t xml:space="preserve">.1%), </w:t>
      </w:r>
      <w:r w:rsidR="00D37098" w:rsidRPr="000F21D1">
        <w:rPr>
          <w:rFonts w:ascii="Garamond" w:hAnsi="Garamond"/>
        </w:rPr>
        <w:t xml:space="preserve">by </w:t>
      </w:r>
      <w:r w:rsidR="003012F2" w:rsidRPr="000F21D1">
        <w:rPr>
          <w:rFonts w:ascii="Garamond" w:hAnsi="Garamond"/>
        </w:rPr>
        <w:t>humanitarian aid (-</w:t>
      </w:r>
      <w:r w:rsidR="003F12D9" w:rsidRPr="000F21D1">
        <w:rPr>
          <w:rFonts w:ascii="Garamond" w:hAnsi="Garamond"/>
        </w:rPr>
        <w:t>25</w:t>
      </w:r>
      <w:r w:rsidR="003012F2" w:rsidRPr="000F21D1">
        <w:rPr>
          <w:rFonts w:ascii="Garamond" w:hAnsi="Garamond"/>
        </w:rPr>
        <w:t>.</w:t>
      </w:r>
      <w:r w:rsidR="003F12D9" w:rsidRPr="000F21D1">
        <w:rPr>
          <w:rFonts w:ascii="Garamond" w:hAnsi="Garamond"/>
        </w:rPr>
        <w:t>7</w:t>
      </w:r>
      <w:r w:rsidR="003012F2" w:rsidRPr="000F21D1">
        <w:rPr>
          <w:rFonts w:ascii="Garamond" w:hAnsi="Garamond"/>
        </w:rPr>
        <w:t xml:space="preserve">%) and </w:t>
      </w:r>
      <w:r w:rsidR="00D37098" w:rsidRPr="000F21D1">
        <w:rPr>
          <w:rFonts w:ascii="Garamond" w:hAnsi="Garamond"/>
        </w:rPr>
        <w:t xml:space="preserve">by </w:t>
      </w:r>
      <w:r w:rsidR="003012F2" w:rsidRPr="000F21D1">
        <w:rPr>
          <w:rFonts w:ascii="Garamond" w:hAnsi="Garamond"/>
        </w:rPr>
        <w:t>organizations (-</w:t>
      </w:r>
      <w:r w:rsidR="003F12D9" w:rsidRPr="000F21D1">
        <w:rPr>
          <w:rFonts w:ascii="Garamond" w:hAnsi="Garamond"/>
        </w:rPr>
        <w:t>15</w:t>
      </w:r>
      <w:r w:rsidR="003012F2" w:rsidRPr="000F21D1">
        <w:rPr>
          <w:rFonts w:ascii="Garamond" w:hAnsi="Garamond"/>
        </w:rPr>
        <w:t>%).</w:t>
      </w:r>
      <w:r w:rsidR="00D37098" w:rsidRPr="000F21D1">
        <w:rPr>
          <w:rFonts w:ascii="Garamond" w:hAnsi="Garamond"/>
        </w:rPr>
        <w:t xml:space="preserve"> The disequilibrium between supply and demand in the construction sector persisted.</w:t>
      </w:r>
    </w:p>
    <w:p w14:paraId="0AB3753E" w14:textId="77777777" w:rsidR="00CB4E02" w:rsidRPr="000F21D1" w:rsidRDefault="00CB4E02" w:rsidP="00FF3CD9">
      <w:pPr>
        <w:spacing w:line="360" w:lineRule="auto"/>
        <w:jc w:val="both"/>
        <w:rPr>
          <w:rFonts w:ascii="Garamond" w:hAnsi="Garamond"/>
        </w:rPr>
      </w:pPr>
    </w:p>
    <w:p w14:paraId="21A5860B" w14:textId="77777777" w:rsidR="0090268C" w:rsidRPr="000F21D1" w:rsidRDefault="00CB4E02" w:rsidP="00FF3CD9">
      <w:pPr>
        <w:spacing w:line="360" w:lineRule="auto"/>
        <w:jc w:val="both"/>
        <w:rPr>
          <w:rFonts w:ascii="Garamond" w:hAnsi="Garamond" w:cs="Sylfaen"/>
        </w:rPr>
      </w:pPr>
      <w:r w:rsidRPr="000F21D1">
        <w:rPr>
          <w:rFonts w:ascii="Garamond" w:hAnsi="Garamond"/>
        </w:rPr>
        <w:t xml:space="preserve">The growth of value added in </w:t>
      </w:r>
      <w:r w:rsidRPr="000F21D1">
        <w:rPr>
          <w:rFonts w:ascii="Garamond" w:hAnsi="Garamond"/>
          <w:b/>
        </w:rPr>
        <w:t>Services</w:t>
      </w:r>
      <w:r w:rsidRPr="000F21D1">
        <w:rPr>
          <w:rFonts w:ascii="Garamond" w:hAnsi="Garamond"/>
        </w:rPr>
        <w:t xml:space="preserve"> for the first </w:t>
      </w:r>
      <w:r w:rsidR="00D37098" w:rsidRPr="000F21D1">
        <w:rPr>
          <w:rFonts w:ascii="Garamond" w:hAnsi="Garamond"/>
        </w:rPr>
        <w:t>half</w:t>
      </w:r>
      <w:r w:rsidRPr="000F21D1">
        <w:rPr>
          <w:rFonts w:ascii="Garamond" w:hAnsi="Garamond"/>
        </w:rPr>
        <w:t xml:space="preserve"> of 2016 is estimated in the range of</w:t>
      </w:r>
      <w:r w:rsidR="00D37098" w:rsidRPr="000F21D1">
        <w:rPr>
          <w:rFonts w:ascii="Garamond" w:hAnsi="Garamond"/>
        </w:rPr>
        <w:t xml:space="preserve"> 2.</w:t>
      </w:r>
      <w:r w:rsidR="00D37098" w:rsidRPr="000F21D1">
        <w:rPr>
          <w:rFonts w:ascii="Garamond" w:hAnsi="Garamond" w:cs="Sylfaen"/>
        </w:rPr>
        <w:t>6-3.1</w:t>
      </w:r>
      <w:r w:rsidRPr="000F21D1">
        <w:rPr>
          <w:rFonts w:ascii="Garamond" w:hAnsi="Garamond" w:cs="Sylfaen"/>
        </w:rPr>
        <w:t xml:space="preserve">% y/y, which is </w:t>
      </w:r>
      <w:r w:rsidR="000749EE" w:rsidRPr="000F21D1">
        <w:rPr>
          <w:rFonts w:ascii="Garamond" w:hAnsi="Garamond" w:cs="Sylfaen"/>
        </w:rPr>
        <w:t>driven by an 8</w:t>
      </w:r>
      <w:r w:rsidRPr="000F21D1">
        <w:rPr>
          <w:rFonts w:ascii="Garamond" w:hAnsi="Garamond" w:cs="Sylfaen"/>
        </w:rPr>
        <w:t>.</w:t>
      </w:r>
      <w:r w:rsidR="000749EE" w:rsidRPr="000F21D1">
        <w:rPr>
          <w:rFonts w:ascii="Garamond" w:hAnsi="Garamond" w:cs="Sylfaen"/>
        </w:rPr>
        <w:t>3</w:t>
      </w:r>
      <w:r w:rsidRPr="000F21D1">
        <w:rPr>
          <w:rFonts w:ascii="Garamond" w:hAnsi="Garamond" w:cs="Sylfaen"/>
        </w:rPr>
        <w:t xml:space="preserve">% </w:t>
      </w:r>
      <w:r w:rsidR="000749EE" w:rsidRPr="000F21D1">
        <w:rPr>
          <w:rFonts w:ascii="Garamond" w:hAnsi="Garamond" w:cs="Sylfaen"/>
        </w:rPr>
        <w:t>increase</w:t>
      </w:r>
      <w:r w:rsidRPr="000F21D1">
        <w:rPr>
          <w:rFonts w:ascii="Garamond" w:hAnsi="Garamond" w:cs="Sylfaen"/>
        </w:rPr>
        <w:t xml:space="preserve"> in services provided </w:t>
      </w:r>
      <w:r w:rsidR="000749EE" w:rsidRPr="000F21D1">
        <w:rPr>
          <w:rFonts w:ascii="Garamond" w:hAnsi="Garamond" w:cs="Sylfaen"/>
        </w:rPr>
        <w:t>and</w:t>
      </w:r>
      <w:r w:rsidRPr="000F21D1">
        <w:rPr>
          <w:rFonts w:ascii="Garamond" w:hAnsi="Garamond" w:cs="Sylfaen"/>
        </w:rPr>
        <w:t xml:space="preserve"> </w:t>
      </w:r>
      <w:r w:rsidR="000749EE" w:rsidRPr="000F21D1">
        <w:rPr>
          <w:rFonts w:ascii="Garamond" w:hAnsi="Garamond" w:cs="Sylfaen"/>
        </w:rPr>
        <w:t>0</w:t>
      </w:r>
      <w:r w:rsidRPr="000F21D1">
        <w:rPr>
          <w:rFonts w:ascii="Garamond" w:hAnsi="Garamond" w:cs="Sylfaen"/>
        </w:rPr>
        <w:t>.</w:t>
      </w:r>
      <w:r w:rsidR="000749EE" w:rsidRPr="000F21D1">
        <w:rPr>
          <w:rFonts w:ascii="Garamond" w:hAnsi="Garamond" w:cs="Sylfaen"/>
        </w:rPr>
        <w:t>3</w:t>
      </w:r>
      <w:r w:rsidRPr="000F21D1">
        <w:rPr>
          <w:rFonts w:ascii="Garamond" w:hAnsi="Garamond" w:cs="Sylfaen"/>
        </w:rPr>
        <w:t>% contraction in trade</w:t>
      </w:r>
      <w:r w:rsidR="000749EE" w:rsidRPr="000F21D1">
        <w:rPr>
          <w:rFonts w:ascii="Garamond" w:hAnsi="Garamond" w:cs="Sylfaen"/>
        </w:rPr>
        <w:t xml:space="preserve"> volumes</w:t>
      </w:r>
      <w:r w:rsidRPr="000F21D1">
        <w:rPr>
          <w:rFonts w:ascii="Garamond" w:hAnsi="Garamond" w:cs="Sylfaen"/>
        </w:rPr>
        <w:t>.</w:t>
      </w:r>
      <w:r w:rsidR="00FB246E" w:rsidRPr="000F21D1">
        <w:rPr>
          <w:rFonts w:ascii="Garamond" w:hAnsi="Garamond" w:cs="Sylfaen"/>
          <w:lang w:val="hy-AM"/>
        </w:rPr>
        <w:t xml:space="preserve"> </w:t>
      </w:r>
      <w:r w:rsidRPr="000F21D1">
        <w:rPr>
          <w:rFonts w:ascii="Garamond" w:hAnsi="Garamond"/>
        </w:rPr>
        <w:t xml:space="preserve">The </w:t>
      </w:r>
      <w:r w:rsidR="0090268C" w:rsidRPr="000F21D1">
        <w:rPr>
          <w:rFonts w:ascii="Garamond" w:hAnsi="Garamond"/>
        </w:rPr>
        <w:t xml:space="preserve">increment </w:t>
      </w:r>
      <w:r w:rsidRPr="000F21D1">
        <w:rPr>
          <w:rFonts w:ascii="Garamond" w:hAnsi="Garamond"/>
        </w:rPr>
        <w:t xml:space="preserve">in services provided </w:t>
      </w:r>
      <w:r w:rsidR="000749EE" w:rsidRPr="000F21D1">
        <w:rPr>
          <w:rFonts w:ascii="Garamond" w:hAnsi="Garamond"/>
        </w:rPr>
        <w:t>owed to</w:t>
      </w:r>
      <w:r w:rsidRPr="000F21D1">
        <w:rPr>
          <w:rFonts w:ascii="Garamond" w:hAnsi="Garamond"/>
        </w:rPr>
        <w:t xml:space="preserve"> </w:t>
      </w:r>
      <w:r w:rsidR="0090268C" w:rsidRPr="000F21D1">
        <w:rPr>
          <w:rFonts w:ascii="Garamond" w:hAnsi="Garamond"/>
        </w:rPr>
        <w:t xml:space="preserve">the </w:t>
      </w:r>
      <w:r w:rsidRPr="000F21D1">
        <w:rPr>
          <w:rFonts w:ascii="Garamond" w:hAnsi="Garamond"/>
        </w:rPr>
        <w:t xml:space="preserve">growth in </w:t>
      </w:r>
      <w:r w:rsidR="0090268C" w:rsidRPr="000F21D1">
        <w:rPr>
          <w:rFonts w:ascii="Garamond" w:hAnsi="Garamond"/>
        </w:rPr>
        <w:t xml:space="preserve">financial and </w:t>
      </w:r>
      <w:r w:rsidR="000749EE" w:rsidRPr="000F21D1">
        <w:rPr>
          <w:rFonts w:ascii="Garamond" w:hAnsi="Garamond"/>
        </w:rPr>
        <w:t>insurance industry</w:t>
      </w:r>
      <w:r w:rsidR="0090268C" w:rsidRPr="000F21D1">
        <w:rPr>
          <w:rFonts w:ascii="Garamond" w:hAnsi="Garamond"/>
        </w:rPr>
        <w:t xml:space="preserve"> services (2.</w:t>
      </w:r>
      <w:r w:rsidR="000749EE" w:rsidRPr="000F21D1">
        <w:rPr>
          <w:rFonts w:ascii="Garamond" w:hAnsi="Garamond"/>
        </w:rPr>
        <w:t>2</w:t>
      </w:r>
      <w:r w:rsidR="0090268C" w:rsidRPr="000F21D1">
        <w:rPr>
          <w:rFonts w:ascii="Garamond" w:hAnsi="Garamond"/>
        </w:rPr>
        <w:t xml:space="preserve">%), </w:t>
      </w:r>
      <w:r w:rsidR="000749EE" w:rsidRPr="000F21D1">
        <w:rPr>
          <w:rFonts w:ascii="Garamond" w:hAnsi="Garamond"/>
        </w:rPr>
        <w:t xml:space="preserve">education </w:t>
      </w:r>
      <w:r w:rsidR="00D42100" w:rsidRPr="000F21D1">
        <w:rPr>
          <w:rFonts w:ascii="Garamond" w:hAnsi="Garamond"/>
        </w:rPr>
        <w:t xml:space="preserve">services (5%), </w:t>
      </w:r>
      <w:r w:rsidRPr="000F21D1">
        <w:rPr>
          <w:rFonts w:ascii="Garamond" w:hAnsi="Garamond"/>
        </w:rPr>
        <w:t>events, leisure and rest</w:t>
      </w:r>
      <w:r w:rsidRPr="000F21D1">
        <w:rPr>
          <w:rFonts w:ascii="Garamond" w:hAnsi="Garamond" w:cs="Sylfaen"/>
        </w:rPr>
        <w:t xml:space="preserve"> services (</w:t>
      </w:r>
      <w:r w:rsidR="0090268C" w:rsidRPr="000F21D1">
        <w:rPr>
          <w:rFonts w:ascii="Garamond" w:hAnsi="Garamond" w:cs="Sylfaen"/>
        </w:rPr>
        <w:t>4</w:t>
      </w:r>
      <w:r w:rsidR="00D42100" w:rsidRPr="000F21D1">
        <w:rPr>
          <w:rFonts w:ascii="Garamond" w:hAnsi="Garamond" w:cs="Sylfaen"/>
        </w:rPr>
        <w:t>0</w:t>
      </w:r>
      <w:r w:rsidRPr="000F21D1">
        <w:rPr>
          <w:rFonts w:ascii="Garamond" w:hAnsi="Garamond" w:cs="Sylfaen"/>
        </w:rPr>
        <w:t>.</w:t>
      </w:r>
      <w:r w:rsidR="00D42100" w:rsidRPr="000F21D1">
        <w:rPr>
          <w:rFonts w:ascii="Garamond" w:hAnsi="Garamond" w:cs="Sylfaen"/>
        </w:rPr>
        <w:t>5</w:t>
      </w:r>
      <w:r w:rsidRPr="000F21D1">
        <w:rPr>
          <w:rFonts w:ascii="Garamond" w:hAnsi="Garamond" w:cs="Sylfaen"/>
        </w:rPr>
        <w:t xml:space="preserve">%), </w:t>
      </w:r>
      <w:r w:rsidR="0090268C" w:rsidRPr="000F21D1">
        <w:rPr>
          <w:rFonts w:ascii="Garamond" w:hAnsi="Garamond" w:cs="Sylfaen"/>
        </w:rPr>
        <w:t xml:space="preserve">real estate services </w:t>
      </w:r>
      <w:r w:rsidR="0090268C" w:rsidRPr="000F21D1">
        <w:rPr>
          <w:rFonts w:ascii="Garamond" w:hAnsi="Garamond" w:cs="Sylfaen"/>
        </w:rPr>
        <w:lastRenderedPageBreak/>
        <w:t>(</w:t>
      </w:r>
      <w:r w:rsidR="00D42100" w:rsidRPr="000F21D1">
        <w:rPr>
          <w:rFonts w:ascii="Garamond" w:hAnsi="Garamond" w:cs="Sylfaen"/>
        </w:rPr>
        <w:t>5</w:t>
      </w:r>
      <w:r w:rsidR="0090268C" w:rsidRPr="000F21D1">
        <w:rPr>
          <w:rFonts w:ascii="Garamond" w:hAnsi="Garamond" w:cs="Sylfaen"/>
        </w:rPr>
        <w:t>.</w:t>
      </w:r>
      <w:r w:rsidR="00D42100" w:rsidRPr="000F21D1">
        <w:rPr>
          <w:rFonts w:ascii="Garamond" w:hAnsi="Garamond" w:cs="Sylfaen"/>
        </w:rPr>
        <w:t>2</w:t>
      </w:r>
      <w:r w:rsidR="0090268C" w:rsidRPr="000F21D1">
        <w:rPr>
          <w:rFonts w:ascii="Garamond" w:hAnsi="Garamond" w:cs="Sylfaen"/>
        </w:rPr>
        <w:t>%)</w:t>
      </w:r>
      <w:r w:rsidR="00D42100" w:rsidRPr="000F21D1">
        <w:rPr>
          <w:rFonts w:ascii="Garamond" w:hAnsi="Garamond" w:cs="Sylfaen"/>
        </w:rPr>
        <w:t>, healthcare services (1.4%)</w:t>
      </w:r>
      <w:r w:rsidR="0090268C" w:rsidRPr="000F21D1">
        <w:rPr>
          <w:rFonts w:ascii="Garamond" w:hAnsi="Garamond" w:cs="Sylfaen"/>
        </w:rPr>
        <w:t xml:space="preserve"> and transportation services </w:t>
      </w:r>
      <w:r w:rsidRPr="000F21D1">
        <w:rPr>
          <w:rFonts w:ascii="Garamond" w:hAnsi="Garamond" w:cs="Sylfaen"/>
        </w:rPr>
        <w:t>(</w:t>
      </w:r>
      <w:r w:rsidR="0090268C" w:rsidRPr="000F21D1">
        <w:rPr>
          <w:rFonts w:ascii="Garamond" w:hAnsi="Garamond" w:cs="Sylfaen"/>
        </w:rPr>
        <w:t>2</w:t>
      </w:r>
      <w:r w:rsidR="00D42100" w:rsidRPr="000F21D1">
        <w:rPr>
          <w:rFonts w:ascii="Garamond" w:hAnsi="Garamond" w:cs="Sylfaen"/>
        </w:rPr>
        <w:t>2</w:t>
      </w:r>
      <w:r w:rsidRPr="000F21D1">
        <w:rPr>
          <w:rFonts w:ascii="Garamond" w:hAnsi="Garamond" w:cs="Sylfaen"/>
        </w:rPr>
        <w:t>.</w:t>
      </w:r>
      <w:r w:rsidR="00D42100" w:rsidRPr="000F21D1">
        <w:rPr>
          <w:rFonts w:ascii="Garamond" w:hAnsi="Garamond" w:cs="Sylfaen"/>
        </w:rPr>
        <w:t>8</w:t>
      </w:r>
      <w:r w:rsidRPr="000F21D1">
        <w:rPr>
          <w:rFonts w:ascii="Garamond" w:hAnsi="Garamond" w:cs="Sylfaen"/>
        </w:rPr>
        <w:t xml:space="preserve">%). </w:t>
      </w:r>
      <w:r w:rsidR="0090268C" w:rsidRPr="000F21D1">
        <w:rPr>
          <w:rFonts w:ascii="Garamond" w:hAnsi="Garamond" w:cs="Sylfaen"/>
        </w:rPr>
        <w:t xml:space="preserve">High growth </w:t>
      </w:r>
      <w:r w:rsidR="00D42100" w:rsidRPr="000F21D1">
        <w:rPr>
          <w:rFonts w:ascii="Garamond" w:hAnsi="Garamond" w:cs="Sylfaen"/>
        </w:rPr>
        <w:t xml:space="preserve">reported </w:t>
      </w:r>
      <w:r w:rsidR="0090268C" w:rsidRPr="000F21D1">
        <w:rPr>
          <w:rFonts w:ascii="Garamond" w:hAnsi="Garamond" w:cs="Sylfaen"/>
        </w:rPr>
        <w:t xml:space="preserve">in transportation services </w:t>
      </w:r>
      <w:r w:rsidR="00D42100" w:rsidRPr="000F21D1">
        <w:rPr>
          <w:rFonts w:ascii="Garamond" w:hAnsi="Garamond" w:cs="Sylfaen"/>
        </w:rPr>
        <w:t xml:space="preserve">was attributable </w:t>
      </w:r>
      <w:r w:rsidR="0090268C" w:rsidRPr="000F21D1">
        <w:rPr>
          <w:rFonts w:ascii="Garamond" w:hAnsi="Garamond" w:cs="Sylfaen"/>
        </w:rPr>
        <w:t>to companies specialized in</w:t>
      </w:r>
      <w:r w:rsidR="00E61E62" w:rsidRPr="000F21D1">
        <w:rPr>
          <w:rFonts w:ascii="Garamond" w:hAnsi="Garamond" w:cs="Sylfaen"/>
        </w:rPr>
        <w:t xml:space="preserve"> the carriage of </w:t>
      </w:r>
      <w:r w:rsidR="0090268C" w:rsidRPr="000F21D1">
        <w:rPr>
          <w:rFonts w:ascii="Garamond" w:hAnsi="Garamond" w:cs="Sylfaen"/>
        </w:rPr>
        <w:t xml:space="preserve">ore and minerals. </w:t>
      </w:r>
    </w:p>
    <w:p w14:paraId="66142883" w14:textId="77777777" w:rsidR="00E61E62" w:rsidRPr="000F21D1" w:rsidRDefault="00E61E62" w:rsidP="00FF3CD9">
      <w:pPr>
        <w:spacing w:line="360" w:lineRule="auto"/>
        <w:jc w:val="both"/>
        <w:rPr>
          <w:rFonts w:ascii="Garamond" w:hAnsi="Garamond" w:cs="Sylfaen"/>
        </w:rPr>
      </w:pPr>
    </w:p>
    <w:p w14:paraId="2E632599" w14:textId="77777777" w:rsidR="00E61E62" w:rsidRPr="000F21D1" w:rsidRDefault="00E61E62" w:rsidP="00FF3CD9">
      <w:pPr>
        <w:spacing w:line="360" w:lineRule="auto"/>
        <w:jc w:val="both"/>
        <w:rPr>
          <w:rFonts w:ascii="Garamond" w:hAnsi="Garamond" w:cs="Sylfaen"/>
        </w:rPr>
      </w:pPr>
      <w:r w:rsidRPr="000F21D1">
        <w:rPr>
          <w:rFonts w:ascii="Garamond" w:hAnsi="Garamond" w:cs="Sylfaen"/>
        </w:rPr>
        <w:t xml:space="preserve">The decline in trade </w:t>
      </w:r>
      <w:r w:rsidR="001D0EF9" w:rsidRPr="000F21D1">
        <w:rPr>
          <w:rFonts w:ascii="Garamond" w:hAnsi="Garamond" w:cs="Sylfaen"/>
        </w:rPr>
        <w:t xml:space="preserve">depended on a </w:t>
      </w:r>
      <w:r w:rsidR="00112D54" w:rsidRPr="000F21D1">
        <w:rPr>
          <w:rFonts w:ascii="Garamond" w:hAnsi="Garamond" w:cs="Sylfaen"/>
        </w:rPr>
        <w:t xml:space="preserve">4.3% </w:t>
      </w:r>
      <w:r w:rsidRPr="000F21D1">
        <w:rPr>
          <w:rFonts w:ascii="Garamond" w:hAnsi="Garamond" w:cs="Sylfaen"/>
        </w:rPr>
        <w:t xml:space="preserve">contraction </w:t>
      </w:r>
      <w:r w:rsidR="00112D54" w:rsidRPr="000F21D1">
        <w:rPr>
          <w:rFonts w:ascii="Garamond" w:hAnsi="Garamond" w:cs="Sylfaen"/>
        </w:rPr>
        <w:t xml:space="preserve">in </w:t>
      </w:r>
      <w:r w:rsidRPr="000F21D1">
        <w:rPr>
          <w:rFonts w:ascii="Garamond" w:hAnsi="Garamond" w:cs="Sylfaen"/>
        </w:rPr>
        <w:t xml:space="preserve">retail trade </w:t>
      </w:r>
      <w:r w:rsidR="001D0EF9" w:rsidRPr="000F21D1">
        <w:rPr>
          <w:rFonts w:ascii="Garamond" w:hAnsi="Garamond" w:cs="Sylfaen"/>
        </w:rPr>
        <w:t>turnover</w:t>
      </w:r>
      <w:r w:rsidR="00112D54" w:rsidRPr="000F21D1">
        <w:rPr>
          <w:rFonts w:ascii="Garamond" w:hAnsi="Garamond" w:cs="Sylfaen"/>
        </w:rPr>
        <w:t xml:space="preserve">, which </w:t>
      </w:r>
      <w:r w:rsidR="001D0EF9" w:rsidRPr="000F21D1">
        <w:rPr>
          <w:rFonts w:ascii="Garamond" w:hAnsi="Garamond" w:cs="Sylfaen"/>
        </w:rPr>
        <w:t xml:space="preserve">has been a result of a </w:t>
      </w:r>
      <w:r w:rsidR="00112D54" w:rsidRPr="000F21D1">
        <w:rPr>
          <w:rFonts w:ascii="Garamond" w:hAnsi="Garamond" w:cs="Sylfaen"/>
        </w:rPr>
        <w:t>weak domestic demand</w:t>
      </w:r>
      <w:r w:rsidR="003C329C" w:rsidRPr="000F21D1">
        <w:rPr>
          <w:rFonts w:ascii="Garamond" w:hAnsi="Garamond" w:cs="Sylfaen"/>
        </w:rPr>
        <w:t xml:space="preserve"> in the reporting period</w:t>
      </w:r>
      <w:r w:rsidRPr="000F21D1">
        <w:rPr>
          <w:rFonts w:ascii="Garamond" w:hAnsi="Garamond" w:cs="Sylfaen"/>
        </w:rPr>
        <w:t>.</w:t>
      </w:r>
    </w:p>
    <w:p w14:paraId="2CA629A9" w14:textId="77777777" w:rsidR="0090268C" w:rsidRPr="000F21D1" w:rsidRDefault="0090268C" w:rsidP="00FF3CD9">
      <w:pPr>
        <w:spacing w:line="360" w:lineRule="auto"/>
        <w:jc w:val="both"/>
        <w:rPr>
          <w:rFonts w:ascii="Garamond" w:hAnsi="Garamond" w:cs="Sylfaen"/>
        </w:rPr>
      </w:pPr>
    </w:p>
    <w:p w14:paraId="7D991261" w14:textId="77777777" w:rsidR="00CB4E02" w:rsidRPr="000F21D1" w:rsidRDefault="00777E10" w:rsidP="00FF3CD9">
      <w:pPr>
        <w:spacing w:line="360" w:lineRule="auto"/>
        <w:jc w:val="both"/>
        <w:rPr>
          <w:rFonts w:ascii="Garamond" w:hAnsi="Garamond"/>
        </w:rPr>
      </w:pPr>
      <w:r w:rsidRPr="000F21D1">
        <w:rPr>
          <w:rFonts w:ascii="Garamond" w:hAnsi="Garamond"/>
        </w:rPr>
        <w:t xml:space="preserve">Given the output growth of 3.2% y/y in </w:t>
      </w:r>
      <w:r w:rsidRPr="000F21D1">
        <w:rPr>
          <w:rFonts w:ascii="Garamond" w:hAnsi="Garamond"/>
          <w:b/>
        </w:rPr>
        <w:t>Agriculture</w:t>
      </w:r>
      <w:r w:rsidRPr="000F21D1">
        <w:rPr>
          <w:rFonts w:ascii="Garamond" w:hAnsi="Garamond"/>
        </w:rPr>
        <w:t xml:space="preserve"> recorded the first half of 2016, th</w:t>
      </w:r>
      <w:r w:rsidR="00E61E62" w:rsidRPr="000F21D1">
        <w:rPr>
          <w:rFonts w:ascii="Garamond" w:hAnsi="Garamond"/>
        </w:rPr>
        <w:t xml:space="preserve">e growth of value added in </w:t>
      </w:r>
      <w:r w:rsidRPr="000F21D1">
        <w:rPr>
          <w:rFonts w:ascii="Garamond" w:hAnsi="Garamond"/>
        </w:rPr>
        <w:t>the sector</w:t>
      </w:r>
      <w:r w:rsidR="00E61E62" w:rsidRPr="000F21D1">
        <w:rPr>
          <w:rFonts w:ascii="Garamond" w:hAnsi="Garamond"/>
        </w:rPr>
        <w:t xml:space="preserve"> </w:t>
      </w:r>
      <w:r w:rsidRPr="000F21D1">
        <w:rPr>
          <w:rFonts w:ascii="Garamond" w:hAnsi="Garamond"/>
        </w:rPr>
        <w:t>in January-June</w:t>
      </w:r>
      <w:r w:rsidR="00E61E62" w:rsidRPr="000F21D1">
        <w:rPr>
          <w:rFonts w:ascii="Garamond" w:hAnsi="Garamond"/>
        </w:rPr>
        <w:t xml:space="preserve"> 2016 is estimated</w:t>
      </w:r>
      <w:r w:rsidR="00FB246E" w:rsidRPr="000F21D1">
        <w:rPr>
          <w:rFonts w:ascii="Garamond" w:hAnsi="Garamond"/>
          <w:lang w:val="hy-AM"/>
        </w:rPr>
        <w:t xml:space="preserve"> </w:t>
      </w:r>
      <w:r w:rsidRPr="000F21D1">
        <w:rPr>
          <w:rFonts w:ascii="Garamond" w:hAnsi="Garamond"/>
        </w:rPr>
        <w:t>with</w:t>
      </w:r>
      <w:r w:rsidR="00E61E62" w:rsidRPr="000F21D1">
        <w:rPr>
          <w:rFonts w:ascii="Garamond" w:hAnsi="Garamond"/>
        </w:rPr>
        <w:t xml:space="preserve">in </w:t>
      </w:r>
      <w:r w:rsidRPr="000F21D1">
        <w:rPr>
          <w:rFonts w:ascii="Garamond" w:hAnsi="Garamond"/>
        </w:rPr>
        <w:t>3.3</w:t>
      </w:r>
      <w:r w:rsidRPr="000F21D1">
        <w:rPr>
          <w:rFonts w:ascii="Garamond" w:hAnsi="Garamond" w:cs="Sylfaen"/>
        </w:rPr>
        <w:t>-3</w:t>
      </w:r>
      <w:r w:rsidR="00E61E62" w:rsidRPr="000F21D1">
        <w:rPr>
          <w:rFonts w:ascii="Garamond" w:hAnsi="Garamond" w:cs="Sylfaen"/>
        </w:rPr>
        <w:t>.</w:t>
      </w:r>
      <w:r w:rsidRPr="000F21D1">
        <w:rPr>
          <w:rFonts w:ascii="Garamond" w:hAnsi="Garamond" w:cs="Sylfaen"/>
        </w:rPr>
        <w:t>8</w:t>
      </w:r>
      <w:r w:rsidR="00E61E62" w:rsidRPr="000F21D1">
        <w:rPr>
          <w:rFonts w:ascii="Garamond" w:hAnsi="Garamond" w:cs="Sylfaen"/>
        </w:rPr>
        <w:t>% y/y,</w:t>
      </w:r>
      <w:r w:rsidR="00FB246E" w:rsidRPr="000F21D1">
        <w:rPr>
          <w:rFonts w:ascii="Garamond" w:hAnsi="Garamond" w:cs="Sylfaen"/>
          <w:lang w:val="hy-AM"/>
        </w:rPr>
        <w:t xml:space="preserve"> </w:t>
      </w:r>
      <w:r w:rsidR="00E61E62" w:rsidRPr="000F21D1">
        <w:rPr>
          <w:rFonts w:ascii="Garamond" w:hAnsi="Garamond" w:cs="Sylfaen"/>
        </w:rPr>
        <w:t xml:space="preserve">which is a result of </w:t>
      </w:r>
      <w:r w:rsidR="00E61E62" w:rsidRPr="000F21D1">
        <w:rPr>
          <w:rFonts w:ascii="Garamond" w:hAnsi="Garamond"/>
        </w:rPr>
        <w:t>increased output in plant growing</w:t>
      </w:r>
      <w:r w:rsidRPr="000F21D1">
        <w:rPr>
          <w:rFonts w:ascii="Garamond" w:hAnsi="Garamond"/>
        </w:rPr>
        <w:t>, animal breeding</w:t>
      </w:r>
      <w:r w:rsidR="00E61E62" w:rsidRPr="000F21D1">
        <w:rPr>
          <w:rFonts w:ascii="Garamond" w:hAnsi="Garamond"/>
        </w:rPr>
        <w:t xml:space="preserve"> and </w:t>
      </w:r>
      <w:r w:rsidR="00E452AD" w:rsidRPr="000F21D1">
        <w:rPr>
          <w:rFonts w:ascii="Garamond" w:hAnsi="Garamond"/>
        </w:rPr>
        <w:t>fish growing</w:t>
      </w:r>
      <w:r w:rsidR="00E61E62" w:rsidRPr="000F21D1">
        <w:rPr>
          <w:rFonts w:ascii="Garamond" w:hAnsi="Garamond"/>
        </w:rPr>
        <w:t xml:space="preserve">, by </w:t>
      </w:r>
      <w:r w:rsidR="00E452AD" w:rsidRPr="000F21D1">
        <w:rPr>
          <w:rFonts w:ascii="Garamond" w:hAnsi="Garamond"/>
        </w:rPr>
        <w:t>2</w:t>
      </w:r>
      <w:r w:rsidR="00E61E62" w:rsidRPr="000F21D1">
        <w:rPr>
          <w:rFonts w:ascii="Garamond" w:hAnsi="Garamond"/>
        </w:rPr>
        <w:t>.</w:t>
      </w:r>
      <w:r w:rsidRPr="000F21D1">
        <w:rPr>
          <w:rFonts w:ascii="Garamond" w:hAnsi="Garamond"/>
        </w:rPr>
        <w:t>2</w:t>
      </w:r>
      <w:r w:rsidR="00E61E62" w:rsidRPr="000F21D1">
        <w:rPr>
          <w:rFonts w:ascii="Garamond" w:hAnsi="Garamond"/>
        </w:rPr>
        <w:t xml:space="preserve">%, </w:t>
      </w:r>
      <w:r w:rsidRPr="000F21D1">
        <w:rPr>
          <w:rFonts w:ascii="Garamond" w:hAnsi="Garamond"/>
        </w:rPr>
        <w:t>3</w:t>
      </w:r>
      <w:r w:rsidR="00E61E62" w:rsidRPr="000F21D1">
        <w:rPr>
          <w:rFonts w:ascii="Garamond" w:hAnsi="Garamond"/>
        </w:rPr>
        <w:t>.</w:t>
      </w:r>
      <w:r w:rsidRPr="000F21D1">
        <w:rPr>
          <w:rFonts w:ascii="Garamond" w:hAnsi="Garamond"/>
        </w:rPr>
        <w:t>8</w:t>
      </w:r>
      <w:r w:rsidR="00E61E62" w:rsidRPr="000F21D1">
        <w:rPr>
          <w:rFonts w:ascii="Garamond" w:hAnsi="Garamond"/>
        </w:rPr>
        <w:t xml:space="preserve">% and </w:t>
      </w:r>
      <w:r w:rsidRPr="000F21D1">
        <w:rPr>
          <w:rFonts w:ascii="Garamond" w:hAnsi="Garamond"/>
        </w:rPr>
        <w:t>2</w:t>
      </w:r>
      <w:r w:rsidR="00E61E62" w:rsidRPr="000F21D1">
        <w:rPr>
          <w:rFonts w:ascii="Garamond" w:hAnsi="Garamond"/>
        </w:rPr>
        <w:t>.</w:t>
      </w:r>
      <w:r w:rsidRPr="000F21D1">
        <w:rPr>
          <w:rFonts w:ascii="Garamond" w:hAnsi="Garamond"/>
        </w:rPr>
        <w:t>3</w:t>
      </w:r>
      <w:r w:rsidR="00E61E62" w:rsidRPr="000F21D1">
        <w:rPr>
          <w:rFonts w:ascii="Garamond" w:hAnsi="Garamond"/>
        </w:rPr>
        <w:t>%, respectively.</w:t>
      </w:r>
      <w:r w:rsidR="00FB246E" w:rsidRPr="000F21D1">
        <w:rPr>
          <w:rFonts w:ascii="Garamond" w:hAnsi="Garamond"/>
          <w:lang w:val="hy-AM"/>
        </w:rPr>
        <w:t xml:space="preserve"> </w:t>
      </w:r>
      <w:r w:rsidR="000471F2" w:rsidRPr="000F21D1">
        <w:rPr>
          <w:rFonts w:ascii="Garamond" w:hAnsi="Garamond"/>
        </w:rPr>
        <w:t>The growth in animal breeding</w:t>
      </w:r>
      <w:r w:rsidR="00FB246E" w:rsidRPr="000F21D1">
        <w:rPr>
          <w:rFonts w:ascii="Garamond" w:hAnsi="Garamond"/>
          <w:lang w:val="hy-AM"/>
        </w:rPr>
        <w:t xml:space="preserve"> </w:t>
      </w:r>
      <w:r w:rsidR="000471F2" w:rsidRPr="000F21D1">
        <w:rPr>
          <w:rFonts w:ascii="Garamond" w:hAnsi="Garamond"/>
        </w:rPr>
        <w:t>was driven by increased production of milk (</w:t>
      </w:r>
      <w:r w:rsidR="004D7651" w:rsidRPr="000F21D1">
        <w:rPr>
          <w:rFonts w:ascii="Garamond" w:hAnsi="Garamond"/>
        </w:rPr>
        <w:t>3</w:t>
      </w:r>
      <w:r w:rsidR="000471F2" w:rsidRPr="000F21D1">
        <w:rPr>
          <w:rFonts w:ascii="Garamond" w:hAnsi="Garamond"/>
        </w:rPr>
        <w:t>.</w:t>
      </w:r>
      <w:r w:rsidR="004D7651" w:rsidRPr="000F21D1">
        <w:rPr>
          <w:rFonts w:ascii="Garamond" w:hAnsi="Garamond"/>
        </w:rPr>
        <w:t>4</w:t>
      </w:r>
      <w:r w:rsidR="000471F2" w:rsidRPr="000F21D1">
        <w:rPr>
          <w:rFonts w:ascii="Garamond" w:hAnsi="Garamond"/>
        </w:rPr>
        <w:t>%), eggs (</w:t>
      </w:r>
      <w:r w:rsidR="004D7651" w:rsidRPr="000F21D1">
        <w:rPr>
          <w:rFonts w:ascii="Garamond" w:hAnsi="Garamond"/>
        </w:rPr>
        <w:t>6</w:t>
      </w:r>
      <w:r w:rsidR="000471F2" w:rsidRPr="000F21D1">
        <w:rPr>
          <w:rFonts w:ascii="Garamond" w:hAnsi="Garamond"/>
        </w:rPr>
        <w:t>.</w:t>
      </w:r>
      <w:r w:rsidR="004D7651" w:rsidRPr="000F21D1">
        <w:rPr>
          <w:rFonts w:ascii="Garamond" w:hAnsi="Garamond"/>
        </w:rPr>
        <w:t>5</w:t>
      </w:r>
      <w:r w:rsidR="000471F2" w:rsidRPr="000F21D1">
        <w:rPr>
          <w:rFonts w:ascii="Garamond" w:hAnsi="Garamond"/>
        </w:rPr>
        <w:t>%) and livestock and poultry sales (</w:t>
      </w:r>
      <w:r w:rsidR="004D7651" w:rsidRPr="000F21D1">
        <w:rPr>
          <w:rFonts w:ascii="Garamond" w:hAnsi="Garamond"/>
        </w:rPr>
        <w:t>3</w:t>
      </w:r>
      <w:r w:rsidR="000471F2" w:rsidRPr="000F21D1">
        <w:rPr>
          <w:rFonts w:ascii="Garamond" w:hAnsi="Garamond"/>
        </w:rPr>
        <w:t>.</w:t>
      </w:r>
      <w:r w:rsidR="004D7651" w:rsidRPr="000F21D1">
        <w:rPr>
          <w:rFonts w:ascii="Garamond" w:hAnsi="Garamond"/>
        </w:rPr>
        <w:t>3</w:t>
      </w:r>
      <w:r w:rsidR="000471F2" w:rsidRPr="000F21D1">
        <w:rPr>
          <w:rFonts w:ascii="Garamond" w:hAnsi="Garamond"/>
        </w:rPr>
        <w:t>%)</w:t>
      </w:r>
      <w:r w:rsidR="004D7651" w:rsidRPr="000F21D1">
        <w:rPr>
          <w:rFonts w:ascii="Garamond" w:hAnsi="Garamond"/>
        </w:rPr>
        <w:t xml:space="preserve">; the growth in plant growing was attributable to greater volumes of production of vegetables (9.9%) and potato (0.3%). </w:t>
      </w:r>
      <w:r w:rsidR="00CD2EC4" w:rsidRPr="000F21D1">
        <w:rPr>
          <w:rFonts w:ascii="Garamond" w:hAnsi="Garamond"/>
        </w:rPr>
        <w:t xml:space="preserve">Modest </w:t>
      </w:r>
      <w:r w:rsidR="004D7651" w:rsidRPr="000F21D1">
        <w:rPr>
          <w:rFonts w:ascii="Garamond" w:hAnsi="Garamond"/>
        </w:rPr>
        <w:t xml:space="preserve">growth in the agricultural sector </w:t>
      </w:r>
      <w:r w:rsidR="00CD2EC4" w:rsidRPr="000F21D1">
        <w:rPr>
          <w:rFonts w:ascii="Garamond" w:hAnsi="Garamond"/>
        </w:rPr>
        <w:t xml:space="preserve">has been mostly a result of relatively unfavorable weather conditions this year in </w:t>
      </w:r>
      <w:r w:rsidR="004D7651" w:rsidRPr="000F21D1">
        <w:rPr>
          <w:rFonts w:ascii="Garamond" w:hAnsi="Garamond"/>
        </w:rPr>
        <w:t>compar</w:t>
      </w:r>
      <w:r w:rsidR="00CD2EC4" w:rsidRPr="000F21D1">
        <w:rPr>
          <w:rFonts w:ascii="Garamond" w:hAnsi="Garamond"/>
        </w:rPr>
        <w:t>ison with</w:t>
      </w:r>
      <w:r w:rsidR="004D7651" w:rsidRPr="000F21D1">
        <w:rPr>
          <w:rFonts w:ascii="Garamond" w:hAnsi="Garamond"/>
        </w:rPr>
        <w:t xml:space="preserve"> </w:t>
      </w:r>
      <w:r w:rsidR="00CD2EC4" w:rsidRPr="000F21D1">
        <w:rPr>
          <w:rFonts w:ascii="Garamond" w:hAnsi="Garamond"/>
        </w:rPr>
        <w:t xml:space="preserve">the previous </w:t>
      </w:r>
      <w:r w:rsidR="004D7651" w:rsidRPr="000F21D1">
        <w:rPr>
          <w:rFonts w:ascii="Garamond" w:hAnsi="Garamond"/>
        </w:rPr>
        <w:t xml:space="preserve">year. </w:t>
      </w:r>
    </w:p>
    <w:p w14:paraId="74631935" w14:textId="77777777" w:rsidR="0065044E" w:rsidRPr="000F21D1" w:rsidRDefault="0065044E" w:rsidP="00FF3CD9">
      <w:pPr>
        <w:spacing w:line="360" w:lineRule="auto"/>
        <w:jc w:val="both"/>
        <w:rPr>
          <w:rFonts w:ascii="Garamond" w:hAnsi="Garamond"/>
        </w:rPr>
      </w:pPr>
    </w:p>
    <w:p w14:paraId="18CAFDC4" w14:textId="77777777" w:rsidR="0065044E" w:rsidRPr="000F21D1" w:rsidRDefault="0065044E" w:rsidP="00FF3CD9">
      <w:pPr>
        <w:spacing w:line="360" w:lineRule="auto"/>
        <w:jc w:val="both"/>
        <w:rPr>
          <w:rFonts w:ascii="Garamond" w:hAnsi="Garamond"/>
          <w:b/>
        </w:rPr>
      </w:pPr>
      <w:r w:rsidRPr="000F21D1">
        <w:rPr>
          <w:rFonts w:ascii="Garamond" w:hAnsi="Garamond"/>
          <w:b/>
        </w:rPr>
        <w:t>3.2.2. Aggregate demand</w:t>
      </w:r>
      <w:r w:rsidR="00125C0A" w:rsidRPr="000F21D1">
        <w:rPr>
          <w:rStyle w:val="FootnoteReference"/>
          <w:rFonts w:ascii="Garamond" w:hAnsi="Garamond"/>
          <w:b/>
        </w:rPr>
        <w:footnoteReference w:customMarkFollows="1" w:id="20"/>
        <w:t>21</w:t>
      </w:r>
    </w:p>
    <w:p w14:paraId="3E761741" w14:textId="77777777" w:rsidR="00CB4E02" w:rsidRPr="000F21D1" w:rsidRDefault="00CB4E02" w:rsidP="00FF3CD9">
      <w:pPr>
        <w:spacing w:line="360" w:lineRule="auto"/>
        <w:jc w:val="both"/>
        <w:rPr>
          <w:rFonts w:ascii="Garamond" w:hAnsi="Garamond"/>
        </w:rPr>
      </w:pPr>
    </w:p>
    <w:p w14:paraId="5366E44A" w14:textId="77777777" w:rsidR="0065044E" w:rsidRPr="000F21D1" w:rsidRDefault="00125C0A" w:rsidP="00FF3CD9">
      <w:pPr>
        <w:spacing w:line="360" w:lineRule="auto"/>
        <w:jc w:val="both"/>
        <w:rPr>
          <w:rFonts w:ascii="Garamond" w:hAnsi="Garamond" w:cs="Sylfaen"/>
        </w:rPr>
      </w:pPr>
      <w:r w:rsidRPr="000F21D1">
        <w:rPr>
          <w:rFonts w:ascii="Garamond" w:hAnsi="Garamond" w:cs="Sylfaen"/>
        </w:rPr>
        <w:t xml:space="preserve">In the second quarter of 2016 private spending </w:t>
      </w:r>
      <w:r w:rsidR="00D84536" w:rsidRPr="000F21D1">
        <w:rPr>
          <w:rFonts w:ascii="Garamond" w:hAnsi="Garamond" w:cs="Sylfaen"/>
        </w:rPr>
        <w:t>i</w:t>
      </w:r>
      <w:r w:rsidRPr="000F21D1">
        <w:rPr>
          <w:rFonts w:ascii="Garamond" w:hAnsi="Garamond" w:cs="Sylfaen"/>
        </w:rPr>
        <w:t xml:space="preserve">s estimated to be higher compared to the previous forecast as it </w:t>
      </w:r>
      <w:r w:rsidR="00D84536" w:rsidRPr="000F21D1">
        <w:rPr>
          <w:rFonts w:ascii="Garamond" w:hAnsi="Garamond" w:cs="Sylfaen"/>
        </w:rPr>
        <w:t xml:space="preserve">has grown by around </w:t>
      </w:r>
      <w:r w:rsidRPr="000F21D1">
        <w:rPr>
          <w:rFonts w:ascii="Garamond" w:hAnsi="Garamond" w:cs="Sylfaen"/>
        </w:rPr>
        <w:t xml:space="preserve">1% </w:t>
      </w:r>
      <w:r w:rsidR="00D84536" w:rsidRPr="000F21D1">
        <w:rPr>
          <w:rFonts w:ascii="Garamond" w:hAnsi="Garamond" w:cs="Sylfaen"/>
        </w:rPr>
        <w:t>relative to</w:t>
      </w:r>
      <w:r w:rsidRPr="000F21D1">
        <w:rPr>
          <w:rFonts w:ascii="Garamond" w:hAnsi="Garamond" w:cs="Sylfaen"/>
        </w:rPr>
        <w:t xml:space="preserve"> the same </w:t>
      </w:r>
      <w:r w:rsidR="00D84536" w:rsidRPr="000F21D1">
        <w:rPr>
          <w:rFonts w:ascii="Garamond" w:hAnsi="Garamond" w:cs="Sylfaen"/>
        </w:rPr>
        <w:t xml:space="preserve">reference </w:t>
      </w:r>
      <w:r w:rsidRPr="000F21D1">
        <w:rPr>
          <w:rFonts w:ascii="Garamond" w:hAnsi="Garamond" w:cs="Sylfaen"/>
        </w:rPr>
        <w:t xml:space="preserve">period last year. </w:t>
      </w:r>
      <w:r w:rsidR="00972F5A" w:rsidRPr="000F21D1">
        <w:rPr>
          <w:rFonts w:ascii="Garamond" w:hAnsi="Garamond" w:cs="Sylfaen"/>
        </w:rPr>
        <w:t xml:space="preserve">This </w:t>
      </w:r>
      <w:r w:rsidR="00D84536" w:rsidRPr="000F21D1">
        <w:rPr>
          <w:rFonts w:ascii="Garamond" w:hAnsi="Garamond" w:cs="Sylfaen"/>
        </w:rPr>
        <w:t xml:space="preserve">is </w:t>
      </w:r>
      <w:r w:rsidR="00972F5A" w:rsidRPr="000F21D1">
        <w:rPr>
          <w:rFonts w:ascii="Garamond" w:hAnsi="Garamond" w:cs="Sylfaen"/>
        </w:rPr>
        <w:t xml:space="preserve">due to </w:t>
      </w:r>
      <w:r w:rsidR="00D84536" w:rsidRPr="000F21D1">
        <w:rPr>
          <w:rFonts w:ascii="Garamond" w:hAnsi="Garamond" w:cs="Sylfaen"/>
        </w:rPr>
        <w:t xml:space="preserve">lesser shrinking of </w:t>
      </w:r>
      <w:r w:rsidR="00C81FC7" w:rsidRPr="000F21D1">
        <w:rPr>
          <w:rFonts w:ascii="Garamond" w:hAnsi="Garamond" w:cs="Sylfaen"/>
        </w:rPr>
        <w:t xml:space="preserve">trade </w:t>
      </w:r>
      <w:r w:rsidR="00972F5A" w:rsidRPr="000F21D1">
        <w:rPr>
          <w:rFonts w:ascii="Garamond" w:hAnsi="Garamond" w:cs="Sylfaen"/>
        </w:rPr>
        <w:t xml:space="preserve">turnover and much higher economic activity in </w:t>
      </w:r>
      <w:r w:rsidR="00C81FC7" w:rsidRPr="000F21D1">
        <w:rPr>
          <w:rFonts w:ascii="Garamond" w:hAnsi="Garamond" w:cs="Sylfaen"/>
        </w:rPr>
        <w:t xml:space="preserve">the </w:t>
      </w:r>
      <w:r w:rsidR="00D84536" w:rsidRPr="000F21D1">
        <w:rPr>
          <w:rFonts w:ascii="Garamond" w:hAnsi="Garamond" w:cs="Sylfaen"/>
        </w:rPr>
        <w:t>second</w:t>
      </w:r>
      <w:r w:rsidR="00C81FC7" w:rsidRPr="000F21D1">
        <w:rPr>
          <w:rFonts w:ascii="Garamond" w:hAnsi="Garamond" w:cs="Sylfaen"/>
        </w:rPr>
        <w:t xml:space="preserve"> quarter. </w:t>
      </w:r>
    </w:p>
    <w:p w14:paraId="2D50D642" w14:textId="77777777" w:rsidR="0006101A" w:rsidRPr="000F21D1" w:rsidRDefault="0006101A" w:rsidP="00FF3CD9">
      <w:pPr>
        <w:spacing w:line="360" w:lineRule="auto"/>
        <w:jc w:val="both"/>
        <w:rPr>
          <w:rFonts w:ascii="Garamond" w:hAnsi="Garamond" w:cs="Sylfaen"/>
        </w:rPr>
      </w:pPr>
    </w:p>
    <w:p w14:paraId="1138609F" w14:textId="77777777" w:rsidR="0006101A" w:rsidRPr="000F21D1" w:rsidRDefault="001317A3" w:rsidP="0006101A">
      <w:pPr>
        <w:spacing w:line="360" w:lineRule="auto"/>
        <w:jc w:val="both"/>
        <w:rPr>
          <w:rFonts w:ascii="Garamond" w:hAnsi="Garamond" w:cs="Sylfaen"/>
        </w:rPr>
      </w:pPr>
      <w:r w:rsidRPr="000F21D1">
        <w:rPr>
          <w:rFonts w:ascii="Garamond" w:hAnsi="Garamond" w:cs="Sylfaen"/>
        </w:rPr>
        <w:t>A narrowing inflow</w:t>
      </w:r>
      <w:r w:rsidR="008E3E8C" w:rsidRPr="000F21D1">
        <w:rPr>
          <w:rFonts w:ascii="Garamond" w:hAnsi="Garamond" w:cs="Sylfaen"/>
        </w:rPr>
        <w:t xml:space="preserve"> </w:t>
      </w:r>
      <w:r w:rsidRPr="000F21D1">
        <w:rPr>
          <w:rFonts w:ascii="Garamond" w:hAnsi="Garamond" w:cs="Sylfaen"/>
        </w:rPr>
        <w:t xml:space="preserve">of </w:t>
      </w:r>
      <w:r w:rsidR="008E3E8C" w:rsidRPr="000F21D1">
        <w:rPr>
          <w:rFonts w:ascii="Garamond" w:hAnsi="Garamond" w:cs="Sylfaen"/>
        </w:rPr>
        <w:t xml:space="preserve">remittances from Russia, a trend observable since </w:t>
      </w:r>
      <w:r w:rsidR="0006101A" w:rsidRPr="000F21D1">
        <w:rPr>
          <w:rFonts w:ascii="Garamond" w:hAnsi="Garamond" w:cs="Sylfaen"/>
        </w:rPr>
        <w:t>end</w:t>
      </w:r>
      <w:r w:rsidR="008E3E8C" w:rsidRPr="000F21D1">
        <w:rPr>
          <w:rFonts w:ascii="Garamond" w:hAnsi="Garamond" w:cs="Sylfaen"/>
        </w:rPr>
        <w:t>-</w:t>
      </w:r>
      <w:r w:rsidR="0006101A" w:rsidRPr="000F21D1">
        <w:rPr>
          <w:rFonts w:ascii="Garamond" w:hAnsi="Garamond" w:cs="Sylfaen"/>
        </w:rPr>
        <w:t xml:space="preserve">2014 and </w:t>
      </w:r>
      <w:r w:rsidR="008E3E8C" w:rsidRPr="000F21D1">
        <w:rPr>
          <w:rFonts w:ascii="Garamond" w:hAnsi="Garamond" w:cs="Sylfaen"/>
        </w:rPr>
        <w:t>persisted over 2</w:t>
      </w:r>
      <w:r w:rsidR="0006101A" w:rsidRPr="000F21D1">
        <w:rPr>
          <w:rFonts w:ascii="Garamond" w:hAnsi="Garamond" w:cs="Sylfaen"/>
        </w:rPr>
        <w:t xml:space="preserve">015, </w:t>
      </w:r>
      <w:r w:rsidR="008E3E8C" w:rsidRPr="000F21D1">
        <w:rPr>
          <w:rFonts w:ascii="Garamond" w:hAnsi="Garamond" w:cs="Sylfaen"/>
        </w:rPr>
        <w:t xml:space="preserve">has negatively affected the </w:t>
      </w:r>
      <w:r w:rsidR="0006101A" w:rsidRPr="000F21D1">
        <w:rPr>
          <w:rFonts w:ascii="Garamond" w:hAnsi="Garamond" w:cs="Sylfaen"/>
        </w:rPr>
        <w:t>households</w:t>
      </w:r>
      <w:r w:rsidR="008E3E8C" w:rsidRPr="000F21D1">
        <w:rPr>
          <w:rFonts w:ascii="Garamond" w:hAnsi="Garamond" w:cs="Sylfaen"/>
        </w:rPr>
        <w:t>’</w:t>
      </w:r>
      <w:r w:rsidR="0006101A" w:rsidRPr="000F21D1">
        <w:rPr>
          <w:rFonts w:ascii="Garamond" w:hAnsi="Garamond" w:cs="Sylfaen"/>
        </w:rPr>
        <w:t xml:space="preserve"> disposable income, which led to reduc</w:t>
      </w:r>
      <w:r w:rsidR="008E3E8C" w:rsidRPr="000F21D1">
        <w:rPr>
          <w:rFonts w:ascii="Garamond" w:hAnsi="Garamond" w:cs="Sylfaen"/>
        </w:rPr>
        <w:t xml:space="preserve">ed private consumption costs throughout 2015 and in early 2016. </w:t>
      </w:r>
      <w:r w:rsidR="003A44FA" w:rsidRPr="000F21D1">
        <w:rPr>
          <w:rFonts w:ascii="Garamond" w:hAnsi="Garamond" w:cs="Sylfaen"/>
        </w:rPr>
        <w:t>It should be n</w:t>
      </w:r>
      <w:r w:rsidR="0006101A" w:rsidRPr="000F21D1">
        <w:rPr>
          <w:rFonts w:ascii="Garamond" w:hAnsi="Garamond" w:cs="Sylfaen"/>
        </w:rPr>
        <w:t>ote</w:t>
      </w:r>
      <w:r w:rsidR="003A44FA" w:rsidRPr="000F21D1">
        <w:rPr>
          <w:rFonts w:ascii="Garamond" w:hAnsi="Garamond" w:cs="Sylfaen"/>
        </w:rPr>
        <w:t>d</w:t>
      </w:r>
      <w:r w:rsidR="008E3E8C" w:rsidRPr="000F21D1">
        <w:rPr>
          <w:rFonts w:ascii="Garamond" w:hAnsi="Garamond" w:cs="Sylfaen"/>
        </w:rPr>
        <w:t>,</w:t>
      </w:r>
      <w:r w:rsidR="0006101A" w:rsidRPr="000F21D1">
        <w:rPr>
          <w:rFonts w:ascii="Garamond" w:hAnsi="Garamond" w:cs="Sylfaen"/>
        </w:rPr>
        <w:t xml:space="preserve"> however, that the dec</w:t>
      </w:r>
      <w:r w:rsidR="008E3E8C" w:rsidRPr="000F21D1">
        <w:rPr>
          <w:rFonts w:ascii="Garamond" w:hAnsi="Garamond" w:cs="Sylfaen"/>
        </w:rPr>
        <w:t xml:space="preserve">line in </w:t>
      </w:r>
      <w:r w:rsidR="0006101A" w:rsidRPr="000F21D1">
        <w:rPr>
          <w:rFonts w:ascii="Garamond" w:hAnsi="Garamond" w:cs="Sylfaen"/>
        </w:rPr>
        <w:t xml:space="preserve">private </w:t>
      </w:r>
      <w:r w:rsidR="008E3E8C" w:rsidRPr="000F21D1">
        <w:rPr>
          <w:rFonts w:ascii="Garamond" w:hAnsi="Garamond" w:cs="Sylfaen"/>
        </w:rPr>
        <w:t xml:space="preserve">spending has diminished </w:t>
      </w:r>
      <w:r w:rsidR="003A44FA" w:rsidRPr="000F21D1">
        <w:rPr>
          <w:rFonts w:ascii="Garamond" w:hAnsi="Garamond" w:cs="Sylfaen"/>
        </w:rPr>
        <w:t xml:space="preserve">considerably </w:t>
      </w:r>
      <w:r w:rsidR="008E3E8C" w:rsidRPr="000F21D1">
        <w:rPr>
          <w:rFonts w:ascii="Garamond" w:hAnsi="Garamond" w:cs="Sylfaen"/>
        </w:rPr>
        <w:t xml:space="preserve">thanks to </w:t>
      </w:r>
      <w:r w:rsidR="003A44FA" w:rsidRPr="000F21D1">
        <w:rPr>
          <w:rFonts w:ascii="Garamond" w:hAnsi="Garamond" w:cs="Sylfaen"/>
        </w:rPr>
        <w:t>a CBA</w:t>
      </w:r>
      <w:r w:rsidR="008E3E8C" w:rsidRPr="000F21D1">
        <w:rPr>
          <w:rFonts w:ascii="Garamond" w:hAnsi="Garamond" w:cs="Sylfaen"/>
        </w:rPr>
        <w:t xml:space="preserve"> policy steered to </w:t>
      </w:r>
      <w:r w:rsidR="0006101A" w:rsidRPr="000F21D1">
        <w:rPr>
          <w:rFonts w:ascii="Garamond" w:hAnsi="Garamond" w:cs="Sylfaen"/>
        </w:rPr>
        <w:t>eas</w:t>
      </w:r>
      <w:r w:rsidR="008E3E8C" w:rsidRPr="000F21D1">
        <w:rPr>
          <w:rFonts w:ascii="Garamond" w:hAnsi="Garamond" w:cs="Sylfaen"/>
        </w:rPr>
        <w:t>e</w:t>
      </w:r>
      <w:r w:rsidR="0006101A" w:rsidRPr="000F21D1">
        <w:rPr>
          <w:rFonts w:ascii="Garamond" w:hAnsi="Garamond" w:cs="Sylfaen"/>
        </w:rPr>
        <w:t xml:space="preserve"> monetary conditions</w:t>
      </w:r>
      <w:r w:rsidR="003A44FA" w:rsidRPr="000F21D1">
        <w:rPr>
          <w:rFonts w:ascii="Garamond" w:hAnsi="Garamond" w:cs="Sylfaen"/>
        </w:rPr>
        <w:t xml:space="preserve"> since 2015</w:t>
      </w:r>
      <w:r w:rsidR="0006101A" w:rsidRPr="000F21D1">
        <w:rPr>
          <w:rFonts w:ascii="Garamond" w:hAnsi="Garamond" w:cs="Sylfaen"/>
        </w:rPr>
        <w:t xml:space="preserve">, as well as </w:t>
      </w:r>
      <w:r w:rsidR="003A44FA" w:rsidRPr="000F21D1">
        <w:rPr>
          <w:rFonts w:ascii="Garamond" w:hAnsi="Garamond" w:cs="Sylfaen"/>
        </w:rPr>
        <w:t>a</w:t>
      </w:r>
      <w:r w:rsidR="0006101A" w:rsidRPr="000F21D1">
        <w:rPr>
          <w:rFonts w:ascii="Garamond" w:hAnsi="Garamond" w:cs="Sylfaen"/>
        </w:rPr>
        <w:t xml:space="preserve"> low inflation</w:t>
      </w:r>
      <w:r w:rsidR="003A44FA" w:rsidRPr="000F21D1">
        <w:rPr>
          <w:rFonts w:ascii="Garamond" w:hAnsi="Garamond" w:cs="Sylfaen"/>
        </w:rPr>
        <w:t>ary</w:t>
      </w:r>
      <w:r w:rsidR="0006101A" w:rsidRPr="000F21D1">
        <w:rPr>
          <w:rFonts w:ascii="Garamond" w:hAnsi="Garamond" w:cs="Sylfaen"/>
        </w:rPr>
        <w:t xml:space="preserve"> environment.</w:t>
      </w:r>
      <w:r w:rsidR="00271625" w:rsidRPr="000F21D1">
        <w:rPr>
          <w:rFonts w:ascii="Garamond" w:hAnsi="Garamond" w:cs="Sylfaen"/>
        </w:rPr>
        <w:t xml:space="preserve"> The above-described developments contributed to a moderate increase in private consumption in the second quarter, </w:t>
      </w:r>
      <w:r w:rsidR="0044181F" w:rsidRPr="000F21D1">
        <w:rPr>
          <w:rFonts w:ascii="Garamond" w:hAnsi="Garamond" w:cs="Sylfaen"/>
        </w:rPr>
        <w:t xml:space="preserve">yet </w:t>
      </w:r>
      <w:r w:rsidR="00271625" w:rsidRPr="000F21D1">
        <w:rPr>
          <w:rFonts w:ascii="Garamond" w:hAnsi="Garamond" w:cs="Sylfaen"/>
        </w:rPr>
        <w:t xml:space="preserve">private consumption is </w:t>
      </w:r>
      <w:r w:rsidR="0044181F" w:rsidRPr="000F21D1">
        <w:rPr>
          <w:rFonts w:ascii="Garamond" w:hAnsi="Garamond" w:cs="Sylfaen"/>
        </w:rPr>
        <w:t xml:space="preserve">at a </w:t>
      </w:r>
      <w:r w:rsidR="00271625" w:rsidRPr="000F21D1">
        <w:rPr>
          <w:rFonts w:ascii="Garamond" w:hAnsi="Garamond" w:cs="Sylfaen"/>
        </w:rPr>
        <w:t xml:space="preserve">lower </w:t>
      </w:r>
      <w:r w:rsidR="0044181F" w:rsidRPr="000F21D1">
        <w:rPr>
          <w:rFonts w:ascii="Garamond" w:hAnsi="Garamond" w:cs="Sylfaen"/>
        </w:rPr>
        <w:t xml:space="preserve">level </w:t>
      </w:r>
      <w:r w:rsidR="00271625" w:rsidRPr="000F21D1">
        <w:rPr>
          <w:rFonts w:ascii="Garamond" w:hAnsi="Garamond" w:cs="Sylfaen"/>
        </w:rPr>
        <w:t xml:space="preserve">than </w:t>
      </w:r>
      <w:r w:rsidR="0044181F" w:rsidRPr="000F21D1">
        <w:rPr>
          <w:rFonts w:ascii="Garamond" w:hAnsi="Garamond" w:cs="Sylfaen"/>
        </w:rPr>
        <w:t xml:space="preserve">it should because of </w:t>
      </w:r>
      <w:r w:rsidR="00271625" w:rsidRPr="000F21D1">
        <w:rPr>
          <w:rFonts w:ascii="Garamond" w:hAnsi="Garamond" w:cs="Sylfaen"/>
        </w:rPr>
        <w:t>deep downturn</w:t>
      </w:r>
      <w:r w:rsidR="0044181F" w:rsidRPr="000F21D1">
        <w:rPr>
          <w:rFonts w:ascii="Garamond" w:hAnsi="Garamond" w:cs="Sylfaen"/>
        </w:rPr>
        <w:t>s</w:t>
      </w:r>
      <w:r w:rsidR="00271625" w:rsidRPr="000F21D1">
        <w:rPr>
          <w:rFonts w:ascii="Garamond" w:hAnsi="Garamond" w:cs="Sylfaen"/>
        </w:rPr>
        <w:t xml:space="preserve"> </w:t>
      </w:r>
      <w:r w:rsidR="0044181F" w:rsidRPr="000F21D1">
        <w:rPr>
          <w:rFonts w:ascii="Garamond" w:hAnsi="Garamond" w:cs="Sylfaen"/>
        </w:rPr>
        <w:t xml:space="preserve">recorded </w:t>
      </w:r>
      <w:r w:rsidR="00271625" w:rsidRPr="000F21D1">
        <w:rPr>
          <w:rFonts w:ascii="Garamond" w:hAnsi="Garamond" w:cs="Sylfaen"/>
        </w:rPr>
        <w:t>in the previous quarters.</w:t>
      </w:r>
    </w:p>
    <w:p w14:paraId="3ADF618B" w14:textId="77777777" w:rsidR="003A44FA" w:rsidRPr="000F21D1" w:rsidRDefault="003A44FA" w:rsidP="0006101A">
      <w:pPr>
        <w:spacing w:line="360" w:lineRule="auto"/>
        <w:jc w:val="both"/>
        <w:rPr>
          <w:rFonts w:ascii="Garamond" w:hAnsi="Garamond" w:cs="Sylfaen"/>
        </w:rPr>
      </w:pPr>
    </w:p>
    <w:p w14:paraId="26ADEAAA" w14:textId="77777777" w:rsidR="003A44FA" w:rsidRPr="000F21D1" w:rsidRDefault="003A44FA" w:rsidP="0006101A">
      <w:pPr>
        <w:spacing w:line="360" w:lineRule="auto"/>
        <w:jc w:val="both"/>
        <w:rPr>
          <w:rFonts w:ascii="Garamond" w:hAnsi="Garamond"/>
        </w:rPr>
      </w:pPr>
      <w:r w:rsidRPr="000F21D1">
        <w:rPr>
          <w:rFonts w:ascii="Garamond" w:hAnsi="Garamond"/>
          <w:bCs/>
          <w:iCs/>
        </w:rPr>
        <w:t xml:space="preserve">The </w:t>
      </w:r>
      <w:r w:rsidR="00D366B4" w:rsidRPr="000F21D1">
        <w:rPr>
          <w:rFonts w:ascii="Garamond" w:hAnsi="Garamond"/>
          <w:bCs/>
          <w:iCs/>
        </w:rPr>
        <w:t>s</w:t>
      </w:r>
      <w:r w:rsidRPr="000F21D1">
        <w:rPr>
          <w:rFonts w:ascii="Garamond" w:hAnsi="Garamond"/>
          <w:bCs/>
          <w:iCs/>
        </w:rPr>
        <w:t>urveys</w:t>
      </w:r>
      <w:r w:rsidR="00FB246E" w:rsidRPr="000F21D1">
        <w:rPr>
          <w:rFonts w:ascii="Garamond" w:hAnsi="Garamond"/>
          <w:bCs/>
          <w:iCs/>
          <w:lang w:val="hy-AM"/>
        </w:rPr>
        <w:t xml:space="preserve"> </w:t>
      </w:r>
      <w:r w:rsidR="00D366B4" w:rsidRPr="000F21D1">
        <w:rPr>
          <w:rFonts w:ascii="Garamond" w:hAnsi="Garamond"/>
          <w:bCs/>
          <w:iCs/>
        </w:rPr>
        <w:t xml:space="preserve">conducted by the CBA </w:t>
      </w:r>
      <w:r w:rsidRPr="000F21D1">
        <w:rPr>
          <w:rFonts w:ascii="Garamond" w:hAnsi="Garamond"/>
          <w:bCs/>
          <w:iCs/>
        </w:rPr>
        <w:t>and trade turnover indices calculated by the National Statistics Service of Armenia</w:t>
      </w:r>
      <w:r w:rsidRPr="000F21D1">
        <w:rPr>
          <w:rFonts w:ascii="Garamond" w:eastAsia="Calibri" w:hAnsi="Garamond"/>
        </w:rPr>
        <w:t xml:space="preserve"> </w:t>
      </w:r>
      <w:r w:rsidR="003147F5" w:rsidRPr="000F21D1">
        <w:rPr>
          <w:rFonts w:ascii="Garamond" w:eastAsia="Calibri" w:hAnsi="Garamond"/>
        </w:rPr>
        <w:t>for the second quarter of 2016 are indicative of</w:t>
      </w:r>
      <w:r w:rsidRPr="000F21D1">
        <w:rPr>
          <w:rFonts w:ascii="Garamond" w:eastAsia="Calibri" w:hAnsi="Garamond"/>
        </w:rPr>
        <w:t xml:space="preserve"> contracted consumption in the private sector</w:t>
      </w:r>
      <w:r w:rsidR="00BA472E" w:rsidRPr="000F21D1">
        <w:rPr>
          <w:rFonts w:ascii="Garamond" w:eastAsia="Calibri" w:hAnsi="Garamond"/>
        </w:rPr>
        <w:t>:</w:t>
      </w:r>
      <w:r w:rsidRPr="000F21D1">
        <w:rPr>
          <w:rFonts w:ascii="Garamond" w:hAnsi="Garamond"/>
        </w:rPr>
        <w:t xml:space="preserve"> the Consumer Confidence Index was 4</w:t>
      </w:r>
      <w:r w:rsidR="00856DF9" w:rsidRPr="000F21D1">
        <w:rPr>
          <w:rFonts w:ascii="Garamond" w:hAnsi="Garamond"/>
        </w:rPr>
        <w:t>2</w:t>
      </w:r>
      <w:r w:rsidRPr="000F21D1">
        <w:rPr>
          <w:rFonts w:ascii="Garamond" w:hAnsi="Garamond"/>
        </w:rPr>
        <w:t>.</w:t>
      </w:r>
      <w:r w:rsidR="005259C0" w:rsidRPr="000F21D1">
        <w:rPr>
          <w:rFonts w:ascii="Garamond" w:hAnsi="Garamond"/>
        </w:rPr>
        <w:t>6</w:t>
      </w:r>
      <w:r w:rsidR="00D366B4" w:rsidRPr="000F21D1">
        <w:rPr>
          <w:rFonts w:ascii="Garamond" w:hAnsi="Garamond"/>
        </w:rPr>
        <w:t xml:space="preserve"> this quarter, </w:t>
      </w:r>
      <w:r w:rsidRPr="000F21D1">
        <w:rPr>
          <w:rFonts w:ascii="Garamond" w:hAnsi="Garamond"/>
        </w:rPr>
        <w:t>which is below its stability range of 45-55</w:t>
      </w:r>
      <w:r w:rsidR="00D366B4" w:rsidRPr="000F21D1">
        <w:rPr>
          <w:rFonts w:ascii="Garamond" w:hAnsi="Garamond"/>
        </w:rPr>
        <w:t xml:space="preserve"> and points to</w:t>
      </w:r>
      <w:r w:rsidRPr="000F21D1">
        <w:rPr>
          <w:rFonts w:ascii="Garamond" w:hAnsi="Garamond"/>
        </w:rPr>
        <w:t xml:space="preserve"> </w:t>
      </w:r>
      <w:r w:rsidR="00B83A1F" w:rsidRPr="000F21D1">
        <w:rPr>
          <w:rFonts w:ascii="Garamond" w:hAnsi="Garamond"/>
        </w:rPr>
        <w:t xml:space="preserve">a low level of </w:t>
      </w:r>
      <w:r w:rsidR="005259C0" w:rsidRPr="000F21D1">
        <w:rPr>
          <w:rFonts w:ascii="Garamond" w:hAnsi="Garamond"/>
        </w:rPr>
        <w:t xml:space="preserve">final </w:t>
      </w:r>
      <w:r w:rsidR="00856DF9" w:rsidRPr="000F21D1">
        <w:rPr>
          <w:rFonts w:ascii="Garamond" w:hAnsi="Garamond"/>
        </w:rPr>
        <w:t>consumption costs of households</w:t>
      </w:r>
      <w:r w:rsidR="005259C0" w:rsidRPr="000F21D1">
        <w:rPr>
          <w:rFonts w:ascii="Garamond" w:hAnsi="Garamond"/>
        </w:rPr>
        <w:t>.</w:t>
      </w:r>
      <w:r w:rsidRPr="000F21D1">
        <w:rPr>
          <w:rFonts w:ascii="Garamond" w:hAnsi="Garamond"/>
        </w:rPr>
        <w:t xml:space="preserve"> </w:t>
      </w:r>
      <w:r w:rsidR="003147F5" w:rsidRPr="000F21D1">
        <w:rPr>
          <w:rFonts w:ascii="Garamond" w:hAnsi="Garamond"/>
        </w:rPr>
        <w:t>Then again</w:t>
      </w:r>
      <w:r w:rsidR="005259C0" w:rsidRPr="000F21D1">
        <w:rPr>
          <w:rFonts w:ascii="Garamond" w:hAnsi="Garamond"/>
        </w:rPr>
        <w:t xml:space="preserve">, </w:t>
      </w:r>
      <w:r w:rsidRPr="000F21D1">
        <w:rPr>
          <w:rFonts w:ascii="Garamond" w:hAnsi="Garamond"/>
        </w:rPr>
        <w:t>the C</w:t>
      </w:r>
      <w:r w:rsidR="003147F5" w:rsidRPr="000F21D1">
        <w:rPr>
          <w:rFonts w:ascii="Garamond" w:hAnsi="Garamond"/>
        </w:rPr>
        <w:t xml:space="preserve">CI </w:t>
      </w:r>
      <w:r w:rsidR="005259C0" w:rsidRPr="000F21D1">
        <w:rPr>
          <w:rFonts w:ascii="Garamond" w:hAnsi="Garamond"/>
        </w:rPr>
        <w:t xml:space="preserve">has increased </w:t>
      </w:r>
      <w:r w:rsidR="003147F5" w:rsidRPr="000F21D1">
        <w:rPr>
          <w:rFonts w:ascii="Garamond" w:hAnsi="Garamond"/>
        </w:rPr>
        <w:t xml:space="preserve">by </w:t>
      </w:r>
      <w:r w:rsidRPr="000F21D1">
        <w:rPr>
          <w:rFonts w:ascii="Garamond" w:hAnsi="Garamond"/>
        </w:rPr>
        <w:t>3.</w:t>
      </w:r>
      <w:r w:rsidR="003147F5" w:rsidRPr="000F21D1">
        <w:rPr>
          <w:rFonts w:ascii="Garamond" w:hAnsi="Garamond"/>
        </w:rPr>
        <w:t>6% relative to the same reference period last year</w:t>
      </w:r>
      <w:r w:rsidR="00D366B4" w:rsidRPr="000F21D1">
        <w:rPr>
          <w:rFonts w:ascii="Garamond" w:hAnsi="Garamond"/>
        </w:rPr>
        <w:t>, which in turn indicates that private consumption is slowly rebounding in the reporting period from low levels</w:t>
      </w:r>
      <w:r w:rsidRPr="000F21D1">
        <w:rPr>
          <w:rFonts w:ascii="Garamond" w:hAnsi="Garamond"/>
        </w:rPr>
        <w:t xml:space="preserve">. </w:t>
      </w:r>
      <w:r w:rsidR="00D366B4" w:rsidRPr="000F21D1">
        <w:rPr>
          <w:rFonts w:ascii="Garamond" w:hAnsi="Garamond"/>
        </w:rPr>
        <w:t xml:space="preserve">In the second quarter, compared to the same period of the previous year, a small increase of 0.5% </w:t>
      </w:r>
      <w:r w:rsidR="003C718B" w:rsidRPr="000F21D1">
        <w:rPr>
          <w:rFonts w:ascii="Garamond" w:hAnsi="Garamond"/>
        </w:rPr>
        <w:t xml:space="preserve">was seen </w:t>
      </w:r>
      <w:r w:rsidR="00D366B4" w:rsidRPr="000F21D1">
        <w:rPr>
          <w:rFonts w:ascii="Garamond" w:hAnsi="Garamond"/>
        </w:rPr>
        <w:t>in trade turnover.</w:t>
      </w:r>
    </w:p>
    <w:p w14:paraId="79103513" w14:textId="77777777" w:rsidR="00D82287" w:rsidRPr="000F21D1" w:rsidRDefault="00D82287" w:rsidP="0006101A">
      <w:pPr>
        <w:spacing w:line="360" w:lineRule="auto"/>
        <w:jc w:val="both"/>
        <w:rPr>
          <w:rFonts w:ascii="Garamond" w:hAnsi="Garamond"/>
        </w:rPr>
      </w:pPr>
    </w:p>
    <w:p w14:paraId="7DD11861" w14:textId="77777777" w:rsidR="00D82287" w:rsidRPr="000F21D1" w:rsidRDefault="002C34C7" w:rsidP="0006101A">
      <w:pPr>
        <w:spacing w:line="360" w:lineRule="auto"/>
        <w:jc w:val="both"/>
        <w:rPr>
          <w:rFonts w:ascii="Garamond" w:hAnsi="Garamond"/>
          <w:bCs/>
          <w:iCs/>
        </w:rPr>
      </w:pPr>
      <w:r w:rsidRPr="000F21D1">
        <w:rPr>
          <w:rFonts w:ascii="Garamond" w:hAnsi="Garamond"/>
          <w:bCs/>
          <w:iCs/>
        </w:rPr>
        <w:t xml:space="preserve">In the </w:t>
      </w:r>
      <w:r w:rsidR="00E6187B" w:rsidRPr="000F21D1">
        <w:rPr>
          <w:rFonts w:ascii="Garamond" w:hAnsi="Garamond"/>
          <w:bCs/>
          <w:iCs/>
        </w:rPr>
        <w:t>second</w:t>
      </w:r>
      <w:r w:rsidRPr="000F21D1">
        <w:rPr>
          <w:rFonts w:ascii="Garamond" w:hAnsi="Garamond"/>
          <w:bCs/>
          <w:iCs/>
        </w:rPr>
        <w:t xml:space="preserve"> quarter of 2016 the investment climate in the economy was weak </w:t>
      </w:r>
      <w:r w:rsidRPr="000F21D1">
        <w:rPr>
          <w:rFonts w:ascii="Garamond" w:eastAsia="Calibri" w:hAnsi="Garamond"/>
        </w:rPr>
        <w:t>–</w:t>
      </w:r>
      <w:r w:rsidRPr="000F21D1">
        <w:rPr>
          <w:rFonts w:ascii="Garamond" w:hAnsi="Garamond"/>
          <w:bCs/>
          <w:iCs/>
        </w:rPr>
        <w:t xml:space="preserve"> consistent with forecasts</w:t>
      </w:r>
      <w:r w:rsidR="00E6187B" w:rsidRPr="000F21D1">
        <w:rPr>
          <w:rFonts w:ascii="Garamond" w:hAnsi="Garamond"/>
          <w:bCs/>
          <w:iCs/>
        </w:rPr>
        <w:t xml:space="preserve"> </w:t>
      </w:r>
      <w:r w:rsidRPr="000F21D1">
        <w:rPr>
          <w:rFonts w:ascii="Garamond" w:eastAsia="Calibri" w:hAnsi="Garamond"/>
        </w:rPr>
        <w:t xml:space="preserve">– with private investment having </w:t>
      </w:r>
      <w:r w:rsidR="00E6187B" w:rsidRPr="000F21D1">
        <w:rPr>
          <w:rFonts w:ascii="Garamond" w:eastAsia="Calibri" w:hAnsi="Garamond"/>
        </w:rPr>
        <w:t>only grown by 3</w:t>
      </w:r>
      <w:r w:rsidRPr="000F21D1">
        <w:rPr>
          <w:rFonts w:ascii="Garamond" w:eastAsia="Calibri" w:hAnsi="Garamond"/>
        </w:rPr>
        <w:t>% in relation to the same period of the previous year.</w:t>
      </w:r>
      <w:r w:rsidR="008B0DAA" w:rsidRPr="000F21D1">
        <w:rPr>
          <w:rFonts w:ascii="Garamond" w:eastAsia="Calibri" w:hAnsi="Garamond"/>
        </w:rPr>
        <w:t xml:space="preserve"> </w:t>
      </w:r>
      <w:r w:rsidR="00FE6E82" w:rsidRPr="000F21D1">
        <w:rPr>
          <w:rFonts w:ascii="Garamond" w:eastAsia="Calibri" w:hAnsi="Garamond"/>
        </w:rPr>
        <w:t xml:space="preserve">Sluggish </w:t>
      </w:r>
      <w:r w:rsidRPr="000F21D1">
        <w:rPr>
          <w:rFonts w:ascii="Garamond" w:eastAsia="Calibri" w:hAnsi="Garamond"/>
        </w:rPr>
        <w:t xml:space="preserve">investment </w:t>
      </w:r>
      <w:r w:rsidR="00FE6E82" w:rsidRPr="000F21D1">
        <w:rPr>
          <w:rFonts w:ascii="Garamond" w:eastAsia="Calibri" w:hAnsi="Garamond"/>
        </w:rPr>
        <w:t xml:space="preserve">climate in the reporting period </w:t>
      </w:r>
      <w:r w:rsidR="008B0DAA" w:rsidRPr="000F21D1">
        <w:rPr>
          <w:rFonts w:ascii="Garamond" w:eastAsia="Calibri" w:hAnsi="Garamond"/>
        </w:rPr>
        <w:t>was</w:t>
      </w:r>
      <w:r w:rsidR="00FB246E" w:rsidRPr="000F21D1">
        <w:rPr>
          <w:rFonts w:ascii="Garamond" w:eastAsia="Calibri" w:hAnsi="Garamond"/>
          <w:lang w:val="hy-AM"/>
        </w:rPr>
        <w:t xml:space="preserve"> </w:t>
      </w:r>
      <w:r w:rsidRPr="000F21D1">
        <w:rPr>
          <w:rFonts w:ascii="Garamond" w:hAnsi="Garamond"/>
          <w:bCs/>
          <w:iCs/>
        </w:rPr>
        <w:t>determined by</w:t>
      </w:r>
      <w:r w:rsidRPr="000F21D1">
        <w:rPr>
          <w:rFonts w:ascii="Garamond" w:eastAsia="Calibri" w:hAnsi="Garamond"/>
        </w:rPr>
        <w:t xml:space="preserve"> </w:t>
      </w:r>
      <w:r w:rsidR="00FE6E82" w:rsidRPr="000F21D1">
        <w:rPr>
          <w:rFonts w:ascii="Garamond" w:eastAsia="Calibri" w:hAnsi="Garamond"/>
        </w:rPr>
        <w:t xml:space="preserve">an inadequate level of </w:t>
      </w:r>
      <w:r w:rsidRPr="000F21D1">
        <w:rPr>
          <w:rFonts w:ascii="Garamond" w:eastAsia="Calibri" w:hAnsi="Garamond"/>
        </w:rPr>
        <w:t>domestic demand</w:t>
      </w:r>
      <w:r w:rsidR="008B0DAA" w:rsidRPr="000F21D1">
        <w:rPr>
          <w:rFonts w:ascii="Garamond" w:eastAsia="Calibri" w:hAnsi="Garamond"/>
        </w:rPr>
        <w:t xml:space="preserve"> and </w:t>
      </w:r>
      <w:r w:rsidR="00FE6E82" w:rsidRPr="000F21D1">
        <w:rPr>
          <w:rFonts w:ascii="Garamond" w:eastAsia="Calibri" w:hAnsi="Garamond"/>
        </w:rPr>
        <w:t xml:space="preserve">persistently low </w:t>
      </w:r>
      <w:r w:rsidR="008B0DAA" w:rsidRPr="000F21D1">
        <w:rPr>
          <w:rFonts w:ascii="Garamond" w:eastAsia="Calibri" w:hAnsi="Garamond"/>
        </w:rPr>
        <w:t>construction</w:t>
      </w:r>
      <w:r w:rsidR="00FE6E82" w:rsidRPr="000F21D1">
        <w:rPr>
          <w:rFonts w:ascii="Garamond" w:eastAsia="Calibri" w:hAnsi="Garamond"/>
        </w:rPr>
        <w:t xml:space="preserve"> activity</w:t>
      </w:r>
      <w:r w:rsidR="008B0DAA" w:rsidRPr="000F21D1">
        <w:rPr>
          <w:rFonts w:ascii="Garamond" w:eastAsia="Calibri" w:hAnsi="Garamond"/>
        </w:rPr>
        <w:t xml:space="preserve">. </w:t>
      </w:r>
      <w:r w:rsidRPr="000F21D1">
        <w:rPr>
          <w:rFonts w:ascii="Garamond" w:eastAsia="Calibri" w:hAnsi="Garamond"/>
        </w:rPr>
        <w:t xml:space="preserve">As </w:t>
      </w:r>
      <w:r w:rsidR="008B0DAA" w:rsidRPr="000F21D1">
        <w:rPr>
          <w:rFonts w:ascii="Garamond" w:eastAsia="Calibri" w:hAnsi="Garamond"/>
        </w:rPr>
        <w:t xml:space="preserve">it was </w:t>
      </w:r>
      <w:r w:rsidRPr="000F21D1">
        <w:rPr>
          <w:rFonts w:ascii="Garamond" w:eastAsia="Calibri" w:hAnsi="Garamond"/>
        </w:rPr>
        <w:t xml:space="preserve">outlined in the CBA’s previous forecasts, </w:t>
      </w:r>
      <w:r w:rsidR="008B0DAA" w:rsidRPr="000F21D1">
        <w:rPr>
          <w:rFonts w:ascii="Garamond" w:hAnsi="Garamond"/>
          <w:bCs/>
          <w:iCs/>
        </w:rPr>
        <w:t>the decline in investment ha</w:t>
      </w:r>
      <w:r w:rsidR="00125E97" w:rsidRPr="000F21D1">
        <w:rPr>
          <w:rFonts w:ascii="Garamond" w:hAnsi="Garamond"/>
          <w:bCs/>
          <w:iCs/>
        </w:rPr>
        <w:t>s</w:t>
      </w:r>
      <w:r w:rsidR="008B0DAA" w:rsidRPr="000F21D1">
        <w:rPr>
          <w:rFonts w:ascii="Garamond" w:hAnsi="Garamond"/>
          <w:bCs/>
          <w:iCs/>
        </w:rPr>
        <w:t xml:space="preserve"> been </w:t>
      </w:r>
      <w:r w:rsidRPr="000F21D1">
        <w:rPr>
          <w:rFonts w:ascii="Garamond" w:hAnsi="Garamond"/>
          <w:bCs/>
          <w:iCs/>
        </w:rPr>
        <w:t xml:space="preserve">more pronounced in non-tradable sector of the economy, whereas investment activity </w:t>
      </w:r>
      <w:r w:rsidR="00125E97" w:rsidRPr="000F21D1">
        <w:rPr>
          <w:rFonts w:ascii="Garamond" w:hAnsi="Garamond"/>
          <w:bCs/>
          <w:iCs/>
        </w:rPr>
        <w:t xml:space="preserve">has been </w:t>
      </w:r>
      <w:r w:rsidRPr="000F21D1">
        <w:rPr>
          <w:rFonts w:ascii="Garamond" w:hAnsi="Garamond"/>
          <w:bCs/>
          <w:iCs/>
        </w:rPr>
        <w:t xml:space="preserve">relatively strong in </w:t>
      </w:r>
      <w:r w:rsidR="00125E97" w:rsidRPr="000F21D1">
        <w:rPr>
          <w:rFonts w:ascii="Garamond" w:hAnsi="Garamond"/>
          <w:bCs/>
          <w:iCs/>
        </w:rPr>
        <w:t xml:space="preserve">the </w:t>
      </w:r>
      <w:r w:rsidRPr="000F21D1">
        <w:rPr>
          <w:rFonts w:ascii="Garamond" w:hAnsi="Garamond"/>
          <w:bCs/>
          <w:iCs/>
        </w:rPr>
        <w:t>tradable sector.</w:t>
      </w:r>
    </w:p>
    <w:p w14:paraId="59A13274" w14:textId="77777777" w:rsidR="008B0DAA" w:rsidRPr="000F21D1" w:rsidRDefault="008B0DAA" w:rsidP="0006101A">
      <w:pPr>
        <w:spacing w:line="360" w:lineRule="auto"/>
        <w:jc w:val="both"/>
        <w:rPr>
          <w:rFonts w:ascii="Garamond" w:hAnsi="Garamond"/>
          <w:bCs/>
          <w:iCs/>
        </w:rPr>
      </w:pPr>
    </w:p>
    <w:p w14:paraId="181977AA" w14:textId="77777777" w:rsidR="008B0DAA" w:rsidRPr="000F21D1" w:rsidRDefault="008B0DAA" w:rsidP="0006101A">
      <w:pPr>
        <w:spacing w:line="360" w:lineRule="auto"/>
        <w:jc w:val="both"/>
        <w:rPr>
          <w:rFonts w:ascii="Garamond" w:eastAsia="Calibri" w:hAnsi="Garamond"/>
        </w:rPr>
      </w:pPr>
      <w:r w:rsidRPr="000F21D1">
        <w:rPr>
          <w:rFonts w:ascii="Garamond" w:hAnsi="Garamond"/>
          <w:bCs/>
          <w:iCs/>
        </w:rPr>
        <w:t xml:space="preserve">The CBA surveys on business environment </w:t>
      </w:r>
      <w:r w:rsidR="00290B98" w:rsidRPr="000F21D1">
        <w:rPr>
          <w:rFonts w:ascii="Garamond" w:hAnsi="Garamond"/>
          <w:bCs/>
          <w:iCs/>
        </w:rPr>
        <w:t xml:space="preserve">conducted </w:t>
      </w:r>
      <w:r w:rsidRPr="000F21D1">
        <w:rPr>
          <w:rFonts w:ascii="Garamond" w:hAnsi="Garamond"/>
          <w:bCs/>
          <w:iCs/>
        </w:rPr>
        <w:t xml:space="preserve">at companies point to the aforementioned developments in investment climate in the </w:t>
      </w:r>
      <w:r w:rsidR="00290B98" w:rsidRPr="000F21D1">
        <w:rPr>
          <w:rFonts w:ascii="Garamond" w:hAnsi="Garamond"/>
          <w:bCs/>
          <w:iCs/>
        </w:rPr>
        <w:t xml:space="preserve">reporting </w:t>
      </w:r>
      <w:r w:rsidRPr="000F21D1">
        <w:rPr>
          <w:rFonts w:ascii="Garamond" w:hAnsi="Garamond"/>
          <w:bCs/>
          <w:iCs/>
        </w:rPr>
        <w:t>period</w:t>
      </w:r>
      <w:r w:rsidR="00290B98" w:rsidRPr="000F21D1">
        <w:rPr>
          <w:rFonts w:ascii="Garamond" w:hAnsi="Garamond"/>
          <w:bCs/>
          <w:iCs/>
        </w:rPr>
        <w:t>.</w:t>
      </w:r>
      <w:r w:rsidRPr="000F21D1">
        <w:rPr>
          <w:rFonts w:ascii="Garamond" w:hAnsi="Garamond"/>
          <w:bCs/>
          <w:iCs/>
        </w:rPr>
        <w:t xml:space="preserve"> According to the survey results, </w:t>
      </w:r>
      <w:r w:rsidR="00583366" w:rsidRPr="000F21D1">
        <w:rPr>
          <w:rFonts w:ascii="Garamond" w:hAnsi="Garamond"/>
          <w:bCs/>
          <w:iCs/>
        </w:rPr>
        <w:t xml:space="preserve">in the second quarter of 2016 </w:t>
      </w:r>
      <w:r w:rsidR="004027E1" w:rsidRPr="000F21D1">
        <w:rPr>
          <w:rFonts w:ascii="Garamond" w:hAnsi="Garamond"/>
          <w:bCs/>
          <w:iCs/>
        </w:rPr>
        <w:t xml:space="preserve">the </w:t>
      </w:r>
      <w:r w:rsidR="00290B98" w:rsidRPr="000F21D1">
        <w:rPr>
          <w:rFonts w:ascii="Garamond" w:eastAsia="Calibri" w:hAnsi="Garamond"/>
        </w:rPr>
        <w:t>B</w:t>
      </w:r>
      <w:r w:rsidRPr="000F21D1">
        <w:rPr>
          <w:rFonts w:ascii="Garamond" w:eastAsia="Calibri" w:hAnsi="Garamond"/>
        </w:rPr>
        <w:t xml:space="preserve">usiness </w:t>
      </w:r>
      <w:r w:rsidR="00290B98" w:rsidRPr="000F21D1">
        <w:rPr>
          <w:rFonts w:ascii="Garamond" w:eastAsia="Calibri" w:hAnsi="Garamond"/>
        </w:rPr>
        <w:t>A</w:t>
      </w:r>
      <w:r w:rsidRPr="000F21D1">
        <w:rPr>
          <w:rFonts w:ascii="Garamond" w:eastAsia="Calibri" w:hAnsi="Garamond"/>
        </w:rPr>
        <w:t xml:space="preserve">ctivity </w:t>
      </w:r>
      <w:r w:rsidR="00290B98" w:rsidRPr="000F21D1">
        <w:rPr>
          <w:rFonts w:ascii="Garamond" w:eastAsia="Calibri" w:hAnsi="Garamond"/>
        </w:rPr>
        <w:t>I</w:t>
      </w:r>
      <w:r w:rsidRPr="000F21D1">
        <w:rPr>
          <w:rFonts w:ascii="Garamond" w:eastAsia="Calibri" w:hAnsi="Garamond"/>
        </w:rPr>
        <w:t xml:space="preserve">ndicator in </w:t>
      </w:r>
      <w:r w:rsidR="004027E1" w:rsidRPr="000F21D1">
        <w:rPr>
          <w:rFonts w:ascii="Garamond" w:eastAsia="Calibri" w:hAnsi="Garamond"/>
        </w:rPr>
        <w:t xml:space="preserve">construction </w:t>
      </w:r>
      <w:r w:rsidR="00583366" w:rsidRPr="000F21D1">
        <w:rPr>
          <w:rFonts w:ascii="Garamond" w:eastAsia="Calibri" w:hAnsi="Garamond"/>
        </w:rPr>
        <w:t xml:space="preserve">as a non-tradable </w:t>
      </w:r>
      <w:r w:rsidRPr="000F21D1">
        <w:rPr>
          <w:rFonts w:ascii="Garamond" w:eastAsia="Calibri" w:hAnsi="Garamond"/>
        </w:rPr>
        <w:t>sector w</w:t>
      </w:r>
      <w:r w:rsidR="004027E1" w:rsidRPr="000F21D1">
        <w:rPr>
          <w:rFonts w:ascii="Garamond" w:eastAsia="Calibri" w:hAnsi="Garamond"/>
        </w:rPr>
        <w:t>as</w:t>
      </w:r>
      <w:r w:rsidRPr="000F21D1">
        <w:rPr>
          <w:rFonts w:ascii="Garamond" w:eastAsia="Calibri" w:hAnsi="Garamond"/>
        </w:rPr>
        <w:t xml:space="preserve"> 3</w:t>
      </w:r>
      <w:r w:rsidR="00290B98" w:rsidRPr="000F21D1">
        <w:rPr>
          <w:rFonts w:ascii="Garamond" w:eastAsia="Calibri" w:hAnsi="Garamond"/>
        </w:rPr>
        <w:t>9</w:t>
      </w:r>
      <w:r w:rsidR="004027E1" w:rsidRPr="000F21D1">
        <w:rPr>
          <w:rFonts w:ascii="Garamond" w:eastAsia="Calibri" w:hAnsi="Garamond"/>
        </w:rPr>
        <w:t>.0</w:t>
      </w:r>
      <w:r w:rsidRPr="000F21D1">
        <w:rPr>
          <w:rFonts w:ascii="Garamond" w:eastAsia="Calibri" w:hAnsi="Garamond"/>
        </w:rPr>
        <w:t>, which is</w:t>
      </w:r>
      <w:r w:rsidR="00583366" w:rsidRPr="000F21D1">
        <w:rPr>
          <w:rFonts w:ascii="Garamond" w:eastAsia="Calibri" w:hAnsi="Garamond"/>
        </w:rPr>
        <w:t xml:space="preserve"> below its</w:t>
      </w:r>
      <w:r w:rsidRPr="000F21D1">
        <w:rPr>
          <w:rFonts w:ascii="Garamond" w:eastAsia="Calibri" w:hAnsi="Garamond"/>
        </w:rPr>
        <w:t xml:space="preserve"> </w:t>
      </w:r>
      <w:r w:rsidRPr="000F21D1">
        <w:rPr>
          <w:rFonts w:ascii="Garamond" w:hAnsi="Garamond"/>
        </w:rPr>
        <w:t xml:space="preserve">stability value of 50. On the other hand, </w:t>
      </w:r>
      <w:r w:rsidRPr="000F21D1">
        <w:rPr>
          <w:rFonts w:ascii="Garamond" w:eastAsia="Calibri" w:hAnsi="Garamond"/>
        </w:rPr>
        <w:t xml:space="preserve">the </w:t>
      </w:r>
      <w:r w:rsidR="00583366" w:rsidRPr="000F21D1">
        <w:rPr>
          <w:rFonts w:ascii="Garamond" w:eastAsia="Calibri" w:hAnsi="Garamond"/>
        </w:rPr>
        <w:t xml:space="preserve">BAIs </w:t>
      </w:r>
      <w:r w:rsidRPr="000F21D1">
        <w:rPr>
          <w:rFonts w:ascii="Garamond" w:eastAsia="Calibri" w:hAnsi="Garamond"/>
        </w:rPr>
        <w:t>in industry a</w:t>
      </w:r>
      <w:r w:rsidR="009418DB" w:rsidRPr="000F21D1">
        <w:rPr>
          <w:rFonts w:ascii="Garamond" w:eastAsia="Calibri" w:hAnsi="Garamond"/>
        </w:rPr>
        <w:t xml:space="preserve">s a </w:t>
      </w:r>
      <w:r w:rsidR="00583366" w:rsidRPr="000F21D1">
        <w:rPr>
          <w:rFonts w:ascii="Garamond" w:eastAsia="Calibri" w:hAnsi="Garamond"/>
        </w:rPr>
        <w:t xml:space="preserve">tradable </w:t>
      </w:r>
      <w:r w:rsidRPr="000F21D1">
        <w:rPr>
          <w:rFonts w:ascii="Garamond" w:eastAsia="Calibri" w:hAnsi="Garamond"/>
        </w:rPr>
        <w:t>sector</w:t>
      </w:r>
      <w:r w:rsidR="009418DB" w:rsidRPr="000F21D1">
        <w:rPr>
          <w:rFonts w:ascii="Garamond" w:eastAsia="Calibri" w:hAnsi="Garamond"/>
        </w:rPr>
        <w:t xml:space="preserve"> and services provided amounted to, respectively, 53.7 and 51.1, running</w:t>
      </w:r>
      <w:r w:rsidRPr="000F21D1">
        <w:rPr>
          <w:rFonts w:ascii="Garamond" w:eastAsia="Calibri" w:hAnsi="Garamond"/>
        </w:rPr>
        <w:t xml:space="preserve"> above the </w:t>
      </w:r>
      <w:r w:rsidRPr="000F21D1">
        <w:rPr>
          <w:rFonts w:ascii="Garamond" w:hAnsi="Garamond"/>
        </w:rPr>
        <w:t>stability value of 50</w:t>
      </w:r>
      <w:r w:rsidRPr="000F21D1">
        <w:rPr>
          <w:rFonts w:ascii="Garamond" w:eastAsia="Calibri" w:hAnsi="Garamond"/>
        </w:rPr>
        <w:t>.</w:t>
      </w:r>
    </w:p>
    <w:p w14:paraId="24108156" w14:textId="77777777" w:rsidR="00454FFC" w:rsidRPr="000F21D1" w:rsidRDefault="00454FFC" w:rsidP="0006101A">
      <w:pPr>
        <w:spacing w:line="360" w:lineRule="auto"/>
        <w:jc w:val="both"/>
        <w:rPr>
          <w:rFonts w:ascii="Garamond" w:eastAsia="Calibri" w:hAnsi="Garamond"/>
        </w:rPr>
      </w:pPr>
    </w:p>
    <w:p w14:paraId="283E8C25" w14:textId="77777777" w:rsidR="00454FFC" w:rsidRPr="000F21D1" w:rsidRDefault="0052080A" w:rsidP="0006101A">
      <w:pPr>
        <w:spacing w:line="360" w:lineRule="auto"/>
        <w:jc w:val="both"/>
        <w:rPr>
          <w:rFonts w:ascii="Garamond" w:eastAsia="Calibri" w:hAnsi="Garamond"/>
        </w:rPr>
      </w:pPr>
      <w:r w:rsidRPr="000F21D1">
        <w:rPr>
          <w:rFonts w:ascii="Garamond" w:eastAsia="Calibri" w:hAnsi="Garamond"/>
        </w:rPr>
        <w:t xml:space="preserve">The aforementioned developments with regard to </w:t>
      </w:r>
      <w:r w:rsidR="00454FFC" w:rsidRPr="000F21D1">
        <w:rPr>
          <w:rFonts w:ascii="Garamond" w:hAnsi="Garamond"/>
          <w:bCs/>
          <w:iCs/>
        </w:rPr>
        <w:t>private consumption and investment</w:t>
      </w:r>
      <w:r w:rsidRPr="000F21D1">
        <w:rPr>
          <w:rFonts w:ascii="Garamond" w:hAnsi="Garamond"/>
          <w:bCs/>
          <w:iCs/>
        </w:rPr>
        <w:t xml:space="preserve"> suggest that the growth of </w:t>
      </w:r>
      <w:r w:rsidR="00454FFC" w:rsidRPr="000F21D1">
        <w:rPr>
          <w:rFonts w:ascii="Garamond" w:hAnsi="Garamond"/>
          <w:bCs/>
          <w:iCs/>
        </w:rPr>
        <w:t xml:space="preserve">private spending </w:t>
      </w:r>
      <w:r w:rsidRPr="000F21D1">
        <w:rPr>
          <w:rFonts w:ascii="Garamond" w:hAnsi="Garamond"/>
          <w:bCs/>
          <w:iCs/>
        </w:rPr>
        <w:t>in the second quarter is estimated at around 1%</w:t>
      </w:r>
      <w:r w:rsidR="00454FFC" w:rsidRPr="000F21D1">
        <w:rPr>
          <w:rFonts w:ascii="Garamond" w:hAnsi="Garamond"/>
          <w:bCs/>
          <w:iCs/>
        </w:rPr>
        <w:t xml:space="preserve">. </w:t>
      </w:r>
      <w:r w:rsidR="00454FFC" w:rsidRPr="000F21D1">
        <w:rPr>
          <w:rFonts w:ascii="Garamond" w:eastAsia="Calibri" w:hAnsi="Garamond"/>
        </w:rPr>
        <w:t xml:space="preserve">With </w:t>
      </w:r>
      <w:r w:rsidR="007703CF" w:rsidRPr="000F21D1">
        <w:rPr>
          <w:rFonts w:ascii="Garamond" w:eastAsia="Calibri" w:hAnsi="Garamond"/>
        </w:rPr>
        <w:t xml:space="preserve">an unchanged level of public spending, the domestic demand somewhat grew in the reporting period. </w:t>
      </w:r>
      <w:r w:rsidR="002C20A8" w:rsidRPr="000F21D1">
        <w:rPr>
          <w:rFonts w:ascii="Garamond" w:eastAsia="Calibri" w:hAnsi="Garamond"/>
        </w:rPr>
        <w:t xml:space="preserve">As remittances from </w:t>
      </w:r>
      <w:r w:rsidR="007703CF" w:rsidRPr="000F21D1">
        <w:rPr>
          <w:rFonts w:ascii="Garamond" w:eastAsia="Calibri" w:hAnsi="Garamond"/>
        </w:rPr>
        <w:t xml:space="preserve">Russia </w:t>
      </w:r>
      <w:r w:rsidR="002C20A8" w:rsidRPr="000F21D1">
        <w:rPr>
          <w:rFonts w:ascii="Garamond" w:eastAsia="Calibri" w:hAnsi="Garamond"/>
        </w:rPr>
        <w:t xml:space="preserve">continued reducing, easing of monetary conditions by the CBA as well as existing low inflationary environment in the economy have </w:t>
      </w:r>
      <w:r w:rsidR="007703CF" w:rsidRPr="000F21D1">
        <w:rPr>
          <w:rFonts w:ascii="Garamond" w:eastAsia="Calibri" w:hAnsi="Garamond"/>
        </w:rPr>
        <w:t>substantially contribute</w:t>
      </w:r>
      <w:r w:rsidR="002C20A8" w:rsidRPr="000F21D1">
        <w:rPr>
          <w:rFonts w:ascii="Garamond" w:eastAsia="Calibri" w:hAnsi="Garamond"/>
        </w:rPr>
        <w:t>d</w:t>
      </w:r>
      <w:r w:rsidR="007703CF" w:rsidRPr="000F21D1">
        <w:rPr>
          <w:rFonts w:ascii="Garamond" w:eastAsia="Calibri" w:hAnsi="Garamond"/>
        </w:rPr>
        <w:t xml:space="preserve"> to the</w:t>
      </w:r>
      <w:r w:rsidR="002C20A8" w:rsidRPr="000F21D1">
        <w:rPr>
          <w:rFonts w:ascii="Garamond" w:eastAsia="Calibri" w:hAnsi="Garamond"/>
        </w:rPr>
        <w:t xml:space="preserve"> growth of domestic demand. </w:t>
      </w:r>
    </w:p>
    <w:p w14:paraId="0293415C" w14:textId="77777777" w:rsidR="00850014" w:rsidRPr="000F21D1" w:rsidRDefault="00850014" w:rsidP="0006101A">
      <w:pPr>
        <w:spacing w:line="360" w:lineRule="auto"/>
        <w:jc w:val="both"/>
        <w:rPr>
          <w:rFonts w:ascii="Garamond" w:eastAsia="Calibri" w:hAnsi="Garamond"/>
        </w:rPr>
      </w:pPr>
    </w:p>
    <w:p w14:paraId="663F18B2" w14:textId="77777777" w:rsidR="00850014" w:rsidRPr="000F21D1" w:rsidRDefault="00202A42" w:rsidP="0006101A">
      <w:pPr>
        <w:spacing w:line="360" w:lineRule="auto"/>
        <w:jc w:val="both"/>
        <w:rPr>
          <w:rFonts w:ascii="Garamond" w:hAnsi="Garamond"/>
        </w:rPr>
      </w:pPr>
      <w:r w:rsidRPr="000F21D1">
        <w:rPr>
          <w:rFonts w:ascii="Garamond" w:hAnsi="Garamond"/>
        </w:rPr>
        <w:lastRenderedPageBreak/>
        <w:t>Despite a recorded growth</w:t>
      </w:r>
      <w:r w:rsidR="00850014" w:rsidRPr="000F21D1">
        <w:rPr>
          <w:rFonts w:ascii="Garamond" w:hAnsi="Garamond"/>
        </w:rPr>
        <w:t xml:space="preserve">, the private spending gap in the </w:t>
      </w:r>
      <w:r w:rsidRPr="000F21D1">
        <w:rPr>
          <w:rFonts w:ascii="Garamond" w:hAnsi="Garamond"/>
        </w:rPr>
        <w:t>second</w:t>
      </w:r>
      <w:r w:rsidR="00850014" w:rsidRPr="000F21D1">
        <w:rPr>
          <w:rFonts w:ascii="Garamond" w:hAnsi="Garamond"/>
        </w:rPr>
        <w:t xml:space="preserve"> quarter of 2016 is estimated </w:t>
      </w:r>
      <w:r w:rsidRPr="000F21D1">
        <w:rPr>
          <w:rFonts w:ascii="Garamond" w:hAnsi="Garamond"/>
        </w:rPr>
        <w:t xml:space="preserve">as </w:t>
      </w:r>
      <w:r w:rsidR="00850014" w:rsidRPr="000F21D1">
        <w:rPr>
          <w:rFonts w:ascii="Garamond" w:hAnsi="Garamond"/>
        </w:rPr>
        <w:t xml:space="preserve">negative, </w:t>
      </w:r>
      <w:r w:rsidRPr="000F21D1">
        <w:rPr>
          <w:rFonts w:ascii="Garamond" w:hAnsi="Garamond"/>
        </w:rPr>
        <w:t xml:space="preserve">which </w:t>
      </w:r>
      <w:r w:rsidR="00850014" w:rsidRPr="000F21D1">
        <w:rPr>
          <w:rFonts w:ascii="Garamond" w:hAnsi="Garamond"/>
        </w:rPr>
        <w:t>creat</w:t>
      </w:r>
      <w:r w:rsidRPr="000F21D1">
        <w:rPr>
          <w:rFonts w:ascii="Garamond" w:hAnsi="Garamond"/>
        </w:rPr>
        <w:t xml:space="preserve">ed </w:t>
      </w:r>
      <w:r w:rsidR="00850014" w:rsidRPr="000F21D1">
        <w:rPr>
          <w:rFonts w:ascii="Garamond" w:hAnsi="Garamond"/>
          <w:b/>
        </w:rPr>
        <w:t>1.</w:t>
      </w:r>
      <w:r w:rsidRPr="000F21D1">
        <w:rPr>
          <w:rFonts w:ascii="Garamond" w:hAnsi="Garamond"/>
          <w:b/>
        </w:rPr>
        <w:t>7</w:t>
      </w:r>
      <w:r w:rsidR="00850014" w:rsidRPr="000F21D1">
        <w:rPr>
          <w:rFonts w:ascii="Garamond" w:hAnsi="Garamond"/>
          <w:b/>
        </w:rPr>
        <w:t>-</w:t>
      </w:r>
      <w:r w:rsidRPr="000F21D1">
        <w:rPr>
          <w:rFonts w:ascii="Garamond" w:hAnsi="Garamond"/>
          <w:b/>
        </w:rPr>
        <w:t>1</w:t>
      </w:r>
      <w:r w:rsidR="00850014" w:rsidRPr="000F21D1">
        <w:rPr>
          <w:rFonts w:ascii="Garamond" w:hAnsi="Garamond"/>
          <w:b/>
        </w:rPr>
        <w:t>.</w:t>
      </w:r>
      <w:r w:rsidRPr="000F21D1">
        <w:rPr>
          <w:rFonts w:ascii="Garamond" w:hAnsi="Garamond"/>
          <w:b/>
        </w:rPr>
        <w:t>9</w:t>
      </w:r>
      <w:r w:rsidR="00850014" w:rsidRPr="000F21D1">
        <w:rPr>
          <w:rFonts w:ascii="Garamond" w:hAnsi="Garamond"/>
          <w:b/>
        </w:rPr>
        <w:t xml:space="preserve"> pp of deflationary pressures </w:t>
      </w:r>
      <w:r w:rsidR="00850014" w:rsidRPr="000F21D1">
        <w:rPr>
          <w:rFonts w:ascii="Garamond" w:hAnsi="Garamond"/>
        </w:rPr>
        <w:t>in the consumer market.</w:t>
      </w:r>
    </w:p>
    <w:p w14:paraId="1DA3604D" w14:textId="77777777" w:rsidR="00C273D4" w:rsidRPr="000F21D1" w:rsidRDefault="00C273D4" w:rsidP="0006101A">
      <w:pPr>
        <w:spacing w:line="360" w:lineRule="auto"/>
        <w:jc w:val="both"/>
        <w:rPr>
          <w:rFonts w:ascii="Garamond" w:hAnsi="Garamond"/>
        </w:rPr>
      </w:pPr>
    </w:p>
    <w:p w14:paraId="1FB22937" w14:textId="77777777" w:rsidR="00C273D4" w:rsidRPr="000F21D1" w:rsidRDefault="00C273D4" w:rsidP="0006101A">
      <w:pPr>
        <w:spacing w:line="360" w:lineRule="auto"/>
        <w:jc w:val="both"/>
        <w:rPr>
          <w:rFonts w:ascii="Garamond" w:hAnsi="Garamond"/>
        </w:rPr>
      </w:pPr>
      <w:r w:rsidRPr="000F21D1">
        <w:rPr>
          <w:rFonts w:ascii="Garamond" w:hAnsi="Garamond"/>
        </w:rPr>
        <w:t xml:space="preserve">According to the CBA estimates, real net export </w:t>
      </w:r>
      <w:r w:rsidR="003D2E75" w:rsidRPr="000F21D1">
        <w:rPr>
          <w:rFonts w:ascii="Garamond" w:hAnsi="Garamond"/>
        </w:rPr>
        <w:t xml:space="preserve">continued improving at higher rates </w:t>
      </w:r>
      <w:r w:rsidRPr="000F21D1">
        <w:rPr>
          <w:rFonts w:ascii="Garamond" w:hAnsi="Garamond"/>
        </w:rPr>
        <w:t xml:space="preserve">in the </w:t>
      </w:r>
      <w:r w:rsidR="003D2E75" w:rsidRPr="000F21D1">
        <w:rPr>
          <w:rFonts w:ascii="Garamond" w:hAnsi="Garamond"/>
        </w:rPr>
        <w:t>second</w:t>
      </w:r>
      <w:r w:rsidRPr="000F21D1">
        <w:rPr>
          <w:rFonts w:ascii="Garamond" w:hAnsi="Garamond"/>
        </w:rPr>
        <w:t xml:space="preserve"> quarter, which was d</w:t>
      </w:r>
      <w:r w:rsidR="00531341" w:rsidRPr="000F21D1">
        <w:rPr>
          <w:rFonts w:ascii="Garamond" w:hAnsi="Garamond"/>
        </w:rPr>
        <w:t xml:space="preserve">etermined by </w:t>
      </w:r>
      <w:r w:rsidR="003D2E75" w:rsidRPr="000F21D1">
        <w:rPr>
          <w:rFonts w:ascii="Garamond" w:hAnsi="Garamond"/>
        </w:rPr>
        <w:t>strong</w:t>
      </w:r>
      <w:r w:rsidRPr="000F21D1">
        <w:rPr>
          <w:rFonts w:ascii="Garamond" w:hAnsi="Garamond"/>
        </w:rPr>
        <w:t xml:space="preserve"> growth of </w:t>
      </w:r>
      <w:r w:rsidR="00531341" w:rsidRPr="000F21D1">
        <w:rPr>
          <w:rFonts w:ascii="Garamond" w:hAnsi="Garamond"/>
        </w:rPr>
        <w:t xml:space="preserve">real </w:t>
      </w:r>
      <w:r w:rsidRPr="000F21D1">
        <w:rPr>
          <w:rFonts w:ascii="Garamond" w:hAnsi="Garamond"/>
        </w:rPr>
        <w:t>export of goods and services</w:t>
      </w:r>
      <w:r w:rsidR="00531341" w:rsidRPr="000F21D1">
        <w:rPr>
          <w:rFonts w:ascii="Garamond" w:hAnsi="Garamond"/>
        </w:rPr>
        <w:t xml:space="preserve"> a</w:t>
      </w:r>
      <w:r w:rsidR="003D2E75" w:rsidRPr="000F21D1">
        <w:rPr>
          <w:rFonts w:ascii="Garamond" w:hAnsi="Garamond"/>
        </w:rPr>
        <w:t xml:space="preserve">t the time of almost a zero growth of </w:t>
      </w:r>
      <w:r w:rsidRPr="000F21D1">
        <w:rPr>
          <w:rFonts w:ascii="Garamond" w:hAnsi="Garamond"/>
        </w:rPr>
        <w:t xml:space="preserve">real </w:t>
      </w:r>
      <w:r w:rsidR="00531341" w:rsidRPr="000F21D1">
        <w:rPr>
          <w:rFonts w:ascii="Garamond" w:hAnsi="Garamond"/>
        </w:rPr>
        <w:t xml:space="preserve">import of </w:t>
      </w:r>
      <w:r w:rsidRPr="000F21D1">
        <w:rPr>
          <w:rFonts w:ascii="Garamond" w:hAnsi="Garamond"/>
        </w:rPr>
        <w:t xml:space="preserve">goods and services. </w:t>
      </w:r>
      <w:r w:rsidR="00FB1CCD" w:rsidRPr="000F21D1">
        <w:rPr>
          <w:rFonts w:ascii="Garamond" w:hAnsi="Garamond"/>
        </w:rPr>
        <w:t>I</w:t>
      </w:r>
      <w:r w:rsidRPr="000F21D1">
        <w:rPr>
          <w:rFonts w:ascii="Garamond" w:hAnsi="Garamond"/>
        </w:rPr>
        <w:t xml:space="preserve">n the </w:t>
      </w:r>
      <w:r w:rsidR="0089667B" w:rsidRPr="000F21D1">
        <w:rPr>
          <w:rFonts w:ascii="Garamond" w:hAnsi="Garamond"/>
        </w:rPr>
        <w:t>second</w:t>
      </w:r>
      <w:r w:rsidRPr="000F21D1">
        <w:rPr>
          <w:rFonts w:ascii="Garamond" w:hAnsi="Garamond"/>
        </w:rPr>
        <w:t xml:space="preserve"> quarter</w:t>
      </w:r>
      <w:r w:rsidR="00FB1CCD" w:rsidRPr="000F21D1">
        <w:rPr>
          <w:rFonts w:ascii="Garamond" w:hAnsi="Garamond"/>
        </w:rPr>
        <w:t xml:space="preserve"> of 2016</w:t>
      </w:r>
      <w:r w:rsidR="0089667B" w:rsidRPr="000F21D1">
        <w:rPr>
          <w:rFonts w:ascii="Garamond" w:hAnsi="Garamond"/>
        </w:rPr>
        <w:t xml:space="preserve"> </w:t>
      </w:r>
      <w:r w:rsidR="00FB1CCD" w:rsidRPr="000F21D1">
        <w:rPr>
          <w:rFonts w:ascii="Garamond" w:hAnsi="Garamond"/>
        </w:rPr>
        <w:t xml:space="preserve">growth rates of </w:t>
      </w:r>
      <w:r w:rsidRPr="000F21D1">
        <w:rPr>
          <w:rFonts w:ascii="Garamond" w:hAnsi="Garamond"/>
        </w:rPr>
        <w:t xml:space="preserve">real export of goods and services </w:t>
      </w:r>
      <w:r w:rsidR="00FB1CCD" w:rsidRPr="000F21D1">
        <w:rPr>
          <w:rFonts w:ascii="Garamond" w:hAnsi="Garamond"/>
        </w:rPr>
        <w:t xml:space="preserve">amounted to </w:t>
      </w:r>
      <w:r w:rsidR="0089667B" w:rsidRPr="000F21D1">
        <w:rPr>
          <w:rFonts w:ascii="Garamond" w:hAnsi="Garamond"/>
        </w:rPr>
        <w:t>13</w:t>
      </w:r>
      <w:r w:rsidRPr="000F21D1">
        <w:rPr>
          <w:rFonts w:ascii="Garamond" w:hAnsi="Garamond"/>
        </w:rPr>
        <w:t>.</w:t>
      </w:r>
      <w:r w:rsidR="0089667B" w:rsidRPr="000F21D1">
        <w:rPr>
          <w:rFonts w:ascii="Garamond" w:hAnsi="Garamond"/>
        </w:rPr>
        <w:t>2</w:t>
      </w:r>
      <w:r w:rsidRPr="000F21D1">
        <w:rPr>
          <w:rFonts w:ascii="Garamond" w:hAnsi="Garamond"/>
        </w:rPr>
        <w:t>%</w:t>
      </w:r>
      <w:r w:rsidR="00340201" w:rsidRPr="000F21D1">
        <w:rPr>
          <w:rFonts w:ascii="Garamond" w:hAnsi="Garamond"/>
        </w:rPr>
        <w:t xml:space="preserve"> y/y </w:t>
      </w:r>
      <w:r w:rsidR="0089667B" w:rsidRPr="000F21D1">
        <w:rPr>
          <w:rFonts w:ascii="Garamond" w:hAnsi="Garamond"/>
        </w:rPr>
        <w:t>compared with 0</w:t>
      </w:r>
      <w:r w:rsidR="00C270AF" w:rsidRPr="000F21D1">
        <w:rPr>
          <w:rFonts w:ascii="Garamond" w:hAnsi="Garamond"/>
        </w:rPr>
        <w:t>.</w:t>
      </w:r>
      <w:r w:rsidR="0089667B" w:rsidRPr="000F21D1">
        <w:rPr>
          <w:rFonts w:ascii="Garamond" w:hAnsi="Garamond"/>
        </w:rPr>
        <w:t>4</w:t>
      </w:r>
      <w:r w:rsidR="00C270AF" w:rsidRPr="000F21D1">
        <w:rPr>
          <w:rFonts w:ascii="Garamond" w:hAnsi="Garamond"/>
        </w:rPr>
        <w:t xml:space="preserve">% y/y </w:t>
      </w:r>
      <w:r w:rsidR="0089667B" w:rsidRPr="000F21D1">
        <w:rPr>
          <w:rFonts w:ascii="Garamond" w:hAnsi="Garamond"/>
        </w:rPr>
        <w:t xml:space="preserve">growth </w:t>
      </w:r>
      <w:r w:rsidR="00C270AF" w:rsidRPr="000F21D1">
        <w:rPr>
          <w:rFonts w:ascii="Garamond" w:hAnsi="Garamond"/>
        </w:rPr>
        <w:t xml:space="preserve">in </w:t>
      </w:r>
      <w:r w:rsidRPr="000F21D1">
        <w:rPr>
          <w:rFonts w:ascii="Garamond" w:hAnsi="Garamond"/>
        </w:rPr>
        <w:t>real import of goods and services</w:t>
      </w:r>
      <w:r w:rsidR="0089667B" w:rsidRPr="000F21D1">
        <w:rPr>
          <w:rStyle w:val="FootnoteReference"/>
          <w:rFonts w:ascii="Garamond" w:hAnsi="Garamond"/>
        </w:rPr>
        <w:footnoteReference w:customMarkFollows="1" w:id="21"/>
        <w:t>22</w:t>
      </w:r>
      <w:r w:rsidRPr="000F21D1">
        <w:rPr>
          <w:rFonts w:ascii="Garamond" w:hAnsi="Garamond"/>
        </w:rPr>
        <w:t xml:space="preserve">. </w:t>
      </w:r>
      <w:r w:rsidR="0089667B" w:rsidRPr="000F21D1">
        <w:rPr>
          <w:rFonts w:ascii="Garamond" w:hAnsi="Garamond"/>
        </w:rPr>
        <w:t>High growth of r</w:t>
      </w:r>
      <w:r w:rsidRPr="000F21D1">
        <w:rPr>
          <w:rFonts w:ascii="Garamond" w:hAnsi="Garamond"/>
        </w:rPr>
        <w:t xml:space="preserve">eal export was mainly due to </w:t>
      </w:r>
      <w:r w:rsidR="00C270AF" w:rsidRPr="000F21D1">
        <w:rPr>
          <w:rFonts w:ascii="Garamond" w:hAnsi="Garamond"/>
        </w:rPr>
        <w:t>grow</w:t>
      </w:r>
      <w:r w:rsidR="0089667B" w:rsidRPr="000F21D1">
        <w:rPr>
          <w:rFonts w:ascii="Garamond" w:hAnsi="Garamond"/>
        </w:rPr>
        <w:t xml:space="preserve">ing export volumes </w:t>
      </w:r>
      <w:r w:rsidR="00C270AF" w:rsidRPr="000F21D1">
        <w:rPr>
          <w:rFonts w:ascii="Garamond" w:hAnsi="Garamond"/>
        </w:rPr>
        <w:t xml:space="preserve">of </w:t>
      </w:r>
      <w:r w:rsidRPr="000F21D1">
        <w:rPr>
          <w:rFonts w:ascii="Garamond" w:hAnsi="Garamond"/>
        </w:rPr>
        <w:t>copper, tobacco and alcohol.</w:t>
      </w:r>
      <w:r w:rsidR="00225172" w:rsidRPr="000F21D1">
        <w:rPr>
          <w:rFonts w:ascii="Garamond" w:hAnsi="Garamond" w:cs="Sylfaen"/>
        </w:rPr>
        <w:t xml:space="preserve"> </w:t>
      </w:r>
    </w:p>
    <w:p w14:paraId="10E3E226" w14:textId="77777777" w:rsidR="00C270AF" w:rsidRPr="000F21D1" w:rsidRDefault="00C270AF" w:rsidP="0006101A">
      <w:pPr>
        <w:spacing w:line="360" w:lineRule="auto"/>
        <w:jc w:val="both"/>
        <w:rPr>
          <w:rFonts w:ascii="Garamond" w:hAnsi="Garamond"/>
        </w:rPr>
      </w:pPr>
    </w:p>
    <w:p w14:paraId="11678401" w14:textId="77777777" w:rsidR="00C270AF" w:rsidRPr="000F21D1" w:rsidRDefault="0089667B" w:rsidP="0006101A">
      <w:pPr>
        <w:spacing w:line="360" w:lineRule="auto"/>
        <w:jc w:val="both"/>
        <w:rPr>
          <w:rFonts w:ascii="Garamond" w:hAnsi="Garamond"/>
        </w:rPr>
      </w:pPr>
      <w:r w:rsidRPr="000F21D1">
        <w:rPr>
          <w:rFonts w:ascii="Garamond" w:hAnsi="Garamond"/>
        </w:rPr>
        <w:t xml:space="preserve">The second quarter of 2016 saw the inflow of </w:t>
      </w:r>
      <w:r w:rsidR="0005368A" w:rsidRPr="000F21D1">
        <w:rPr>
          <w:rFonts w:ascii="Garamond" w:hAnsi="Garamond"/>
        </w:rPr>
        <w:t>remittances</w:t>
      </w:r>
      <w:r w:rsidRPr="000F21D1">
        <w:rPr>
          <w:rFonts w:ascii="Garamond" w:hAnsi="Garamond"/>
        </w:rPr>
        <w:t xml:space="preserve"> narrowing at a faster rate, which was attributable to the Russian ruble</w:t>
      </w:r>
      <w:r w:rsidR="00B141FB" w:rsidRPr="000F21D1">
        <w:rPr>
          <w:rFonts w:ascii="Garamond" w:hAnsi="Garamond"/>
        </w:rPr>
        <w:t xml:space="preserve"> </w:t>
      </w:r>
      <w:r w:rsidR="00BF1B40" w:rsidRPr="000F21D1">
        <w:rPr>
          <w:rFonts w:ascii="Garamond" w:hAnsi="Garamond"/>
        </w:rPr>
        <w:t xml:space="preserve">with still high </w:t>
      </w:r>
      <w:r w:rsidRPr="000F21D1">
        <w:rPr>
          <w:rFonts w:ascii="Garamond" w:hAnsi="Garamond"/>
        </w:rPr>
        <w:t>depreciat</w:t>
      </w:r>
      <w:r w:rsidR="00BF1B40" w:rsidRPr="000F21D1">
        <w:rPr>
          <w:rFonts w:ascii="Garamond" w:hAnsi="Garamond"/>
        </w:rPr>
        <w:t xml:space="preserve">ion rates </w:t>
      </w:r>
      <w:r w:rsidR="00B141FB" w:rsidRPr="000F21D1">
        <w:rPr>
          <w:rFonts w:ascii="Garamond" w:hAnsi="Garamond"/>
        </w:rPr>
        <w:t>in comparison with the same reference period of the previous year.</w:t>
      </w:r>
    </w:p>
    <w:p w14:paraId="4B3FD6AE" w14:textId="77777777" w:rsidR="002847C1" w:rsidRPr="000F21D1" w:rsidRDefault="002847C1" w:rsidP="0006101A">
      <w:pPr>
        <w:spacing w:line="360" w:lineRule="auto"/>
        <w:jc w:val="both"/>
        <w:rPr>
          <w:rFonts w:ascii="Garamond" w:hAnsi="Garamond"/>
        </w:rPr>
      </w:pPr>
    </w:p>
    <w:p w14:paraId="6B1BB384" w14:textId="77777777" w:rsidR="002847C1" w:rsidRPr="000F21D1" w:rsidRDefault="002847C1" w:rsidP="0006101A">
      <w:pPr>
        <w:spacing w:line="360" w:lineRule="auto"/>
        <w:jc w:val="both"/>
        <w:rPr>
          <w:rFonts w:ascii="Garamond" w:hAnsi="Garamond"/>
          <w:b/>
        </w:rPr>
      </w:pPr>
      <w:r w:rsidRPr="000F21D1">
        <w:rPr>
          <w:rFonts w:ascii="Garamond" w:hAnsi="Garamond"/>
          <w:b/>
        </w:rPr>
        <w:t>3.2.3. Labor market</w:t>
      </w:r>
      <w:r w:rsidR="0089667B" w:rsidRPr="000F21D1">
        <w:rPr>
          <w:rStyle w:val="FootnoteReference"/>
          <w:rFonts w:ascii="Garamond" w:hAnsi="Garamond"/>
          <w:b/>
        </w:rPr>
        <w:footnoteReference w:customMarkFollows="1" w:id="22"/>
        <w:t>23</w:t>
      </w:r>
    </w:p>
    <w:p w14:paraId="20C2B4C8" w14:textId="77777777" w:rsidR="003B0C7D" w:rsidRPr="000F21D1" w:rsidRDefault="003B0C7D" w:rsidP="0006101A">
      <w:pPr>
        <w:spacing w:line="360" w:lineRule="auto"/>
        <w:jc w:val="both"/>
        <w:rPr>
          <w:rStyle w:val="longtext"/>
          <w:rFonts w:ascii="Garamond" w:hAnsi="Garamond"/>
          <w:shd w:val="clear" w:color="auto" w:fill="FFFFFF"/>
        </w:rPr>
      </w:pPr>
    </w:p>
    <w:p w14:paraId="689E30CC" w14:textId="77777777" w:rsidR="007C6A1A" w:rsidRPr="000F21D1" w:rsidRDefault="007C6A1A" w:rsidP="0006101A">
      <w:pPr>
        <w:spacing w:line="360" w:lineRule="auto"/>
        <w:jc w:val="both"/>
        <w:rPr>
          <w:rFonts w:ascii="Garamond" w:eastAsia="Calibri" w:hAnsi="Garamond"/>
        </w:rPr>
      </w:pPr>
      <w:r w:rsidRPr="000F21D1">
        <w:rPr>
          <w:rStyle w:val="longtext"/>
          <w:rFonts w:ascii="Garamond" w:hAnsi="Garamond"/>
          <w:shd w:val="clear" w:color="auto" w:fill="FFFFFF"/>
        </w:rPr>
        <w:t xml:space="preserve">In the </w:t>
      </w:r>
      <w:r w:rsidR="00BF1B40" w:rsidRPr="000F21D1">
        <w:rPr>
          <w:rStyle w:val="longtext"/>
          <w:rFonts w:ascii="Garamond" w:hAnsi="Garamond"/>
          <w:shd w:val="clear" w:color="auto" w:fill="FFFFFF"/>
        </w:rPr>
        <w:t>second</w:t>
      </w:r>
      <w:r w:rsidRPr="000F21D1">
        <w:rPr>
          <w:rStyle w:val="longtext"/>
          <w:rFonts w:ascii="Garamond" w:hAnsi="Garamond"/>
          <w:shd w:val="clear" w:color="auto" w:fill="FFFFFF"/>
        </w:rPr>
        <w:t xml:space="preserve"> quarter of 2016 the </w:t>
      </w:r>
      <w:r w:rsidRPr="000F21D1">
        <w:rPr>
          <w:rStyle w:val="longtext"/>
          <w:rFonts w:ascii="Garamond" w:hAnsi="Garamond"/>
          <w:b/>
          <w:shd w:val="clear" w:color="auto" w:fill="FFFFFF"/>
        </w:rPr>
        <w:t xml:space="preserve">average nominal wage </w:t>
      </w:r>
      <w:r w:rsidRPr="000F21D1">
        <w:rPr>
          <w:rFonts w:ascii="Garamond" w:hAnsi="Garamond"/>
          <w:b/>
          <w:bCs/>
          <w:iCs/>
        </w:rPr>
        <w:t xml:space="preserve">growth rate </w:t>
      </w:r>
      <w:r w:rsidRPr="000F21D1">
        <w:rPr>
          <w:rFonts w:ascii="Garamond" w:hAnsi="Garamond"/>
          <w:bCs/>
          <w:iCs/>
        </w:rPr>
        <w:t xml:space="preserve">was </w:t>
      </w:r>
      <w:r w:rsidR="00BF1B40" w:rsidRPr="000F21D1">
        <w:rPr>
          <w:rFonts w:ascii="Garamond" w:hAnsi="Garamond"/>
          <w:bCs/>
          <w:iCs/>
        </w:rPr>
        <w:t>slightly below the previous</w:t>
      </w:r>
      <w:r w:rsidRPr="000F21D1">
        <w:rPr>
          <w:rFonts w:ascii="Garamond" w:hAnsi="Garamond"/>
          <w:bCs/>
          <w:iCs/>
        </w:rPr>
        <w:t xml:space="preserve"> forecast</w:t>
      </w:r>
      <w:r w:rsidR="008F2F5C" w:rsidRPr="000F21D1">
        <w:rPr>
          <w:rFonts w:ascii="Garamond" w:hAnsi="Garamond"/>
          <w:bCs/>
          <w:iCs/>
        </w:rPr>
        <w:t xml:space="preserve"> of the CBA</w:t>
      </w:r>
      <w:r w:rsidR="00BF1B40" w:rsidRPr="000F21D1">
        <w:rPr>
          <w:rFonts w:ascii="Garamond" w:hAnsi="Garamond"/>
          <w:bCs/>
          <w:iCs/>
        </w:rPr>
        <w:t xml:space="preserve">, and </w:t>
      </w:r>
      <w:r w:rsidRPr="000F21D1">
        <w:rPr>
          <w:rFonts w:ascii="Garamond" w:hAnsi="Garamond"/>
          <w:bCs/>
          <w:iCs/>
        </w:rPr>
        <w:t>is estimated</w:t>
      </w:r>
      <w:r w:rsidR="00FB246E" w:rsidRPr="000F21D1">
        <w:rPr>
          <w:rFonts w:ascii="Garamond" w:hAnsi="Garamond"/>
          <w:bCs/>
          <w:iCs/>
          <w:lang w:val="hy-AM"/>
        </w:rPr>
        <w:t xml:space="preserve"> </w:t>
      </w:r>
      <w:r w:rsidR="003F4B76" w:rsidRPr="000F21D1">
        <w:rPr>
          <w:rFonts w:ascii="Garamond" w:hAnsi="Garamond"/>
          <w:bCs/>
          <w:iCs/>
        </w:rPr>
        <w:t xml:space="preserve">at </w:t>
      </w:r>
      <w:r w:rsidR="00BF1B40" w:rsidRPr="000F21D1">
        <w:rPr>
          <w:rFonts w:ascii="Garamond" w:hAnsi="Garamond"/>
          <w:bCs/>
          <w:iCs/>
        </w:rPr>
        <w:t>2</w:t>
      </w:r>
      <w:r w:rsidRPr="000F21D1">
        <w:rPr>
          <w:rFonts w:ascii="Garamond" w:hAnsi="Garamond"/>
          <w:bCs/>
          <w:iCs/>
        </w:rPr>
        <w:t>.</w:t>
      </w:r>
      <w:r w:rsidR="00BF1B40" w:rsidRPr="000F21D1">
        <w:rPr>
          <w:rFonts w:ascii="Garamond" w:hAnsi="Garamond"/>
          <w:bCs/>
          <w:iCs/>
        </w:rPr>
        <w:t>7</w:t>
      </w:r>
      <w:r w:rsidRPr="000F21D1">
        <w:rPr>
          <w:rFonts w:ascii="Garamond" w:hAnsi="Garamond"/>
          <w:bCs/>
          <w:iCs/>
        </w:rPr>
        <w:t>%</w:t>
      </w:r>
      <w:r w:rsidR="008F2F5C" w:rsidRPr="000F21D1">
        <w:rPr>
          <w:rFonts w:ascii="Garamond" w:hAnsi="Garamond"/>
          <w:bCs/>
          <w:iCs/>
        </w:rPr>
        <w:t>.</w:t>
      </w:r>
      <w:r w:rsidR="00BF1B40" w:rsidRPr="000F21D1">
        <w:rPr>
          <w:rFonts w:ascii="Garamond" w:hAnsi="Garamond"/>
          <w:bCs/>
          <w:iCs/>
        </w:rPr>
        <w:t xml:space="preserve"> </w:t>
      </w:r>
      <w:r w:rsidRPr="000F21D1">
        <w:rPr>
          <w:rFonts w:ascii="Garamond" w:eastAsia="Calibri" w:hAnsi="Garamond"/>
        </w:rPr>
        <w:t xml:space="preserve">In the period under review </w:t>
      </w:r>
      <w:r w:rsidR="003F4B76" w:rsidRPr="000F21D1">
        <w:rPr>
          <w:rFonts w:ascii="Garamond" w:eastAsia="Calibri" w:hAnsi="Garamond"/>
        </w:rPr>
        <w:t xml:space="preserve">the </w:t>
      </w:r>
      <w:r w:rsidRPr="000F21D1">
        <w:rPr>
          <w:rFonts w:ascii="Garamond" w:eastAsia="Calibri" w:hAnsi="Garamond"/>
        </w:rPr>
        <w:t>p</w:t>
      </w:r>
      <w:r w:rsidR="003F4B76" w:rsidRPr="000F21D1">
        <w:rPr>
          <w:rFonts w:ascii="Garamond" w:eastAsia="Calibri" w:hAnsi="Garamond"/>
        </w:rPr>
        <w:t xml:space="preserve">rivate </w:t>
      </w:r>
      <w:r w:rsidRPr="000F21D1">
        <w:rPr>
          <w:rFonts w:ascii="Garamond" w:eastAsia="Calibri" w:hAnsi="Garamond"/>
        </w:rPr>
        <w:t xml:space="preserve">sector wage </w:t>
      </w:r>
      <w:r w:rsidR="003F4B76" w:rsidRPr="000F21D1">
        <w:rPr>
          <w:rFonts w:ascii="Garamond" w:eastAsia="Calibri" w:hAnsi="Garamond"/>
        </w:rPr>
        <w:t>growth outpaced the public sector wage growth.</w:t>
      </w:r>
      <w:r w:rsidR="005E1B6A" w:rsidRPr="000F21D1">
        <w:rPr>
          <w:rFonts w:ascii="Garamond" w:eastAsia="Calibri" w:hAnsi="Garamond"/>
        </w:rPr>
        <w:t xml:space="preserve"> The deviation from the previous forecast is due to more-than-expected decline in average wage in the public sector.</w:t>
      </w:r>
    </w:p>
    <w:p w14:paraId="17C301A4" w14:textId="77777777" w:rsidR="003B0C7D" w:rsidRPr="000F21D1" w:rsidRDefault="003B0C7D" w:rsidP="0006101A">
      <w:pPr>
        <w:spacing w:line="360" w:lineRule="auto"/>
        <w:jc w:val="both"/>
        <w:rPr>
          <w:rFonts w:ascii="Garamond" w:eastAsia="Calibri" w:hAnsi="Garamond"/>
        </w:rPr>
      </w:pPr>
    </w:p>
    <w:p w14:paraId="2F22A9E6" w14:textId="77777777" w:rsidR="003B0C7D" w:rsidRPr="000F21D1" w:rsidRDefault="003B0C7D" w:rsidP="0006101A">
      <w:pPr>
        <w:spacing w:line="360" w:lineRule="auto"/>
        <w:jc w:val="both"/>
        <w:rPr>
          <w:rFonts w:ascii="Garamond" w:hAnsi="Garamond"/>
        </w:rPr>
      </w:pPr>
      <w:r w:rsidRPr="000F21D1">
        <w:rPr>
          <w:rFonts w:ascii="Garamond" w:eastAsia="Calibri" w:hAnsi="Garamond"/>
        </w:rPr>
        <w:t xml:space="preserve">The effect of wage increases in some </w:t>
      </w:r>
      <w:r w:rsidR="00C96A90" w:rsidRPr="000F21D1">
        <w:rPr>
          <w:rFonts w:ascii="Garamond" w:eastAsia="Calibri" w:hAnsi="Garamond"/>
        </w:rPr>
        <w:t>parts</w:t>
      </w:r>
      <w:r w:rsidRPr="000F21D1">
        <w:rPr>
          <w:rFonts w:ascii="Garamond" w:eastAsia="Calibri" w:hAnsi="Garamond"/>
        </w:rPr>
        <w:t xml:space="preserve"> of public sector since July of 2014 phased out in the third quarter of 2015</w:t>
      </w:r>
      <w:r w:rsidR="00BF1B10" w:rsidRPr="000F21D1">
        <w:rPr>
          <w:rFonts w:ascii="Garamond" w:eastAsia="Calibri" w:hAnsi="Garamond"/>
        </w:rPr>
        <w:t xml:space="preserve"> and, s</w:t>
      </w:r>
      <w:r w:rsidR="008B5B1D" w:rsidRPr="000F21D1">
        <w:rPr>
          <w:rFonts w:ascii="Garamond" w:eastAsia="Calibri" w:hAnsi="Garamond"/>
        </w:rPr>
        <w:t xml:space="preserve">tarting from October, </w:t>
      </w:r>
      <w:r w:rsidRPr="000F21D1">
        <w:rPr>
          <w:rFonts w:ascii="Garamond" w:hAnsi="Garamond"/>
        </w:rPr>
        <w:t>the wage growth in public sector slowed down</w:t>
      </w:r>
      <w:r w:rsidR="008B5B1D" w:rsidRPr="000F21D1">
        <w:rPr>
          <w:rFonts w:ascii="Garamond" w:hAnsi="Garamond"/>
        </w:rPr>
        <w:t xml:space="preserve">. </w:t>
      </w:r>
      <w:r w:rsidR="00AA7020" w:rsidRPr="000F21D1">
        <w:rPr>
          <w:rFonts w:ascii="Garamond" w:hAnsi="Garamond"/>
        </w:rPr>
        <w:t xml:space="preserve">This trend was observable over the first quarter of 2016 too. </w:t>
      </w:r>
      <w:r w:rsidR="008B5B1D" w:rsidRPr="000F21D1">
        <w:rPr>
          <w:rFonts w:ascii="Garamond" w:hAnsi="Garamond"/>
        </w:rPr>
        <w:t xml:space="preserve">As </w:t>
      </w:r>
      <w:r w:rsidR="00AA7020" w:rsidRPr="000F21D1">
        <w:rPr>
          <w:rFonts w:ascii="Garamond" w:hAnsi="Garamond"/>
        </w:rPr>
        <w:t xml:space="preserve">for </w:t>
      </w:r>
      <w:r w:rsidR="00750F76" w:rsidRPr="000F21D1">
        <w:rPr>
          <w:rFonts w:ascii="Garamond" w:hAnsi="Garamond"/>
        </w:rPr>
        <w:t xml:space="preserve">the </w:t>
      </w:r>
      <w:r w:rsidR="00AA7020" w:rsidRPr="000F21D1">
        <w:rPr>
          <w:rFonts w:ascii="Garamond" w:hAnsi="Garamond"/>
        </w:rPr>
        <w:t xml:space="preserve">second </w:t>
      </w:r>
      <w:r w:rsidR="008B5B1D" w:rsidRPr="000F21D1">
        <w:rPr>
          <w:rFonts w:ascii="Garamond" w:hAnsi="Garamond"/>
        </w:rPr>
        <w:t>quarter of 2016</w:t>
      </w:r>
      <w:r w:rsidR="00AA7020" w:rsidRPr="000F21D1">
        <w:rPr>
          <w:rFonts w:ascii="Garamond" w:hAnsi="Garamond"/>
        </w:rPr>
        <w:t>,</w:t>
      </w:r>
      <w:r w:rsidR="008B5B1D" w:rsidRPr="000F21D1">
        <w:rPr>
          <w:rFonts w:ascii="Garamond" w:hAnsi="Garamond"/>
        </w:rPr>
        <w:t xml:space="preserve"> the rate of wage growth decelerated against the previous reference period’s high base</w:t>
      </w:r>
      <w:r w:rsidR="00AA7020" w:rsidRPr="000F21D1">
        <w:rPr>
          <w:rFonts w:ascii="Garamond" w:hAnsi="Garamond"/>
        </w:rPr>
        <w:t>, reaching -2.</w:t>
      </w:r>
      <w:r w:rsidR="008B5B1D" w:rsidRPr="000F21D1">
        <w:rPr>
          <w:rFonts w:ascii="Garamond" w:hAnsi="Garamond"/>
        </w:rPr>
        <w:t>0%.</w:t>
      </w:r>
    </w:p>
    <w:p w14:paraId="5FDCB4AB" w14:textId="77777777" w:rsidR="00A9243C" w:rsidRPr="000F21D1" w:rsidRDefault="00A9243C" w:rsidP="0006101A">
      <w:pPr>
        <w:spacing w:line="360" w:lineRule="auto"/>
        <w:jc w:val="both"/>
        <w:rPr>
          <w:rFonts w:ascii="Garamond" w:hAnsi="Garamond"/>
        </w:rPr>
      </w:pPr>
    </w:p>
    <w:p w14:paraId="310BF557" w14:textId="77777777" w:rsidR="00A9243C" w:rsidRPr="000F21D1" w:rsidRDefault="00C255F1" w:rsidP="0006101A">
      <w:pPr>
        <w:spacing w:line="360" w:lineRule="auto"/>
        <w:jc w:val="both"/>
        <w:rPr>
          <w:rFonts w:ascii="Garamond" w:hAnsi="Garamond"/>
        </w:rPr>
      </w:pPr>
      <w:r w:rsidRPr="000F21D1">
        <w:rPr>
          <w:rFonts w:ascii="Garamond" w:hAnsi="Garamond"/>
        </w:rPr>
        <w:t xml:space="preserve">In the </w:t>
      </w:r>
      <w:r w:rsidR="00B43F6E" w:rsidRPr="000F21D1">
        <w:rPr>
          <w:rFonts w:ascii="Garamond" w:hAnsi="Garamond"/>
        </w:rPr>
        <w:t>second</w:t>
      </w:r>
      <w:r w:rsidRPr="000F21D1">
        <w:rPr>
          <w:rFonts w:ascii="Garamond" w:hAnsi="Garamond"/>
        </w:rPr>
        <w:t xml:space="preserve"> quarter of 2016 the private sector’s nominal wage growth rate </w:t>
      </w:r>
      <w:r w:rsidR="00B43F6E" w:rsidRPr="000F21D1">
        <w:rPr>
          <w:rFonts w:ascii="Garamond" w:hAnsi="Garamond"/>
        </w:rPr>
        <w:t xml:space="preserve">accelerated </w:t>
      </w:r>
      <w:r w:rsidRPr="000F21D1">
        <w:rPr>
          <w:rFonts w:ascii="Garamond" w:hAnsi="Garamond"/>
        </w:rPr>
        <w:t xml:space="preserve">by </w:t>
      </w:r>
      <w:r w:rsidR="00B43F6E" w:rsidRPr="000F21D1">
        <w:rPr>
          <w:rFonts w:ascii="Garamond" w:hAnsi="Garamond"/>
        </w:rPr>
        <w:t>7</w:t>
      </w:r>
      <w:r w:rsidRPr="000F21D1">
        <w:rPr>
          <w:rFonts w:ascii="Garamond" w:hAnsi="Garamond"/>
        </w:rPr>
        <w:t>.0 pp against the relevant indicator of the previous reference period</w:t>
      </w:r>
      <w:r w:rsidR="00B43F6E" w:rsidRPr="000F21D1">
        <w:rPr>
          <w:rFonts w:ascii="Garamond" w:hAnsi="Garamond"/>
        </w:rPr>
        <w:t>.</w:t>
      </w:r>
      <w:r w:rsidR="00992045" w:rsidRPr="000F21D1">
        <w:rPr>
          <w:rFonts w:ascii="Garamond" w:hAnsi="Garamond"/>
        </w:rPr>
        <w:t xml:space="preserve"> The </w:t>
      </w:r>
      <w:r w:rsidR="009F13D7" w:rsidRPr="000F21D1">
        <w:rPr>
          <w:rFonts w:ascii="Garamond" w:hAnsi="Garamond"/>
        </w:rPr>
        <w:t xml:space="preserve">second quarter’s </w:t>
      </w:r>
      <w:r w:rsidR="00992045" w:rsidRPr="000F21D1">
        <w:rPr>
          <w:rFonts w:ascii="Garamond" w:hAnsi="Garamond"/>
        </w:rPr>
        <w:t xml:space="preserve">rate of growth </w:t>
      </w:r>
      <w:r w:rsidR="009F13D7" w:rsidRPr="000F21D1">
        <w:rPr>
          <w:rFonts w:ascii="Garamond" w:hAnsi="Garamond"/>
        </w:rPr>
        <w:t xml:space="preserve">was somewhat higher </w:t>
      </w:r>
      <w:r w:rsidR="00992045" w:rsidRPr="000F21D1">
        <w:rPr>
          <w:rFonts w:ascii="Garamond" w:hAnsi="Garamond"/>
        </w:rPr>
        <w:t>compared to the first quarter</w:t>
      </w:r>
      <w:r w:rsidR="009F13D7" w:rsidRPr="000F21D1">
        <w:rPr>
          <w:rFonts w:ascii="Garamond" w:hAnsi="Garamond"/>
        </w:rPr>
        <w:t xml:space="preserve">, which was determined by </w:t>
      </w:r>
      <w:r w:rsidR="00992045" w:rsidRPr="000F21D1">
        <w:rPr>
          <w:rFonts w:ascii="Garamond" w:hAnsi="Garamond"/>
        </w:rPr>
        <w:t>accelerat</w:t>
      </w:r>
      <w:r w:rsidR="009F13D7" w:rsidRPr="000F21D1">
        <w:rPr>
          <w:rFonts w:ascii="Garamond" w:hAnsi="Garamond"/>
        </w:rPr>
        <w:t xml:space="preserve">ed </w:t>
      </w:r>
      <w:r w:rsidR="00992045" w:rsidRPr="000F21D1">
        <w:rPr>
          <w:rFonts w:ascii="Garamond" w:hAnsi="Garamond"/>
        </w:rPr>
        <w:t xml:space="preserve">economic </w:t>
      </w:r>
      <w:r w:rsidR="00992045" w:rsidRPr="000F21D1">
        <w:rPr>
          <w:rFonts w:ascii="Garamond" w:hAnsi="Garamond"/>
        </w:rPr>
        <w:lastRenderedPageBreak/>
        <w:t xml:space="preserve">activity. </w:t>
      </w:r>
      <w:r w:rsidR="009F13D7" w:rsidRPr="000F21D1">
        <w:rPr>
          <w:rFonts w:ascii="Garamond" w:hAnsi="Garamond"/>
        </w:rPr>
        <w:t>With a 1</w:t>
      </w:r>
      <w:r w:rsidR="00992045" w:rsidRPr="000F21D1">
        <w:rPr>
          <w:rFonts w:ascii="Garamond" w:hAnsi="Garamond"/>
        </w:rPr>
        <w:t xml:space="preserve">.4% </w:t>
      </w:r>
      <w:r w:rsidR="009F13D7" w:rsidRPr="000F21D1">
        <w:rPr>
          <w:rFonts w:ascii="Garamond" w:hAnsi="Garamond"/>
        </w:rPr>
        <w:t xml:space="preserve">deflation </w:t>
      </w:r>
      <w:r w:rsidR="00992045" w:rsidRPr="000F21D1">
        <w:rPr>
          <w:rFonts w:ascii="Garamond" w:hAnsi="Garamond"/>
        </w:rPr>
        <w:t xml:space="preserve">in the reporting period, real wages in the private sector </w:t>
      </w:r>
      <w:r w:rsidR="009F13D7" w:rsidRPr="000F21D1">
        <w:rPr>
          <w:rFonts w:ascii="Garamond" w:hAnsi="Garamond"/>
        </w:rPr>
        <w:t xml:space="preserve">posted over an </w:t>
      </w:r>
      <w:r w:rsidR="00992045" w:rsidRPr="000F21D1">
        <w:rPr>
          <w:rFonts w:ascii="Garamond" w:hAnsi="Garamond"/>
        </w:rPr>
        <w:t>8%</w:t>
      </w:r>
      <w:r w:rsidR="009F13D7" w:rsidRPr="000F21D1">
        <w:rPr>
          <w:rFonts w:ascii="Garamond" w:hAnsi="Garamond"/>
        </w:rPr>
        <w:t xml:space="preserve"> rise</w:t>
      </w:r>
      <w:r w:rsidR="00992045" w:rsidRPr="000F21D1">
        <w:rPr>
          <w:rFonts w:ascii="Garamond" w:hAnsi="Garamond"/>
        </w:rPr>
        <w:t>.</w:t>
      </w:r>
    </w:p>
    <w:p w14:paraId="32CFCFB1" w14:textId="77777777" w:rsidR="00715CAB" w:rsidRPr="000F21D1" w:rsidRDefault="00715CAB" w:rsidP="0006101A">
      <w:pPr>
        <w:spacing w:line="360" w:lineRule="auto"/>
        <w:jc w:val="both"/>
        <w:rPr>
          <w:rFonts w:ascii="Garamond" w:hAnsi="Garamond"/>
        </w:rPr>
      </w:pPr>
    </w:p>
    <w:p w14:paraId="695F7EE8" w14:textId="77777777" w:rsidR="002A6B43" w:rsidRPr="000F21D1" w:rsidRDefault="00715CAB" w:rsidP="0006101A">
      <w:pPr>
        <w:spacing w:line="360" w:lineRule="auto"/>
        <w:jc w:val="both"/>
        <w:rPr>
          <w:rFonts w:ascii="Garamond" w:hAnsi="Garamond" w:cs="Sylfaen"/>
        </w:rPr>
      </w:pPr>
      <w:r w:rsidRPr="000F21D1">
        <w:rPr>
          <w:rFonts w:ascii="Garamond" w:eastAsia="Calibri" w:hAnsi="Garamond"/>
        </w:rPr>
        <w:t xml:space="preserve">The growth of productivity reported in the economy in 2015 persisted over the </w:t>
      </w:r>
      <w:r w:rsidR="002A6B43" w:rsidRPr="000F21D1">
        <w:rPr>
          <w:rFonts w:ascii="Garamond" w:eastAsia="Calibri" w:hAnsi="Garamond"/>
        </w:rPr>
        <w:t>second</w:t>
      </w:r>
      <w:r w:rsidRPr="000F21D1">
        <w:rPr>
          <w:rFonts w:ascii="Garamond" w:eastAsia="Calibri" w:hAnsi="Garamond"/>
        </w:rPr>
        <w:t xml:space="preserve"> quarter of 2016. This resulted in reduced labor demand in the economy. </w:t>
      </w:r>
      <w:r w:rsidR="002A6B43" w:rsidRPr="000F21D1">
        <w:rPr>
          <w:rFonts w:ascii="Garamond" w:hAnsi="Garamond" w:cs="Sylfaen"/>
        </w:rPr>
        <w:t xml:space="preserve">Beginning the first quarter of 2016, the productivity growth started to slow, pointing to a faster growth rate in average hours worked per week. </w:t>
      </w:r>
      <w:r w:rsidR="002A6B43" w:rsidRPr="000F21D1">
        <w:rPr>
          <w:rFonts w:ascii="Garamond" w:eastAsia="Calibri" w:hAnsi="Garamond"/>
        </w:rPr>
        <w:t xml:space="preserve">As a result, the </w:t>
      </w:r>
      <w:r w:rsidR="002A6B43" w:rsidRPr="000F21D1">
        <w:rPr>
          <w:rFonts w:ascii="Garamond" w:eastAsia="Calibri" w:hAnsi="Garamond"/>
          <w:b/>
        </w:rPr>
        <w:t>unemployment rate</w:t>
      </w:r>
      <w:r w:rsidR="002A6B43" w:rsidRPr="000F21D1">
        <w:rPr>
          <w:rFonts w:ascii="Garamond" w:eastAsia="Calibri" w:hAnsi="Garamond"/>
        </w:rPr>
        <w:t xml:space="preserve"> in the second quarter was slightly below the previous forecasts and is an estimated 17.8%.</w:t>
      </w:r>
    </w:p>
    <w:p w14:paraId="0F9480AC" w14:textId="77777777" w:rsidR="002A6B43" w:rsidRPr="000F21D1" w:rsidRDefault="002A6B43" w:rsidP="0006101A">
      <w:pPr>
        <w:spacing w:line="360" w:lineRule="auto"/>
        <w:jc w:val="both"/>
        <w:rPr>
          <w:rFonts w:ascii="Garamond" w:hAnsi="Garamond" w:cs="Sylfaen"/>
        </w:rPr>
      </w:pPr>
    </w:p>
    <w:p w14:paraId="4F18F9A9" w14:textId="77777777" w:rsidR="001C28A9" w:rsidRPr="000F21D1" w:rsidRDefault="00C100B1" w:rsidP="001C28A9">
      <w:pPr>
        <w:spacing w:line="360" w:lineRule="auto"/>
        <w:jc w:val="both"/>
        <w:rPr>
          <w:rFonts w:ascii="Garamond" w:hAnsi="Garamond"/>
        </w:rPr>
      </w:pPr>
      <w:r w:rsidRPr="000F21D1">
        <w:rPr>
          <w:rFonts w:ascii="Garamond" w:hAnsi="Garamond" w:cs="Sylfaen"/>
        </w:rPr>
        <w:t xml:space="preserve">The slowing </w:t>
      </w:r>
      <w:r w:rsidR="00750F76" w:rsidRPr="000F21D1">
        <w:rPr>
          <w:rFonts w:ascii="Garamond" w:hAnsi="Garamond" w:cs="Sylfaen"/>
        </w:rPr>
        <w:t xml:space="preserve">of </w:t>
      </w:r>
      <w:r w:rsidRPr="000F21D1">
        <w:rPr>
          <w:rFonts w:ascii="Garamond" w:hAnsi="Garamond" w:cs="Sylfaen"/>
        </w:rPr>
        <w:t xml:space="preserve">productivity notwithstanding, it still </w:t>
      </w:r>
      <w:r w:rsidR="002A6B43" w:rsidRPr="000F21D1">
        <w:rPr>
          <w:rFonts w:ascii="Garamond" w:hAnsi="Garamond" w:cs="Sylfaen"/>
        </w:rPr>
        <w:t>outweigh</w:t>
      </w:r>
      <w:r w:rsidRPr="000F21D1">
        <w:rPr>
          <w:rFonts w:ascii="Garamond" w:hAnsi="Garamond" w:cs="Sylfaen"/>
        </w:rPr>
        <w:t xml:space="preserve">ed the growth rate </w:t>
      </w:r>
      <w:r w:rsidR="002A6B43" w:rsidRPr="000F21D1">
        <w:rPr>
          <w:rFonts w:ascii="Garamond" w:hAnsi="Garamond" w:cs="Sylfaen"/>
        </w:rPr>
        <w:t>in wages</w:t>
      </w:r>
      <w:r w:rsidR="001C28A9" w:rsidRPr="000F21D1">
        <w:rPr>
          <w:rFonts w:ascii="Garamond" w:hAnsi="Garamond" w:cs="Sylfaen"/>
        </w:rPr>
        <w:t xml:space="preserve"> in the second quarter of 2016</w:t>
      </w:r>
      <w:r w:rsidRPr="000F21D1">
        <w:rPr>
          <w:rFonts w:ascii="Garamond" w:hAnsi="Garamond" w:cs="Sylfaen"/>
        </w:rPr>
        <w:t>.</w:t>
      </w:r>
      <w:r w:rsidR="002A6B43" w:rsidRPr="000F21D1">
        <w:rPr>
          <w:rFonts w:ascii="Garamond" w:hAnsi="Garamond" w:cs="Sylfaen"/>
        </w:rPr>
        <w:t xml:space="preserve"> </w:t>
      </w:r>
      <w:r w:rsidR="001C28A9" w:rsidRPr="000F21D1">
        <w:rPr>
          <w:rStyle w:val="longtext"/>
          <w:rFonts w:ascii="Garamond" w:hAnsi="Garamond"/>
          <w:shd w:val="clear" w:color="auto" w:fill="FFFFFF"/>
        </w:rPr>
        <w:t xml:space="preserve">As a result, this has created </w:t>
      </w:r>
      <w:r w:rsidR="002A6B43" w:rsidRPr="000F21D1">
        <w:rPr>
          <w:rFonts w:ascii="Garamond" w:hAnsi="Garamond" w:cs="Sylfaen"/>
        </w:rPr>
        <w:t>0.4</w:t>
      </w:r>
      <w:r w:rsidR="002A6B43" w:rsidRPr="000F21D1">
        <w:rPr>
          <w:rFonts w:ascii="Garamond" w:eastAsia="Calibri" w:hAnsi="Garamond"/>
        </w:rPr>
        <w:t xml:space="preserve">% of deflationary pressures in the consumer market. </w:t>
      </w:r>
    </w:p>
    <w:p w14:paraId="0C2EA48F" w14:textId="77777777" w:rsidR="00C255F1" w:rsidRPr="000F21D1" w:rsidRDefault="00C255F1" w:rsidP="0006101A">
      <w:pPr>
        <w:spacing w:line="360" w:lineRule="auto"/>
        <w:jc w:val="both"/>
        <w:rPr>
          <w:rFonts w:ascii="Garamond" w:hAnsi="Garamond"/>
        </w:rPr>
      </w:pPr>
    </w:p>
    <w:p w14:paraId="746BC575" w14:textId="77777777" w:rsidR="008D531F" w:rsidRPr="000F21D1" w:rsidRDefault="008D531F" w:rsidP="0006101A">
      <w:pPr>
        <w:spacing w:line="360" w:lineRule="auto"/>
        <w:jc w:val="both"/>
        <w:rPr>
          <w:rFonts w:ascii="Garamond" w:hAnsi="Garamond"/>
          <w:b/>
        </w:rPr>
      </w:pPr>
      <w:r w:rsidRPr="000F21D1">
        <w:rPr>
          <w:rFonts w:ascii="Garamond" w:hAnsi="Garamond"/>
          <w:b/>
        </w:rPr>
        <w:t>3.2.4. Fiscal policy</w:t>
      </w:r>
      <w:r w:rsidR="001C28A9" w:rsidRPr="000F21D1">
        <w:rPr>
          <w:rStyle w:val="FootnoteReference"/>
          <w:rFonts w:ascii="Garamond" w:hAnsi="Garamond"/>
          <w:b/>
        </w:rPr>
        <w:footnoteReference w:customMarkFollows="1" w:id="23"/>
        <w:t>24</w:t>
      </w:r>
    </w:p>
    <w:p w14:paraId="65830C97" w14:textId="77777777" w:rsidR="008D531F" w:rsidRPr="000F21D1" w:rsidRDefault="008D531F" w:rsidP="0006101A">
      <w:pPr>
        <w:spacing w:line="360" w:lineRule="auto"/>
        <w:jc w:val="both"/>
        <w:rPr>
          <w:rFonts w:ascii="Garamond" w:hAnsi="Garamond"/>
        </w:rPr>
      </w:pPr>
    </w:p>
    <w:p w14:paraId="6F86FD0E" w14:textId="4B763723" w:rsidR="008D531F" w:rsidRPr="000F21D1" w:rsidRDefault="008D531F" w:rsidP="0006101A">
      <w:pPr>
        <w:spacing w:line="360" w:lineRule="auto"/>
        <w:jc w:val="both"/>
        <w:rPr>
          <w:rFonts w:ascii="Garamond" w:hAnsi="Garamond"/>
        </w:rPr>
      </w:pPr>
      <w:r w:rsidRPr="000F21D1">
        <w:rPr>
          <w:rFonts w:ascii="Garamond" w:hAnsi="Garamond"/>
        </w:rPr>
        <w:t xml:space="preserve">In the </w:t>
      </w:r>
      <w:r w:rsidR="001C28A9" w:rsidRPr="000F21D1">
        <w:rPr>
          <w:rFonts w:ascii="Garamond" w:hAnsi="Garamond"/>
        </w:rPr>
        <w:t>second</w:t>
      </w:r>
      <w:r w:rsidRPr="000F21D1">
        <w:rPr>
          <w:rFonts w:ascii="Garamond" w:hAnsi="Garamond"/>
        </w:rPr>
        <w:t xml:space="preserve"> quarter of 2016 the </w:t>
      </w:r>
      <w:r w:rsidR="00201FF4" w:rsidRPr="000F21D1">
        <w:rPr>
          <w:rFonts w:ascii="Garamond" w:hAnsi="Garamond"/>
        </w:rPr>
        <w:t>Republic of Armenia S</w:t>
      </w:r>
      <w:r w:rsidRPr="000F21D1">
        <w:rPr>
          <w:rFonts w:ascii="Garamond" w:hAnsi="Garamond"/>
        </w:rPr>
        <w:t xml:space="preserve">tate </w:t>
      </w:r>
      <w:r w:rsidR="00201FF4" w:rsidRPr="000F21D1">
        <w:rPr>
          <w:rFonts w:ascii="Garamond" w:hAnsi="Garamond"/>
        </w:rPr>
        <w:t>B</w:t>
      </w:r>
      <w:r w:rsidRPr="000F21D1">
        <w:rPr>
          <w:rFonts w:ascii="Garamond" w:hAnsi="Garamond"/>
        </w:rPr>
        <w:t xml:space="preserve">udget </w:t>
      </w:r>
      <w:r w:rsidR="00160A11" w:rsidRPr="000F21D1">
        <w:rPr>
          <w:rFonts w:ascii="Garamond" w:hAnsi="Garamond"/>
        </w:rPr>
        <w:t>was performed with revenues falling short of the CBA</w:t>
      </w:r>
      <w:r w:rsidR="00201FF4" w:rsidRPr="000F21D1">
        <w:rPr>
          <w:rFonts w:ascii="Garamond" w:hAnsi="Garamond"/>
        </w:rPr>
        <w:t xml:space="preserve">’s </w:t>
      </w:r>
      <w:r w:rsidR="00160A11" w:rsidRPr="000F21D1">
        <w:rPr>
          <w:rFonts w:ascii="Garamond" w:hAnsi="Garamond"/>
        </w:rPr>
        <w:t>estimates</w:t>
      </w:r>
      <w:r w:rsidR="001151D0" w:rsidRPr="000F21D1">
        <w:rPr>
          <w:rStyle w:val="FootnoteReference"/>
          <w:rFonts w:ascii="Garamond" w:hAnsi="Garamond"/>
        </w:rPr>
        <w:footnoteReference w:customMarkFollows="1" w:id="24"/>
        <w:t>25</w:t>
      </w:r>
      <w:r w:rsidR="00160A11" w:rsidRPr="000F21D1">
        <w:rPr>
          <w:rFonts w:ascii="Garamond" w:hAnsi="Garamond"/>
        </w:rPr>
        <w:t xml:space="preserve">; </w:t>
      </w:r>
      <w:r w:rsidR="00201FF4" w:rsidRPr="000F21D1">
        <w:rPr>
          <w:rFonts w:ascii="Garamond" w:hAnsi="Garamond"/>
        </w:rPr>
        <w:t xml:space="preserve">expenditures </w:t>
      </w:r>
      <w:r w:rsidR="001151D0" w:rsidRPr="000F21D1">
        <w:rPr>
          <w:rFonts w:ascii="Garamond" w:hAnsi="Garamond"/>
        </w:rPr>
        <w:t>post</w:t>
      </w:r>
      <w:r w:rsidR="00750F76" w:rsidRPr="000F21D1">
        <w:rPr>
          <w:rFonts w:ascii="Garamond" w:hAnsi="Garamond"/>
        </w:rPr>
        <w:t>ing</w:t>
      </w:r>
      <w:r w:rsidR="00160A11" w:rsidRPr="000F21D1">
        <w:rPr>
          <w:rFonts w:ascii="Garamond" w:hAnsi="Garamond"/>
        </w:rPr>
        <w:t xml:space="preserve"> </w:t>
      </w:r>
      <w:r w:rsidR="001151D0" w:rsidRPr="000F21D1">
        <w:rPr>
          <w:rFonts w:ascii="Garamond" w:hAnsi="Garamond"/>
        </w:rPr>
        <w:t xml:space="preserve">some </w:t>
      </w:r>
      <w:r w:rsidR="00160A11" w:rsidRPr="000F21D1">
        <w:rPr>
          <w:rFonts w:ascii="Garamond" w:hAnsi="Garamond"/>
        </w:rPr>
        <w:t>savin</w:t>
      </w:r>
      <w:r w:rsidRPr="000F21D1">
        <w:rPr>
          <w:rFonts w:ascii="Garamond" w:hAnsi="Garamond"/>
        </w:rPr>
        <w:t>gs</w:t>
      </w:r>
      <w:r w:rsidR="001151D0" w:rsidRPr="000F21D1">
        <w:rPr>
          <w:rFonts w:ascii="Garamond" w:hAnsi="Garamond"/>
        </w:rPr>
        <w:t xml:space="preserve"> and net lending in excess of the projected value. In view of such developments described above and the nominal GDP indicator for the second quarter, t</w:t>
      </w:r>
      <w:r w:rsidR="00166A0A" w:rsidRPr="000F21D1">
        <w:rPr>
          <w:rFonts w:ascii="Garamond" w:hAnsi="Garamond"/>
        </w:rPr>
        <w:t xml:space="preserve">he fiscal sector’s impact </w:t>
      </w:r>
      <w:r w:rsidRPr="000F21D1">
        <w:rPr>
          <w:rFonts w:ascii="Garamond" w:hAnsi="Garamond"/>
        </w:rPr>
        <w:t>on aggregate demand</w:t>
      </w:r>
      <w:r w:rsidR="00166A0A" w:rsidRPr="000F21D1">
        <w:rPr>
          <w:rFonts w:ascii="Garamond" w:hAnsi="Garamond"/>
        </w:rPr>
        <w:t xml:space="preserve"> </w:t>
      </w:r>
      <w:r w:rsidR="001151D0" w:rsidRPr="000F21D1">
        <w:rPr>
          <w:rFonts w:ascii="Garamond" w:hAnsi="Garamond"/>
        </w:rPr>
        <w:t>was estimated 1</w:t>
      </w:r>
      <w:r w:rsidR="00166A0A" w:rsidRPr="000F21D1">
        <w:rPr>
          <w:rFonts w:ascii="Garamond" w:hAnsi="Garamond"/>
        </w:rPr>
        <w:t>.</w:t>
      </w:r>
      <w:r w:rsidR="001151D0" w:rsidRPr="000F21D1">
        <w:rPr>
          <w:rFonts w:ascii="Garamond" w:hAnsi="Garamond"/>
        </w:rPr>
        <w:t>4</w:t>
      </w:r>
      <w:r w:rsidR="00166A0A" w:rsidRPr="000F21D1">
        <w:rPr>
          <w:rFonts w:ascii="Garamond" w:hAnsi="Garamond"/>
        </w:rPr>
        <w:t xml:space="preserve"> expansionary instead of the project</w:t>
      </w:r>
      <w:r w:rsidR="001151D0" w:rsidRPr="000F21D1">
        <w:rPr>
          <w:rFonts w:ascii="Garamond" w:hAnsi="Garamond"/>
        </w:rPr>
        <w:t xml:space="preserve">ion of 1.5 contractionary. </w:t>
      </w:r>
      <w:r w:rsidR="00A64499" w:rsidRPr="000F21D1">
        <w:rPr>
          <w:rFonts w:ascii="Garamond" w:hAnsi="Garamond"/>
        </w:rPr>
        <w:t xml:space="preserve">The revenues impulse was 0.2 expansionary instead of the forecast 0.8 contractionary, due to under-collected </w:t>
      </w:r>
      <w:r w:rsidR="005B71D4" w:rsidRPr="000F21D1">
        <w:rPr>
          <w:rFonts w:ascii="Garamond" w:hAnsi="Garamond"/>
        </w:rPr>
        <w:t xml:space="preserve">tax amounting to almost </w:t>
      </w:r>
      <w:r w:rsidR="00A64499" w:rsidRPr="000F21D1">
        <w:rPr>
          <w:rFonts w:ascii="Garamond" w:hAnsi="Garamond"/>
        </w:rPr>
        <w:t xml:space="preserve">AMD 17.1 billion. </w:t>
      </w:r>
      <w:r w:rsidR="005B71D4" w:rsidRPr="000F21D1">
        <w:rPr>
          <w:rFonts w:ascii="Garamond" w:hAnsi="Garamond"/>
        </w:rPr>
        <w:t xml:space="preserve">The </w:t>
      </w:r>
      <w:r w:rsidR="00A64499" w:rsidRPr="000F21D1">
        <w:rPr>
          <w:rFonts w:ascii="Garamond" w:hAnsi="Garamond"/>
        </w:rPr>
        <w:t>expenditures impulse was 1.2</w:t>
      </w:r>
      <w:r w:rsidR="005B71D4" w:rsidRPr="000F21D1">
        <w:rPr>
          <w:rFonts w:ascii="Garamond" w:hAnsi="Garamond"/>
        </w:rPr>
        <w:t xml:space="preserve"> expansionary </w:t>
      </w:r>
      <w:r w:rsidR="00A64499" w:rsidRPr="000F21D1">
        <w:rPr>
          <w:rFonts w:ascii="Garamond" w:hAnsi="Garamond"/>
        </w:rPr>
        <w:t xml:space="preserve">instead of the </w:t>
      </w:r>
      <w:r w:rsidR="005B71D4" w:rsidRPr="000F21D1">
        <w:rPr>
          <w:rFonts w:ascii="Garamond" w:hAnsi="Garamond"/>
        </w:rPr>
        <w:t xml:space="preserve">forecast </w:t>
      </w:r>
      <w:r w:rsidR="00A64499" w:rsidRPr="000F21D1">
        <w:rPr>
          <w:rFonts w:ascii="Garamond" w:hAnsi="Garamond"/>
        </w:rPr>
        <w:t xml:space="preserve">0.7 </w:t>
      </w:r>
      <w:r w:rsidR="005B71D4" w:rsidRPr="000F21D1">
        <w:rPr>
          <w:rFonts w:ascii="Garamond" w:hAnsi="Garamond"/>
        </w:rPr>
        <w:t xml:space="preserve">contractionary, </w:t>
      </w:r>
      <w:r w:rsidR="00430CFB" w:rsidRPr="000F21D1">
        <w:rPr>
          <w:rFonts w:ascii="Garamond" w:hAnsi="Garamond"/>
        </w:rPr>
        <w:t xml:space="preserve">due to deviated </w:t>
      </w:r>
      <w:r w:rsidR="005B71D4" w:rsidRPr="000F21D1">
        <w:rPr>
          <w:rFonts w:ascii="Garamond" w:hAnsi="Garamond"/>
        </w:rPr>
        <w:t xml:space="preserve">indicator of </w:t>
      </w:r>
      <w:r w:rsidR="00A64499" w:rsidRPr="000F21D1">
        <w:rPr>
          <w:rFonts w:ascii="Garamond" w:hAnsi="Garamond"/>
        </w:rPr>
        <w:t>net lending</w:t>
      </w:r>
      <w:r w:rsidR="00430CFB" w:rsidRPr="000F21D1">
        <w:rPr>
          <w:rFonts w:ascii="Garamond" w:hAnsi="Garamond"/>
        </w:rPr>
        <w:t>,</w:t>
      </w:r>
      <w:r w:rsidR="00A64499" w:rsidRPr="000F21D1">
        <w:rPr>
          <w:rFonts w:ascii="Garamond" w:hAnsi="Garamond"/>
        </w:rPr>
        <w:t xml:space="preserve"> </w:t>
      </w:r>
      <w:r w:rsidR="00430CFB" w:rsidRPr="000F21D1">
        <w:rPr>
          <w:rFonts w:ascii="Garamond" w:hAnsi="Garamond"/>
        </w:rPr>
        <w:t xml:space="preserve">since a </w:t>
      </w:r>
      <w:r w:rsidR="00377DC5" w:rsidRPr="000F21D1">
        <w:rPr>
          <w:rFonts w:ascii="Garamond" w:hAnsi="Garamond"/>
        </w:rPr>
        <w:t xml:space="preserve">credit of AMD 16.0 billion had been provided instead of </w:t>
      </w:r>
      <w:r w:rsidR="00430CFB" w:rsidRPr="000F21D1">
        <w:rPr>
          <w:rFonts w:ascii="Garamond" w:hAnsi="Garamond"/>
        </w:rPr>
        <w:t xml:space="preserve">projected repayment of AMD </w:t>
      </w:r>
      <w:r w:rsidR="00A64499" w:rsidRPr="000F21D1">
        <w:rPr>
          <w:rFonts w:ascii="Garamond" w:hAnsi="Garamond"/>
        </w:rPr>
        <w:t>1.1 billion</w:t>
      </w:r>
      <w:r w:rsidR="00430CFB" w:rsidRPr="000F21D1">
        <w:rPr>
          <w:rFonts w:ascii="Garamond" w:hAnsi="Garamond"/>
        </w:rPr>
        <w:t>,</w:t>
      </w:r>
      <w:r w:rsidR="00A64499" w:rsidRPr="000F21D1">
        <w:rPr>
          <w:rFonts w:ascii="Garamond" w:hAnsi="Garamond"/>
        </w:rPr>
        <w:t xml:space="preserve"> and </w:t>
      </w:r>
      <w:r w:rsidR="00FA306D" w:rsidRPr="000F21D1">
        <w:rPr>
          <w:rFonts w:ascii="Garamond" w:hAnsi="Garamond"/>
        </w:rPr>
        <w:t xml:space="preserve">expenditure </w:t>
      </w:r>
      <w:r w:rsidR="00A64499" w:rsidRPr="000F21D1">
        <w:rPr>
          <w:rFonts w:ascii="Garamond" w:hAnsi="Garamond"/>
        </w:rPr>
        <w:t xml:space="preserve"> savings of about </w:t>
      </w:r>
      <w:r w:rsidR="00430CFB" w:rsidRPr="000F21D1">
        <w:rPr>
          <w:rFonts w:ascii="Garamond" w:hAnsi="Garamond"/>
        </w:rPr>
        <w:t xml:space="preserve">AMD </w:t>
      </w:r>
      <w:r w:rsidR="00A64499" w:rsidRPr="000F21D1">
        <w:rPr>
          <w:rFonts w:ascii="Garamond" w:hAnsi="Garamond"/>
        </w:rPr>
        <w:t>5.0 billion.</w:t>
      </w:r>
    </w:p>
    <w:p w14:paraId="28A6FA1F" w14:textId="77777777" w:rsidR="00251231" w:rsidRPr="000F21D1" w:rsidRDefault="00251231" w:rsidP="0006101A">
      <w:pPr>
        <w:spacing w:line="360" w:lineRule="auto"/>
        <w:jc w:val="both"/>
        <w:rPr>
          <w:rFonts w:ascii="Garamond" w:hAnsi="Garamond"/>
        </w:rPr>
      </w:pPr>
    </w:p>
    <w:p w14:paraId="28D650CE" w14:textId="77777777" w:rsidR="00251231" w:rsidRPr="000F21D1" w:rsidRDefault="006D1765" w:rsidP="0006101A">
      <w:pPr>
        <w:spacing w:line="360" w:lineRule="auto"/>
        <w:jc w:val="both"/>
        <w:rPr>
          <w:rFonts w:ascii="Garamond" w:hAnsi="Garamond"/>
        </w:rPr>
      </w:pPr>
      <w:r w:rsidRPr="000F21D1">
        <w:rPr>
          <w:rFonts w:ascii="Garamond" w:hAnsi="Garamond"/>
        </w:rPr>
        <w:t>Funds saved on government spending (both current and capital expenditures) in relation to the quarterly plans of 2016 amounted to roughly AMD</w:t>
      </w:r>
      <w:r w:rsidR="00251231" w:rsidRPr="000F21D1">
        <w:rPr>
          <w:rFonts w:ascii="Garamond" w:hAnsi="Garamond"/>
        </w:rPr>
        <w:t xml:space="preserve"> 17.0 billion</w:t>
      </w:r>
      <w:r w:rsidRPr="000F21D1">
        <w:rPr>
          <w:rFonts w:ascii="Garamond" w:hAnsi="Garamond"/>
        </w:rPr>
        <w:t>.</w:t>
      </w:r>
    </w:p>
    <w:p w14:paraId="40E6A4A2" w14:textId="77777777" w:rsidR="00251231" w:rsidRPr="000F21D1" w:rsidRDefault="00251231" w:rsidP="0006101A">
      <w:pPr>
        <w:spacing w:line="360" w:lineRule="auto"/>
        <w:jc w:val="both"/>
        <w:rPr>
          <w:rFonts w:ascii="Garamond" w:hAnsi="Garamond"/>
        </w:rPr>
      </w:pPr>
    </w:p>
    <w:p w14:paraId="6B46C4B9" w14:textId="77777777" w:rsidR="00CC6ADE" w:rsidRPr="000F21D1" w:rsidRDefault="00F90453" w:rsidP="0006101A">
      <w:pPr>
        <w:spacing w:line="360" w:lineRule="auto"/>
        <w:jc w:val="both"/>
        <w:rPr>
          <w:rFonts w:ascii="Garamond" w:hAnsi="Garamond"/>
        </w:rPr>
      </w:pPr>
      <w:r w:rsidRPr="000F21D1">
        <w:rPr>
          <w:rFonts w:ascii="Garamond" w:hAnsi="Garamond" w:cs="Sylfaen"/>
          <w:bCs/>
          <w:iCs/>
        </w:rPr>
        <w:t xml:space="preserve">In the </w:t>
      </w:r>
      <w:r w:rsidR="00C133B7" w:rsidRPr="000F21D1">
        <w:rPr>
          <w:rFonts w:ascii="Garamond" w:hAnsi="Garamond" w:cs="Sylfaen"/>
          <w:bCs/>
          <w:iCs/>
        </w:rPr>
        <w:t>second</w:t>
      </w:r>
      <w:r w:rsidRPr="000F21D1">
        <w:rPr>
          <w:rFonts w:ascii="Garamond" w:hAnsi="Garamond" w:cs="Sylfaen"/>
          <w:bCs/>
          <w:iCs/>
        </w:rPr>
        <w:t xml:space="preserve"> quarter of 2016, </w:t>
      </w:r>
      <w:r w:rsidRPr="000F21D1">
        <w:rPr>
          <w:rFonts w:ascii="Garamond" w:hAnsi="Garamond"/>
        </w:rPr>
        <w:t xml:space="preserve">relative to the same reference period last year, consolidated budget revenues and grants </w:t>
      </w:r>
      <w:r w:rsidR="00CC6ADE" w:rsidRPr="000F21D1">
        <w:rPr>
          <w:rFonts w:ascii="Garamond" w:hAnsi="Garamond"/>
        </w:rPr>
        <w:t xml:space="preserve">have </w:t>
      </w:r>
      <w:r w:rsidR="00201050" w:rsidRPr="000F21D1">
        <w:rPr>
          <w:rFonts w:ascii="Garamond" w:hAnsi="Garamond"/>
        </w:rPr>
        <w:t>gr</w:t>
      </w:r>
      <w:r w:rsidR="00CC6ADE" w:rsidRPr="000F21D1">
        <w:rPr>
          <w:rFonts w:ascii="Garamond" w:hAnsi="Garamond"/>
        </w:rPr>
        <w:t>o</w:t>
      </w:r>
      <w:r w:rsidR="00201050" w:rsidRPr="000F21D1">
        <w:rPr>
          <w:rFonts w:ascii="Garamond" w:hAnsi="Garamond"/>
        </w:rPr>
        <w:t>w</w:t>
      </w:r>
      <w:r w:rsidR="00CC6ADE" w:rsidRPr="000F21D1">
        <w:rPr>
          <w:rFonts w:ascii="Garamond" w:hAnsi="Garamond"/>
        </w:rPr>
        <w:t>n</w:t>
      </w:r>
      <w:r w:rsidR="00201050" w:rsidRPr="000F21D1">
        <w:rPr>
          <w:rFonts w:ascii="Garamond" w:hAnsi="Garamond"/>
        </w:rPr>
        <w:t xml:space="preserve"> </w:t>
      </w:r>
      <w:r w:rsidRPr="000F21D1">
        <w:rPr>
          <w:rFonts w:ascii="Garamond" w:hAnsi="Garamond"/>
        </w:rPr>
        <w:t xml:space="preserve">by </w:t>
      </w:r>
      <w:r w:rsidR="00C133B7" w:rsidRPr="000F21D1">
        <w:rPr>
          <w:rFonts w:ascii="Garamond" w:hAnsi="Garamond"/>
        </w:rPr>
        <w:t>3</w:t>
      </w:r>
      <w:r w:rsidRPr="000F21D1">
        <w:rPr>
          <w:rFonts w:ascii="Garamond" w:hAnsi="Garamond"/>
        </w:rPr>
        <w:t>.</w:t>
      </w:r>
      <w:r w:rsidR="00C133B7" w:rsidRPr="000F21D1">
        <w:rPr>
          <w:rFonts w:ascii="Garamond" w:hAnsi="Garamond"/>
        </w:rPr>
        <w:t>3</w:t>
      </w:r>
      <w:r w:rsidRPr="000F21D1">
        <w:rPr>
          <w:rFonts w:ascii="Garamond" w:hAnsi="Garamond"/>
        </w:rPr>
        <w:t>%</w:t>
      </w:r>
      <w:r w:rsidR="00201050" w:rsidRPr="000F21D1">
        <w:rPr>
          <w:rFonts w:ascii="Garamond" w:hAnsi="Garamond"/>
        </w:rPr>
        <w:t>; tax</w:t>
      </w:r>
      <w:r w:rsidR="00CC6ADE" w:rsidRPr="000F21D1">
        <w:rPr>
          <w:rFonts w:ascii="Garamond" w:hAnsi="Garamond"/>
        </w:rPr>
        <w:t xml:space="preserve"> revenues have grown by 5.0%</w:t>
      </w:r>
      <w:r w:rsidR="00201050" w:rsidRPr="000F21D1">
        <w:rPr>
          <w:rFonts w:ascii="Garamond" w:hAnsi="Garamond"/>
        </w:rPr>
        <w:t xml:space="preserve"> </w:t>
      </w:r>
      <w:r w:rsidR="00CC6ADE" w:rsidRPr="000F21D1">
        <w:rPr>
          <w:rFonts w:ascii="Garamond" w:hAnsi="Garamond"/>
        </w:rPr>
        <w:t>but</w:t>
      </w:r>
      <w:r w:rsidR="00201050" w:rsidRPr="000F21D1">
        <w:rPr>
          <w:rFonts w:ascii="Garamond" w:hAnsi="Garamond"/>
        </w:rPr>
        <w:t xml:space="preserve"> other revenues </w:t>
      </w:r>
      <w:r w:rsidR="00CC6ADE" w:rsidRPr="000F21D1">
        <w:rPr>
          <w:rFonts w:ascii="Garamond" w:hAnsi="Garamond"/>
        </w:rPr>
        <w:t xml:space="preserve">and grants reduced. The share of indirect tax in total taxes and duties has reduced by 3.4% relative to the second quarter of 2015, as a result of decreased value added tax and customs duty (because of import reduction y/y). </w:t>
      </w:r>
      <w:r w:rsidR="00C1693B" w:rsidRPr="000F21D1">
        <w:rPr>
          <w:rFonts w:ascii="Garamond" w:hAnsi="Garamond"/>
        </w:rPr>
        <w:t xml:space="preserve">The share of </w:t>
      </w:r>
      <w:r w:rsidR="0055383A" w:rsidRPr="000F21D1">
        <w:rPr>
          <w:rFonts w:ascii="Garamond" w:hAnsi="Garamond"/>
        </w:rPr>
        <w:t xml:space="preserve">direct tax has </w:t>
      </w:r>
      <w:r w:rsidR="00251551" w:rsidRPr="000F21D1">
        <w:rPr>
          <w:rFonts w:ascii="Garamond" w:hAnsi="Garamond"/>
        </w:rPr>
        <w:t xml:space="preserve">grown in the same period of time </w:t>
      </w:r>
      <w:r w:rsidR="0055383A" w:rsidRPr="000F21D1">
        <w:rPr>
          <w:rFonts w:ascii="Garamond" w:hAnsi="Garamond"/>
        </w:rPr>
        <w:t>by 11.6%</w:t>
      </w:r>
      <w:r w:rsidR="00C1693B" w:rsidRPr="000F21D1">
        <w:rPr>
          <w:rFonts w:ascii="Garamond" w:hAnsi="Garamond"/>
        </w:rPr>
        <w:t>, with all direct taxes having posted increases.</w:t>
      </w:r>
    </w:p>
    <w:p w14:paraId="14F5E04D" w14:textId="77777777" w:rsidR="00CC6ADE" w:rsidRPr="000F21D1" w:rsidRDefault="00CC6ADE" w:rsidP="0006101A">
      <w:pPr>
        <w:spacing w:line="360" w:lineRule="auto"/>
        <w:jc w:val="both"/>
        <w:rPr>
          <w:rFonts w:ascii="Garamond" w:hAnsi="Garamond"/>
        </w:rPr>
      </w:pPr>
    </w:p>
    <w:p w14:paraId="37AA9D73" w14:textId="77777777" w:rsidR="00DC347D" w:rsidRPr="000F21D1" w:rsidRDefault="00DC347D" w:rsidP="0006101A">
      <w:pPr>
        <w:spacing w:line="360" w:lineRule="auto"/>
        <w:jc w:val="both"/>
        <w:rPr>
          <w:rFonts w:ascii="Garamond" w:hAnsi="Garamond"/>
        </w:rPr>
      </w:pPr>
      <w:r w:rsidRPr="000F21D1">
        <w:rPr>
          <w:rFonts w:ascii="Garamond" w:hAnsi="Garamond"/>
        </w:rPr>
        <w:t xml:space="preserve">In the </w:t>
      </w:r>
      <w:r w:rsidR="00577965" w:rsidRPr="000F21D1">
        <w:rPr>
          <w:rFonts w:ascii="Garamond" w:hAnsi="Garamond"/>
        </w:rPr>
        <w:t>second</w:t>
      </w:r>
      <w:r w:rsidRPr="000F21D1">
        <w:rPr>
          <w:rFonts w:ascii="Garamond" w:hAnsi="Garamond"/>
        </w:rPr>
        <w:t xml:space="preserve"> quarter of 2016 actual </w:t>
      </w:r>
      <w:r w:rsidR="003B3280" w:rsidRPr="000F21D1">
        <w:rPr>
          <w:rFonts w:ascii="Garamond" w:hAnsi="Garamond"/>
        </w:rPr>
        <w:t>expenditures</w:t>
      </w:r>
      <w:r w:rsidRPr="000F21D1">
        <w:rPr>
          <w:rFonts w:ascii="Garamond" w:hAnsi="Garamond"/>
        </w:rPr>
        <w:t xml:space="preserve"> amounted to </w:t>
      </w:r>
      <w:r w:rsidR="00577965" w:rsidRPr="000F21D1">
        <w:rPr>
          <w:rFonts w:ascii="Garamond" w:hAnsi="Garamond"/>
        </w:rPr>
        <w:t>95</w:t>
      </w:r>
      <w:r w:rsidRPr="000F21D1">
        <w:rPr>
          <w:rFonts w:ascii="Garamond" w:hAnsi="Garamond"/>
        </w:rPr>
        <w:t>.</w:t>
      </w:r>
      <w:r w:rsidR="00577965" w:rsidRPr="000F21D1">
        <w:rPr>
          <w:rFonts w:ascii="Garamond" w:hAnsi="Garamond"/>
        </w:rPr>
        <w:t>2</w:t>
      </w:r>
      <w:r w:rsidRPr="000F21D1">
        <w:rPr>
          <w:rFonts w:ascii="Garamond" w:hAnsi="Garamond"/>
        </w:rPr>
        <w:t>% of the plan</w:t>
      </w:r>
      <w:r w:rsidR="00577965" w:rsidRPr="000F21D1">
        <w:rPr>
          <w:rStyle w:val="FootnoteReference"/>
          <w:rFonts w:ascii="Garamond" w:hAnsi="Garamond"/>
        </w:rPr>
        <w:footnoteReference w:customMarkFollows="1" w:id="25"/>
        <w:t>26</w:t>
      </w:r>
      <w:r w:rsidR="00493463" w:rsidRPr="000F21D1">
        <w:rPr>
          <w:rFonts w:ascii="Garamond" w:hAnsi="Garamond"/>
        </w:rPr>
        <w:t xml:space="preserve"> adjusted for the quarter. There were some savings on expenditures as the latter constituted 98.5% of the </w:t>
      </w:r>
      <w:r w:rsidRPr="000F21D1">
        <w:rPr>
          <w:rFonts w:ascii="Garamond" w:hAnsi="Garamond"/>
        </w:rPr>
        <w:t>CBA</w:t>
      </w:r>
      <w:r w:rsidR="00FB246E" w:rsidRPr="000F21D1">
        <w:rPr>
          <w:rFonts w:ascii="Garamond" w:hAnsi="Garamond"/>
          <w:lang w:val="hy-AM"/>
        </w:rPr>
        <w:t xml:space="preserve"> </w:t>
      </w:r>
      <w:r w:rsidR="00FA306D" w:rsidRPr="000F21D1">
        <w:rPr>
          <w:rFonts w:ascii="Garamond" w:hAnsi="Garamond"/>
        </w:rPr>
        <w:t xml:space="preserve">expenditure </w:t>
      </w:r>
      <w:r w:rsidRPr="000F21D1">
        <w:rPr>
          <w:rFonts w:ascii="Garamond" w:hAnsi="Garamond"/>
        </w:rPr>
        <w:t>projection</w:t>
      </w:r>
      <w:r w:rsidR="00493463" w:rsidRPr="000F21D1">
        <w:rPr>
          <w:rFonts w:ascii="Garamond" w:hAnsi="Garamond"/>
        </w:rPr>
        <w:t xml:space="preserve">. </w:t>
      </w:r>
      <w:r w:rsidRPr="000F21D1">
        <w:rPr>
          <w:rFonts w:ascii="Garamond" w:hAnsi="Garamond"/>
        </w:rPr>
        <w:t xml:space="preserve">Compared to the same period last year, </w:t>
      </w:r>
      <w:r w:rsidR="00100842" w:rsidRPr="000F21D1">
        <w:rPr>
          <w:rFonts w:ascii="Garamond" w:hAnsi="Garamond"/>
        </w:rPr>
        <w:t xml:space="preserve">there </w:t>
      </w:r>
      <w:r w:rsidR="00493463" w:rsidRPr="000F21D1">
        <w:rPr>
          <w:rFonts w:ascii="Garamond" w:hAnsi="Garamond"/>
        </w:rPr>
        <w:t xml:space="preserve">has been </w:t>
      </w:r>
      <w:r w:rsidRPr="000F21D1">
        <w:rPr>
          <w:rFonts w:ascii="Garamond" w:hAnsi="Garamond"/>
        </w:rPr>
        <w:t>a</w:t>
      </w:r>
      <w:r w:rsidR="00493463" w:rsidRPr="000F21D1">
        <w:rPr>
          <w:rFonts w:ascii="Garamond" w:hAnsi="Garamond"/>
        </w:rPr>
        <w:t>bout</w:t>
      </w:r>
      <w:r w:rsidRPr="000F21D1">
        <w:rPr>
          <w:rFonts w:ascii="Garamond" w:hAnsi="Garamond"/>
        </w:rPr>
        <w:t xml:space="preserve"> </w:t>
      </w:r>
      <w:r w:rsidR="00493463" w:rsidRPr="000F21D1">
        <w:rPr>
          <w:rFonts w:ascii="Garamond" w:hAnsi="Garamond"/>
        </w:rPr>
        <w:t>7</w:t>
      </w:r>
      <w:r w:rsidRPr="000F21D1">
        <w:rPr>
          <w:rFonts w:ascii="Garamond" w:hAnsi="Garamond"/>
        </w:rPr>
        <w:t xml:space="preserve">% increase in consolidated budget expenditures, </w:t>
      </w:r>
      <w:r w:rsidR="00493463" w:rsidRPr="000F21D1">
        <w:rPr>
          <w:rFonts w:ascii="Garamond" w:hAnsi="Garamond"/>
        </w:rPr>
        <w:t xml:space="preserve">owing to both </w:t>
      </w:r>
      <w:r w:rsidRPr="000F21D1">
        <w:rPr>
          <w:rFonts w:ascii="Garamond" w:hAnsi="Garamond"/>
        </w:rPr>
        <w:t xml:space="preserve">current </w:t>
      </w:r>
      <w:r w:rsidR="00493463" w:rsidRPr="000F21D1">
        <w:rPr>
          <w:rFonts w:ascii="Garamond" w:hAnsi="Garamond"/>
        </w:rPr>
        <w:t xml:space="preserve">and capital </w:t>
      </w:r>
      <w:r w:rsidR="00EF3CB3" w:rsidRPr="000F21D1">
        <w:rPr>
          <w:rFonts w:ascii="Garamond" w:hAnsi="Garamond"/>
        </w:rPr>
        <w:t>expenditures</w:t>
      </w:r>
      <w:r w:rsidRPr="000F21D1">
        <w:rPr>
          <w:rFonts w:ascii="Garamond" w:hAnsi="Garamond"/>
        </w:rPr>
        <w:t xml:space="preserve">. </w:t>
      </w:r>
      <w:r w:rsidR="00100842" w:rsidRPr="000F21D1">
        <w:rPr>
          <w:rFonts w:ascii="Garamond" w:hAnsi="Garamond"/>
        </w:rPr>
        <w:t xml:space="preserve">Relative to the same period </w:t>
      </w:r>
      <w:r w:rsidR="006B2799" w:rsidRPr="000F21D1">
        <w:rPr>
          <w:rFonts w:ascii="Garamond" w:hAnsi="Garamond"/>
        </w:rPr>
        <w:t>of the previous year</w:t>
      </w:r>
      <w:r w:rsidR="00100842" w:rsidRPr="000F21D1">
        <w:rPr>
          <w:rFonts w:ascii="Garamond" w:hAnsi="Garamond"/>
        </w:rPr>
        <w:t>,</w:t>
      </w:r>
      <w:r w:rsidR="006B2799" w:rsidRPr="000F21D1">
        <w:rPr>
          <w:rFonts w:ascii="Garamond" w:hAnsi="Garamond"/>
        </w:rPr>
        <w:t xml:space="preserve"> the share of</w:t>
      </w:r>
      <w:r w:rsidR="00100842" w:rsidRPr="000F21D1">
        <w:rPr>
          <w:rFonts w:ascii="Garamond" w:hAnsi="Garamond"/>
        </w:rPr>
        <w:t xml:space="preserve"> </w:t>
      </w:r>
      <w:r w:rsidR="00100842" w:rsidRPr="000F21D1">
        <w:rPr>
          <w:rFonts w:ascii="Garamond" w:hAnsi="Garamond"/>
          <w:b/>
        </w:rPr>
        <w:t>p</w:t>
      </w:r>
      <w:r w:rsidRPr="000F21D1">
        <w:rPr>
          <w:rFonts w:ascii="Garamond" w:hAnsi="Garamond"/>
          <w:b/>
        </w:rPr>
        <w:t>ublic consumption</w:t>
      </w:r>
      <w:r w:rsidRPr="000F21D1">
        <w:rPr>
          <w:rFonts w:ascii="Garamond" w:hAnsi="Garamond"/>
        </w:rPr>
        <w:t xml:space="preserve"> </w:t>
      </w:r>
      <w:r w:rsidR="006B2799" w:rsidRPr="000F21D1">
        <w:rPr>
          <w:rFonts w:ascii="Garamond" w:hAnsi="Garamond"/>
        </w:rPr>
        <w:t xml:space="preserve">in current expenditures </w:t>
      </w:r>
      <w:r w:rsidR="00100842" w:rsidRPr="000F21D1">
        <w:rPr>
          <w:rFonts w:ascii="Garamond" w:hAnsi="Garamond"/>
        </w:rPr>
        <w:t>has</w:t>
      </w:r>
      <w:r w:rsidRPr="000F21D1">
        <w:rPr>
          <w:rFonts w:ascii="Garamond" w:hAnsi="Garamond"/>
        </w:rPr>
        <w:t xml:space="preserve"> decreased by </w:t>
      </w:r>
      <w:r w:rsidR="006B2799" w:rsidRPr="000F21D1">
        <w:rPr>
          <w:rFonts w:ascii="Garamond" w:hAnsi="Garamond"/>
        </w:rPr>
        <w:t>12</w:t>
      </w:r>
      <w:r w:rsidRPr="000F21D1">
        <w:rPr>
          <w:rFonts w:ascii="Garamond" w:hAnsi="Garamond"/>
        </w:rPr>
        <w:t>.</w:t>
      </w:r>
      <w:r w:rsidR="006B2799" w:rsidRPr="000F21D1">
        <w:rPr>
          <w:rFonts w:ascii="Garamond" w:hAnsi="Garamond"/>
        </w:rPr>
        <w:t>3</w:t>
      </w:r>
      <w:r w:rsidRPr="000F21D1">
        <w:rPr>
          <w:rFonts w:ascii="Garamond" w:hAnsi="Garamond"/>
        </w:rPr>
        <w:t>%</w:t>
      </w:r>
      <w:r w:rsidR="00147E8E" w:rsidRPr="000F21D1">
        <w:rPr>
          <w:rFonts w:ascii="Garamond" w:hAnsi="Garamond"/>
        </w:rPr>
        <w:t xml:space="preserve"> </w:t>
      </w:r>
      <w:r w:rsidR="00703248" w:rsidRPr="000F21D1">
        <w:rPr>
          <w:rFonts w:ascii="Garamond" w:hAnsi="Garamond"/>
        </w:rPr>
        <w:t xml:space="preserve">owing </w:t>
      </w:r>
      <w:r w:rsidR="00147E8E" w:rsidRPr="000F21D1">
        <w:rPr>
          <w:rFonts w:ascii="Garamond" w:hAnsi="Garamond"/>
        </w:rPr>
        <w:t xml:space="preserve">to a change in the method </w:t>
      </w:r>
      <w:r w:rsidR="00703248" w:rsidRPr="000F21D1">
        <w:rPr>
          <w:rFonts w:ascii="Garamond" w:hAnsi="Garamond"/>
        </w:rPr>
        <w:t xml:space="preserve">by which </w:t>
      </w:r>
      <w:r w:rsidR="00A77641" w:rsidRPr="000F21D1">
        <w:rPr>
          <w:rFonts w:ascii="Garamond" w:hAnsi="Garamond"/>
        </w:rPr>
        <w:t>preschool and general education establishments</w:t>
      </w:r>
      <w:r w:rsidR="00703248" w:rsidRPr="000F21D1">
        <w:rPr>
          <w:rFonts w:ascii="Garamond" w:hAnsi="Garamond"/>
        </w:rPr>
        <w:t xml:space="preserve"> are financed</w:t>
      </w:r>
      <w:r w:rsidRPr="000F21D1">
        <w:rPr>
          <w:rFonts w:ascii="Garamond" w:hAnsi="Garamond"/>
        </w:rPr>
        <w:t xml:space="preserve"> </w:t>
      </w:r>
      <w:r w:rsidR="00147E8E" w:rsidRPr="000F21D1">
        <w:rPr>
          <w:rFonts w:ascii="Garamond" w:hAnsi="Garamond"/>
        </w:rPr>
        <w:t>(l</w:t>
      </w:r>
      <w:r w:rsidR="006B2799" w:rsidRPr="000F21D1">
        <w:rPr>
          <w:rFonts w:ascii="Garamond" w:hAnsi="Garamond"/>
        </w:rPr>
        <w:t>ast year it was viewed as procurement of contractual services and, starting from 2016, as providing subsidies to these organizations</w:t>
      </w:r>
      <w:r w:rsidR="00147E8E" w:rsidRPr="000F21D1">
        <w:rPr>
          <w:rFonts w:ascii="Garamond" w:hAnsi="Garamond"/>
        </w:rPr>
        <w:t>)</w:t>
      </w:r>
      <w:r w:rsidR="006B2799" w:rsidRPr="000F21D1">
        <w:rPr>
          <w:rFonts w:ascii="Garamond" w:hAnsi="Garamond"/>
        </w:rPr>
        <w:t>.</w:t>
      </w:r>
      <w:r w:rsidR="00147E8E" w:rsidRPr="000F21D1">
        <w:rPr>
          <w:rFonts w:ascii="Garamond" w:hAnsi="Garamond"/>
        </w:rPr>
        <w:t xml:space="preserve"> </w:t>
      </w:r>
      <w:r w:rsidR="002F7498" w:rsidRPr="000F21D1">
        <w:rPr>
          <w:rFonts w:ascii="Garamond" w:hAnsi="Garamond"/>
        </w:rPr>
        <w:t xml:space="preserve">The public debt interest payments outgrew </w:t>
      </w:r>
      <w:r w:rsidR="0025631D" w:rsidRPr="000F21D1">
        <w:rPr>
          <w:rFonts w:ascii="Garamond" w:hAnsi="Garamond"/>
        </w:rPr>
        <w:t xml:space="preserve">the previous year’s relevant indicator by </w:t>
      </w:r>
      <w:r w:rsidR="00703248" w:rsidRPr="000F21D1">
        <w:rPr>
          <w:rFonts w:ascii="Garamond" w:hAnsi="Garamond"/>
        </w:rPr>
        <w:t>24</w:t>
      </w:r>
      <w:r w:rsidRPr="000F21D1">
        <w:rPr>
          <w:rFonts w:ascii="Garamond" w:hAnsi="Garamond"/>
        </w:rPr>
        <w:t>.</w:t>
      </w:r>
      <w:r w:rsidR="00703248" w:rsidRPr="000F21D1">
        <w:rPr>
          <w:rFonts w:ascii="Garamond" w:hAnsi="Garamond"/>
        </w:rPr>
        <w:t>8</w:t>
      </w:r>
      <w:r w:rsidRPr="000F21D1">
        <w:rPr>
          <w:rFonts w:ascii="Garamond" w:hAnsi="Garamond"/>
        </w:rPr>
        <w:t>%</w:t>
      </w:r>
      <w:r w:rsidR="0025631D" w:rsidRPr="000F21D1">
        <w:rPr>
          <w:rFonts w:ascii="Garamond" w:hAnsi="Garamond"/>
        </w:rPr>
        <w:t xml:space="preserve">, primarily due to </w:t>
      </w:r>
      <w:r w:rsidRPr="000F21D1">
        <w:rPr>
          <w:rFonts w:ascii="Garamond" w:hAnsi="Garamond"/>
        </w:rPr>
        <w:t>increase</w:t>
      </w:r>
      <w:r w:rsidR="0025631D" w:rsidRPr="000F21D1">
        <w:rPr>
          <w:rFonts w:ascii="Garamond" w:hAnsi="Garamond"/>
        </w:rPr>
        <w:t>d</w:t>
      </w:r>
      <w:r w:rsidR="00FB246E" w:rsidRPr="000F21D1">
        <w:rPr>
          <w:rFonts w:ascii="Garamond" w:hAnsi="Garamond"/>
          <w:lang w:val="hy-AM"/>
        </w:rPr>
        <w:t xml:space="preserve"> </w:t>
      </w:r>
      <w:r w:rsidR="0025631D" w:rsidRPr="000F21D1">
        <w:rPr>
          <w:rFonts w:ascii="Garamond" w:hAnsi="Garamond"/>
        </w:rPr>
        <w:t xml:space="preserve">amount </w:t>
      </w:r>
      <w:r w:rsidRPr="000F21D1">
        <w:rPr>
          <w:rFonts w:ascii="Garamond" w:hAnsi="Garamond"/>
        </w:rPr>
        <w:t>of servicing costs.</w:t>
      </w:r>
    </w:p>
    <w:p w14:paraId="27671673" w14:textId="77777777" w:rsidR="00BA0C37" w:rsidRPr="000F21D1" w:rsidRDefault="00BA0C37" w:rsidP="0006101A">
      <w:pPr>
        <w:spacing w:line="360" w:lineRule="auto"/>
        <w:jc w:val="both"/>
        <w:rPr>
          <w:rFonts w:ascii="Garamond" w:hAnsi="Garamond"/>
        </w:rPr>
      </w:pPr>
    </w:p>
    <w:p w14:paraId="38D5132B" w14:textId="77777777" w:rsidR="00BA0C37" w:rsidRPr="000F21D1" w:rsidRDefault="00BA0C37" w:rsidP="0006101A">
      <w:pPr>
        <w:spacing w:line="360" w:lineRule="auto"/>
        <w:jc w:val="both"/>
        <w:rPr>
          <w:rFonts w:ascii="Garamond" w:hAnsi="Garamond"/>
        </w:rPr>
      </w:pPr>
      <w:r w:rsidRPr="000F21D1">
        <w:rPr>
          <w:rFonts w:ascii="Garamond" w:hAnsi="Garamond"/>
        </w:rPr>
        <w:t>Government subsidies exceeded the previous year’s relevant indicator 2.</w:t>
      </w:r>
      <w:r w:rsidR="00804A54" w:rsidRPr="000F21D1">
        <w:rPr>
          <w:rFonts w:ascii="Garamond" w:hAnsi="Garamond"/>
        </w:rPr>
        <w:t>3</w:t>
      </w:r>
      <w:r w:rsidRPr="000F21D1">
        <w:rPr>
          <w:rFonts w:ascii="Garamond" w:hAnsi="Garamond"/>
        </w:rPr>
        <w:t xml:space="preserve">-fold (AMD </w:t>
      </w:r>
      <w:r w:rsidR="00804A54" w:rsidRPr="000F21D1">
        <w:rPr>
          <w:rFonts w:ascii="Garamond" w:hAnsi="Garamond"/>
        </w:rPr>
        <w:t>20</w:t>
      </w:r>
      <w:r w:rsidRPr="000F21D1">
        <w:rPr>
          <w:rFonts w:ascii="Garamond" w:hAnsi="Garamond"/>
        </w:rPr>
        <w:t>.</w:t>
      </w:r>
      <w:r w:rsidR="00804A54" w:rsidRPr="000F21D1">
        <w:rPr>
          <w:rFonts w:ascii="Garamond" w:hAnsi="Garamond"/>
        </w:rPr>
        <w:t>2</w:t>
      </w:r>
      <w:r w:rsidRPr="000F21D1">
        <w:rPr>
          <w:rFonts w:ascii="Garamond" w:hAnsi="Garamond"/>
        </w:rPr>
        <w:t xml:space="preserve"> billion), mostly owing to the changed principle of education financing, as well as increased subsidies to organizations in agricultural and water</w:t>
      </w:r>
      <w:r w:rsidR="00366569" w:rsidRPr="000F21D1">
        <w:rPr>
          <w:rFonts w:ascii="Garamond" w:hAnsi="Garamond"/>
        </w:rPr>
        <w:t xml:space="preserve"> supply</w:t>
      </w:r>
      <w:r w:rsidRPr="000F21D1">
        <w:rPr>
          <w:rFonts w:ascii="Garamond" w:hAnsi="Garamond"/>
        </w:rPr>
        <w:t xml:space="preserve"> sectors.</w:t>
      </w:r>
    </w:p>
    <w:p w14:paraId="614D26D8" w14:textId="77777777" w:rsidR="003831CF" w:rsidRPr="000F21D1" w:rsidRDefault="003831CF" w:rsidP="0006101A">
      <w:pPr>
        <w:spacing w:line="360" w:lineRule="auto"/>
        <w:jc w:val="both"/>
        <w:rPr>
          <w:rFonts w:ascii="Garamond" w:hAnsi="Garamond"/>
        </w:rPr>
      </w:pPr>
    </w:p>
    <w:p w14:paraId="67D81E95" w14:textId="77777777" w:rsidR="003831CF" w:rsidRPr="000F21D1" w:rsidRDefault="00804A54" w:rsidP="0006101A">
      <w:pPr>
        <w:spacing w:line="360" w:lineRule="auto"/>
        <w:jc w:val="both"/>
        <w:rPr>
          <w:rFonts w:ascii="Garamond" w:hAnsi="Garamond"/>
        </w:rPr>
      </w:pPr>
      <w:r w:rsidRPr="000F21D1">
        <w:rPr>
          <w:rFonts w:ascii="Garamond" w:hAnsi="Garamond" w:cs="Sylfaen"/>
          <w:bCs/>
          <w:iCs/>
          <w:color w:val="000000"/>
        </w:rPr>
        <w:t>The e</w:t>
      </w:r>
      <w:r w:rsidR="003831CF" w:rsidRPr="000F21D1">
        <w:rPr>
          <w:rFonts w:ascii="Garamond" w:hAnsi="Garamond" w:cs="Sylfaen"/>
          <w:bCs/>
          <w:iCs/>
        </w:rPr>
        <w:t>xpenditures on</w:t>
      </w:r>
      <w:r w:rsidR="003831CF" w:rsidRPr="000F21D1">
        <w:rPr>
          <w:rFonts w:ascii="Garamond" w:hAnsi="Garamond"/>
        </w:rPr>
        <w:t xml:space="preserve"> item </w:t>
      </w:r>
      <w:r w:rsidR="003831CF" w:rsidRPr="000F21D1">
        <w:rPr>
          <w:rFonts w:ascii="Garamond" w:hAnsi="Garamond"/>
          <w:b/>
        </w:rPr>
        <w:t>“Transactions with non-financial assets”</w:t>
      </w:r>
      <w:r w:rsidR="00FB246E" w:rsidRPr="000F21D1">
        <w:rPr>
          <w:rFonts w:ascii="Garamond" w:hAnsi="Garamond"/>
          <w:b/>
          <w:lang w:val="hy-AM"/>
        </w:rPr>
        <w:t xml:space="preserve"> </w:t>
      </w:r>
      <w:r w:rsidRPr="000F21D1">
        <w:rPr>
          <w:rFonts w:ascii="Garamond" w:hAnsi="Garamond"/>
        </w:rPr>
        <w:t>have increased by about 28%</w:t>
      </w:r>
      <w:r w:rsidR="00537305" w:rsidRPr="000F21D1">
        <w:rPr>
          <w:rFonts w:ascii="Garamond" w:hAnsi="Garamond"/>
        </w:rPr>
        <w:t xml:space="preserve"> relative to the same reference period last year. </w:t>
      </w:r>
    </w:p>
    <w:p w14:paraId="691A2C78" w14:textId="77777777" w:rsidR="00F244DB" w:rsidRPr="000F21D1" w:rsidRDefault="00F244DB" w:rsidP="0006101A">
      <w:pPr>
        <w:spacing w:line="360" w:lineRule="auto"/>
        <w:jc w:val="both"/>
        <w:rPr>
          <w:rFonts w:ascii="Garamond" w:hAnsi="Garamond"/>
        </w:rPr>
      </w:pPr>
    </w:p>
    <w:p w14:paraId="2C28D87A" w14:textId="77777777" w:rsidR="00F856C1" w:rsidRPr="000F21D1" w:rsidRDefault="00A47F2B" w:rsidP="0006101A">
      <w:pPr>
        <w:spacing w:line="360" w:lineRule="auto"/>
        <w:jc w:val="both"/>
        <w:rPr>
          <w:rFonts w:ascii="Garamond" w:hAnsi="Garamond" w:cs="Sylfaen"/>
          <w:bCs/>
          <w:iCs/>
          <w:color w:val="000000"/>
        </w:rPr>
      </w:pPr>
      <w:r w:rsidRPr="000F21D1">
        <w:rPr>
          <w:rFonts w:ascii="Garamond" w:hAnsi="Garamond" w:cs="Sylfaen"/>
          <w:bCs/>
          <w:iCs/>
          <w:color w:val="000000"/>
        </w:rPr>
        <w:t xml:space="preserve">With </w:t>
      </w:r>
      <w:r w:rsidR="00F244DB" w:rsidRPr="000F21D1">
        <w:rPr>
          <w:rFonts w:ascii="Garamond" w:hAnsi="Garamond" w:cs="Sylfaen"/>
          <w:bCs/>
          <w:iCs/>
          <w:color w:val="000000"/>
        </w:rPr>
        <w:t xml:space="preserve">revenue and expenditure </w:t>
      </w:r>
      <w:r w:rsidRPr="000F21D1">
        <w:rPr>
          <w:rFonts w:ascii="Garamond" w:hAnsi="Garamond" w:cs="Sylfaen"/>
          <w:bCs/>
          <w:iCs/>
          <w:color w:val="000000"/>
        </w:rPr>
        <w:t>performance described above,</w:t>
      </w:r>
      <w:r w:rsidR="00F244DB" w:rsidRPr="000F21D1">
        <w:rPr>
          <w:rFonts w:ascii="Garamond" w:hAnsi="Garamond" w:cs="Sylfaen"/>
          <w:bCs/>
          <w:iCs/>
          <w:color w:val="000000"/>
        </w:rPr>
        <w:t xml:space="preserve"> </w:t>
      </w:r>
      <w:r w:rsidRPr="000F21D1">
        <w:rPr>
          <w:rFonts w:ascii="Garamond" w:hAnsi="Garamond" w:cs="Sylfaen"/>
          <w:bCs/>
          <w:iCs/>
          <w:color w:val="000000"/>
        </w:rPr>
        <w:t xml:space="preserve">in the second quarter of 2016 </w:t>
      </w:r>
      <w:r w:rsidR="00F244DB" w:rsidRPr="000F21D1">
        <w:rPr>
          <w:rFonts w:ascii="Garamond" w:hAnsi="Garamond" w:cs="Sylfaen"/>
          <w:bCs/>
          <w:iCs/>
          <w:color w:val="000000"/>
        </w:rPr>
        <w:t xml:space="preserve">the state budget generated </w:t>
      </w:r>
      <w:r w:rsidRPr="000F21D1">
        <w:rPr>
          <w:rFonts w:ascii="Garamond" w:hAnsi="Garamond" w:cs="Sylfaen"/>
          <w:bCs/>
          <w:iCs/>
          <w:color w:val="000000"/>
        </w:rPr>
        <w:t xml:space="preserve">a </w:t>
      </w:r>
      <w:r w:rsidR="00F244DB" w:rsidRPr="000F21D1">
        <w:rPr>
          <w:rFonts w:ascii="Garamond" w:hAnsi="Garamond" w:cs="Sylfaen"/>
          <w:bCs/>
          <w:iCs/>
          <w:color w:val="000000"/>
        </w:rPr>
        <w:t xml:space="preserve">deficit of roughly AMD </w:t>
      </w:r>
      <w:r w:rsidRPr="000F21D1">
        <w:rPr>
          <w:rFonts w:ascii="Garamond" w:hAnsi="Garamond" w:cs="Sylfaen"/>
          <w:bCs/>
          <w:iCs/>
          <w:color w:val="000000"/>
        </w:rPr>
        <w:t>49</w:t>
      </w:r>
      <w:r w:rsidR="00F244DB" w:rsidRPr="000F21D1">
        <w:rPr>
          <w:rFonts w:ascii="Garamond" w:hAnsi="Garamond" w:cs="Sylfaen"/>
          <w:bCs/>
          <w:iCs/>
          <w:color w:val="000000"/>
        </w:rPr>
        <w:t>.</w:t>
      </w:r>
      <w:r w:rsidRPr="000F21D1">
        <w:rPr>
          <w:rFonts w:ascii="Garamond" w:hAnsi="Garamond" w:cs="Sylfaen"/>
          <w:bCs/>
          <w:iCs/>
          <w:color w:val="000000"/>
        </w:rPr>
        <w:t>5</w:t>
      </w:r>
      <w:r w:rsidR="00F244DB" w:rsidRPr="000F21D1">
        <w:rPr>
          <w:rFonts w:ascii="Garamond" w:hAnsi="Garamond" w:cs="Sylfaen"/>
          <w:bCs/>
          <w:iCs/>
          <w:color w:val="000000"/>
        </w:rPr>
        <w:t xml:space="preserve"> billion</w:t>
      </w:r>
      <w:r w:rsidR="00FB246E" w:rsidRPr="000F21D1">
        <w:rPr>
          <w:rFonts w:ascii="Garamond" w:hAnsi="Garamond" w:cs="Sylfaen"/>
          <w:bCs/>
          <w:iCs/>
          <w:color w:val="000000"/>
          <w:lang w:val="hy-AM"/>
        </w:rPr>
        <w:t xml:space="preserve"> </w:t>
      </w:r>
      <w:r w:rsidR="00F856C1" w:rsidRPr="000F21D1">
        <w:rPr>
          <w:rFonts w:ascii="Garamond" w:hAnsi="Garamond" w:cs="Sylfaen"/>
          <w:bCs/>
          <w:iCs/>
          <w:color w:val="000000"/>
        </w:rPr>
        <w:t xml:space="preserve">as compared to </w:t>
      </w:r>
      <w:r w:rsidR="00F244DB" w:rsidRPr="000F21D1">
        <w:rPr>
          <w:rFonts w:ascii="Garamond" w:hAnsi="Garamond" w:cs="Sylfaen"/>
          <w:bCs/>
          <w:iCs/>
          <w:color w:val="000000"/>
        </w:rPr>
        <w:t xml:space="preserve">the CBA projection of AMD </w:t>
      </w:r>
      <w:r w:rsidRPr="000F21D1">
        <w:rPr>
          <w:rFonts w:ascii="Garamond" w:hAnsi="Garamond" w:cs="Sylfaen"/>
          <w:bCs/>
          <w:iCs/>
          <w:color w:val="000000"/>
        </w:rPr>
        <w:t>39</w:t>
      </w:r>
      <w:r w:rsidR="00F244DB" w:rsidRPr="000F21D1">
        <w:rPr>
          <w:rFonts w:ascii="Garamond" w:hAnsi="Garamond" w:cs="Sylfaen"/>
          <w:bCs/>
          <w:iCs/>
          <w:color w:val="000000"/>
        </w:rPr>
        <w:t>.</w:t>
      </w:r>
      <w:r w:rsidRPr="000F21D1">
        <w:rPr>
          <w:rFonts w:ascii="Garamond" w:hAnsi="Garamond" w:cs="Sylfaen"/>
          <w:bCs/>
          <w:iCs/>
          <w:color w:val="000000"/>
        </w:rPr>
        <w:t>0</w:t>
      </w:r>
      <w:r w:rsidR="00F244DB" w:rsidRPr="000F21D1">
        <w:rPr>
          <w:rFonts w:ascii="Garamond" w:hAnsi="Garamond" w:cs="Sylfaen"/>
          <w:bCs/>
          <w:iCs/>
          <w:color w:val="000000"/>
        </w:rPr>
        <w:t xml:space="preserve"> billion (</w:t>
      </w:r>
      <w:r w:rsidRPr="000F21D1">
        <w:rPr>
          <w:rFonts w:ascii="Garamond" w:hAnsi="Garamond" w:cs="Sylfaen"/>
          <w:bCs/>
          <w:iCs/>
          <w:color w:val="000000"/>
        </w:rPr>
        <w:t xml:space="preserve">the </w:t>
      </w:r>
      <w:r w:rsidR="00F856C1" w:rsidRPr="000F21D1">
        <w:rPr>
          <w:rFonts w:ascii="Garamond" w:hAnsi="Garamond" w:cs="Sylfaen"/>
          <w:bCs/>
          <w:iCs/>
          <w:color w:val="000000"/>
        </w:rPr>
        <w:t>planned deficit adjusted for the quarter: AMD</w:t>
      </w:r>
      <w:r w:rsidR="00F244DB" w:rsidRPr="000F21D1">
        <w:rPr>
          <w:rFonts w:ascii="Garamond" w:hAnsi="Garamond" w:cs="Sylfaen"/>
          <w:bCs/>
          <w:iCs/>
          <w:color w:val="000000"/>
        </w:rPr>
        <w:t xml:space="preserve"> </w:t>
      </w:r>
      <w:r w:rsidRPr="000F21D1">
        <w:rPr>
          <w:rFonts w:ascii="Garamond" w:hAnsi="Garamond" w:cs="Sylfaen"/>
          <w:bCs/>
          <w:iCs/>
          <w:color w:val="000000"/>
        </w:rPr>
        <w:t>41</w:t>
      </w:r>
      <w:r w:rsidR="00F244DB" w:rsidRPr="000F21D1">
        <w:rPr>
          <w:rFonts w:ascii="Garamond" w:hAnsi="Garamond" w:cs="Sylfaen"/>
          <w:bCs/>
          <w:iCs/>
          <w:color w:val="000000"/>
        </w:rPr>
        <w:t>.</w:t>
      </w:r>
      <w:r w:rsidRPr="000F21D1">
        <w:rPr>
          <w:rFonts w:ascii="Garamond" w:hAnsi="Garamond" w:cs="Sylfaen"/>
          <w:bCs/>
          <w:iCs/>
          <w:color w:val="000000"/>
        </w:rPr>
        <w:t>6</w:t>
      </w:r>
      <w:r w:rsidR="00F244DB" w:rsidRPr="000F21D1">
        <w:rPr>
          <w:rFonts w:ascii="Garamond" w:hAnsi="Garamond" w:cs="Sylfaen"/>
          <w:bCs/>
          <w:iCs/>
          <w:color w:val="000000"/>
        </w:rPr>
        <w:t xml:space="preserve"> billion)</w:t>
      </w:r>
      <w:r w:rsidR="00F856C1" w:rsidRPr="000F21D1">
        <w:rPr>
          <w:rFonts w:ascii="Garamond" w:hAnsi="Garamond" w:cs="Sylfaen"/>
          <w:bCs/>
          <w:iCs/>
          <w:color w:val="000000"/>
        </w:rPr>
        <w:t xml:space="preserve">. The deficit </w:t>
      </w:r>
      <w:r w:rsidR="00F244DB" w:rsidRPr="000F21D1">
        <w:rPr>
          <w:rFonts w:ascii="Garamond" w:hAnsi="Garamond" w:cs="Sylfaen"/>
          <w:bCs/>
          <w:iCs/>
          <w:color w:val="000000"/>
        </w:rPr>
        <w:t xml:space="preserve">has been </w:t>
      </w:r>
      <w:r w:rsidR="00F244DB" w:rsidRPr="000F21D1">
        <w:rPr>
          <w:rFonts w:ascii="Garamond" w:hAnsi="Garamond" w:cs="Sylfaen"/>
          <w:bCs/>
          <w:iCs/>
          <w:color w:val="000000"/>
        </w:rPr>
        <w:lastRenderedPageBreak/>
        <w:t xml:space="preserve">financed </w:t>
      </w:r>
      <w:r w:rsidRPr="000F21D1">
        <w:rPr>
          <w:rFonts w:ascii="Garamond" w:hAnsi="Garamond" w:cs="Sylfaen"/>
          <w:bCs/>
          <w:iCs/>
          <w:color w:val="000000"/>
        </w:rPr>
        <w:t xml:space="preserve">by domestic sources (83.4%) and external sources (16.6%). </w:t>
      </w:r>
      <w:r w:rsidR="00F856C1" w:rsidRPr="000F21D1">
        <w:rPr>
          <w:rFonts w:ascii="Garamond" w:hAnsi="Garamond" w:cs="Sylfaen"/>
          <w:bCs/>
          <w:iCs/>
          <w:color w:val="000000"/>
        </w:rPr>
        <w:t xml:space="preserve">Specifically, net proceeds from placement of T-bills in the </w:t>
      </w:r>
      <w:r w:rsidRPr="000F21D1">
        <w:rPr>
          <w:rFonts w:ascii="Garamond" w:hAnsi="Garamond" w:cs="Sylfaen"/>
          <w:bCs/>
          <w:iCs/>
          <w:color w:val="000000"/>
        </w:rPr>
        <w:t xml:space="preserve">second </w:t>
      </w:r>
      <w:r w:rsidR="00F856C1" w:rsidRPr="000F21D1">
        <w:rPr>
          <w:rFonts w:ascii="Garamond" w:hAnsi="Garamond" w:cs="Sylfaen"/>
          <w:bCs/>
          <w:iCs/>
          <w:color w:val="000000"/>
        </w:rPr>
        <w:t xml:space="preserve">quarter amounted to AMD </w:t>
      </w:r>
      <w:r w:rsidRPr="000F21D1">
        <w:rPr>
          <w:rFonts w:ascii="Garamond" w:hAnsi="Garamond" w:cs="Sylfaen"/>
          <w:bCs/>
          <w:iCs/>
          <w:color w:val="000000"/>
        </w:rPr>
        <w:t>25</w:t>
      </w:r>
      <w:r w:rsidR="00F856C1" w:rsidRPr="000F21D1">
        <w:rPr>
          <w:rFonts w:ascii="Garamond" w:hAnsi="Garamond" w:cs="Sylfaen"/>
          <w:bCs/>
          <w:iCs/>
          <w:color w:val="000000"/>
        </w:rPr>
        <w:t>.</w:t>
      </w:r>
      <w:r w:rsidRPr="000F21D1">
        <w:rPr>
          <w:rFonts w:ascii="Garamond" w:hAnsi="Garamond" w:cs="Sylfaen"/>
          <w:bCs/>
          <w:iCs/>
          <w:color w:val="000000"/>
        </w:rPr>
        <w:t>3</w:t>
      </w:r>
      <w:r w:rsidR="00F856C1" w:rsidRPr="000F21D1">
        <w:rPr>
          <w:rFonts w:ascii="Garamond" w:hAnsi="Garamond" w:cs="Sylfaen"/>
          <w:bCs/>
          <w:iCs/>
          <w:color w:val="000000"/>
        </w:rPr>
        <w:t xml:space="preserve"> billion.</w:t>
      </w:r>
    </w:p>
    <w:p w14:paraId="360594D7" w14:textId="77777777" w:rsidR="00F856C1" w:rsidRPr="000F21D1" w:rsidRDefault="00F856C1" w:rsidP="0006101A">
      <w:pPr>
        <w:spacing w:line="360" w:lineRule="auto"/>
        <w:jc w:val="both"/>
        <w:rPr>
          <w:rFonts w:ascii="Garamond" w:hAnsi="Garamond" w:cs="Sylfaen"/>
          <w:bCs/>
          <w:iCs/>
          <w:color w:val="000000"/>
        </w:rPr>
      </w:pPr>
    </w:p>
    <w:p w14:paraId="0F2BD1C0" w14:textId="77777777" w:rsidR="00F856C1" w:rsidRPr="000F21D1" w:rsidRDefault="00F856C1" w:rsidP="0006101A">
      <w:pPr>
        <w:spacing w:line="360" w:lineRule="auto"/>
        <w:jc w:val="both"/>
        <w:rPr>
          <w:rFonts w:ascii="Garamond" w:hAnsi="Garamond" w:cs="Sylfaen"/>
          <w:iCs/>
          <w:color w:val="000000"/>
        </w:rPr>
      </w:pPr>
      <w:r w:rsidRPr="000F21D1">
        <w:rPr>
          <w:rFonts w:ascii="Garamond" w:hAnsi="Garamond" w:cs="Sylfaen"/>
          <w:iCs/>
          <w:color w:val="000000"/>
        </w:rPr>
        <w:t xml:space="preserve">In the </w:t>
      </w:r>
      <w:r w:rsidR="00553BC9" w:rsidRPr="000F21D1">
        <w:rPr>
          <w:rFonts w:ascii="Garamond" w:hAnsi="Garamond" w:cs="Sylfaen"/>
          <w:iCs/>
          <w:color w:val="000000"/>
        </w:rPr>
        <w:t>second</w:t>
      </w:r>
      <w:r w:rsidRPr="000F21D1">
        <w:rPr>
          <w:rFonts w:ascii="Garamond" w:hAnsi="Garamond" w:cs="Sylfaen"/>
          <w:iCs/>
          <w:color w:val="000000"/>
        </w:rPr>
        <w:t xml:space="preserve"> quarter of 2016 the fiscal policy had </w:t>
      </w:r>
      <w:r w:rsidR="00553BC9" w:rsidRPr="000F21D1">
        <w:rPr>
          <w:rFonts w:ascii="Garamond" w:hAnsi="Garamond" w:cs="Sylfaen"/>
          <w:iCs/>
          <w:color w:val="000000"/>
        </w:rPr>
        <w:t xml:space="preserve">1.4 of expansionary </w:t>
      </w:r>
      <w:r w:rsidRPr="000F21D1">
        <w:rPr>
          <w:rFonts w:ascii="Garamond" w:hAnsi="Garamond" w:cs="Sylfaen"/>
          <w:iCs/>
          <w:color w:val="000000"/>
        </w:rPr>
        <w:t xml:space="preserve">impact on </w:t>
      </w:r>
      <w:r w:rsidR="00553BC9" w:rsidRPr="000F21D1">
        <w:rPr>
          <w:rFonts w:ascii="Garamond" w:hAnsi="Garamond" w:cs="Sylfaen"/>
          <w:iCs/>
          <w:color w:val="000000"/>
        </w:rPr>
        <w:t xml:space="preserve">the </w:t>
      </w:r>
      <w:r w:rsidRPr="000F21D1">
        <w:rPr>
          <w:rFonts w:ascii="Garamond" w:hAnsi="Garamond" w:cs="Sylfaen"/>
          <w:iCs/>
          <w:color w:val="000000"/>
        </w:rPr>
        <w:t>aggregate demand.</w:t>
      </w:r>
    </w:p>
    <w:p w14:paraId="1F1A7DD5" w14:textId="77777777" w:rsidR="00046A8D" w:rsidRPr="000F21D1" w:rsidRDefault="00046A8D" w:rsidP="0006101A">
      <w:pPr>
        <w:spacing w:line="360" w:lineRule="auto"/>
        <w:jc w:val="both"/>
        <w:rPr>
          <w:rFonts w:ascii="Garamond" w:hAnsi="Garamond" w:cs="Sylfaen"/>
          <w:iCs/>
          <w:color w:val="000000"/>
        </w:rPr>
      </w:pPr>
    </w:p>
    <w:p w14:paraId="565A0801" w14:textId="77777777" w:rsidR="00FE5317" w:rsidRPr="000F21D1" w:rsidRDefault="00046A8D" w:rsidP="00577965">
      <w:pPr>
        <w:spacing w:line="360" w:lineRule="auto"/>
        <w:jc w:val="both"/>
        <w:rPr>
          <w:rFonts w:ascii="Garamond" w:hAnsi="Garamond"/>
        </w:rPr>
      </w:pPr>
      <w:r w:rsidRPr="000F21D1">
        <w:rPr>
          <w:rFonts w:ascii="Garamond" w:hAnsi="Garamond"/>
        </w:rPr>
        <w:t>In the first half of 2016, relative to the first half of 2015, the state budget revenues and grants have grown by 2.1</w:t>
      </w:r>
      <w:r w:rsidR="00577965" w:rsidRPr="000F21D1">
        <w:rPr>
          <w:rFonts w:ascii="Garamond" w:hAnsi="Garamond"/>
        </w:rPr>
        <w:t>%</w:t>
      </w:r>
      <w:r w:rsidRPr="000F21D1">
        <w:rPr>
          <w:rFonts w:ascii="Garamond" w:hAnsi="Garamond"/>
        </w:rPr>
        <w:t xml:space="preserve">. </w:t>
      </w:r>
      <w:r w:rsidR="00FE5317" w:rsidRPr="000F21D1">
        <w:rPr>
          <w:rFonts w:ascii="Garamond" w:hAnsi="Garamond"/>
        </w:rPr>
        <w:t>T</w:t>
      </w:r>
      <w:r w:rsidRPr="000F21D1">
        <w:rPr>
          <w:rFonts w:ascii="Garamond" w:hAnsi="Garamond"/>
        </w:rPr>
        <w:t>ax revenue</w:t>
      </w:r>
      <w:r w:rsidR="00FE5317" w:rsidRPr="000F21D1">
        <w:rPr>
          <w:rFonts w:ascii="Garamond" w:hAnsi="Garamond"/>
        </w:rPr>
        <w:t xml:space="preserve"> has increased by </w:t>
      </w:r>
      <w:r w:rsidRPr="000F21D1">
        <w:rPr>
          <w:rFonts w:ascii="Garamond" w:hAnsi="Garamond"/>
        </w:rPr>
        <w:t>2.2% or AMD 11.1 billion</w:t>
      </w:r>
      <w:r w:rsidR="00FE5317" w:rsidRPr="000F21D1">
        <w:rPr>
          <w:rFonts w:ascii="Garamond" w:hAnsi="Garamond"/>
        </w:rPr>
        <w:t xml:space="preserve"> against the same reference period last year; the increment has been due to more entries of profit tax</w:t>
      </w:r>
      <w:r w:rsidRPr="000F21D1">
        <w:rPr>
          <w:rFonts w:ascii="Garamond" w:hAnsi="Garamond"/>
        </w:rPr>
        <w:t xml:space="preserve">, income tax, excise </w:t>
      </w:r>
      <w:r w:rsidR="00FE5317" w:rsidRPr="000F21D1">
        <w:rPr>
          <w:rFonts w:ascii="Garamond" w:hAnsi="Garamond"/>
        </w:rPr>
        <w:t>duty and other taxes</w:t>
      </w:r>
      <w:r w:rsidRPr="000F21D1">
        <w:rPr>
          <w:rFonts w:ascii="Garamond" w:hAnsi="Garamond"/>
        </w:rPr>
        <w:t xml:space="preserve">, </w:t>
      </w:r>
      <w:r w:rsidR="00FE5317" w:rsidRPr="000F21D1">
        <w:rPr>
          <w:rFonts w:ascii="Garamond" w:hAnsi="Garamond"/>
        </w:rPr>
        <w:t xml:space="preserve">and a reduced amount of value added tax and </w:t>
      </w:r>
      <w:r w:rsidRPr="000F21D1">
        <w:rPr>
          <w:rFonts w:ascii="Garamond" w:hAnsi="Garamond"/>
        </w:rPr>
        <w:t>customs dut</w:t>
      </w:r>
      <w:r w:rsidR="00FE5317" w:rsidRPr="000F21D1">
        <w:rPr>
          <w:rFonts w:ascii="Garamond" w:hAnsi="Garamond"/>
        </w:rPr>
        <w:t xml:space="preserve">y. </w:t>
      </w:r>
    </w:p>
    <w:p w14:paraId="56F1EDF9" w14:textId="77777777" w:rsidR="0095506C" w:rsidRPr="000F21D1" w:rsidRDefault="0095506C" w:rsidP="00577965">
      <w:pPr>
        <w:spacing w:line="360" w:lineRule="auto"/>
        <w:jc w:val="both"/>
        <w:rPr>
          <w:rFonts w:ascii="Garamond" w:hAnsi="Garamond"/>
        </w:rPr>
      </w:pPr>
    </w:p>
    <w:p w14:paraId="1A433A9B" w14:textId="77777777" w:rsidR="0095506C" w:rsidRPr="000F21D1" w:rsidRDefault="00106C08" w:rsidP="00577965">
      <w:pPr>
        <w:spacing w:line="360" w:lineRule="auto"/>
        <w:jc w:val="both"/>
        <w:rPr>
          <w:rFonts w:ascii="Garamond" w:hAnsi="Garamond"/>
        </w:rPr>
      </w:pPr>
      <w:r w:rsidRPr="000F21D1">
        <w:rPr>
          <w:rFonts w:ascii="Garamond" w:hAnsi="Garamond"/>
        </w:rPr>
        <w:t xml:space="preserve">Government expenditures </w:t>
      </w:r>
      <w:r w:rsidR="0095506C" w:rsidRPr="000F21D1">
        <w:rPr>
          <w:rFonts w:ascii="Garamond" w:hAnsi="Garamond"/>
        </w:rPr>
        <w:t xml:space="preserve">(including PIU funds) </w:t>
      </w:r>
      <w:r w:rsidRPr="000F21D1">
        <w:rPr>
          <w:rFonts w:ascii="Garamond" w:hAnsi="Garamond"/>
        </w:rPr>
        <w:t xml:space="preserve">have </w:t>
      </w:r>
      <w:r w:rsidR="0095506C" w:rsidRPr="000F21D1">
        <w:rPr>
          <w:rFonts w:ascii="Garamond" w:hAnsi="Garamond"/>
        </w:rPr>
        <w:t xml:space="preserve">increased </w:t>
      </w:r>
      <w:r w:rsidRPr="000F21D1">
        <w:rPr>
          <w:rFonts w:ascii="Garamond" w:hAnsi="Garamond"/>
        </w:rPr>
        <w:t xml:space="preserve">by 6.5% </w:t>
      </w:r>
      <w:r w:rsidR="00E4515D" w:rsidRPr="000F21D1">
        <w:rPr>
          <w:rFonts w:ascii="Garamond" w:hAnsi="Garamond"/>
        </w:rPr>
        <w:t xml:space="preserve">against </w:t>
      </w:r>
      <w:r w:rsidR="0095506C" w:rsidRPr="000F21D1">
        <w:rPr>
          <w:rFonts w:ascii="Garamond" w:hAnsi="Garamond"/>
        </w:rPr>
        <w:t xml:space="preserve">the same </w:t>
      </w:r>
      <w:r w:rsidRPr="000F21D1">
        <w:rPr>
          <w:rFonts w:ascii="Garamond" w:hAnsi="Garamond"/>
        </w:rPr>
        <w:t xml:space="preserve">reference </w:t>
      </w:r>
      <w:r w:rsidR="0095506C" w:rsidRPr="000F21D1">
        <w:rPr>
          <w:rFonts w:ascii="Garamond" w:hAnsi="Garamond"/>
        </w:rPr>
        <w:t>period last year.</w:t>
      </w:r>
    </w:p>
    <w:p w14:paraId="202C1B49" w14:textId="77777777" w:rsidR="00106C08" w:rsidRPr="000F21D1" w:rsidRDefault="00106C08" w:rsidP="00577965">
      <w:pPr>
        <w:spacing w:line="360" w:lineRule="auto"/>
        <w:jc w:val="both"/>
        <w:rPr>
          <w:rFonts w:ascii="Garamond" w:hAnsi="Garamond"/>
        </w:rPr>
      </w:pPr>
    </w:p>
    <w:p w14:paraId="571F843A" w14:textId="77777777" w:rsidR="00106C08" w:rsidRPr="000F21D1" w:rsidRDefault="00E4515D" w:rsidP="00106C08">
      <w:pPr>
        <w:spacing w:line="360" w:lineRule="auto"/>
        <w:jc w:val="both"/>
        <w:rPr>
          <w:rFonts w:ascii="Garamond" w:hAnsi="Garamond"/>
        </w:rPr>
      </w:pPr>
      <w:r w:rsidRPr="000F21D1">
        <w:rPr>
          <w:rFonts w:ascii="Garamond" w:hAnsi="Garamond"/>
        </w:rPr>
        <w:t xml:space="preserve">According to semiannual results, the state budget run with </w:t>
      </w:r>
      <w:r w:rsidR="00106C08" w:rsidRPr="000F21D1">
        <w:rPr>
          <w:rFonts w:ascii="Garamond" w:hAnsi="Garamond"/>
        </w:rPr>
        <w:t xml:space="preserve">a deficit of about </w:t>
      </w:r>
      <w:r w:rsidRPr="000F21D1">
        <w:rPr>
          <w:rFonts w:ascii="Garamond" w:hAnsi="Garamond"/>
        </w:rPr>
        <w:t xml:space="preserve">AMD </w:t>
      </w:r>
      <w:r w:rsidR="00106C08" w:rsidRPr="000F21D1">
        <w:rPr>
          <w:rFonts w:ascii="Garamond" w:hAnsi="Garamond"/>
        </w:rPr>
        <w:t>86.0 billion</w:t>
      </w:r>
      <w:r w:rsidRPr="000F21D1">
        <w:rPr>
          <w:rFonts w:ascii="Garamond" w:hAnsi="Garamond"/>
        </w:rPr>
        <w:t xml:space="preserve"> instead of AMD</w:t>
      </w:r>
      <w:r w:rsidR="00106C08" w:rsidRPr="000F21D1">
        <w:rPr>
          <w:rFonts w:ascii="Garamond" w:hAnsi="Garamond"/>
        </w:rPr>
        <w:t xml:space="preserve"> 118.1 billion </w:t>
      </w:r>
      <w:r w:rsidRPr="000F21D1">
        <w:rPr>
          <w:rFonts w:ascii="Garamond" w:hAnsi="Garamond"/>
        </w:rPr>
        <w:t>as was envisaged in the program adjusted for the first half of 2016</w:t>
      </w:r>
      <w:r w:rsidR="00106C08" w:rsidRPr="000F21D1">
        <w:rPr>
          <w:rFonts w:ascii="Garamond" w:hAnsi="Garamond"/>
        </w:rPr>
        <w:t>.</w:t>
      </w:r>
    </w:p>
    <w:p w14:paraId="6F209490" w14:textId="77777777" w:rsidR="00106C08" w:rsidRPr="000F21D1" w:rsidRDefault="00106C08" w:rsidP="00106C08">
      <w:pPr>
        <w:spacing w:line="360" w:lineRule="auto"/>
        <w:jc w:val="both"/>
        <w:rPr>
          <w:rFonts w:ascii="Garamond" w:hAnsi="Garamond"/>
        </w:rPr>
      </w:pPr>
    </w:p>
    <w:p w14:paraId="4FF03CF1" w14:textId="77777777" w:rsidR="00106C08" w:rsidRPr="000F21D1" w:rsidRDefault="00106C08" w:rsidP="00106C08">
      <w:pPr>
        <w:spacing w:line="360" w:lineRule="auto"/>
        <w:jc w:val="both"/>
        <w:rPr>
          <w:rFonts w:ascii="Garamond" w:hAnsi="Garamond"/>
        </w:rPr>
      </w:pPr>
      <w:r w:rsidRPr="000F21D1">
        <w:rPr>
          <w:rFonts w:ascii="Garamond" w:hAnsi="Garamond"/>
        </w:rPr>
        <w:t xml:space="preserve">Overall, the </w:t>
      </w:r>
      <w:r w:rsidR="004659BE" w:rsidRPr="000F21D1">
        <w:rPr>
          <w:rFonts w:ascii="Garamond" w:hAnsi="Garamond"/>
        </w:rPr>
        <w:t xml:space="preserve">fiscal policy conducted over the first half of 2016 has left </w:t>
      </w:r>
      <w:r w:rsidRPr="000F21D1">
        <w:rPr>
          <w:rFonts w:ascii="Garamond" w:hAnsi="Garamond"/>
        </w:rPr>
        <w:t xml:space="preserve">1.0 </w:t>
      </w:r>
      <w:r w:rsidR="004659BE" w:rsidRPr="000F21D1">
        <w:rPr>
          <w:rFonts w:ascii="Garamond" w:hAnsi="Garamond"/>
        </w:rPr>
        <w:t xml:space="preserve">of </w:t>
      </w:r>
      <w:r w:rsidRPr="000F21D1">
        <w:rPr>
          <w:rFonts w:ascii="Garamond" w:hAnsi="Garamond"/>
        </w:rPr>
        <w:t xml:space="preserve">expansionary impact on aggregate demand, </w:t>
      </w:r>
      <w:r w:rsidR="004659BE" w:rsidRPr="000F21D1">
        <w:rPr>
          <w:rFonts w:ascii="Garamond" w:hAnsi="Garamond"/>
        </w:rPr>
        <w:t>primarily owing to t</w:t>
      </w:r>
      <w:r w:rsidRPr="000F21D1">
        <w:rPr>
          <w:rFonts w:ascii="Garamond" w:hAnsi="Garamond"/>
        </w:rPr>
        <w:t xml:space="preserve">he </w:t>
      </w:r>
      <w:r w:rsidR="004659BE" w:rsidRPr="000F21D1">
        <w:rPr>
          <w:rFonts w:ascii="Garamond" w:hAnsi="Garamond"/>
        </w:rPr>
        <w:t xml:space="preserve">expansionary effect of the </w:t>
      </w:r>
      <w:r w:rsidRPr="000F21D1">
        <w:rPr>
          <w:rFonts w:ascii="Garamond" w:hAnsi="Garamond"/>
        </w:rPr>
        <w:t>revenue</w:t>
      </w:r>
      <w:r w:rsidR="004659BE" w:rsidRPr="000F21D1">
        <w:rPr>
          <w:rFonts w:ascii="Garamond" w:hAnsi="Garamond"/>
        </w:rPr>
        <w:t>s</w:t>
      </w:r>
      <w:r w:rsidRPr="000F21D1">
        <w:rPr>
          <w:rFonts w:ascii="Garamond" w:hAnsi="Garamond"/>
        </w:rPr>
        <w:t>.</w:t>
      </w:r>
    </w:p>
    <w:p w14:paraId="4E5EC14B" w14:textId="77777777" w:rsidR="00FE5317" w:rsidRPr="000F21D1" w:rsidRDefault="00FE5317" w:rsidP="00577965">
      <w:pPr>
        <w:spacing w:line="360" w:lineRule="auto"/>
        <w:jc w:val="both"/>
        <w:rPr>
          <w:rFonts w:ascii="Garamond" w:hAnsi="Garamond"/>
        </w:rPr>
      </w:pPr>
    </w:p>
    <w:p w14:paraId="242A28A0" w14:textId="77777777" w:rsidR="00F856C1" w:rsidRPr="000F21D1" w:rsidRDefault="00F856C1" w:rsidP="0006101A">
      <w:pPr>
        <w:spacing w:line="360" w:lineRule="auto"/>
        <w:jc w:val="both"/>
        <w:rPr>
          <w:rFonts w:ascii="Garamond" w:hAnsi="Garamond" w:cs="Sylfaen"/>
          <w:bCs/>
          <w:iCs/>
          <w:color w:val="000000"/>
        </w:rPr>
      </w:pPr>
      <w:r w:rsidRPr="000F21D1">
        <w:rPr>
          <w:rFonts w:ascii="Garamond" w:hAnsi="Garamond" w:cs="Sylfaen"/>
          <w:b/>
        </w:rPr>
        <w:t xml:space="preserve">Summary: </w:t>
      </w:r>
      <w:r w:rsidRPr="000F21D1">
        <w:rPr>
          <w:rFonts w:ascii="Garamond" w:hAnsi="Garamond"/>
          <w:b/>
        </w:rPr>
        <w:t xml:space="preserve">reduced private transfers from Russia as well as sluggish investment activity in the domestic economy dampened spending in the private sector in </w:t>
      </w:r>
      <w:r w:rsidR="00DA6002" w:rsidRPr="000F21D1">
        <w:rPr>
          <w:rFonts w:ascii="Garamond" w:hAnsi="Garamond"/>
          <w:b/>
        </w:rPr>
        <w:t xml:space="preserve">the </w:t>
      </w:r>
      <w:r w:rsidR="00ED4F25" w:rsidRPr="000F21D1">
        <w:rPr>
          <w:rFonts w:ascii="Garamond" w:hAnsi="Garamond"/>
          <w:b/>
        </w:rPr>
        <w:t>second</w:t>
      </w:r>
      <w:r w:rsidR="00DA6002" w:rsidRPr="000F21D1">
        <w:rPr>
          <w:rFonts w:ascii="Garamond" w:hAnsi="Garamond"/>
          <w:b/>
        </w:rPr>
        <w:t xml:space="preserve"> quarter of </w:t>
      </w:r>
      <w:r w:rsidRPr="000F21D1">
        <w:rPr>
          <w:rFonts w:ascii="Garamond" w:hAnsi="Garamond"/>
          <w:b/>
        </w:rPr>
        <w:t>201</w:t>
      </w:r>
      <w:r w:rsidR="00DA6002" w:rsidRPr="000F21D1">
        <w:rPr>
          <w:rFonts w:ascii="Garamond" w:hAnsi="Garamond"/>
          <w:b/>
        </w:rPr>
        <w:t>6</w:t>
      </w:r>
      <w:r w:rsidRPr="000F21D1">
        <w:rPr>
          <w:rFonts w:ascii="Garamond" w:hAnsi="Garamond"/>
          <w:b/>
        </w:rPr>
        <w:t>.</w:t>
      </w:r>
      <w:r w:rsidR="00ED4F25" w:rsidRPr="000F21D1">
        <w:rPr>
          <w:rFonts w:ascii="Garamond" w:hAnsi="Garamond"/>
          <w:b/>
        </w:rPr>
        <w:t xml:space="preserve"> </w:t>
      </w:r>
      <w:r w:rsidRPr="000F21D1">
        <w:rPr>
          <w:rFonts w:ascii="Garamond" w:hAnsi="Garamond"/>
          <w:b/>
        </w:rPr>
        <w:t xml:space="preserve">However, fiscal stimulus delivered to the economy </w:t>
      </w:r>
      <w:r w:rsidR="00ED4F25" w:rsidRPr="000F21D1">
        <w:rPr>
          <w:rFonts w:ascii="Garamond" w:hAnsi="Garamond"/>
          <w:b/>
        </w:rPr>
        <w:t>and</w:t>
      </w:r>
      <w:r w:rsidR="00DA6002" w:rsidRPr="000F21D1">
        <w:rPr>
          <w:rFonts w:ascii="Garamond" w:hAnsi="Garamond"/>
          <w:b/>
        </w:rPr>
        <w:t xml:space="preserve"> continued easing of </w:t>
      </w:r>
      <w:r w:rsidRPr="000F21D1">
        <w:rPr>
          <w:rFonts w:ascii="Garamond" w:hAnsi="Garamond"/>
          <w:b/>
        </w:rPr>
        <w:t xml:space="preserve">monetary conditions </w:t>
      </w:r>
      <w:r w:rsidR="00DA6002" w:rsidRPr="000F21D1">
        <w:rPr>
          <w:rFonts w:ascii="Garamond" w:hAnsi="Garamond"/>
          <w:b/>
        </w:rPr>
        <w:t>by the CBA during 2015 secured</w:t>
      </w:r>
      <w:r w:rsidRPr="000F21D1">
        <w:rPr>
          <w:rFonts w:ascii="Garamond" w:hAnsi="Garamond"/>
          <w:b/>
        </w:rPr>
        <w:t xml:space="preserve"> a slower contraction of private spending</w:t>
      </w:r>
      <w:r w:rsidR="00FB246E" w:rsidRPr="000F21D1">
        <w:rPr>
          <w:rFonts w:ascii="Garamond" w:hAnsi="Garamond"/>
          <w:b/>
          <w:lang w:val="hy-AM"/>
        </w:rPr>
        <w:t xml:space="preserve"> </w:t>
      </w:r>
      <w:r w:rsidR="00DA6002" w:rsidRPr="000F21D1">
        <w:rPr>
          <w:rFonts w:ascii="Garamond" w:hAnsi="Garamond" w:cs="Sylfaen"/>
          <w:b/>
        </w:rPr>
        <w:t xml:space="preserve">while softening </w:t>
      </w:r>
      <w:r w:rsidRPr="000F21D1">
        <w:rPr>
          <w:rFonts w:ascii="Garamond" w:hAnsi="Garamond" w:cs="Sylfaen"/>
          <w:b/>
        </w:rPr>
        <w:t>t</w:t>
      </w:r>
      <w:r w:rsidRPr="000F21D1">
        <w:rPr>
          <w:rFonts w:ascii="Garamond" w:hAnsi="Garamond"/>
          <w:b/>
        </w:rPr>
        <w:t>he domestic econom</w:t>
      </w:r>
      <w:r w:rsidR="00DA6002" w:rsidRPr="000F21D1">
        <w:rPr>
          <w:rFonts w:ascii="Garamond" w:hAnsi="Garamond"/>
          <w:b/>
        </w:rPr>
        <w:t>y’s</w:t>
      </w:r>
      <w:r w:rsidRPr="000F21D1">
        <w:rPr>
          <w:rFonts w:ascii="Garamond" w:hAnsi="Garamond"/>
          <w:b/>
        </w:rPr>
        <w:t xml:space="preserve"> slowdown and deflationary environment.</w:t>
      </w:r>
    </w:p>
    <w:p w14:paraId="00653575" w14:textId="77777777" w:rsidR="00860E8B" w:rsidRPr="000F21D1" w:rsidRDefault="00860E8B" w:rsidP="0006101A">
      <w:pPr>
        <w:spacing w:line="360" w:lineRule="auto"/>
        <w:jc w:val="both"/>
        <w:rPr>
          <w:rFonts w:ascii="Garamond" w:hAnsi="Garamond" w:cs="Sylfaen"/>
          <w:bCs/>
          <w:iCs/>
          <w:color w:val="000000"/>
        </w:rPr>
      </w:pPr>
    </w:p>
    <w:p w14:paraId="45C066E0" w14:textId="77777777" w:rsidR="00F244DB" w:rsidRPr="000F21D1" w:rsidRDefault="00C959AE" w:rsidP="0006101A">
      <w:pPr>
        <w:spacing w:line="360" w:lineRule="auto"/>
        <w:jc w:val="both"/>
        <w:rPr>
          <w:rFonts w:ascii="Garamond" w:hAnsi="Garamond"/>
          <w:b/>
        </w:rPr>
      </w:pPr>
      <w:r w:rsidRPr="000F21D1">
        <w:rPr>
          <w:rFonts w:ascii="Garamond" w:hAnsi="Garamond"/>
          <w:b/>
        </w:rPr>
        <w:t>The private spending gap i</w:t>
      </w:r>
      <w:r w:rsidR="00860E8B" w:rsidRPr="000F21D1">
        <w:rPr>
          <w:rFonts w:ascii="Garamond" w:hAnsi="Garamond"/>
          <w:b/>
        </w:rPr>
        <w:t xml:space="preserve">n the </w:t>
      </w:r>
      <w:r w:rsidRPr="000F21D1">
        <w:rPr>
          <w:rFonts w:ascii="Garamond" w:hAnsi="Garamond"/>
          <w:b/>
        </w:rPr>
        <w:t>second</w:t>
      </w:r>
      <w:r w:rsidR="00860E8B" w:rsidRPr="000F21D1">
        <w:rPr>
          <w:rFonts w:ascii="Garamond" w:hAnsi="Garamond"/>
          <w:b/>
        </w:rPr>
        <w:t xml:space="preserve"> quarter of 2016</w:t>
      </w:r>
      <w:r w:rsidR="00EF316E" w:rsidRPr="000F21D1">
        <w:rPr>
          <w:rFonts w:ascii="Garamond" w:hAnsi="Garamond"/>
          <w:b/>
        </w:rPr>
        <w:t xml:space="preserve"> </w:t>
      </w:r>
      <w:r w:rsidR="00860E8B" w:rsidRPr="000F21D1">
        <w:rPr>
          <w:rFonts w:ascii="Garamond" w:hAnsi="Garamond"/>
          <w:b/>
        </w:rPr>
        <w:t xml:space="preserve">is estimated </w:t>
      </w:r>
      <w:r w:rsidRPr="000F21D1">
        <w:rPr>
          <w:rFonts w:ascii="Garamond" w:hAnsi="Garamond"/>
          <w:b/>
        </w:rPr>
        <w:t xml:space="preserve">as </w:t>
      </w:r>
      <w:r w:rsidR="00860E8B" w:rsidRPr="000F21D1">
        <w:rPr>
          <w:rFonts w:ascii="Garamond" w:hAnsi="Garamond"/>
          <w:b/>
        </w:rPr>
        <w:t xml:space="preserve">negative. Given </w:t>
      </w:r>
      <w:r w:rsidR="00EF316E" w:rsidRPr="000F21D1">
        <w:rPr>
          <w:rFonts w:ascii="Garamond" w:hAnsi="Garamond"/>
          <w:b/>
        </w:rPr>
        <w:t>the fiscal policy</w:t>
      </w:r>
      <w:r w:rsidR="004F33C6" w:rsidRPr="000F21D1">
        <w:rPr>
          <w:rFonts w:ascii="Garamond" w:hAnsi="Garamond"/>
          <w:b/>
        </w:rPr>
        <w:t xml:space="preserve">’s inflationary behavior, </w:t>
      </w:r>
      <w:r w:rsidRPr="000F21D1">
        <w:rPr>
          <w:rFonts w:ascii="Garamond" w:hAnsi="Garamond"/>
          <w:b/>
        </w:rPr>
        <w:t xml:space="preserve">neutral performance </w:t>
      </w:r>
      <w:r w:rsidR="004F33C6" w:rsidRPr="000F21D1">
        <w:rPr>
          <w:rFonts w:ascii="Garamond" w:hAnsi="Garamond"/>
          <w:b/>
        </w:rPr>
        <w:t xml:space="preserve">of net exports and </w:t>
      </w:r>
      <w:r w:rsidR="00EF316E" w:rsidRPr="000F21D1">
        <w:rPr>
          <w:rFonts w:ascii="Garamond" w:hAnsi="Garamond"/>
          <w:b/>
        </w:rPr>
        <w:t xml:space="preserve">deflationary patterns reported for </w:t>
      </w:r>
      <w:r w:rsidR="004F33C6" w:rsidRPr="000F21D1">
        <w:rPr>
          <w:rFonts w:ascii="Garamond" w:hAnsi="Garamond"/>
          <w:b/>
        </w:rPr>
        <w:t>the</w:t>
      </w:r>
      <w:r w:rsidR="00EF316E" w:rsidRPr="000F21D1">
        <w:rPr>
          <w:rFonts w:ascii="Garamond" w:hAnsi="Garamond"/>
          <w:b/>
        </w:rPr>
        <w:t xml:space="preserve"> labor market</w:t>
      </w:r>
      <w:r w:rsidR="00860E8B" w:rsidRPr="000F21D1">
        <w:rPr>
          <w:rFonts w:ascii="Garamond" w:hAnsi="Garamond"/>
          <w:b/>
        </w:rPr>
        <w:t xml:space="preserve">, the aggregate demand and labor market are estimated to have jointly created </w:t>
      </w:r>
      <w:r w:rsidR="004F33C6" w:rsidRPr="000F21D1">
        <w:rPr>
          <w:rFonts w:ascii="Garamond" w:hAnsi="Garamond"/>
          <w:b/>
        </w:rPr>
        <w:t>1</w:t>
      </w:r>
      <w:r w:rsidR="00860E8B" w:rsidRPr="000F21D1">
        <w:rPr>
          <w:rFonts w:ascii="Garamond" w:hAnsi="Garamond"/>
          <w:b/>
        </w:rPr>
        <w:t>.</w:t>
      </w:r>
      <w:r w:rsidR="004F33C6" w:rsidRPr="000F21D1">
        <w:rPr>
          <w:rFonts w:ascii="Garamond" w:hAnsi="Garamond"/>
          <w:b/>
        </w:rPr>
        <w:t>9</w:t>
      </w:r>
      <w:r w:rsidR="00860E8B" w:rsidRPr="000F21D1">
        <w:rPr>
          <w:rFonts w:ascii="Garamond" w:hAnsi="Garamond"/>
          <w:b/>
        </w:rPr>
        <w:t>-2.</w:t>
      </w:r>
      <w:r w:rsidR="004F33C6" w:rsidRPr="000F21D1">
        <w:rPr>
          <w:rFonts w:ascii="Garamond" w:hAnsi="Garamond"/>
          <w:b/>
        </w:rPr>
        <w:t>1</w:t>
      </w:r>
      <w:r w:rsidR="00860E8B" w:rsidRPr="000F21D1">
        <w:rPr>
          <w:rFonts w:ascii="Garamond" w:hAnsi="Garamond"/>
          <w:b/>
        </w:rPr>
        <w:t xml:space="preserve"> pp of deflationary pressures in the consumer market </w:t>
      </w:r>
      <w:r w:rsidR="004F33C6" w:rsidRPr="000F21D1">
        <w:rPr>
          <w:rFonts w:ascii="Garamond" w:hAnsi="Garamond"/>
          <w:b/>
        </w:rPr>
        <w:t xml:space="preserve">during </w:t>
      </w:r>
      <w:r w:rsidR="00860E8B" w:rsidRPr="000F21D1">
        <w:rPr>
          <w:rFonts w:ascii="Garamond" w:hAnsi="Garamond"/>
          <w:b/>
        </w:rPr>
        <w:t xml:space="preserve">the </w:t>
      </w:r>
      <w:r w:rsidR="004F33C6" w:rsidRPr="000F21D1">
        <w:rPr>
          <w:rFonts w:ascii="Garamond" w:hAnsi="Garamond"/>
          <w:b/>
        </w:rPr>
        <w:t>second</w:t>
      </w:r>
      <w:r w:rsidR="00860E8B" w:rsidRPr="000F21D1">
        <w:rPr>
          <w:rFonts w:ascii="Garamond" w:hAnsi="Garamond"/>
          <w:b/>
        </w:rPr>
        <w:t xml:space="preserve"> quarter. </w:t>
      </w:r>
    </w:p>
    <w:p w14:paraId="01378103" w14:textId="77777777" w:rsidR="00601F50" w:rsidRPr="000F21D1" w:rsidRDefault="00601F50" w:rsidP="0006101A">
      <w:pPr>
        <w:spacing w:line="360" w:lineRule="auto"/>
        <w:jc w:val="both"/>
        <w:rPr>
          <w:rFonts w:ascii="Garamond" w:hAnsi="Garamond"/>
          <w:b/>
        </w:rPr>
      </w:pPr>
    </w:p>
    <w:p w14:paraId="495D0597" w14:textId="77777777" w:rsidR="00601F50" w:rsidRPr="000F21D1" w:rsidRDefault="00601F50" w:rsidP="0006101A">
      <w:pPr>
        <w:spacing w:line="360" w:lineRule="auto"/>
        <w:jc w:val="both"/>
        <w:rPr>
          <w:rFonts w:ascii="Garamond" w:hAnsi="Garamond"/>
          <w:b/>
        </w:rPr>
      </w:pPr>
      <w:r w:rsidRPr="000F21D1">
        <w:rPr>
          <w:rFonts w:ascii="Garamond" w:hAnsi="Garamond"/>
          <w:b/>
        </w:rPr>
        <w:lastRenderedPageBreak/>
        <w:t>3.3. Money and financial market developments</w:t>
      </w:r>
    </w:p>
    <w:p w14:paraId="10AC3FDC" w14:textId="77777777" w:rsidR="00601F50" w:rsidRPr="000F21D1" w:rsidRDefault="00601F50" w:rsidP="0006101A">
      <w:pPr>
        <w:spacing w:line="360" w:lineRule="auto"/>
        <w:jc w:val="both"/>
        <w:rPr>
          <w:rFonts w:ascii="Garamond" w:hAnsi="Garamond"/>
          <w:b/>
        </w:rPr>
      </w:pPr>
      <w:r w:rsidRPr="000F21D1">
        <w:rPr>
          <w:rFonts w:ascii="Garamond" w:hAnsi="Garamond"/>
          <w:b/>
        </w:rPr>
        <w:t>3.3.1. Financial market, money and credit</w:t>
      </w:r>
    </w:p>
    <w:p w14:paraId="3B1A9D3C" w14:textId="77777777" w:rsidR="00601F50" w:rsidRPr="000F21D1" w:rsidRDefault="00601F50" w:rsidP="0006101A">
      <w:pPr>
        <w:spacing w:line="360" w:lineRule="auto"/>
        <w:jc w:val="both"/>
        <w:rPr>
          <w:rFonts w:ascii="Garamond" w:hAnsi="Garamond"/>
          <w:b/>
        </w:rPr>
      </w:pPr>
    </w:p>
    <w:p w14:paraId="070ED720" w14:textId="77777777" w:rsidR="00601F50" w:rsidRPr="000F21D1" w:rsidRDefault="00601F50" w:rsidP="0006101A">
      <w:pPr>
        <w:spacing w:line="360" w:lineRule="auto"/>
        <w:jc w:val="both"/>
        <w:rPr>
          <w:rFonts w:ascii="Garamond" w:eastAsia="Calibri" w:hAnsi="Garamond"/>
        </w:rPr>
      </w:pPr>
      <w:r w:rsidRPr="000F21D1">
        <w:rPr>
          <w:rFonts w:ascii="Garamond" w:eastAsia="Calibri" w:hAnsi="Garamond"/>
        </w:rPr>
        <w:t xml:space="preserve">In the </w:t>
      </w:r>
      <w:r w:rsidR="0006729F" w:rsidRPr="000F21D1">
        <w:rPr>
          <w:rFonts w:ascii="Garamond" w:eastAsia="Calibri" w:hAnsi="Garamond"/>
        </w:rPr>
        <w:t>second</w:t>
      </w:r>
      <w:r w:rsidRPr="000F21D1">
        <w:rPr>
          <w:rFonts w:ascii="Garamond" w:eastAsia="Calibri" w:hAnsi="Garamond"/>
        </w:rPr>
        <w:t xml:space="preserve"> quarter of 2016 the CBA Board cut the refinancing rate twice (in </w:t>
      </w:r>
      <w:r w:rsidR="0006729F" w:rsidRPr="000F21D1">
        <w:rPr>
          <w:rFonts w:ascii="Garamond" w:eastAsia="Calibri" w:hAnsi="Garamond"/>
        </w:rPr>
        <w:t>May</w:t>
      </w:r>
      <w:r w:rsidRPr="000F21D1">
        <w:rPr>
          <w:rFonts w:ascii="Garamond" w:eastAsia="Calibri" w:hAnsi="Garamond"/>
        </w:rPr>
        <w:t xml:space="preserve"> and </w:t>
      </w:r>
      <w:r w:rsidR="0006729F" w:rsidRPr="000F21D1">
        <w:rPr>
          <w:rFonts w:ascii="Garamond" w:eastAsia="Calibri" w:hAnsi="Garamond"/>
        </w:rPr>
        <w:t>June</w:t>
      </w:r>
      <w:r w:rsidRPr="000F21D1">
        <w:rPr>
          <w:rFonts w:ascii="Garamond" w:eastAsia="Calibri" w:hAnsi="Garamond"/>
        </w:rPr>
        <w:t xml:space="preserve">) </w:t>
      </w:r>
      <w:r w:rsidR="0006729F" w:rsidRPr="000F21D1">
        <w:rPr>
          <w:rFonts w:ascii="Garamond" w:eastAsia="Calibri" w:hAnsi="Garamond"/>
        </w:rPr>
        <w:t xml:space="preserve">by a total of </w:t>
      </w:r>
      <w:r w:rsidRPr="000F21D1">
        <w:rPr>
          <w:rFonts w:ascii="Garamond" w:eastAsia="Calibri" w:hAnsi="Garamond"/>
        </w:rPr>
        <w:t>0.</w:t>
      </w:r>
      <w:r w:rsidR="0006729F" w:rsidRPr="000F21D1">
        <w:rPr>
          <w:rFonts w:ascii="Garamond" w:eastAsia="Calibri" w:hAnsi="Garamond"/>
        </w:rPr>
        <w:t>7</w:t>
      </w:r>
      <w:r w:rsidRPr="000F21D1">
        <w:rPr>
          <w:rFonts w:ascii="Garamond" w:eastAsia="Calibri" w:hAnsi="Garamond"/>
        </w:rPr>
        <w:t xml:space="preserve">5 pp. </w:t>
      </w:r>
    </w:p>
    <w:p w14:paraId="5F5F8F4F" w14:textId="77777777" w:rsidR="00EF05C0" w:rsidRPr="000F21D1" w:rsidRDefault="00EF05C0" w:rsidP="0006101A">
      <w:pPr>
        <w:spacing w:line="360" w:lineRule="auto"/>
        <w:jc w:val="both"/>
        <w:rPr>
          <w:rFonts w:ascii="Garamond" w:eastAsia="Calibri" w:hAnsi="Garamond"/>
        </w:rPr>
      </w:pPr>
    </w:p>
    <w:p w14:paraId="7009BBBD" w14:textId="77777777" w:rsidR="00F90453" w:rsidRPr="000F21D1" w:rsidRDefault="005A1CAD" w:rsidP="0006101A">
      <w:pPr>
        <w:spacing w:line="360" w:lineRule="auto"/>
        <w:jc w:val="both"/>
        <w:rPr>
          <w:rFonts w:ascii="Garamond" w:hAnsi="Garamond"/>
        </w:rPr>
      </w:pPr>
      <w:r w:rsidRPr="000F21D1">
        <w:rPr>
          <w:rFonts w:ascii="Garamond" w:hAnsi="Garamond"/>
        </w:rPr>
        <w:t>Back in May of 2016 the CBA Board assessed that inflation expectations had reduced</w:t>
      </w:r>
      <w:r w:rsidR="005029F4" w:rsidRPr="000F21D1">
        <w:rPr>
          <w:rFonts w:ascii="Garamond" w:hAnsi="Garamond"/>
        </w:rPr>
        <w:t xml:space="preserve"> as a result of consistent monetary policy implementation, </w:t>
      </w:r>
      <w:r w:rsidRPr="000F21D1">
        <w:rPr>
          <w:rFonts w:ascii="Garamond" w:hAnsi="Garamond"/>
        </w:rPr>
        <w:t xml:space="preserve">forecasts of a low rate of inflation remained intact </w:t>
      </w:r>
      <w:r w:rsidR="000A2E88" w:rsidRPr="000F21D1">
        <w:rPr>
          <w:rFonts w:ascii="Garamond" w:hAnsi="Garamond"/>
        </w:rPr>
        <w:t xml:space="preserve">at the support of </w:t>
      </w:r>
      <w:r w:rsidRPr="000F21D1">
        <w:rPr>
          <w:rFonts w:ascii="Garamond" w:hAnsi="Garamond"/>
        </w:rPr>
        <w:t xml:space="preserve">relevant trends in both the domestic and external environment </w:t>
      </w:r>
      <w:r w:rsidR="005029F4" w:rsidRPr="000F21D1">
        <w:rPr>
          <w:rFonts w:ascii="Garamond" w:hAnsi="Garamond"/>
        </w:rPr>
        <w:t>a</w:t>
      </w:r>
      <w:r w:rsidRPr="000F21D1">
        <w:rPr>
          <w:rFonts w:ascii="Garamond" w:hAnsi="Garamond"/>
        </w:rPr>
        <w:t xml:space="preserve">nd </w:t>
      </w:r>
      <w:r w:rsidR="005029F4" w:rsidRPr="000F21D1">
        <w:rPr>
          <w:rFonts w:ascii="Garamond" w:hAnsi="Garamond"/>
        </w:rPr>
        <w:t xml:space="preserve">the natural gas price was supposed to drop in </w:t>
      </w:r>
      <w:r w:rsidRPr="000F21D1">
        <w:rPr>
          <w:rFonts w:ascii="Garamond" w:hAnsi="Garamond"/>
        </w:rPr>
        <w:t>July</w:t>
      </w:r>
      <w:r w:rsidR="005029F4" w:rsidRPr="000F21D1">
        <w:rPr>
          <w:rFonts w:ascii="Garamond" w:hAnsi="Garamond"/>
        </w:rPr>
        <w:t>.</w:t>
      </w:r>
      <w:r w:rsidRPr="000F21D1">
        <w:rPr>
          <w:rFonts w:ascii="Garamond" w:hAnsi="Garamond"/>
        </w:rPr>
        <w:t xml:space="preserve"> </w:t>
      </w:r>
      <w:r w:rsidR="005029F4" w:rsidRPr="000F21D1">
        <w:rPr>
          <w:rFonts w:ascii="Garamond" w:hAnsi="Garamond"/>
        </w:rPr>
        <w:t xml:space="preserve">All these factors </w:t>
      </w:r>
      <w:r w:rsidR="006A39D3" w:rsidRPr="000F21D1">
        <w:rPr>
          <w:rFonts w:ascii="Garamond" w:hAnsi="Garamond"/>
        </w:rPr>
        <w:t>allowed t</w:t>
      </w:r>
      <w:r w:rsidR="005029F4" w:rsidRPr="000F21D1">
        <w:rPr>
          <w:rFonts w:ascii="Garamond" w:hAnsi="Garamond"/>
        </w:rPr>
        <w:t xml:space="preserve">he CBA Board </w:t>
      </w:r>
      <w:r w:rsidR="006A39D3" w:rsidRPr="000F21D1">
        <w:rPr>
          <w:rFonts w:ascii="Garamond" w:hAnsi="Garamond"/>
        </w:rPr>
        <w:t>to</w:t>
      </w:r>
      <w:r w:rsidR="005029F4" w:rsidRPr="000F21D1">
        <w:rPr>
          <w:rFonts w:ascii="Garamond" w:hAnsi="Garamond"/>
        </w:rPr>
        <w:t xml:space="preserve"> </w:t>
      </w:r>
      <w:r w:rsidR="000A2E88" w:rsidRPr="000F21D1">
        <w:rPr>
          <w:rFonts w:ascii="Garamond" w:hAnsi="Garamond"/>
        </w:rPr>
        <w:t xml:space="preserve">loosen </w:t>
      </w:r>
      <w:r w:rsidRPr="000F21D1">
        <w:rPr>
          <w:rFonts w:ascii="Garamond" w:hAnsi="Garamond"/>
        </w:rPr>
        <w:t xml:space="preserve">monetary conditions </w:t>
      </w:r>
      <w:r w:rsidR="006A39D3" w:rsidRPr="000F21D1">
        <w:rPr>
          <w:rFonts w:ascii="Garamond" w:hAnsi="Garamond"/>
        </w:rPr>
        <w:t xml:space="preserve">in a broader stride: </w:t>
      </w:r>
      <w:r w:rsidR="000A2E88" w:rsidRPr="000F21D1">
        <w:rPr>
          <w:rFonts w:ascii="Garamond" w:hAnsi="Garamond"/>
        </w:rPr>
        <w:t xml:space="preserve">at the end of </w:t>
      </w:r>
      <w:r w:rsidRPr="000F21D1">
        <w:rPr>
          <w:rFonts w:ascii="Garamond" w:hAnsi="Garamond"/>
        </w:rPr>
        <w:t>May</w:t>
      </w:r>
      <w:r w:rsidR="000A2E88" w:rsidRPr="000F21D1">
        <w:rPr>
          <w:rFonts w:ascii="Garamond" w:hAnsi="Garamond"/>
        </w:rPr>
        <w:t xml:space="preserve"> it cut the refinancing rate by 0.5 pp to 7.75%, looking to further ease monetary conditions </w:t>
      </w:r>
      <w:r w:rsidR="00750F76" w:rsidRPr="000F21D1">
        <w:rPr>
          <w:rFonts w:ascii="Garamond" w:hAnsi="Garamond"/>
        </w:rPr>
        <w:t xml:space="preserve">in the event </w:t>
      </w:r>
      <w:r w:rsidR="000A2E88" w:rsidRPr="000F21D1">
        <w:rPr>
          <w:rFonts w:ascii="Garamond" w:hAnsi="Garamond"/>
        </w:rPr>
        <w:t>additional risks in external and domestic sectors</w:t>
      </w:r>
      <w:r w:rsidR="00750F76" w:rsidRPr="000F21D1">
        <w:rPr>
          <w:rFonts w:ascii="Garamond" w:hAnsi="Garamond"/>
        </w:rPr>
        <w:t xml:space="preserve"> lack</w:t>
      </w:r>
      <w:r w:rsidR="000A2E88" w:rsidRPr="000F21D1">
        <w:rPr>
          <w:rFonts w:ascii="Garamond" w:hAnsi="Garamond"/>
        </w:rPr>
        <w:t xml:space="preserve">. </w:t>
      </w:r>
    </w:p>
    <w:p w14:paraId="40742D08" w14:textId="77777777" w:rsidR="001D300B" w:rsidRPr="000F21D1" w:rsidRDefault="001D300B" w:rsidP="0006101A">
      <w:pPr>
        <w:spacing w:line="360" w:lineRule="auto"/>
        <w:jc w:val="both"/>
        <w:rPr>
          <w:rFonts w:ascii="Garamond" w:hAnsi="Garamond"/>
        </w:rPr>
      </w:pPr>
    </w:p>
    <w:p w14:paraId="43F070FC" w14:textId="77777777" w:rsidR="001D300B" w:rsidRPr="000F21D1" w:rsidRDefault="001D300B" w:rsidP="0006101A">
      <w:pPr>
        <w:spacing w:line="360" w:lineRule="auto"/>
        <w:jc w:val="both"/>
        <w:rPr>
          <w:rFonts w:ascii="Garamond" w:hAnsi="Garamond"/>
        </w:rPr>
      </w:pPr>
      <w:r w:rsidRPr="000F21D1">
        <w:rPr>
          <w:rFonts w:ascii="Garamond" w:hAnsi="Garamond"/>
        </w:rPr>
        <w:t xml:space="preserve">The CBA continued easing </w:t>
      </w:r>
      <w:r w:rsidR="00883A18" w:rsidRPr="000F21D1">
        <w:rPr>
          <w:rFonts w:ascii="Garamond" w:hAnsi="Garamond"/>
        </w:rPr>
        <w:t>the</w:t>
      </w:r>
      <w:r w:rsidRPr="000F21D1">
        <w:rPr>
          <w:rFonts w:ascii="Garamond" w:hAnsi="Garamond"/>
        </w:rPr>
        <w:t xml:space="preserve"> monetary conditions in June, </w:t>
      </w:r>
      <w:r w:rsidR="00883A18" w:rsidRPr="000F21D1">
        <w:rPr>
          <w:rFonts w:ascii="Garamond" w:hAnsi="Garamond"/>
        </w:rPr>
        <w:t xml:space="preserve">considering its forecasts for </w:t>
      </w:r>
      <w:r w:rsidRPr="000F21D1">
        <w:rPr>
          <w:rFonts w:ascii="Garamond" w:hAnsi="Garamond"/>
        </w:rPr>
        <w:t xml:space="preserve">low inflation in the coming months. </w:t>
      </w:r>
      <w:r w:rsidR="001F6105" w:rsidRPr="000F21D1">
        <w:rPr>
          <w:rFonts w:ascii="Garamond" w:hAnsi="Garamond"/>
        </w:rPr>
        <w:t xml:space="preserve">In the case of </w:t>
      </w:r>
      <w:r w:rsidRPr="000F21D1">
        <w:rPr>
          <w:rFonts w:ascii="Garamond" w:hAnsi="Garamond"/>
        </w:rPr>
        <w:t>0.25 p</w:t>
      </w:r>
      <w:r w:rsidR="001F6105" w:rsidRPr="000F21D1">
        <w:rPr>
          <w:rFonts w:ascii="Garamond" w:hAnsi="Garamond"/>
        </w:rPr>
        <w:t xml:space="preserve">p cutting of the </w:t>
      </w:r>
      <w:r w:rsidRPr="000F21D1">
        <w:rPr>
          <w:rFonts w:ascii="Garamond" w:hAnsi="Garamond"/>
        </w:rPr>
        <w:t>refinancing rate</w:t>
      </w:r>
      <w:r w:rsidR="001F6105" w:rsidRPr="000F21D1">
        <w:rPr>
          <w:rFonts w:ascii="Garamond" w:hAnsi="Garamond"/>
        </w:rPr>
        <w:t xml:space="preserve">, the CBA Board </w:t>
      </w:r>
      <w:r w:rsidRPr="000F21D1">
        <w:rPr>
          <w:rFonts w:ascii="Garamond" w:hAnsi="Garamond"/>
        </w:rPr>
        <w:t>expect</w:t>
      </w:r>
      <w:r w:rsidR="001F6105" w:rsidRPr="000F21D1">
        <w:rPr>
          <w:rFonts w:ascii="Garamond" w:hAnsi="Garamond"/>
        </w:rPr>
        <w:t>ed</w:t>
      </w:r>
      <w:r w:rsidRPr="000F21D1">
        <w:rPr>
          <w:rFonts w:ascii="Garamond" w:hAnsi="Garamond"/>
        </w:rPr>
        <w:t xml:space="preserve"> th</w:t>
      </w:r>
      <w:r w:rsidR="001F6105" w:rsidRPr="000F21D1">
        <w:rPr>
          <w:rFonts w:ascii="Garamond" w:hAnsi="Garamond"/>
        </w:rPr>
        <w:t>at the</w:t>
      </w:r>
      <w:r w:rsidRPr="000F21D1">
        <w:rPr>
          <w:rFonts w:ascii="Garamond" w:hAnsi="Garamond"/>
        </w:rPr>
        <w:t xml:space="preserve"> deflationary environment</w:t>
      </w:r>
      <w:r w:rsidR="009C2498" w:rsidRPr="000F21D1">
        <w:rPr>
          <w:rFonts w:ascii="Garamond" w:hAnsi="Garamond"/>
        </w:rPr>
        <w:t xml:space="preserve"> would</w:t>
      </w:r>
      <w:r w:rsidRPr="000F21D1">
        <w:rPr>
          <w:rFonts w:ascii="Garamond" w:hAnsi="Garamond"/>
        </w:rPr>
        <w:t xml:space="preserve"> </w:t>
      </w:r>
      <w:r w:rsidR="001F6105" w:rsidRPr="000F21D1">
        <w:rPr>
          <w:rFonts w:ascii="Garamond" w:hAnsi="Garamond"/>
        </w:rPr>
        <w:t xml:space="preserve">phase out gradually and the 12-month inflation rate return to the target at the end of the </w:t>
      </w:r>
      <w:r w:rsidRPr="000F21D1">
        <w:rPr>
          <w:rFonts w:ascii="Garamond" w:hAnsi="Garamond"/>
        </w:rPr>
        <w:t xml:space="preserve">forecast horizon. </w:t>
      </w:r>
      <w:r w:rsidR="009C2498" w:rsidRPr="000F21D1">
        <w:rPr>
          <w:rFonts w:ascii="Garamond" w:hAnsi="Garamond"/>
        </w:rPr>
        <w:t>In the m</w:t>
      </w:r>
      <w:r w:rsidRPr="000F21D1">
        <w:rPr>
          <w:rFonts w:ascii="Garamond" w:hAnsi="Garamond"/>
        </w:rPr>
        <w:t>ean</w:t>
      </w:r>
      <w:r w:rsidR="009C2498" w:rsidRPr="000F21D1">
        <w:rPr>
          <w:rFonts w:ascii="Garamond" w:hAnsi="Garamond"/>
        </w:rPr>
        <w:t>time the</w:t>
      </w:r>
      <w:r w:rsidRPr="000F21D1">
        <w:rPr>
          <w:rFonts w:ascii="Garamond" w:hAnsi="Garamond"/>
        </w:rPr>
        <w:t xml:space="preserve"> CB</w:t>
      </w:r>
      <w:r w:rsidR="009C2498" w:rsidRPr="000F21D1">
        <w:rPr>
          <w:rFonts w:ascii="Garamond" w:hAnsi="Garamond"/>
        </w:rPr>
        <w:t>A Board</w:t>
      </w:r>
      <w:r w:rsidRPr="000F21D1">
        <w:rPr>
          <w:rFonts w:ascii="Garamond" w:hAnsi="Garamond"/>
        </w:rPr>
        <w:t xml:space="preserve"> </w:t>
      </w:r>
      <w:r w:rsidR="009C2498" w:rsidRPr="000F21D1">
        <w:rPr>
          <w:rFonts w:ascii="Garamond" w:hAnsi="Garamond"/>
        </w:rPr>
        <w:t xml:space="preserve">has </w:t>
      </w:r>
      <w:r w:rsidRPr="000F21D1">
        <w:rPr>
          <w:rFonts w:ascii="Garamond" w:hAnsi="Garamond"/>
        </w:rPr>
        <w:t>signal</w:t>
      </w:r>
      <w:r w:rsidR="009C2498" w:rsidRPr="000F21D1">
        <w:rPr>
          <w:rFonts w:ascii="Garamond" w:hAnsi="Garamond"/>
        </w:rPr>
        <w:t xml:space="preserve">ed the domestic financial market of its intention to adjust the monetary policy directions in future as developments in the </w:t>
      </w:r>
      <w:r w:rsidRPr="000F21D1">
        <w:rPr>
          <w:rFonts w:ascii="Garamond" w:hAnsi="Garamond"/>
        </w:rPr>
        <w:t xml:space="preserve">economic </w:t>
      </w:r>
      <w:r w:rsidR="009C2498" w:rsidRPr="000F21D1">
        <w:rPr>
          <w:rFonts w:ascii="Garamond" w:hAnsi="Garamond"/>
        </w:rPr>
        <w:t>landscape unfold</w:t>
      </w:r>
      <w:r w:rsidRPr="000F21D1">
        <w:rPr>
          <w:rFonts w:ascii="Garamond" w:hAnsi="Garamond"/>
        </w:rPr>
        <w:t>.</w:t>
      </w:r>
    </w:p>
    <w:p w14:paraId="7A2B4EA8" w14:textId="77777777" w:rsidR="00AF328F" w:rsidRPr="000F21D1" w:rsidRDefault="00AF328F" w:rsidP="0006101A">
      <w:pPr>
        <w:spacing w:line="360" w:lineRule="auto"/>
        <w:jc w:val="both"/>
        <w:rPr>
          <w:rFonts w:ascii="Garamond" w:hAnsi="Garamond"/>
        </w:rPr>
      </w:pPr>
    </w:p>
    <w:p w14:paraId="6A757E70" w14:textId="77777777" w:rsidR="002B57F4" w:rsidRPr="000F21D1" w:rsidRDefault="00BB71DD" w:rsidP="0006101A">
      <w:pPr>
        <w:spacing w:line="360" w:lineRule="auto"/>
        <w:jc w:val="both"/>
        <w:rPr>
          <w:rFonts w:ascii="Garamond" w:hAnsi="Garamond"/>
        </w:rPr>
      </w:pPr>
      <w:r w:rsidRPr="000F21D1">
        <w:rPr>
          <w:rFonts w:ascii="Garamond" w:hAnsi="Garamond"/>
        </w:rPr>
        <w:t>Short-term i</w:t>
      </w:r>
      <w:r w:rsidR="00AF328F" w:rsidRPr="000F21D1">
        <w:rPr>
          <w:rFonts w:ascii="Garamond" w:hAnsi="Garamond"/>
        </w:rPr>
        <w:t xml:space="preserve">nterest rates </w:t>
      </w:r>
      <w:r w:rsidRPr="000F21D1">
        <w:rPr>
          <w:rFonts w:ascii="Garamond" w:hAnsi="Garamond"/>
        </w:rPr>
        <w:t>in the domestic financial market</w:t>
      </w:r>
      <w:r w:rsidR="0084681C" w:rsidRPr="000F21D1">
        <w:rPr>
          <w:rFonts w:ascii="Garamond" w:hAnsi="Garamond"/>
        </w:rPr>
        <w:t xml:space="preserve"> immediately reacted to the easing of monetary conditions. So did long-term interest rates at a certain time lag</w:t>
      </w:r>
      <w:r w:rsidR="00982761" w:rsidRPr="000F21D1">
        <w:rPr>
          <w:rFonts w:ascii="Garamond" w:hAnsi="Garamond"/>
        </w:rPr>
        <w:t>, however. B</w:t>
      </w:r>
      <w:r w:rsidR="00973B4A" w:rsidRPr="000F21D1">
        <w:rPr>
          <w:rFonts w:ascii="Garamond" w:hAnsi="Garamond"/>
        </w:rPr>
        <w:t xml:space="preserve">ecause </w:t>
      </w:r>
      <w:r w:rsidR="0084681C" w:rsidRPr="000F21D1">
        <w:rPr>
          <w:rFonts w:ascii="Garamond" w:hAnsi="Garamond"/>
        </w:rPr>
        <w:t xml:space="preserve">inflation expectations were </w:t>
      </w:r>
      <w:r w:rsidR="00973B4A" w:rsidRPr="000F21D1">
        <w:rPr>
          <w:rFonts w:ascii="Garamond" w:hAnsi="Garamond"/>
        </w:rPr>
        <w:t xml:space="preserve">still elevated, </w:t>
      </w:r>
      <w:r w:rsidR="00982761" w:rsidRPr="000F21D1">
        <w:rPr>
          <w:rFonts w:ascii="Garamond" w:hAnsi="Garamond"/>
        </w:rPr>
        <w:t xml:space="preserve">gradually </w:t>
      </w:r>
      <w:r w:rsidR="00973B4A" w:rsidRPr="000F21D1">
        <w:rPr>
          <w:rFonts w:ascii="Garamond" w:hAnsi="Garamond"/>
        </w:rPr>
        <w:t xml:space="preserve">loosened </w:t>
      </w:r>
      <w:r w:rsidR="00982761" w:rsidRPr="000F21D1">
        <w:rPr>
          <w:rFonts w:ascii="Garamond" w:hAnsi="Garamond"/>
        </w:rPr>
        <w:t>monetary conditions had not influenced the long</w:t>
      </w:r>
      <w:r w:rsidR="00973B4A" w:rsidRPr="000F21D1">
        <w:rPr>
          <w:rFonts w:ascii="Garamond" w:hAnsi="Garamond"/>
        </w:rPr>
        <w:t xml:space="preserve">-term interest rates in the period </w:t>
      </w:r>
      <w:r w:rsidR="0084681C" w:rsidRPr="000F21D1">
        <w:rPr>
          <w:rFonts w:ascii="Garamond" w:hAnsi="Garamond"/>
        </w:rPr>
        <w:t>November</w:t>
      </w:r>
      <w:r w:rsidR="00973B4A" w:rsidRPr="000F21D1">
        <w:rPr>
          <w:rFonts w:ascii="Garamond" w:hAnsi="Garamond"/>
        </w:rPr>
        <w:t xml:space="preserve"> 2015 – </w:t>
      </w:r>
      <w:r w:rsidR="0084681C" w:rsidRPr="000F21D1">
        <w:rPr>
          <w:rFonts w:ascii="Garamond" w:hAnsi="Garamond"/>
        </w:rPr>
        <w:t xml:space="preserve">February </w:t>
      </w:r>
      <w:r w:rsidR="00973B4A" w:rsidRPr="000F21D1">
        <w:rPr>
          <w:rFonts w:ascii="Garamond" w:hAnsi="Garamond"/>
        </w:rPr>
        <w:t xml:space="preserve">2016. </w:t>
      </w:r>
      <w:r w:rsidR="00982761" w:rsidRPr="000F21D1">
        <w:rPr>
          <w:rFonts w:ascii="Garamond" w:hAnsi="Garamond"/>
        </w:rPr>
        <w:t>Yet,</w:t>
      </w:r>
      <w:r w:rsidR="0084681C" w:rsidRPr="000F21D1">
        <w:rPr>
          <w:rFonts w:ascii="Garamond" w:hAnsi="Garamond"/>
        </w:rPr>
        <w:t xml:space="preserve"> by the end of the first quarter</w:t>
      </w:r>
      <w:r w:rsidR="00982761" w:rsidRPr="000F21D1">
        <w:rPr>
          <w:rFonts w:ascii="Garamond" w:hAnsi="Garamond"/>
        </w:rPr>
        <w:t>,</w:t>
      </w:r>
      <w:r w:rsidR="0084681C" w:rsidRPr="000F21D1">
        <w:rPr>
          <w:rFonts w:ascii="Garamond" w:hAnsi="Garamond"/>
        </w:rPr>
        <w:t xml:space="preserve"> </w:t>
      </w:r>
      <w:r w:rsidR="00982761" w:rsidRPr="000F21D1">
        <w:rPr>
          <w:rFonts w:ascii="Garamond" w:hAnsi="Garamond"/>
        </w:rPr>
        <w:t xml:space="preserve">one could see </w:t>
      </w:r>
      <w:r w:rsidR="0084681C" w:rsidRPr="000F21D1">
        <w:rPr>
          <w:rFonts w:ascii="Garamond" w:hAnsi="Garamond"/>
        </w:rPr>
        <w:t xml:space="preserve">a significant </w:t>
      </w:r>
      <w:r w:rsidR="00982761" w:rsidRPr="000F21D1">
        <w:rPr>
          <w:rFonts w:ascii="Garamond" w:hAnsi="Garamond"/>
        </w:rPr>
        <w:t xml:space="preserve">lowering in </w:t>
      </w:r>
      <w:r w:rsidR="0084681C" w:rsidRPr="000F21D1">
        <w:rPr>
          <w:rFonts w:ascii="Garamond" w:hAnsi="Garamond"/>
        </w:rPr>
        <w:t>inflation expectation</w:t>
      </w:r>
      <w:r w:rsidR="00982761" w:rsidRPr="000F21D1">
        <w:rPr>
          <w:rFonts w:ascii="Garamond" w:hAnsi="Garamond"/>
        </w:rPr>
        <w:t>s</w:t>
      </w:r>
      <w:r w:rsidR="0084681C" w:rsidRPr="000F21D1">
        <w:rPr>
          <w:rFonts w:ascii="Garamond" w:hAnsi="Garamond"/>
        </w:rPr>
        <w:t>, which reflected the long-term yield curve</w:t>
      </w:r>
      <w:r w:rsidR="00982761" w:rsidRPr="000F21D1">
        <w:rPr>
          <w:rFonts w:ascii="Garamond" w:hAnsi="Garamond"/>
        </w:rPr>
        <w:t xml:space="preserve"> thus</w:t>
      </w:r>
      <w:r w:rsidR="0084681C" w:rsidRPr="000F21D1">
        <w:rPr>
          <w:rFonts w:ascii="Garamond" w:hAnsi="Garamond"/>
        </w:rPr>
        <w:t xml:space="preserve"> </w:t>
      </w:r>
      <w:r w:rsidR="00982761" w:rsidRPr="000F21D1">
        <w:rPr>
          <w:rFonts w:ascii="Garamond" w:hAnsi="Garamond"/>
        </w:rPr>
        <w:t>leading to d</w:t>
      </w:r>
      <w:r w:rsidR="0084681C" w:rsidRPr="000F21D1">
        <w:rPr>
          <w:rFonts w:ascii="Garamond" w:hAnsi="Garamond"/>
        </w:rPr>
        <w:t>ecreases al</w:t>
      </w:r>
      <w:r w:rsidR="00982761" w:rsidRPr="000F21D1">
        <w:rPr>
          <w:rFonts w:ascii="Garamond" w:hAnsi="Garamond"/>
        </w:rPr>
        <w:t>l al</w:t>
      </w:r>
      <w:r w:rsidR="0084681C" w:rsidRPr="000F21D1">
        <w:rPr>
          <w:rFonts w:ascii="Garamond" w:hAnsi="Garamond"/>
        </w:rPr>
        <w:t>ong the curve.</w:t>
      </w:r>
      <w:r w:rsidR="00982761" w:rsidRPr="000F21D1">
        <w:rPr>
          <w:rFonts w:ascii="Garamond" w:hAnsi="Garamond"/>
        </w:rPr>
        <w:t xml:space="preserve"> </w:t>
      </w:r>
    </w:p>
    <w:p w14:paraId="38806ED2" w14:textId="77777777" w:rsidR="002B57F4" w:rsidRPr="000F21D1" w:rsidRDefault="002B57F4" w:rsidP="0006101A">
      <w:pPr>
        <w:spacing w:line="360" w:lineRule="auto"/>
        <w:jc w:val="both"/>
        <w:rPr>
          <w:rFonts w:ascii="Garamond" w:hAnsi="Garamond"/>
        </w:rPr>
      </w:pPr>
    </w:p>
    <w:p w14:paraId="322849DA" w14:textId="77777777" w:rsidR="00AF328F" w:rsidRPr="000F21D1" w:rsidRDefault="00E930A8" w:rsidP="0006101A">
      <w:pPr>
        <w:spacing w:line="360" w:lineRule="auto"/>
        <w:jc w:val="both"/>
        <w:rPr>
          <w:rFonts w:ascii="Garamond" w:hAnsi="Garamond"/>
        </w:rPr>
      </w:pPr>
      <w:r w:rsidRPr="000F21D1">
        <w:rPr>
          <w:rFonts w:ascii="Garamond" w:hAnsi="Garamond"/>
        </w:rPr>
        <w:t xml:space="preserve">Average quarterly rate of </w:t>
      </w:r>
      <w:r w:rsidR="00B26AF5" w:rsidRPr="000F21D1">
        <w:rPr>
          <w:rStyle w:val="longtext"/>
          <w:rFonts w:ascii="Garamond" w:hAnsi="Garamond"/>
          <w:color w:val="000000"/>
          <w:shd w:val="clear" w:color="auto" w:fill="FFFFFF"/>
        </w:rPr>
        <w:t xml:space="preserve">7-day </w:t>
      </w:r>
      <w:r w:rsidRPr="000F21D1">
        <w:rPr>
          <w:rFonts w:ascii="Garamond" w:hAnsi="Garamond"/>
        </w:rPr>
        <w:t>repurchase agreements</w:t>
      </w:r>
      <w:r w:rsidR="0006417D" w:rsidRPr="000F21D1">
        <w:rPr>
          <w:rFonts w:ascii="Garamond" w:hAnsi="Garamond"/>
        </w:rPr>
        <w:t xml:space="preserve"> concluded by the CBA </w:t>
      </w:r>
      <w:r w:rsidR="00E3634A" w:rsidRPr="000F21D1">
        <w:rPr>
          <w:rFonts w:ascii="Garamond" w:hAnsi="Garamond"/>
        </w:rPr>
        <w:t>fell</w:t>
      </w:r>
      <w:r w:rsidR="0006417D" w:rsidRPr="000F21D1">
        <w:rPr>
          <w:rFonts w:ascii="Garamond" w:hAnsi="Garamond"/>
        </w:rPr>
        <w:t xml:space="preserve"> by 0</w:t>
      </w:r>
      <w:r w:rsidR="00AF328F" w:rsidRPr="000F21D1">
        <w:rPr>
          <w:rFonts w:ascii="Garamond" w:hAnsi="Garamond"/>
        </w:rPr>
        <w:t>.</w:t>
      </w:r>
      <w:r w:rsidR="0006417D" w:rsidRPr="000F21D1">
        <w:rPr>
          <w:rFonts w:ascii="Garamond" w:hAnsi="Garamond"/>
        </w:rPr>
        <w:t>7</w:t>
      </w:r>
      <w:r w:rsidR="00AF328F" w:rsidRPr="000F21D1">
        <w:rPr>
          <w:rFonts w:ascii="Garamond" w:hAnsi="Garamond"/>
        </w:rPr>
        <w:t>5 p</w:t>
      </w:r>
      <w:r w:rsidRPr="000F21D1">
        <w:rPr>
          <w:rFonts w:ascii="Garamond" w:hAnsi="Garamond"/>
        </w:rPr>
        <w:t>p against the</w:t>
      </w:r>
      <w:r w:rsidR="00AF328F" w:rsidRPr="000F21D1">
        <w:rPr>
          <w:rFonts w:ascii="Garamond" w:hAnsi="Garamond"/>
        </w:rPr>
        <w:t xml:space="preserve"> previous quarter to 8.</w:t>
      </w:r>
      <w:r w:rsidR="0006417D" w:rsidRPr="000F21D1">
        <w:rPr>
          <w:rFonts w:ascii="Garamond" w:hAnsi="Garamond"/>
        </w:rPr>
        <w:t>13</w:t>
      </w:r>
      <w:r w:rsidR="00AF328F" w:rsidRPr="000F21D1">
        <w:rPr>
          <w:rFonts w:ascii="Garamond" w:hAnsi="Garamond"/>
        </w:rPr>
        <w:t>%</w:t>
      </w:r>
      <w:r w:rsidRPr="000F21D1">
        <w:rPr>
          <w:rFonts w:ascii="Garamond" w:hAnsi="Garamond"/>
        </w:rPr>
        <w:t>;</w:t>
      </w:r>
      <w:r w:rsidR="00AF328F" w:rsidRPr="000F21D1">
        <w:rPr>
          <w:rFonts w:ascii="Garamond" w:hAnsi="Garamond"/>
        </w:rPr>
        <w:t xml:space="preserve"> in </w:t>
      </w:r>
      <w:r w:rsidR="0006417D" w:rsidRPr="000F21D1">
        <w:rPr>
          <w:rFonts w:ascii="Garamond" w:hAnsi="Garamond"/>
        </w:rPr>
        <w:t>June</w:t>
      </w:r>
      <w:r w:rsidR="00AF328F" w:rsidRPr="000F21D1">
        <w:rPr>
          <w:rFonts w:ascii="Garamond" w:hAnsi="Garamond"/>
        </w:rPr>
        <w:t xml:space="preserve"> the average interest rate </w:t>
      </w:r>
      <w:r w:rsidR="00E3634A" w:rsidRPr="000F21D1">
        <w:rPr>
          <w:rFonts w:ascii="Garamond" w:hAnsi="Garamond"/>
        </w:rPr>
        <w:t xml:space="preserve">decreased </w:t>
      </w:r>
      <w:r w:rsidR="00AF328F" w:rsidRPr="000F21D1">
        <w:rPr>
          <w:rFonts w:ascii="Garamond" w:hAnsi="Garamond"/>
        </w:rPr>
        <w:t>by 0.</w:t>
      </w:r>
      <w:r w:rsidR="0006417D" w:rsidRPr="000F21D1">
        <w:rPr>
          <w:rFonts w:ascii="Garamond" w:hAnsi="Garamond"/>
        </w:rPr>
        <w:t>93</w:t>
      </w:r>
      <w:r w:rsidR="00AF328F" w:rsidRPr="000F21D1">
        <w:rPr>
          <w:rFonts w:ascii="Garamond" w:hAnsi="Garamond"/>
        </w:rPr>
        <w:t xml:space="preserve"> p</w:t>
      </w:r>
      <w:r w:rsidRPr="000F21D1">
        <w:rPr>
          <w:rFonts w:ascii="Garamond" w:hAnsi="Garamond"/>
        </w:rPr>
        <w:t xml:space="preserve">p against </w:t>
      </w:r>
      <w:r w:rsidR="0006417D" w:rsidRPr="000F21D1">
        <w:rPr>
          <w:rFonts w:ascii="Garamond" w:hAnsi="Garamond"/>
        </w:rPr>
        <w:t>March</w:t>
      </w:r>
      <w:r w:rsidR="00AF328F" w:rsidRPr="000F21D1">
        <w:rPr>
          <w:rFonts w:ascii="Garamond" w:hAnsi="Garamond"/>
        </w:rPr>
        <w:t xml:space="preserve"> </w:t>
      </w:r>
      <w:r w:rsidRPr="000F21D1">
        <w:rPr>
          <w:rFonts w:ascii="Garamond" w:hAnsi="Garamond"/>
        </w:rPr>
        <w:t>to</w:t>
      </w:r>
      <w:r w:rsidR="00AF328F" w:rsidRPr="000F21D1">
        <w:rPr>
          <w:rFonts w:ascii="Garamond" w:hAnsi="Garamond"/>
        </w:rPr>
        <w:t xml:space="preserve"> </w:t>
      </w:r>
      <w:r w:rsidR="0006417D" w:rsidRPr="000F21D1">
        <w:rPr>
          <w:rFonts w:ascii="Garamond" w:hAnsi="Garamond"/>
        </w:rPr>
        <w:t>7</w:t>
      </w:r>
      <w:r w:rsidR="00AF328F" w:rsidRPr="000F21D1">
        <w:rPr>
          <w:rFonts w:ascii="Garamond" w:hAnsi="Garamond"/>
        </w:rPr>
        <w:t>.</w:t>
      </w:r>
      <w:r w:rsidR="0006417D" w:rsidRPr="000F21D1">
        <w:rPr>
          <w:rFonts w:ascii="Garamond" w:hAnsi="Garamond"/>
        </w:rPr>
        <w:t>80</w:t>
      </w:r>
      <w:r w:rsidR="00AF328F" w:rsidRPr="000F21D1">
        <w:rPr>
          <w:rFonts w:ascii="Garamond" w:hAnsi="Garamond"/>
        </w:rPr>
        <w:t>%.</w:t>
      </w:r>
    </w:p>
    <w:p w14:paraId="4EA608AF" w14:textId="77777777" w:rsidR="007C2671" w:rsidRPr="000F21D1" w:rsidRDefault="007C2671" w:rsidP="0006101A">
      <w:pPr>
        <w:spacing w:line="360" w:lineRule="auto"/>
        <w:jc w:val="both"/>
        <w:rPr>
          <w:rFonts w:ascii="Garamond" w:hAnsi="Garamond"/>
        </w:rPr>
      </w:pPr>
    </w:p>
    <w:p w14:paraId="52A80F45" w14:textId="77777777" w:rsidR="007C2671" w:rsidRPr="000F21D1" w:rsidRDefault="007C2671" w:rsidP="0006101A">
      <w:pPr>
        <w:spacing w:line="360" w:lineRule="auto"/>
        <w:jc w:val="both"/>
        <w:rPr>
          <w:rFonts w:ascii="Garamond" w:hAnsi="Garamond"/>
        </w:rPr>
      </w:pPr>
      <w:r w:rsidRPr="000F21D1">
        <w:rPr>
          <w:rFonts w:ascii="Garamond" w:hAnsi="Garamond"/>
        </w:rPr>
        <w:lastRenderedPageBreak/>
        <w:t xml:space="preserve">In the </w:t>
      </w:r>
      <w:r w:rsidR="00E80B6B" w:rsidRPr="000F21D1">
        <w:rPr>
          <w:rFonts w:ascii="Garamond" w:hAnsi="Garamond"/>
        </w:rPr>
        <w:t>second</w:t>
      </w:r>
      <w:r w:rsidRPr="000F21D1">
        <w:rPr>
          <w:rFonts w:ascii="Garamond" w:hAnsi="Garamond"/>
        </w:rPr>
        <w:t xml:space="preserve"> quarter the interbank repo rate behaved </w:t>
      </w:r>
      <w:r w:rsidR="0004316E" w:rsidRPr="000F21D1">
        <w:rPr>
          <w:rFonts w:ascii="Garamond" w:hAnsi="Garamond"/>
        </w:rPr>
        <w:t>similarly</w:t>
      </w:r>
      <w:r w:rsidR="00646A73" w:rsidRPr="000F21D1">
        <w:rPr>
          <w:rFonts w:ascii="Garamond" w:hAnsi="Garamond"/>
        </w:rPr>
        <w:t xml:space="preserve"> in</w:t>
      </w:r>
      <w:r w:rsidR="0004316E" w:rsidRPr="000F21D1">
        <w:rPr>
          <w:rFonts w:ascii="Garamond" w:hAnsi="Garamond"/>
        </w:rPr>
        <w:t xml:space="preserve"> reacting to the CBA </w:t>
      </w:r>
      <w:r w:rsidRPr="000F21D1">
        <w:rPr>
          <w:rFonts w:ascii="Garamond" w:hAnsi="Garamond"/>
        </w:rPr>
        <w:t xml:space="preserve">policy </w:t>
      </w:r>
      <w:r w:rsidR="0004316E" w:rsidRPr="000F21D1">
        <w:rPr>
          <w:rFonts w:ascii="Garamond" w:hAnsi="Garamond"/>
        </w:rPr>
        <w:t>signal</w:t>
      </w:r>
      <w:r w:rsidR="00E80B6B" w:rsidRPr="000F21D1">
        <w:rPr>
          <w:rFonts w:ascii="Garamond" w:hAnsi="Garamond"/>
        </w:rPr>
        <w:t>: it averaged 7</w:t>
      </w:r>
      <w:r w:rsidRPr="000F21D1">
        <w:rPr>
          <w:rFonts w:ascii="Garamond" w:hAnsi="Garamond"/>
        </w:rPr>
        <w:t>.</w:t>
      </w:r>
      <w:r w:rsidR="00E80B6B" w:rsidRPr="000F21D1">
        <w:rPr>
          <w:rFonts w:ascii="Garamond" w:hAnsi="Garamond"/>
        </w:rPr>
        <w:t>75</w:t>
      </w:r>
      <w:r w:rsidRPr="000F21D1">
        <w:rPr>
          <w:rFonts w:ascii="Garamond" w:hAnsi="Garamond"/>
        </w:rPr>
        <w:t>%</w:t>
      </w:r>
      <w:r w:rsidR="00E80B6B" w:rsidRPr="000F21D1">
        <w:rPr>
          <w:rFonts w:ascii="Garamond" w:hAnsi="Garamond"/>
        </w:rPr>
        <w:t xml:space="preserve"> in June</w:t>
      </w:r>
      <w:r w:rsidRPr="000F21D1">
        <w:rPr>
          <w:rFonts w:ascii="Garamond" w:hAnsi="Garamond"/>
        </w:rPr>
        <w:t xml:space="preserve">, </w:t>
      </w:r>
      <w:r w:rsidR="00E80B6B" w:rsidRPr="000F21D1">
        <w:rPr>
          <w:rFonts w:ascii="Garamond" w:hAnsi="Garamond"/>
        </w:rPr>
        <w:t>dropping by 0.89</w:t>
      </w:r>
      <w:r w:rsidRPr="000F21D1">
        <w:rPr>
          <w:rFonts w:ascii="Garamond" w:hAnsi="Garamond"/>
        </w:rPr>
        <w:t xml:space="preserve"> p</w:t>
      </w:r>
      <w:r w:rsidR="0004316E" w:rsidRPr="000F21D1">
        <w:rPr>
          <w:rFonts w:ascii="Garamond" w:hAnsi="Garamond"/>
        </w:rPr>
        <w:t xml:space="preserve">p against </w:t>
      </w:r>
      <w:r w:rsidR="00E80B6B" w:rsidRPr="000F21D1">
        <w:rPr>
          <w:rFonts w:ascii="Garamond" w:hAnsi="Garamond"/>
        </w:rPr>
        <w:t>March</w:t>
      </w:r>
      <w:r w:rsidRPr="000F21D1">
        <w:rPr>
          <w:rFonts w:ascii="Garamond" w:hAnsi="Garamond"/>
        </w:rPr>
        <w:t>.</w:t>
      </w:r>
    </w:p>
    <w:p w14:paraId="145EA0E9" w14:textId="77777777" w:rsidR="00646A73" w:rsidRPr="000F21D1" w:rsidRDefault="00646A73" w:rsidP="0006101A">
      <w:pPr>
        <w:spacing w:line="360" w:lineRule="auto"/>
        <w:jc w:val="both"/>
        <w:rPr>
          <w:rFonts w:ascii="Garamond" w:hAnsi="Garamond"/>
        </w:rPr>
      </w:pPr>
    </w:p>
    <w:tbl>
      <w:tblPr>
        <w:tblStyle w:val="TableGrid"/>
        <w:tblW w:w="0" w:type="auto"/>
        <w:tblLook w:val="04A0" w:firstRow="1" w:lastRow="0" w:firstColumn="1" w:lastColumn="0" w:noHBand="0" w:noVBand="1"/>
      </w:tblPr>
      <w:tblGrid>
        <w:gridCol w:w="9576"/>
      </w:tblGrid>
      <w:tr w:rsidR="00646A73" w:rsidRPr="00F720C4" w14:paraId="1BDAF242" w14:textId="77777777" w:rsidTr="00646A73">
        <w:tc>
          <w:tcPr>
            <w:tcW w:w="9576" w:type="dxa"/>
          </w:tcPr>
          <w:p w14:paraId="0D4FD221" w14:textId="77777777" w:rsidR="00646A73" w:rsidRPr="000F21D1" w:rsidRDefault="00646A73" w:rsidP="00646A73">
            <w:pPr>
              <w:spacing w:line="360" w:lineRule="auto"/>
              <w:jc w:val="right"/>
              <w:rPr>
                <w:rFonts w:ascii="Garamond" w:hAnsi="Garamond"/>
                <w:b/>
              </w:rPr>
            </w:pPr>
            <w:r w:rsidRPr="000F21D1">
              <w:rPr>
                <w:rFonts w:ascii="Garamond" w:hAnsi="Garamond"/>
                <w:b/>
              </w:rPr>
              <w:t xml:space="preserve">Box </w:t>
            </w:r>
            <w:r w:rsidR="0034638E" w:rsidRPr="000F21D1">
              <w:rPr>
                <w:rFonts w:ascii="Garamond" w:hAnsi="Garamond"/>
                <w:b/>
              </w:rPr>
              <w:t>4</w:t>
            </w:r>
          </w:p>
          <w:p w14:paraId="4A3CFA67" w14:textId="77777777" w:rsidR="00646A73" w:rsidRPr="000F21D1" w:rsidRDefault="00646A73" w:rsidP="00646A73">
            <w:pPr>
              <w:spacing w:line="360" w:lineRule="auto"/>
              <w:jc w:val="center"/>
              <w:rPr>
                <w:rFonts w:ascii="Garamond" w:hAnsi="Garamond"/>
                <w:b/>
              </w:rPr>
            </w:pPr>
            <w:r w:rsidRPr="000F21D1">
              <w:rPr>
                <w:rFonts w:ascii="Garamond" w:hAnsi="Garamond"/>
                <w:b/>
              </w:rPr>
              <w:t>Government securities market</w:t>
            </w:r>
          </w:p>
          <w:p w14:paraId="205F2706" w14:textId="77777777" w:rsidR="00646A73" w:rsidRPr="000F21D1" w:rsidRDefault="00646A73" w:rsidP="00646A73">
            <w:pPr>
              <w:spacing w:line="360" w:lineRule="auto"/>
              <w:jc w:val="center"/>
              <w:rPr>
                <w:rFonts w:ascii="Garamond" w:hAnsi="Garamond"/>
                <w:b/>
              </w:rPr>
            </w:pPr>
          </w:p>
          <w:p w14:paraId="7D68D057" w14:textId="3FCD15C0" w:rsidR="00646A73" w:rsidRPr="000F21D1" w:rsidRDefault="00936344" w:rsidP="00AD038A">
            <w:pPr>
              <w:spacing w:line="360" w:lineRule="auto"/>
              <w:jc w:val="both"/>
              <w:rPr>
                <w:rFonts w:ascii="Garamond" w:hAnsi="Garamond" w:cs="Sylfaen"/>
                <w:color w:val="000000"/>
              </w:rPr>
            </w:pPr>
            <w:r w:rsidRPr="000F21D1">
              <w:rPr>
                <w:rFonts w:ascii="Garamond" w:hAnsi="Garamond" w:cs="Sylfaen"/>
                <w:color w:val="000000"/>
              </w:rPr>
              <w:t>C</w:t>
            </w:r>
            <w:r w:rsidR="00132EED" w:rsidRPr="000F21D1">
              <w:rPr>
                <w:rFonts w:ascii="Garamond" w:hAnsi="Garamond" w:cs="Sylfaen"/>
                <w:color w:val="000000"/>
              </w:rPr>
              <w:t>ontinu</w:t>
            </w:r>
            <w:r w:rsidR="0034638E" w:rsidRPr="000F21D1">
              <w:rPr>
                <w:rFonts w:ascii="Garamond" w:hAnsi="Garamond" w:cs="Sylfaen"/>
                <w:color w:val="000000"/>
              </w:rPr>
              <w:t xml:space="preserve">ed </w:t>
            </w:r>
            <w:r w:rsidR="00132EED" w:rsidRPr="000F21D1">
              <w:rPr>
                <w:rFonts w:ascii="Garamond" w:hAnsi="Garamond" w:cs="Sylfaen"/>
                <w:color w:val="000000"/>
              </w:rPr>
              <w:t>easing of monetary</w:t>
            </w:r>
            <w:r w:rsidR="00AB41B8" w:rsidRPr="000F21D1">
              <w:rPr>
                <w:rFonts w:ascii="Garamond" w:hAnsi="Garamond" w:cs="Sylfaen"/>
                <w:color w:val="000000"/>
              </w:rPr>
              <w:t xml:space="preserve"> conditions </w:t>
            </w:r>
            <w:r w:rsidRPr="000F21D1">
              <w:rPr>
                <w:rFonts w:ascii="Garamond" w:hAnsi="Garamond" w:cs="Sylfaen"/>
                <w:color w:val="000000"/>
              </w:rPr>
              <w:t>by the CBA in</w:t>
            </w:r>
            <w:r w:rsidR="00385D6B" w:rsidRPr="000F21D1">
              <w:rPr>
                <w:rFonts w:ascii="Garamond" w:hAnsi="Garamond" w:cs="Sylfaen"/>
                <w:color w:val="000000"/>
              </w:rPr>
              <w:t xml:space="preserve">duced </w:t>
            </w:r>
            <w:r w:rsidRPr="000F21D1">
              <w:rPr>
                <w:rFonts w:ascii="Garamond" w:hAnsi="Garamond" w:cs="Sylfaen"/>
                <w:color w:val="000000"/>
              </w:rPr>
              <w:t xml:space="preserve">a greater effect in the </w:t>
            </w:r>
            <w:r w:rsidR="00AB41B8" w:rsidRPr="000F21D1">
              <w:rPr>
                <w:rFonts w:ascii="Garamond" w:hAnsi="Garamond" w:cs="Sylfaen"/>
                <w:color w:val="000000"/>
              </w:rPr>
              <w:t>T-bills market</w:t>
            </w:r>
            <w:r w:rsidRPr="000F21D1">
              <w:rPr>
                <w:rFonts w:ascii="Garamond" w:hAnsi="Garamond" w:cs="Sylfaen"/>
                <w:color w:val="000000"/>
              </w:rPr>
              <w:t xml:space="preserve"> in the second quarter of 2016</w:t>
            </w:r>
            <w:r w:rsidR="00AB41B8" w:rsidRPr="000F21D1">
              <w:rPr>
                <w:rFonts w:ascii="Garamond" w:hAnsi="Garamond" w:cs="Sylfaen"/>
                <w:color w:val="000000"/>
              </w:rPr>
              <w:t>.</w:t>
            </w:r>
            <w:r w:rsidR="00132EED" w:rsidRPr="000F21D1">
              <w:rPr>
                <w:rFonts w:ascii="Garamond" w:hAnsi="Garamond" w:cs="Sylfaen"/>
                <w:color w:val="000000"/>
              </w:rPr>
              <w:t xml:space="preserve"> </w:t>
            </w:r>
            <w:r w:rsidRPr="000F21D1">
              <w:rPr>
                <w:rFonts w:ascii="Garamond" w:hAnsi="Garamond" w:cs="Sylfaen"/>
                <w:color w:val="000000"/>
              </w:rPr>
              <w:t xml:space="preserve">The decline in short-term bond yields was considerable: because T-bills’ yields </w:t>
            </w:r>
            <w:r w:rsidR="009C2669" w:rsidRPr="000F21D1">
              <w:rPr>
                <w:rFonts w:ascii="Garamond" w:hAnsi="Garamond" w:cs="Sylfaen"/>
                <w:color w:val="000000"/>
              </w:rPr>
              <w:t>were</w:t>
            </w:r>
            <w:r w:rsidR="00AB41B8" w:rsidRPr="000F21D1">
              <w:rPr>
                <w:rFonts w:ascii="Garamond" w:hAnsi="Garamond" w:cs="Sylfaen"/>
                <w:color w:val="000000"/>
              </w:rPr>
              <w:t xml:space="preserve"> slightly higher than </w:t>
            </w:r>
            <w:r w:rsidR="009C2669" w:rsidRPr="000F21D1">
              <w:rPr>
                <w:rFonts w:ascii="Garamond" w:hAnsi="Garamond" w:cs="Sylfaen"/>
                <w:color w:val="000000"/>
              </w:rPr>
              <w:t xml:space="preserve">those of </w:t>
            </w:r>
            <w:r w:rsidR="00AB41B8" w:rsidRPr="000F21D1">
              <w:rPr>
                <w:rFonts w:ascii="Garamond" w:hAnsi="Garamond" w:cs="Sylfaen"/>
                <w:color w:val="000000"/>
              </w:rPr>
              <w:t xml:space="preserve">other money market instruments, </w:t>
            </w:r>
            <w:r w:rsidR="003E0FC6" w:rsidRPr="000F21D1">
              <w:rPr>
                <w:rFonts w:ascii="Garamond" w:hAnsi="Garamond" w:cs="Sylfaen"/>
                <w:color w:val="000000"/>
              </w:rPr>
              <w:t xml:space="preserve">the </w:t>
            </w:r>
            <w:r w:rsidR="00AB41B8" w:rsidRPr="000F21D1">
              <w:rPr>
                <w:rFonts w:ascii="Garamond" w:hAnsi="Garamond" w:cs="Sylfaen"/>
                <w:color w:val="000000"/>
              </w:rPr>
              <w:t xml:space="preserve">average quarterly </w:t>
            </w:r>
            <w:r w:rsidR="00A236B8">
              <w:rPr>
                <w:rFonts w:ascii="Garamond" w:hAnsi="Garamond" w:cs="Sylfaen"/>
                <w:color w:val="000000"/>
              </w:rPr>
              <w:t xml:space="preserve">yield </w:t>
            </w:r>
            <w:r w:rsidR="009C2669" w:rsidRPr="000F21D1">
              <w:rPr>
                <w:rFonts w:ascii="Garamond" w:hAnsi="Garamond" w:cs="Sylfaen"/>
                <w:color w:val="000000"/>
              </w:rPr>
              <w:t>has fallen by</w:t>
            </w:r>
            <w:r w:rsidR="00AB41B8" w:rsidRPr="000F21D1">
              <w:rPr>
                <w:rFonts w:ascii="Garamond" w:hAnsi="Garamond" w:cs="Sylfaen"/>
                <w:color w:val="000000"/>
              </w:rPr>
              <w:t xml:space="preserve"> </w:t>
            </w:r>
            <w:r w:rsidR="009C2669" w:rsidRPr="000F21D1">
              <w:rPr>
                <w:rFonts w:ascii="Garamond" w:hAnsi="Garamond" w:cs="Sylfaen"/>
                <w:color w:val="000000"/>
              </w:rPr>
              <w:t>1</w:t>
            </w:r>
            <w:r w:rsidR="00AB41B8" w:rsidRPr="000F21D1">
              <w:rPr>
                <w:rFonts w:ascii="Garamond" w:hAnsi="Garamond" w:cs="Sylfaen"/>
                <w:color w:val="000000"/>
              </w:rPr>
              <w:t>.</w:t>
            </w:r>
            <w:r w:rsidR="009C2669" w:rsidRPr="000F21D1">
              <w:rPr>
                <w:rFonts w:ascii="Garamond" w:hAnsi="Garamond" w:cs="Sylfaen"/>
                <w:color w:val="000000"/>
              </w:rPr>
              <w:t>08</w:t>
            </w:r>
            <w:r w:rsidR="00AB41B8" w:rsidRPr="000F21D1">
              <w:rPr>
                <w:rFonts w:ascii="Garamond" w:hAnsi="Garamond" w:cs="Sylfaen"/>
                <w:color w:val="000000"/>
              </w:rPr>
              <w:t xml:space="preserve"> p</w:t>
            </w:r>
            <w:r w:rsidR="001D0F31" w:rsidRPr="000F21D1">
              <w:rPr>
                <w:rFonts w:ascii="Garamond" w:hAnsi="Garamond" w:cs="Sylfaen"/>
                <w:color w:val="000000"/>
              </w:rPr>
              <w:t xml:space="preserve">p against </w:t>
            </w:r>
            <w:r w:rsidR="00AB41B8" w:rsidRPr="000F21D1">
              <w:rPr>
                <w:rFonts w:ascii="Garamond" w:hAnsi="Garamond" w:cs="Sylfaen"/>
                <w:color w:val="000000"/>
              </w:rPr>
              <w:t xml:space="preserve">the previous quarter </w:t>
            </w:r>
            <w:r w:rsidR="001D0F31" w:rsidRPr="000F21D1">
              <w:rPr>
                <w:rFonts w:ascii="Garamond" w:hAnsi="Garamond" w:cs="Sylfaen"/>
                <w:color w:val="000000"/>
              </w:rPr>
              <w:t xml:space="preserve">to </w:t>
            </w:r>
            <w:r w:rsidR="00AB41B8" w:rsidRPr="000F21D1">
              <w:rPr>
                <w:rFonts w:ascii="Garamond" w:hAnsi="Garamond" w:cs="Sylfaen"/>
                <w:color w:val="000000"/>
              </w:rPr>
              <w:t>1</w:t>
            </w:r>
            <w:r w:rsidR="009C2669" w:rsidRPr="000F21D1">
              <w:rPr>
                <w:rFonts w:ascii="Garamond" w:hAnsi="Garamond" w:cs="Sylfaen"/>
                <w:color w:val="000000"/>
              </w:rPr>
              <w:t>0</w:t>
            </w:r>
            <w:r w:rsidR="00AB41B8" w:rsidRPr="000F21D1">
              <w:rPr>
                <w:rFonts w:ascii="Garamond" w:hAnsi="Garamond" w:cs="Sylfaen"/>
                <w:color w:val="000000"/>
              </w:rPr>
              <w:t>.</w:t>
            </w:r>
            <w:r w:rsidR="009C2669" w:rsidRPr="000F21D1">
              <w:rPr>
                <w:rFonts w:ascii="Garamond" w:hAnsi="Garamond" w:cs="Sylfaen"/>
                <w:color w:val="000000"/>
              </w:rPr>
              <w:t>25</w:t>
            </w:r>
            <w:r w:rsidR="00AB41B8" w:rsidRPr="000F21D1">
              <w:rPr>
                <w:rFonts w:ascii="Garamond" w:hAnsi="Garamond" w:cs="Sylfaen"/>
                <w:color w:val="000000"/>
              </w:rPr>
              <w:t>%</w:t>
            </w:r>
            <w:r w:rsidR="009C2669" w:rsidRPr="000F21D1">
              <w:rPr>
                <w:rFonts w:ascii="Garamond" w:hAnsi="Garamond" w:cs="Sylfaen"/>
                <w:color w:val="000000"/>
              </w:rPr>
              <w:t xml:space="preserve">, and the average monthly </w:t>
            </w:r>
            <w:r w:rsidR="00A236B8">
              <w:rPr>
                <w:rFonts w:ascii="Garamond" w:hAnsi="Garamond" w:cs="Sylfaen"/>
                <w:color w:val="000000"/>
              </w:rPr>
              <w:t>yield</w:t>
            </w:r>
            <w:r w:rsidR="009C2669" w:rsidRPr="000F21D1">
              <w:rPr>
                <w:rFonts w:ascii="Garamond" w:hAnsi="Garamond" w:cs="Sylfaen"/>
                <w:color w:val="000000"/>
              </w:rPr>
              <w:t xml:space="preserve"> slumped by 1.42 pp </w:t>
            </w:r>
            <w:r w:rsidR="00AD038A" w:rsidRPr="000F21D1">
              <w:rPr>
                <w:rFonts w:ascii="Garamond" w:hAnsi="Garamond" w:cs="Sylfaen"/>
                <w:color w:val="000000"/>
              </w:rPr>
              <w:t xml:space="preserve">against </w:t>
            </w:r>
            <w:r w:rsidR="009C2669" w:rsidRPr="000F21D1">
              <w:rPr>
                <w:rFonts w:ascii="Garamond" w:hAnsi="Garamond" w:cs="Sylfaen"/>
                <w:color w:val="000000"/>
              </w:rPr>
              <w:t>March</w:t>
            </w:r>
            <w:r w:rsidR="006652C5" w:rsidRPr="000F21D1">
              <w:rPr>
                <w:rFonts w:ascii="Garamond" w:hAnsi="Garamond" w:cs="Sylfaen"/>
                <w:color w:val="000000"/>
              </w:rPr>
              <w:t xml:space="preserve"> to 9.74% in June.</w:t>
            </w:r>
          </w:p>
          <w:p w14:paraId="390D9E87" w14:textId="77777777" w:rsidR="00AD038A" w:rsidRPr="000F21D1" w:rsidRDefault="00AD038A" w:rsidP="00AD038A">
            <w:pPr>
              <w:spacing w:line="360" w:lineRule="auto"/>
              <w:jc w:val="both"/>
              <w:rPr>
                <w:rFonts w:ascii="Garamond" w:hAnsi="Garamond" w:cs="Sylfaen"/>
                <w:color w:val="000000"/>
              </w:rPr>
            </w:pPr>
          </w:p>
          <w:p w14:paraId="5A8783DF" w14:textId="77777777" w:rsidR="006727D1" w:rsidRPr="000F21D1" w:rsidRDefault="00F61E8B" w:rsidP="00785232">
            <w:pPr>
              <w:spacing w:line="360" w:lineRule="auto"/>
              <w:jc w:val="both"/>
              <w:rPr>
                <w:rFonts w:ascii="Garamond" w:hAnsi="Garamond"/>
              </w:rPr>
            </w:pPr>
            <w:r w:rsidRPr="000F21D1">
              <w:rPr>
                <w:rFonts w:ascii="Garamond" w:hAnsi="Garamond"/>
              </w:rPr>
              <w:t>The f</w:t>
            </w:r>
            <w:r w:rsidR="00DB24EA" w:rsidRPr="000F21D1">
              <w:rPr>
                <w:rFonts w:ascii="Garamond" w:hAnsi="Garamond"/>
              </w:rPr>
              <w:t>inancial market participants</w:t>
            </w:r>
            <w:r w:rsidR="00032D90" w:rsidRPr="000F21D1">
              <w:rPr>
                <w:rFonts w:ascii="Garamond" w:hAnsi="Garamond"/>
              </w:rPr>
              <w:t xml:space="preserve">’ expectations </w:t>
            </w:r>
            <w:r w:rsidR="00F136FD" w:rsidRPr="000F21D1">
              <w:rPr>
                <w:rFonts w:ascii="Garamond" w:hAnsi="Garamond"/>
              </w:rPr>
              <w:t xml:space="preserve">that </w:t>
            </w:r>
            <w:r w:rsidRPr="000F21D1">
              <w:rPr>
                <w:rFonts w:ascii="Garamond" w:hAnsi="Garamond"/>
              </w:rPr>
              <w:t xml:space="preserve">interest rates tend to fall were </w:t>
            </w:r>
            <w:r w:rsidR="008A19C9" w:rsidRPr="000F21D1">
              <w:rPr>
                <w:rFonts w:ascii="Garamond" w:hAnsi="Garamond"/>
              </w:rPr>
              <w:t xml:space="preserve">reflected in </w:t>
            </w:r>
            <w:r w:rsidRPr="000F21D1">
              <w:rPr>
                <w:rFonts w:ascii="Garamond" w:hAnsi="Garamond"/>
              </w:rPr>
              <w:t>government securities yield curve</w:t>
            </w:r>
            <w:r w:rsidR="00DB24EA" w:rsidRPr="000F21D1">
              <w:rPr>
                <w:rFonts w:ascii="Garamond" w:hAnsi="Garamond"/>
              </w:rPr>
              <w:t xml:space="preserve">. </w:t>
            </w:r>
            <w:r w:rsidR="00AD038A" w:rsidRPr="000F21D1">
              <w:rPr>
                <w:rFonts w:ascii="Garamond" w:hAnsi="Garamond"/>
              </w:rPr>
              <w:t>Th</w:t>
            </w:r>
            <w:r w:rsidRPr="000F21D1">
              <w:rPr>
                <w:rFonts w:ascii="Garamond" w:hAnsi="Garamond"/>
              </w:rPr>
              <w:t xml:space="preserve">is </w:t>
            </w:r>
            <w:r w:rsidR="00AD038A" w:rsidRPr="000F21D1">
              <w:rPr>
                <w:rFonts w:ascii="Garamond" w:hAnsi="Garamond"/>
              </w:rPr>
              <w:t>led to a chang</w:t>
            </w:r>
            <w:r w:rsidR="00E9467F" w:rsidRPr="000F21D1">
              <w:rPr>
                <w:rFonts w:ascii="Garamond" w:hAnsi="Garamond"/>
              </w:rPr>
              <w:t>ed</w:t>
            </w:r>
            <w:r w:rsidR="00AD038A" w:rsidRPr="000F21D1">
              <w:rPr>
                <w:rFonts w:ascii="Garamond" w:hAnsi="Garamond"/>
              </w:rPr>
              <w:t xml:space="preserve"> position of the </w:t>
            </w:r>
            <w:r w:rsidR="00E9467F" w:rsidRPr="000F21D1">
              <w:rPr>
                <w:rFonts w:ascii="Garamond" w:hAnsi="Garamond"/>
              </w:rPr>
              <w:t>T-bills</w:t>
            </w:r>
            <w:r w:rsidR="005C7EAB" w:rsidRPr="000F21D1">
              <w:rPr>
                <w:rFonts w:ascii="Garamond" w:hAnsi="Garamond"/>
              </w:rPr>
              <w:t>’</w:t>
            </w:r>
            <w:r w:rsidR="00E9467F" w:rsidRPr="000F21D1">
              <w:rPr>
                <w:rFonts w:ascii="Garamond" w:hAnsi="Garamond"/>
              </w:rPr>
              <w:t xml:space="preserve"> </w:t>
            </w:r>
            <w:r w:rsidR="00AD038A" w:rsidRPr="000F21D1">
              <w:rPr>
                <w:rFonts w:ascii="Garamond" w:hAnsi="Garamond"/>
              </w:rPr>
              <w:t>yield curve</w:t>
            </w:r>
            <w:r w:rsidRPr="000F21D1">
              <w:rPr>
                <w:rFonts w:ascii="Garamond" w:hAnsi="Garamond"/>
              </w:rPr>
              <w:t xml:space="preserve"> during the second quarter</w:t>
            </w:r>
            <w:r w:rsidR="00AD038A" w:rsidRPr="000F21D1">
              <w:rPr>
                <w:rFonts w:ascii="Garamond" w:hAnsi="Garamond"/>
              </w:rPr>
              <w:t xml:space="preserve">. </w:t>
            </w:r>
            <w:r w:rsidRPr="000F21D1">
              <w:rPr>
                <w:rFonts w:ascii="Garamond" w:hAnsi="Garamond"/>
              </w:rPr>
              <w:t>T</w:t>
            </w:r>
            <w:r w:rsidR="00E9467F" w:rsidRPr="000F21D1">
              <w:rPr>
                <w:rFonts w:ascii="Garamond" w:hAnsi="Garamond"/>
              </w:rPr>
              <w:t xml:space="preserve">he </w:t>
            </w:r>
            <w:r w:rsidR="00AD038A" w:rsidRPr="000F21D1">
              <w:rPr>
                <w:rFonts w:ascii="Garamond" w:hAnsi="Garamond"/>
              </w:rPr>
              <w:t xml:space="preserve">yields </w:t>
            </w:r>
            <w:r w:rsidR="00F136FD" w:rsidRPr="000F21D1">
              <w:rPr>
                <w:rFonts w:ascii="Garamond" w:hAnsi="Garamond"/>
              </w:rPr>
              <w:t xml:space="preserve">came in </w:t>
            </w:r>
            <w:r w:rsidR="00E9467F" w:rsidRPr="000F21D1">
              <w:rPr>
                <w:rFonts w:ascii="Garamond" w:hAnsi="Garamond"/>
              </w:rPr>
              <w:t xml:space="preserve">squeezed </w:t>
            </w:r>
            <w:r w:rsidR="00AD038A" w:rsidRPr="000F21D1">
              <w:rPr>
                <w:rFonts w:ascii="Garamond" w:hAnsi="Garamond"/>
              </w:rPr>
              <w:t xml:space="preserve">along the </w:t>
            </w:r>
            <w:r w:rsidR="00E9467F" w:rsidRPr="000F21D1">
              <w:rPr>
                <w:rFonts w:ascii="Garamond" w:hAnsi="Garamond"/>
              </w:rPr>
              <w:t>entire curve, especially in the short-</w:t>
            </w:r>
            <w:r w:rsidR="00AD038A" w:rsidRPr="000F21D1">
              <w:rPr>
                <w:rFonts w:ascii="Garamond" w:hAnsi="Garamond"/>
              </w:rPr>
              <w:t>term</w:t>
            </w:r>
            <w:r w:rsidR="00E9467F" w:rsidRPr="000F21D1">
              <w:rPr>
                <w:rFonts w:ascii="Garamond" w:hAnsi="Garamond"/>
              </w:rPr>
              <w:t xml:space="preserve"> </w:t>
            </w:r>
            <w:r w:rsidR="00F136FD" w:rsidRPr="000F21D1">
              <w:rPr>
                <w:rFonts w:ascii="Garamond" w:hAnsi="Garamond"/>
              </w:rPr>
              <w:t xml:space="preserve">and medium-term </w:t>
            </w:r>
            <w:r w:rsidR="00E9467F" w:rsidRPr="000F21D1">
              <w:rPr>
                <w:rFonts w:ascii="Garamond" w:hAnsi="Garamond"/>
              </w:rPr>
              <w:t>segment</w:t>
            </w:r>
            <w:r w:rsidR="00F136FD" w:rsidRPr="000F21D1">
              <w:rPr>
                <w:rFonts w:ascii="Garamond" w:hAnsi="Garamond"/>
              </w:rPr>
              <w:t>s,</w:t>
            </w:r>
            <w:r w:rsidR="00AD038A" w:rsidRPr="000F21D1">
              <w:rPr>
                <w:rFonts w:ascii="Garamond" w:hAnsi="Garamond"/>
              </w:rPr>
              <w:t xml:space="preserve"> </w:t>
            </w:r>
            <w:r w:rsidR="00F136FD" w:rsidRPr="000F21D1">
              <w:rPr>
                <w:rFonts w:ascii="Garamond" w:hAnsi="Garamond"/>
              </w:rPr>
              <w:t xml:space="preserve">reducing by </w:t>
            </w:r>
            <w:r w:rsidR="00AD038A" w:rsidRPr="000F21D1">
              <w:rPr>
                <w:rFonts w:ascii="Garamond" w:hAnsi="Garamond"/>
              </w:rPr>
              <w:t>1.</w:t>
            </w:r>
            <w:r w:rsidR="00F136FD" w:rsidRPr="000F21D1">
              <w:rPr>
                <w:rFonts w:ascii="Garamond" w:hAnsi="Garamond"/>
              </w:rPr>
              <w:t>3</w:t>
            </w:r>
            <w:r w:rsidR="00AD038A" w:rsidRPr="000F21D1">
              <w:rPr>
                <w:rFonts w:ascii="Garamond" w:hAnsi="Garamond"/>
              </w:rPr>
              <w:t xml:space="preserve"> p</w:t>
            </w:r>
            <w:r w:rsidR="00E9467F" w:rsidRPr="000F21D1">
              <w:rPr>
                <w:rFonts w:ascii="Garamond" w:hAnsi="Garamond"/>
              </w:rPr>
              <w:t>p</w:t>
            </w:r>
            <w:r w:rsidR="00AD038A" w:rsidRPr="000F21D1">
              <w:rPr>
                <w:rFonts w:ascii="Garamond" w:hAnsi="Garamond"/>
              </w:rPr>
              <w:t xml:space="preserve"> and </w:t>
            </w:r>
            <w:r w:rsidR="00F136FD" w:rsidRPr="000F21D1">
              <w:rPr>
                <w:rFonts w:ascii="Garamond" w:hAnsi="Garamond"/>
              </w:rPr>
              <w:t xml:space="preserve">1.5 pp, respectively. In the </w:t>
            </w:r>
            <w:r w:rsidR="00AD038A" w:rsidRPr="000F21D1">
              <w:rPr>
                <w:rFonts w:ascii="Garamond" w:hAnsi="Garamond"/>
              </w:rPr>
              <w:t xml:space="preserve">long-term </w:t>
            </w:r>
            <w:r w:rsidR="00F136FD" w:rsidRPr="000F21D1">
              <w:rPr>
                <w:rFonts w:ascii="Garamond" w:hAnsi="Garamond"/>
              </w:rPr>
              <w:t xml:space="preserve">segments yields </w:t>
            </w:r>
            <w:r w:rsidR="00E3634A" w:rsidRPr="000F21D1">
              <w:rPr>
                <w:rFonts w:ascii="Garamond" w:hAnsi="Garamond"/>
              </w:rPr>
              <w:t xml:space="preserve">have </w:t>
            </w:r>
            <w:r w:rsidR="00F136FD" w:rsidRPr="000F21D1">
              <w:rPr>
                <w:rFonts w:ascii="Garamond" w:hAnsi="Garamond"/>
              </w:rPr>
              <w:t xml:space="preserve">narrowed </w:t>
            </w:r>
            <w:r w:rsidR="00AD038A" w:rsidRPr="000F21D1">
              <w:rPr>
                <w:rFonts w:ascii="Garamond" w:hAnsi="Garamond"/>
              </w:rPr>
              <w:t>by 0.</w:t>
            </w:r>
            <w:r w:rsidR="00F136FD" w:rsidRPr="000F21D1">
              <w:rPr>
                <w:rFonts w:ascii="Garamond" w:hAnsi="Garamond"/>
              </w:rPr>
              <w:t>6</w:t>
            </w:r>
            <w:r w:rsidR="00AD038A" w:rsidRPr="000F21D1">
              <w:rPr>
                <w:rFonts w:ascii="Garamond" w:hAnsi="Garamond"/>
              </w:rPr>
              <w:t xml:space="preserve"> p</w:t>
            </w:r>
            <w:r w:rsidR="00E9467F" w:rsidRPr="000F21D1">
              <w:rPr>
                <w:rFonts w:ascii="Garamond" w:hAnsi="Garamond"/>
              </w:rPr>
              <w:t>p</w:t>
            </w:r>
            <w:r w:rsidR="00AD038A" w:rsidRPr="000F21D1">
              <w:rPr>
                <w:rFonts w:ascii="Garamond" w:hAnsi="Garamond"/>
              </w:rPr>
              <w:t xml:space="preserve"> to 1</w:t>
            </w:r>
            <w:r w:rsidR="00F136FD" w:rsidRPr="000F21D1">
              <w:rPr>
                <w:rFonts w:ascii="Garamond" w:hAnsi="Garamond"/>
              </w:rPr>
              <w:t>4</w:t>
            </w:r>
            <w:r w:rsidR="00AD038A" w:rsidRPr="000F21D1">
              <w:rPr>
                <w:rFonts w:ascii="Garamond" w:hAnsi="Garamond"/>
              </w:rPr>
              <w:t>.</w:t>
            </w:r>
            <w:r w:rsidR="00F136FD" w:rsidRPr="000F21D1">
              <w:rPr>
                <w:rFonts w:ascii="Garamond" w:hAnsi="Garamond"/>
              </w:rPr>
              <w:t>9</w:t>
            </w:r>
            <w:r w:rsidR="00AD038A" w:rsidRPr="000F21D1">
              <w:rPr>
                <w:rFonts w:ascii="Garamond" w:hAnsi="Garamond"/>
              </w:rPr>
              <w:t xml:space="preserve">%. As a result, the </w:t>
            </w:r>
            <w:r w:rsidR="006727D1" w:rsidRPr="000F21D1">
              <w:rPr>
                <w:rFonts w:ascii="Garamond" w:hAnsi="Garamond"/>
              </w:rPr>
              <w:t>long-term and short-term interest rate</w:t>
            </w:r>
            <w:r w:rsidR="00530B3A" w:rsidRPr="000F21D1">
              <w:rPr>
                <w:rFonts w:ascii="Garamond" w:hAnsi="Garamond"/>
              </w:rPr>
              <w:t xml:space="preserve"> </w:t>
            </w:r>
            <w:r w:rsidR="006727D1" w:rsidRPr="000F21D1">
              <w:rPr>
                <w:rFonts w:ascii="Garamond" w:hAnsi="Garamond"/>
              </w:rPr>
              <w:t>s</w:t>
            </w:r>
            <w:r w:rsidR="00530B3A" w:rsidRPr="000F21D1">
              <w:rPr>
                <w:rFonts w:ascii="Garamond" w:hAnsi="Garamond"/>
              </w:rPr>
              <w:t>pread</w:t>
            </w:r>
            <w:r w:rsidR="006727D1" w:rsidRPr="000F21D1">
              <w:rPr>
                <w:rFonts w:ascii="Garamond" w:hAnsi="Garamond"/>
              </w:rPr>
              <w:t xml:space="preserve"> widened in </w:t>
            </w:r>
            <w:r w:rsidR="00530B3A" w:rsidRPr="000F21D1">
              <w:rPr>
                <w:rFonts w:ascii="Garamond" w:hAnsi="Garamond"/>
              </w:rPr>
              <w:t>June</w:t>
            </w:r>
            <w:r w:rsidR="006727D1" w:rsidRPr="000F21D1">
              <w:rPr>
                <w:rFonts w:ascii="Garamond" w:hAnsi="Garamond"/>
              </w:rPr>
              <w:t xml:space="preserve"> by 0.</w:t>
            </w:r>
            <w:r w:rsidR="00530B3A" w:rsidRPr="000F21D1">
              <w:rPr>
                <w:rFonts w:ascii="Garamond" w:hAnsi="Garamond"/>
              </w:rPr>
              <w:t>9</w:t>
            </w:r>
            <w:r w:rsidR="006727D1" w:rsidRPr="000F21D1">
              <w:rPr>
                <w:rFonts w:ascii="Garamond" w:hAnsi="Garamond"/>
              </w:rPr>
              <w:t xml:space="preserve">% to </w:t>
            </w:r>
            <w:r w:rsidR="00530B3A" w:rsidRPr="000F21D1">
              <w:rPr>
                <w:rFonts w:ascii="Garamond" w:hAnsi="Garamond"/>
              </w:rPr>
              <w:t>6</w:t>
            </w:r>
            <w:r w:rsidR="006727D1" w:rsidRPr="000F21D1">
              <w:rPr>
                <w:rFonts w:ascii="Garamond" w:hAnsi="Garamond"/>
              </w:rPr>
              <w:t>.</w:t>
            </w:r>
            <w:r w:rsidR="00530B3A" w:rsidRPr="000F21D1">
              <w:rPr>
                <w:rFonts w:ascii="Garamond" w:hAnsi="Garamond"/>
              </w:rPr>
              <w:t>7</w:t>
            </w:r>
            <w:r w:rsidR="006727D1" w:rsidRPr="000F21D1">
              <w:rPr>
                <w:rFonts w:ascii="Garamond" w:hAnsi="Garamond"/>
              </w:rPr>
              <w:t xml:space="preserve"> pp, owing to a sizable </w:t>
            </w:r>
            <w:r w:rsidR="00530B3A" w:rsidRPr="000F21D1">
              <w:rPr>
                <w:rFonts w:ascii="Garamond" w:hAnsi="Garamond"/>
              </w:rPr>
              <w:t xml:space="preserve">reduction </w:t>
            </w:r>
            <w:r w:rsidR="006727D1" w:rsidRPr="000F21D1">
              <w:rPr>
                <w:rFonts w:ascii="Garamond" w:hAnsi="Garamond" w:cs="Sylfaen"/>
              </w:rPr>
              <w:t>in short-term rates.</w:t>
            </w:r>
          </w:p>
        </w:tc>
      </w:tr>
    </w:tbl>
    <w:p w14:paraId="398C8533" w14:textId="77777777" w:rsidR="00646A73" w:rsidRPr="000F21D1" w:rsidRDefault="00646A73" w:rsidP="0006101A">
      <w:pPr>
        <w:spacing w:line="360" w:lineRule="auto"/>
        <w:jc w:val="both"/>
        <w:rPr>
          <w:rFonts w:ascii="Garamond" w:hAnsi="Garamond"/>
        </w:rPr>
      </w:pPr>
    </w:p>
    <w:p w14:paraId="5EDECA58" w14:textId="737E7279" w:rsidR="006B5568" w:rsidRPr="000F21D1" w:rsidRDefault="00785232" w:rsidP="0006101A">
      <w:pPr>
        <w:spacing w:line="360" w:lineRule="auto"/>
        <w:jc w:val="both"/>
        <w:rPr>
          <w:rFonts w:ascii="Garamond" w:hAnsi="Garamond" w:cs="Sylfaen"/>
          <w:color w:val="000000"/>
        </w:rPr>
      </w:pPr>
      <w:r w:rsidRPr="000F21D1">
        <w:rPr>
          <w:rFonts w:ascii="Garamond" w:hAnsi="Garamond" w:cs="Sylfaen"/>
          <w:color w:val="000000"/>
        </w:rPr>
        <w:t xml:space="preserve">The CBA policy conducted in the second quarter, </w:t>
      </w:r>
      <w:r w:rsidR="00A236B8">
        <w:rPr>
          <w:rFonts w:ascii="Garamond" w:hAnsi="Garamond" w:cs="Sylfaen"/>
          <w:color w:val="000000"/>
        </w:rPr>
        <w:t xml:space="preserve">ancoring </w:t>
      </w:r>
      <w:r w:rsidRPr="000F21D1">
        <w:rPr>
          <w:rFonts w:ascii="Garamond" w:hAnsi="Garamond" w:cs="Sylfaen"/>
          <w:color w:val="000000"/>
        </w:rPr>
        <w:t xml:space="preserve">inflation expectations as well as liquidity </w:t>
      </w:r>
      <w:r w:rsidR="00A236B8">
        <w:rPr>
          <w:rFonts w:ascii="Garamond" w:hAnsi="Garamond" w:cs="Sylfaen"/>
          <w:color w:val="000000"/>
        </w:rPr>
        <w:t xml:space="preserve">increase in banking system due to </w:t>
      </w:r>
      <w:r w:rsidRPr="000F21D1">
        <w:rPr>
          <w:rFonts w:ascii="Garamond" w:hAnsi="Garamond" w:cs="Sylfaen"/>
          <w:color w:val="000000"/>
        </w:rPr>
        <w:t>capital</w:t>
      </w:r>
      <w:r w:rsidR="00A236B8">
        <w:rPr>
          <w:rFonts w:ascii="Garamond" w:hAnsi="Garamond" w:cs="Sylfaen"/>
          <w:color w:val="000000"/>
        </w:rPr>
        <w:t xml:space="preserve"> replenishment </w:t>
      </w:r>
      <w:r w:rsidRPr="000F21D1">
        <w:rPr>
          <w:rFonts w:ascii="Garamond" w:hAnsi="Garamond" w:cs="Sylfaen"/>
          <w:color w:val="000000"/>
        </w:rPr>
        <w:t xml:space="preserve">have led to the falling of interest rates on </w:t>
      </w:r>
      <w:r w:rsidR="00380B84" w:rsidRPr="000F21D1">
        <w:rPr>
          <w:rFonts w:ascii="Garamond" w:hAnsi="Garamond" w:cs="Sylfaen"/>
          <w:color w:val="000000"/>
        </w:rPr>
        <w:t xml:space="preserve">funds </w:t>
      </w:r>
      <w:r w:rsidRPr="000F21D1">
        <w:rPr>
          <w:rFonts w:ascii="Garamond" w:hAnsi="Garamond" w:cs="Sylfaen"/>
          <w:color w:val="000000"/>
        </w:rPr>
        <w:t xml:space="preserve">borrowed </w:t>
      </w:r>
      <w:r w:rsidR="00380B84" w:rsidRPr="000F21D1">
        <w:rPr>
          <w:rFonts w:ascii="Garamond" w:hAnsi="Garamond" w:cs="Sylfaen"/>
          <w:color w:val="000000"/>
        </w:rPr>
        <w:t xml:space="preserve">and attracted by banks. </w:t>
      </w:r>
    </w:p>
    <w:p w14:paraId="2405837D" w14:textId="77777777" w:rsidR="00E33507" w:rsidRPr="000F21D1" w:rsidRDefault="00E33507" w:rsidP="0006101A">
      <w:pPr>
        <w:spacing w:line="360" w:lineRule="auto"/>
        <w:jc w:val="both"/>
        <w:rPr>
          <w:rFonts w:ascii="Garamond" w:hAnsi="Garamond" w:cs="Sylfaen"/>
          <w:color w:val="000000"/>
        </w:rPr>
      </w:pPr>
    </w:p>
    <w:tbl>
      <w:tblPr>
        <w:tblW w:w="4805" w:type="pct"/>
        <w:tblInd w:w="105" w:type="dxa"/>
        <w:tblLayout w:type="fixed"/>
        <w:tblLook w:val="04A0" w:firstRow="1" w:lastRow="0" w:firstColumn="1" w:lastColumn="0" w:noHBand="0" w:noVBand="1"/>
      </w:tblPr>
      <w:tblGrid>
        <w:gridCol w:w="5444"/>
        <w:gridCol w:w="1325"/>
        <w:gridCol w:w="1193"/>
        <w:gridCol w:w="1241"/>
      </w:tblGrid>
      <w:tr w:rsidR="006B5568" w:rsidRPr="00F720C4" w14:paraId="68EBD65F" w14:textId="77777777" w:rsidTr="00A772D2">
        <w:trPr>
          <w:trHeight w:val="330"/>
        </w:trPr>
        <w:tc>
          <w:tcPr>
            <w:tcW w:w="29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20D02" w14:textId="77777777" w:rsidR="006B5568" w:rsidRPr="000F21D1" w:rsidRDefault="006B5568" w:rsidP="00A772D2">
            <w:pPr>
              <w:spacing w:before="80" w:after="80"/>
              <w:rPr>
                <w:rFonts w:ascii="Garamond" w:hAnsi="Garamond"/>
                <w:b/>
                <w:color w:val="000000"/>
              </w:rPr>
            </w:pPr>
            <w:r w:rsidRPr="000F21D1">
              <w:rPr>
                <w:rFonts w:ascii="Garamond" w:hAnsi="Garamond"/>
                <w:b/>
                <w:color w:val="000000"/>
              </w:rPr>
              <w:t>Interest rate on deposits in local currency</w:t>
            </w:r>
          </w:p>
        </w:tc>
        <w:tc>
          <w:tcPr>
            <w:tcW w:w="720" w:type="pct"/>
            <w:tcBorders>
              <w:top w:val="single" w:sz="4" w:space="0" w:color="auto"/>
              <w:left w:val="nil"/>
              <w:bottom w:val="single" w:sz="4" w:space="0" w:color="auto"/>
              <w:right w:val="single" w:sz="4" w:space="0" w:color="auto"/>
            </w:tcBorders>
            <w:shd w:val="clear" w:color="auto" w:fill="auto"/>
            <w:noWrap/>
            <w:vAlign w:val="bottom"/>
            <w:hideMark/>
          </w:tcPr>
          <w:p w14:paraId="3809BADA" w14:textId="77777777" w:rsidR="006B5568" w:rsidRPr="000F21D1" w:rsidRDefault="006B5568" w:rsidP="00A772D2">
            <w:pPr>
              <w:spacing w:before="80" w:after="80"/>
              <w:ind w:left="-57" w:right="-57"/>
              <w:jc w:val="center"/>
              <w:rPr>
                <w:rFonts w:ascii="Garamond" w:hAnsi="Garamond"/>
                <w:b/>
                <w:color w:val="000000"/>
              </w:rPr>
            </w:pPr>
            <w:r w:rsidRPr="000F21D1">
              <w:rPr>
                <w:rFonts w:ascii="Garamond" w:hAnsi="Garamond"/>
                <w:b/>
                <w:color w:val="000000"/>
              </w:rPr>
              <w:t xml:space="preserve">Q1, 2016 </w:t>
            </w:r>
          </w:p>
        </w:tc>
        <w:tc>
          <w:tcPr>
            <w:tcW w:w="648" w:type="pct"/>
            <w:tcBorders>
              <w:top w:val="single" w:sz="4" w:space="0" w:color="auto"/>
              <w:left w:val="nil"/>
              <w:bottom w:val="single" w:sz="4" w:space="0" w:color="auto"/>
              <w:right w:val="single" w:sz="4" w:space="0" w:color="auto"/>
            </w:tcBorders>
            <w:shd w:val="clear" w:color="auto" w:fill="auto"/>
            <w:noWrap/>
            <w:vAlign w:val="bottom"/>
            <w:hideMark/>
          </w:tcPr>
          <w:p w14:paraId="68520EB8" w14:textId="77777777" w:rsidR="006B5568" w:rsidRPr="000F21D1" w:rsidRDefault="006B5568" w:rsidP="00A772D2">
            <w:pPr>
              <w:spacing w:before="80" w:after="80"/>
              <w:ind w:left="-57" w:right="-57"/>
              <w:jc w:val="center"/>
              <w:rPr>
                <w:rFonts w:ascii="Garamond" w:hAnsi="Garamond"/>
                <w:b/>
                <w:color w:val="000000"/>
              </w:rPr>
            </w:pPr>
            <w:r w:rsidRPr="000F21D1">
              <w:rPr>
                <w:rFonts w:ascii="Garamond" w:hAnsi="Garamond"/>
                <w:b/>
                <w:color w:val="000000"/>
              </w:rPr>
              <w:t>Q2, 2016</w:t>
            </w:r>
          </w:p>
        </w:tc>
        <w:tc>
          <w:tcPr>
            <w:tcW w:w="674" w:type="pct"/>
            <w:tcBorders>
              <w:top w:val="single" w:sz="4" w:space="0" w:color="auto"/>
              <w:left w:val="nil"/>
              <w:bottom w:val="single" w:sz="4" w:space="0" w:color="auto"/>
              <w:right w:val="single" w:sz="4" w:space="0" w:color="auto"/>
            </w:tcBorders>
            <w:shd w:val="clear" w:color="auto" w:fill="auto"/>
            <w:noWrap/>
            <w:vAlign w:val="bottom"/>
            <w:hideMark/>
          </w:tcPr>
          <w:p w14:paraId="2F0B8B4D" w14:textId="77777777" w:rsidR="006B5568" w:rsidRPr="000F21D1" w:rsidRDefault="006B5568" w:rsidP="00A772D2">
            <w:pPr>
              <w:spacing w:before="80" w:after="80"/>
              <w:ind w:left="-57" w:right="-57"/>
              <w:jc w:val="center"/>
              <w:rPr>
                <w:rFonts w:ascii="Garamond" w:hAnsi="Garamond"/>
                <w:b/>
                <w:color w:val="000000"/>
              </w:rPr>
            </w:pPr>
            <w:r w:rsidRPr="000F21D1">
              <w:rPr>
                <w:rFonts w:ascii="Garamond" w:hAnsi="Garamond"/>
                <w:b/>
                <w:color w:val="000000"/>
              </w:rPr>
              <w:t>Change</w:t>
            </w:r>
          </w:p>
        </w:tc>
      </w:tr>
      <w:tr w:rsidR="006B5568" w:rsidRPr="00F720C4" w14:paraId="25048857"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3A8BECB4" w14:textId="77777777" w:rsidR="006B5568" w:rsidRPr="000F21D1" w:rsidRDefault="006B5568" w:rsidP="00A772D2">
            <w:pPr>
              <w:spacing w:before="80" w:after="80"/>
              <w:rPr>
                <w:rFonts w:ascii="Garamond" w:hAnsi="Garamond"/>
                <w:color w:val="000000"/>
              </w:rPr>
            </w:pPr>
            <w:r w:rsidRPr="000F21D1">
              <w:rPr>
                <w:rFonts w:ascii="Garamond" w:hAnsi="Garamond"/>
                <w:b/>
                <w:bCs/>
                <w:color w:val="000000"/>
              </w:rPr>
              <w:t>Up to 1 year</w:t>
            </w:r>
          </w:p>
        </w:tc>
      </w:tr>
      <w:tr w:rsidR="006B5568" w:rsidRPr="00F720C4" w14:paraId="4C1DD73C" w14:textId="77777777" w:rsidTr="00A772D2">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39EF2801" w14:textId="2944C510" w:rsidR="006B5568" w:rsidRPr="000F21D1" w:rsidRDefault="00A66249" w:rsidP="00A236B8">
            <w:pPr>
              <w:spacing w:before="80" w:after="80"/>
              <w:rPr>
                <w:rFonts w:ascii="Garamond" w:hAnsi="Garamond"/>
                <w:i/>
                <w:iCs/>
                <w:color w:val="000000"/>
              </w:rPr>
            </w:pPr>
            <w:r>
              <w:rPr>
                <w:rFonts w:ascii="Garamond" w:hAnsi="Garamond"/>
                <w:i/>
                <w:iCs/>
                <w:color w:val="000000"/>
              </w:rPr>
              <w:t xml:space="preserve">  </w:t>
            </w:r>
            <w:r w:rsidR="00A236B8">
              <w:rPr>
                <w:rFonts w:ascii="Garamond" w:hAnsi="Garamond"/>
                <w:i/>
                <w:iCs/>
                <w:color w:val="000000"/>
              </w:rPr>
              <w:t>N</w:t>
            </w:r>
            <w:r>
              <w:rPr>
                <w:rFonts w:ascii="Garamond" w:hAnsi="Garamond"/>
                <w:i/>
                <w:iCs/>
                <w:color w:val="000000"/>
              </w:rPr>
              <w:t>on financial corporations</w:t>
            </w:r>
          </w:p>
        </w:tc>
        <w:tc>
          <w:tcPr>
            <w:tcW w:w="720" w:type="pct"/>
            <w:tcBorders>
              <w:top w:val="nil"/>
              <w:left w:val="nil"/>
              <w:bottom w:val="single" w:sz="4" w:space="0" w:color="auto"/>
              <w:right w:val="single" w:sz="4" w:space="0" w:color="auto"/>
            </w:tcBorders>
            <w:shd w:val="clear" w:color="auto" w:fill="auto"/>
            <w:noWrap/>
            <w:vAlign w:val="bottom"/>
            <w:hideMark/>
          </w:tcPr>
          <w:p w14:paraId="26DE8342"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9.20</w:t>
            </w:r>
          </w:p>
        </w:tc>
        <w:tc>
          <w:tcPr>
            <w:tcW w:w="648" w:type="pct"/>
            <w:tcBorders>
              <w:top w:val="nil"/>
              <w:left w:val="nil"/>
              <w:bottom w:val="single" w:sz="4" w:space="0" w:color="auto"/>
              <w:right w:val="single" w:sz="4" w:space="0" w:color="auto"/>
            </w:tcBorders>
            <w:shd w:val="clear" w:color="auto" w:fill="auto"/>
            <w:noWrap/>
            <w:vAlign w:val="bottom"/>
            <w:hideMark/>
          </w:tcPr>
          <w:p w14:paraId="415E4D19"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9.04</w:t>
            </w:r>
          </w:p>
        </w:tc>
        <w:tc>
          <w:tcPr>
            <w:tcW w:w="674" w:type="pct"/>
            <w:tcBorders>
              <w:top w:val="nil"/>
              <w:left w:val="nil"/>
              <w:bottom w:val="single" w:sz="4" w:space="0" w:color="auto"/>
              <w:right w:val="single" w:sz="4" w:space="0" w:color="auto"/>
            </w:tcBorders>
            <w:shd w:val="clear" w:color="auto" w:fill="auto"/>
            <w:noWrap/>
            <w:vAlign w:val="bottom"/>
            <w:hideMark/>
          </w:tcPr>
          <w:p w14:paraId="59C094EB"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-0.16</w:t>
            </w:r>
          </w:p>
        </w:tc>
      </w:tr>
      <w:tr w:rsidR="006B5568" w:rsidRPr="00F720C4" w14:paraId="010B0E7A" w14:textId="77777777" w:rsidTr="00A772D2">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2FD6E6CC" w14:textId="56BC3367" w:rsidR="006B5568" w:rsidRPr="000F21D1" w:rsidRDefault="00A66249" w:rsidP="00A236B8">
            <w:pPr>
              <w:spacing w:before="80" w:after="80"/>
              <w:rPr>
                <w:rFonts w:ascii="Garamond" w:hAnsi="Garamond"/>
                <w:i/>
                <w:iCs/>
                <w:color w:val="000000"/>
              </w:rPr>
            </w:pPr>
            <w:r>
              <w:rPr>
                <w:rFonts w:ascii="Garamond" w:hAnsi="Garamond"/>
                <w:i/>
                <w:iCs/>
                <w:color w:val="000000"/>
              </w:rPr>
              <w:t xml:space="preserve"> </w:t>
            </w:r>
            <w:r w:rsidR="00A236B8">
              <w:rPr>
                <w:rFonts w:ascii="Garamond" w:hAnsi="Garamond"/>
                <w:i/>
                <w:iCs/>
                <w:color w:val="000000"/>
              </w:rPr>
              <w:t>H</w:t>
            </w:r>
            <w:r>
              <w:rPr>
                <w:rFonts w:ascii="Garamond" w:hAnsi="Garamond"/>
                <w:i/>
                <w:iCs/>
                <w:color w:val="000000"/>
              </w:rPr>
              <w:t>households</w:t>
            </w:r>
          </w:p>
        </w:tc>
        <w:tc>
          <w:tcPr>
            <w:tcW w:w="720" w:type="pct"/>
            <w:tcBorders>
              <w:top w:val="nil"/>
              <w:left w:val="nil"/>
              <w:bottom w:val="single" w:sz="4" w:space="0" w:color="auto"/>
              <w:right w:val="single" w:sz="4" w:space="0" w:color="auto"/>
            </w:tcBorders>
            <w:shd w:val="clear" w:color="auto" w:fill="auto"/>
            <w:noWrap/>
            <w:vAlign w:val="bottom"/>
            <w:hideMark/>
          </w:tcPr>
          <w:p w14:paraId="6260FD52"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14.78</w:t>
            </w:r>
          </w:p>
        </w:tc>
        <w:tc>
          <w:tcPr>
            <w:tcW w:w="648" w:type="pct"/>
            <w:tcBorders>
              <w:top w:val="nil"/>
              <w:left w:val="nil"/>
              <w:bottom w:val="single" w:sz="4" w:space="0" w:color="auto"/>
              <w:right w:val="single" w:sz="4" w:space="0" w:color="auto"/>
            </w:tcBorders>
            <w:shd w:val="clear" w:color="auto" w:fill="auto"/>
            <w:noWrap/>
            <w:vAlign w:val="bottom"/>
            <w:hideMark/>
          </w:tcPr>
          <w:p w14:paraId="3DE30B21"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13.58</w:t>
            </w:r>
          </w:p>
        </w:tc>
        <w:tc>
          <w:tcPr>
            <w:tcW w:w="674" w:type="pct"/>
            <w:tcBorders>
              <w:top w:val="nil"/>
              <w:left w:val="nil"/>
              <w:bottom w:val="single" w:sz="4" w:space="0" w:color="auto"/>
              <w:right w:val="single" w:sz="4" w:space="0" w:color="auto"/>
            </w:tcBorders>
            <w:shd w:val="clear" w:color="auto" w:fill="auto"/>
            <w:noWrap/>
            <w:vAlign w:val="bottom"/>
            <w:hideMark/>
          </w:tcPr>
          <w:p w14:paraId="4A2ED0BF"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-1.20</w:t>
            </w:r>
          </w:p>
        </w:tc>
      </w:tr>
      <w:tr w:rsidR="006B5568" w:rsidRPr="00F720C4" w14:paraId="78D591C2"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2036FEB1" w14:textId="77777777" w:rsidR="006B5568" w:rsidRPr="000F21D1" w:rsidRDefault="006B5568" w:rsidP="00A772D2">
            <w:pPr>
              <w:spacing w:before="80" w:after="80"/>
              <w:rPr>
                <w:rFonts w:ascii="Garamond" w:hAnsi="Garamond"/>
                <w:color w:val="000000"/>
              </w:rPr>
            </w:pPr>
            <w:r w:rsidRPr="000F21D1">
              <w:rPr>
                <w:rFonts w:ascii="Garamond" w:hAnsi="Garamond"/>
                <w:b/>
                <w:bCs/>
                <w:color w:val="000000"/>
              </w:rPr>
              <w:t>Over 1 year</w:t>
            </w:r>
          </w:p>
        </w:tc>
      </w:tr>
      <w:tr w:rsidR="006B5568" w:rsidRPr="00F720C4" w14:paraId="00116907" w14:textId="77777777" w:rsidTr="00A772D2">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3445B36E" w14:textId="43FC7357" w:rsidR="006B5568" w:rsidRPr="000F21D1" w:rsidRDefault="00A66249" w:rsidP="00A236B8">
            <w:pPr>
              <w:spacing w:before="80" w:after="80"/>
              <w:rPr>
                <w:rFonts w:ascii="Garamond" w:hAnsi="Garamond"/>
                <w:i/>
                <w:iCs/>
                <w:color w:val="000000"/>
              </w:rPr>
            </w:pPr>
            <w:r>
              <w:rPr>
                <w:rFonts w:ascii="Garamond" w:hAnsi="Garamond"/>
                <w:i/>
                <w:iCs/>
                <w:color w:val="000000"/>
              </w:rPr>
              <w:t xml:space="preserve">  </w:t>
            </w:r>
            <w:r w:rsidR="00A236B8">
              <w:rPr>
                <w:rFonts w:ascii="Garamond" w:hAnsi="Garamond"/>
                <w:i/>
                <w:iCs/>
                <w:color w:val="000000"/>
              </w:rPr>
              <w:t>N</w:t>
            </w:r>
            <w:r>
              <w:rPr>
                <w:rFonts w:ascii="Garamond" w:hAnsi="Garamond"/>
                <w:i/>
                <w:iCs/>
                <w:color w:val="000000"/>
              </w:rPr>
              <w:t>on financial corporations</w:t>
            </w:r>
          </w:p>
        </w:tc>
        <w:tc>
          <w:tcPr>
            <w:tcW w:w="720" w:type="pct"/>
            <w:tcBorders>
              <w:top w:val="nil"/>
              <w:left w:val="nil"/>
              <w:bottom w:val="single" w:sz="4" w:space="0" w:color="auto"/>
              <w:right w:val="single" w:sz="4" w:space="0" w:color="auto"/>
            </w:tcBorders>
            <w:shd w:val="clear" w:color="auto" w:fill="auto"/>
            <w:noWrap/>
            <w:vAlign w:val="bottom"/>
            <w:hideMark/>
          </w:tcPr>
          <w:p w14:paraId="71014D10"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13.65</w:t>
            </w:r>
          </w:p>
        </w:tc>
        <w:tc>
          <w:tcPr>
            <w:tcW w:w="648" w:type="pct"/>
            <w:tcBorders>
              <w:top w:val="nil"/>
              <w:left w:val="nil"/>
              <w:bottom w:val="single" w:sz="4" w:space="0" w:color="auto"/>
              <w:right w:val="single" w:sz="4" w:space="0" w:color="auto"/>
            </w:tcBorders>
            <w:shd w:val="clear" w:color="auto" w:fill="auto"/>
            <w:noWrap/>
            <w:vAlign w:val="bottom"/>
            <w:hideMark/>
          </w:tcPr>
          <w:p w14:paraId="59F6514D"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13.64</w:t>
            </w:r>
          </w:p>
        </w:tc>
        <w:tc>
          <w:tcPr>
            <w:tcW w:w="674" w:type="pct"/>
            <w:tcBorders>
              <w:top w:val="nil"/>
              <w:left w:val="nil"/>
              <w:bottom w:val="single" w:sz="4" w:space="0" w:color="auto"/>
              <w:right w:val="single" w:sz="4" w:space="0" w:color="auto"/>
            </w:tcBorders>
            <w:shd w:val="clear" w:color="auto" w:fill="auto"/>
            <w:noWrap/>
            <w:vAlign w:val="bottom"/>
            <w:hideMark/>
          </w:tcPr>
          <w:p w14:paraId="5999E5CA"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-0.01</w:t>
            </w:r>
          </w:p>
        </w:tc>
      </w:tr>
      <w:tr w:rsidR="006B5568" w:rsidRPr="00F720C4" w14:paraId="2652DFE9" w14:textId="77777777" w:rsidTr="00A772D2">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36F6E193" w14:textId="5B7CBBC4" w:rsidR="006B5568" w:rsidRPr="000F21D1" w:rsidRDefault="00A66249" w:rsidP="00A236B8">
            <w:pPr>
              <w:spacing w:before="80" w:after="80"/>
              <w:rPr>
                <w:rFonts w:ascii="Garamond" w:hAnsi="Garamond"/>
                <w:i/>
                <w:iCs/>
                <w:color w:val="000000"/>
              </w:rPr>
            </w:pPr>
            <w:r>
              <w:rPr>
                <w:rFonts w:ascii="Garamond" w:hAnsi="Garamond"/>
                <w:i/>
                <w:iCs/>
                <w:color w:val="000000"/>
              </w:rPr>
              <w:t xml:space="preserve"> </w:t>
            </w:r>
            <w:r w:rsidR="00A236B8">
              <w:rPr>
                <w:rFonts w:ascii="Garamond" w:hAnsi="Garamond"/>
                <w:i/>
                <w:iCs/>
                <w:color w:val="000000"/>
              </w:rPr>
              <w:t>H</w:t>
            </w:r>
            <w:r>
              <w:rPr>
                <w:rFonts w:ascii="Garamond" w:hAnsi="Garamond"/>
                <w:i/>
                <w:iCs/>
                <w:color w:val="000000"/>
              </w:rPr>
              <w:t>households</w:t>
            </w:r>
          </w:p>
        </w:tc>
        <w:tc>
          <w:tcPr>
            <w:tcW w:w="720" w:type="pct"/>
            <w:tcBorders>
              <w:top w:val="nil"/>
              <w:left w:val="nil"/>
              <w:bottom w:val="single" w:sz="4" w:space="0" w:color="auto"/>
              <w:right w:val="single" w:sz="4" w:space="0" w:color="auto"/>
            </w:tcBorders>
            <w:shd w:val="clear" w:color="auto" w:fill="auto"/>
            <w:noWrap/>
            <w:vAlign w:val="bottom"/>
            <w:hideMark/>
          </w:tcPr>
          <w:p w14:paraId="38388870"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14.7</w:t>
            </w:r>
          </w:p>
        </w:tc>
        <w:tc>
          <w:tcPr>
            <w:tcW w:w="648" w:type="pct"/>
            <w:tcBorders>
              <w:top w:val="nil"/>
              <w:left w:val="nil"/>
              <w:bottom w:val="single" w:sz="4" w:space="0" w:color="auto"/>
              <w:right w:val="single" w:sz="4" w:space="0" w:color="auto"/>
            </w:tcBorders>
            <w:shd w:val="clear" w:color="auto" w:fill="auto"/>
            <w:noWrap/>
            <w:vAlign w:val="bottom"/>
            <w:hideMark/>
          </w:tcPr>
          <w:p w14:paraId="6BD71577"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13.56</w:t>
            </w:r>
          </w:p>
        </w:tc>
        <w:tc>
          <w:tcPr>
            <w:tcW w:w="674" w:type="pct"/>
            <w:tcBorders>
              <w:top w:val="nil"/>
              <w:left w:val="nil"/>
              <w:bottom w:val="single" w:sz="4" w:space="0" w:color="auto"/>
              <w:right w:val="single" w:sz="4" w:space="0" w:color="auto"/>
            </w:tcBorders>
            <w:shd w:val="clear" w:color="auto" w:fill="auto"/>
            <w:noWrap/>
            <w:vAlign w:val="bottom"/>
            <w:hideMark/>
          </w:tcPr>
          <w:p w14:paraId="355F5BD6"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-1.14</w:t>
            </w:r>
          </w:p>
        </w:tc>
      </w:tr>
      <w:tr w:rsidR="006B5568" w:rsidRPr="00F720C4" w14:paraId="40445241" w14:textId="77777777" w:rsidTr="00A772D2">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5464A5D7" w14:textId="77777777" w:rsidR="006B5568" w:rsidRPr="000F21D1" w:rsidRDefault="006B5568" w:rsidP="00A772D2">
            <w:pPr>
              <w:spacing w:before="240" w:after="80"/>
              <w:rPr>
                <w:rFonts w:ascii="Garamond" w:hAnsi="Garamond"/>
                <w:b/>
                <w:iCs/>
                <w:color w:val="000000"/>
              </w:rPr>
            </w:pPr>
            <w:r w:rsidRPr="000F21D1">
              <w:rPr>
                <w:rFonts w:ascii="Garamond" w:hAnsi="Garamond"/>
                <w:b/>
                <w:iCs/>
                <w:color w:val="000000"/>
              </w:rPr>
              <w:lastRenderedPageBreak/>
              <w:t>Interest rate on loans in local currency</w:t>
            </w:r>
          </w:p>
        </w:tc>
        <w:tc>
          <w:tcPr>
            <w:tcW w:w="720" w:type="pct"/>
            <w:tcBorders>
              <w:top w:val="nil"/>
              <w:left w:val="nil"/>
              <w:bottom w:val="single" w:sz="4" w:space="0" w:color="auto"/>
              <w:right w:val="single" w:sz="4" w:space="0" w:color="auto"/>
            </w:tcBorders>
            <w:shd w:val="clear" w:color="auto" w:fill="auto"/>
            <w:noWrap/>
            <w:vAlign w:val="bottom"/>
            <w:hideMark/>
          </w:tcPr>
          <w:p w14:paraId="343B0BC9" w14:textId="77777777" w:rsidR="006B5568" w:rsidRPr="000F21D1" w:rsidRDefault="006B5568" w:rsidP="00A772D2">
            <w:pPr>
              <w:spacing w:before="80" w:after="80"/>
              <w:ind w:left="-57" w:right="-57"/>
              <w:jc w:val="center"/>
              <w:rPr>
                <w:rFonts w:ascii="Garamond" w:hAnsi="Garamond"/>
                <w:b/>
                <w:color w:val="000000"/>
              </w:rPr>
            </w:pPr>
            <w:r w:rsidRPr="000F21D1">
              <w:rPr>
                <w:rFonts w:ascii="Garamond" w:hAnsi="Garamond"/>
                <w:b/>
                <w:color w:val="000000"/>
              </w:rPr>
              <w:t xml:space="preserve">Q1, 2016 </w:t>
            </w:r>
          </w:p>
        </w:tc>
        <w:tc>
          <w:tcPr>
            <w:tcW w:w="648" w:type="pct"/>
            <w:tcBorders>
              <w:top w:val="nil"/>
              <w:left w:val="nil"/>
              <w:bottom w:val="single" w:sz="4" w:space="0" w:color="auto"/>
              <w:right w:val="single" w:sz="4" w:space="0" w:color="auto"/>
            </w:tcBorders>
            <w:shd w:val="clear" w:color="auto" w:fill="auto"/>
            <w:noWrap/>
            <w:vAlign w:val="bottom"/>
            <w:hideMark/>
          </w:tcPr>
          <w:p w14:paraId="58400053" w14:textId="77777777" w:rsidR="006B5568" w:rsidRPr="000F21D1" w:rsidRDefault="006B5568" w:rsidP="00A772D2">
            <w:pPr>
              <w:spacing w:before="80" w:after="80"/>
              <w:ind w:left="-57" w:right="-57"/>
              <w:jc w:val="center"/>
              <w:rPr>
                <w:rFonts w:ascii="Garamond" w:hAnsi="Garamond"/>
                <w:b/>
                <w:color w:val="000000"/>
              </w:rPr>
            </w:pPr>
            <w:r w:rsidRPr="000F21D1">
              <w:rPr>
                <w:rFonts w:ascii="Garamond" w:hAnsi="Garamond"/>
                <w:b/>
                <w:color w:val="000000"/>
              </w:rPr>
              <w:t>Q2, 2016</w:t>
            </w:r>
          </w:p>
        </w:tc>
        <w:tc>
          <w:tcPr>
            <w:tcW w:w="674" w:type="pct"/>
            <w:tcBorders>
              <w:top w:val="nil"/>
              <w:left w:val="nil"/>
              <w:bottom w:val="single" w:sz="4" w:space="0" w:color="auto"/>
              <w:right w:val="single" w:sz="4" w:space="0" w:color="auto"/>
            </w:tcBorders>
            <w:shd w:val="clear" w:color="auto" w:fill="auto"/>
            <w:noWrap/>
            <w:vAlign w:val="bottom"/>
            <w:hideMark/>
          </w:tcPr>
          <w:p w14:paraId="2A5955FB" w14:textId="77777777" w:rsidR="006B5568" w:rsidRPr="000F21D1" w:rsidRDefault="006B5568" w:rsidP="00A772D2">
            <w:pPr>
              <w:spacing w:before="80" w:after="80"/>
              <w:ind w:left="-57" w:right="-57"/>
              <w:jc w:val="center"/>
              <w:rPr>
                <w:rFonts w:ascii="Garamond" w:hAnsi="Garamond"/>
                <w:b/>
                <w:color w:val="000000"/>
              </w:rPr>
            </w:pPr>
            <w:r w:rsidRPr="000F21D1">
              <w:rPr>
                <w:rFonts w:ascii="Garamond" w:hAnsi="Garamond"/>
                <w:b/>
                <w:color w:val="000000"/>
              </w:rPr>
              <w:t>Change</w:t>
            </w:r>
          </w:p>
        </w:tc>
      </w:tr>
      <w:tr w:rsidR="006B5568" w:rsidRPr="00F720C4" w14:paraId="5FC63E01"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181459D0" w14:textId="77777777" w:rsidR="006B5568" w:rsidRPr="000F21D1" w:rsidRDefault="006B5568" w:rsidP="00A772D2">
            <w:pPr>
              <w:spacing w:before="80" w:after="60"/>
              <w:rPr>
                <w:rFonts w:ascii="Garamond" w:hAnsi="Garamond"/>
                <w:color w:val="000000"/>
              </w:rPr>
            </w:pPr>
            <w:r w:rsidRPr="000F21D1">
              <w:rPr>
                <w:rFonts w:ascii="Garamond" w:hAnsi="Garamond"/>
                <w:b/>
                <w:bCs/>
                <w:color w:val="000000"/>
              </w:rPr>
              <w:t>Up to 1 year</w:t>
            </w:r>
            <w:r w:rsidRPr="000F21D1">
              <w:rPr>
                <w:rFonts w:ascii="Garamond" w:hAnsi="Garamond" w:cs="Courier New"/>
                <w:color w:val="000000"/>
              </w:rPr>
              <w:t> </w:t>
            </w:r>
          </w:p>
        </w:tc>
      </w:tr>
      <w:tr w:rsidR="006B5568" w:rsidRPr="00F720C4" w14:paraId="1BFE3CD2" w14:textId="77777777" w:rsidTr="00A772D2">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5345841A" w14:textId="2D68E4B7" w:rsidR="006B5568" w:rsidRPr="000F21D1" w:rsidRDefault="00A66249" w:rsidP="00A772D2">
            <w:pPr>
              <w:spacing w:before="80" w:after="60"/>
              <w:rPr>
                <w:rFonts w:ascii="Garamond" w:hAnsi="Garamond"/>
                <w:i/>
                <w:iCs/>
                <w:color w:val="000000"/>
              </w:rPr>
            </w:pPr>
            <w:r>
              <w:rPr>
                <w:rFonts w:ascii="Garamond" w:hAnsi="Garamond"/>
                <w:i/>
                <w:iCs/>
                <w:color w:val="000000"/>
              </w:rPr>
              <w:t xml:space="preserve">  </w:t>
            </w:r>
            <w:r w:rsidR="00A236B8">
              <w:rPr>
                <w:rFonts w:ascii="Garamond" w:hAnsi="Garamond"/>
                <w:i/>
                <w:iCs/>
                <w:color w:val="000000"/>
              </w:rPr>
              <w:t>N</w:t>
            </w:r>
            <w:r>
              <w:rPr>
                <w:rFonts w:ascii="Garamond" w:hAnsi="Garamond"/>
                <w:i/>
                <w:iCs/>
                <w:color w:val="000000"/>
              </w:rPr>
              <w:t>on financial corporations</w:t>
            </w:r>
          </w:p>
        </w:tc>
        <w:tc>
          <w:tcPr>
            <w:tcW w:w="720" w:type="pct"/>
            <w:tcBorders>
              <w:top w:val="nil"/>
              <w:left w:val="nil"/>
              <w:bottom w:val="single" w:sz="4" w:space="0" w:color="auto"/>
              <w:right w:val="single" w:sz="4" w:space="0" w:color="auto"/>
            </w:tcBorders>
            <w:shd w:val="clear" w:color="auto" w:fill="auto"/>
            <w:noWrap/>
            <w:vAlign w:val="bottom"/>
            <w:hideMark/>
          </w:tcPr>
          <w:p w14:paraId="2CE9CE2F" w14:textId="77777777" w:rsidR="006B5568" w:rsidRPr="000F21D1" w:rsidRDefault="006B5568" w:rsidP="00A772D2">
            <w:pPr>
              <w:spacing w:before="80" w:after="60"/>
              <w:jc w:val="right"/>
              <w:rPr>
                <w:rFonts w:ascii="Garamond" w:hAnsi="Garamond"/>
                <w:b/>
                <w:color w:val="000000"/>
              </w:rPr>
            </w:pPr>
            <w:r w:rsidRPr="000F21D1">
              <w:rPr>
                <w:rFonts w:ascii="Garamond" w:hAnsi="Garamond"/>
                <w:b/>
                <w:color w:val="000000"/>
              </w:rPr>
              <w:t>14.22</w:t>
            </w:r>
          </w:p>
        </w:tc>
        <w:tc>
          <w:tcPr>
            <w:tcW w:w="648" w:type="pct"/>
            <w:tcBorders>
              <w:top w:val="nil"/>
              <w:left w:val="nil"/>
              <w:bottom w:val="single" w:sz="4" w:space="0" w:color="auto"/>
              <w:right w:val="single" w:sz="4" w:space="0" w:color="auto"/>
            </w:tcBorders>
            <w:shd w:val="clear" w:color="auto" w:fill="auto"/>
            <w:noWrap/>
            <w:vAlign w:val="bottom"/>
            <w:hideMark/>
          </w:tcPr>
          <w:p w14:paraId="2097BAC4" w14:textId="77777777" w:rsidR="006B5568" w:rsidRPr="000F21D1" w:rsidRDefault="006B5568" w:rsidP="00A772D2">
            <w:pPr>
              <w:spacing w:before="80" w:after="60"/>
              <w:jc w:val="right"/>
              <w:rPr>
                <w:rFonts w:ascii="Garamond" w:hAnsi="Garamond"/>
                <w:color w:val="000000"/>
              </w:rPr>
            </w:pPr>
            <w:r w:rsidRPr="000F21D1">
              <w:rPr>
                <w:rFonts w:ascii="Garamond" w:hAnsi="Garamond"/>
                <w:color w:val="000000"/>
              </w:rPr>
              <w:t>13.73</w:t>
            </w:r>
          </w:p>
        </w:tc>
        <w:tc>
          <w:tcPr>
            <w:tcW w:w="674" w:type="pct"/>
            <w:tcBorders>
              <w:top w:val="nil"/>
              <w:left w:val="nil"/>
              <w:bottom w:val="single" w:sz="4" w:space="0" w:color="auto"/>
              <w:right w:val="single" w:sz="4" w:space="0" w:color="auto"/>
            </w:tcBorders>
            <w:shd w:val="clear" w:color="auto" w:fill="auto"/>
            <w:noWrap/>
            <w:vAlign w:val="bottom"/>
            <w:hideMark/>
          </w:tcPr>
          <w:p w14:paraId="77E4B4EF" w14:textId="77777777" w:rsidR="006B5568" w:rsidRPr="000F21D1" w:rsidRDefault="006B5568" w:rsidP="00A772D2">
            <w:pPr>
              <w:spacing w:before="80" w:after="60"/>
              <w:jc w:val="right"/>
              <w:rPr>
                <w:rFonts w:ascii="Garamond" w:hAnsi="Garamond"/>
                <w:color w:val="000000"/>
              </w:rPr>
            </w:pPr>
            <w:r w:rsidRPr="000F21D1">
              <w:rPr>
                <w:rFonts w:ascii="Garamond" w:hAnsi="Garamond"/>
                <w:color w:val="000000"/>
              </w:rPr>
              <w:t>-0.49</w:t>
            </w:r>
          </w:p>
        </w:tc>
      </w:tr>
      <w:tr w:rsidR="006B5568" w:rsidRPr="00F720C4" w14:paraId="389515FF" w14:textId="77777777" w:rsidTr="00A772D2">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037011D8" w14:textId="221363E9" w:rsidR="006B5568" w:rsidRPr="000F21D1" w:rsidRDefault="00A66249" w:rsidP="00A236B8">
            <w:pPr>
              <w:spacing w:before="80" w:after="60"/>
              <w:rPr>
                <w:rFonts w:ascii="Garamond" w:hAnsi="Garamond"/>
                <w:i/>
                <w:iCs/>
                <w:color w:val="000000"/>
              </w:rPr>
            </w:pPr>
            <w:r>
              <w:rPr>
                <w:rFonts w:ascii="Garamond" w:hAnsi="Garamond"/>
                <w:i/>
                <w:iCs/>
                <w:color w:val="000000"/>
              </w:rPr>
              <w:t xml:space="preserve">  </w:t>
            </w:r>
            <w:r w:rsidR="00A236B8">
              <w:rPr>
                <w:rFonts w:ascii="Garamond" w:hAnsi="Garamond"/>
                <w:i/>
                <w:iCs/>
                <w:color w:val="000000"/>
              </w:rPr>
              <w:t>H</w:t>
            </w:r>
            <w:r>
              <w:rPr>
                <w:rFonts w:ascii="Garamond" w:hAnsi="Garamond"/>
                <w:i/>
                <w:iCs/>
                <w:color w:val="000000"/>
              </w:rPr>
              <w:t>households</w:t>
            </w:r>
          </w:p>
        </w:tc>
        <w:tc>
          <w:tcPr>
            <w:tcW w:w="720" w:type="pct"/>
            <w:tcBorders>
              <w:top w:val="nil"/>
              <w:left w:val="nil"/>
              <w:bottom w:val="single" w:sz="4" w:space="0" w:color="auto"/>
              <w:right w:val="single" w:sz="4" w:space="0" w:color="auto"/>
            </w:tcBorders>
            <w:shd w:val="clear" w:color="auto" w:fill="auto"/>
            <w:noWrap/>
            <w:vAlign w:val="bottom"/>
            <w:hideMark/>
          </w:tcPr>
          <w:p w14:paraId="7D693EDE" w14:textId="77777777" w:rsidR="006B5568" w:rsidRPr="000F21D1" w:rsidRDefault="006B5568" w:rsidP="00A772D2">
            <w:pPr>
              <w:spacing w:before="80" w:after="60"/>
              <w:jc w:val="right"/>
              <w:rPr>
                <w:rFonts w:ascii="Garamond" w:hAnsi="Garamond"/>
                <w:b/>
                <w:color w:val="000000"/>
              </w:rPr>
            </w:pPr>
            <w:r w:rsidRPr="000F21D1">
              <w:rPr>
                <w:rFonts w:ascii="Garamond" w:hAnsi="Garamond"/>
                <w:b/>
                <w:color w:val="000000"/>
              </w:rPr>
              <w:t>21.62</w:t>
            </w:r>
          </w:p>
        </w:tc>
        <w:tc>
          <w:tcPr>
            <w:tcW w:w="648" w:type="pct"/>
            <w:tcBorders>
              <w:top w:val="nil"/>
              <w:left w:val="nil"/>
              <w:bottom w:val="single" w:sz="4" w:space="0" w:color="auto"/>
              <w:right w:val="single" w:sz="4" w:space="0" w:color="auto"/>
            </w:tcBorders>
            <w:shd w:val="clear" w:color="auto" w:fill="auto"/>
            <w:noWrap/>
            <w:vAlign w:val="bottom"/>
            <w:hideMark/>
          </w:tcPr>
          <w:p w14:paraId="499DBBB7" w14:textId="77777777" w:rsidR="006B5568" w:rsidRPr="000F21D1" w:rsidRDefault="006B5568" w:rsidP="00A772D2">
            <w:pPr>
              <w:spacing w:before="80" w:after="60"/>
              <w:jc w:val="right"/>
              <w:rPr>
                <w:rFonts w:ascii="Garamond" w:hAnsi="Garamond"/>
                <w:color w:val="000000"/>
              </w:rPr>
            </w:pPr>
            <w:r w:rsidRPr="000F21D1">
              <w:rPr>
                <w:rFonts w:ascii="Garamond" w:hAnsi="Garamond"/>
                <w:color w:val="000000"/>
              </w:rPr>
              <w:t>21.44</w:t>
            </w:r>
          </w:p>
        </w:tc>
        <w:tc>
          <w:tcPr>
            <w:tcW w:w="674" w:type="pct"/>
            <w:tcBorders>
              <w:top w:val="nil"/>
              <w:left w:val="nil"/>
              <w:bottom w:val="single" w:sz="4" w:space="0" w:color="auto"/>
              <w:right w:val="single" w:sz="4" w:space="0" w:color="auto"/>
            </w:tcBorders>
            <w:shd w:val="clear" w:color="auto" w:fill="auto"/>
            <w:noWrap/>
            <w:vAlign w:val="bottom"/>
            <w:hideMark/>
          </w:tcPr>
          <w:p w14:paraId="43373911" w14:textId="77777777" w:rsidR="006B5568" w:rsidRPr="000F21D1" w:rsidRDefault="006B5568" w:rsidP="00A772D2">
            <w:pPr>
              <w:spacing w:before="80" w:after="60"/>
              <w:jc w:val="right"/>
              <w:rPr>
                <w:rFonts w:ascii="Garamond" w:hAnsi="Garamond"/>
                <w:color w:val="000000"/>
              </w:rPr>
            </w:pPr>
            <w:r w:rsidRPr="000F21D1">
              <w:rPr>
                <w:rFonts w:ascii="Garamond" w:hAnsi="Garamond"/>
                <w:color w:val="000000"/>
              </w:rPr>
              <w:t>-0.18</w:t>
            </w:r>
          </w:p>
        </w:tc>
      </w:tr>
      <w:tr w:rsidR="006B5568" w:rsidRPr="00F720C4" w14:paraId="37670057"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4A79A2CA" w14:textId="77777777" w:rsidR="006B5568" w:rsidRPr="000F21D1" w:rsidRDefault="006B5568" w:rsidP="00A772D2">
            <w:pPr>
              <w:spacing w:before="80" w:after="60"/>
              <w:rPr>
                <w:rFonts w:ascii="Garamond" w:hAnsi="Garamond"/>
                <w:color w:val="000000"/>
              </w:rPr>
            </w:pPr>
            <w:r w:rsidRPr="000F21D1">
              <w:rPr>
                <w:rFonts w:ascii="Garamond" w:hAnsi="Garamond"/>
                <w:b/>
                <w:bCs/>
                <w:color w:val="000000"/>
              </w:rPr>
              <w:t>Over 1 year</w:t>
            </w:r>
            <w:r w:rsidRPr="000F21D1">
              <w:rPr>
                <w:rFonts w:ascii="Garamond" w:hAnsi="Garamond" w:cs="Courier New"/>
                <w:color w:val="000000"/>
              </w:rPr>
              <w:t> </w:t>
            </w:r>
          </w:p>
        </w:tc>
      </w:tr>
      <w:tr w:rsidR="006B5568" w:rsidRPr="00F720C4" w14:paraId="02675EE4" w14:textId="77777777" w:rsidTr="00A772D2">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0584E519" w14:textId="7C5AE9D5" w:rsidR="006B5568" w:rsidRPr="000F21D1" w:rsidRDefault="00A66249" w:rsidP="00A772D2">
            <w:pPr>
              <w:spacing w:before="80" w:after="60"/>
              <w:rPr>
                <w:rFonts w:ascii="Garamond" w:hAnsi="Garamond"/>
                <w:i/>
                <w:iCs/>
                <w:color w:val="000000"/>
              </w:rPr>
            </w:pPr>
            <w:r>
              <w:rPr>
                <w:rFonts w:ascii="Garamond" w:hAnsi="Garamond"/>
                <w:i/>
                <w:iCs/>
                <w:color w:val="000000"/>
              </w:rPr>
              <w:t xml:space="preserve">   </w:t>
            </w:r>
            <w:r w:rsidR="00A236B8">
              <w:rPr>
                <w:rFonts w:ascii="Garamond" w:hAnsi="Garamond"/>
                <w:i/>
                <w:iCs/>
                <w:color w:val="000000"/>
              </w:rPr>
              <w:t>N</w:t>
            </w:r>
            <w:r>
              <w:rPr>
                <w:rFonts w:ascii="Garamond" w:hAnsi="Garamond"/>
                <w:i/>
                <w:iCs/>
                <w:color w:val="000000"/>
              </w:rPr>
              <w:t>on financial corporations</w:t>
            </w:r>
          </w:p>
        </w:tc>
        <w:tc>
          <w:tcPr>
            <w:tcW w:w="720" w:type="pct"/>
            <w:tcBorders>
              <w:top w:val="nil"/>
              <w:left w:val="nil"/>
              <w:bottom w:val="single" w:sz="4" w:space="0" w:color="auto"/>
              <w:right w:val="single" w:sz="4" w:space="0" w:color="auto"/>
            </w:tcBorders>
            <w:shd w:val="clear" w:color="auto" w:fill="auto"/>
            <w:noWrap/>
            <w:vAlign w:val="bottom"/>
            <w:hideMark/>
          </w:tcPr>
          <w:p w14:paraId="56559B3D" w14:textId="77777777" w:rsidR="006B5568" w:rsidRPr="000F21D1" w:rsidRDefault="006B5568" w:rsidP="00A772D2">
            <w:pPr>
              <w:spacing w:before="80" w:after="60"/>
              <w:jc w:val="right"/>
              <w:rPr>
                <w:rFonts w:ascii="Garamond" w:hAnsi="Garamond"/>
                <w:color w:val="000000"/>
              </w:rPr>
            </w:pPr>
            <w:r w:rsidRPr="000F21D1">
              <w:rPr>
                <w:rFonts w:ascii="Garamond" w:hAnsi="Garamond"/>
                <w:color w:val="000000"/>
              </w:rPr>
              <w:t>15.31</w:t>
            </w:r>
          </w:p>
        </w:tc>
        <w:tc>
          <w:tcPr>
            <w:tcW w:w="648" w:type="pct"/>
            <w:tcBorders>
              <w:top w:val="nil"/>
              <w:left w:val="nil"/>
              <w:bottom w:val="single" w:sz="4" w:space="0" w:color="auto"/>
              <w:right w:val="single" w:sz="4" w:space="0" w:color="auto"/>
            </w:tcBorders>
            <w:shd w:val="clear" w:color="auto" w:fill="auto"/>
            <w:noWrap/>
            <w:vAlign w:val="bottom"/>
            <w:hideMark/>
          </w:tcPr>
          <w:p w14:paraId="2D3164FA" w14:textId="77777777" w:rsidR="006B5568" w:rsidRPr="000F21D1" w:rsidRDefault="006B5568" w:rsidP="00A772D2">
            <w:pPr>
              <w:spacing w:before="80" w:after="60"/>
              <w:jc w:val="right"/>
              <w:rPr>
                <w:rFonts w:ascii="Garamond" w:hAnsi="Garamond"/>
                <w:color w:val="000000"/>
              </w:rPr>
            </w:pPr>
            <w:r w:rsidRPr="000F21D1">
              <w:rPr>
                <w:rFonts w:ascii="Garamond" w:hAnsi="Garamond"/>
                <w:color w:val="000000"/>
              </w:rPr>
              <w:t>14.15</w:t>
            </w:r>
          </w:p>
        </w:tc>
        <w:tc>
          <w:tcPr>
            <w:tcW w:w="674" w:type="pct"/>
            <w:tcBorders>
              <w:top w:val="nil"/>
              <w:left w:val="nil"/>
              <w:bottom w:val="single" w:sz="4" w:space="0" w:color="auto"/>
              <w:right w:val="single" w:sz="4" w:space="0" w:color="auto"/>
            </w:tcBorders>
            <w:shd w:val="clear" w:color="auto" w:fill="auto"/>
            <w:noWrap/>
            <w:vAlign w:val="bottom"/>
            <w:hideMark/>
          </w:tcPr>
          <w:p w14:paraId="5AFBA149" w14:textId="77777777" w:rsidR="006B5568" w:rsidRPr="000F21D1" w:rsidRDefault="006B5568" w:rsidP="00A772D2">
            <w:pPr>
              <w:spacing w:before="80" w:after="60"/>
              <w:jc w:val="right"/>
              <w:rPr>
                <w:rFonts w:ascii="Garamond" w:hAnsi="Garamond"/>
                <w:color w:val="000000"/>
              </w:rPr>
            </w:pPr>
            <w:r w:rsidRPr="000F21D1">
              <w:rPr>
                <w:rFonts w:ascii="Garamond" w:hAnsi="Garamond"/>
                <w:color w:val="000000"/>
              </w:rPr>
              <w:t>-1.16</w:t>
            </w:r>
          </w:p>
        </w:tc>
      </w:tr>
      <w:tr w:rsidR="006B5568" w:rsidRPr="00F720C4" w14:paraId="57C7A23B" w14:textId="77777777" w:rsidTr="00A772D2">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52AFFD7C" w14:textId="3F578375" w:rsidR="006B5568" w:rsidRPr="000F21D1" w:rsidRDefault="00A66249" w:rsidP="00A236B8">
            <w:pPr>
              <w:spacing w:before="80" w:after="60"/>
              <w:rPr>
                <w:rFonts w:ascii="Garamond" w:hAnsi="Garamond"/>
                <w:i/>
                <w:iCs/>
                <w:color w:val="000000"/>
              </w:rPr>
            </w:pPr>
            <w:r>
              <w:rPr>
                <w:rFonts w:ascii="Garamond" w:hAnsi="Garamond"/>
                <w:i/>
                <w:iCs/>
                <w:color w:val="000000"/>
              </w:rPr>
              <w:t xml:space="preserve">  </w:t>
            </w:r>
            <w:r w:rsidR="00A236B8">
              <w:rPr>
                <w:rFonts w:ascii="Garamond" w:hAnsi="Garamond"/>
                <w:i/>
                <w:iCs/>
                <w:color w:val="000000"/>
              </w:rPr>
              <w:t>H</w:t>
            </w:r>
            <w:r>
              <w:rPr>
                <w:rFonts w:ascii="Garamond" w:hAnsi="Garamond"/>
                <w:i/>
                <w:iCs/>
                <w:color w:val="000000"/>
              </w:rPr>
              <w:t>ousehilds</w:t>
            </w:r>
          </w:p>
        </w:tc>
        <w:tc>
          <w:tcPr>
            <w:tcW w:w="720" w:type="pct"/>
            <w:tcBorders>
              <w:top w:val="nil"/>
              <w:left w:val="nil"/>
              <w:bottom w:val="single" w:sz="4" w:space="0" w:color="auto"/>
              <w:right w:val="single" w:sz="4" w:space="0" w:color="auto"/>
            </w:tcBorders>
            <w:shd w:val="clear" w:color="auto" w:fill="auto"/>
            <w:noWrap/>
            <w:vAlign w:val="bottom"/>
            <w:hideMark/>
          </w:tcPr>
          <w:p w14:paraId="449C61C7" w14:textId="77777777" w:rsidR="006B5568" w:rsidRPr="000F21D1" w:rsidRDefault="006B5568" w:rsidP="00A772D2">
            <w:pPr>
              <w:spacing w:before="80" w:after="60"/>
              <w:jc w:val="right"/>
              <w:rPr>
                <w:rFonts w:ascii="Garamond" w:hAnsi="Garamond"/>
                <w:color w:val="000000"/>
              </w:rPr>
            </w:pPr>
            <w:r w:rsidRPr="000F21D1">
              <w:rPr>
                <w:rFonts w:ascii="Garamond" w:hAnsi="Garamond"/>
                <w:color w:val="000000"/>
              </w:rPr>
              <w:t>19.28</w:t>
            </w:r>
          </w:p>
        </w:tc>
        <w:tc>
          <w:tcPr>
            <w:tcW w:w="648" w:type="pct"/>
            <w:tcBorders>
              <w:top w:val="nil"/>
              <w:left w:val="nil"/>
              <w:bottom w:val="single" w:sz="4" w:space="0" w:color="auto"/>
              <w:right w:val="single" w:sz="4" w:space="0" w:color="auto"/>
            </w:tcBorders>
            <w:shd w:val="clear" w:color="auto" w:fill="auto"/>
            <w:noWrap/>
            <w:vAlign w:val="bottom"/>
            <w:hideMark/>
          </w:tcPr>
          <w:p w14:paraId="3E5FF712" w14:textId="77777777" w:rsidR="006B5568" w:rsidRPr="000F21D1" w:rsidRDefault="006B5568" w:rsidP="00A772D2">
            <w:pPr>
              <w:spacing w:before="80" w:after="60"/>
              <w:jc w:val="right"/>
              <w:rPr>
                <w:rFonts w:ascii="Garamond" w:hAnsi="Garamond"/>
                <w:color w:val="000000"/>
              </w:rPr>
            </w:pPr>
            <w:r w:rsidRPr="000F21D1">
              <w:rPr>
                <w:rFonts w:ascii="Garamond" w:hAnsi="Garamond"/>
                <w:color w:val="000000"/>
              </w:rPr>
              <w:t>18.63</w:t>
            </w:r>
          </w:p>
        </w:tc>
        <w:tc>
          <w:tcPr>
            <w:tcW w:w="674" w:type="pct"/>
            <w:tcBorders>
              <w:top w:val="nil"/>
              <w:left w:val="nil"/>
              <w:bottom w:val="single" w:sz="4" w:space="0" w:color="auto"/>
              <w:right w:val="single" w:sz="4" w:space="0" w:color="auto"/>
            </w:tcBorders>
            <w:shd w:val="clear" w:color="auto" w:fill="auto"/>
            <w:noWrap/>
            <w:vAlign w:val="bottom"/>
            <w:hideMark/>
          </w:tcPr>
          <w:p w14:paraId="029636F9" w14:textId="77777777" w:rsidR="006B5568" w:rsidRPr="000F21D1" w:rsidRDefault="006B5568" w:rsidP="00A772D2">
            <w:pPr>
              <w:spacing w:before="80" w:after="60"/>
              <w:jc w:val="right"/>
              <w:rPr>
                <w:rFonts w:ascii="Garamond" w:hAnsi="Garamond"/>
                <w:color w:val="000000"/>
              </w:rPr>
            </w:pPr>
            <w:r w:rsidRPr="000F21D1">
              <w:rPr>
                <w:rFonts w:ascii="Garamond" w:hAnsi="Garamond"/>
                <w:color w:val="000000"/>
              </w:rPr>
              <w:t>-0.65</w:t>
            </w:r>
          </w:p>
        </w:tc>
      </w:tr>
    </w:tbl>
    <w:p w14:paraId="20A79EFC" w14:textId="77777777" w:rsidR="006B5568" w:rsidRPr="000F21D1" w:rsidRDefault="006B5568" w:rsidP="0006101A">
      <w:pPr>
        <w:spacing w:line="360" w:lineRule="auto"/>
        <w:jc w:val="both"/>
        <w:rPr>
          <w:rFonts w:ascii="Garamond" w:hAnsi="Garamond" w:cs="Sylfaen"/>
          <w:color w:val="000000"/>
        </w:rPr>
      </w:pPr>
    </w:p>
    <w:p w14:paraId="598AE317" w14:textId="77777777" w:rsidR="00E33507" w:rsidRPr="000F21D1" w:rsidRDefault="00E55DC0" w:rsidP="0006101A">
      <w:pPr>
        <w:spacing w:line="360" w:lineRule="auto"/>
        <w:jc w:val="both"/>
        <w:rPr>
          <w:rFonts w:ascii="Garamond" w:hAnsi="Garamond" w:cs="Sylfaen"/>
          <w:color w:val="000000"/>
        </w:rPr>
      </w:pPr>
      <w:r w:rsidRPr="000F21D1">
        <w:rPr>
          <w:rFonts w:ascii="Garamond" w:hAnsi="Garamond" w:cs="Sylfaen"/>
          <w:color w:val="000000"/>
        </w:rPr>
        <w:t>Despite a decline in interest rates on local currency deposits during the second quarter, the amount of dram deposits grew by 7.7%, mainly thanks to t</w:t>
      </w:r>
      <w:r w:rsidR="00E33507" w:rsidRPr="000F21D1">
        <w:rPr>
          <w:rFonts w:ascii="Garamond" w:hAnsi="Garamond" w:cs="Sylfaen"/>
          <w:color w:val="000000"/>
        </w:rPr>
        <w:t xml:space="preserve">ime </w:t>
      </w:r>
      <w:r w:rsidRPr="000F21D1">
        <w:rPr>
          <w:rFonts w:ascii="Garamond" w:hAnsi="Garamond" w:cs="Sylfaen"/>
          <w:color w:val="000000"/>
        </w:rPr>
        <w:t>deposits.</w:t>
      </w:r>
    </w:p>
    <w:p w14:paraId="4036D660" w14:textId="77777777" w:rsidR="00E33507" w:rsidRPr="000F21D1" w:rsidRDefault="00E33507" w:rsidP="0006101A">
      <w:pPr>
        <w:spacing w:line="360" w:lineRule="auto"/>
        <w:jc w:val="both"/>
        <w:rPr>
          <w:rFonts w:ascii="Garamond" w:hAnsi="Garamond" w:cs="Sylfaen"/>
          <w:color w:val="000000"/>
        </w:rPr>
      </w:pPr>
    </w:p>
    <w:tbl>
      <w:tblPr>
        <w:tblW w:w="4815" w:type="pct"/>
        <w:tblInd w:w="147" w:type="dxa"/>
        <w:tblLayout w:type="fixed"/>
        <w:tblLook w:val="04A0" w:firstRow="1" w:lastRow="0" w:firstColumn="1" w:lastColumn="0" w:noHBand="0" w:noVBand="1"/>
      </w:tblPr>
      <w:tblGrid>
        <w:gridCol w:w="5304"/>
        <w:gridCol w:w="1306"/>
        <w:gridCol w:w="1308"/>
        <w:gridCol w:w="1304"/>
      </w:tblGrid>
      <w:tr w:rsidR="006B5568" w:rsidRPr="00F720C4" w14:paraId="4BA64A58" w14:textId="77777777" w:rsidTr="00A772D2">
        <w:trPr>
          <w:trHeight w:val="330"/>
        </w:trPr>
        <w:tc>
          <w:tcPr>
            <w:tcW w:w="28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B05BB" w14:textId="77777777" w:rsidR="006B5568" w:rsidRPr="000F21D1" w:rsidRDefault="006B5568" w:rsidP="00A772D2">
            <w:pPr>
              <w:spacing w:before="80" w:after="80"/>
              <w:ind w:left="-57" w:right="-57"/>
              <w:rPr>
                <w:rFonts w:ascii="Garamond" w:hAnsi="Garamond"/>
                <w:b/>
                <w:color w:val="000000"/>
              </w:rPr>
            </w:pPr>
            <w:r w:rsidRPr="000F21D1">
              <w:rPr>
                <w:rFonts w:ascii="Garamond" w:hAnsi="Garamond"/>
                <w:b/>
                <w:color w:val="000000"/>
              </w:rPr>
              <w:t>Interest rate on deposits in foreign currency</w:t>
            </w:r>
          </w:p>
        </w:tc>
        <w:tc>
          <w:tcPr>
            <w:tcW w:w="708" w:type="pct"/>
            <w:tcBorders>
              <w:top w:val="single" w:sz="4" w:space="0" w:color="auto"/>
              <w:left w:val="nil"/>
              <w:bottom w:val="single" w:sz="4" w:space="0" w:color="auto"/>
              <w:right w:val="single" w:sz="4" w:space="0" w:color="auto"/>
            </w:tcBorders>
            <w:shd w:val="clear" w:color="auto" w:fill="auto"/>
            <w:noWrap/>
            <w:vAlign w:val="bottom"/>
            <w:hideMark/>
          </w:tcPr>
          <w:p w14:paraId="11A79D25" w14:textId="77777777" w:rsidR="006B5568" w:rsidRPr="000F21D1" w:rsidRDefault="006B5568" w:rsidP="00A772D2">
            <w:pPr>
              <w:spacing w:before="80" w:after="80"/>
              <w:ind w:left="-57" w:right="-57"/>
              <w:jc w:val="center"/>
              <w:rPr>
                <w:rFonts w:ascii="Garamond" w:hAnsi="Garamond"/>
                <w:b/>
                <w:color w:val="000000"/>
              </w:rPr>
            </w:pPr>
            <w:r w:rsidRPr="000F21D1">
              <w:rPr>
                <w:rFonts w:ascii="Garamond" w:hAnsi="Garamond"/>
                <w:b/>
                <w:color w:val="000000"/>
              </w:rPr>
              <w:t xml:space="preserve">Q1, 2016 </w:t>
            </w:r>
          </w:p>
        </w:tc>
        <w:tc>
          <w:tcPr>
            <w:tcW w:w="709" w:type="pct"/>
            <w:tcBorders>
              <w:top w:val="single" w:sz="4" w:space="0" w:color="auto"/>
              <w:left w:val="nil"/>
              <w:bottom w:val="single" w:sz="4" w:space="0" w:color="auto"/>
              <w:right w:val="single" w:sz="4" w:space="0" w:color="auto"/>
            </w:tcBorders>
            <w:shd w:val="clear" w:color="auto" w:fill="auto"/>
            <w:noWrap/>
            <w:vAlign w:val="bottom"/>
            <w:hideMark/>
          </w:tcPr>
          <w:p w14:paraId="66444F7C" w14:textId="77777777" w:rsidR="006B5568" w:rsidRPr="000F21D1" w:rsidRDefault="006B5568" w:rsidP="00A772D2">
            <w:pPr>
              <w:spacing w:before="80" w:after="80"/>
              <w:ind w:left="-57" w:right="-57"/>
              <w:jc w:val="center"/>
              <w:rPr>
                <w:rFonts w:ascii="Garamond" w:hAnsi="Garamond"/>
                <w:b/>
                <w:color w:val="000000"/>
              </w:rPr>
            </w:pPr>
            <w:r w:rsidRPr="000F21D1">
              <w:rPr>
                <w:rFonts w:ascii="Garamond" w:hAnsi="Garamond"/>
                <w:b/>
                <w:color w:val="000000"/>
              </w:rPr>
              <w:t>Q2, 2016</w:t>
            </w:r>
          </w:p>
        </w:tc>
        <w:tc>
          <w:tcPr>
            <w:tcW w:w="707" w:type="pct"/>
            <w:tcBorders>
              <w:top w:val="single" w:sz="4" w:space="0" w:color="auto"/>
              <w:left w:val="nil"/>
              <w:bottom w:val="single" w:sz="4" w:space="0" w:color="auto"/>
              <w:right w:val="single" w:sz="4" w:space="0" w:color="auto"/>
            </w:tcBorders>
            <w:shd w:val="clear" w:color="auto" w:fill="auto"/>
            <w:noWrap/>
            <w:vAlign w:val="bottom"/>
            <w:hideMark/>
          </w:tcPr>
          <w:p w14:paraId="65AA26FB" w14:textId="77777777" w:rsidR="006B5568" w:rsidRPr="000F21D1" w:rsidRDefault="006B5568" w:rsidP="00A772D2">
            <w:pPr>
              <w:spacing w:before="80" w:after="80"/>
              <w:ind w:left="-57" w:right="-57"/>
              <w:jc w:val="center"/>
              <w:rPr>
                <w:rFonts w:ascii="Garamond" w:hAnsi="Garamond"/>
                <w:b/>
                <w:color w:val="000000"/>
              </w:rPr>
            </w:pPr>
            <w:r w:rsidRPr="000F21D1">
              <w:rPr>
                <w:rFonts w:ascii="Garamond" w:hAnsi="Garamond"/>
                <w:b/>
                <w:color w:val="000000"/>
              </w:rPr>
              <w:t>Change</w:t>
            </w:r>
          </w:p>
        </w:tc>
      </w:tr>
      <w:tr w:rsidR="006B5568" w:rsidRPr="00F720C4" w14:paraId="2F578AD3"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457EDFAB" w14:textId="77777777" w:rsidR="006B5568" w:rsidRPr="000F21D1" w:rsidRDefault="006B5568" w:rsidP="00A772D2">
            <w:pPr>
              <w:spacing w:before="80" w:after="80"/>
              <w:rPr>
                <w:rFonts w:ascii="Garamond" w:hAnsi="Garamond"/>
                <w:color w:val="000000"/>
              </w:rPr>
            </w:pPr>
            <w:r w:rsidRPr="000F21D1">
              <w:rPr>
                <w:rFonts w:ascii="Garamond" w:hAnsi="Garamond"/>
                <w:b/>
                <w:bCs/>
                <w:color w:val="000000"/>
              </w:rPr>
              <w:t>Up to 1 year</w:t>
            </w:r>
            <w:r w:rsidRPr="000F21D1">
              <w:rPr>
                <w:rFonts w:ascii="Garamond" w:hAnsi="Garamond" w:cs="Courier New"/>
                <w:color w:val="000000"/>
              </w:rPr>
              <w:t> </w:t>
            </w:r>
          </w:p>
        </w:tc>
      </w:tr>
      <w:tr w:rsidR="006B5568" w:rsidRPr="00F720C4" w14:paraId="2839A671" w14:textId="77777777" w:rsidTr="000F21D1">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tcPr>
          <w:p w14:paraId="4C75831D" w14:textId="13A03984" w:rsidR="006B5568" w:rsidRPr="000F21D1" w:rsidRDefault="00A66249" w:rsidP="00A772D2">
            <w:pPr>
              <w:spacing w:before="80" w:after="80"/>
              <w:rPr>
                <w:rFonts w:ascii="Garamond" w:hAnsi="Garamond"/>
                <w:i/>
                <w:iCs/>
                <w:color w:val="000000"/>
              </w:rPr>
            </w:pPr>
            <w:r>
              <w:rPr>
                <w:rFonts w:ascii="Garamond" w:hAnsi="Garamond"/>
                <w:i/>
                <w:iCs/>
                <w:color w:val="000000"/>
              </w:rPr>
              <w:t xml:space="preserve">  </w:t>
            </w:r>
            <w:r w:rsidR="00A236B8">
              <w:rPr>
                <w:rFonts w:ascii="Garamond" w:hAnsi="Garamond"/>
                <w:i/>
                <w:iCs/>
                <w:color w:val="000000"/>
              </w:rPr>
              <w:t>N</w:t>
            </w:r>
            <w:r>
              <w:rPr>
                <w:rFonts w:ascii="Garamond" w:hAnsi="Garamond"/>
                <w:i/>
                <w:iCs/>
                <w:color w:val="000000"/>
              </w:rPr>
              <w:t>on financial corporations</w:t>
            </w:r>
          </w:p>
        </w:tc>
        <w:tc>
          <w:tcPr>
            <w:tcW w:w="708" w:type="pct"/>
            <w:tcBorders>
              <w:top w:val="nil"/>
              <w:left w:val="nil"/>
              <w:bottom w:val="single" w:sz="4" w:space="0" w:color="auto"/>
              <w:right w:val="single" w:sz="4" w:space="0" w:color="auto"/>
            </w:tcBorders>
            <w:shd w:val="clear" w:color="auto" w:fill="auto"/>
            <w:noWrap/>
            <w:vAlign w:val="bottom"/>
            <w:hideMark/>
          </w:tcPr>
          <w:p w14:paraId="5333CDCB"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7.03</w:t>
            </w:r>
          </w:p>
        </w:tc>
        <w:tc>
          <w:tcPr>
            <w:tcW w:w="709" w:type="pct"/>
            <w:tcBorders>
              <w:top w:val="nil"/>
              <w:left w:val="nil"/>
              <w:bottom w:val="single" w:sz="4" w:space="0" w:color="auto"/>
              <w:right w:val="single" w:sz="4" w:space="0" w:color="auto"/>
            </w:tcBorders>
            <w:shd w:val="clear" w:color="auto" w:fill="auto"/>
            <w:noWrap/>
            <w:vAlign w:val="bottom"/>
            <w:hideMark/>
          </w:tcPr>
          <w:p w14:paraId="056AD1EC"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4.92</w:t>
            </w:r>
          </w:p>
        </w:tc>
        <w:tc>
          <w:tcPr>
            <w:tcW w:w="707" w:type="pct"/>
            <w:tcBorders>
              <w:top w:val="nil"/>
              <w:left w:val="nil"/>
              <w:bottom w:val="single" w:sz="4" w:space="0" w:color="auto"/>
              <w:right w:val="single" w:sz="4" w:space="0" w:color="auto"/>
            </w:tcBorders>
            <w:shd w:val="clear" w:color="auto" w:fill="auto"/>
            <w:noWrap/>
            <w:vAlign w:val="bottom"/>
            <w:hideMark/>
          </w:tcPr>
          <w:p w14:paraId="6E03F0CC"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-2.11</w:t>
            </w:r>
          </w:p>
        </w:tc>
      </w:tr>
      <w:tr w:rsidR="006B5568" w:rsidRPr="00F720C4" w14:paraId="39EF373E" w14:textId="77777777" w:rsidTr="000F21D1">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tcPr>
          <w:p w14:paraId="46B2F8EB" w14:textId="05C812B3" w:rsidR="006B5568" w:rsidRPr="000F21D1" w:rsidRDefault="00A66249" w:rsidP="00A236B8">
            <w:pPr>
              <w:spacing w:before="80" w:after="80"/>
              <w:rPr>
                <w:rFonts w:ascii="Garamond" w:hAnsi="Garamond"/>
                <w:i/>
                <w:iCs/>
                <w:color w:val="000000"/>
              </w:rPr>
            </w:pPr>
            <w:r>
              <w:rPr>
                <w:rFonts w:ascii="Garamond" w:hAnsi="Garamond"/>
                <w:i/>
                <w:iCs/>
                <w:color w:val="000000"/>
              </w:rPr>
              <w:t xml:space="preserve"> </w:t>
            </w:r>
            <w:r w:rsidR="00A236B8">
              <w:rPr>
                <w:rFonts w:ascii="Garamond" w:hAnsi="Garamond"/>
                <w:i/>
                <w:iCs/>
                <w:color w:val="000000"/>
              </w:rPr>
              <w:t>H</w:t>
            </w:r>
            <w:r>
              <w:rPr>
                <w:rFonts w:ascii="Garamond" w:hAnsi="Garamond"/>
                <w:i/>
                <w:iCs/>
                <w:color w:val="000000"/>
              </w:rPr>
              <w:t>householders</w:t>
            </w:r>
          </w:p>
        </w:tc>
        <w:tc>
          <w:tcPr>
            <w:tcW w:w="708" w:type="pct"/>
            <w:tcBorders>
              <w:top w:val="nil"/>
              <w:left w:val="nil"/>
              <w:bottom w:val="single" w:sz="4" w:space="0" w:color="auto"/>
              <w:right w:val="single" w:sz="4" w:space="0" w:color="auto"/>
            </w:tcBorders>
            <w:shd w:val="clear" w:color="auto" w:fill="auto"/>
            <w:noWrap/>
            <w:vAlign w:val="bottom"/>
            <w:hideMark/>
          </w:tcPr>
          <w:p w14:paraId="5B042E3B"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5.58</w:t>
            </w:r>
          </w:p>
        </w:tc>
        <w:tc>
          <w:tcPr>
            <w:tcW w:w="709" w:type="pct"/>
            <w:tcBorders>
              <w:top w:val="nil"/>
              <w:left w:val="nil"/>
              <w:bottom w:val="single" w:sz="4" w:space="0" w:color="auto"/>
              <w:right w:val="single" w:sz="4" w:space="0" w:color="auto"/>
            </w:tcBorders>
            <w:shd w:val="clear" w:color="auto" w:fill="auto"/>
            <w:noWrap/>
            <w:vAlign w:val="bottom"/>
            <w:hideMark/>
          </w:tcPr>
          <w:p w14:paraId="4A6E65A0"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5.4</w:t>
            </w:r>
          </w:p>
        </w:tc>
        <w:tc>
          <w:tcPr>
            <w:tcW w:w="707" w:type="pct"/>
            <w:tcBorders>
              <w:top w:val="nil"/>
              <w:left w:val="nil"/>
              <w:bottom w:val="single" w:sz="4" w:space="0" w:color="auto"/>
              <w:right w:val="single" w:sz="4" w:space="0" w:color="auto"/>
            </w:tcBorders>
            <w:shd w:val="clear" w:color="auto" w:fill="auto"/>
            <w:noWrap/>
            <w:vAlign w:val="bottom"/>
            <w:hideMark/>
          </w:tcPr>
          <w:p w14:paraId="083D7CF3"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-0.18</w:t>
            </w:r>
          </w:p>
        </w:tc>
      </w:tr>
      <w:tr w:rsidR="006B5568" w:rsidRPr="00F720C4" w14:paraId="59F146BA"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29270B82" w14:textId="77777777" w:rsidR="006B5568" w:rsidRPr="000F21D1" w:rsidRDefault="006B5568" w:rsidP="00A772D2">
            <w:pPr>
              <w:spacing w:before="80" w:after="80"/>
              <w:rPr>
                <w:rFonts w:ascii="Garamond" w:hAnsi="Garamond"/>
                <w:color w:val="000000"/>
              </w:rPr>
            </w:pPr>
            <w:r w:rsidRPr="000F21D1">
              <w:rPr>
                <w:rFonts w:ascii="Garamond" w:hAnsi="Garamond"/>
                <w:b/>
                <w:bCs/>
                <w:color w:val="000000"/>
              </w:rPr>
              <w:t>Over 1 year</w:t>
            </w:r>
            <w:r w:rsidRPr="000F21D1">
              <w:rPr>
                <w:rFonts w:ascii="Garamond" w:hAnsi="Garamond" w:cs="Courier New"/>
                <w:color w:val="000000"/>
              </w:rPr>
              <w:t> </w:t>
            </w:r>
          </w:p>
        </w:tc>
      </w:tr>
      <w:tr w:rsidR="006B5568" w:rsidRPr="00F720C4" w14:paraId="78F6CD1B" w14:textId="77777777" w:rsidTr="000F21D1">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tcPr>
          <w:p w14:paraId="183338DF" w14:textId="059D2112" w:rsidR="006B5568" w:rsidRPr="000F21D1" w:rsidRDefault="00A66249" w:rsidP="00A772D2">
            <w:pPr>
              <w:spacing w:before="80" w:after="80"/>
              <w:rPr>
                <w:rFonts w:ascii="Garamond" w:hAnsi="Garamond"/>
                <w:i/>
                <w:iCs/>
                <w:color w:val="000000"/>
              </w:rPr>
            </w:pPr>
            <w:r>
              <w:rPr>
                <w:rFonts w:ascii="Garamond" w:hAnsi="Garamond"/>
                <w:i/>
                <w:iCs/>
                <w:color w:val="000000"/>
              </w:rPr>
              <w:t xml:space="preserve">  </w:t>
            </w:r>
            <w:r w:rsidR="00A236B8">
              <w:rPr>
                <w:rFonts w:ascii="Garamond" w:hAnsi="Garamond"/>
                <w:i/>
                <w:iCs/>
                <w:color w:val="000000"/>
              </w:rPr>
              <w:t>N</w:t>
            </w:r>
            <w:r>
              <w:rPr>
                <w:rFonts w:ascii="Garamond" w:hAnsi="Garamond"/>
                <w:i/>
                <w:iCs/>
                <w:color w:val="000000"/>
              </w:rPr>
              <w:t>on financial corporations</w:t>
            </w:r>
          </w:p>
        </w:tc>
        <w:tc>
          <w:tcPr>
            <w:tcW w:w="708" w:type="pct"/>
            <w:tcBorders>
              <w:top w:val="nil"/>
              <w:left w:val="nil"/>
              <w:bottom w:val="single" w:sz="4" w:space="0" w:color="auto"/>
              <w:right w:val="single" w:sz="4" w:space="0" w:color="auto"/>
            </w:tcBorders>
            <w:shd w:val="clear" w:color="auto" w:fill="auto"/>
            <w:noWrap/>
            <w:vAlign w:val="bottom"/>
            <w:hideMark/>
          </w:tcPr>
          <w:p w14:paraId="00197AB0"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8.17</w:t>
            </w:r>
          </w:p>
        </w:tc>
        <w:tc>
          <w:tcPr>
            <w:tcW w:w="709" w:type="pct"/>
            <w:tcBorders>
              <w:top w:val="nil"/>
              <w:left w:val="nil"/>
              <w:bottom w:val="single" w:sz="4" w:space="0" w:color="auto"/>
              <w:right w:val="single" w:sz="4" w:space="0" w:color="auto"/>
            </w:tcBorders>
            <w:shd w:val="clear" w:color="auto" w:fill="auto"/>
            <w:noWrap/>
            <w:vAlign w:val="bottom"/>
            <w:hideMark/>
          </w:tcPr>
          <w:p w14:paraId="6C8463D6"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7.94</w:t>
            </w:r>
          </w:p>
        </w:tc>
        <w:tc>
          <w:tcPr>
            <w:tcW w:w="707" w:type="pct"/>
            <w:tcBorders>
              <w:top w:val="nil"/>
              <w:left w:val="nil"/>
              <w:bottom w:val="single" w:sz="4" w:space="0" w:color="auto"/>
              <w:right w:val="single" w:sz="4" w:space="0" w:color="auto"/>
            </w:tcBorders>
            <w:shd w:val="clear" w:color="auto" w:fill="auto"/>
            <w:noWrap/>
            <w:vAlign w:val="bottom"/>
            <w:hideMark/>
          </w:tcPr>
          <w:p w14:paraId="2DF707E6"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-0.23</w:t>
            </w:r>
          </w:p>
        </w:tc>
      </w:tr>
      <w:tr w:rsidR="006B5568" w:rsidRPr="00F720C4" w14:paraId="6A8179FF" w14:textId="77777777" w:rsidTr="000F21D1">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tcPr>
          <w:p w14:paraId="2F277ABF" w14:textId="426B57C7" w:rsidR="006B5568" w:rsidRPr="000F21D1" w:rsidRDefault="00A66249" w:rsidP="00A236B8">
            <w:pPr>
              <w:spacing w:before="80" w:after="80"/>
              <w:rPr>
                <w:rFonts w:ascii="Garamond" w:hAnsi="Garamond"/>
                <w:i/>
                <w:iCs/>
                <w:color w:val="000000"/>
              </w:rPr>
            </w:pPr>
            <w:r>
              <w:rPr>
                <w:rFonts w:ascii="Garamond" w:hAnsi="Garamond"/>
                <w:i/>
                <w:iCs/>
                <w:color w:val="000000"/>
              </w:rPr>
              <w:t xml:space="preserve">  </w:t>
            </w:r>
            <w:r w:rsidR="00A236B8">
              <w:rPr>
                <w:rFonts w:ascii="Garamond" w:hAnsi="Garamond"/>
                <w:i/>
                <w:iCs/>
                <w:color w:val="000000"/>
              </w:rPr>
              <w:t>H</w:t>
            </w:r>
            <w:r>
              <w:rPr>
                <w:rFonts w:ascii="Garamond" w:hAnsi="Garamond"/>
                <w:i/>
                <w:iCs/>
                <w:color w:val="000000"/>
              </w:rPr>
              <w:t>ouseholders</w:t>
            </w:r>
          </w:p>
        </w:tc>
        <w:tc>
          <w:tcPr>
            <w:tcW w:w="708" w:type="pct"/>
            <w:tcBorders>
              <w:top w:val="nil"/>
              <w:left w:val="nil"/>
              <w:bottom w:val="single" w:sz="4" w:space="0" w:color="auto"/>
              <w:right w:val="single" w:sz="4" w:space="0" w:color="auto"/>
            </w:tcBorders>
            <w:shd w:val="clear" w:color="auto" w:fill="auto"/>
            <w:noWrap/>
            <w:vAlign w:val="bottom"/>
            <w:hideMark/>
          </w:tcPr>
          <w:p w14:paraId="189CC7A2"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7.16</w:t>
            </w:r>
          </w:p>
        </w:tc>
        <w:tc>
          <w:tcPr>
            <w:tcW w:w="709" w:type="pct"/>
            <w:tcBorders>
              <w:top w:val="nil"/>
              <w:left w:val="nil"/>
              <w:bottom w:val="single" w:sz="4" w:space="0" w:color="auto"/>
              <w:right w:val="single" w:sz="4" w:space="0" w:color="auto"/>
            </w:tcBorders>
            <w:shd w:val="clear" w:color="auto" w:fill="auto"/>
            <w:noWrap/>
            <w:vAlign w:val="bottom"/>
            <w:hideMark/>
          </w:tcPr>
          <w:p w14:paraId="51A347F3"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6.65</w:t>
            </w:r>
          </w:p>
        </w:tc>
        <w:tc>
          <w:tcPr>
            <w:tcW w:w="707" w:type="pct"/>
            <w:tcBorders>
              <w:top w:val="nil"/>
              <w:left w:val="nil"/>
              <w:bottom w:val="single" w:sz="4" w:space="0" w:color="auto"/>
              <w:right w:val="single" w:sz="4" w:space="0" w:color="auto"/>
            </w:tcBorders>
            <w:shd w:val="clear" w:color="auto" w:fill="auto"/>
            <w:noWrap/>
            <w:vAlign w:val="bottom"/>
            <w:hideMark/>
          </w:tcPr>
          <w:p w14:paraId="000C14AA" w14:textId="77777777" w:rsidR="006B5568" w:rsidRPr="000F21D1" w:rsidRDefault="006B5568" w:rsidP="00A772D2">
            <w:pPr>
              <w:spacing w:before="80" w:after="80"/>
              <w:jc w:val="right"/>
              <w:rPr>
                <w:rFonts w:ascii="Garamond" w:hAnsi="Garamond"/>
                <w:color w:val="000000"/>
              </w:rPr>
            </w:pPr>
            <w:r w:rsidRPr="000F21D1">
              <w:rPr>
                <w:rFonts w:ascii="Garamond" w:hAnsi="Garamond"/>
                <w:color w:val="000000"/>
              </w:rPr>
              <w:t>-0.51</w:t>
            </w:r>
          </w:p>
        </w:tc>
      </w:tr>
      <w:tr w:rsidR="006B5568" w:rsidRPr="00F720C4" w14:paraId="281F7283" w14:textId="77777777" w:rsidTr="00A772D2">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tcPr>
          <w:p w14:paraId="04322D58" w14:textId="77777777" w:rsidR="006B5568" w:rsidRPr="000F21D1" w:rsidRDefault="006B5568" w:rsidP="00A772D2">
            <w:pPr>
              <w:spacing w:before="240" w:after="40"/>
              <w:rPr>
                <w:rFonts w:ascii="Garamond" w:hAnsi="Garamond"/>
                <w:b/>
                <w:color w:val="000000"/>
              </w:rPr>
            </w:pPr>
            <w:r w:rsidRPr="000F21D1">
              <w:rPr>
                <w:rFonts w:ascii="Garamond" w:hAnsi="Garamond"/>
                <w:b/>
                <w:color w:val="000000"/>
              </w:rPr>
              <w:t>Interest rate on loans in foreign currency</w:t>
            </w:r>
          </w:p>
        </w:tc>
        <w:tc>
          <w:tcPr>
            <w:tcW w:w="708" w:type="pct"/>
            <w:tcBorders>
              <w:top w:val="nil"/>
              <w:left w:val="nil"/>
              <w:bottom w:val="single" w:sz="4" w:space="0" w:color="auto"/>
              <w:right w:val="single" w:sz="4" w:space="0" w:color="auto"/>
            </w:tcBorders>
            <w:shd w:val="clear" w:color="auto" w:fill="auto"/>
            <w:noWrap/>
            <w:vAlign w:val="bottom"/>
          </w:tcPr>
          <w:p w14:paraId="140233D5" w14:textId="77777777" w:rsidR="006B5568" w:rsidRPr="000F21D1" w:rsidRDefault="006B5568" w:rsidP="00A772D2">
            <w:pPr>
              <w:spacing w:before="80" w:after="80"/>
              <w:ind w:left="-57" w:right="-57"/>
              <w:jc w:val="center"/>
              <w:rPr>
                <w:rFonts w:ascii="Garamond" w:hAnsi="Garamond"/>
                <w:b/>
                <w:color w:val="000000"/>
              </w:rPr>
            </w:pPr>
            <w:r w:rsidRPr="000F21D1">
              <w:rPr>
                <w:rFonts w:ascii="Garamond" w:hAnsi="Garamond"/>
                <w:b/>
                <w:color w:val="000000"/>
              </w:rPr>
              <w:t xml:space="preserve">Q1, 2016 </w:t>
            </w:r>
          </w:p>
        </w:tc>
        <w:tc>
          <w:tcPr>
            <w:tcW w:w="709" w:type="pct"/>
            <w:tcBorders>
              <w:top w:val="nil"/>
              <w:left w:val="nil"/>
              <w:bottom w:val="single" w:sz="4" w:space="0" w:color="auto"/>
              <w:right w:val="single" w:sz="4" w:space="0" w:color="auto"/>
            </w:tcBorders>
            <w:shd w:val="clear" w:color="auto" w:fill="auto"/>
            <w:noWrap/>
            <w:vAlign w:val="bottom"/>
          </w:tcPr>
          <w:p w14:paraId="338B21F6" w14:textId="77777777" w:rsidR="006B5568" w:rsidRPr="000F21D1" w:rsidRDefault="006B5568" w:rsidP="00A772D2">
            <w:pPr>
              <w:spacing w:before="80" w:after="80"/>
              <w:ind w:left="-57" w:right="-57"/>
              <w:jc w:val="center"/>
              <w:rPr>
                <w:rFonts w:ascii="Garamond" w:hAnsi="Garamond"/>
                <w:b/>
                <w:color w:val="000000"/>
              </w:rPr>
            </w:pPr>
            <w:r w:rsidRPr="000F21D1">
              <w:rPr>
                <w:rFonts w:ascii="Garamond" w:hAnsi="Garamond"/>
                <w:b/>
                <w:color w:val="000000"/>
              </w:rPr>
              <w:t>Q2, 2016</w:t>
            </w:r>
          </w:p>
        </w:tc>
        <w:tc>
          <w:tcPr>
            <w:tcW w:w="707" w:type="pct"/>
            <w:tcBorders>
              <w:top w:val="nil"/>
              <w:left w:val="nil"/>
              <w:bottom w:val="single" w:sz="4" w:space="0" w:color="auto"/>
              <w:right w:val="single" w:sz="4" w:space="0" w:color="auto"/>
            </w:tcBorders>
            <w:shd w:val="clear" w:color="auto" w:fill="auto"/>
            <w:noWrap/>
            <w:vAlign w:val="bottom"/>
          </w:tcPr>
          <w:p w14:paraId="7BA29AF4" w14:textId="77777777" w:rsidR="006B5568" w:rsidRPr="000F21D1" w:rsidRDefault="006B5568" w:rsidP="00A772D2">
            <w:pPr>
              <w:spacing w:before="80" w:after="80"/>
              <w:ind w:left="-57" w:right="-57"/>
              <w:jc w:val="center"/>
              <w:rPr>
                <w:rFonts w:ascii="Garamond" w:hAnsi="Garamond"/>
                <w:b/>
                <w:color w:val="000000"/>
              </w:rPr>
            </w:pPr>
            <w:r w:rsidRPr="000F21D1">
              <w:rPr>
                <w:rFonts w:ascii="Garamond" w:hAnsi="Garamond"/>
                <w:b/>
                <w:color w:val="000000"/>
              </w:rPr>
              <w:t>Change</w:t>
            </w:r>
          </w:p>
        </w:tc>
      </w:tr>
      <w:tr w:rsidR="006B5568" w:rsidRPr="00F720C4" w14:paraId="0960742D"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tcPr>
          <w:p w14:paraId="5978C668" w14:textId="77777777" w:rsidR="006B5568" w:rsidRPr="000F21D1" w:rsidRDefault="006B5568" w:rsidP="00A772D2">
            <w:pPr>
              <w:spacing w:before="20" w:after="20"/>
              <w:ind w:right="-57"/>
              <w:rPr>
                <w:rFonts w:ascii="Garamond" w:hAnsi="Garamond"/>
                <w:b/>
                <w:color w:val="000000"/>
              </w:rPr>
            </w:pPr>
            <w:r w:rsidRPr="000F21D1">
              <w:rPr>
                <w:rFonts w:ascii="Garamond" w:hAnsi="Garamond"/>
                <w:b/>
                <w:bCs/>
                <w:color w:val="000000"/>
              </w:rPr>
              <w:t>Up to 1 year</w:t>
            </w:r>
            <w:r w:rsidRPr="000F21D1">
              <w:rPr>
                <w:rFonts w:ascii="Garamond" w:hAnsi="Garamond" w:cs="Courier New"/>
                <w:color w:val="000000"/>
              </w:rPr>
              <w:t> </w:t>
            </w:r>
          </w:p>
        </w:tc>
      </w:tr>
      <w:tr w:rsidR="006B5568" w:rsidRPr="00F720C4" w14:paraId="71A4EFE9" w14:textId="77777777" w:rsidTr="00A772D2">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tcPr>
          <w:p w14:paraId="5455A781" w14:textId="1FE71AA5" w:rsidR="006B5568" w:rsidRPr="000F21D1" w:rsidRDefault="00A66249" w:rsidP="00A772D2">
            <w:pPr>
              <w:spacing w:before="20" w:after="20"/>
              <w:rPr>
                <w:rFonts w:ascii="Garamond" w:hAnsi="Garamond"/>
                <w:i/>
                <w:iCs/>
                <w:color w:val="000000"/>
              </w:rPr>
            </w:pPr>
            <w:r>
              <w:rPr>
                <w:rFonts w:ascii="Garamond" w:hAnsi="Garamond"/>
                <w:i/>
                <w:iCs/>
                <w:color w:val="000000"/>
              </w:rPr>
              <w:t xml:space="preserve">   </w:t>
            </w:r>
            <w:r w:rsidR="00A236B8">
              <w:rPr>
                <w:rFonts w:ascii="Garamond" w:hAnsi="Garamond"/>
                <w:i/>
                <w:iCs/>
                <w:color w:val="000000"/>
              </w:rPr>
              <w:t>N</w:t>
            </w:r>
            <w:r>
              <w:rPr>
                <w:rFonts w:ascii="Garamond" w:hAnsi="Garamond"/>
                <w:i/>
                <w:iCs/>
                <w:color w:val="000000"/>
              </w:rPr>
              <w:t>on financial corporations</w:t>
            </w:r>
          </w:p>
        </w:tc>
        <w:tc>
          <w:tcPr>
            <w:tcW w:w="708" w:type="pct"/>
            <w:tcBorders>
              <w:top w:val="nil"/>
              <w:left w:val="nil"/>
              <w:bottom w:val="single" w:sz="4" w:space="0" w:color="auto"/>
              <w:right w:val="single" w:sz="4" w:space="0" w:color="auto"/>
            </w:tcBorders>
            <w:shd w:val="clear" w:color="auto" w:fill="auto"/>
            <w:noWrap/>
            <w:vAlign w:val="bottom"/>
          </w:tcPr>
          <w:p w14:paraId="7507F2CD" w14:textId="77777777" w:rsidR="006B5568" w:rsidRPr="000F21D1" w:rsidRDefault="006B5568" w:rsidP="00A772D2">
            <w:pPr>
              <w:spacing w:before="20" w:after="20"/>
              <w:jc w:val="right"/>
              <w:rPr>
                <w:rFonts w:ascii="Garamond" w:hAnsi="Garamond"/>
                <w:color w:val="000000"/>
              </w:rPr>
            </w:pPr>
            <w:r w:rsidRPr="000F21D1">
              <w:rPr>
                <w:rFonts w:ascii="Garamond" w:hAnsi="Garamond"/>
                <w:color w:val="000000"/>
              </w:rPr>
              <w:t>8.01</w:t>
            </w:r>
          </w:p>
        </w:tc>
        <w:tc>
          <w:tcPr>
            <w:tcW w:w="709" w:type="pct"/>
            <w:tcBorders>
              <w:top w:val="nil"/>
              <w:left w:val="nil"/>
              <w:bottom w:val="single" w:sz="4" w:space="0" w:color="auto"/>
              <w:right w:val="single" w:sz="4" w:space="0" w:color="auto"/>
            </w:tcBorders>
            <w:shd w:val="clear" w:color="auto" w:fill="auto"/>
            <w:noWrap/>
            <w:vAlign w:val="bottom"/>
          </w:tcPr>
          <w:p w14:paraId="4CFA94BD" w14:textId="77777777" w:rsidR="006B5568" w:rsidRPr="000F21D1" w:rsidRDefault="006B5568" w:rsidP="00A772D2">
            <w:pPr>
              <w:spacing w:before="20" w:after="20"/>
              <w:jc w:val="right"/>
              <w:rPr>
                <w:rFonts w:ascii="Garamond" w:hAnsi="Garamond"/>
                <w:color w:val="000000"/>
              </w:rPr>
            </w:pPr>
            <w:r w:rsidRPr="000F21D1">
              <w:rPr>
                <w:rFonts w:ascii="Garamond" w:hAnsi="Garamond"/>
                <w:color w:val="000000"/>
              </w:rPr>
              <w:t>8.5</w:t>
            </w:r>
          </w:p>
        </w:tc>
        <w:tc>
          <w:tcPr>
            <w:tcW w:w="707" w:type="pct"/>
            <w:tcBorders>
              <w:top w:val="nil"/>
              <w:left w:val="nil"/>
              <w:bottom w:val="single" w:sz="4" w:space="0" w:color="auto"/>
              <w:right w:val="single" w:sz="4" w:space="0" w:color="auto"/>
            </w:tcBorders>
            <w:shd w:val="clear" w:color="auto" w:fill="auto"/>
            <w:noWrap/>
            <w:vAlign w:val="bottom"/>
          </w:tcPr>
          <w:p w14:paraId="4428F0A6" w14:textId="77777777" w:rsidR="006B5568" w:rsidRPr="000F21D1" w:rsidRDefault="006B5568" w:rsidP="00A772D2">
            <w:pPr>
              <w:spacing w:before="20" w:after="20"/>
              <w:jc w:val="right"/>
              <w:rPr>
                <w:rFonts w:ascii="Garamond" w:hAnsi="Garamond"/>
                <w:color w:val="000000"/>
              </w:rPr>
            </w:pPr>
            <w:r w:rsidRPr="000F21D1">
              <w:rPr>
                <w:rFonts w:ascii="Garamond" w:hAnsi="Garamond"/>
                <w:color w:val="000000"/>
              </w:rPr>
              <w:t>0.49</w:t>
            </w:r>
          </w:p>
        </w:tc>
      </w:tr>
      <w:tr w:rsidR="006B5568" w:rsidRPr="00F720C4" w14:paraId="03305543" w14:textId="77777777" w:rsidTr="00A772D2">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tcPr>
          <w:p w14:paraId="5F94B527" w14:textId="16F618A2" w:rsidR="006B5568" w:rsidRPr="000F21D1" w:rsidRDefault="00A66249" w:rsidP="00A236B8">
            <w:pPr>
              <w:spacing w:before="20" w:after="20"/>
              <w:rPr>
                <w:rFonts w:ascii="Garamond" w:hAnsi="Garamond"/>
                <w:i/>
                <w:iCs/>
                <w:color w:val="000000"/>
              </w:rPr>
            </w:pPr>
            <w:r>
              <w:rPr>
                <w:rFonts w:ascii="Garamond" w:hAnsi="Garamond"/>
                <w:i/>
                <w:iCs/>
                <w:color w:val="000000"/>
              </w:rPr>
              <w:t xml:space="preserve">  </w:t>
            </w:r>
            <w:r w:rsidR="00A236B8">
              <w:rPr>
                <w:rFonts w:ascii="Garamond" w:hAnsi="Garamond"/>
                <w:i/>
                <w:iCs/>
                <w:color w:val="000000"/>
              </w:rPr>
              <w:t>H</w:t>
            </w:r>
            <w:r>
              <w:rPr>
                <w:rFonts w:ascii="Garamond" w:hAnsi="Garamond"/>
                <w:i/>
                <w:iCs/>
                <w:color w:val="000000"/>
              </w:rPr>
              <w:t>ouseholders</w:t>
            </w:r>
          </w:p>
        </w:tc>
        <w:tc>
          <w:tcPr>
            <w:tcW w:w="708" w:type="pct"/>
            <w:tcBorders>
              <w:top w:val="nil"/>
              <w:left w:val="nil"/>
              <w:bottom w:val="single" w:sz="4" w:space="0" w:color="auto"/>
              <w:right w:val="single" w:sz="4" w:space="0" w:color="auto"/>
            </w:tcBorders>
            <w:shd w:val="clear" w:color="auto" w:fill="auto"/>
            <w:noWrap/>
            <w:vAlign w:val="bottom"/>
          </w:tcPr>
          <w:p w14:paraId="66F68E94" w14:textId="77777777" w:rsidR="006B5568" w:rsidRPr="000F21D1" w:rsidRDefault="006B5568" w:rsidP="00A772D2">
            <w:pPr>
              <w:spacing w:before="20" w:after="20"/>
              <w:jc w:val="right"/>
              <w:rPr>
                <w:rFonts w:ascii="Garamond" w:hAnsi="Garamond"/>
                <w:color w:val="000000"/>
              </w:rPr>
            </w:pPr>
            <w:r w:rsidRPr="000F21D1">
              <w:rPr>
                <w:rFonts w:ascii="Garamond" w:hAnsi="Garamond"/>
                <w:color w:val="000000"/>
              </w:rPr>
              <w:t>14.75</w:t>
            </w:r>
          </w:p>
        </w:tc>
        <w:tc>
          <w:tcPr>
            <w:tcW w:w="709" w:type="pct"/>
            <w:tcBorders>
              <w:top w:val="nil"/>
              <w:left w:val="nil"/>
              <w:bottom w:val="single" w:sz="4" w:space="0" w:color="auto"/>
              <w:right w:val="single" w:sz="4" w:space="0" w:color="auto"/>
            </w:tcBorders>
            <w:shd w:val="clear" w:color="auto" w:fill="auto"/>
            <w:noWrap/>
            <w:vAlign w:val="bottom"/>
          </w:tcPr>
          <w:p w14:paraId="1BC8B5CF" w14:textId="77777777" w:rsidR="006B5568" w:rsidRPr="000F21D1" w:rsidRDefault="006B5568" w:rsidP="00A772D2">
            <w:pPr>
              <w:spacing w:before="20" w:after="20"/>
              <w:jc w:val="right"/>
              <w:rPr>
                <w:rFonts w:ascii="Garamond" w:hAnsi="Garamond"/>
                <w:color w:val="000000"/>
              </w:rPr>
            </w:pPr>
            <w:r w:rsidRPr="000F21D1">
              <w:rPr>
                <w:rFonts w:ascii="Garamond" w:hAnsi="Garamond"/>
                <w:color w:val="000000"/>
              </w:rPr>
              <w:t>14.52</w:t>
            </w:r>
          </w:p>
        </w:tc>
        <w:tc>
          <w:tcPr>
            <w:tcW w:w="707" w:type="pct"/>
            <w:tcBorders>
              <w:top w:val="nil"/>
              <w:left w:val="nil"/>
              <w:bottom w:val="single" w:sz="4" w:space="0" w:color="auto"/>
              <w:right w:val="single" w:sz="4" w:space="0" w:color="auto"/>
            </w:tcBorders>
            <w:shd w:val="clear" w:color="auto" w:fill="auto"/>
            <w:noWrap/>
            <w:vAlign w:val="bottom"/>
          </w:tcPr>
          <w:p w14:paraId="7DF38B34" w14:textId="77777777" w:rsidR="006B5568" w:rsidRPr="000F21D1" w:rsidRDefault="006B5568" w:rsidP="00A772D2">
            <w:pPr>
              <w:spacing w:before="20" w:after="20"/>
              <w:jc w:val="right"/>
              <w:rPr>
                <w:rFonts w:ascii="Garamond" w:hAnsi="Garamond"/>
                <w:color w:val="000000"/>
              </w:rPr>
            </w:pPr>
            <w:r w:rsidRPr="000F21D1">
              <w:rPr>
                <w:rFonts w:ascii="Garamond" w:hAnsi="Garamond"/>
                <w:color w:val="000000"/>
              </w:rPr>
              <w:t>-0.23</w:t>
            </w:r>
          </w:p>
        </w:tc>
      </w:tr>
      <w:tr w:rsidR="006B5568" w:rsidRPr="00F720C4" w14:paraId="6C56136D"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tcPr>
          <w:p w14:paraId="7043991E" w14:textId="77777777" w:rsidR="006B5568" w:rsidRPr="000F21D1" w:rsidRDefault="006B5568" w:rsidP="00A772D2">
            <w:pPr>
              <w:spacing w:before="20" w:after="20"/>
              <w:ind w:right="-57"/>
              <w:rPr>
                <w:rFonts w:ascii="Garamond" w:hAnsi="Garamond"/>
                <w:b/>
                <w:color w:val="000000"/>
              </w:rPr>
            </w:pPr>
            <w:r w:rsidRPr="000F21D1">
              <w:rPr>
                <w:rFonts w:ascii="Garamond" w:hAnsi="Garamond"/>
                <w:b/>
                <w:bCs/>
                <w:color w:val="000000"/>
              </w:rPr>
              <w:t>Over 1 year</w:t>
            </w:r>
          </w:p>
        </w:tc>
      </w:tr>
      <w:tr w:rsidR="006B5568" w:rsidRPr="00F720C4" w14:paraId="14B2BCC6" w14:textId="77777777" w:rsidTr="00A772D2">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tcPr>
          <w:p w14:paraId="3D34335C" w14:textId="130B1866" w:rsidR="006B5568" w:rsidRPr="000F21D1" w:rsidRDefault="00A66249" w:rsidP="00A772D2">
            <w:pPr>
              <w:spacing w:before="20" w:after="20"/>
              <w:rPr>
                <w:rFonts w:ascii="Garamond" w:hAnsi="Garamond"/>
                <w:i/>
                <w:iCs/>
                <w:color w:val="000000"/>
              </w:rPr>
            </w:pPr>
            <w:r>
              <w:rPr>
                <w:rFonts w:ascii="Garamond" w:hAnsi="Garamond"/>
                <w:i/>
                <w:iCs/>
                <w:color w:val="000000"/>
              </w:rPr>
              <w:t xml:space="preserve">   </w:t>
            </w:r>
            <w:r w:rsidR="00A236B8">
              <w:rPr>
                <w:rFonts w:ascii="Garamond" w:hAnsi="Garamond"/>
                <w:i/>
                <w:iCs/>
                <w:color w:val="000000"/>
              </w:rPr>
              <w:t>N</w:t>
            </w:r>
            <w:r>
              <w:rPr>
                <w:rFonts w:ascii="Garamond" w:hAnsi="Garamond"/>
                <w:i/>
                <w:iCs/>
                <w:color w:val="000000"/>
              </w:rPr>
              <w:t>on financial corporations</w:t>
            </w:r>
          </w:p>
        </w:tc>
        <w:tc>
          <w:tcPr>
            <w:tcW w:w="708" w:type="pct"/>
            <w:tcBorders>
              <w:top w:val="nil"/>
              <w:left w:val="nil"/>
              <w:bottom w:val="single" w:sz="4" w:space="0" w:color="auto"/>
              <w:right w:val="single" w:sz="4" w:space="0" w:color="auto"/>
            </w:tcBorders>
            <w:shd w:val="clear" w:color="auto" w:fill="auto"/>
            <w:noWrap/>
            <w:vAlign w:val="bottom"/>
          </w:tcPr>
          <w:p w14:paraId="16A32684" w14:textId="77777777" w:rsidR="006B5568" w:rsidRPr="000F21D1" w:rsidRDefault="006B5568" w:rsidP="00A772D2">
            <w:pPr>
              <w:spacing w:before="20" w:after="20"/>
              <w:jc w:val="right"/>
              <w:rPr>
                <w:rFonts w:ascii="Garamond" w:hAnsi="Garamond"/>
                <w:color w:val="000000"/>
              </w:rPr>
            </w:pPr>
            <w:r w:rsidRPr="000F21D1">
              <w:rPr>
                <w:rFonts w:ascii="Garamond" w:hAnsi="Garamond"/>
                <w:color w:val="000000"/>
              </w:rPr>
              <w:t>9.43</w:t>
            </w:r>
          </w:p>
        </w:tc>
        <w:tc>
          <w:tcPr>
            <w:tcW w:w="709" w:type="pct"/>
            <w:tcBorders>
              <w:top w:val="nil"/>
              <w:left w:val="nil"/>
              <w:bottom w:val="single" w:sz="4" w:space="0" w:color="auto"/>
              <w:right w:val="single" w:sz="4" w:space="0" w:color="auto"/>
            </w:tcBorders>
            <w:shd w:val="clear" w:color="auto" w:fill="auto"/>
            <w:noWrap/>
            <w:vAlign w:val="bottom"/>
          </w:tcPr>
          <w:p w14:paraId="0C09647B" w14:textId="77777777" w:rsidR="006B5568" w:rsidRPr="000F21D1" w:rsidRDefault="006B5568" w:rsidP="00A772D2">
            <w:pPr>
              <w:spacing w:before="20" w:after="20"/>
              <w:jc w:val="right"/>
              <w:rPr>
                <w:rFonts w:ascii="Garamond" w:hAnsi="Garamond"/>
                <w:color w:val="000000"/>
              </w:rPr>
            </w:pPr>
            <w:r w:rsidRPr="000F21D1">
              <w:rPr>
                <w:rFonts w:ascii="Garamond" w:hAnsi="Garamond"/>
                <w:color w:val="000000"/>
              </w:rPr>
              <w:t>9.75</w:t>
            </w:r>
          </w:p>
        </w:tc>
        <w:tc>
          <w:tcPr>
            <w:tcW w:w="707" w:type="pct"/>
            <w:tcBorders>
              <w:top w:val="nil"/>
              <w:left w:val="nil"/>
              <w:bottom w:val="single" w:sz="4" w:space="0" w:color="auto"/>
              <w:right w:val="single" w:sz="4" w:space="0" w:color="auto"/>
            </w:tcBorders>
            <w:shd w:val="clear" w:color="auto" w:fill="auto"/>
            <w:noWrap/>
            <w:vAlign w:val="bottom"/>
          </w:tcPr>
          <w:p w14:paraId="5F6083F2" w14:textId="77777777" w:rsidR="006B5568" w:rsidRPr="000F21D1" w:rsidRDefault="006B5568" w:rsidP="00A772D2">
            <w:pPr>
              <w:spacing w:before="20" w:after="20"/>
              <w:jc w:val="right"/>
              <w:rPr>
                <w:rFonts w:ascii="Garamond" w:hAnsi="Garamond"/>
                <w:color w:val="000000"/>
              </w:rPr>
            </w:pPr>
            <w:r w:rsidRPr="000F21D1">
              <w:rPr>
                <w:rFonts w:ascii="Garamond" w:hAnsi="Garamond"/>
                <w:color w:val="000000"/>
              </w:rPr>
              <w:t>0.32</w:t>
            </w:r>
          </w:p>
        </w:tc>
      </w:tr>
      <w:tr w:rsidR="006B5568" w:rsidRPr="00F720C4" w14:paraId="6276FEAB" w14:textId="77777777" w:rsidTr="00A772D2">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tcPr>
          <w:p w14:paraId="2800B3F3" w14:textId="68952358" w:rsidR="006B5568" w:rsidRPr="000F21D1" w:rsidRDefault="00A66249" w:rsidP="00A236B8">
            <w:pPr>
              <w:spacing w:before="20" w:after="20"/>
              <w:rPr>
                <w:rFonts w:ascii="Garamond" w:hAnsi="Garamond"/>
                <w:i/>
                <w:iCs/>
                <w:color w:val="000000"/>
              </w:rPr>
            </w:pPr>
            <w:r>
              <w:rPr>
                <w:rFonts w:ascii="Garamond" w:hAnsi="Garamond"/>
                <w:i/>
                <w:iCs/>
                <w:color w:val="000000"/>
              </w:rPr>
              <w:t xml:space="preserve">  </w:t>
            </w:r>
            <w:r w:rsidR="00A236B8">
              <w:rPr>
                <w:rFonts w:ascii="Garamond" w:hAnsi="Garamond"/>
                <w:i/>
                <w:iCs/>
                <w:color w:val="000000"/>
              </w:rPr>
              <w:t>H</w:t>
            </w:r>
            <w:r>
              <w:rPr>
                <w:rFonts w:ascii="Garamond" w:hAnsi="Garamond"/>
                <w:i/>
                <w:iCs/>
                <w:color w:val="000000"/>
              </w:rPr>
              <w:t>ouseholders</w:t>
            </w:r>
          </w:p>
        </w:tc>
        <w:tc>
          <w:tcPr>
            <w:tcW w:w="708" w:type="pct"/>
            <w:tcBorders>
              <w:top w:val="nil"/>
              <w:left w:val="nil"/>
              <w:bottom w:val="single" w:sz="4" w:space="0" w:color="auto"/>
              <w:right w:val="single" w:sz="4" w:space="0" w:color="auto"/>
            </w:tcBorders>
            <w:shd w:val="clear" w:color="auto" w:fill="auto"/>
            <w:noWrap/>
            <w:vAlign w:val="bottom"/>
          </w:tcPr>
          <w:p w14:paraId="3E0437B6" w14:textId="77777777" w:rsidR="006B5568" w:rsidRPr="000F21D1" w:rsidRDefault="006B5568" w:rsidP="00A772D2">
            <w:pPr>
              <w:spacing w:before="20" w:after="20"/>
              <w:jc w:val="right"/>
              <w:rPr>
                <w:rFonts w:ascii="Garamond" w:hAnsi="Garamond"/>
                <w:color w:val="000000"/>
              </w:rPr>
            </w:pPr>
            <w:r w:rsidRPr="000F21D1">
              <w:rPr>
                <w:rFonts w:ascii="Garamond" w:hAnsi="Garamond"/>
                <w:color w:val="000000"/>
              </w:rPr>
              <w:t>15.32</w:t>
            </w:r>
          </w:p>
        </w:tc>
        <w:tc>
          <w:tcPr>
            <w:tcW w:w="709" w:type="pct"/>
            <w:tcBorders>
              <w:top w:val="nil"/>
              <w:left w:val="nil"/>
              <w:bottom w:val="single" w:sz="4" w:space="0" w:color="auto"/>
              <w:right w:val="single" w:sz="4" w:space="0" w:color="auto"/>
            </w:tcBorders>
            <w:shd w:val="clear" w:color="auto" w:fill="auto"/>
            <w:noWrap/>
            <w:vAlign w:val="bottom"/>
          </w:tcPr>
          <w:p w14:paraId="42DA1111" w14:textId="77777777" w:rsidR="006B5568" w:rsidRPr="000F21D1" w:rsidRDefault="006B5568" w:rsidP="00A772D2">
            <w:pPr>
              <w:spacing w:before="20" w:after="20"/>
              <w:jc w:val="right"/>
              <w:rPr>
                <w:rFonts w:ascii="Garamond" w:hAnsi="Garamond"/>
                <w:color w:val="000000"/>
              </w:rPr>
            </w:pPr>
            <w:r w:rsidRPr="000F21D1">
              <w:rPr>
                <w:rFonts w:ascii="Garamond" w:hAnsi="Garamond"/>
                <w:color w:val="000000"/>
              </w:rPr>
              <w:t>14.29</w:t>
            </w:r>
          </w:p>
        </w:tc>
        <w:tc>
          <w:tcPr>
            <w:tcW w:w="707" w:type="pct"/>
            <w:tcBorders>
              <w:top w:val="nil"/>
              <w:left w:val="nil"/>
              <w:bottom w:val="single" w:sz="4" w:space="0" w:color="auto"/>
              <w:right w:val="single" w:sz="4" w:space="0" w:color="auto"/>
            </w:tcBorders>
            <w:shd w:val="clear" w:color="auto" w:fill="auto"/>
            <w:noWrap/>
            <w:vAlign w:val="bottom"/>
          </w:tcPr>
          <w:p w14:paraId="42CD8BBF" w14:textId="77777777" w:rsidR="006B5568" w:rsidRPr="000F21D1" w:rsidRDefault="006B5568" w:rsidP="00A772D2">
            <w:pPr>
              <w:spacing w:before="20" w:after="20"/>
              <w:jc w:val="right"/>
              <w:rPr>
                <w:rFonts w:ascii="Garamond" w:hAnsi="Garamond"/>
                <w:color w:val="000000"/>
              </w:rPr>
            </w:pPr>
            <w:r w:rsidRPr="000F21D1">
              <w:rPr>
                <w:rFonts w:ascii="Garamond" w:hAnsi="Garamond"/>
                <w:color w:val="000000"/>
              </w:rPr>
              <w:t>-1.03</w:t>
            </w:r>
          </w:p>
        </w:tc>
      </w:tr>
    </w:tbl>
    <w:p w14:paraId="0A14CFA0" w14:textId="77777777" w:rsidR="006B5568" w:rsidRPr="000F21D1" w:rsidRDefault="006B5568" w:rsidP="006B5568">
      <w:pPr>
        <w:ind w:firstLine="284"/>
        <w:jc w:val="both"/>
        <w:rPr>
          <w:rFonts w:ascii="Garamond" w:hAnsi="Garamond" w:cs="Sylfaen"/>
          <w:color w:val="0070C0"/>
        </w:rPr>
      </w:pPr>
    </w:p>
    <w:p w14:paraId="5B6DD702" w14:textId="77777777" w:rsidR="006B5568" w:rsidRPr="000F21D1" w:rsidRDefault="006B5568" w:rsidP="0006101A">
      <w:pPr>
        <w:spacing w:line="360" w:lineRule="auto"/>
        <w:jc w:val="both"/>
        <w:rPr>
          <w:rFonts w:ascii="Garamond" w:hAnsi="Garamond" w:cs="Sylfaen"/>
          <w:color w:val="000000"/>
        </w:rPr>
      </w:pPr>
    </w:p>
    <w:p w14:paraId="1FDE562C" w14:textId="77777777" w:rsidR="00E33507" w:rsidRPr="000F21D1" w:rsidRDefault="00E33507" w:rsidP="0006101A">
      <w:pPr>
        <w:spacing w:line="360" w:lineRule="auto"/>
        <w:jc w:val="both"/>
        <w:rPr>
          <w:rFonts w:ascii="Garamond" w:hAnsi="Garamond" w:cs="Sylfaen"/>
          <w:color w:val="000000"/>
        </w:rPr>
      </w:pPr>
      <w:r w:rsidRPr="000F21D1">
        <w:rPr>
          <w:rFonts w:ascii="Garamond" w:hAnsi="Garamond" w:cs="Sylfaen"/>
          <w:color w:val="000000"/>
        </w:rPr>
        <w:t xml:space="preserve">The amount of both demand and time deposits in foreign currency </w:t>
      </w:r>
      <w:r w:rsidR="00D028EF" w:rsidRPr="000F21D1">
        <w:rPr>
          <w:rFonts w:ascii="Garamond" w:hAnsi="Garamond" w:cs="Sylfaen"/>
          <w:color w:val="000000"/>
        </w:rPr>
        <w:t xml:space="preserve">decreased during the second quarter along with </w:t>
      </w:r>
      <w:r w:rsidRPr="000F21D1">
        <w:rPr>
          <w:rFonts w:ascii="Garamond" w:hAnsi="Garamond" w:cs="Sylfaen"/>
          <w:color w:val="000000"/>
        </w:rPr>
        <w:t>the reduction of interest rates</w:t>
      </w:r>
      <w:r w:rsidR="00D028EF" w:rsidRPr="000F21D1">
        <w:rPr>
          <w:rFonts w:ascii="Garamond" w:hAnsi="Garamond" w:cs="Sylfaen"/>
          <w:color w:val="000000"/>
        </w:rPr>
        <w:t>.</w:t>
      </w:r>
    </w:p>
    <w:p w14:paraId="2F9CA5C9" w14:textId="77777777" w:rsidR="00E33507" w:rsidRPr="000F21D1" w:rsidRDefault="00E33507" w:rsidP="0006101A">
      <w:pPr>
        <w:spacing w:line="360" w:lineRule="auto"/>
        <w:jc w:val="both"/>
        <w:rPr>
          <w:rFonts w:ascii="Garamond" w:hAnsi="Garamond" w:cs="Sylfaen"/>
          <w:color w:val="000000"/>
        </w:rPr>
      </w:pPr>
    </w:p>
    <w:p w14:paraId="2790D4A8" w14:textId="77777777" w:rsidR="00C40009" w:rsidRPr="000F21D1" w:rsidRDefault="00385D6B" w:rsidP="0006101A">
      <w:pPr>
        <w:spacing w:line="360" w:lineRule="auto"/>
        <w:jc w:val="both"/>
        <w:rPr>
          <w:rFonts w:ascii="Garamond" w:hAnsi="Garamond" w:cs="Sylfaen"/>
          <w:color w:val="000000"/>
        </w:rPr>
      </w:pPr>
      <w:r w:rsidRPr="000F21D1">
        <w:rPr>
          <w:rFonts w:ascii="Garamond" w:hAnsi="Garamond" w:cs="Sylfaen"/>
          <w:color w:val="000000"/>
        </w:rPr>
        <w:lastRenderedPageBreak/>
        <w:t>Continued easing of monetary conditions by the CBA</w:t>
      </w:r>
      <w:r w:rsidR="009438E2" w:rsidRPr="000F21D1">
        <w:rPr>
          <w:rFonts w:ascii="Garamond" w:hAnsi="Garamond" w:cs="Sylfaen"/>
          <w:color w:val="000000"/>
        </w:rPr>
        <w:t xml:space="preserve"> which led to the</w:t>
      </w:r>
      <w:r w:rsidRPr="000F21D1">
        <w:rPr>
          <w:rFonts w:ascii="Garamond" w:hAnsi="Garamond" w:cs="Sylfaen"/>
          <w:color w:val="000000"/>
        </w:rPr>
        <w:t xml:space="preserve"> falling </w:t>
      </w:r>
      <w:r w:rsidR="009438E2" w:rsidRPr="000F21D1">
        <w:rPr>
          <w:rFonts w:ascii="Garamond" w:hAnsi="Garamond" w:cs="Sylfaen"/>
          <w:color w:val="000000"/>
        </w:rPr>
        <w:t xml:space="preserve">of </w:t>
      </w:r>
      <w:r w:rsidRPr="000F21D1">
        <w:rPr>
          <w:rFonts w:ascii="Garamond" w:hAnsi="Garamond" w:cs="Sylfaen"/>
          <w:color w:val="000000"/>
        </w:rPr>
        <w:t xml:space="preserve">interest rates in the financial market, including interest rates on funds attracted by banks, </w:t>
      </w:r>
      <w:r w:rsidR="009438E2" w:rsidRPr="000F21D1">
        <w:rPr>
          <w:rFonts w:ascii="Garamond" w:hAnsi="Garamond" w:cs="Sylfaen"/>
          <w:color w:val="000000"/>
        </w:rPr>
        <w:t xml:space="preserve">has affected interest rates in the credit market </w:t>
      </w:r>
      <w:r w:rsidRPr="000F21D1">
        <w:rPr>
          <w:rFonts w:ascii="Garamond" w:hAnsi="Garamond" w:cs="Sylfaen"/>
          <w:color w:val="000000"/>
        </w:rPr>
        <w:t xml:space="preserve">through the </w:t>
      </w:r>
      <w:r w:rsidR="009438E2" w:rsidRPr="000F21D1">
        <w:rPr>
          <w:rFonts w:ascii="Garamond" w:hAnsi="Garamond" w:cs="Sylfaen"/>
          <w:color w:val="000000"/>
        </w:rPr>
        <w:t xml:space="preserve">transmission </w:t>
      </w:r>
      <w:r w:rsidRPr="000F21D1">
        <w:rPr>
          <w:rFonts w:ascii="Garamond" w:hAnsi="Garamond" w:cs="Sylfaen"/>
          <w:color w:val="000000"/>
        </w:rPr>
        <w:t>mechanism</w:t>
      </w:r>
      <w:r w:rsidR="009438E2" w:rsidRPr="000F21D1">
        <w:rPr>
          <w:rFonts w:ascii="Garamond" w:hAnsi="Garamond" w:cs="Sylfaen"/>
          <w:color w:val="000000"/>
        </w:rPr>
        <w:t xml:space="preserve">. </w:t>
      </w:r>
    </w:p>
    <w:p w14:paraId="7A3AF331" w14:textId="77777777" w:rsidR="00C40009" w:rsidRPr="000F21D1" w:rsidRDefault="00C40009" w:rsidP="0006101A">
      <w:pPr>
        <w:spacing w:line="360" w:lineRule="auto"/>
        <w:jc w:val="both"/>
        <w:rPr>
          <w:rFonts w:ascii="Garamond" w:hAnsi="Garamond" w:cs="Sylfaen"/>
          <w:color w:val="000000"/>
        </w:rPr>
      </w:pPr>
    </w:p>
    <w:p w14:paraId="4290878D" w14:textId="77777777" w:rsidR="00C40009" w:rsidRPr="000F21D1" w:rsidRDefault="00C40009" w:rsidP="0006101A">
      <w:pPr>
        <w:spacing w:line="360" w:lineRule="auto"/>
        <w:jc w:val="both"/>
        <w:rPr>
          <w:rFonts w:ascii="Garamond" w:hAnsi="Garamond" w:cs="Sylfaen"/>
          <w:color w:val="000000"/>
        </w:rPr>
      </w:pPr>
      <w:r w:rsidRPr="000F21D1">
        <w:rPr>
          <w:rFonts w:ascii="Garamond" w:hAnsi="Garamond" w:cs="Sylfaen"/>
          <w:color w:val="000000"/>
        </w:rPr>
        <w:t xml:space="preserve">In June the total amount of dram loans </w:t>
      </w:r>
      <w:r w:rsidR="00A32AB2" w:rsidRPr="000F21D1">
        <w:rPr>
          <w:rFonts w:ascii="Garamond" w:hAnsi="Garamond" w:cs="Sylfaen"/>
          <w:color w:val="000000"/>
        </w:rPr>
        <w:t>grew by</w:t>
      </w:r>
      <w:r w:rsidRPr="000F21D1">
        <w:rPr>
          <w:rFonts w:ascii="Garamond" w:hAnsi="Garamond" w:cs="Sylfaen"/>
          <w:color w:val="000000"/>
        </w:rPr>
        <w:t xml:space="preserve"> 1.8% </w:t>
      </w:r>
      <w:r w:rsidR="00A32AB2" w:rsidRPr="000F21D1">
        <w:rPr>
          <w:rFonts w:ascii="Garamond" w:hAnsi="Garamond" w:cs="Sylfaen"/>
          <w:color w:val="000000"/>
        </w:rPr>
        <w:t xml:space="preserve">compared to </w:t>
      </w:r>
      <w:r w:rsidRPr="000F21D1">
        <w:rPr>
          <w:rFonts w:ascii="Garamond" w:hAnsi="Garamond" w:cs="Sylfaen"/>
          <w:color w:val="000000"/>
        </w:rPr>
        <w:t xml:space="preserve">March of 2016. </w:t>
      </w:r>
    </w:p>
    <w:p w14:paraId="3DAD03AA" w14:textId="77777777" w:rsidR="00C40009" w:rsidRPr="000F21D1" w:rsidRDefault="00C40009" w:rsidP="0006101A">
      <w:pPr>
        <w:spacing w:line="360" w:lineRule="auto"/>
        <w:jc w:val="both"/>
        <w:rPr>
          <w:rFonts w:ascii="Garamond" w:hAnsi="Garamond" w:cs="Sylfaen"/>
          <w:color w:val="000000"/>
        </w:rPr>
      </w:pPr>
    </w:p>
    <w:p w14:paraId="317269A0" w14:textId="77777777" w:rsidR="00A32AB2" w:rsidRPr="000F21D1" w:rsidRDefault="00C40009" w:rsidP="00A32AB2">
      <w:pPr>
        <w:spacing w:line="360" w:lineRule="auto"/>
        <w:jc w:val="both"/>
        <w:rPr>
          <w:rFonts w:ascii="Garamond" w:hAnsi="Garamond" w:cs="Sylfaen"/>
          <w:color w:val="0070C0"/>
        </w:rPr>
      </w:pPr>
      <w:r w:rsidRPr="000F21D1">
        <w:rPr>
          <w:rFonts w:ascii="Garamond" w:hAnsi="Garamond"/>
        </w:rPr>
        <w:t>T</w:t>
      </w:r>
      <w:r w:rsidRPr="000F21D1">
        <w:rPr>
          <w:rFonts w:ascii="Garamond" w:hAnsi="Garamond"/>
          <w:lang w:val="hy-AM"/>
        </w:rPr>
        <w:t xml:space="preserve">he total </w:t>
      </w:r>
      <w:r w:rsidRPr="000F21D1">
        <w:rPr>
          <w:rFonts w:ascii="Garamond" w:hAnsi="Garamond"/>
        </w:rPr>
        <w:t xml:space="preserve">lending </w:t>
      </w:r>
      <w:r w:rsidRPr="000F21D1">
        <w:rPr>
          <w:rFonts w:ascii="Garamond" w:hAnsi="Garamond"/>
          <w:lang w:val="hy-AM"/>
        </w:rPr>
        <w:t xml:space="preserve">volume </w:t>
      </w:r>
      <w:r w:rsidRPr="000F21D1">
        <w:rPr>
          <w:rFonts w:ascii="Garamond" w:hAnsi="Garamond"/>
        </w:rPr>
        <w:t xml:space="preserve">grew during the quarter </w:t>
      </w:r>
      <w:r w:rsidRPr="000F21D1">
        <w:rPr>
          <w:rFonts w:ascii="Garamond" w:hAnsi="Garamond"/>
          <w:lang w:val="hy-AM"/>
        </w:rPr>
        <w:t xml:space="preserve">by </w:t>
      </w:r>
      <w:r w:rsidRPr="000F21D1">
        <w:rPr>
          <w:rFonts w:ascii="Garamond" w:hAnsi="Garamond"/>
        </w:rPr>
        <w:t>0</w:t>
      </w:r>
      <w:r w:rsidRPr="000F21D1">
        <w:rPr>
          <w:rFonts w:ascii="Garamond" w:hAnsi="Garamond"/>
          <w:lang w:val="hy-AM"/>
        </w:rPr>
        <w:t>.</w:t>
      </w:r>
      <w:r w:rsidRPr="000F21D1">
        <w:rPr>
          <w:rFonts w:ascii="Garamond" w:hAnsi="Garamond"/>
        </w:rPr>
        <w:t>6</w:t>
      </w:r>
      <w:r w:rsidRPr="000F21D1">
        <w:rPr>
          <w:rFonts w:ascii="Garamond" w:hAnsi="Garamond"/>
          <w:lang w:val="hy-AM"/>
        </w:rPr>
        <w:t>%</w:t>
      </w:r>
      <w:r w:rsidRPr="000F21D1">
        <w:rPr>
          <w:rFonts w:ascii="Garamond" w:hAnsi="Garamond"/>
        </w:rPr>
        <w:t xml:space="preserve"> or 1.5%, if </w:t>
      </w:r>
      <w:r w:rsidRPr="000F21D1">
        <w:rPr>
          <w:rFonts w:ascii="Garamond" w:hAnsi="Garamond"/>
          <w:lang w:val="hy-AM"/>
        </w:rPr>
        <w:t xml:space="preserve">the effect of </w:t>
      </w:r>
      <w:r w:rsidRPr="000F21D1">
        <w:rPr>
          <w:rFonts w:ascii="Garamond" w:hAnsi="Garamond"/>
        </w:rPr>
        <w:t xml:space="preserve">varying </w:t>
      </w:r>
      <w:r w:rsidRPr="000F21D1">
        <w:rPr>
          <w:rFonts w:ascii="Garamond" w:hAnsi="Garamond"/>
          <w:lang w:val="hy-AM"/>
        </w:rPr>
        <w:t>exchange rate</w:t>
      </w:r>
      <w:r w:rsidRPr="000F21D1">
        <w:rPr>
          <w:rFonts w:ascii="Garamond" w:hAnsi="Garamond"/>
        </w:rPr>
        <w:t xml:space="preserve"> is excluded</w:t>
      </w:r>
      <w:r w:rsidRPr="000F21D1">
        <w:rPr>
          <w:rFonts w:ascii="Garamond" w:hAnsi="Garamond"/>
          <w:lang w:val="hy-AM"/>
        </w:rPr>
        <w:t>.</w:t>
      </w:r>
    </w:p>
    <w:tbl>
      <w:tblPr>
        <w:tblpPr w:leftFromText="180" w:rightFromText="180" w:vertAnchor="text" w:horzAnchor="margin" w:tblpX="100" w:tblpY="59"/>
        <w:tblW w:w="4825" w:type="pct"/>
        <w:tblLook w:val="04A0" w:firstRow="1" w:lastRow="0" w:firstColumn="1" w:lastColumn="0" w:noHBand="0" w:noVBand="1"/>
      </w:tblPr>
      <w:tblGrid>
        <w:gridCol w:w="5073"/>
        <w:gridCol w:w="1405"/>
        <w:gridCol w:w="1466"/>
        <w:gridCol w:w="1297"/>
      </w:tblGrid>
      <w:tr w:rsidR="00A32AB2" w:rsidRPr="00F720C4" w14:paraId="4A5D9ADD" w14:textId="77777777" w:rsidTr="00A772D2">
        <w:trPr>
          <w:trHeight w:val="510"/>
        </w:trPr>
        <w:tc>
          <w:tcPr>
            <w:tcW w:w="274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D4AE2F0" w14:textId="3C79D1AB" w:rsidR="00A32AB2" w:rsidRPr="000F21D1" w:rsidRDefault="00A32AB2" w:rsidP="008B0414">
            <w:pPr>
              <w:spacing w:before="40" w:after="40"/>
              <w:rPr>
                <w:rFonts w:ascii="Garamond" w:hAnsi="Garamond"/>
                <w:b/>
                <w:color w:val="000000"/>
              </w:rPr>
            </w:pPr>
            <w:r w:rsidRPr="000F21D1">
              <w:rPr>
                <w:rFonts w:ascii="Garamond" w:hAnsi="Garamond"/>
                <w:b/>
                <w:color w:val="000000"/>
              </w:rPr>
              <w:t xml:space="preserve">Interest rate on mortgage loans to </w:t>
            </w:r>
            <w:r w:rsidR="008B0414">
              <w:rPr>
                <w:rFonts w:ascii="Garamond" w:hAnsi="Garamond"/>
                <w:b/>
                <w:color w:val="000000"/>
              </w:rPr>
              <w:t xml:space="preserve"> householders</w:t>
            </w:r>
          </w:p>
        </w:tc>
        <w:tc>
          <w:tcPr>
            <w:tcW w:w="760" w:type="pct"/>
            <w:tcBorders>
              <w:top w:val="single" w:sz="4" w:space="0" w:color="auto"/>
              <w:left w:val="nil"/>
              <w:bottom w:val="single" w:sz="4" w:space="0" w:color="auto"/>
              <w:right w:val="single" w:sz="4" w:space="0" w:color="auto"/>
            </w:tcBorders>
            <w:shd w:val="clear" w:color="auto" w:fill="auto"/>
            <w:noWrap/>
            <w:vAlign w:val="bottom"/>
            <w:hideMark/>
          </w:tcPr>
          <w:p w14:paraId="0CF0D36D" w14:textId="77777777" w:rsidR="00A32AB2" w:rsidRPr="000F21D1" w:rsidRDefault="00A32AB2" w:rsidP="00A32AB2">
            <w:pPr>
              <w:spacing w:before="40" w:after="40"/>
              <w:jc w:val="center"/>
              <w:rPr>
                <w:rFonts w:ascii="Garamond" w:hAnsi="Garamond"/>
                <w:color w:val="000000"/>
              </w:rPr>
            </w:pPr>
            <w:r w:rsidRPr="000F21D1">
              <w:rPr>
                <w:rFonts w:ascii="Garamond" w:hAnsi="Garamond"/>
                <w:color w:val="000000"/>
              </w:rPr>
              <w:t>Q1, 2016</w:t>
            </w:r>
          </w:p>
        </w:tc>
        <w:tc>
          <w:tcPr>
            <w:tcW w:w="793" w:type="pct"/>
            <w:tcBorders>
              <w:top w:val="single" w:sz="4" w:space="0" w:color="auto"/>
              <w:left w:val="nil"/>
              <w:bottom w:val="single" w:sz="4" w:space="0" w:color="auto"/>
              <w:right w:val="single" w:sz="4" w:space="0" w:color="auto"/>
            </w:tcBorders>
            <w:shd w:val="clear" w:color="auto" w:fill="auto"/>
            <w:noWrap/>
            <w:vAlign w:val="bottom"/>
            <w:hideMark/>
          </w:tcPr>
          <w:p w14:paraId="0DEBC5F5" w14:textId="77777777" w:rsidR="00A32AB2" w:rsidRPr="000F21D1" w:rsidRDefault="00A32AB2" w:rsidP="00A32AB2">
            <w:pPr>
              <w:spacing w:before="40" w:after="40"/>
              <w:jc w:val="center"/>
              <w:rPr>
                <w:rFonts w:ascii="Garamond" w:hAnsi="Garamond"/>
                <w:color w:val="000000"/>
              </w:rPr>
            </w:pPr>
            <w:r w:rsidRPr="000F21D1">
              <w:rPr>
                <w:rFonts w:ascii="Garamond" w:hAnsi="Garamond"/>
                <w:color w:val="000000"/>
              </w:rPr>
              <w:t>Q2, 2016</w:t>
            </w:r>
          </w:p>
        </w:tc>
        <w:tc>
          <w:tcPr>
            <w:tcW w:w="702" w:type="pct"/>
            <w:tcBorders>
              <w:top w:val="single" w:sz="4" w:space="0" w:color="auto"/>
              <w:left w:val="nil"/>
              <w:bottom w:val="single" w:sz="4" w:space="0" w:color="auto"/>
              <w:right w:val="single" w:sz="4" w:space="0" w:color="auto"/>
            </w:tcBorders>
            <w:shd w:val="clear" w:color="auto" w:fill="auto"/>
            <w:noWrap/>
            <w:vAlign w:val="bottom"/>
            <w:hideMark/>
          </w:tcPr>
          <w:p w14:paraId="2915F4D0" w14:textId="77777777" w:rsidR="00A32AB2" w:rsidRPr="000F21D1" w:rsidRDefault="00A32AB2" w:rsidP="00A32AB2">
            <w:pPr>
              <w:spacing w:before="40" w:after="40"/>
              <w:jc w:val="center"/>
              <w:rPr>
                <w:rFonts w:ascii="Garamond" w:hAnsi="Garamond"/>
                <w:color w:val="000000"/>
              </w:rPr>
            </w:pPr>
            <w:r w:rsidRPr="000F21D1">
              <w:rPr>
                <w:rFonts w:ascii="Garamond" w:hAnsi="Garamond"/>
                <w:color w:val="000000"/>
              </w:rPr>
              <w:t>Change</w:t>
            </w:r>
          </w:p>
        </w:tc>
      </w:tr>
      <w:tr w:rsidR="00A32AB2" w:rsidRPr="00F720C4" w14:paraId="6BFCB982" w14:textId="77777777" w:rsidTr="00A772D2">
        <w:trPr>
          <w:trHeight w:val="330"/>
        </w:trPr>
        <w:tc>
          <w:tcPr>
            <w:tcW w:w="2745" w:type="pct"/>
            <w:tcBorders>
              <w:top w:val="nil"/>
              <w:left w:val="single" w:sz="4" w:space="0" w:color="auto"/>
              <w:bottom w:val="single" w:sz="4" w:space="0" w:color="auto"/>
              <w:right w:val="single" w:sz="4" w:space="0" w:color="auto"/>
            </w:tcBorders>
            <w:shd w:val="clear" w:color="auto" w:fill="auto"/>
            <w:noWrap/>
            <w:vAlign w:val="bottom"/>
            <w:hideMark/>
          </w:tcPr>
          <w:p w14:paraId="040AFF2F" w14:textId="77777777" w:rsidR="00A32AB2" w:rsidRPr="000F21D1" w:rsidRDefault="00A32AB2" w:rsidP="00A772D2">
            <w:pPr>
              <w:spacing w:before="40" w:after="40"/>
              <w:rPr>
                <w:rFonts w:ascii="Garamond" w:hAnsi="Garamond"/>
                <w:color w:val="000000"/>
              </w:rPr>
            </w:pPr>
            <w:r w:rsidRPr="000F21D1">
              <w:rPr>
                <w:rFonts w:ascii="Garamond" w:hAnsi="Garamond"/>
                <w:color w:val="000000"/>
              </w:rPr>
              <w:t>Armenian dram</w:t>
            </w:r>
          </w:p>
        </w:tc>
        <w:tc>
          <w:tcPr>
            <w:tcW w:w="760" w:type="pct"/>
            <w:tcBorders>
              <w:top w:val="nil"/>
              <w:left w:val="nil"/>
              <w:bottom w:val="single" w:sz="4" w:space="0" w:color="auto"/>
              <w:right w:val="single" w:sz="4" w:space="0" w:color="auto"/>
            </w:tcBorders>
            <w:shd w:val="clear" w:color="auto" w:fill="auto"/>
            <w:noWrap/>
            <w:vAlign w:val="bottom"/>
            <w:hideMark/>
          </w:tcPr>
          <w:p w14:paraId="34EC5AF5" w14:textId="77777777" w:rsidR="00A32AB2" w:rsidRPr="000F21D1" w:rsidRDefault="00A32AB2" w:rsidP="00A772D2">
            <w:pPr>
              <w:spacing w:before="40" w:after="40"/>
              <w:jc w:val="right"/>
              <w:rPr>
                <w:rFonts w:ascii="Garamond" w:hAnsi="Garamond"/>
                <w:color w:val="000000"/>
              </w:rPr>
            </w:pPr>
            <w:r w:rsidRPr="000F21D1">
              <w:rPr>
                <w:rFonts w:ascii="Garamond" w:hAnsi="Garamond"/>
                <w:color w:val="000000"/>
              </w:rPr>
              <w:t>12.76</w:t>
            </w:r>
          </w:p>
        </w:tc>
        <w:tc>
          <w:tcPr>
            <w:tcW w:w="793" w:type="pct"/>
            <w:tcBorders>
              <w:top w:val="nil"/>
              <w:left w:val="nil"/>
              <w:bottom w:val="single" w:sz="4" w:space="0" w:color="auto"/>
              <w:right w:val="single" w:sz="4" w:space="0" w:color="auto"/>
            </w:tcBorders>
            <w:shd w:val="clear" w:color="auto" w:fill="auto"/>
            <w:noWrap/>
            <w:vAlign w:val="bottom"/>
            <w:hideMark/>
          </w:tcPr>
          <w:p w14:paraId="6A6A3B46" w14:textId="77777777" w:rsidR="00A32AB2" w:rsidRPr="000F21D1" w:rsidRDefault="00A32AB2" w:rsidP="00A772D2">
            <w:pPr>
              <w:spacing w:before="40" w:after="40"/>
              <w:jc w:val="right"/>
              <w:rPr>
                <w:rFonts w:ascii="Garamond" w:hAnsi="Garamond"/>
                <w:color w:val="000000"/>
              </w:rPr>
            </w:pPr>
            <w:r w:rsidRPr="000F21D1">
              <w:rPr>
                <w:rFonts w:ascii="Garamond" w:hAnsi="Garamond"/>
                <w:color w:val="000000"/>
              </w:rPr>
              <w:t>12.55</w:t>
            </w:r>
          </w:p>
        </w:tc>
        <w:tc>
          <w:tcPr>
            <w:tcW w:w="702" w:type="pct"/>
            <w:tcBorders>
              <w:top w:val="nil"/>
              <w:left w:val="nil"/>
              <w:bottom w:val="single" w:sz="4" w:space="0" w:color="auto"/>
              <w:right w:val="single" w:sz="4" w:space="0" w:color="auto"/>
            </w:tcBorders>
            <w:shd w:val="clear" w:color="auto" w:fill="auto"/>
            <w:noWrap/>
            <w:vAlign w:val="bottom"/>
            <w:hideMark/>
          </w:tcPr>
          <w:p w14:paraId="0870D735" w14:textId="77777777" w:rsidR="00A32AB2" w:rsidRPr="000F21D1" w:rsidRDefault="00A32AB2" w:rsidP="00A772D2">
            <w:pPr>
              <w:spacing w:before="40" w:after="40"/>
              <w:jc w:val="right"/>
              <w:rPr>
                <w:rFonts w:ascii="Garamond" w:hAnsi="Garamond"/>
                <w:color w:val="000000"/>
              </w:rPr>
            </w:pPr>
            <w:r w:rsidRPr="000F21D1">
              <w:rPr>
                <w:rFonts w:ascii="Garamond" w:hAnsi="Garamond"/>
                <w:color w:val="000000"/>
              </w:rPr>
              <w:t>-0.21</w:t>
            </w:r>
          </w:p>
        </w:tc>
      </w:tr>
      <w:tr w:rsidR="00A32AB2" w:rsidRPr="00F720C4" w14:paraId="49656818" w14:textId="77777777" w:rsidTr="00A772D2">
        <w:trPr>
          <w:trHeight w:val="330"/>
        </w:trPr>
        <w:tc>
          <w:tcPr>
            <w:tcW w:w="2745" w:type="pct"/>
            <w:tcBorders>
              <w:top w:val="nil"/>
              <w:left w:val="single" w:sz="4" w:space="0" w:color="auto"/>
              <w:bottom w:val="single" w:sz="4" w:space="0" w:color="auto"/>
              <w:right w:val="single" w:sz="4" w:space="0" w:color="auto"/>
            </w:tcBorders>
            <w:shd w:val="clear" w:color="auto" w:fill="auto"/>
            <w:noWrap/>
            <w:vAlign w:val="bottom"/>
            <w:hideMark/>
          </w:tcPr>
          <w:p w14:paraId="5965A557" w14:textId="77777777" w:rsidR="00A32AB2" w:rsidRPr="000F21D1" w:rsidRDefault="00A32AB2" w:rsidP="00A772D2">
            <w:pPr>
              <w:spacing w:before="40" w:after="40"/>
              <w:rPr>
                <w:rFonts w:ascii="Garamond" w:hAnsi="Garamond"/>
                <w:color w:val="000000"/>
              </w:rPr>
            </w:pPr>
            <w:r w:rsidRPr="000F21D1">
              <w:rPr>
                <w:rFonts w:ascii="Garamond" w:hAnsi="Garamond"/>
                <w:color w:val="000000"/>
              </w:rPr>
              <w:t>US dollar</w:t>
            </w:r>
          </w:p>
        </w:tc>
        <w:tc>
          <w:tcPr>
            <w:tcW w:w="760" w:type="pct"/>
            <w:tcBorders>
              <w:top w:val="nil"/>
              <w:left w:val="nil"/>
              <w:bottom w:val="single" w:sz="4" w:space="0" w:color="auto"/>
              <w:right w:val="single" w:sz="4" w:space="0" w:color="auto"/>
            </w:tcBorders>
            <w:shd w:val="clear" w:color="auto" w:fill="auto"/>
            <w:noWrap/>
            <w:vAlign w:val="bottom"/>
            <w:hideMark/>
          </w:tcPr>
          <w:p w14:paraId="2B84D0D9" w14:textId="77777777" w:rsidR="00A32AB2" w:rsidRPr="000F21D1" w:rsidRDefault="00A32AB2" w:rsidP="00A772D2">
            <w:pPr>
              <w:spacing w:before="40" w:after="40"/>
              <w:jc w:val="right"/>
              <w:rPr>
                <w:rFonts w:ascii="Garamond" w:hAnsi="Garamond"/>
                <w:color w:val="000000"/>
              </w:rPr>
            </w:pPr>
            <w:r w:rsidRPr="000F21D1">
              <w:rPr>
                <w:rFonts w:ascii="Garamond" w:hAnsi="Garamond"/>
                <w:color w:val="000000"/>
              </w:rPr>
              <w:t>12.73</w:t>
            </w:r>
          </w:p>
        </w:tc>
        <w:tc>
          <w:tcPr>
            <w:tcW w:w="793" w:type="pct"/>
            <w:tcBorders>
              <w:top w:val="nil"/>
              <w:left w:val="nil"/>
              <w:bottom w:val="single" w:sz="4" w:space="0" w:color="auto"/>
              <w:right w:val="single" w:sz="4" w:space="0" w:color="auto"/>
            </w:tcBorders>
            <w:shd w:val="clear" w:color="auto" w:fill="auto"/>
            <w:noWrap/>
            <w:vAlign w:val="bottom"/>
            <w:hideMark/>
          </w:tcPr>
          <w:p w14:paraId="214CF14C" w14:textId="77777777" w:rsidR="00A32AB2" w:rsidRPr="000F21D1" w:rsidRDefault="00A32AB2" w:rsidP="00A772D2">
            <w:pPr>
              <w:spacing w:before="40" w:after="40"/>
              <w:jc w:val="right"/>
              <w:rPr>
                <w:rFonts w:ascii="Garamond" w:hAnsi="Garamond"/>
                <w:color w:val="000000"/>
              </w:rPr>
            </w:pPr>
            <w:r w:rsidRPr="000F21D1">
              <w:rPr>
                <w:rFonts w:ascii="Garamond" w:hAnsi="Garamond"/>
                <w:color w:val="000000"/>
              </w:rPr>
              <w:t>12.54</w:t>
            </w:r>
          </w:p>
        </w:tc>
        <w:tc>
          <w:tcPr>
            <w:tcW w:w="702" w:type="pct"/>
            <w:tcBorders>
              <w:top w:val="nil"/>
              <w:left w:val="nil"/>
              <w:bottom w:val="single" w:sz="4" w:space="0" w:color="auto"/>
              <w:right w:val="single" w:sz="4" w:space="0" w:color="auto"/>
            </w:tcBorders>
            <w:shd w:val="clear" w:color="auto" w:fill="auto"/>
            <w:noWrap/>
            <w:vAlign w:val="bottom"/>
            <w:hideMark/>
          </w:tcPr>
          <w:p w14:paraId="1FD1A9A2" w14:textId="77777777" w:rsidR="00A32AB2" w:rsidRPr="000F21D1" w:rsidRDefault="00A32AB2" w:rsidP="00A772D2">
            <w:pPr>
              <w:spacing w:before="40" w:after="40"/>
              <w:jc w:val="right"/>
              <w:rPr>
                <w:rFonts w:ascii="Garamond" w:hAnsi="Garamond"/>
                <w:color w:val="000000"/>
              </w:rPr>
            </w:pPr>
            <w:r w:rsidRPr="000F21D1">
              <w:rPr>
                <w:rFonts w:ascii="Garamond" w:hAnsi="Garamond"/>
                <w:color w:val="000000"/>
              </w:rPr>
              <w:t>-0.19</w:t>
            </w:r>
          </w:p>
        </w:tc>
      </w:tr>
      <w:tr w:rsidR="00A32AB2" w:rsidRPr="00F720C4" w14:paraId="77A7CF08" w14:textId="77777777" w:rsidTr="00A772D2">
        <w:trPr>
          <w:trHeight w:val="329"/>
        </w:trPr>
        <w:tc>
          <w:tcPr>
            <w:tcW w:w="5000" w:type="pct"/>
            <w:gridSpan w:val="4"/>
            <w:tcBorders>
              <w:top w:val="nil"/>
              <w:left w:val="single" w:sz="4" w:space="0" w:color="auto"/>
              <w:bottom w:val="single" w:sz="4" w:space="0" w:color="auto"/>
              <w:right w:val="single" w:sz="4" w:space="0" w:color="auto"/>
            </w:tcBorders>
            <w:shd w:val="clear" w:color="auto" w:fill="auto"/>
            <w:vAlign w:val="bottom"/>
            <w:hideMark/>
          </w:tcPr>
          <w:p w14:paraId="52573C0E" w14:textId="77777777" w:rsidR="00A32AB2" w:rsidRPr="000F21D1" w:rsidRDefault="00A32AB2" w:rsidP="00A772D2">
            <w:pPr>
              <w:spacing w:before="40" w:after="40"/>
              <w:rPr>
                <w:rFonts w:ascii="Garamond" w:hAnsi="Garamond"/>
                <w:color w:val="000000"/>
              </w:rPr>
            </w:pPr>
            <w:r w:rsidRPr="000F21D1">
              <w:rPr>
                <w:rFonts w:ascii="Garamond" w:hAnsi="Garamond"/>
                <w:b/>
                <w:color w:val="000000"/>
              </w:rPr>
              <w:t>Interest rate on consumer loans</w:t>
            </w:r>
          </w:p>
        </w:tc>
      </w:tr>
      <w:tr w:rsidR="00A32AB2" w:rsidRPr="00F720C4" w14:paraId="0568AD66" w14:textId="77777777" w:rsidTr="00A772D2">
        <w:trPr>
          <w:trHeight w:val="330"/>
        </w:trPr>
        <w:tc>
          <w:tcPr>
            <w:tcW w:w="2745" w:type="pct"/>
            <w:tcBorders>
              <w:top w:val="nil"/>
              <w:left w:val="single" w:sz="4" w:space="0" w:color="auto"/>
              <w:bottom w:val="single" w:sz="4" w:space="0" w:color="auto"/>
              <w:right w:val="single" w:sz="4" w:space="0" w:color="auto"/>
            </w:tcBorders>
            <w:shd w:val="clear" w:color="auto" w:fill="auto"/>
            <w:noWrap/>
            <w:vAlign w:val="bottom"/>
            <w:hideMark/>
          </w:tcPr>
          <w:p w14:paraId="7BBE5FF6" w14:textId="77777777" w:rsidR="00A32AB2" w:rsidRPr="000F21D1" w:rsidRDefault="00A32AB2" w:rsidP="00A772D2">
            <w:pPr>
              <w:spacing w:before="40" w:after="40"/>
              <w:rPr>
                <w:rFonts w:ascii="Garamond" w:hAnsi="Garamond"/>
                <w:color w:val="000000"/>
              </w:rPr>
            </w:pPr>
            <w:r w:rsidRPr="000F21D1">
              <w:rPr>
                <w:rFonts w:ascii="Garamond" w:hAnsi="Garamond"/>
                <w:color w:val="000000"/>
              </w:rPr>
              <w:t>Armenian dram</w:t>
            </w:r>
          </w:p>
        </w:tc>
        <w:tc>
          <w:tcPr>
            <w:tcW w:w="760" w:type="pct"/>
            <w:tcBorders>
              <w:top w:val="nil"/>
              <w:left w:val="nil"/>
              <w:bottom w:val="single" w:sz="4" w:space="0" w:color="auto"/>
              <w:right w:val="single" w:sz="4" w:space="0" w:color="auto"/>
            </w:tcBorders>
            <w:shd w:val="clear" w:color="auto" w:fill="auto"/>
            <w:noWrap/>
            <w:vAlign w:val="bottom"/>
            <w:hideMark/>
          </w:tcPr>
          <w:p w14:paraId="51745C86" w14:textId="77777777" w:rsidR="00A32AB2" w:rsidRPr="000F21D1" w:rsidRDefault="00A32AB2" w:rsidP="00A772D2">
            <w:pPr>
              <w:spacing w:before="40" w:after="40"/>
              <w:jc w:val="right"/>
              <w:rPr>
                <w:rFonts w:ascii="Garamond" w:hAnsi="Garamond"/>
                <w:color w:val="000000"/>
              </w:rPr>
            </w:pPr>
            <w:r w:rsidRPr="000F21D1">
              <w:rPr>
                <w:rFonts w:ascii="Garamond" w:hAnsi="Garamond"/>
                <w:color w:val="000000"/>
              </w:rPr>
              <w:t>20.34</w:t>
            </w:r>
          </w:p>
        </w:tc>
        <w:tc>
          <w:tcPr>
            <w:tcW w:w="793" w:type="pct"/>
            <w:tcBorders>
              <w:top w:val="nil"/>
              <w:left w:val="nil"/>
              <w:bottom w:val="single" w:sz="4" w:space="0" w:color="auto"/>
              <w:right w:val="single" w:sz="4" w:space="0" w:color="auto"/>
            </w:tcBorders>
            <w:shd w:val="clear" w:color="auto" w:fill="auto"/>
            <w:noWrap/>
            <w:vAlign w:val="bottom"/>
            <w:hideMark/>
          </w:tcPr>
          <w:p w14:paraId="780E59C4" w14:textId="77777777" w:rsidR="00A32AB2" w:rsidRPr="000F21D1" w:rsidRDefault="00A32AB2" w:rsidP="00A772D2">
            <w:pPr>
              <w:spacing w:before="40" w:after="40"/>
              <w:jc w:val="right"/>
              <w:rPr>
                <w:rFonts w:ascii="Garamond" w:hAnsi="Garamond"/>
                <w:color w:val="000000"/>
              </w:rPr>
            </w:pPr>
            <w:r w:rsidRPr="000F21D1">
              <w:rPr>
                <w:rFonts w:ascii="Garamond" w:hAnsi="Garamond"/>
                <w:color w:val="000000"/>
              </w:rPr>
              <w:t>19.84</w:t>
            </w:r>
          </w:p>
        </w:tc>
        <w:tc>
          <w:tcPr>
            <w:tcW w:w="702" w:type="pct"/>
            <w:tcBorders>
              <w:top w:val="nil"/>
              <w:left w:val="nil"/>
              <w:bottom w:val="single" w:sz="4" w:space="0" w:color="auto"/>
              <w:right w:val="single" w:sz="4" w:space="0" w:color="auto"/>
            </w:tcBorders>
            <w:shd w:val="clear" w:color="auto" w:fill="auto"/>
            <w:noWrap/>
            <w:vAlign w:val="bottom"/>
            <w:hideMark/>
          </w:tcPr>
          <w:p w14:paraId="5996B348" w14:textId="77777777" w:rsidR="00A32AB2" w:rsidRPr="000F21D1" w:rsidRDefault="00A32AB2" w:rsidP="00A772D2">
            <w:pPr>
              <w:spacing w:before="40" w:after="40"/>
              <w:jc w:val="right"/>
              <w:rPr>
                <w:rFonts w:ascii="Garamond" w:hAnsi="Garamond"/>
                <w:color w:val="000000"/>
              </w:rPr>
            </w:pPr>
            <w:r w:rsidRPr="000F21D1">
              <w:rPr>
                <w:rFonts w:ascii="Garamond" w:hAnsi="Garamond"/>
                <w:color w:val="000000"/>
              </w:rPr>
              <w:t>-0.5</w:t>
            </w:r>
          </w:p>
        </w:tc>
      </w:tr>
      <w:tr w:rsidR="00A32AB2" w:rsidRPr="00F720C4" w14:paraId="41EFE416" w14:textId="77777777" w:rsidTr="00A772D2">
        <w:trPr>
          <w:trHeight w:val="330"/>
        </w:trPr>
        <w:tc>
          <w:tcPr>
            <w:tcW w:w="2745" w:type="pct"/>
            <w:tcBorders>
              <w:top w:val="nil"/>
              <w:left w:val="single" w:sz="4" w:space="0" w:color="auto"/>
              <w:bottom w:val="single" w:sz="4" w:space="0" w:color="auto"/>
              <w:right w:val="single" w:sz="4" w:space="0" w:color="auto"/>
            </w:tcBorders>
            <w:shd w:val="clear" w:color="auto" w:fill="auto"/>
            <w:noWrap/>
            <w:vAlign w:val="bottom"/>
            <w:hideMark/>
          </w:tcPr>
          <w:p w14:paraId="1BD0C62C" w14:textId="77777777" w:rsidR="00A32AB2" w:rsidRPr="000F21D1" w:rsidRDefault="00A32AB2" w:rsidP="00A772D2">
            <w:pPr>
              <w:spacing w:before="40" w:after="40"/>
              <w:rPr>
                <w:rFonts w:ascii="Garamond" w:hAnsi="Garamond"/>
                <w:color w:val="000000"/>
              </w:rPr>
            </w:pPr>
            <w:r w:rsidRPr="000F21D1">
              <w:rPr>
                <w:rFonts w:ascii="Garamond" w:hAnsi="Garamond"/>
                <w:color w:val="000000"/>
              </w:rPr>
              <w:t>US dollar</w:t>
            </w:r>
          </w:p>
        </w:tc>
        <w:tc>
          <w:tcPr>
            <w:tcW w:w="760" w:type="pct"/>
            <w:tcBorders>
              <w:top w:val="nil"/>
              <w:left w:val="nil"/>
              <w:bottom w:val="single" w:sz="4" w:space="0" w:color="auto"/>
              <w:right w:val="single" w:sz="4" w:space="0" w:color="auto"/>
            </w:tcBorders>
            <w:shd w:val="clear" w:color="auto" w:fill="auto"/>
            <w:noWrap/>
            <w:vAlign w:val="bottom"/>
            <w:hideMark/>
          </w:tcPr>
          <w:p w14:paraId="334F4E97" w14:textId="77777777" w:rsidR="00A32AB2" w:rsidRPr="000F21D1" w:rsidRDefault="00A32AB2" w:rsidP="00A772D2">
            <w:pPr>
              <w:spacing w:before="40" w:after="40"/>
              <w:jc w:val="right"/>
              <w:rPr>
                <w:rFonts w:ascii="Garamond" w:hAnsi="Garamond"/>
                <w:color w:val="000000"/>
              </w:rPr>
            </w:pPr>
            <w:r w:rsidRPr="000F21D1">
              <w:rPr>
                <w:rFonts w:ascii="Garamond" w:hAnsi="Garamond"/>
                <w:color w:val="000000"/>
              </w:rPr>
              <w:t>15.48</w:t>
            </w:r>
          </w:p>
        </w:tc>
        <w:tc>
          <w:tcPr>
            <w:tcW w:w="793" w:type="pct"/>
            <w:tcBorders>
              <w:top w:val="nil"/>
              <w:left w:val="nil"/>
              <w:bottom w:val="single" w:sz="4" w:space="0" w:color="auto"/>
              <w:right w:val="single" w:sz="4" w:space="0" w:color="auto"/>
            </w:tcBorders>
            <w:shd w:val="clear" w:color="auto" w:fill="auto"/>
            <w:noWrap/>
            <w:vAlign w:val="bottom"/>
            <w:hideMark/>
          </w:tcPr>
          <w:p w14:paraId="0486D113" w14:textId="77777777" w:rsidR="00A32AB2" w:rsidRPr="000F21D1" w:rsidRDefault="00A32AB2" w:rsidP="00A772D2">
            <w:pPr>
              <w:spacing w:before="40" w:after="40"/>
              <w:jc w:val="right"/>
              <w:rPr>
                <w:rFonts w:ascii="Garamond" w:hAnsi="Garamond"/>
                <w:color w:val="000000"/>
              </w:rPr>
            </w:pPr>
            <w:r w:rsidRPr="000F21D1">
              <w:rPr>
                <w:rFonts w:ascii="Garamond" w:hAnsi="Garamond"/>
                <w:color w:val="000000"/>
              </w:rPr>
              <w:t>15</w:t>
            </w:r>
          </w:p>
        </w:tc>
        <w:tc>
          <w:tcPr>
            <w:tcW w:w="702" w:type="pct"/>
            <w:tcBorders>
              <w:top w:val="nil"/>
              <w:left w:val="nil"/>
              <w:bottom w:val="single" w:sz="4" w:space="0" w:color="auto"/>
              <w:right w:val="single" w:sz="4" w:space="0" w:color="auto"/>
            </w:tcBorders>
            <w:shd w:val="clear" w:color="auto" w:fill="auto"/>
            <w:noWrap/>
            <w:vAlign w:val="bottom"/>
            <w:hideMark/>
          </w:tcPr>
          <w:p w14:paraId="430F6DB0" w14:textId="77777777" w:rsidR="00A32AB2" w:rsidRPr="000F21D1" w:rsidRDefault="00A32AB2" w:rsidP="00A772D2">
            <w:pPr>
              <w:spacing w:before="40" w:after="40"/>
              <w:jc w:val="right"/>
              <w:rPr>
                <w:rFonts w:ascii="Garamond" w:hAnsi="Garamond"/>
                <w:color w:val="000000"/>
              </w:rPr>
            </w:pPr>
            <w:r w:rsidRPr="000F21D1">
              <w:rPr>
                <w:rFonts w:ascii="Garamond" w:hAnsi="Garamond"/>
                <w:color w:val="000000"/>
              </w:rPr>
              <w:t>-0.48</w:t>
            </w:r>
          </w:p>
        </w:tc>
      </w:tr>
    </w:tbl>
    <w:p w14:paraId="2B0DF018" w14:textId="77777777" w:rsidR="00A32AB2" w:rsidRPr="000F21D1" w:rsidRDefault="00A32AB2" w:rsidP="0006101A">
      <w:pPr>
        <w:spacing w:line="360" w:lineRule="auto"/>
        <w:jc w:val="both"/>
        <w:rPr>
          <w:rFonts w:ascii="Garamond" w:hAnsi="Garamond" w:cs="Sylfaen"/>
          <w:color w:val="000000"/>
        </w:rPr>
      </w:pPr>
    </w:p>
    <w:p w14:paraId="50C082DD" w14:textId="77777777" w:rsidR="00C067D0" w:rsidRPr="000F21D1" w:rsidRDefault="00C067D0" w:rsidP="0006101A">
      <w:pPr>
        <w:spacing w:line="360" w:lineRule="auto"/>
        <w:jc w:val="both"/>
        <w:rPr>
          <w:rFonts w:ascii="Garamond" w:hAnsi="Garamond"/>
        </w:rPr>
      </w:pPr>
      <w:r w:rsidRPr="000F21D1">
        <w:rPr>
          <w:rFonts w:ascii="Garamond" w:hAnsi="Garamond"/>
        </w:rPr>
        <w:t xml:space="preserve">Overall, </w:t>
      </w:r>
      <w:r w:rsidR="0073075D" w:rsidRPr="000F21D1">
        <w:rPr>
          <w:rFonts w:ascii="Garamond" w:hAnsi="Garamond"/>
        </w:rPr>
        <w:t xml:space="preserve">the </w:t>
      </w:r>
      <w:r w:rsidR="00BF72C5" w:rsidRPr="000F21D1">
        <w:rPr>
          <w:rFonts w:ascii="Garamond" w:hAnsi="Garamond"/>
        </w:rPr>
        <w:t>second</w:t>
      </w:r>
      <w:r w:rsidR="0073075D" w:rsidRPr="000F21D1">
        <w:rPr>
          <w:rFonts w:ascii="Garamond" w:hAnsi="Garamond"/>
        </w:rPr>
        <w:t xml:space="preserve"> quarter of 2016 saw acceleration of </w:t>
      </w:r>
      <w:r w:rsidRPr="000F21D1">
        <w:rPr>
          <w:rFonts w:ascii="Garamond" w:hAnsi="Garamond"/>
        </w:rPr>
        <w:t>credit growth</w:t>
      </w:r>
      <w:r w:rsidR="0073075D" w:rsidRPr="000F21D1">
        <w:rPr>
          <w:rFonts w:ascii="Garamond" w:hAnsi="Garamond"/>
        </w:rPr>
        <w:t xml:space="preserve">, a trend observable since the previous </w:t>
      </w:r>
      <w:r w:rsidR="00BF72C5" w:rsidRPr="000F21D1">
        <w:rPr>
          <w:rFonts w:ascii="Garamond" w:hAnsi="Garamond"/>
        </w:rPr>
        <w:t xml:space="preserve">two </w:t>
      </w:r>
      <w:r w:rsidR="0073075D" w:rsidRPr="000F21D1">
        <w:rPr>
          <w:rFonts w:ascii="Garamond" w:hAnsi="Garamond"/>
        </w:rPr>
        <w:t>quarter</w:t>
      </w:r>
      <w:r w:rsidR="00BF72C5" w:rsidRPr="000F21D1">
        <w:rPr>
          <w:rFonts w:ascii="Garamond" w:hAnsi="Garamond"/>
        </w:rPr>
        <w:t>s</w:t>
      </w:r>
      <w:r w:rsidR="0073075D" w:rsidRPr="000F21D1">
        <w:rPr>
          <w:rFonts w:ascii="Garamond" w:hAnsi="Garamond"/>
        </w:rPr>
        <w:t>: as of end</w:t>
      </w:r>
      <w:r w:rsidR="00BF72C5" w:rsidRPr="000F21D1">
        <w:rPr>
          <w:rFonts w:ascii="Garamond" w:hAnsi="Garamond"/>
        </w:rPr>
        <w:t>-June</w:t>
      </w:r>
      <w:r w:rsidR="0073075D" w:rsidRPr="000F21D1">
        <w:rPr>
          <w:rFonts w:ascii="Garamond" w:hAnsi="Garamond"/>
        </w:rPr>
        <w:t xml:space="preserve"> </w:t>
      </w:r>
      <w:r w:rsidR="00BF72C5" w:rsidRPr="000F21D1">
        <w:rPr>
          <w:rFonts w:ascii="Garamond" w:hAnsi="Garamond"/>
        </w:rPr>
        <w:t>the credit growth has been 1.1% and for the last 12 months, 3.8%.</w:t>
      </w:r>
      <w:r w:rsidR="0073075D" w:rsidRPr="000F21D1">
        <w:rPr>
          <w:rFonts w:ascii="Garamond" w:hAnsi="Garamond"/>
        </w:rPr>
        <w:t xml:space="preserve"> </w:t>
      </w:r>
      <w:r w:rsidRPr="000F21D1">
        <w:rPr>
          <w:rFonts w:ascii="Garamond" w:hAnsi="Garamond"/>
        </w:rPr>
        <w:t xml:space="preserve">Most of the growth in lending in the </w:t>
      </w:r>
      <w:r w:rsidR="00BF72C5" w:rsidRPr="000F21D1">
        <w:rPr>
          <w:rFonts w:ascii="Garamond" w:hAnsi="Garamond"/>
        </w:rPr>
        <w:t>second</w:t>
      </w:r>
      <w:r w:rsidRPr="000F21D1">
        <w:rPr>
          <w:rFonts w:ascii="Garamond" w:hAnsi="Garamond"/>
        </w:rPr>
        <w:t xml:space="preserve"> quarter </w:t>
      </w:r>
      <w:r w:rsidR="0073075D" w:rsidRPr="000F21D1">
        <w:rPr>
          <w:rFonts w:ascii="Garamond" w:hAnsi="Garamond"/>
        </w:rPr>
        <w:t>owed to the</w:t>
      </w:r>
      <w:r w:rsidRPr="000F21D1">
        <w:rPr>
          <w:rFonts w:ascii="Garamond" w:hAnsi="Garamond"/>
        </w:rPr>
        <w:t xml:space="preserve"> loans to enterprises</w:t>
      </w:r>
      <w:r w:rsidR="00BF72C5" w:rsidRPr="000F21D1">
        <w:rPr>
          <w:rFonts w:ascii="Garamond" w:hAnsi="Garamond"/>
        </w:rPr>
        <w:t>.</w:t>
      </w:r>
      <w:r w:rsidR="00C57F35" w:rsidRPr="000F21D1">
        <w:rPr>
          <w:rFonts w:ascii="Garamond" w:hAnsi="Garamond"/>
        </w:rPr>
        <w:t xml:space="preserve"> </w:t>
      </w:r>
      <w:r w:rsidR="00BF72C5" w:rsidRPr="000F21D1">
        <w:rPr>
          <w:rFonts w:ascii="Garamond" w:hAnsi="Garamond"/>
        </w:rPr>
        <w:t xml:space="preserve">The structure of </w:t>
      </w:r>
      <w:r w:rsidR="00C57F35" w:rsidRPr="000F21D1">
        <w:rPr>
          <w:rFonts w:ascii="Garamond" w:hAnsi="Garamond"/>
        </w:rPr>
        <w:t xml:space="preserve">this quarter’s lending portfolio </w:t>
      </w:r>
      <w:r w:rsidR="00BF72C5" w:rsidRPr="000F21D1">
        <w:rPr>
          <w:rFonts w:ascii="Garamond" w:hAnsi="Garamond"/>
        </w:rPr>
        <w:t xml:space="preserve">shows that </w:t>
      </w:r>
      <w:r w:rsidR="00C57F35" w:rsidRPr="000F21D1">
        <w:rPr>
          <w:rFonts w:ascii="Garamond" w:hAnsi="Garamond"/>
        </w:rPr>
        <w:t xml:space="preserve">foreign currency loans </w:t>
      </w:r>
      <w:r w:rsidR="00BF72C5" w:rsidRPr="000F21D1">
        <w:rPr>
          <w:rFonts w:ascii="Garamond" w:hAnsi="Garamond"/>
        </w:rPr>
        <w:t>again outgrew local currency loans</w:t>
      </w:r>
      <w:r w:rsidR="00C57F35" w:rsidRPr="000F21D1">
        <w:rPr>
          <w:rFonts w:ascii="Garamond" w:hAnsi="Garamond"/>
        </w:rPr>
        <w:t xml:space="preserve">, constituting </w:t>
      </w:r>
      <w:r w:rsidR="007B6235" w:rsidRPr="000F21D1">
        <w:rPr>
          <w:rFonts w:ascii="Garamond" w:hAnsi="Garamond"/>
        </w:rPr>
        <w:t xml:space="preserve">roughly </w:t>
      </w:r>
      <w:r w:rsidR="00C57F35" w:rsidRPr="000F21D1">
        <w:rPr>
          <w:rFonts w:ascii="Garamond" w:hAnsi="Garamond"/>
        </w:rPr>
        <w:t xml:space="preserve">64% in total. </w:t>
      </w:r>
      <w:r w:rsidR="007F0C12" w:rsidRPr="000F21D1">
        <w:rPr>
          <w:rFonts w:ascii="Garamond" w:hAnsi="Garamond"/>
        </w:rPr>
        <w:t>Also, the terms of l</w:t>
      </w:r>
      <w:r w:rsidR="00832B91" w:rsidRPr="000F21D1">
        <w:rPr>
          <w:rFonts w:ascii="Garamond" w:hAnsi="Garamond"/>
        </w:rPr>
        <w:t xml:space="preserve">ending </w:t>
      </w:r>
      <w:r w:rsidR="007F0C12" w:rsidRPr="000F21D1">
        <w:rPr>
          <w:rFonts w:ascii="Garamond" w:hAnsi="Garamond"/>
        </w:rPr>
        <w:t>w</w:t>
      </w:r>
      <w:r w:rsidR="00832B91" w:rsidRPr="000F21D1">
        <w:rPr>
          <w:rFonts w:ascii="Garamond" w:hAnsi="Garamond"/>
        </w:rPr>
        <w:t xml:space="preserve">ere facilitated </w:t>
      </w:r>
      <w:r w:rsidR="007F0C12" w:rsidRPr="000F21D1">
        <w:rPr>
          <w:rFonts w:ascii="Garamond" w:hAnsi="Garamond"/>
        </w:rPr>
        <w:t>in the second quarter</w:t>
      </w:r>
      <w:r w:rsidR="00832B91" w:rsidRPr="000F21D1">
        <w:rPr>
          <w:rFonts w:ascii="Garamond" w:hAnsi="Garamond"/>
        </w:rPr>
        <w:t>, which means a further easing of monetary conditions.</w:t>
      </w:r>
    </w:p>
    <w:p w14:paraId="04693054" w14:textId="77777777" w:rsidR="007A195E" w:rsidRPr="000F21D1" w:rsidRDefault="007A195E" w:rsidP="0006101A">
      <w:pPr>
        <w:spacing w:line="360" w:lineRule="auto"/>
        <w:jc w:val="both"/>
        <w:rPr>
          <w:rFonts w:ascii="Garamond" w:hAnsi="Garamond"/>
        </w:rPr>
      </w:pPr>
    </w:p>
    <w:tbl>
      <w:tblPr>
        <w:tblStyle w:val="TableGrid"/>
        <w:tblW w:w="0" w:type="auto"/>
        <w:tblLook w:val="04A0" w:firstRow="1" w:lastRow="0" w:firstColumn="1" w:lastColumn="0" w:noHBand="0" w:noVBand="1"/>
      </w:tblPr>
      <w:tblGrid>
        <w:gridCol w:w="9576"/>
      </w:tblGrid>
      <w:tr w:rsidR="007A195E" w:rsidRPr="00F720C4" w14:paraId="1BB896E1" w14:textId="77777777" w:rsidTr="007A195E">
        <w:tc>
          <w:tcPr>
            <w:tcW w:w="9576" w:type="dxa"/>
          </w:tcPr>
          <w:p w14:paraId="526FCA66" w14:textId="77777777" w:rsidR="007A195E" w:rsidRPr="000F21D1" w:rsidRDefault="007A195E" w:rsidP="007A195E">
            <w:pPr>
              <w:spacing w:line="360" w:lineRule="auto"/>
              <w:jc w:val="right"/>
              <w:rPr>
                <w:rFonts w:ascii="Garamond" w:hAnsi="Garamond"/>
                <w:b/>
              </w:rPr>
            </w:pPr>
            <w:r w:rsidRPr="000F21D1">
              <w:rPr>
                <w:rFonts w:ascii="Garamond" w:hAnsi="Garamond"/>
                <w:b/>
              </w:rPr>
              <w:t xml:space="preserve">Box </w:t>
            </w:r>
            <w:r w:rsidR="00791F62" w:rsidRPr="000F21D1">
              <w:rPr>
                <w:rFonts w:ascii="Garamond" w:hAnsi="Garamond"/>
                <w:b/>
              </w:rPr>
              <w:t>5</w:t>
            </w:r>
          </w:p>
          <w:p w14:paraId="25B49AA0" w14:textId="77777777" w:rsidR="007A195E" w:rsidRPr="000F21D1" w:rsidRDefault="006F0967" w:rsidP="00E94D91">
            <w:pPr>
              <w:spacing w:line="360" w:lineRule="auto"/>
              <w:jc w:val="both"/>
              <w:rPr>
                <w:rFonts w:ascii="Garamond" w:hAnsi="Garamond"/>
              </w:rPr>
            </w:pPr>
            <w:r w:rsidRPr="000F21D1">
              <w:rPr>
                <w:rFonts w:ascii="Garamond" w:hAnsi="Garamond"/>
              </w:rPr>
              <w:t xml:space="preserve">According to the results of the </w:t>
            </w:r>
            <w:r w:rsidR="007F0C12" w:rsidRPr="000F21D1">
              <w:rPr>
                <w:rFonts w:ascii="Garamond" w:hAnsi="Garamond"/>
              </w:rPr>
              <w:t>second</w:t>
            </w:r>
            <w:r w:rsidRPr="000F21D1">
              <w:rPr>
                <w:rFonts w:ascii="Garamond" w:hAnsi="Garamond"/>
              </w:rPr>
              <w:t xml:space="preserve"> quarter 2016 survey on terms of lending by </w:t>
            </w:r>
            <w:r w:rsidR="00BF1D1D" w:rsidRPr="000F21D1">
              <w:rPr>
                <w:rFonts w:ascii="Garamond" w:hAnsi="Garamond"/>
              </w:rPr>
              <w:t xml:space="preserve">local </w:t>
            </w:r>
            <w:r w:rsidRPr="000F21D1">
              <w:rPr>
                <w:rFonts w:ascii="Garamond" w:hAnsi="Garamond"/>
              </w:rPr>
              <w:t xml:space="preserve">banks and credit organizations, there has been easing of </w:t>
            </w:r>
            <w:r w:rsidR="007F0C12" w:rsidRPr="000F21D1">
              <w:rPr>
                <w:rFonts w:ascii="Garamond" w:hAnsi="Garamond"/>
              </w:rPr>
              <w:t xml:space="preserve">loan </w:t>
            </w:r>
            <w:r w:rsidRPr="000F21D1">
              <w:rPr>
                <w:rFonts w:ascii="Garamond" w:hAnsi="Garamond"/>
              </w:rPr>
              <w:t xml:space="preserve">terms </w:t>
            </w:r>
            <w:r w:rsidR="007F0C12" w:rsidRPr="000F21D1">
              <w:rPr>
                <w:rFonts w:ascii="Garamond" w:hAnsi="Garamond"/>
              </w:rPr>
              <w:t xml:space="preserve">virtually </w:t>
            </w:r>
            <w:r w:rsidR="00BF1D1D" w:rsidRPr="000F21D1">
              <w:rPr>
                <w:rFonts w:ascii="Garamond" w:hAnsi="Garamond"/>
              </w:rPr>
              <w:t xml:space="preserve">in all </w:t>
            </w:r>
            <w:r w:rsidR="007F0C12" w:rsidRPr="000F21D1">
              <w:rPr>
                <w:rFonts w:ascii="Garamond" w:hAnsi="Garamond"/>
              </w:rPr>
              <w:t>aspects of lending</w:t>
            </w:r>
            <w:r w:rsidRPr="000F21D1">
              <w:rPr>
                <w:rFonts w:ascii="Garamond" w:hAnsi="Garamond"/>
              </w:rPr>
              <w:t xml:space="preserve">. </w:t>
            </w:r>
            <w:r w:rsidR="00971BDD" w:rsidRPr="000F21D1">
              <w:rPr>
                <w:rFonts w:ascii="Garamond" w:hAnsi="Garamond"/>
              </w:rPr>
              <w:t xml:space="preserve">This </w:t>
            </w:r>
            <w:r w:rsidR="00BF1D1D" w:rsidRPr="000F21D1">
              <w:rPr>
                <w:rFonts w:ascii="Garamond" w:hAnsi="Garamond"/>
              </w:rPr>
              <w:t xml:space="preserve">was set to achieve through revised terms in refinancing </w:t>
            </w:r>
            <w:r w:rsidRPr="000F21D1">
              <w:rPr>
                <w:rFonts w:ascii="Garamond" w:hAnsi="Garamond"/>
              </w:rPr>
              <w:t>program</w:t>
            </w:r>
            <w:r w:rsidR="00BF1D1D" w:rsidRPr="000F21D1">
              <w:rPr>
                <w:rFonts w:ascii="Garamond" w:hAnsi="Garamond"/>
              </w:rPr>
              <w:t>s</w:t>
            </w:r>
            <w:r w:rsidR="00971BDD" w:rsidRPr="000F21D1">
              <w:rPr>
                <w:rFonts w:ascii="Garamond" w:hAnsi="Garamond"/>
              </w:rPr>
              <w:t xml:space="preserve"> </w:t>
            </w:r>
            <w:r w:rsidR="00E02B39" w:rsidRPr="000F21D1">
              <w:rPr>
                <w:rFonts w:ascii="Garamond" w:hAnsi="Garamond"/>
              </w:rPr>
              <w:t xml:space="preserve">and increased competition between financial institutions </w:t>
            </w:r>
            <w:r w:rsidR="00971BDD" w:rsidRPr="000F21D1">
              <w:rPr>
                <w:rFonts w:ascii="Garamond" w:hAnsi="Garamond"/>
              </w:rPr>
              <w:t>to name a few</w:t>
            </w:r>
            <w:r w:rsidRPr="000F21D1">
              <w:rPr>
                <w:rFonts w:ascii="Garamond" w:hAnsi="Garamond"/>
              </w:rPr>
              <w:t xml:space="preserve">, which led to </w:t>
            </w:r>
            <w:r w:rsidR="00E02B39" w:rsidRPr="000F21D1">
              <w:rPr>
                <w:rFonts w:ascii="Garamond" w:hAnsi="Garamond"/>
              </w:rPr>
              <w:t xml:space="preserve">less strict </w:t>
            </w:r>
            <w:r w:rsidR="001A146B" w:rsidRPr="000F21D1">
              <w:rPr>
                <w:rFonts w:ascii="Garamond" w:hAnsi="Garamond"/>
              </w:rPr>
              <w:t>requirements to</w:t>
            </w:r>
            <w:r w:rsidR="0086764D" w:rsidRPr="000F21D1">
              <w:rPr>
                <w:rFonts w:ascii="Garamond" w:hAnsi="Garamond"/>
                <w:lang w:val="hy-AM"/>
              </w:rPr>
              <w:t xml:space="preserve"> </w:t>
            </w:r>
            <w:r w:rsidRPr="000F21D1">
              <w:rPr>
                <w:rFonts w:ascii="Garamond" w:hAnsi="Garamond"/>
              </w:rPr>
              <w:t>loan interest rate</w:t>
            </w:r>
            <w:r w:rsidR="00971BDD" w:rsidRPr="000F21D1">
              <w:rPr>
                <w:rFonts w:ascii="Garamond" w:hAnsi="Garamond"/>
              </w:rPr>
              <w:t>s</w:t>
            </w:r>
            <w:r w:rsidRPr="000F21D1">
              <w:rPr>
                <w:rFonts w:ascii="Garamond" w:hAnsi="Garamond"/>
              </w:rPr>
              <w:t>, no</w:t>
            </w:r>
            <w:r w:rsidR="00971BDD" w:rsidRPr="000F21D1">
              <w:rPr>
                <w:rFonts w:ascii="Garamond" w:hAnsi="Garamond"/>
              </w:rPr>
              <w:t>n-</w:t>
            </w:r>
            <w:r w:rsidR="001A146B" w:rsidRPr="000F21D1">
              <w:rPr>
                <w:rFonts w:ascii="Garamond" w:hAnsi="Garamond"/>
              </w:rPr>
              <w:t xml:space="preserve">interest payments, </w:t>
            </w:r>
            <w:r w:rsidRPr="000F21D1">
              <w:rPr>
                <w:rFonts w:ascii="Garamond" w:hAnsi="Garamond"/>
              </w:rPr>
              <w:t xml:space="preserve">maturity and </w:t>
            </w:r>
            <w:r w:rsidR="00971BDD" w:rsidRPr="000F21D1">
              <w:rPr>
                <w:rFonts w:ascii="Garamond" w:hAnsi="Garamond"/>
              </w:rPr>
              <w:t>collateral</w:t>
            </w:r>
            <w:r w:rsidRPr="000F21D1">
              <w:rPr>
                <w:rFonts w:ascii="Garamond" w:hAnsi="Garamond"/>
              </w:rPr>
              <w:t xml:space="preserve">. </w:t>
            </w:r>
            <w:r w:rsidR="00701809" w:rsidRPr="000F21D1">
              <w:rPr>
                <w:rFonts w:ascii="Garamond" w:hAnsi="Garamond"/>
              </w:rPr>
              <w:t>D</w:t>
            </w:r>
            <w:r w:rsidRPr="000F21D1">
              <w:rPr>
                <w:rFonts w:ascii="Garamond" w:hAnsi="Garamond"/>
              </w:rPr>
              <w:t xml:space="preserve">emand for </w:t>
            </w:r>
            <w:r w:rsidR="00E5467D" w:rsidRPr="000F21D1">
              <w:rPr>
                <w:rFonts w:ascii="Garamond" w:hAnsi="Garamond"/>
              </w:rPr>
              <w:t xml:space="preserve">SME </w:t>
            </w:r>
            <w:r w:rsidRPr="000F21D1">
              <w:rPr>
                <w:rFonts w:ascii="Garamond" w:hAnsi="Garamond"/>
              </w:rPr>
              <w:t xml:space="preserve">loans </w:t>
            </w:r>
            <w:r w:rsidR="00E5467D" w:rsidRPr="000F21D1">
              <w:rPr>
                <w:rFonts w:ascii="Garamond" w:hAnsi="Garamond"/>
              </w:rPr>
              <w:t xml:space="preserve">has grown but demand for loans by major companies </w:t>
            </w:r>
            <w:r w:rsidR="00F80712" w:rsidRPr="000F21D1">
              <w:rPr>
                <w:rFonts w:ascii="Garamond" w:hAnsi="Garamond"/>
              </w:rPr>
              <w:t>slackened</w:t>
            </w:r>
            <w:r w:rsidR="00E5467D" w:rsidRPr="000F21D1">
              <w:rPr>
                <w:rFonts w:ascii="Garamond" w:hAnsi="Garamond"/>
              </w:rPr>
              <w:t xml:space="preserve">, which will also be expectable next quarter. </w:t>
            </w:r>
            <w:r w:rsidR="00F80712" w:rsidRPr="000F21D1">
              <w:rPr>
                <w:rFonts w:ascii="Garamond" w:hAnsi="Garamond"/>
              </w:rPr>
              <w:t>D</w:t>
            </w:r>
            <w:r w:rsidRPr="000F21D1">
              <w:rPr>
                <w:rFonts w:ascii="Garamond" w:hAnsi="Garamond"/>
              </w:rPr>
              <w:t xml:space="preserve">emand for loans by households </w:t>
            </w:r>
            <w:r w:rsidR="00F80712" w:rsidRPr="000F21D1">
              <w:rPr>
                <w:rFonts w:ascii="Garamond" w:hAnsi="Garamond"/>
              </w:rPr>
              <w:t>has grown</w:t>
            </w:r>
            <w:r w:rsidR="00E5467D" w:rsidRPr="000F21D1">
              <w:rPr>
                <w:rFonts w:ascii="Garamond" w:hAnsi="Garamond"/>
              </w:rPr>
              <w:t>.</w:t>
            </w:r>
          </w:p>
          <w:p w14:paraId="1C9CB15C" w14:textId="77777777" w:rsidR="00E94D91" w:rsidRPr="000F21D1" w:rsidRDefault="00E94D91" w:rsidP="00E94D91">
            <w:pPr>
              <w:spacing w:line="360" w:lineRule="auto"/>
              <w:jc w:val="both"/>
              <w:rPr>
                <w:rFonts w:ascii="Garamond" w:hAnsi="Garamond"/>
              </w:rPr>
            </w:pPr>
          </w:p>
          <w:p w14:paraId="424CE9F8" w14:textId="77777777" w:rsidR="00E94D91" w:rsidRPr="00F720C4" w:rsidRDefault="00E5467D" w:rsidP="00E5467D">
            <w:pPr>
              <w:spacing w:line="360" w:lineRule="auto"/>
              <w:jc w:val="both"/>
              <w:rPr>
                <w:rFonts w:ascii="Garamond" w:hAnsi="Garamond"/>
              </w:rPr>
            </w:pPr>
            <w:r w:rsidRPr="000F21D1">
              <w:rPr>
                <w:rFonts w:ascii="Garamond" w:eastAsia="Calibri" w:hAnsi="Garamond" w:cs="Sylfaen"/>
                <w:color w:val="000000"/>
              </w:rPr>
              <w:lastRenderedPageBreak/>
              <w:t>For the third</w:t>
            </w:r>
            <w:r w:rsidR="00E94D91" w:rsidRPr="000F21D1">
              <w:rPr>
                <w:rFonts w:ascii="Garamond" w:eastAsia="Calibri" w:hAnsi="Garamond" w:cs="Sylfaen"/>
                <w:color w:val="000000"/>
              </w:rPr>
              <w:t xml:space="preserve"> quarter of 2016, banks and credit organizations anticipate easing of procedures for all types of credit, along with a growing supply of loans in all directions, and generally positive expectations for credit demand</w:t>
            </w:r>
            <w:r w:rsidR="00A84952" w:rsidRPr="000F21D1">
              <w:rPr>
                <w:rFonts w:ascii="Garamond" w:eastAsia="Calibri" w:hAnsi="Garamond" w:cs="Sylfaen"/>
                <w:color w:val="000000"/>
              </w:rPr>
              <w:t>, except for loans to large enterprises</w:t>
            </w:r>
            <w:r w:rsidR="00E94D91" w:rsidRPr="000F21D1">
              <w:rPr>
                <w:rFonts w:ascii="Garamond" w:eastAsia="Calibri" w:hAnsi="Garamond" w:cs="Sylfaen"/>
                <w:color w:val="000000"/>
              </w:rPr>
              <w:t>.</w:t>
            </w:r>
          </w:p>
        </w:tc>
      </w:tr>
    </w:tbl>
    <w:p w14:paraId="1380E9AB" w14:textId="77777777" w:rsidR="007A195E" w:rsidRPr="000F21D1" w:rsidRDefault="007A195E" w:rsidP="0006101A">
      <w:pPr>
        <w:spacing w:line="360" w:lineRule="auto"/>
        <w:jc w:val="both"/>
        <w:rPr>
          <w:rFonts w:ascii="Garamond" w:hAnsi="Garamond"/>
        </w:rPr>
      </w:pPr>
    </w:p>
    <w:p w14:paraId="5390F3E0" w14:textId="77777777" w:rsidR="008337C7" w:rsidRPr="000F21D1" w:rsidRDefault="008337C7" w:rsidP="0006101A">
      <w:pPr>
        <w:spacing w:line="360" w:lineRule="auto"/>
        <w:jc w:val="both"/>
        <w:rPr>
          <w:rFonts w:ascii="Garamond" w:hAnsi="Garamond" w:cs="GHEA Grapalat"/>
          <w:color w:val="000000"/>
        </w:rPr>
      </w:pPr>
      <w:r w:rsidRPr="000F21D1">
        <w:rPr>
          <w:rFonts w:ascii="Garamond" w:hAnsi="Garamond"/>
          <w:color w:val="000000"/>
        </w:rPr>
        <w:t xml:space="preserve">In the </w:t>
      </w:r>
      <w:r w:rsidR="0049042F" w:rsidRPr="000F21D1">
        <w:rPr>
          <w:rFonts w:ascii="Garamond" w:hAnsi="Garamond"/>
          <w:color w:val="000000"/>
        </w:rPr>
        <w:t>second</w:t>
      </w:r>
      <w:r w:rsidRPr="000F21D1">
        <w:rPr>
          <w:rFonts w:ascii="Garamond" w:hAnsi="Garamond"/>
          <w:color w:val="000000"/>
        </w:rPr>
        <w:t xml:space="preserve"> </w:t>
      </w:r>
      <w:r w:rsidR="00EE7CBE" w:rsidRPr="000F21D1">
        <w:rPr>
          <w:rFonts w:ascii="Garamond" w:hAnsi="Garamond"/>
          <w:color w:val="000000"/>
        </w:rPr>
        <w:t>quarter</w:t>
      </w:r>
      <w:r w:rsidR="00EE7CBE" w:rsidRPr="000F21D1">
        <w:rPr>
          <w:rFonts w:ascii="Garamond" w:hAnsi="Garamond" w:cs="Sylfaen"/>
          <w:color w:val="000000"/>
        </w:rPr>
        <w:t xml:space="preserve"> of</w:t>
      </w:r>
      <w:r w:rsidRPr="000F21D1">
        <w:rPr>
          <w:rFonts w:ascii="Garamond" w:hAnsi="Garamond" w:cs="Sylfaen"/>
          <w:color w:val="000000"/>
        </w:rPr>
        <w:t xml:space="preserve"> 2016 </w:t>
      </w:r>
      <w:r w:rsidRPr="000F21D1">
        <w:rPr>
          <w:rFonts w:ascii="Garamond" w:hAnsi="Garamond" w:cs="Sylfaen"/>
        </w:rPr>
        <w:t xml:space="preserve">the </w:t>
      </w:r>
      <w:r w:rsidRPr="000F21D1">
        <w:rPr>
          <w:rFonts w:ascii="Garamond" w:hAnsi="Garamond"/>
          <w:color w:val="000000"/>
        </w:rPr>
        <w:t xml:space="preserve">indicator of dollarization (foreign currency deposits-to-broad money ratio) </w:t>
      </w:r>
      <w:r w:rsidR="0049042F" w:rsidRPr="000F21D1">
        <w:rPr>
          <w:rFonts w:ascii="Garamond" w:hAnsi="Garamond"/>
          <w:color w:val="000000"/>
        </w:rPr>
        <w:t xml:space="preserve">reduced </w:t>
      </w:r>
      <w:r w:rsidRPr="000F21D1">
        <w:rPr>
          <w:rFonts w:ascii="Garamond" w:hAnsi="Garamond"/>
          <w:color w:val="000000"/>
        </w:rPr>
        <w:t xml:space="preserve">by </w:t>
      </w:r>
      <w:r w:rsidR="0049042F" w:rsidRPr="000F21D1">
        <w:rPr>
          <w:rFonts w:ascii="Garamond" w:hAnsi="Garamond"/>
          <w:color w:val="000000"/>
        </w:rPr>
        <w:t>2</w:t>
      </w:r>
      <w:r w:rsidRPr="000F21D1">
        <w:rPr>
          <w:rFonts w:ascii="Garamond" w:hAnsi="Garamond" w:cs="GHEA Grapalat"/>
          <w:color w:val="000000"/>
        </w:rPr>
        <w:t>.</w:t>
      </w:r>
      <w:r w:rsidR="0049042F" w:rsidRPr="000F21D1">
        <w:rPr>
          <w:rFonts w:ascii="Garamond" w:hAnsi="Garamond" w:cs="GHEA Grapalat"/>
          <w:color w:val="000000"/>
        </w:rPr>
        <w:t>9</w:t>
      </w:r>
      <w:r w:rsidRPr="000F21D1">
        <w:rPr>
          <w:rFonts w:ascii="Garamond" w:hAnsi="Garamond" w:cs="GHEA Grapalat"/>
          <w:color w:val="000000"/>
        </w:rPr>
        <w:t xml:space="preserve"> pp against the previous quarter.</w:t>
      </w:r>
    </w:p>
    <w:p w14:paraId="7AE8BF66" w14:textId="77777777" w:rsidR="00EB11F5" w:rsidRPr="000F21D1" w:rsidRDefault="00EB11F5" w:rsidP="0006101A">
      <w:pPr>
        <w:spacing w:line="360" w:lineRule="auto"/>
        <w:jc w:val="both"/>
        <w:rPr>
          <w:rFonts w:ascii="Garamond" w:hAnsi="Garamond" w:cs="GHEA Grapalat"/>
          <w:color w:val="000000"/>
        </w:rPr>
      </w:pPr>
    </w:p>
    <w:p w14:paraId="4E03A2E4" w14:textId="77777777" w:rsidR="00EB11F5" w:rsidRPr="000F21D1" w:rsidRDefault="00EB11F5" w:rsidP="0006101A">
      <w:pPr>
        <w:spacing w:line="360" w:lineRule="auto"/>
        <w:jc w:val="both"/>
        <w:rPr>
          <w:rFonts w:ascii="Garamond" w:hAnsi="Garamond" w:cs="GHEA Grapalat"/>
          <w:b/>
          <w:color w:val="000000"/>
        </w:rPr>
      </w:pPr>
      <w:r w:rsidRPr="000F21D1">
        <w:rPr>
          <w:rFonts w:ascii="Garamond" w:hAnsi="Garamond" w:cs="GHEA Grapalat"/>
          <w:b/>
          <w:color w:val="000000"/>
        </w:rPr>
        <w:t>3.3.2. Exchange rate</w:t>
      </w:r>
    </w:p>
    <w:p w14:paraId="7C8CE1F6" w14:textId="77777777" w:rsidR="00EB11F5" w:rsidRPr="000F21D1" w:rsidRDefault="00EB11F5" w:rsidP="0006101A">
      <w:pPr>
        <w:spacing w:line="360" w:lineRule="auto"/>
        <w:jc w:val="both"/>
        <w:rPr>
          <w:rFonts w:ascii="Garamond" w:hAnsi="Garamond"/>
          <w:iCs/>
        </w:rPr>
      </w:pPr>
    </w:p>
    <w:p w14:paraId="43C5921A" w14:textId="77777777" w:rsidR="00EB11F5" w:rsidRPr="000F21D1" w:rsidRDefault="00EB11F5" w:rsidP="0006101A">
      <w:pPr>
        <w:spacing w:line="360" w:lineRule="auto"/>
        <w:jc w:val="both"/>
        <w:rPr>
          <w:rFonts w:ascii="Garamond" w:hAnsi="Garamond"/>
        </w:rPr>
      </w:pPr>
      <w:r w:rsidRPr="000F21D1">
        <w:rPr>
          <w:rFonts w:ascii="Garamond" w:hAnsi="Garamond"/>
          <w:iCs/>
        </w:rPr>
        <w:t xml:space="preserve">In the </w:t>
      </w:r>
      <w:r w:rsidR="002130E0" w:rsidRPr="000F21D1">
        <w:rPr>
          <w:rFonts w:ascii="Garamond" w:hAnsi="Garamond"/>
          <w:iCs/>
        </w:rPr>
        <w:t>second</w:t>
      </w:r>
      <w:r w:rsidRPr="000F21D1">
        <w:rPr>
          <w:rFonts w:ascii="Garamond" w:hAnsi="Garamond"/>
          <w:iCs/>
        </w:rPr>
        <w:t xml:space="preserve"> quarter of 2016</w:t>
      </w:r>
      <w:r w:rsidR="002130E0" w:rsidRPr="000F21D1">
        <w:rPr>
          <w:rFonts w:ascii="Garamond" w:hAnsi="Garamond"/>
          <w:iCs/>
        </w:rPr>
        <w:t xml:space="preserve"> </w:t>
      </w:r>
      <w:r w:rsidRPr="000F21D1">
        <w:rPr>
          <w:rFonts w:ascii="Garamond" w:hAnsi="Garamond"/>
          <w:iCs/>
        </w:rPr>
        <w:t xml:space="preserve">partner countries </w:t>
      </w:r>
      <w:r w:rsidR="002130E0" w:rsidRPr="000F21D1">
        <w:rPr>
          <w:rFonts w:ascii="Garamond" w:hAnsi="Garamond"/>
          <w:iCs/>
        </w:rPr>
        <w:t xml:space="preserve">to Armenia </w:t>
      </w:r>
      <w:r w:rsidRPr="000F21D1">
        <w:rPr>
          <w:rFonts w:ascii="Garamond" w:hAnsi="Garamond"/>
          <w:iCs/>
        </w:rPr>
        <w:t xml:space="preserve">saw </w:t>
      </w:r>
      <w:r w:rsidR="002130E0" w:rsidRPr="000F21D1">
        <w:rPr>
          <w:rFonts w:ascii="Garamond" w:hAnsi="Garamond"/>
          <w:iCs/>
        </w:rPr>
        <w:t>ap</w:t>
      </w:r>
      <w:r w:rsidRPr="000F21D1">
        <w:rPr>
          <w:rFonts w:ascii="Garamond" w:hAnsi="Garamond"/>
          <w:iCs/>
        </w:rPr>
        <w:t>preciation pressures in their foreign exchange markets.</w:t>
      </w:r>
      <w:r w:rsidR="0086764D" w:rsidRPr="000F21D1">
        <w:rPr>
          <w:rFonts w:ascii="Garamond" w:hAnsi="Garamond"/>
          <w:iCs/>
          <w:lang w:val="hy-AM"/>
        </w:rPr>
        <w:t xml:space="preserve"> </w:t>
      </w:r>
      <w:r w:rsidRPr="000F21D1">
        <w:rPr>
          <w:rFonts w:ascii="Garamond" w:hAnsi="Garamond"/>
          <w:iCs/>
          <w:color w:val="000000"/>
        </w:rPr>
        <w:t>During the quarter t</w:t>
      </w:r>
      <w:r w:rsidRPr="000F21D1">
        <w:rPr>
          <w:rFonts w:ascii="Garamond" w:hAnsi="Garamond"/>
          <w:iCs/>
        </w:rPr>
        <w:t xml:space="preserve">he partner countries’ average weighted nominal exchange rate </w:t>
      </w:r>
      <w:r w:rsidR="002130E0" w:rsidRPr="000F21D1">
        <w:rPr>
          <w:rFonts w:ascii="Garamond" w:hAnsi="Garamond"/>
          <w:iCs/>
        </w:rPr>
        <w:t>ap</w:t>
      </w:r>
      <w:r w:rsidRPr="000F21D1">
        <w:rPr>
          <w:rFonts w:ascii="Garamond" w:hAnsi="Garamond"/>
          <w:iCs/>
        </w:rPr>
        <w:t>preciat</w:t>
      </w:r>
      <w:r w:rsidR="000A73C7" w:rsidRPr="000F21D1">
        <w:rPr>
          <w:rFonts w:ascii="Garamond" w:hAnsi="Garamond"/>
          <w:iCs/>
        </w:rPr>
        <w:t xml:space="preserve">ed </w:t>
      </w:r>
      <w:r w:rsidRPr="000F21D1">
        <w:rPr>
          <w:rFonts w:ascii="Garamond" w:hAnsi="Garamond"/>
          <w:iCs/>
        </w:rPr>
        <w:t xml:space="preserve">versus the US dollar </w:t>
      </w:r>
      <w:r w:rsidR="000A73C7" w:rsidRPr="000F21D1">
        <w:rPr>
          <w:rFonts w:ascii="Garamond" w:hAnsi="Garamond"/>
          <w:iCs/>
        </w:rPr>
        <w:t xml:space="preserve">by </w:t>
      </w:r>
      <w:r w:rsidR="002130E0" w:rsidRPr="000F21D1">
        <w:rPr>
          <w:rFonts w:ascii="Garamond" w:hAnsi="Garamond"/>
          <w:iCs/>
        </w:rPr>
        <w:t>4</w:t>
      </w:r>
      <w:r w:rsidRPr="000F21D1">
        <w:rPr>
          <w:rFonts w:ascii="Garamond" w:hAnsi="Garamond"/>
          <w:iCs/>
        </w:rPr>
        <w:t>.</w:t>
      </w:r>
      <w:r w:rsidR="002130E0" w:rsidRPr="000F21D1">
        <w:rPr>
          <w:rFonts w:ascii="Garamond" w:hAnsi="Garamond"/>
          <w:iCs/>
        </w:rPr>
        <w:t>2</w:t>
      </w:r>
      <w:r w:rsidRPr="000F21D1">
        <w:rPr>
          <w:rFonts w:ascii="Garamond" w:hAnsi="Garamond"/>
          <w:iCs/>
        </w:rPr>
        <w:t xml:space="preserve">%, </w:t>
      </w:r>
      <w:r w:rsidR="000A73C7" w:rsidRPr="000F21D1">
        <w:rPr>
          <w:rFonts w:ascii="Garamond" w:hAnsi="Garamond"/>
          <w:iCs/>
        </w:rPr>
        <w:t xml:space="preserve">which was </w:t>
      </w:r>
      <w:r w:rsidRPr="000F21D1">
        <w:rPr>
          <w:rFonts w:ascii="Garamond" w:hAnsi="Garamond"/>
          <w:iCs/>
        </w:rPr>
        <w:t xml:space="preserve">largely driven by </w:t>
      </w:r>
      <w:r w:rsidR="000A73C7" w:rsidRPr="000F21D1">
        <w:rPr>
          <w:rFonts w:ascii="Garamond" w:hAnsi="Garamond"/>
          <w:iCs/>
        </w:rPr>
        <w:t xml:space="preserve">appreciated </w:t>
      </w:r>
      <w:r w:rsidRPr="000F21D1">
        <w:rPr>
          <w:rFonts w:ascii="Garamond" w:hAnsi="Garamond"/>
          <w:iCs/>
        </w:rPr>
        <w:t xml:space="preserve">Russian ruble, </w:t>
      </w:r>
      <w:r w:rsidR="000A73C7" w:rsidRPr="000F21D1">
        <w:rPr>
          <w:rFonts w:ascii="Garamond" w:hAnsi="Garamond"/>
          <w:iCs/>
        </w:rPr>
        <w:t xml:space="preserve">euro and Georgian lari </w:t>
      </w:r>
      <w:r w:rsidRPr="000F21D1">
        <w:rPr>
          <w:rFonts w:ascii="Garamond" w:hAnsi="Garamond"/>
          <w:iCs/>
        </w:rPr>
        <w:t xml:space="preserve">(contribution: </w:t>
      </w:r>
      <w:r w:rsidR="001B2A01" w:rsidRPr="000F21D1">
        <w:rPr>
          <w:rFonts w:ascii="Garamond" w:hAnsi="Garamond"/>
          <w:iCs/>
        </w:rPr>
        <w:t>2</w:t>
      </w:r>
      <w:r w:rsidRPr="000F21D1">
        <w:rPr>
          <w:rFonts w:ascii="Garamond" w:hAnsi="Garamond"/>
          <w:iCs/>
        </w:rPr>
        <w:t>.</w:t>
      </w:r>
      <w:r w:rsidR="001B2A01" w:rsidRPr="000F21D1">
        <w:rPr>
          <w:rFonts w:ascii="Garamond" w:hAnsi="Garamond"/>
          <w:iCs/>
        </w:rPr>
        <w:t>5, 0.</w:t>
      </w:r>
      <w:r w:rsidR="000A73C7" w:rsidRPr="000F21D1">
        <w:rPr>
          <w:rFonts w:ascii="Garamond" w:hAnsi="Garamond"/>
          <w:iCs/>
        </w:rPr>
        <w:t>8</w:t>
      </w:r>
      <w:r w:rsidRPr="000F21D1">
        <w:rPr>
          <w:rFonts w:ascii="Garamond" w:hAnsi="Garamond"/>
          <w:iCs/>
        </w:rPr>
        <w:t xml:space="preserve"> and 0.</w:t>
      </w:r>
      <w:r w:rsidR="001B2A01" w:rsidRPr="000F21D1">
        <w:rPr>
          <w:rFonts w:ascii="Garamond" w:hAnsi="Garamond"/>
          <w:iCs/>
        </w:rPr>
        <w:t>3</w:t>
      </w:r>
      <w:r w:rsidRPr="000F21D1">
        <w:rPr>
          <w:rFonts w:ascii="Garamond" w:hAnsi="Garamond"/>
          <w:iCs/>
        </w:rPr>
        <w:t xml:space="preserve"> pp, respectively).</w:t>
      </w:r>
      <w:r w:rsidR="000A73C7" w:rsidRPr="000F21D1">
        <w:rPr>
          <w:rFonts w:ascii="Garamond" w:hAnsi="Garamond"/>
          <w:iCs/>
        </w:rPr>
        <w:t xml:space="preserve"> </w:t>
      </w:r>
      <w:r w:rsidRPr="000F21D1">
        <w:rPr>
          <w:rFonts w:ascii="Garamond" w:hAnsi="Garamond"/>
          <w:iCs/>
        </w:rPr>
        <w:t xml:space="preserve">With partner countries’ national currencies </w:t>
      </w:r>
      <w:r w:rsidR="005461F6" w:rsidRPr="000F21D1">
        <w:rPr>
          <w:rFonts w:ascii="Garamond" w:hAnsi="Garamond"/>
          <w:iCs/>
        </w:rPr>
        <w:t>ap</w:t>
      </w:r>
      <w:r w:rsidRPr="000F21D1">
        <w:rPr>
          <w:rFonts w:ascii="Garamond" w:hAnsi="Garamond"/>
          <w:iCs/>
        </w:rPr>
        <w:t xml:space="preserve">preciating, </w:t>
      </w:r>
      <w:r w:rsidRPr="000F21D1">
        <w:rPr>
          <w:rFonts w:ascii="Garamond" w:hAnsi="Garamond"/>
        </w:rPr>
        <w:t>the average nominal exchange rate of the Armenian dram</w:t>
      </w:r>
      <w:r w:rsidRPr="000F21D1">
        <w:rPr>
          <w:rFonts w:ascii="Garamond" w:hAnsi="Garamond"/>
          <w:iCs/>
          <w:color w:val="000000"/>
        </w:rPr>
        <w:t xml:space="preserve"> </w:t>
      </w:r>
      <w:r w:rsidR="005461F6" w:rsidRPr="000F21D1">
        <w:rPr>
          <w:rFonts w:ascii="Garamond" w:hAnsi="Garamond"/>
          <w:iCs/>
          <w:color w:val="000000"/>
        </w:rPr>
        <w:t xml:space="preserve">also </w:t>
      </w:r>
      <w:r w:rsidRPr="000F21D1">
        <w:rPr>
          <w:rFonts w:ascii="Garamond" w:hAnsi="Garamond"/>
          <w:iCs/>
          <w:color w:val="000000"/>
        </w:rPr>
        <w:t xml:space="preserve">appreciated versus the US dollar by </w:t>
      </w:r>
      <w:r w:rsidR="00392C0F" w:rsidRPr="000F21D1">
        <w:rPr>
          <w:rFonts w:ascii="Garamond" w:hAnsi="Garamond"/>
          <w:iCs/>
          <w:color w:val="000000"/>
        </w:rPr>
        <w:t>2</w:t>
      </w:r>
      <w:r w:rsidRPr="000F21D1">
        <w:rPr>
          <w:rFonts w:ascii="Garamond" w:hAnsi="Garamond"/>
          <w:iCs/>
          <w:color w:val="000000"/>
        </w:rPr>
        <w:t xml:space="preserve">% in the </w:t>
      </w:r>
      <w:r w:rsidR="005461F6" w:rsidRPr="000F21D1">
        <w:rPr>
          <w:rFonts w:ascii="Garamond" w:hAnsi="Garamond"/>
          <w:iCs/>
          <w:color w:val="000000"/>
        </w:rPr>
        <w:t>second</w:t>
      </w:r>
      <w:r w:rsidRPr="000F21D1">
        <w:rPr>
          <w:rFonts w:ascii="Garamond" w:hAnsi="Garamond"/>
          <w:iCs/>
          <w:color w:val="000000"/>
        </w:rPr>
        <w:t xml:space="preserve"> quarter. T</w:t>
      </w:r>
      <w:r w:rsidRPr="000F21D1">
        <w:rPr>
          <w:rFonts w:ascii="Garamond" w:hAnsi="Garamond"/>
        </w:rPr>
        <w:t>o absorb</w:t>
      </w:r>
      <w:r w:rsidR="0086764D" w:rsidRPr="000F21D1">
        <w:rPr>
          <w:rFonts w:ascii="Garamond" w:hAnsi="Garamond"/>
          <w:lang w:val="hy-AM"/>
        </w:rPr>
        <w:t xml:space="preserve"> </w:t>
      </w:r>
      <w:r w:rsidRPr="000F21D1">
        <w:rPr>
          <w:rFonts w:ascii="Garamond" w:hAnsi="Garamond"/>
        </w:rPr>
        <w:t xml:space="preserve">short-term volatilities </w:t>
      </w:r>
      <w:r w:rsidR="00392C0F" w:rsidRPr="000F21D1">
        <w:rPr>
          <w:rFonts w:ascii="Garamond" w:hAnsi="Garamond"/>
        </w:rPr>
        <w:t>deriving from balance sheet seasonality</w:t>
      </w:r>
      <w:r w:rsidRPr="000F21D1">
        <w:rPr>
          <w:rFonts w:ascii="Garamond" w:hAnsi="Garamond"/>
        </w:rPr>
        <w:t xml:space="preserve">, the CBA </w:t>
      </w:r>
      <w:r w:rsidR="00496CC1" w:rsidRPr="000F21D1">
        <w:rPr>
          <w:rFonts w:ascii="Garamond" w:hAnsi="Garamond"/>
        </w:rPr>
        <w:t xml:space="preserve">bought </w:t>
      </w:r>
      <w:r w:rsidRPr="000F21D1">
        <w:rPr>
          <w:rFonts w:ascii="Garamond" w:hAnsi="Garamond"/>
        </w:rPr>
        <w:t xml:space="preserve">nearly USD </w:t>
      </w:r>
      <w:r w:rsidR="00496CC1" w:rsidRPr="000F21D1">
        <w:rPr>
          <w:rFonts w:ascii="Garamond" w:hAnsi="Garamond"/>
        </w:rPr>
        <w:t>52</w:t>
      </w:r>
      <w:r w:rsidR="00392C0F" w:rsidRPr="000F21D1">
        <w:rPr>
          <w:rFonts w:ascii="Garamond" w:hAnsi="Garamond"/>
        </w:rPr>
        <w:t>.6</w:t>
      </w:r>
      <w:r w:rsidRPr="000F21D1">
        <w:rPr>
          <w:rFonts w:ascii="Garamond" w:hAnsi="Garamond"/>
        </w:rPr>
        <w:t xml:space="preserve"> million in net terms</w:t>
      </w:r>
      <w:r w:rsidR="0086764D" w:rsidRPr="000F21D1">
        <w:rPr>
          <w:rFonts w:ascii="Garamond" w:hAnsi="Garamond"/>
          <w:lang w:val="hy-AM"/>
        </w:rPr>
        <w:t xml:space="preserve"> </w:t>
      </w:r>
      <w:r w:rsidR="00392C0F" w:rsidRPr="000F21D1">
        <w:rPr>
          <w:rFonts w:ascii="Garamond" w:hAnsi="Garamond"/>
        </w:rPr>
        <w:t>in</w:t>
      </w:r>
      <w:r w:rsidR="0086764D" w:rsidRPr="000F21D1">
        <w:rPr>
          <w:rFonts w:ascii="Garamond" w:hAnsi="Garamond"/>
          <w:lang w:val="hy-AM"/>
        </w:rPr>
        <w:t xml:space="preserve"> </w:t>
      </w:r>
      <w:r w:rsidR="00392C0F" w:rsidRPr="000F21D1">
        <w:rPr>
          <w:rFonts w:ascii="Garamond" w:hAnsi="Garamond"/>
        </w:rPr>
        <w:t>the foreign exchange market.</w:t>
      </w:r>
    </w:p>
    <w:p w14:paraId="0D82D37A" w14:textId="77777777" w:rsidR="00FD4627" w:rsidRPr="000F21D1" w:rsidRDefault="00FD4627" w:rsidP="0006101A">
      <w:pPr>
        <w:spacing w:line="360" w:lineRule="auto"/>
        <w:jc w:val="both"/>
        <w:rPr>
          <w:rFonts w:ascii="Garamond" w:hAnsi="Garamond"/>
        </w:rPr>
      </w:pPr>
    </w:p>
    <w:p w14:paraId="6EF7B59A" w14:textId="77777777" w:rsidR="00FD4627" w:rsidRPr="000F21D1" w:rsidRDefault="00FD4627" w:rsidP="0006101A">
      <w:pPr>
        <w:spacing w:line="360" w:lineRule="auto"/>
        <w:jc w:val="both"/>
        <w:rPr>
          <w:rFonts w:ascii="Garamond" w:hAnsi="Garamond"/>
          <w:iCs/>
        </w:rPr>
      </w:pPr>
      <w:r w:rsidRPr="000F21D1">
        <w:rPr>
          <w:rFonts w:ascii="Garamond" w:hAnsi="Garamond"/>
          <w:iCs/>
          <w:color w:val="000000"/>
        </w:rPr>
        <w:t xml:space="preserve">In the </w:t>
      </w:r>
      <w:r w:rsidR="0095116E" w:rsidRPr="000F21D1">
        <w:rPr>
          <w:rFonts w:ascii="Garamond" w:hAnsi="Garamond"/>
          <w:iCs/>
          <w:color w:val="000000"/>
        </w:rPr>
        <w:t>second</w:t>
      </w:r>
      <w:r w:rsidRPr="000F21D1">
        <w:rPr>
          <w:rFonts w:ascii="Garamond" w:hAnsi="Garamond"/>
          <w:iCs/>
          <w:color w:val="000000"/>
        </w:rPr>
        <w:t xml:space="preserve"> quarter of 2016 </w:t>
      </w:r>
      <w:r w:rsidRPr="000F21D1">
        <w:rPr>
          <w:rFonts w:ascii="Garamond" w:hAnsi="Garamond"/>
        </w:rPr>
        <w:t>the nominal effective exchange rate of the A</w:t>
      </w:r>
      <w:r w:rsidR="00C71DA3" w:rsidRPr="000F21D1">
        <w:rPr>
          <w:rFonts w:ascii="Garamond" w:hAnsi="Garamond"/>
        </w:rPr>
        <w:t xml:space="preserve">rmenian dram </w:t>
      </w:r>
      <w:r w:rsidR="0095116E" w:rsidRPr="000F21D1">
        <w:rPr>
          <w:rFonts w:ascii="Garamond" w:hAnsi="Garamond"/>
        </w:rPr>
        <w:t>depreciated by 2</w:t>
      </w:r>
      <w:r w:rsidRPr="000F21D1">
        <w:rPr>
          <w:rFonts w:ascii="Garamond" w:hAnsi="Garamond"/>
        </w:rPr>
        <w:t>.</w:t>
      </w:r>
      <w:r w:rsidR="0095116E" w:rsidRPr="000F21D1">
        <w:rPr>
          <w:rFonts w:ascii="Garamond" w:hAnsi="Garamond"/>
        </w:rPr>
        <w:t>23</w:t>
      </w:r>
      <w:r w:rsidRPr="000F21D1">
        <w:rPr>
          <w:rFonts w:ascii="Garamond" w:hAnsi="Garamond"/>
        </w:rPr>
        <w:t>% q/q</w:t>
      </w:r>
      <w:r w:rsidR="0095116E" w:rsidRPr="000F21D1">
        <w:rPr>
          <w:rFonts w:ascii="Garamond" w:hAnsi="Garamond"/>
        </w:rPr>
        <w:t xml:space="preserve"> </w:t>
      </w:r>
      <w:r w:rsidRPr="000F21D1">
        <w:rPr>
          <w:rFonts w:ascii="Garamond" w:hAnsi="Garamond"/>
        </w:rPr>
        <w:t>a</w:t>
      </w:r>
      <w:r w:rsidR="0095116E" w:rsidRPr="000F21D1">
        <w:rPr>
          <w:rFonts w:ascii="Garamond" w:hAnsi="Garamond"/>
        </w:rPr>
        <w:t xml:space="preserve">s the </w:t>
      </w:r>
      <w:r w:rsidR="00C71DA3" w:rsidRPr="000F21D1">
        <w:rPr>
          <w:rFonts w:ascii="Garamond" w:hAnsi="Garamond"/>
          <w:iCs/>
          <w:color w:val="000000"/>
        </w:rPr>
        <w:t>partner countries’ currenc</w:t>
      </w:r>
      <w:r w:rsidR="0095116E" w:rsidRPr="000F21D1">
        <w:rPr>
          <w:rFonts w:ascii="Garamond" w:hAnsi="Garamond"/>
          <w:iCs/>
          <w:color w:val="000000"/>
        </w:rPr>
        <w:t xml:space="preserve">y basket posted a rapider </w:t>
      </w:r>
      <w:r w:rsidR="0095116E" w:rsidRPr="000F21D1">
        <w:rPr>
          <w:rFonts w:ascii="Garamond" w:hAnsi="Garamond"/>
        </w:rPr>
        <w:t>ap</w:t>
      </w:r>
      <w:r w:rsidR="00C71DA3" w:rsidRPr="000F21D1">
        <w:rPr>
          <w:rFonts w:ascii="Garamond" w:hAnsi="Garamond"/>
        </w:rPr>
        <w:t xml:space="preserve">preciation </w:t>
      </w:r>
      <w:r w:rsidR="00C71DA3" w:rsidRPr="000F21D1">
        <w:rPr>
          <w:rFonts w:ascii="Garamond" w:hAnsi="Garamond"/>
          <w:iCs/>
          <w:color w:val="000000"/>
        </w:rPr>
        <w:t>versus</w:t>
      </w:r>
      <w:r w:rsidRPr="000F21D1">
        <w:rPr>
          <w:rFonts w:ascii="Garamond" w:hAnsi="Garamond"/>
          <w:iCs/>
          <w:color w:val="000000"/>
        </w:rPr>
        <w:t xml:space="preserve"> the US dollar</w:t>
      </w:r>
      <w:r w:rsidRPr="000F21D1">
        <w:rPr>
          <w:rFonts w:ascii="Garamond" w:hAnsi="Garamond"/>
        </w:rPr>
        <w:t>.</w:t>
      </w:r>
      <w:r w:rsidR="0086764D" w:rsidRPr="000F21D1">
        <w:rPr>
          <w:rFonts w:ascii="Garamond" w:hAnsi="Garamond"/>
          <w:lang w:val="hy-AM"/>
        </w:rPr>
        <w:t xml:space="preserve"> </w:t>
      </w:r>
      <w:r w:rsidR="00277BE5" w:rsidRPr="000F21D1">
        <w:rPr>
          <w:rFonts w:ascii="Garamond" w:hAnsi="Garamond"/>
          <w:iCs/>
          <w:color w:val="000000"/>
        </w:rPr>
        <w:t xml:space="preserve">In the meantime, </w:t>
      </w:r>
      <w:r w:rsidRPr="000F21D1">
        <w:rPr>
          <w:rFonts w:ascii="Garamond" w:hAnsi="Garamond"/>
          <w:iCs/>
          <w:color w:val="000000"/>
        </w:rPr>
        <w:t xml:space="preserve">the real effective exchange rate has </w:t>
      </w:r>
      <w:r w:rsidR="0095116E" w:rsidRPr="000F21D1">
        <w:rPr>
          <w:rFonts w:ascii="Garamond" w:hAnsi="Garamond"/>
          <w:iCs/>
          <w:color w:val="000000"/>
        </w:rPr>
        <w:t>de</w:t>
      </w:r>
      <w:r w:rsidRPr="000F21D1">
        <w:rPr>
          <w:rFonts w:ascii="Garamond" w:hAnsi="Garamond"/>
          <w:iCs/>
          <w:color w:val="000000"/>
        </w:rPr>
        <w:t xml:space="preserve">preciated by </w:t>
      </w:r>
      <w:r w:rsidR="0095116E" w:rsidRPr="000F21D1">
        <w:rPr>
          <w:rFonts w:ascii="Garamond" w:hAnsi="Garamond"/>
          <w:iCs/>
          <w:color w:val="000000"/>
        </w:rPr>
        <w:t>4</w:t>
      </w:r>
      <w:r w:rsidR="00277BE5" w:rsidRPr="000F21D1">
        <w:rPr>
          <w:rFonts w:ascii="Garamond" w:hAnsi="Garamond"/>
          <w:iCs/>
          <w:color w:val="000000"/>
        </w:rPr>
        <w:t>.6</w:t>
      </w:r>
      <w:r w:rsidRPr="000F21D1">
        <w:rPr>
          <w:rFonts w:ascii="Garamond" w:hAnsi="Garamond"/>
          <w:iCs/>
          <w:color w:val="000000"/>
        </w:rPr>
        <w:t>% q/q</w:t>
      </w:r>
      <w:r w:rsidR="0095116E" w:rsidRPr="000F21D1">
        <w:rPr>
          <w:rStyle w:val="FootnoteReference"/>
          <w:rFonts w:ascii="Garamond" w:hAnsi="Garamond"/>
          <w:iCs/>
        </w:rPr>
        <w:footnoteReference w:customMarkFollows="1" w:id="26"/>
        <w:t>27</w:t>
      </w:r>
      <w:r w:rsidRPr="000F21D1">
        <w:rPr>
          <w:rFonts w:ascii="Garamond" w:hAnsi="Garamond"/>
          <w:iCs/>
        </w:rPr>
        <w:t>.</w:t>
      </w:r>
    </w:p>
    <w:p w14:paraId="2FFEBD52" w14:textId="77777777" w:rsidR="00E545F0" w:rsidRPr="000F21D1" w:rsidRDefault="00E545F0" w:rsidP="0006101A">
      <w:pPr>
        <w:spacing w:line="360" w:lineRule="auto"/>
        <w:jc w:val="both"/>
        <w:rPr>
          <w:rFonts w:ascii="Garamond" w:hAnsi="Garamond"/>
          <w:iCs/>
        </w:rPr>
      </w:pPr>
    </w:p>
    <w:p w14:paraId="5AB1CDAD" w14:textId="77777777" w:rsidR="00E545F0" w:rsidRPr="000F21D1" w:rsidRDefault="0095116E" w:rsidP="0006101A">
      <w:pPr>
        <w:spacing w:line="360" w:lineRule="auto"/>
        <w:jc w:val="both"/>
        <w:rPr>
          <w:rFonts w:ascii="Garamond" w:hAnsi="Garamond"/>
          <w:iCs/>
        </w:rPr>
      </w:pPr>
      <w:r w:rsidRPr="000F21D1">
        <w:rPr>
          <w:rFonts w:ascii="Garamond" w:hAnsi="Garamond"/>
          <w:iCs/>
        </w:rPr>
        <w:t xml:space="preserve">Compared to </w:t>
      </w:r>
      <w:r w:rsidR="00E545F0" w:rsidRPr="000F21D1">
        <w:rPr>
          <w:rFonts w:ascii="Garamond" w:hAnsi="Garamond"/>
          <w:iCs/>
        </w:rPr>
        <w:t xml:space="preserve">the same reference period last year, the real effective exchange rate </w:t>
      </w:r>
      <w:r w:rsidR="006346C5" w:rsidRPr="000F21D1">
        <w:rPr>
          <w:rFonts w:ascii="Garamond" w:hAnsi="Garamond"/>
          <w:iCs/>
        </w:rPr>
        <w:t>remained slightly appreciated, nearly 1</w:t>
      </w:r>
      <w:r w:rsidR="00E545F0" w:rsidRPr="000F21D1">
        <w:rPr>
          <w:rFonts w:ascii="Garamond" w:hAnsi="Garamond"/>
          <w:iCs/>
        </w:rPr>
        <w:t>.</w:t>
      </w:r>
      <w:r w:rsidR="006346C5" w:rsidRPr="000F21D1">
        <w:rPr>
          <w:rFonts w:ascii="Garamond" w:hAnsi="Garamond"/>
          <w:iCs/>
        </w:rPr>
        <w:t>3</w:t>
      </w:r>
      <w:r w:rsidR="00E545F0" w:rsidRPr="000F21D1">
        <w:rPr>
          <w:rFonts w:ascii="Garamond" w:hAnsi="Garamond"/>
          <w:iCs/>
        </w:rPr>
        <w:t>%.</w:t>
      </w:r>
      <w:r w:rsidR="000A48A7" w:rsidRPr="000F21D1">
        <w:rPr>
          <w:rFonts w:ascii="Garamond" w:hAnsi="Garamond"/>
          <w:iCs/>
        </w:rPr>
        <w:t xml:space="preserve"> </w:t>
      </w:r>
    </w:p>
    <w:p w14:paraId="722C4C59" w14:textId="77777777" w:rsidR="008D6235" w:rsidRPr="000F21D1" w:rsidRDefault="008D6235" w:rsidP="0006101A">
      <w:pPr>
        <w:spacing w:line="360" w:lineRule="auto"/>
        <w:jc w:val="both"/>
        <w:rPr>
          <w:rFonts w:ascii="Garamond" w:hAnsi="Garamond"/>
          <w:iCs/>
        </w:rPr>
      </w:pPr>
    </w:p>
    <w:tbl>
      <w:tblPr>
        <w:tblStyle w:val="TableGrid"/>
        <w:tblW w:w="0" w:type="auto"/>
        <w:tblLook w:val="04A0" w:firstRow="1" w:lastRow="0" w:firstColumn="1" w:lastColumn="0" w:noHBand="0" w:noVBand="1"/>
      </w:tblPr>
      <w:tblGrid>
        <w:gridCol w:w="9576"/>
      </w:tblGrid>
      <w:tr w:rsidR="008D6235" w:rsidRPr="00F720C4" w14:paraId="4B0021DC" w14:textId="77777777" w:rsidTr="008D6235">
        <w:tc>
          <w:tcPr>
            <w:tcW w:w="9576" w:type="dxa"/>
          </w:tcPr>
          <w:p w14:paraId="2879DEC1" w14:textId="77777777" w:rsidR="008D6235" w:rsidRPr="000F21D1" w:rsidRDefault="008D6235" w:rsidP="008D6235">
            <w:pPr>
              <w:spacing w:line="360" w:lineRule="auto"/>
              <w:jc w:val="right"/>
              <w:rPr>
                <w:rFonts w:ascii="Garamond" w:hAnsi="Garamond"/>
                <w:b/>
              </w:rPr>
            </w:pPr>
            <w:r w:rsidRPr="000F21D1">
              <w:rPr>
                <w:rFonts w:ascii="Garamond" w:hAnsi="Garamond"/>
                <w:b/>
              </w:rPr>
              <w:t xml:space="preserve">Box </w:t>
            </w:r>
            <w:r w:rsidR="006346C5" w:rsidRPr="000F21D1">
              <w:rPr>
                <w:rFonts w:ascii="Garamond" w:hAnsi="Garamond"/>
                <w:b/>
              </w:rPr>
              <w:t>6</w:t>
            </w:r>
          </w:p>
          <w:p w14:paraId="666365A8" w14:textId="77777777" w:rsidR="008D6235" w:rsidRPr="000F21D1" w:rsidRDefault="008D6235" w:rsidP="008D6235">
            <w:pPr>
              <w:spacing w:line="360" w:lineRule="auto"/>
              <w:jc w:val="center"/>
              <w:rPr>
                <w:rFonts w:ascii="Garamond" w:hAnsi="Garamond"/>
                <w:b/>
              </w:rPr>
            </w:pPr>
            <w:r w:rsidRPr="000F21D1">
              <w:rPr>
                <w:rFonts w:ascii="Garamond" w:hAnsi="Garamond"/>
                <w:b/>
              </w:rPr>
              <w:t>Foreign exchange market</w:t>
            </w:r>
          </w:p>
          <w:p w14:paraId="0E3FCC2E" w14:textId="77777777" w:rsidR="008D6235" w:rsidRPr="000F21D1" w:rsidRDefault="008D6235" w:rsidP="008D6235">
            <w:pPr>
              <w:spacing w:line="360" w:lineRule="auto"/>
              <w:jc w:val="both"/>
              <w:rPr>
                <w:rFonts w:ascii="Garamond" w:hAnsi="Garamond"/>
              </w:rPr>
            </w:pPr>
            <w:r w:rsidRPr="000F21D1">
              <w:rPr>
                <w:rFonts w:ascii="Garamond" w:hAnsi="Garamond"/>
              </w:rPr>
              <w:t xml:space="preserve">As of end of the </w:t>
            </w:r>
            <w:r w:rsidR="006346C5" w:rsidRPr="000F21D1">
              <w:rPr>
                <w:rFonts w:ascii="Garamond" w:hAnsi="Garamond"/>
              </w:rPr>
              <w:t>second</w:t>
            </w:r>
            <w:r w:rsidRPr="000F21D1">
              <w:rPr>
                <w:rFonts w:ascii="Garamond" w:hAnsi="Garamond"/>
              </w:rPr>
              <w:t xml:space="preserve"> quarter of 201</w:t>
            </w:r>
            <w:r w:rsidR="00511AE3" w:rsidRPr="000F21D1">
              <w:rPr>
                <w:rFonts w:ascii="Garamond" w:hAnsi="Garamond"/>
              </w:rPr>
              <w:t>6</w:t>
            </w:r>
            <w:r w:rsidRPr="000F21D1">
              <w:rPr>
                <w:rFonts w:ascii="Garamond" w:hAnsi="Garamond"/>
              </w:rPr>
              <w:t xml:space="preserve"> the average USD/AMD was 4</w:t>
            </w:r>
            <w:r w:rsidR="006346C5" w:rsidRPr="000F21D1">
              <w:rPr>
                <w:rFonts w:ascii="Garamond" w:hAnsi="Garamond"/>
              </w:rPr>
              <w:t>76</w:t>
            </w:r>
            <w:r w:rsidRPr="000F21D1">
              <w:rPr>
                <w:rFonts w:ascii="Garamond" w:hAnsi="Garamond"/>
              </w:rPr>
              <w:t>.</w:t>
            </w:r>
            <w:r w:rsidR="006346C5" w:rsidRPr="000F21D1">
              <w:rPr>
                <w:rFonts w:ascii="Garamond" w:hAnsi="Garamond"/>
              </w:rPr>
              <w:t>68</w:t>
            </w:r>
            <w:r w:rsidRPr="000F21D1">
              <w:rPr>
                <w:rFonts w:ascii="Garamond" w:hAnsi="Garamond"/>
              </w:rPr>
              <w:t xml:space="preserve">, </w:t>
            </w:r>
            <w:r w:rsidR="00511AE3" w:rsidRPr="000F21D1">
              <w:rPr>
                <w:rFonts w:ascii="Garamond" w:hAnsi="Garamond"/>
              </w:rPr>
              <w:t>app</w:t>
            </w:r>
            <w:r w:rsidRPr="000F21D1">
              <w:rPr>
                <w:rFonts w:ascii="Garamond" w:hAnsi="Garamond"/>
              </w:rPr>
              <w:t xml:space="preserve">reciated by </w:t>
            </w:r>
            <w:r w:rsidR="00511AE3" w:rsidRPr="000F21D1">
              <w:rPr>
                <w:rFonts w:ascii="Garamond" w:hAnsi="Garamond"/>
              </w:rPr>
              <w:t>0</w:t>
            </w:r>
            <w:r w:rsidRPr="000F21D1">
              <w:rPr>
                <w:rFonts w:ascii="Garamond" w:hAnsi="Garamond"/>
              </w:rPr>
              <w:t>.</w:t>
            </w:r>
            <w:r w:rsidR="006346C5" w:rsidRPr="000F21D1">
              <w:rPr>
                <w:rFonts w:ascii="Garamond" w:hAnsi="Garamond"/>
              </w:rPr>
              <w:t>86</w:t>
            </w:r>
            <w:r w:rsidRPr="000F21D1">
              <w:rPr>
                <w:rFonts w:ascii="Garamond" w:hAnsi="Garamond"/>
              </w:rPr>
              <w:t xml:space="preserve"> relative to the end of the previous quarter.</w:t>
            </w:r>
          </w:p>
          <w:p w14:paraId="4088B4A3" w14:textId="77777777" w:rsidR="008D6235" w:rsidRPr="000F21D1" w:rsidRDefault="008D6235" w:rsidP="008D6235">
            <w:pPr>
              <w:spacing w:line="360" w:lineRule="auto"/>
              <w:jc w:val="both"/>
              <w:rPr>
                <w:rFonts w:ascii="Garamond" w:hAnsi="Garamond"/>
              </w:rPr>
            </w:pPr>
          </w:p>
          <w:p w14:paraId="5786A655" w14:textId="77777777" w:rsidR="00511AE3" w:rsidRPr="000F21D1" w:rsidRDefault="00511AE3" w:rsidP="00511AE3">
            <w:pPr>
              <w:spacing w:line="360" w:lineRule="auto"/>
              <w:jc w:val="both"/>
              <w:rPr>
                <w:rFonts w:ascii="Garamond" w:hAnsi="Garamond"/>
                <w:iCs/>
              </w:rPr>
            </w:pPr>
            <w:r w:rsidRPr="000F21D1">
              <w:rPr>
                <w:rFonts w:ascii="Garamond" w:hAnsi="Garamond"/>
                <w:iCs/>
              </w:rPr>
              <w:t xml:space="preserve">The aggregate volume of U.S. dollar/Armenian dram transactions in the foreign exchange market in the </w:t>
            </w:r>
            <w:r w:rsidR="006346C5" w:rsidRPr="000F21D1">
              <w:rPr>
                <w:rFonts w:ascii="Garamond" w:hAnsi="Garamond"/>
                <w:iCs/>
              </w:rPr>
              <w:t>second</w:t>
            </w:r>
            <w:r w:rsidRPr="000F21D1">
              <w:rPr>
                <w:rFonts w:ascii="Garamond" w:hAnsi="Garamond"/>
                <w:iCs/>
              </w:rPr>
              <w:t xml:space="preserve"> quarter of 2016 amounted to USD </w:t>
            </w:r>
            <w:r w:rsidR="006346C5" w:rsidRPr="000F21D1">
              <w:rPr>
                <w:rFonts w:ascii="Garamond" w:hAnsi="Garamond"/>
                <w:iCs/>
              </w:rPr>
              <w:t>2</w:t>
            </w:r>
            <w:r w:rsidRPr="000F21D1">
              <w:rPr>
                <w:rFonts w:ascii="Garamond" w:hAnsi="Garamond"/>
                <w:iCs/>
              </w:rPr>
              <w:t>.</w:t>
            </w:r>
            <w:r w:rsidR="006346C5" w:rsidRPr="000F21D1">
              <w:rPr>
                <w:rFonts w:ascii="Garamond" w:hAnsi="Garamond"/>
                <w:iCs/>
              </w:rPr>
              <w:t>06</w:t>
            </w:r>
            <w:r w:rsidRPr="000F21D1">
              <w:rPr>
                <w:rFonts w:ascii="Garamond" w:hAnsi="Garamond"/>
                <w:iCs/>
              </w:rPr>
              <w:t xml:space="preserve"> billion, decreas</w:t>
            </w:r>
            <w:r w:rsidR="00523597" w:rsidRPr="000F21D1">
              <w:rPr>
                <w:rFonts w:ascii="Garamond" w:hAnsi="Garamond"/>
                <w:iCs/>
              </w:rPr>
              <w:t xml:space="preserve">ing </w:t>
            </w:r>
            <w:r w:rsidRPr="000F21D1">
              <w:rPr>
                <w:rFonts w:ascii="Garamond" w:hAnsi="Garamond"/>
                <w:iCs/>
              </w:rPr>
              <w:t xml:space="preserve">by </w:t>
            </w:r>
            <w:r w:rsidR="006346C5" w:rsidRPr="000F21D1">
              <w:rPr>
                <w:rFonts w:ascii="Garamond" w:hAnsi="Garamond"/>
                <w:iCs/>
              </w:rPr>
              <w:t>11</w:t>
            </w:r>
            <w:r w:rsidRPr="000F21D1">
              <w:rPr>
                <w:rFonts w:ascii="Garamond" w:hAnsi="Garamond"/>
                <w:iCs/>
              </w:rPr>
              <w:t>.</w:t>
            </w:r>
            <w:r w:rsidR="006346C5" w:rsidRPr="000F21D1">
              <w:rPr>
                <w:rFonts w:ascii="Garamond" w:hAnsi="Garamond"/>
                <w:iCs/>
              </w:rPr>
              <w:t>97</w:t>
            </w:r>
            <w:r w:rsidRPr="000F21D1">
              <w:rPr>
                <w:rFonts w:ascii="Garamond" w:hAnsi="Garamond"/>
                <w:iCs/>
              </w:rPr>
              <w:t>% (AMD 2.</w:t>
            </w:r>
            <w:r w:rsidR="006346C5" w:rsidRPr="000F21D1">
              <w:rPr>
                <w:rFonts w:ascii="Garamond" w:hAnsi="Garamond"/>
                <w:iCs/>
              </w:rPr>
              <w:t>34</w:t>
            </w:r>
            <w:r w:rsidRPr="000F21D1">
              <w:rPr>
                <w:rFonts w:ascii="Garamond" w:hAnsi="Garamond"/>
                <w:iCs/>
              </w:rPr>
              <w:t xml:space="preserve"> billion) against the same reference period last year.</w:t>
            </w:r>
          </w:p>
          <w:p w14:paraId="63A7F1E7" w14:textId="77777777" w:rsidR="00511AE3" w:rsidRPr="000F21D1" w:rsidRDefault="00511AE3" w:rsidP="00511AE3">
            <w:pPr>
              <w:spacing w:line="360" w:lineRule="auto"/>
              <w:jc w:val="both"/>
              <w:rPr>
                <w:rFonts w:ascii="Garamond" w:hAnsi="Garamond"/>
                <w:iCs/>
              </w:rPr>
            </w:pPr>
          </w:p>
          <w:p w14:paraId="3CF821C1" w14:textId="77777777" w:rsidR="00511AE3" w:rsidRPr="000F21D1" w:rsidRDefault="00511AE3" w:rsidP="00511AE3">
            <w:pPr>
              <w:spacing w:line="360" w:lineRule="auto"/>
              <w:jc w:val="both"/>
              <w:rPr>
                <w:rFonts w:ascii="Garamond" w:hAnsi="Garamond"/>
                <w:iCs/>
              </w:rPr>
            </w:pPr>
            <w:r w:rsidRPr="000F21D1">
              <w:rPr>
                <w:rFonts w:ascii="Garamond" w:hAnsi="Garamond"/>
                <w:iCs/>
              </w:rPr>
              <w:t xml:space="preserve">The aggregate volume of Euro/Armenian dram transactions carried out during the </w:t>
            </w:r>
            <w:r w:rsidR="006346C5" w:rsidRPr="000F21D1">
              <w:rPr>
                <w:rFonts w:ascii="Garamond" w:hAnsi="Garamond"/>
                <w:iCs/>
              </w:rPr>
              <w:t>second</w:t>
            </w:r>
            <w:r w:rsidR="00523597" w:rsidRPr="000F21D1">
              <w:rPr>
                <w:rFonts w:ascii="Garamond" w:hAnsi="Garamond"/>
                <w:iCs/>
              </w:rPr>
              <w:t xml:space="preserve"> </w:t>
            </w:r>
            <w:r w:rsidRPr="000F21D1">
              <w:rPr>
                <w:rFonts w:ascii="Garamond" w:hAnsi="Garamond"/>
                <w:iCs/>
              </w:rPr>
              <w:t xml:space="preserve">quarter reached EUR </w:t>
            </w:r>
            <w:r w:rsidR="006346C5" w:rsidRPr="000F21D1">
              <w:rPr>
                <w:rFonts w:ascii="Garamond" w:hAnsi="Garamond"/>
                <w:iCs/>
              </w:rPr>
              <w:t>253</w:t>
            </w:r>
            <w:r w:rsidRPr="000F21D1">
              <w:rPr>
                <w:rFonts w:ascii="Garamond" w:hAnsi="Garamond"/>
                <w:iCs/>
              </w:rPr>
              <w:t>.</w:t>
            </w:r>
            <w:r w:rsidR="006346C5" w:rsidRPr="000F21D1">
              <w:rPr>
                <w:rFonts w:ascii="Garamond" w:hAnsi="Garamond"/>
                <w:iCs/>
              </w:rPr>
              <w:t>46</w:t>
            </w:r>
            <w:r w:rsidRPr="000F21D1">
              <w:rPr>
                <w:rFonts w:ascii="Garamond" w:hAnsi="Garamond"/>
                <w:iCs/>
              </w:rPr>
              <w:t xml:space="preserve"> million, </w:t>
            </w:r>
            <w:r w:rsidR="0050397E" w:rsidRPr="000F21D1">
              <w:rPr>
                <w:rFonts w:ascii="Garamond" w:hAnsi="Garamond"/>
                <w:iCs/>
              </w:rPr>
              <w:t>which is a</w:t>
            </w:r>
            <w:r w:rsidR="006346C5" w:rsidRPr="000F21D1">
              <w:rPr>
                <w:rFonts w:ascii="Garamond" w:hAnsi="Garamond"/>
                <w:iCs/>
              </w:rPr>
              <w:t>n</w:t>
            </w:r>
            <w:r w:rsidR="0050397E" w:rsidRPr="000F21D1">
              <w:rPr>
                <w:rFonts w:ascii="Garamond" w:hAnsi="Garamond"/>
                <w:iCs/>
              </w:rPr>
              <w:t xml:space="preserve"> 1</w:t>
            </w:r>
            <w:r w:rsidR="006346C5" w:rsidRPr="000F21D1">
              <w:rPr>
                <w:rFonts w:ascii="Garamond" w:hAnsi="Garamond"/>
                <w:iCs/>
              </w:rPr>
              <w:t>1</w:t>
            </w:r>
            <w:r w:rsidR="0050397E" w:rsidRPr="000F21D1">
              <w:rPr>
                <w:rFonts w:ascii="Garamond" w:hAnsi="Garamond"/>
                <w:iCs/>
              </w:rPr>
              <w:t>.</w:t>
            </w:r>
            <w:r w:rsidR="006346C5" w:rsidRPr="000F21D1">
              <w:rPr>
                <w:rFonts w:ascii="Garamond" w:hAnsi="Garamond"/>
                <w:iCs/>
              </w:rPr>
              <w:t>7</w:t>
            </w:r>
            <w:r w:rsidR="0050397E" w:rsidRPr="000F21D1">
              <w:rPr>
                <w:rFonts w:ascii="Garamond" w:hAnsi="Garamond"/>
                <w:iCs/>
              </w:rPr>
              <w:t xml:space="preserve">8% </w:t>
            </w:r>
            <w:r w:rsidR="006346C5" w:rsidRPr="000F21D1">
              <w:rPr>
                <w:rFonts w:ascii="Garamond" w:hAnsi="Garamond"/>
                <w:iCs/>
              </w:rPr>
              <w:t xml:space="preserve">increase </w:t>
            </w:r>
            <w:r w:rsidR="0050397E" w:rsidRPr="000F21D1">
              <w:rPr>
                <w:rFonts w:ascii="Garamond" w:hAnsi="Garamond"/>
                <w:iCs/>
              </w:rPr>
              <w:t xml:space="preserve">against </w:t>
            </w:r>
            <w:r w:rsidRPr="000F21D1">
              <w:rPr>
                <w:rFonts w:ascii="Garamond" w:hAnsi="Garamond"/>
                <w:iCs/>
              </w:rPr>
              <w:t xml:space="preserve">EUR </w:t>
            </w:r>
            <w:r w:rsidR="00F67D8C" w:rsidRPr="000F21D1">
              <w:rPr>
                <w:rFonts w:ascii="Garamond" w:hAnsi="Garamond"/>
                <w:iCs/>
              </w:rPr>
              <w:t>226</w:t>
            </w:r>
            <w:r w:rsidRPr="000F21D1">
              <w:rPr>
                <w:rFonts w:ascii="Garamond" w:hAnsi="Garamond"/>
                <w:iCs/>
              </w:rPr>
              <w:t>.</w:t>
            </w:r>
            <w:r w:rsidR="00F67D8C" w:rsidRPr="000F21D1">
              <w:rPr>
                <w:rFonts w:ascii="Garamond" w:hAnsi="Garamond"/>
                <w:iCs/>
              </w:rPr>
              <w:t>74</w:t>
            </w:r>
            <w:r w:rsidRPr="000F21D1">
              <w:rPr>
                <w:rFonts w:ascii="Garamond" w:hAnsi="Garamond"/>
                <w:iCs/>
              </w:rPr>
              <w:t xml:space="preserve"> million reported in the </w:t>
            </w:r>
            <w:r w:rsidR="00F67D8C" w:rsidRPr="000F21D1">
              <w:rPr>
                <w:rFonts w:ascii="Garamond" w:hAnsi="Garamond"/>
                <w:iCs/>
              </w:rPr>
              <w:t>second</w:t>
            </w:r>
            <w:r w:rsidRPr="000F21D1">
              <w:rPr>
                <w:rFonts w:ascii="Garamond" w:hAnsi="Garamond"/>
                <w:iCs/>
              </w:rPr>
              <w:t xml:space="preserve"> quarter of 201</w:t>
            </w:r>
            <w:r w:rsidR="00523597" w:rsidRPr="000F21D1">
              <w:rPr>
                <w:rFonts w:ascii="Garamond" w:hAnsi="Garamond"/>
                <w:iCs/>
              </w:rPr>
              <w:t>5</w:t>
            </w:r>
            <w:r w:rsidRPr="000F21D1">
              <w:rPr>
                <w:rFonts w:ascii="Garamond" w:hAnsi="Garamond"/>
                <w:iCs/>
              </w:rPr>
              <w:t>.</w:t>
            </w:r>
          </w:p>
          <w:p w14:paraId="1633C61A" w14:textId="77777777" w:rsidR="00511AE3" w:rsidRPr="000F21D1" w:rsidRDefault="00511AE3" w:rsidP="00511AE3">
            <w:pPr>
              <w:spacing w:line="360" w:lineRule="auto"/>
              <w:jc w:val="both"/>
              <w:rPr>
                <w:rFonts w:ascii="Garamond" w:hAnsi="Garamond"/>
                <w:iCs/>
              </w:rPr>
            </w:pPr>
          </w:p>
          <w:p w14:paraId="5B4396E1" w14:textId="77777777" w:rsidR="00511AE3" w:rsidRPr="000F21D1" w:rsidRDefault="00511AE3" w:rsidP="00F67D8C">
            <w:pPr>
              <w:spacing w:line="360" w:lineRule="auto"/>
              <w:jc w:val="both"/>
              <w:rPr>
                <w:rFonts w:ascii="Garamond" w:hAnsi="Garamond"/>
              </w:rPr>
            </w:pPr>
            <w:r w:rsidRPr="000F21D1">
              <w:rPr>
                <w:rFonts w:ascii="Garamond" w:hAnsi="Garamond"/>
                <w:iCs/>
              </w:rPr>
              <w:t xml:space="preserve">The aggregate volume of Russian ruble/Armenian dram transactions in the </w:t>
            </w:r>
            <w:r w:rsidR="00F67D8C" w:rsidRPr="000F21D1">
              <w:rPr>
                <w:rFonts w:ascii="Garamond" w:hAnsi="Garamond"/>
                <w:iCs/>
              </w:rPr>
              <w:t>second</w:t>
            </w:r>
            <w:r w:rsidRPr="000F21D1">
              <w:rPr>
                <w:rFonts w:ascii="Garamond" w:hAnsi="Garamond"/>
                <w:iCs/>
              </w:rPr>
              <w:t xml:space="preserve"> quarter of 201</w:t>
            </w:r>
            <w:r w:rsidR="0050397E" w:rsidRPr="000F21D1">
              <w:rPr>
                <w:rFonts w:ascii="Garamond" w:hAnsi="Garamond"/>
                <w:iCs/>
              </w:rPr>
              <w:t>6</w:t>
            </w:r>
            <w:r w:rsidRPr="000F21D1">
              <w:rPr>
                <w:rFonts w:ascii="Garamond" w:hAnsi="Garamond"/>
                <w:iCs/>
              </w:rPr>
              <w:t xml:space="preserve"> totaled RUB </w:t>
            </w:r>
            <w:r w:rsidR="0050397E" w:rsidRPr="000F21D1">
              <w:rPr>
                <w:rFonts w:ascii="Garamond" w:hAnsi="Garamond"/>
                <w:iCs/>
              </w:rPr>
              <w:t>1</w:t>
            </w:r>
            <w:r w:rsidR="00F67D8C" w:rsidRPr="000F21D1">
              <w:rPr>
                <w:rFonts w:ascii="Garamond" w:hAnsi="Garamond"/>
                <w:iCs/>
              </w:rPr>
              <w:t>6</w:t>
            </w:r>
            <w:r w:rsidRPr="000F21D1">
              <w:rPr>
                <w:rFonts w:ascii="Garamond" w:hAnsi="Garamond"/>
                <w:iCs/>
              </w:rPr>
              <w:t>.</w:t>
            </w:r>
            <w:r w:rsidR="00F67D8C" w:rsidRPr="000F21D1">
              <w:rPr>
                <w:rFonts w:ascii="Garamond" w:hAnsi="Garamond"/>
                <w:iCs/>
              </w:rPr>
              <w:t>94</w:t>
            </w:r>
            <w:r w:rsidRPr="000F21D1">
              <w:rPr>
                <w:rFonts w:ascii="Garamond" w:hAnsi="Garamond"/>
                <w:iCs/>
              </w:rPr>
              <w:t xml:space="preserve"> billion, </w:t>
            </w:r>
            <w:r w:rsidR="0050397E" w:rsidRPr="000F21D1">
              <w:rPr>
                <w:rFonts w:ascii="Garamond" w:hAnsi="Garamond"/>
                <w:iCs/>
              </w:rPr>
              <w:t xml:space="preserve">which represents a </w:t>
            </w:r>
            <w:r w:rsidR="00F67D8C" w:rsidRPr="000F21D1">
              <w:rPr>
                <w:rFonts w:ascii="Garamond" w:hAnsi="Garamond"/>
                <w:iCs/>
              </w:rPr>
              <w:t>29</w:t>
            </w:r>
            <w:r w:rsidRPr="000F21D1">
              <w:rPr>
                <w:rFonts w:ascii="Garamond" w:hAnsi="Garamond"/>
                <w:iCs/>
              </w:rPr>
              <w:t>.</w:t>
            </w:r>
            <w:r w:rsidR="00F67D8C" w:rsidRPr="000F21D1">
              <w:rPr>
                <w:rFonts w:ascii="Garamond" w:hAnsi="Garamond"/>
                <w:iCs/>
              </w:rPr>
              <w:t>21</w:t>
            </w:r>
            <w:r w:rsidRPr="000F21D1">
              <w:rPr>
                <w:rFonts w:ascii="Garamond" w:hAnsi="Garamond"/>
                <w:iCs/>
              </w:rPr>
              <w:t xml:space="preserve">% </w:t>
            </w:r>
            <w:r w:rsidR="0050397E" w:rsidRPr="000F21D1">
              <w:rPr>
                <w:rFonts w:ascii="Garamond" w:hAnsi="Garamond"/>
                <w:iCs/>
              </w:rPr>
              <w:t xml:space="preserve">(RUB </w:t>
            </w:r>
            <w:r w:rsidR="00F67D8C" w:rsidRPr="000F21D1">
              <w:rPr>
                <w:rFonts w:ascii="Garamond" w:hAnsi="Garamond"/>
                <w:iCs/>
              </w:rPr>
              <w:t>13</w:t>
            </w:r>
            <w:r w:rsidR="0050397E" w:rsidRPr="000F21D1">
              <w:rPr>
                <w:rFonts w:ascii="Garamond" w:hAnsi="Garamond"/>
                <w:iCs/>
              </w:rPr>
              <w:t>.</w:t>
            </w:r>
            <w:r w:rsidR="00F67D8C" w:rsidRPr="000F21D1">
              <w:rPr>
                <w:rFonts w:ascii="Garamond" w:hAnsi="Garamond"/>
                <w:iCs/>
              </w:rPr>
              <w:t>11</w:t>
            </w:r>
            <w:r w:rsidR="0050397E" w:rsidRPr="000F21D1">
              <w:rPr>
                <w:rFonts w:ascii="Garamond" w:hAnsi="Garamond"/>
                <w:iCs/>
              </w:rPr>
              <w:t xml:space="preserve"> billion) incre</w:t>
            </w:r>
            <w:r w:rsidR="00F67D8C" w:rsidRPr="000F21D1">
              <w:rPr>
                <w:rFonts w:ascii="Garamond" w:hAnsi="Garamond"/>
                <w:iCs/>
              </w:rPr>
              <w:t>ment</w:t>
            </w:r>
            <w:r w:rsidR="0050397E" w:rsidRPr="000F21D1">
              <w:rPr>
                <w:rFonts w:ascii="Garamond" w:hAnsi="Garamond"/>
                <w:iCs/>
              </w:rPr>
              <w:t xml:space="preserve"> compared to the relevant figure recorded in the </w:t>
            </w:r>
            <w:r w:rsidR="00F67D8C" w:rsidRPr="000F21D1">
              <w:rPr>
                <w:rFonts w:ascii="Garamond" w:hAnsi="Garamond"/>
                <w:iCs/>
              </w:rPr>
              <w:t>second</w:t>
            </w:r>
            <w:r w:rsidR="0050397E" w:rsidRPr="000F21D1">
              <w:rPr>
                <w:rFonts w:ascii="Garamond" w:hAnsi="Garamond"/>
                <w:iCs/>
              </w:rPr>
              <w:t xml:space="preserve"> </w:t>
            </w:r>
            <w:r w:rsidRPr="000F21D1">
              <w:rPr>
                <w:rFonts w:ascii="Garamond" w:hAnsi="Garamond"/>
                <w:iCs/>
              </w:rPr>
              <w:t>quarter of 201</w:t>
            </w:r>
            <w:r w:rsidR="0050397E" w:rsidRPr="000F21D1">
              <w:rPr>
                <w:rFonts w:ascii="Garamond" w:hAnsi="Garamond"/>
                <w:iCs/>
              </w:rPr>
              <w:t>5</w:t>
            </w:r>
            <w:r w:rsidRPr="000F21D1">
              <w:rPr>
                <w:rFonts w:ascii="Garamond" w:hAnsi="Garamond"/>
                <w:iCs/>
              </w:rPr>
              <w:t>.</w:t>
            </w:r>
          </w:p>
        </w:tc>
      </w:tr>
    </w:tbl>
    <w:p w14:paraId="5F1FD2E1" w14:textId="77777777" w:rsidR="008D6235" w:rsidRPr="000F21D1" w:rsidRDefault="008D6235" w:rsidP="0006101A">
      <w:pPr>
        <w:spacing w:line="360" w:lineRule="auto"/>
        <w:jc w:val="both"/>
        <w:rPr>
          <w:rFonts w:ascii="Garamond" w:hAnsi="Garamond"/>
          <w:b/>
        </w:rPr>
      </w:pPr>
    </w:p>
    <w:p w14:paraId="62E9F966" w14:textId="77777777" w:rsidR="004B6C1D" w:rsidRPr="000F21D1" w:rsidRDefault="004B6C1D" w:rsidP="0006101A">
      <w:pPr>
        <w:spacing w:line="360" w:lineRule="auto"/>
        <w:jc w:val="both"/>
        <w:rPr>
          <w:rFonts w:ascii="Garamond" w:hAnsi="Garamond"/>
          <w:b/>
        </w:rPr>
      </w:pPr>
      <w:r w:rsidRPr="000F21D1">
        <w:rPr>
          <w:rFonts w:ascii="Garamond" w:hAnsi="Garamond"/>
          <w:b/>
        </w:rPr>
        <w:t>3.4. Balance of payments</w:t>
      </w:r>
      <w:r w:rsidR="00F035F5" w:rsidRPr="000F21D1">
        <w:rPr>
          <w:rStyle w:val="FootnoteReference"/>
          <w:rFonts w:ascii="Garamond" w:hAnsi="Garamond"/>
          <w:b/>
        </w:rPr>
        <w:footnoteReference w:customMarkFollows="1" w:id="27"/>
        <w:t>28</w:t>
      </w:r>
    </w:p>
    <w:p w14:paraId="45119AF7" w14:textId="77777777" w:rsidR="008B6991" w:rsidRPr="000F21D1" w:rsidRDefault="008B6991" w:rsidP="0006101A">
      <w:pPr>
        <w:spacing w:line="360" w:lineRule="auto"/>
        <w:jc w:val="both"/>
        <w:rPr>
          <w:rFonts w:ascii="Garamond" w:hAnsi="Garamond"/>
          <w:b/>
        </w:rPr>
      </w:pPr>
    </w:p>
    <w:p w14:paraId="4F72D88F" w14:textId="77777777" w:rsidR="00A705C3" w:rsidRPr="000F21D1" w:rsidRDefault="008B6991" w:rsidP="0006101A">
      <w:pPr>
        <w:spacing w:line="360" w:lineRule="auto"/>
        <w:jc w:val="both"/>
        <w:rPr>
          <w:rFonts w:ascii="Garamond" w:hAnsi="Garamond"/>
        </w:rPr>
      </w:pPr>
      <w:r w:rsidRPr="000F21D1">
        <w:rPr>
          <w:rFonts w:ascii="Garamond" w:hAnsi="Garamond"/>
        </w:rPr>
        <w:t xml:space="preserve">In the </w:t>
      </w:r>
      <w:r w:rsidR="00F035F5" w:rsidRPr="000F21D1">
        <w:rPr>
          <w:rFonts w:ascii="Garamond" w:hAnsi="Garamond"/>
        </w:rPr>
        <w:t>second</w:t>
      </w:r>
      <w:r w:rsidRPr="000F21D1">
        <w:rPr>
          <w:rFonts w:ascii="Garamond" w:hAnsi="Garamond"/>
        </w:rPr>
        <w:t xml:space="preserve"> quarter of 2016 the deficit of trade balance </w:t>
      </w:r>
      <w:r w:rsidR="00F035F5" w:rsidRPr="000F21D1">
        <w:rPr>
          <w:rFonts w:ascii="Garamond" w:hAnsi="Garamond"/>
        </w:rPr>
        <w:t xml:space="preserve">tended to narrow further in the light of somehow recovering external demand and continued growth of productivity in the tradable sector of the domestic economy. </w:t>
      </w:r>
    </w:p>
    <w:p w14:paraId="03EAD632" w14:textId="77777777" w:rsidR="00A705C3" w:rsidRPr="000F21D1" w:rsidRDefault="00A705C3" w:rsidP="0006101A">
      <w:pPr>
        <w:spacing w:line="360" w:lineRule="auto"/>
        <w:jc w:val="both"/>
        <w:rPr>
          <w:rFonts w:ascii="Garamond" w:hAnsi="Garamond"/>
        </w:rPr>
      </w:pPr>
    </w:p>
    <w:p w14:paraId="6327F362" w14:textId="77777777" w:rsidR="00A772D2" w:rsidRPr="000F21D1" w:rsidRDefault="00D154B0" w:rsidP="0006101A">
      <w:pPr>
        <w:spacing w:line="360" w:lineRule="auto"/>
        <w:jc w:val="both"/>
        <w:rPr>
          <w:rFonts w:ascii="Garamond" w:hAnsi="Garamond"/>
        </w:rPr>
      </w:pPr>
      <w:r w:rsidRPr="000F21D1">
        <w:rPr>
          <w:rFonts w:ascii="Garamond" w:hAnsi="Garamond"/>
        </w:rPr>
        <w:t>Thus, an 8.0% y/y increase in the dollar value of export</w:t>
      </w:r>
      <w:r w:rsidRPr="000F21D1">
        <w:rPr>
          <w:rStyle w:val="FootnoteReference"/>
          <w:rFonts w:ascii="Garamond" w:hAnsi="Garamond"/>
        </w:rPr>
        <w:footnoteReference w:customMarkFollows="1" w:id="28"/>
        <w:t>29</w:t>
      </w:r>
      <w:r w:rsidRPr="000F21D1">
        <w:rPr>
          <w:rFonts w:ascii="Garamond" w:hAnsi="Garamond"/>
        </w:rPr>
        <w:t xml:space="preserve"> in the second quarter of 2016 was mainly due to the grown export of consumer goods and precious metals. The y/y decline in the dollar value of export of non-precious metals, in spite of high growth in export volumes, was primarily attributable to prices </w:t>
      </w:r>
      <w:r w:rsidR="00B51400" w:rsidRPr="000F21D1">
        <w:rPr>
          <w:rFonts w:ascii="Garamond" w:hAnsi="Garamond"/>
        </w:rPr>
        <w:t>still at lower levels in i</w:t>
      </w:r>
      <w:r w:rsidRPr="000F21D1">
        <w:rPr>
          <w:rFonts w:ascii="Garamond" w:hAnsi="Garamond"/>
        </w:rPr>
        <w:t xml:space="preserve">nternational metals markets </w:t>
      </w:r>
      <w:r w:rsidR="00B51400" w:rsidRPr="000F21D1">
        <w:rPr>
          <w:rFonts w:ascii="Garamond" w:hAnsi="Garamond"/>
        </w:rPr>
        <w:t xml:space="preserve">relative to </w:t>
      </w:r>
      <w:r w:rsidRPr="000F21D1">
        <w:rPr>
          <w:rFonts w:ascii="Garamond" w:hAnsi="Garamond"/>
        </w:rPr>
        <w:t xml:space="preserve">the second quarter of </w:t>
      </w:r>
      <w:r w:rsidR="00B51400" w:rsidRPr="000F21D1">
        <w:rPr>
          <w:rFonts w:ascii="Garamond" w:hAnsi="Garamond"/>
        </w:rPr>
        <w:t xml:space="preserve">the previous </w:t>
      </w:r>
      <w:r w:rsidRPr="000F21D1">
        <w:rPr>
          <w:rFonts w:ascii="Garamond" w:hAnsi="Garamond"/>
        </w:rPr>
        <w:t>year.</w:t>
      </w:r>
    </w:p>
    <w:p w14:paraId="0EB0F1C9" w14:textId="77777777" w:rsidR="00A772D2" w:rsidRPr="000F21D1" w:rsidRDefault="00A772D2" w:rsidP="0006101A">
      <w:pPr>
        <w:spacing w:line="360" w:lineRule="auto"/>
        <w:jc w:val="both"/>
        <w:rPr>
          <w:rFonts w:ascii="Garamond" w:hAnsi="Garamond"/>
        </w:rPr>
      </w:pPr>
    </w:p>
    <w:p w14:paraId="3538772C" w14:textId="286D59C6" w:rsidR="00F45A7D" w:rsidRPr="000F21D1" w:rsidRDefault="00F45A7D" w:rsidP="0006101A">
      <w:pPr>
        <w:spacing w:line="360" w:lineRule="auto"/>
        <w:jc w:val="both"/>
        <w:rPr>
          <w:rFonts w:ascii="Garamond" w:hAnsi="Garamond"/>
        </w:rPr>
      </w:pPr>
      <w:r w:rsidRPr="000F21D1">
        <w:rPr>
          <w:rFonts w:ascii="Garamond" w:hAnsi="Garamond"/>
        </w:rPr>
        <w:t>T</w:t>
      </w:r>
      <w:r w:rsidR="00E71524" w:rsidRPr="000F21D1">
        <w:rPr>
          <w:rFonts w:ascii="Garamond" w:hAnsi="Garamond"/>
        </w:rPr>
        <w:t>rends of recovering imports of consumer and investment goods amid gradually improving domestic demand</w:t>
      </w:r>
      <w:r w:rsidRPr="000F21D1">
        <w:rPr>
          <w:rFonts w:ascii="Garamond" w:hAnsi="Garamond"/>
        </w:rPr>
        <w:t xml:space="preserve"> were observable in second quarter of 2016.</w:t>
      </w:r>
      <w:r w:rsidR="00E71524" w:rsidRPr="000F21D1">
        <w:rPr>
          <w:rFonts w:ascii="Garamond" w:hAnsi="Garamond"/>
        </w:rPr>
        <w:t xml:space="preserve"> However, </w:t>
      </w:r>
      <w:r w:rsidR="008D3CEC" w:rsidRPr="000F21D1">
        <w:rPr>
          <w:rFonts w:ascii="Garamond" w:hAnsi="Garamond"/>
        </w:rPr>
        <w:t xml:space="preserve">the level of </w:t>
      </w:r>
      <w:r w:rsidR="00E71524" w:rsidRPr="000F21D1">
        <w:rPr>
          <w:rFonts w:ascii="Garamond" w:hAnsi="Garamond"/>
        </w:rPr>
        <w:t xml:space="preserve">of import </w:t>
      </w:r>
      <w:r w:rsidR="008D3CEC" w:rsidRPr="000F21D1">
        <w:rPr>
          <w:rFonts w:ascii="Garamond" w:hAnsi="Garamond"/>
        </w:rPr>
        <w:t xml:space="preserve">of investment goods </w:t>
      </w:r>
      <w:r w:rsidR="00E71524" w:rsidRPr="000F21D1">
        <w:rPr>
          <w:rFonts w:ascii="Garamond" w:hAnsi="Garamond"/>
        </w:rPr>
        <w:t xml:space="preserve">is still below the relevant indicator </w:t>
      </w:r>
      <w:r w:rsidRPr="000F21D1">
        <w:rPr>
          <w:rFonts w:ascii="Garamond" w:hAnsi="Garamond"/>
        </w:rPr>
        <w:t xml:space="preserve">reported for the second quarter of 2015 </w:t>
      </w:r>
      <w:r w:rsidRPr="000F21D1">
        <w:rPr>
          <w:rFonts w:ascii="Garamond" w:hAnsi="Garamond"/>
        </w:rPr>
        <w:lastRenderedPageBreak/>
        <w:t xml:space="preserve">because of persisting </w:t>
      </w:r>
      <w:r w:rsidR="00E71524" w:rsidRPr="000F21D1">
        <w:rPr>
          <w:rFonts w:ascii="Garamond" w:hAnsi="Garamond"/>
        </w:rPr>
        <w:t>weak investment climate</w:t>
      </w:r>
      <w:r w:rsidRPr="000F21D1">
        <w:rPr>
          <w:rFonts w:ascii="Garamond" w:hAnsi="Garamond"/>
        </w:rPr>
        <w:t>. The second quarter of 2016 saw a</w:t>
      </w:r>
      <w:r w:rsidR="00E71524" w:rsidRPr="000F21D1">
        <w:rPr>
          <w:rFonts w:ascii="Garamond" w:hAnsi="Garamond"/>
        </w:rPr>
        <w:t xml:space="preserve"> slight decrease</w:t>
      </w:r>
      <w:r w:rsidRPr="000F21D1">
        <w:rPr>
          <w:rFonts w:ascii="Garamond" w:hAnsi="Garamond"/>
        </w:rPr>
        <w:t xml:space="preserve"> </w:t>
      </w:r>
      <w:r w:rsidR="003F3BA2" w:rsidRPr="000F21D1">
        <w:rPr>
          <w:rFonts w:ascii="Garamond" w:hAnsi="Garamond"/>
        </w:rPr>
        <w:t xml:space="preserve">of </w:t>
      </w:r>
      <w:r w:rsidRPr="000F21D1">
        <w:rPr>
          <w:rFonts w:ascii="Garamond" w:hAnsi="Garamond"/>
        </w:rPr>
        <w:t xml:space="preserve">2.4% y/y </w:t>
      </w:r>
      <w:r w:rsidR="00E71524" w:rsidRPr="000F21D1">
        <w:rPr>
          <w:rFonts w:ascii="Garamond" w:hAnsi="Garamond"/>
        </w:rPr>
        <w:t xml:space="preserve">in </w:t>
      </w:r>
      <w:r w:rsidRPr="000F21D1">
        <w:rPr>
          <w:rFonts w:ascii="Garamond" w:hAnsi="Garamond"/>
        </w:rPr>
        <w:t xml:space="preserve">the </w:t>
      </w:r>
      <w:r w:rsidR="00E71524" w:rsidRPr="000F21D1">
        <w:rPr>
          <w:rFonts w:ascii="Garamond" w:hAnsi="Garamond"/>
        </w:rPr>
        <w:t>dollar value of import</w:t>
      </w:r>
      <w:r w:rsidRPr="000F21D1">
        <w:rPr>
          <w:rFonts w:ascii="Garamond" w:hAnsi="Garamond"/>
        </w:rPr>
        <w:t xml:space="preserve">. </w:t>
      </w:r>
    </w:p>
    <w:p w14:paraId="5240B3F1" w14:textId="77777777" w:rsidR="00F45A7D" w:rsidRPr="000F21D1" w:rsidRDefault="00F45A7D" w:rsidP="0006101A">
      <w:pPr>
        <w:spacing w:line="360" w:lineRule="auto"/>
        <w:jc w:val="both"/>
        <w:rPr>
          <w:rFonts w:ascii="Garamond" w:hAnsi="Garamond"/>
        </w:rPr>
      </w:pPr>
    </w:p>
    <w:p w14:paraId="1744000B" w14:textId="0619D3CE" w:rsidR="00FE4604" w:rsidRPr="000F21D1" w:rsidRDefault="00561725" w:rsidP="0006101A">
      <w:pPr>
        <w:spacing w:line="360" w:lineRule="auto"/>
        <w:jc w:val="both"/>
        <w:rPr>
          <w:rFonts w:ascii="Garamond" w:hAnsi="Garamond"/>
        </w:rPr>
      </w:pPr>
      <w:r w:rsidRPr="000F21D1">
        <w:rPr>
          <w:rFonts w:ascii="Garamond" w:hAnsi="Garamond"/>
        </w:rPr>
        <w:t>In the second quarter of 2016 the deficit of trade balance</w:t>
      </w:r>
      <w:r w:rsidRPr="000F21D1">
        <w:rPr>
          <w:rStyle w:val="FootnoteReference"/>
          <w:rFonts w:ascii="Garamond" w:hAnsi="Garamond"/>
        </w:rPr>
        <w:footnoteReference w:customMarkFollows="1" w:id="29"/>
        <w:t>30</w:t>
      </w:r>
      <w:r w:rsidRPr="000F21D1">
        <w:rPr>
          <w:rFonts w:ascii="Garamond" w:hAnsi="Garamond"/>
        </w:rPr>
        <w:t xml:space="preserve"> shrank by USD 51.2 million to USD 185.5 million as </w:t>
      </w:r>
      <w:r w:rsidR="003F3BA2" w:rsidRPr="000F21D1">
        <w:rPr>
          <w:rFonts w:ascii="Garamond" w:hAnsi="Garamond"/>
        </w:rPr>
        <w:t xml:space="preserve">a result of </w:t>
      </w:r>
      <w:r w:rsidRPr="000F21D1">
        <w:rPr>
          <w:rFonts w:ascii="Garamond" w:hAnsi="Garamond"/>
        </w:rPr>
        <w:t xml:space="preserve">grown </w:t>
      </w:r>
      <w:r w:rsidR="003F3BA2" w:rsidRPr="000F21D1">
        <w:rPr>
          <w:rFonts w:ascii="Garamond" w:hAnsi="Garamond"/>
        </w:rPr>
        <w:t>export</w:t>
      </w:r>
      <w:r w:rsidRPr="000F21D1">
        <w:rPr>
          <w:rFonts w:ascii="Garamond" w:hAnsi="Garamond"/>
        </w:rPr>
        <w:t>s</w:t>
      </w:r>
      <w:r w:rsidR="003F3BA2" w:rsidRPr="000F21D1">
        <w:rPr>
          <w:rFonts w:ascii="Garamond" w:hAnsi="Garamond"/>
        </w:rPr>
        <w:t xml:space="preserve"> </w:t>
      </w:r>
      <w:r w:rsidRPr="000F21D1">
        <w:rPr>
          <w:rFonts w:ascii="Garamond" w:hAnsi="Garamond"/>
        </w:rPr>
        <w:t>and reduced imports</w:t>
      </w:r>
      <w:r w:rsidR="003F3BA2" w:rsidRPr="000F21D1">
        <w:rPr>
          <w:rFonts w:ascii="Garamond" w:hAnsi="Garamond"/>
        </w:rPr>
        <w:t xml:space="preserve">. </w:t>
      </w:r>
      <w:r w:rsidR="000724EF" w:rsidRPr="000F21D1">
        <w:rPr>
          <w:rFonts w:ascii="Garamond" w:hAnsi="Garamond"/>
        </w:rPr>
        <w:t>R</w:t>
      </w:r>
      <w:r w:rsidR="003F3BA2" w:rsidRPr="000F21D1">
        <w:rPr>
          <w:rFonts w:ascii="Garamond" w:hAnsi="Garamond"/>
        </w:rPr>
        <w:t xml:space="preserve">emittances </w:t>
      </w:r>
      <w:r w:rsidR="000724EF" w:rsidRPr="000F21D1">
        <w:rPr>
          <w:rFonts w:ascii="Garamond" w:hAnsi="Garamond"/>
        </w:rPr>
        <w:t xml:space="preserve">kept on declining at a faster rate this quarter </w:t>
      </w:r>
      <w:r w:rsidR="003F3BA2" w:rsidRPr="000F21D1">
        <w:rPr>
          <w:rFonts w:ascii="Garamond" w:hAnsi="Garamond"/>
        </w:rPr>
        <w:t xml:space="preserve">due to the depreciation of the ruble against the same </w:t>
      </w:r>
      <w:r w:rsidR="000724EF" w:rsidRPr="000F21D1">
        <w:rPr>
          <w:rFonts w:ascii="Garamond" w:hAnsi="Garamond"/>
        </w:rPr>
        <w:t xml:space="preserve">reference </w:t>
      </w:r>
      <w:r w:rsidR="003F3BA2" w:rsidRPr="000F21D1">
        <w:rPr>
          <w:rFonts w:ascii="Garamond" w:hAnsi="Garamond"/>
        </w:rPr>
        <w:t xml:space="preserve">period last year. It is noteworthy that </w:t>
      </w:r>
      <w:r w:rsidR="00493A0E" w:rsidRPr="000F21D1">
        <w:rPr>
          <w:rFonts w:ascii="Garamond" w:hAnsi="Garamond"/>
        </w:rPr>
        <w:t xml:space="preserve">financial performance of foreign investors has </w:t>
      </w:r>
      <w:r w:rsidR="003F3BA2" w:rsidRPr="000F21D1">
        <w:rPr>
          <w:rFonts w:ascii="Garamond" w:hAnsi="Garamond"/>
        </w:rPr>
        <w:t>improv</w:t>
      </w:r>
      <w:r w:rsidR="00493A0E" w:rsidRPr="000F21D1">
        <w:rPr>
          <w:rFonts w:ascii="Garamond" w:hAnsi="Garamond"/>
        </w:rPr>
        <w:t xml:space="preserve">ed </w:t>
      </w:r>
      <w:r w:rsidR="007D38C4" w:rsidRPr="000F21D1">
        <w:rPr>
          <w:rFonts w:ascii="Garamond" w:hAnsi="Garamond"/>
        </w:rPr>
        <w:t xml:space="preserve">in relation to </w:t>
      </w:r>
      <w:r w:rsidR="00493A0E" w:rsidRPr="000F21D1">
        <w:rPr>
          <w:rFonts w:ascii="Garamond" w:hAnsi="Garamond"/>
        </w:rPr>
        <w:t xml:space="preserve">the previous reference period on the back of healthier economic conditions. Better financial results </w:t>
      </w:r>
      <w:r w:rsidR="008D3CEC" w:rsidRPr="000F21D1">
        <w:rPr>
          <w:rFonts w:ascii="Garamond" w:hAnsi="Garamond"/>
        </w:rPr>
        <w:t xml:space="preserve">are </w:t>
      </w:r>
      <w:r w:rsidR="00493A0E" w:rsidRPr="000F21D1">
        <w:rPr>
          <w:rFonts w:ascii="Garamond" w:hAnsi="Garamond"/>
        </w:rPr>
        <w:t xml:space="preserve">reflected </w:t>
      </w:r>
      <w:r w:rsidR="008D3CEC" w:rsidRPr="000F21D1">
        <w:rPr>
          <w:rFonts w:ascii="Garamond" w:hAnsi="Garamond"/>
        </w:rPr>
        <w:t xml:space="preserve">in </w:t>
      </w:r>
      <w:r w:rsidR="00212976" w:rsidRPr="000F21D1">
        <w:rPr>
          <w:rFonts w:ascii="Garamond" w:hAnsi="Garamond"/>
        </w:rPr>
        <w:t xml:space="preserve">a </w:t>
      </w:r>
      <w:r w:rsidR="003F3BA2" w:rsidRPr="000F21D1">
        <w:rPr>
          <w:rFonts w:ascii="Garamond" w:hAnsi="Garamond"/>
        </w:rPr>
        <w:t xml:space="preserve">reinvested income, </w:t>
      </w:r>
      <w:r w:rsidR="007D38C4" w:rsidRPr="000F21D1">
        <w:rPr>
          <w:rFonts w:ascii="Garamond" w:hAnsi="Garamond"/>
        </w:rPr>
        <w:t>unlike t</w:t>
      </w:r>
      <w:r w:rsidR="00493A0E" w:rsidRPr="000F21D1">
        <w:rPr>
          <w:rFonts w:ascii="Garamond" w:hAnsi="Garamond"/>
        </w:rPr>
        <w:t xml:space="preserve">he </w:t>
      </w:r>
      <w:r w:rsidR="008D3CEC" w:rsidRPr="000F21D1">
        <w:rPr>
          <w:rFonts w:ascii="Garamond" w:hAnsi="Garamond"/>
        </w:rPr>
        <w:t xml:space="preserve">previous </w:t>
      </w:r>
      <w:r w:rsidR="00493A0E" w:rsidRPr="000F21D1">
        <w:rPr>
          <w:rFonts w:ascii="Garamond" w:hAnsi="Garamond"/>
        </w:rPr>
        <w:t xml:space="preserve"> year’</w:t>
      </w:r>
      <w:r w:rsidR="003F3BA2" w:rsidRPr="000F21D1">
        <w:rPr>
          <w:rFonts w:ascii="Garamond" w:hAnsi="Garamond"/>
        </w:rPr>
        <w:t xml:space="preserve">s second quarter, creating a current account deficit. As a result, the current account </w:t>
      </w:r>
      <w:r w:rsidR="00621421" w:rsidRPr="000F21D1">
        <w:rPr>
          <w:rFonts w:ascii="Garamond" w:hAnsi="Garamond"/>
        </w:rPr>
        <w:t xml:space="preserve">posted </w:t>
      </w:r>
      <w:r w:rsidR="003F3BA2" w:rsidRPr="000F21D1">
        <w:rPr>
          <w:rFonts w:ascii="Garamond" w:hAnsi="Garamond"/>
        </w:rPr>
        <w:t xml:space="preserve">a negative balance of </w:t>
      </w:r>
      <w:r w:rsidR="00621421" w:rsidRPr="000F21D1">
        <w:rPr>
          <w:rFonts w:ascii="Garamond" w:hAnsi="Garamond"/>
        </w:rPr>
        <w:t xml:space="preserve">USD </w:t>
      </w:r>
      <w:r w:rsidR="003F3BA2" w:rsidRPr="000F21D1">
        <w:rPr>
          <w:rFonts w:ascii="Garamond" w:hAnsi="Garamond"/>
        </w:rPr>
        <w:t xml:space="preserve">58.6 million </w:t>
      </w:r>
      <w:r w:rsidR="00212976" w:rsidRPr="000F21D1">
        <w:rPr>
          <w:rFonts w:ascii="Garamond" w:hAnsi="Garamond"/>
        </w:rPr>
        <w:t xml:space="preserve">in the second quarter of 2016 </w:t>
      </w:r>
      <w:r w:rsidR="003F3BA2" w:rsidRPr="000F21D1">
        <w:rPr>
          <w:rFonts w:ascii="Garamond" w:hAnsi="Garamond"/>
        </w:rPr>
        <w:t>(</w:t>
      </w:r>
      <w:r w:rsidR="00621421" w:rsidRPr="000F21D1">
        <w:rPr>
          <w:rFonts w:ascii="Garamond" w:hAnsi="Garamond"/>
        </w:rPr>
        <w:t xml:space="preserve">a surplus of </w:t>
      </w:r>
      <w:r w:rsidR="003F3BA2" w:rsidRPr="000F21D1">
        <w:rPr>
          <w:rFonts w:ascii="Garamond" w:hAnsi="Garamond"/>
        </w:rPr>
        <w:t>US</w:t>
      </w:r>
      <w:r w:rsidR="00621421" w:rsidRPr="000F21D1">
        <w:rPr>
          <w:rFonts w:ascii="Garamond" w:hAnsi="Garamond"/>
        </w:rPr>
        <w:t xml:space="preserve">D </w:t>
      </w:r>
      <w:r w:rsidR="003F3BA2" w:rsidRPr="000F21D1">
        <w:rPr>
          <w:rFonts w:ascii="Garamond" w:hAnsi="Garamond"/>
        </w:rPr>
        <w:t xml:space="preserve">19.2 million </w:t>
      </w:r>
      <w:r w:rsidR="00621421" w:rsidRPr="000F21D1">
        <w:rPr>
          <w:rFonts w:ascii="Garamond" w:hAnsi="Garamond"/>
        </w:rPr>
        <w:t xml:space="preserve">in the second quarter of </w:t>
      </w:r>
      <w:r w:rsidR="00212976" w:rsidRPr="000F21D1">
        <w:rPr>
          <w:rFonts w:ascii="Garamond" w:hAnsi="Garamond"/>
        </w:rPr>
        <w:t>2015</w:t>
      </w:r>
      <w:r w:rsidR="003F3BA2" w:rsidRPr="000F21D1">
        <w:rPr>
          <w:rFonts w:ascii="Garamond" w:hAnsi="Garamond"/>
        </w:rPr>
        <w:t xml:space="preserve">). </w:t>
      </w:r>
      <w:r w:rsidR="00FE4604" w:rsidRPr="000F21D1">
        <w:rPr>
          <w:rFonts w:ascii="Garamond" w:hAnsi="Garamond"/>
        </w:rPr>
        <w:t xml:space="preserve">In </w:t>
      </w:r>
      <w:r w:rsidR="003F3BA2" w:rsidRPr="000F21D1">
        <w:rPr>
          <w:rFonts w:ascii="Garamond" w:hAnsi="Garamond"/>
        </w:rPr>
        <w:t>January-June</w:t>
      </w:r>
      <w:r w:rsidR="00FE4604" w:rsidRPr="000F21D1">
        <w:rPr>
          <w:rFonts w:ascii="Garamond" w:hAnsi="Garamond"/>
        </w:rPr>
        <w:t>,</w:t>
      </w:r>
      <w:r w:rsidR="003F3BA2" w:rsidRPr="000F21D1">
        <w:rPr>
          <w:rFonts w:ascii="Garamond" w:hAnsi="Garamond"/>
        </w:rPr>
        <w:t xml:space="preserve"> </w:t>
      </w:r>
      <w:r w:rsidR="00FE4604" w:rsidRPr="000F21D1">
        <w:rPr>
          <w:rFonts w:ascii="Garamond" w:hAnsi="Garamond"/>
        </w:rPr>
        <w:t xml:space="preserve">the </w:t>
      </w:r>
      <w:r w:rsidR="003F3BA2" w:rsidRPr="000F21D1">
        <w:rPr>
          <w:rFonts w:ascii="Garamond" w:hAnsi="Garamond"/>
        </w:rPr>
        <w:t>current account deficit</w:t>
      </w:r>
      <w:r w:rsidR="00FE4604" w:rsidRPr="000F21D1">
        <w:rPr>
          <w:rFonts w:ascii="Garamond" w:hAnsi="Garamond"/>
        </w:rPr>
        <w:t>-to-</w:t>
      </w:r>
      <w:r w:rsidR="003F3BA2" w:rsidRPr="000F21D1">
        <w:rPr>
          <w:rFonts w:ascii="Garamond" w:hAnsi="Garamond"/>
        </w:rPr>
        <w:t xml:space="preserve">GDP ratio </w:t>
      </w:r>
      <w:r w:rsidR="00FE4604" w:rsidRPr="000F21D1">
        <w:rPr>
          <w:rFonts w:ascii="Garamond" w:hAnsi="Garamond"/>
        </w:rPr>
        <w:t xml:space="preserve">has </w:t>
      </w:r>
      <w:r w:rsidR="003F3BA2" w:rsidRPr="000F21D1">
        <w:rPr>
          <w:rFonts w:ascii="Garamond" w:hAnsi="Garamond"/>
        </w:rPr>
        <w:t>improved by 0.4 p</w:t>
      </w:r>
      <w:r w:rsidR="00FE4604" w:rsidRPr="000F21D1">
        <w:rPr>
          <w:rFonts w:ascii="Garamond" w:hAnsi="Garamond"/>
        </w:rPr>
        <w:t xml:space="preserve">p. </w:t>
      </w:r>
    </w:p>
    <w:p w14:paraId="26C25128" w14:textId="77777777" w:rsidR="00FE4604" w:rsidRPr="000F21D1" w:rsidRDefault="00FE4604" w:rsidP="0006101A">
      <w:pPr>
        <w:spacing w:line="360" w:lineRule="auto"/>
        <w:jc w:val="both"/>
        <w:rPr>
          <w:rFonts w:ascii="Garamond" w:hAnsi="Garamond"/>
        </w:rPr>
      </w:pPr>
    </w:p>
    <w:p w14:paraId="07B036FD" w14:textId="77777777" w:rsidR="00FE4604" w:rsidRPr="000F21D1" w:rsidRDefault="00FE4604" w:rsidP="0006101A">
      <w:pPr>
        <w:spacing w:line="360" w:lineRule="auto"/>
        <w:jc w:val="both"/>
        <w:rPr>
          <w:rFonts w:ascii="Garamond" w:hAnsi="Garamond"/>
        </w:rPr>
      </w:pPr>
      <w:r w:rsidRPr="000F21D1">
        <w:rPr>
          <w:rFonts w:ascii="Garamond" w:hAnsi="Garamond"/>
        </w:rPr>
        <w:t xml:space="preserve">In the second quarter of 2016 a low level of current account deficit was mainly financed by foreign direct investment, as opposed to net foreign assets accumulated with the private sector. </w:t>
      </w:r>
    </w:p>
    <w:p w14:paraId="0E3A3804" w14:textId="77777777" w:rsidR="00FE4604" w:rsidRPr="000F21D1" w:rsidRDefault="00FE4604" w:rsidP="0006101A">
      <w:pPr>
        <w:spacing w:line="360" w:lineRule="auto"/>
        <w:jc w:val="both"/>
        <w:rPr>
          <w:rFonts w:ascii="Garamond" w:hAnsi="Garamond"/>
        </w:rPr>
      </w:pPr>
    </w:p>
    <w:p w14:paraId="6A83BC74" w14:textId="0CB66065" w:rsidR="008B6991" w:rsidRPr="000F21D1" w:rsidRDefault="00FE4604" w:rsidP="0006101A">
      <w:pPr>
        <w:spacing w:line="360" w:lineRule="auto"/>
        <w:jc w:val="both"/>
        <w:rPr>
          <w:rFonts w:ascii="Garamond" w:hAnsi="Garamond"/>
        </w:rPr>
      </w:pPr>
      <w:r w:rsidRPr="000F21D1">
        <w:rPr>
          <w:rFonts w:ascii="Garamond" w:hAnsi="Garamond"/>
        </w:rPr>
        <w:t xml:space="preserve">Net demand for foreign currency </w:t>
      </w:r>
      <w:r w:rsidR="00B432B3" w:rsidRPr="000F21D1">
        <w:rPr>
          <w:rFonts w:ascii="Garamond" w:hAnsi="Garamond"/>
        </w:rPr>
        <w:t xml:space="preserve">generated </w:t>
      </w:r>
      <w:r w:rsidRPr="000F21D1">
        <w:rPr>
          <w:rFonts w:ascii="Garamond" w:hAnsi="Garamond"/>
        </w:rPr>
        <w:t xml:space="preserve">as a result of the aforementioned </w:t>
      </w:r>
      <w:r w:rsidR="00B432B3" w:rsidRPr="000F21D1">
        <w:rPr>
          <w:rFonts w:ascii="Garamond" w:hAnsi="Garamond"/>
        </w:rPr>
        <w:t xml:space="preserve">developments with the </w:t>
      </w:r>
      <w:r w:rsidRPr="000F21D1">
        <w:rPr>
          <w:rFonts w:ascii="Garamond" w:hAnsi="Garamond"/>
        </w:rPr>
        <w:t xml:space="preserve">balance of payments led </w:t>
      </w:r>
      <w:r w:rsidR="00B432B3" w:rsidRPr="000F21D1">
        <w:rPr>
          <w:rFonts w:ascii="Garamond" w:hAnsi="Garamond"/>
        </w:rPr>
        <w:t xml:space="preserve">the CBA net foreign assets </w:t>
      </w:r>
      <w:r w:rsidRPr="000F21D1">
        <w:rPr>
          <w:rFonts w:ascii="Garamond" w:hAnsi="Garamond"/>
        </w:rPr>
        <w:t xml:space="preserve">to </w:t>
      </w:r>
      <w:r w:rsidR="00B432B3" w:rsidRPr="000F21D1">
        <w:rPr>
          <w:rFonts w:ascii="Garamond" w:hAnsi="Garamond"/>
        </w:rPr>
        <w:t xml:space="preserve">decrease </w:t>
      </w:r>
      <w:r w:rsidRPr="000F21D1">
        <w:rPr>
          <w:rFonts w:ascii="Garamond" w:hAnsi="Garamond"/>
        </w:rPr>
        <w:t xml:space="preserve">by USD 75.9 million. </w:t>
      </w:r>
      <w:r w:rsidR="00384986" w:rsidRPr="000F21D1">
        <w:rPr>
          <w:rFonts w:ascii="Garamond" w:hAnsi="Garamond"/>
        </w:rPr>
        <w:t xml:space="preserve">This quarter </w:t>
      </w:r>
      <w:r w:rsidRPr="000F21D1">
        <w:rPr>
          <w:rFonts w:ascii="Garamond" w:hAnsi="Garamond"/>
        </w:rPr>
        <w:t>the C</w:t>
      </w:r>
      <w:r w:rsidR="00384986" w:rsidRPr="000F21D1">
        <w:rPr>
          <w:rFonts w:ascii="Garamond" w:hAnsi="Garamond"/>
        </w:rPr>
        <w:t xml:space="preserve">BA </w:t>
      </w:r>
      <w:r w:rsidRPr="000F21D1">
        <w:rPr>
          <w:rFonts w:ascii="Garamond" w:hAnsi="Garamond"/>
        </w:rPr>
        <w:t xml:space="preserve">acted as a net buyer of foreign </w:t>
      </w:r>
      <w:r w:rsidR="00384986" w:rsidRPr="000F21D1">
        <w:rPr>
          <w:rFonts w:ascii="Garamond" w:hAnsi="Garamond"/>
        </w:rPr>
        <w:t>currency</w:t>
      </w:r>
      <w:r w:rsidR="00345F88" w:rsidRPr="000F21D1">
        <w:rPr>
          <w:rFonts w:ascii="Garamond" w:hAnsi="Garamond"/>
        </w:rPr>
        <w:t xml:space="preserve">, </w:t>
      </w:r>
      <w:r w:rsidRPr="000F21D1">
        <w:rPr>
          <w:rFonts w:ascii="Garamond" w:hAnsi="Garamond"/>
        </w:rPr>
        <w:t>and the volume of external debt servicing.</w:t>
      </w:r>
      <w:r w:rsidR="00345F88" w:rsidRPr="000F21D1">
        <w:rPr>
          <w:rFonts w:ascii="Garamond" w:hAnsi="Garamond"/>
        </w:rPr>
        <w:t xml:space="preserve"> </w:t>
      </w:r>
    </w:p>
    <w:p w14:paraId="5AE1A786" w14:textId="77777777" w:rsidR="00720FE0" w:rsidRPr="000F21D1" w:rsidRDefault="00720FE0" w:rsidP="0006101A">
      <w:pPr>
        <w:spacing w:line="360" w:lineRule="auto"/>
        <w:jc w:val="both"/>
        <w:rPr>
          <w:rFonts w:ascii="Garamond" w:hAnsi="Garamond"/>
        </w:rPr>
      </w:pPr>
    </w:p>
    <w:p w14:paraId="1DE4A369" w14:textId="77777777" w:rsidR="00D46DA9" w:rsidRPr="000F21D1" w:rsidRDefault="00D46DA9" w:rsidP="0006101A">
      <w:pPr>
        <w:spacing w:line="360" w:lineRule="auto"/>
        <w:jc w:val="both"/>
        <w:rPr>
          <w:rFonts w:ascii="Garamond" w:hAnsi="Garamond"/>
          <w:b/>
        </w:rPr>
      </w:pPr>
      <w:r w:rsidRPr="000F21D1">
        <w:rPr>
          <w:rFonts w:ascii="Garamond" w:hAnsi="Garamond"/>
          <w:b/>
        </w:rPr>
        <w:t>3.5. External environment</w:t>
      </w:r>
    </w:p>
    <w:p w14:paraId="675DC3EA" w14:textId="77777777" w:rsidR="00D46DA9" w:rsidRPr="000F21D1" w:rsidRDefault="00D46DA9" w:rsidP="0006101A">
      <w:pPr>
        <w:spacing w:line="360" w:lineRule="auto"/>
        <w:jc w:val="both"/>
        <w:rPr>
          <w:rFonts w:ascii="Garamond" w:hAnsi="Garamond"/>
          <w:b/>
        </w:rPr>
      </w:pPr>
    </w:p>
    <w:p w14:paraId="1331E0DF" w14:textId="77777777" w:rsidR="00D46DA9" w:rsidRPr="000F21D1" w:rsidRDefault="005B304B" w:rsidP="0006101A">
      <w:pPr>
        <w:spacing w:line="360" w:lineRule="auto"/>
        <w:jc w:val="both"/>
        <w:rPr>
          <w:rFonts w:ascii="Garamond" w:hAnsi="Garamond" w:cs="Sylfaen"/>
        </w:rPr>
      </w:pPr>
      <w:r w:rsidRPr="000F21D1">
        <w:rPr>
          <w:rFonts w:ascii="Garamond" w:hAnsi="Garamond" w:cs="Sylfaen"/>
          <w:b/>
        </w:rPr>
        <w:t xml:space="preserve">In the </w:t>
      </w:r>
      <w:r w:rsidR="00265F5B" w:rsidRPr="000F21D1">
        <w:rPr>
          <w:rFonts w:ascii="Garamond" w:hAnsi="Garamond" w:cs="Sylfaen"/>
          <w:b/>
        </w:rPr>
        <w:t>second</w:t>
      </w:r>
      <w:r w:rsidRPr="000F21D1">
        <w:rPr>
          <w:rFonts w:ascii="Garamond" w:hAnsi="Garamond" w:cs="Sylfaen"/>
          <w:b/>
        </w:rPr>
        <w:t xml:space="preserve"> quarter of 2016 </w:t>
      </w:r>
      <w:r w:rsidR="000D6BB2" w:rsidRPr="000F21D1">
        <w:rPr>
          <w:rFonts w:ascii="Garamond" w:hAnsi="Garamond" w:cs="Sylfaen"/>
          <w:b/>
        </w:rPr>
        <w:t xml:space="preserve">slower </w:t>
      </w:r>
      <w:r w:rsidRPr="000F21D1">
        <w:rPr>
          <w:rFonts w:ascii="Garamond" w:hAnsi="Garamond" w:cs="Sylfaen"/>
          <w:b/>
        </w:rPr>
        <w:t xml:space="preserve">growth </w:t>
      </w:r>
      <w:r w:rsidR="00265F5B" w:rsidRPr="000F21D1">
        <w:rPr>
          <w:rFonts w:ascii="Garamond" w:hAnsi="Garamond" w:cs="Sylfaen"/>
          <w:b/>
        </w:rPr>
        <w:t xml:space="preserve">rates </w:t>
      </w:r>
      <w:r w:rsidR="000D6BB2" w:rsidRPr="000F21D1">
        <w:rPr>
          <w:rFonts w:ascii="Garamond" w:hAnsi="Garamond" w:cs="Sylfaen"/>
          <w:b/>
        </w:rPr>
        <w:t xml:space="preserve">were observable in </w:t>
      </w:r>
      <w:r w:rsidRPr="000F21D1">
        <w:rPr>
          <w:rFonts w:ascii="Garamond" w:hAnsi="Garamond" w:cs="Sylfaen"/>
          <w:b/>
        </w:rPr>
        <w:t xml:space="preserve">the U.S.A. </w:t>
      </w:r>
      <w:r w:rsidR="000D6BB2" w:rsidRPr="000F21D1">
        <w:rPr>
          <w:rFonts w:ascii="Garamond" w:hAnsi="Garamond" w:cs="Sylfaen"/>
          <w:b/>
        </w:rPr>
        <w:t xml:space="preserve">but quicker </w:t>
      </w:r>
      <w:r w:rsidR="00870A61" w:rsidRPr="000F21D1">
        <w:rPr>
          <w:rFonts w:ascii="Garamond" w:hAnsi="Garamond" w:cs="Sylfaen"/>
          <w:b/>
        </w:rPr>
        <w:t xml:space="preserve">growth </w:t>
      </w:r>
      <w:r w:rsidR="000D6BB2" w:rsidRPr="000F21D1">
        <w:rPr>
          <w:rFonts w:ascii="Garamond" w:hAnsi="Garamond" w:cs="Sylfaen"/>
          <w:b/>
        </w:rPr>
        <w:t xml:space="preserve">in the </w:t>
      </w:r>
      <w:r w:rsidRPr="000F21D1">
        <w:rPr>
          <w:rFonts w:ascii="Garamond" w:hAnsi="Garamond" w:cs="Sylfaen"/>
          <w:b/>
        </w:rPr>
        <w:t>Eurozone, whereas economic decline in Russia somewhat decelerated</w:t>
      </w:r>
      <w:r w:rsidRPr="000F21D1">
        <w:rPr>
          <w:rFonts w:ascii="Garamond" w:hAnsi="Garamond" w:cs="Sylfaen"/>
        </w:rPr>
        <w:t xml:space="preserve">. </w:t>
      </w:r>
    </w:p>
    <w:p w14:paraId="7B8C7DF6" w14:textId="77777777" w:rsidR="009A5B93" w:rsidRPr="000F21D1" w:rsidRDefault="009A5B93" w:rsidP="0006101A">
      <w:pPr>
        <w:spacing w:line="360" w:lineRule="auto"/>
        <w:jc w:val="both"/>
        <w:rPr>
          <w:rFonts w:ascii="Garamond" w:hAnsi="Garamond" w:cs="Sylfaen"/>
        </w:rPr>
      </w:pPr>
    </w:p>
    <w:p w14:paraId="57C933FC" w14:textId="77777777" w:rsidR="00BB4AE9" w:rsidRPr="000F21D1" w:rsidRDefault="009A5B93" w:rsidP="0006101A">
      <w:pPr>
        <w:spacing w:line="360" w:lineRule="auto"/>
        <w:jc w:val="both"/>
        <w:rPr>
          <w:rFonts w:ascii="Garamond" w:hAnsi="Garamond" w:cs="Sylfaen"/>
          <w:color w:val="000000"/>
        </w:rPr>
      </w:pPr>
      <w:r w:rsidRPr="000F21D1">
        <w:rPr>
          <w:rFonts w:ascii="Garamond" w:hAnsi="Garamond"/>
        </w:rPr>
        <w:t xml:space="preserve">According to preliminary estimates of the </w:t>
      </w:r>
      <w:r w:rsidR="00E14715" w:rsidRPr="000F21D1">
        <w:rPr>
          <w:rFonts w:ascii="Garamond" w:hAnsi="Garamond"/>
        </w:rPr>
        <w:t xml:space="preserve">Bureau of Economic Analysis of the </w:t>
      </w:r>
      <w:r w:rsidRPr="000F21D1">
        <w:rPr>
          <w:rFonts w:ascii="Garamond" w:hAnsi="Garamond"/>
        </w:rPr>
        <w:t xml:space="preserve">U.S. Department of Commerce, the annualized economic growth in the </w:t>
      </w:r>
      <w:r w:rsidRPr="000F21D1">
        <w:rPr>
          <w:rFonts w:ascii="Garamond" w:hAnsi="Garamond"/>
          <w:b/>
        </w:rPr>
        <w:t>United States</w:t>
      </w:r>
      <w:r w:rsidR="0086764D" w:rsidRPr="000F21D1">
        <w:rPr>
          <w:rFonts w:ascii="Garamond" w:hAnsi="Garamond"/>
          <w:b/>
          <w:lang w:val="hy-AM"/>
        </w:rPr>
        <w:t xml:space="preserve"> </w:t>
      </w:r>
      <w:r w:rsidR="00E14715" w:rsidRPr="000F21D1">
        <w:rPr>
          <w:rFonts w:ascii="Garamond" w:hAnsi="Garamond"/>
        </w:rPr>
        <w:t xml:space="preserve">in the second quarter of 2016 </w:t>
      </w:r>
      <w:r w:rsidR="00936B90" w:rsidRPr="000F21D1">
        <w:rPr>
          <w:rFonts w:ascii="Garamond" w:hAnsi="Garamond"/>
        </w:rPr>
        <w:t>was 1</w:t>
      </w:r>
      <w:r w:rsidRPr="000F21D1">
        <w:rPr>
          <w:rFonts w:ascii="Garamond" w:hAnsi="Garamond"/>
        </w:rPr>
        <w:t>.</w:t>
      </w:r>
      <w:r w:rsidR="00936B90" w:rsidRPr="000F21D1">
        <w:rPr>
          <w:rFonts w:ascii="Garamond" w:hAnsi="Garamond"/>
        </w:rPr>
        <w:t>2</w:t>
      </w:r>
      <w:r w:rsidRPr="000F21D1">
        <w:rPr>
          <w:rFonts w:ascii="Garamond" w:hAnsi="Garamond"/>
        </w:rPr>
        <w:t xml:space="preserve">% </w:t>
      </w:r>
      <w:r w:rsidR="00936B90" w:rsidRPr="000F21D1">
        <w:rPr>
          <w:rFonts w:ascii="Garamond" w:hAnsi="Garamond"/>
        </w:rPr>
        <w:t xml:space="preserve">q/q compared to </w:t>
      </w:r>
      <w:r w:rsidRPr="000F21D1">
        <w:rPr>
          <w:rFonts w:ascii="Garamond" w:hAnsi="Garamond"/>
        </w:rPr>
        <w:t xml:space="preserve">the previous quarter’s </w:t>
      </w:r>
      <w:r w:rsidR="00936B90" w:rsidRPr="000F21D1">
        <w:rPr>
          <w:rFonts w:ascii="Garamond" w:hAnsi="Garamond"/>
        </w:rPr>
        <w:t>0</w:t>
      </w:r>
      <w:r w:rsidRPr="000F21D1">
        <w:rPr>
          <w:rFonts w:ascii="Garamond" w:hAnsi="Garamond"/>
        </w:rPr>
        <w:t>.</w:t>
      </w:r>
      <w:r w:rsidR="00936B90" w:rsidRPr="000F21D1">
        <w:rPr>
          <w:rFonts w:ascii="Garamond" w:hAnsi="Garamond"/>
        </w:rPr>
        <w:t>8</w:t>
      </w:r>
      <w:r w:rsidRPr="000F21D1">
        <w:rPr>
          <w:rFonts w:ascii="Garamond" w:hAnsi="Garamond"/>
        </w:rPr>
        <w:t xml:space="preserve">% growth, and the </w:t>
      </w:r>
      <w:r w:rsidR="00414223" w:rsidRPr="000F21D1">
        <w:rPr>
          <w:rFonts w:ascii="Garamond" w:hAnsi="Garamond"/>
        </w:rPr>
        <w:t>economic growth</w:t>
      </w:r>
      <w:r w:rsidR="00E14715" w:rsidRPr="000F21D1">
        <w:rPr>
          <w:rFonts w:ascii="Garamond" w:hAnsi="Garamond"/>
        </w:rPr>
        <w:t xml:space="preserve"> was </w:t>
      </w:r>
      <w:r w:rsidR="00936B90" w:rsidRPr="000F21D1">
        <w:rPr>
          <w:rFonts w:ascii="Garamond" w:hAnsi="Garamond"/>
        </w:rPr>
        <w:t>1</w:t>
      </w:r>
      <w:r w:rsidR="00414223" w:rsidRPr="000F21D1">
        <w:rPr>
          <w:rFonts w:ascii="Garamond" w:hAnsi="Garamond"/>
        </w:rPr>
        <w:t>.</w:t>
      </w:r>
      <w:r w:rsidR="00936B90" w:rsidRPr="000F21D1">
        <w:rPr>
          <w:rFonts w:ascii="Garamond" w:hAnsi="Garamond"/>
        </w:rPr>
        <w:t>2</w:t>
      </w:r>
      <w:r w:rsidR="00414223" w:rsidRPr="000F21D1">
        <w:rPr>
          <w:rFonts w:ascii="Garamond" w:hAnsi="Garamond"/>
        </w:rPr>
        <w:t>%</w:t>
      </w:r>
      <w:r w:rsidR="00936B90" w:rsidRPr="000F21D1">
        <w:rPr>
          <w:rFonts w:ascii="Garamond" w:hAnsi="Garamond"/>
        </w:rPr>
        <w:t xml:space="preserve"> </w:t>
      </w:r>
      <w:r w:rsidR="00414223" w:rsidRPr="000F21D1">
        <w:rPr>
          <w:rFonts w:ascii="Garamond" w:hAnsi="Garamond"/>
        </w:rPr>
        <w:t xml:space="preserve">y/y </w:t>
      </w:r>
      <w:r w:rsidR="00E14715" w:rsidRPr="000F21D1">
        <w:rPr>
          <w:rFonts w:ascii="Garamond" w:hAnsi="Garamond"/>
        </w:rPr>
        <w:t xml:space="preserve">against </w:t>
      </w:r>
      <w:r w:rsidR="00414223" w:rsidRPr="000F21D1">
        <w:rPr>
          <w:rFonts w:ascii="Garamond" w:hAnsi="Garamond"/>
        </w:rPr>
        <w:t xml:space="preserve">the previous quarter’s </w:t>
      </w:r>
      <w:r w:rsidR="00936B90" w:rsidRPr="000F21D1">
        <w:rPr>
          <w:rFonts w:ascii="Garamond" w:hAnsi="Garamond"/>
        </w:rPr>
        <w:t>1</w:t>
      </w:r>
      <w:r w:rsidRPr="000F21D1">
        <w:rPr>
          <w:rFonts w:ascii="Garamond" w:hAnsi="Garamond"/>
        </w:rPr>
        <w:t>.</w:t>
      </w:r>
      <w:r w:rsidR="00936B90" w:rsidRPr="000F21D1">
        <w:rPr>
          <w:rFonts w:ascii="Garamond" w:hAnsi="Garamond"/>
        </w:rPr>
        <w:t>6</w:t>
      </w:r>
      <w:r w:rsidRPr="000F21D1">
        <w:rPr>
          <w:rFonts w:ascii="Garamond" w:hAnsi="Garamond"/>
        </w:rPr>
        <w:t>%</w:t>
      </w:r>
      <w:r w:rsidR="00E14715" w:rsidRPr="000F21D1">
        <w:rPr>
          <w:rFonts w:ascii="Garamond" w:hAnsi="Garamond"/>
        </w:rPr>
        <w:t xml:space="preserve"> g</w:t>
      </w:r>
      <w:r w:rsidR="00936B90" w:rsidRPr="000F21D1">
        <w:rPr>
          <w:rFonts w:ascii="Garamond" w:hAnsi="Garamond"/>
        </w:rPr>
        <w:t>rowth</w:t>
      </w:r>
      <w:r w:rsidR="00E14715" w:rsidRPr="000F21D1">
        <w:rPr>
          <w:rStyle w:val="FootnoteReference"/>
          <w:rFonts w:ascii="Garamond" w:hAnsi="Garamond"/>
        </w:rPr>
        <w:footnoteReference w:customMarkFollows="1" w:id="30"/>
        <w:t>31</w:t>
      </w:r>
      <w:r w:rsidRPr="000F21D1">
        <w:rPr>
          <w:rFonts w:ascii="Garamond" w:hAnsi="Garamond"/>
        </w:rPr>
        <w:t>.</w:t>
      </w:r>
      <w:r w:rsidR="00936B90" w:rsidRPr="000F21D1">
        <w:rPr>
          <w:rFonts w:ascii="Garamond" w:hAnsi="Garamond"/>
        </w:rPr>
        <w:t xml:space="preserve"> </w:t>
      </w:r>
      <w:r w:rsidR="007C1708" w:rsidRPr="000F21D1">
        <w:rPr>
          <w:rFonts w:ascii="Garamond" w:hAnsi="Garamond" w:cs="Sylfaen"/>
          <w:color w:val="000000"/>
        </w:rPr>
        <w:t>C</w:t>
      </w:r>
      <w:r w:rsidRPr="000F21D1">
        <w:rPr>
          <w:rFonts w:ascii="Garamond" w:hAnsi="Garamond" w:cs="Sylfaen"/>
          <w:color w:val="000000"/>
        </w:rPr>
        <w:t>ontract</w:t>
      </w:r>
      <w:r w:rsidR="007C1708" w:rsidRPr="000F21D1">
        <w:rPr>
          <w:rFonts w:ascii="Garamond" w:hAnsi="Garamond" w:cs="Sylfaen"/>
          <w:color w:val="000000"/>
        </w:rPr>
        <w:t>ed</w:t>
      </w:r>
      <w:r w:rsidRPr="000F21D1">
        <w:rPr>
          <w:rFonts w:ascii="Garamond" w:hAnsi="Garamond" w:cs="Sylfaen"/>
          <w:color w:val="000000"/>
        </w:rPr>
        <w:t xml:space="preserve"> net export</w:t>
      </w:r>
      <w:r w:rsidR="007C1708" w:rsidRPr="000F21D1">
        <w:rPr>
          <w:rFonts w:ascii="Garamond" w:hAnsi="Garamond" w:cs="Sylfaen"/>
          <w:color w:val="000000"/>
        </w:rPr>
        <w:t>s</w:t>
      </w:r>
      <w:r w:rsidRPr="000F21D1">
        <w:rPr>
          <w:rFonts w:ascii="Garamond" w:hAnsi="Garamond" w:cs="Sylfaen"/>
          <w:color w:val="000000"/>
        </w:rPr>
        <w:t xml:space="preserve"> becau</w:t>
      </w:r>
      <w:r w:rsidR="00414223" w:rsidRPr="000F21D1">
        <w:rPr>
          <w:rFonts w:ascii="Garamond" w:hAnsi="Garamond" w:cs="Sylfaen"/>
          <w:color w:val="000000"/>
        </w:rPr>
        <w:t xml:space="preserve">se of appreciated </w:t>
      </w:r>
      <w:r w:rsidR="00676B75" w:rsidRPr="000F21D1">
        <w:rPr>
          <w:rFonts w:ascii="Garamond" w:hAnsi="Garamond" w:cs="Sylfaen"/>
          <w:color w:val="000000"/>
        </w:rPr>
        <w:lastRenderedPageBreak/>
        <w:t>dollar as well as</w:t>
      </w:r>
      <w:r w:rsidR="00414223" w:rsidRPr="000F21D1">
        <w:rPr>
          <w:rFonts w:ascii="Garamond" w:hAnsi="Garamond" w:cs="Sylfaen"/>
          <w:color w:val="000000"/>
        </w:rPr>
        <w:t xml:space="preserve"> reduc</w:t>
      </w:r>
      <w:r w:rsidR="00432A35" w:rsidRPr="000F21D1">
        <w:rPr>
          <w:rFonts w:ascii="Garamond" w:hAnsi="Garamond" w:cs="Sylfaen"/>
          <w:color w:val="000000"/>
        </w:rPr>
        <w:t xml:space="preserve">ed </w:t>
      </w:r>
      <w:r w:rsidR="00414223" w:rsidRPr="000F21D1">
        <w:rPr>
          <w:rFonts w:ascii="Garamond" w:hAnsi="Garamond" w:cs="Sylfaen"/>
          <w:color w:val="000000"/>
        </w:rPr>
        <w:t xml:space="preserve">investment </w:t>
      </w:r>
      <w:r w:rsidRPr="000F21D1">
        <w:rPr>
          <w:rFonts w:ascii="Garamond" w:hAnsi="Garamond" w:cs="Sylfaen"/>
          <w:color w:val="000000"/>
        </w:rPr>
        <w:t>ha</w:t>
      </w:r>
      <w:r w:rsidR="00414223" w:rsidRPr="000F21D1">
        <w:rPr>
          <w:rFonts w:ascii="Garamond" w:hAnsi="Garamond" w:cs="Sylfaen"/>
          <w:color w:val="000000"/>
        </w:rPr>
        <w:t>ve</w:t>
      </w:r>
      <w:r w:rsidRPr="000F21D1">
        <w:rPr>
          <w:rFonts w:ascii="Garamond" w:hAnsi="Garamond" w:cs="Sylfaen"/>
          <w:color w:val="000000"/>
        </w:rPr>
        <w:t xml:space="preserve"> contributed to the slowing of economic growth. </w:t>
      </w:r>
      <w:r w:rsidR="00667AD6" w:rsidRPr="000F21D1">
        <w:rPr>
          <w:rFonts w:ascii="Garamond" w:hAnsi="Garamond" w:cs="Sylfaen"/>
          <w:color w:val="000000"/>
        </w:rPr>
        <w:t>T</w:t>
      </w:r>
      <w:r w:rsidR="00BB4AE9" w:rsidRPr="000F21D1">
        <w:rPr>
          <w:rFonts w:ascii="Garamond" w:hAnsi="Garamond" w:cs="Sylfaen"/>
          <w:color w:val="000000"/>
        </w:rPr>
        <w:t xml:space="preserve">he average quarterly </w:t>
      </w:r>
      <w:r w:rsidR="00667AD6" w:rsidRPr="000F21D1">
        <w:rPr>
          <w:rFonts w:ascii="Garamond" w:hAnsi="Garamond" w:cs="Sylfaen"/>
          <w:color w:val="000000"/>
        </w:rPr>
        <w:t xml:space="preserve">rate of </w:t>
      </w:r>
      <w:r w:rsidR="00BB4AE9" w:rsidRPr="000F21D1">
        <w:rPr>
          <w:rFonts w:ascii="Garamond" w:hAnsi="Garamond" w:cs="Sylfaen"/>
          <w:color w:val="000000"/>
        </w:rPr>
        <w:t xml:space="preserve">inflation </w:t>
      </w:r>
      <w:r w:rsidR="00667AD6" w:rsidRPr="000F21D1">
        <w:rPr>
          <w:rFonts w:ascii="Garamond" w:hAnsi="Garamond" w:cs="Sylfaen"/>
          <w:color w:val="000000"/>
        </w:rPr>
        <w:t xml:space="preserve">persisted almost at the same level, 1.0%, in comparison with the relevant indicator of </w:t>
      </w:r>
      <w:r w:rsidR="00BB4AE9" w:rsidRPr="000F21D1">
        <w:rPr>
          <w:rFonts w:ascii="Garamond" w:hAnsi="Garamond" w:cs="Sylfaen"/>
          <w:color w:val="000000"/>
        </w:rPr>
        <w:t xml:space="preserve">1.1% </w:t>
      </w:r>
      <w:r w:rsidR="00667AD6" w:rsidRPr="000F21D1">
        <w:rPr>
          <w:rFonts w:ascii="Garamond" w:hAnsi="Garamond" w:cs="Sylfaen"/>
          <w:color w:val="000000"/>
        </w:rPr>
        <w:t xml:space="preserve">reported in </w:t>
      </w:r>
      <w:r w:rsidR="00BB4AE9" w:rsidRPr="000F21D1">
        <w:rPr>
          <w:rFonts w:ascii="Garamond" w:hAnsi="Garamond" w:cs="Sylfaen"/>
          <w:color w:val="000000"/>
        </w:rPr>
        <w:t>the previous quarter</w:t>
      </w:r>
      <w:r w:rsidR="00667AD6" w:rsidRPr="000F21D1">
        <w:rPr>
          <w:rFonts w:ascii="Garamond" w:hAnsi="Garamond" w:cs="Sylfaen"/>
          <w:color w:val="000000"/>
        </w:rPr>
        <w:t xml:space="preserve">. Inflation remains below its medium-term target mainly due to lower prices of oil products and import goods. </w:t>
      </w:r>
      <w:r w:rsidR="00381DE7" w:rsidRPr="000F21D1">
        <w:rPr>
          <w:rFonts w:ascii="Garamond" w:hAnsi="Garamond" w:cs="Sylfaen"/>
          <w:color w:val="000000"/>
        </w:rPr>
        <w:t>I</w:t>
      </w:r>
      <w:r w:rsidR="00BB4AE9" w:rsidRPr="000F21D1">
        <w:rPr>
          <w:rFonts w:ascii="Garamond" w:hAnsi="Garamond" w:cs="Sylfaen"/>
          <w:color w:val="000000"/>
        </w:rPr>
        <w:t xml:space="preserve">n such circumstances, </w:t>
      </w:r>
      <w:r w:rsidR="007F1BA5" w:rsidRPr="000F21D1">
        <w:rPr>
          <w:rFonts w:ascii="Garamond" w:hAnsi="Garamond" w:cs="Sylfaen"/>
          <w:color w:val="000000"/>
        </w:rPr>
        <w:t xml:space="preserve">in the second quarter </w:t>
      </w:r>
      <w:r w:rsidR="00BB4AE9" w:rsidRPr="000F21D1">
        <w:rPr>
          <w:rFonts w:ascii="Garamond" w:hAnsi="Garamond" w:cs="Sylfaen"/>
          <w:color w:val="000000"/>
        </w:rPr>
        <w:t xml:space="preserve">the US Federal Reserve System </w:t>
      </w:r>
      <w:r w:rsidR="00325A21" w:rsidRPr="000F21D1">
        <w:rPr>
          <w:rFonts w:ascii="Garamond" w:hAnsi="Garamond" w:cs="Sylfaen"/>
          <w:color w:val="000000"/>
        </w:rPr>
        <w:t>ke</w:t>
      </w:r>
      <w:r w:rsidR="00381DE7" w:rsidRPr="000F21D1">
        <w:rPr>
          <w:rFonts w:ascii="Garamond" w:hAnsi="Garamond" w:cs="Sylfaen"/>
          <w:color w:val="000000"/>
        </w:rPr>
        <w:t xml:space="preserve">pt the policy rates </w:t>
      </w:r>
      <w:r w:rsidR="00325A21" w:rsidRPr="000F21D1">
        <w:rPr>
          <w:rFonts w:ascii="Garamond" w:hAnsi="Garamond" w:cs="Sylfaen"/>
          <w:color w:val="000000"/>
        </w:rPr>
        <w:t xml:space="preserve">in the range of </w:t>
      </w:r>
      <w:r w:rsidR="00BB4AE9" w:rsidRPr="000F21D1">
        <w:rPr>
          <w:rFonts w:ascii="Garamond" w:hAnsi="Garamond" w:cs="Sylfaen"/>
          <w:color w:val="000000"/>
        </w:rPr>
        <w:t>0.25-0.5%.</w:t>
      </w:r>
    </w:p>
    <w:p w14:paraId="5CDC40DB" w14:textId="77777777" w:rsidR="00F2750C" w:rsidRPr="000F21D1" w:rsidRDefault="00F2750C" w:rsidP="0006101A">
      <w:pPr>
        <w:spacing w:line="360" w:lineRule="auto"/>
        <w:jc w:val="both"/>
        <w:rPr>
          <w:rFonts w:ascii="Garamond" w:hAnsi="Garamond" w:cs="Sylfaen"/>
          <w:color w:val="000000"/>
        </w:rPr>
      </w:pPr>
    </w:p>
    <w:p w14:paraId="08B10A7F" w14:textId="77777777" w:rsidR="00C9745D" w:rsidRPr="000F21D1" w:rsidRDefault="00F2750C" w:rsidP="0006101A">
      <w:pPr>
        <w:spacing w:line="360" w:lineRule="auto"/>
        <w:jc w:val="both"/>
        <w:rPr>
          <w:rStyle w:val="longtext"/>
          <w:rFonts w:ascii="Garamond" w:hAnsi="Garamond"/>
        </w:rPr>
      </w:pPr>
      <w:r w:rsidRPr="000F21D1">
        <w:rPr>
          <w:rFonts w:ascii="Garamond" w:hAnsi="Garamond"/>
        </w:rPr>
        <w:t>According to preliminary estimates provided by the Eurostat, economic growth in</w:t>
      </w:r>
      <w:r w:rsidR="00E06CB9" w:rsidRPr="000F21D1">
        <w:rPr>
          <w:rFonts w:ascii="Garamond" w:hAnsi="Garamond"/>
        </w:rPr>
        <w:t xml:space="preserve"> the</w:t>
      </w:r>
      <w:r w:rsidR="0086764D" w:rsidRPr="000F21D1">
        <w:rPr>
          <w:rFonts w:ascii="Garamond" w:hAnsi="Garamond"/>
          <w:lang w:val="hy-AM"/>
        </w:rPr>
        <w:t xml:space="preserve"> </w:t>
      </w:r>
      <w:r w:rsidRPr="000F21D1">
        <w:rPr>
          <w:rFonts w:ascii="Garamond" w:hAnsi="Garamond"/>
          <w:b/>
        </w:rPr>
        <w:t>Eurozone</w:t>
      </w:r>
      <w:r w:rsidR="0086764D" w:rsidRPr="000F21D1">
        <w:rPr>
          <w:rFonts w:ascii="Garamond" w:hAnsi="Garamond"/>
          <w:b/>
          <w:lang w:val="hy-AM"/>
        </w:rPr>
        <w:t xml:space="preserve"> </w:t>
      </w:r>
      <w:r w:rsidRPr="000F21D1">
        <w:rPr>
          <w:rFonts w:ascii="Garamond" w:hAnsi="Garamond"/>
        </w:rPr>
        <w:t xml:space="preserve">in the </w:t>
      </w:r>
      <w:r w:rsidR="00E06CB9" w:rsidRPr="000F21D1">
        <w:rPr>
          <w:rFonts w:ascii="Garamond" w:hAnsi="Garamond"/>
        </w:rPr>
        <w:t>second</w:t>
      </w:r>
      <w:r w:rsidRPr="000F21D1">
        <w:rPr>
          <w:rFonts w:ascii="Garamond" w:hAnsi="Garamond"/>
        </w:rPr>
        <w:t xml:space="preserve"> quarter of 2016</w:t>
      </w:r>
      <w:r w:rsidR="0086764D" w:rsidRPr="000F21D1">
        <w:rPr>
          <w:rFonts w:ascii="Garamond" w:hAnsi="Garamond"/>
          <w:lang w:val="hy-AM"/>
        </w:rPr>
        <w:t xml:space="preserve"> </w:t>
      </w:r>
      <w:r w:rsidR="00E06CB9" w:rsidRPr="000F21D1">
        <w:rPr>
          <w:rFonts w:ascii="Garamond" w:hAnsi="Garamond"/>
        </w:rPr>
        <w:t xml:space="preserve">speeded up to </w:t>
      </w:r>
      <w:r w:rsidRPr="000F21D1">
        <w:rPr>
          <w:rFonts w:ascii="Garamond" w:hAnsi="Garamond"/>
        </w:rPr>
        <w:t>1.</w:t>
      </w:r>
      <w:r w:rsidR="00E06CB9" w:rsidRPr="000F21D1">
        <w:rPr>
          <w:rFonts w:ascii="Garamond" w:hAnsi="Garamond"/>
        </w:rPr>
        <w:t>7</w:t>
      </w:r>
      <w:r w:rsidRPr="000F21D1">
        <w:rPr>
          <w:rFonts w:ascii="Garamond" w:hAnsi="Garamond"/>
        </w:rPr>
        <w:t>% y/y</w:t>
      </w:r>
      <w:r w:rsidR="00E06CB9" w:rsidRPr="000F21D1">
        <w:rPr>
          <w:rFonts w:ascii="Garamond" w:hAnsi="Garamond"/>
        </w:rPr>
        <w:t xml:space="preserve"> from 1.6% y/y recorded in the previous quarter</w:t>
      </w:r>
      <w:r w:rsidRPr="000F21D1">
        <w:rPr>
          <w:rFonts w:ascii="Garamond" w:hAnsi="Garamond"/>
        </w:rPr>
        <w:t xml:space="preserve">. </w:t>
      </w:r>
      <w:r w:rsidR="002002B9" w:rsidRPr="000F21D1">
        <w:rPr>
          <w:rFonts w:ascii="Garamond" w:hAnsi="Garamond"/>
        </w:rPr>
        <w:t xml:space="preserve">The strengthening of domestic demand is a key stimulus to such economic growth. </w:t>
      </w:r>
      <w:r w:rsidR="00303F1E" w:rsidRPr="000F21D1">
        <w:rPr>
          <w:rFonts w:ascii="Garamond" w:hAnsi="Garamond"/>
        </w:rPr>
        <w:t xml:space="preserve">Despite some recovery in demand, </w:t>
      </w:r>
      <w:r w:rsidRPr="000F21D1">
        <w:rPr>
          <w:rFonts w:ascii="Garamond" w:hAnsi="Garamond"/>
        </w:rPr>
        <w:t xml:space="preserve">the inflation </w:t>
      </w:r>
      <w:r w:rsidR="001C02B8" w:rsidRPr="000F21D1">
        <w:rPr>
          <w:rFonts w:ascii="Garamond" w:hAnsi="Garamond"/>
        </w:rPr>
        <w:t>rate decelerated</w:t>
      </w:r>
      <w:r w:rsidR="0086764D" w:rsidRPr="000F21D1">
        <w:rPr>
          <w:rFonts w:ascii="Garamond" w:hAnsi="Garamond"/>
          <w:lang w:val="hy-AM"/>
        </w:rPr>
        <w:t xml:space="preserve"> </w:t>
      </w:r>
      <w:r w:rsidR="00303F1E" w:rsidRPr="000F21D1">
        <w:rPr>
          <w:rFonts w:ascii="Garamond" w:hAnsi="Garamond"/>
        </w:rPr>
        <w:t xml:space="preserve">in the second quarter </w:t>
      </w:r>
      <w:r w:rsidR="001C02B8" w:rsidRPr="000F21D1">
        <w:rPr>
          <w:rFonts w:ascii="Garamond" w:hAnsi="Garamond"/>
        </w:rPr>
        <w:t>t</w:t>
      </w:r>
      <w:r w:rsidRPr="000F21D1">
        <w:rPr>
          <w:rFonts w:ascii="Garamond" w:hAnsi="Garamond"/>
        </w:rPr>
        <w:t xml:space="preserve">o </w:t>
      </w:r>
      <w:r w:rsidR="00303F1E" w:rsidRPr="000F21D1">
        <w:rPr>
          <w:rFonts w:ascii="Garamond" w:hAnsi="Garamond"/>
        </w:rPr>
        <w:t xml:space="preserve">-0.1% from the previous quarter’s respective figure of </w:t>
      </w:r>
      <w:r w:rsidRPr="000F21D1">
        <w:rPr>
          <w:rFonts w:ascii="Garamond" w:hAnsi="Garamond"/>
        </w:rPr>
        <w:t>0.</w:t>
      </w:r>
      <w:r w:rsidR="001C02B8" w:rsidRPr="000F21D1">
        <w:rPr>
          <w:rFonts w:ascii="Garamond" w:hAnsi="Garamond"/>
        </w:rPr>
        <w:t>02</w:t>
      </w:r>
      <w:r w:rsidRPr="000F21D1">
        <w:rPr>
          <w:rFonts w:ascii="Garamond" w:hAnsi="Garamond"/>
        </w:rPr>
        <w:t>%</w:t>
      </w:r>
      <w:r w:rsidR="00C9745D" w:rsidRPr="000F21D1">
        <w:rPr>
          <w:rFonts w:ascii="Garamond" w:hAnsi="Garamond"/>
        </w:rPr>
        <w:t>, which still carries the influence of low oil prices</w:t>
      </w:r>
      <w:r w:rsidR="001C02B8" w:rsidRPr="000F21D1">
        <w:rPr>
          <w:rFonts w:ascii="Garamond" w:hAnsi="Garamond"/>
        </w:rPr>
        <w:t>.</w:t>
      </w:r>
      <w:r w:rsidRPr="000F21D1">
        <w:rPr>
          <w:rFonts w:ascii="Garamond" w:hAnsi="Garamond"/>
        </w:rPr>
        <w:t xml:space="preserve"> </w:t>
      </w:r>
      <w:r w:rsidR="00C9745D" w:rsidRPr="000F21D1">
        <w:rPr>
          <w:rFonts w:ascii="Garamond" w:hAnsi="Garamond"/>
        </w:rPr>
        <w:t xml:space="preserve">In the second </w:t>
      </w:r>
      <w:r w:rsidRPr="000F21D1">
        <w:rPr>
          <w:rFonts w:ascii="Garamond" w:hAnsi="Garamond"/>
        </w:rPr>
        <w:t xml:space="preserve">quarter </w:t>
      </w:r>
      <w:r w:rsidRPr="000F21D1">
        <w:rPr>
          <w:rStyle w:val="longtext"/>
          <w:rFonts w:ascii="Garamond" w:hAnsi="Garamond"/>
        </w:rPr>
        <w:t>the European Central Bank</w:t>
      </w:r>
      <w:r w:rsidR="0086764D" w:rsidRPr="000F21D1">
        <w:rPr>
          <w:rStyle w:val="longtext"/>
          <w:rFonts w:ascii="Garamond" w:hAnsi="Garamond"/>
          <w:lang w:val="hy-AM"/>
        </w:rPr>
        <w:t xml:space="preserve"> </w:t>
      </w:r>
      <w:r w:rsidR="00C9745D" w:rsidRPr="000F21D1">
        <w:rPr>
          <w:rStyle w:val="longtext"/>
          <w:rFonts w:ascii="Garamond" w:hAnsi="Garamond"/>
        </w:rPr>
        <w:t xml:space="preserve">kept </w:t>
      </w:r>
      <w:r w:rsidRPr="000F21D1">
        <w:rPr>
          <w:rStyle w:val="longtext"/>
          <w:rFonts w:ascii="Garamond" w:hAnsi="Garamond"/>
        </w:rPr>
        <w:t>the policy rate</w:t>
      </w:r>
      <w:r w:rsidR="001C02B8" w:rsidRPr="000F21D1">
        <w:rPr>
          <w:rStyle w:val="longtext"/>
          <w:rFonts w:ascii="Garamond" w:hAnsi="Garamond"/>
        </w:rPr>
        <w:t>s</w:t>
      </w:r>
      <w:r w:rsidR="00C9745D" w:rsidRPr="000F21D1">
        <w:rPr>
          <w:rStyle w:val="longtext"/>
          <w:rFonts w:ascii="Garamond" w:hAnsi="Garamond"/>
        </w:rPr>
        <w:t xml:space="preserve"> at </w:t>
      </w:r>
      <w:r w:rsidRPr="000F21D1">
        <w:rPr>
          <w:rStyle w:val="longtext"/>
          <w:rFonts w:ascii="Garamond" w:hAnsi="Garamond"/>
        </w:rPr>
        <w:t xml:space="preserve">the level of 0.0% </w:t>
      </w:r>
      <w:r w:rsidR="00C9745D" w:rsidRPr="000F21D1">
        <w:rPr>
          <w:rStyle w:val="longtext"/>
          <w:rFonts w:ascii="Garamond" w:hAnsi="Garamond"/>
        </w:rPr>
        <w:t xml:space="preserve">for refinancing rate and </w:t>
      </w:r>
      <w:r w:rsidR="00C9745D" w:rsidRPr="000F21D1">
        <w:rPr>
          <w:rFonts w:ascii="Garamond" w:hAnsi="Garamond"/>
          <w:color w:val="000000"/>
          <w:shd w:val="clear" w:color="auto" w:fill="FFFFFF"/>
        </w:rPr>
        <w:t>-</w:t>
      </w:r>
      <w:r w:rsidR="00C9745D" w:rsidRPr="000F21D1">
        <w:rPr>
          <w:rStyle w:val="longtext"/>
          <w:rFonts w:ascii="Garamond" w:hAnsi="Garamond"/>
        </w:rPr>
        <w:t xml:space="preserve">0.4% for </w:t>
      </w:r>
      <w:r w:rsidRPr="000F21D1">
        <w:rPr>
          <w:rFonts w:ascii="Garamond" w:hAnsi="Garamond"/>
          <w:color w:val="000000"/>
          <w:shd w:val="clear" w:color="auto" w:fill="FFFFFF"/>
        </w:rPr>
        <w:t>deposit facility rate</w:t>
      </w:r>
      <w:r w:rsidR="00C9745D" w:rsidRPr="000F21D1">
        <w:rPr>
          <w:rFonts w:ascii="Garamond" w:hAnsi="Garamond"/>
          <w:color w:val="000000"/>
          <w:shd w:val="clear" w:color="auto" w:fill="FFFFFF"/>
        </w:rPr>
        <w:t>.</w:t>
      </w:r>
      <w:r w:rsidRPr="000F21D1">
        <w:rPr>
          <w:rStyle w:val="longtext"/>
          <w:rFonts w:ascii="Garamond" w:hAnsi="Garamond"/>
        </w:rPr>
        <w:t xml:space="preserve"> </w:t>
      </w:r>
      <w:r w:rsidR="007E7CA8" w:rsidRPr="000F21D1">
        <w:rPr>
          <w:rStyle w:val="longtext"/>
          <w:rFonts w:ascii="Garamond" w:hAnsi="Garamond"/>
        </w:rPr>
        <w:t>At the same time, t</w:t>
      </w:r>
      <w:r w:rsidRPr="000F21D1">
        <w:rPr>
          <w:rStyle w:val="longtext"/>
          <w:rFonts w:ascii="Garamond" w:hAnsi="Garamond"/>
        </w:rPr>
        <w:t xml:space="preserve">he ECB </w:t>
      </w:r>
      <w:r w:rsidR="00C9745D" w:rsidRPr="000F21D1">
        <w:rPr>
          <w:rStyle w:val="longtext"/>
          <w:rFonts w:ascii="Garamond" w:hAnsi="Garamond"/>
        </w:rPr>
        <w:t xml:space="preserve">continued </w:t>
      </w:r>
      <w:r w:rsidR="007E7CA8" w:rsidRPr="000F21D1">
        <w:rPr>
          <w:rStyle w:val="longtext"/>
          <w:rFonts w:ascii="Garamond" w:hAnsi="Garamond"/>
        </w:rPr>
        <w:t xml:space="preserve">its </w:t>
      </w:r>
      <w:r w:rsidR="00C9745D" w:rsidRPr="000F21D1">
        <w:rPr>
          <w:rStyle w:val="longtext"/>
          <w:rFonts w:ascii="Garamond" w:hAnsi="Garamond"/>
        </w:rPr>
        <w:t xml:space="preserve">asset purchases </w:t>
      </w:r>
      <w:r w:rsidR="007E7CA8" w:rsidRPr="000F21D1">
        <w:rPr>
          <w:rStyle w:val="longtext"/>
          <w:rFonts w:ascii="Garamond" w:hAnsi="Garamond"/>
        </w:rPr>
        <w:t xml:space="preserve">program </w:t>
      </w:r>
      <w:r w:rsidR="00C9745D" w:rsidRPr="000F21D1">
        <w:rPr>
          <w:rStyle w:val="longtext"/>
          <w:rFonts w:ascii="Garamond" w:hAnsi="Garamond"/>
        </w:rPr>
        <w:t>at the amount of</w:t>
      </w:r>
      <w:r w:rsidR="007E7CA8" w:rsidRPr="000F21D1">
        <w:rPr>
          <w:rStyle w:val="longtext"/>
          <w:rFonts w:ascii="Garamond" w:hAnsi="Garamond"/>
        </w:rPr>
        <w:t xml:space="preserve"> EUR 80 billion a month</w:t>
      </w:r>
      <w:r w:rsidR="00C9745D" w:rsidRPr="000F21D1">
        <w:rPr>
          <w:rStyle w:val="longtext"/>
          <w:rFonts w:ascii="Garamond" w:hAnsi="Garamond"/>
        </w:rPr>
        <w:t>.</w:t>
      </w:r>
    </w:p>
    <w:p w14:paraId="0AEC640F" w14:textId="77777777" w:rsidR="007E7CA8" w:rsidRPr="000F21D1" w:rsidRDefault="007E7CA8" w:rsidP="0006101A">
      <w:pPr>
        <w:spacing w:line="360" w:lineRule="auto"/>
        <w:jc w:val="both"/>
        <w:rPr>
          <w:rStyle w:val="longtext"/>
          <w:rFonts w:ascii="Garamond" w:hAnsi="Garamond"/>
        </w:rPr>
      </w:pPr>
    </w:p>
    <w:p w14:paraId="29C75696" w14:textId="77777777" w:rsidR="007E7CA8" w:rsidRPr="000F21D1" w:rsidRDefault="007E7CA8" w:rsidP="0006101A">
      <w:pPr>
        <w:spacing w:line="360" w:lineRule="auto"/>
        <w:jc w:val="both"/>
        <w:rPr>
          <w:rStyle w:val="longtext"/>
          <w:rFonts w:ascii="Garamond" w:hAnsi="Garamond"/>
        </w:rPr>
      </w:pPr>
      <w:r w:rsidRPr="000F21D1">
        <w:rPr>
          <w:rStyle w:val="longtext"/>
          <w:rFonts w:ascii="Garamond" w:hAnsi="Garamond"/>
        </w:rPr>
        <w:t xml:space="preserve">In the currency market in the </w:t>
      </w:r>
      <w:r w:rsidR="0002241A" w:rsidRPr="000F21D1">
        <w:rPr>
          <w:rStyle w:val="longtext"/>
          <w:rFonts w:ascii="Garamond" w:hAnsi="Garamond"/>
        </w:rPr>
        <w:t>second</w:t>
      </w:r>
      <w:r w:rsidRPr="000F21D1">
        <w:rPr>
          <w:rStyle w:val="longtext"/>
          <w:rFonts w:ascii="Garamond" w:hAnsi="Garamond"/>
        </w:rPr>
        <w:t xml:space="preserve"> quarter of 2016</w:t>
      </w:r>
      <w:r w:rsidR="00C84135" w:rsidRPr="000F21D1">
        <w:rPr>
          <w:rStyle w:val="longtext"/>
          <w:rFonts w:ascii="Garamond" w:hAnsi="Garamond"/>
        </w:rPr>
        <w:t>, e</w:t>
      </w:r>
      <w:r w:rsidRPr="000F21D1">
        <w:rPr>
          <w:rStyle w:val="longtext"/>
          <w:rFonts w:ascii="Garamond" w:hAnsi="Garamond"/>
        </w:rPr>
        <w:t>uro</w:t>
      </w:r>
      <w:r w:rsidR="0002241A" w:rsidRPr="000F21D1">
        <w:rPr>
          <w:rStyle w:val="longtext"/>
          <w:rFonts w:ascii="Garamond" w:hAnsi="Garamond"/>
        </w:rPr>
        <w:t>’s</w:t>
      </w:r>
      <w:r w:rsidRPr="000F21D1">
        <w:rPr>
          <w:rStyle w:val="longtext"/>
          <w:rFonts w:ascii="Garamond" w:hAnsi="Garamond"/>
        </w:rPr>
        <w:t xml:space="preserve"> </w:t>
      </w:r>
      <w:r w:rsidR="002A5F78" w:rsidRPr="000F21D1">
        <w:rPr>
          <w:rStyle w:val="longtext"/>
          <w:rFonts w:ascii="Garamond" w:hAnsi="Garamond"/>
        </w:rPr>
        <w:t>ap</w:t>
      </w:r>
      <w:r w:rsidRPr="000F21D1">
        <w:rPr>
          <w:rStyle w:val="longtext"/>
          <w:rFonts w:ascii="Garamond" w:hAnsi="Garamond"/>
        </w:rPr>
        <w:t>preciat</w:t>
      </w:r>
      <w:r w:rsidR="0002241A" w:rsidRPr="000F21D1">
        <w:rPr>
          <w:rStyle w:val="longtext"/>
          <w:rFonts w:ascii="Garamond" w:hAnsi="Garamond"/>
        </w:rPr>
        <w:t xml:space="preserve">ion </w:t>
      </w:r>
      <w:r w:rsidRPr="000F21D1">
        <w:rPr>
          <w:rStyle w:val="longtext"/>
          <w:rFonts w:ascii="Garamond" w:hAnsi="Garamond"/>
        </w:rPr>
        <w:t>against the U.S. dollar</w:t>
      </w:r>
      <w:r w:rsidRPr="000F21D1">
        <w:rPr>
          <w:rFonts w:ascii="Garamond" w:hAnsi="Garamond" w:cs="Sylfaen"/>
          <w:iCs/>
        </w:rPr>
        <w:t xml:space="preserve"> </w:t>
      </w:r>
      <w:r w:rsidR="0002241A" w:rsidRPr="000F21D1">
        <w:rPr>
          <w:rFonts w:ascii="Garamond" w:hAnsi="Garamond" w:cs="Sylfaen"/>
          <w:iCs/>
        </w:rPr>
        <w:t>was</w:t>
      </w:r>
      <w:r w:rsidRPr="000F21D1">
        <w:rPr>
          <w:rFonts w:ascii="Garamond" w:hAnsi="Garamond" w:cs="Sylfaen"/>
          <w:iCs/>
        </w:rPr>
        <w:t xml:space="preserve"> </w:t>
      </w:r>
      <w:r w:rsidR="0002241A" w:rsidRPr="000F21D1">
        <w:rPr>
          <w:rFonts w:ascii="Garamond" w:hAnsi="Garamond" w:cs="Sylfaen"/>
          <w:iCs/>
        </w:rPr>
        <w:t>2</w:t>
      </w:r>
      <w:r w:rsidRPr="000F21D1">
        <w:rPr>
          <w:rFonts w:ascii="Garamond" w:hAnsi="Garamond" w:cs="Sylfaen"/>
          <w:iCs/>
        </w:rPr>
        <w:t>.</w:t>
      </w:r>
      <w:r w:rsidR="0002241A" w:rsidRPr="000F21D1">
        <w:rPr>
          <w:rFonts w:ascii="Garamond" w:hAnsi="Garamond" w:cs="Sylfaen"/>
          <w:iCs/>
        </w:rPr>
        <w:t>5</w:t>
      </w:r>
      <w:r w:rsidRPr="000F21D1">
        <w:rPr>
          <w:rFonts w:ascii="Garamond" w:hAnsi="Garamond" w:cs="Sylfaen"/>
          <w:iCs/>
        </w:rPr>
        <w:t>% q/q (</w:t>
      </w:r>
      <w:r w:rsidR="002A5F78" w:rsidRPr="000F21D1">
        <w:rPr>
          <w:rFonts w:ascii="Garamond" w:hAnsi="Garamond" w:cs="Sylfaen"/>
          <w:iCs/>
        </w:rPr>
        <w:t xml:space="preserve">with </w:t>
      </w:r>
      <w:r w:rsidRPr="000F21D1">
        <w:rPr>
          <w:rFonts w:ascii="Garamond" w:hAnsi="Garamond" w:cs="Sylfaen"/>
          <w:iCs/>
        </w:rPr>
        <w:t xml:space="preserve">y/y </w:t>
      </w:r>
      <w:r w:rsidR="0002241A" w:rsidRPr="000F21D1">
        <w:rPr>
          <w:rFonts w:ascii="Garamond" w:hAnsi="Garamond" w:cs="Sylfaen"/>
          <w:iCs/>
        </w:rPr>
        <w:t>ap</w:t>
      </w:r>
      <w:r w:rsidRPr="000F21D1">
        <w:rPr>
          <w:rFonts w:ascii="Garamond" w:hAnsi="Garamond" w:cs="Sylfaen"/>
          <w:iCs/>
        </w:rPr>
        <w:t>preciation</w:t>
      </w:r>
      <w:r w:rsidR="002A5F78" w:rsidRPr="000F21D1">
        <w:rPr>
          <w:rFonts w:ascii="Garamond" w:hAnsi="Garamond" w:cs="Sylfaen"/>
          <w:iCs/>
        </w:rPr>
        <w:t xml:space="preserve"> of 2</w:t>
      </w:r>
      <w:r w:rsidRPr="000F21D1">
        <w:rPr>
          <w:rFonts w:ascii="Garamond" w:hAnsi="Garamond" w:cs="Sylfaen"/>
          <w:iCs/>
        </w:rPr>
        <w:t>.</w:t>
      </w:r>
      <w:r w:rsidR="002A5F78" w:rsidRPr="000F21D1">
        <w:rPr>
          <w:rFonts w:ascii="Garamond" w:hAnsi="Garamond" w:cs="Sylfaen"/>
          <w:iCs/>
        </w:rPr>
        <w:t>2</w:t>
      </w:r>
      <w:r w:rsidRPr="000F21D1">
        <w:rPr>
          <w:rFonts w:ascii="Garamond" w:hAnsi="Garamond" w:cs="Sylfaen"/>
        </w:rPr>
        <w:t>%)</w:t>
      </w:r>
      <w:r w:rsidR="002A5F78" w:rsidRPr="000F21D1">
        <w:rPr>
          <w:rFonts w:ascii="Garamond" w:hAnsi="Garamond" w:cs="Sylfaen"/>
        </w:rPr>
        <w:t xml:space="preserve">; the </w:t>
      </w:r>
      <w:r w:rsidRPr="000F21D1">
        <w:rPr>
          <w:rStyle w:val="longtext"/>
          <w:rFonts w:ascii="Garamond" w:hAnsi="Garamond"/>
        </w:rPr>
        <w:t xml:space="preserve">average exchange rate </w:t>
      </w:r>
      <w:r w:rsidR="002A5F78" w:rsidRPr="000F21D1">
        <w:rPr>
          <w:rStyle w:val="longtext"/>
          <w:rFonts w:ascii="Garamond" w:hAnsi="Garamond"/>
        </w:rPr>
        <w:t xml:space="preserve">reached </w:t>
      </w:r>
      <w:r w:rsidRPr="000F21D1">
        <w:rPr>
          <w:rStyle w:val="longtext"/>
          <w:rFonts w:ascii="Garamond" w:hAnsi="Garamond"/>
        </w:rPr>
        <w:t>1.</w:t>
      </w:r>
      <w:r w:rsidR="002A5F78" w:rsidRPr="000F21D1">
        <w:rPr>
          <w:rStyle w:val="longtext"/>
          <w:rFonts w:ascii="Garamond" w:hAnsi="Garamond"/>
        </w:rPr>
        <w:t>1</w:t>
      </w:r>
      <w:r w:rsidR="0002241A" w:rsidRPr="000F21D1">
        <w:rPr>
          <w:rStyle w:val="longtext"/>
          <w:rFonts w:ascii="Garamond" w:hAnsi="Garamond"/>
        </w:rPr>
        <w:t>3</w:t>
      </w:r>
      <w:r w:rsidRPr="000F21D1">
        <w:rPr>
          <w:rStyle w:val="longtext"/>
          <w:rFonts w:ascii="Garamond" w:hAnsi="Garamond"/>
        </w:rPr>
        <w:t xml:space="preserve"> </w:t>
      </w:r>
      <w:r w:rsidR="000A48A7" w:rsidRPr="000F21D1">
        <w:rPr>
          <w:rStyle w:val="longtext"/>
          <w:rFonts w:ascii="Garamond" w:hAnsi="Garamond"/>
        </w:rPr>
        <w:t xml:space="preserve">dollars </w:t>
      </w:r>
      <w:r w:rsidRPr="000F21D1">
        <w:rPr>
          <w:rStyle w:val="longtext"/>
          <w:rFonts w:ascii="Garamond" w:hAnsi="Garamond"/>
        </w:rPr>
        <w:t xml:space="preserve">for one </w:t>
      </w:r>
      <w:r w:rsidR="002A5F78" w:rsidRPr="000F21D1">
        <w:rPr>
          <w:rStyle w:val="longtext"/>
          <w:rFonts w:ascii="Garamond" w:hAnsi="Garamond"/>
        </w:rPr>
        <w:t>euro</w:t>
      </w:r>
      <w:r w:rsidRPr="000F21D1">
        <w:rPr>
          <w:rStyle w:val="longtext"/>
          <w:rFonts w:ascii="Garamond" w:hAnsi="Garamond"/>
        </w:rPr>
        <w:t>.</w:t>
      </w:r>
    </w:p>
    <w:p w14:paraId="5F5188BD" w14:textId="77777777" w:rsidR="00C84135" w:rsidRPr="000F21D1" w:rsidRDefault="00C84135" w:rsidP="0006101A">
      <w:pPr>
        <w:spacing w:line="360" w:lineRule="auto"/>
        <w:jc w:val="both"/>
        <w:rPr>
          <w:rStyle w:val="longtext"/>
          <w:rFonts w:ascii="Garamond" w:hAnsi="Garamond"/>
        </w:rPr>
      </w:pPr>
    </w:p>
    <w:p w14:paraId="55F7A91A" w14:textId="77777777" w:rsidR="002278AA" w:rsidRPr="000F21D1" w:rsidRDefault="00C84135" w:rsidP="0006101A">
      <w:pPr>
        <w:spacing w:line="360" w:lineRule="auto"/>
        <w:jc w:val="both"/>
        <w:rPr>
          <w:rFonts w:ascii="Garamond" w:hAnsi="Garamond"/>
        </w:rPr>
      </w:pPr>
      <w:r w:rsidRPr="000F21D1">
        <w:rPr>
          <w:rFonts w:ascii="Garamond" w:hAnsi="Garamond"/>
        </w:rPr>
        <w:t>According to the preliminary estimates of State Statistics Service of</w:t>
      </w:r>
      <w:r w:rsidR="0086764D" w:rsidRPr="000F21D1">
        <w:rPr>
          <w:rFonts w:ascii="Garamond" w:hAnsi="Garamond"/>
          <w:lang w:val="hy-AM"/>
        </w:rPr>
        <w:t xml:space="preserve"> </w:t>
      </w:r>
      <w:r w:rsidRPr="000F21D1">
        <w:rPr>
          <w:rFonts w:ascii="Garamond" w:hAnsi="Garamond"/>
          <w:b/>
        </w:rPr>
        <w:t>Russian Federation</w:t>
      </w:r>
      <w:r w:rsidRPr="000F21D1">
        <w:rPr>
          <w:rFonts w:ascii="Garamond" w:hAnsi="Garamond"/>
        </w:rPr>
        <w:t xml:space="preserve">, </w:t>
      </w:r>
      <w:r w:rsidR="00BB1C12" w:rsidRPr="000F21D1">
        <w:rPr>
          <w:rFonts w:ascii="Garamond" w:hAnsi="Garamond"/>
        </w:rPr>
        <w:t xml:space="preserve">economic decline </w:t>
      </w:r>
      <w:r w:rsidR="002278AA" w:rsidRPr="000F21D1">
        <w:rPr>
          <w:rFonts w:ascii="Garamond" w:hAnsi="Garamond"/>
        </w:rPr>
        <w:t xml:space="preserve">in the </w:t>
      </w:r>
      <w:r w:rsidR="00BB1C12" w:rsidRPr="000F21D1">
        <w:rPr>
          <w:rFonts w:ascii="Garamond" w:hAnsi="Garamond"/>
        </w:rPr>
        <w:t>second</w:t>
      </w:r>
      <w:r w:rsidR="002278AA" w:rsidRPr="000F21D1">
        <w:rPr>
          <w:rFonts w:ascii="Garamond" w:hAnsi="Garamond"/>
        </w:rPr>
        <w:t xml:space="preserve"> quarter of 2016 </w:t>
      </w:r>
      <w:r w:rsidR="00CB32F9" w:rsidRPr="000F21D1">
        <w:rPr>
          <w:rFonts w:ascii="Garamond" w:hAnsi="Garamond"/>
        </w:rPr>
        <w:t>was 0</w:t>
      </w:r>
      <w:r w:rsidRPr="000F21D1">
        <w:rPr>
          <w:rFonts w:ascii="Garamond" w:hAnsi="Garamond"/>
        </w:rPr>
        <w:t>.</w:t>
      </w:r>
      <w:r w:rsidR="00CB32F9" w:rsidRPr="000F21D1">
        <w:rPr>
          <w:rFonts w:ascii="Garamond" w:hAnsi="Garamond"/>
        </w:rPr>
        <w:t>6</w:t>
      </w:r>
      <w:r w:rsidRPr="000F21D1">
        <w:rPr>
          <w:rFonts w:ascii="Garamond" w:hAnsi="Garamond"/>
        </w:rPr>
        <w:t>% (previous quarter’s figure of d</w:t>
      </w:r>
      <w:r w:rsidR="002278AA" w:rsidRPr="000F21D1">
        <w:rPr>
          <w:rFonts w:ascii="Garamond" w:hAnsi="Garamond"/>
        </w:rPr>
        <w:t>ecline</w:t>
      </w:r>
      <w:r w:rsidRPr="000F21D1">
        <w:rPr>
          <w:rFonts w:ascii="Garamond" w:hAnsi="Garamond"/>
        </w:rPr>
        <w:t xml:space="preserve">: </w:t>
      </w:r>
      <w:r w:rsidR="00CB32F9" w:rsidRPr="000F21D1">
        <w:rPr>
          <w:rFonts w:ascii="Garamond" w:hAnsi="Garamond"/>
        </w:rPr>
        <w:t>1</w:t>
      </w:r>
      <w:r w:rsidRPr="000F21D1">
        <w:rPr>
          <w:rFonts w:ascii="Garamond" w:hAnsi="Garamond"/>
        </w:rPr>
        <w:t>.</w:t>
      </w:r>
      <w:r w:rsidR="00CB32F9" w:rsidRPr="000F21D1">
        <w:rPr>
          <w:rFonts w:ascii="Garamond" w:hAnsi="Garamond"/>
        </w:rPr>
        <w:t>2</w:t>
      </w:r>
      <w:r w:rsidRPr="000F21D1">
        <w:rPr>
          <w:rFonts w:ascii="Garamond" w:hAnsi="Garamond"/>
        </w:rPr>
        <w:t>%).</w:t>
      </w:r>
      <w:r w:rsidR="002278AA" w:rsidRPr="000F21D1">
        <w:rPr>
          <w:rFonts w:ascii="Garamond" w:hAnsi="Garamond"/>
        </w:rPr>
        <w:t xml:space="preserve"> </w:t>
      </w:r>
      <w:r w:rsidR="00674919" w:rsidRPr="000F21D1">
        <w:rPr>
          <w:rFonts w:ascii="Garamond" w:hAnsi="Garamond"/>
        </w:rPr>
        <w:t xml:space="preserve">With international oil prices posting some rise, </w:t>
      </w:r>
      <w:r w:rsidR="002278AA" w:rsidRPr="000F21D1">
        <w:rPr>
          <w:rFonts w:ascii="Garamond" w:hAnsi="Garamond"/>
        </w:rPr>
        <w:t xml:space="preserve">the Russian ruble </w:t>
      </w:r>
      <w:r w:rsidR="00674919" w:rsidRPr="000F21D1">
        <w:rPr>
          <w:rFonts w:ascii="Garamond" w:hAnsi="Garamond"/>
        </w:rPr>
        <w:t xml:space="preserve">appreciated during the second quarter </w:t>
      </w:r>
      <w:r w:rsidR="002278AA" w:rsidRPr="000F21D1">
        <w:rPr>
          <w:rFonts w:ascii="Garamond" w:hAnsi="Garamond"/>
        </w:rPr>
        <w:t>by 13.</w:t>
      </w:r>
      <w:r w:rsidR="00674919" w:rsidRPr="000F21D1">
        <w:rPr>
          <w:rFonts w:ascii="Garamond" w:hAnsi="Garamond"/>
        </w:rPr>
        <w:t>8</w:t>
      </w:r>
      <w:r w:rsidR="002278AA" w:rsidRPr="000F21D1">
        <w:rPr>
          <w:rFonts w:ascii="Garamond" w:hAnsi="Garamond"/>
        </w:rPr>
        <w:t xml:space="preserve">% q/q (with y/y depreciation amounting to </w:t>
      </w:r>
      <w:r w:rsidR="00674919" w:rsidRPr="000F21D1">
        <w:rPr>
          <w:rFonts w:ascii="Garamond" w:hAnsi="Garamond"/>
        </w:rPr>
        <w:t>20</w:t>
      </w:r>
      <w:r w:rsidR="002278AA" w:rsidRPr="000F21D1">
        <w:rPr>
          <w:rFonts w:ascii="Garamond" w:hAnsi="Garamond"/>
        </w:rPr>
        <w:t>.</w:t>
      </w:r>
      <w:r w:rsidR="00674919" w:rsidRPr="000F21D1">
        <w:rPr>
          <w:rFonts w:ascii="Garamond" w:hAnsi="Garamond"/>
        </w:rPr>
        <w:t>1</w:t>
      </w:r>
      <w:r w:rsidR="002278AA" w:rsidRPr="000F21D1">
        <w:rPr>
          <w:rFonts w:ascii="Garamond" w:hAnsi="Garamond"/>
        </w:rPr>
        <w:t xml:space="preserve">%). </w:t>
      </w:r>
      <w:r w:rsidR="00393C1D" w:rsidRPr="000F21D1">
        <w:rPr>
          <w:rFonts w:ascii="Garamond" w:hAnsi="Garamond"/>
        </w:rPr>
        <w:t xml:space="preserve">Under </w:t>
      </w:r>
      <w:r w:rsidR="002B30E4" w:rsidRPr="000F21D1">
        <w:rPr>
          <w:rFonts w:ascii="Garamond" w:hAnsi="Garamond"/>
        </w:rPr>
        <w:t xml:space="preserve">such circumstances as well as reducing </w:t>
      </w:r>
      <w:r w:rsidR="00015E64" w:rsidRPr="000F21D1">
        <w:rPr>
          <w:rFonts w:ascii="Garamond" w:hAnsi="Garamond"/>
        </w:rPr>
        <w:t>inflation</w:t>
      </w:r>
      <w:r w:rsidR="0086764D" w:rsidRPr="000F21D1">
        <w:rPr>
          <w:rFonts w:ascii="Garamond" w:hAnsi="Garamond"/>
          <w:lang w:val="hy-AM"/>
        </w:rPr>
        <w:t xml:space="preserve"> </w:t>
      </w:r>
      <w:r w:rsidR="00015E64" w:rsidRPr="000F21D1">
        <w:rPr>
          <w:rFonts w:ascii="Garamond" w:hAnsi="Garamond"/>
        </w:rPr>
        <w:t>expectations</w:t>
      </w:r>
      <w:r w:rsidR="002B30E4" w:rsidRPr="000F21D1">
        <w:rPr>
          <w:rFonts w:ascii="Garamond" w:hAnsi="Garamond"/>
        </w:rPr>
        <w:t>,</w:t>
      </w:r>
      <w:r w:rsidR="00015E64" w:rsidRPr="000F21D1">
        <w:rPr>
          <w:rFonts w:ascii="Garamond" w:hAnsi="Garamond"/>
        </w:rPr>
        <w:t xml:space="preserve"> </w:t>
      </w:r>
      <w:r w:rsidR="002278AA" w:rsidRPr="000F21D1">
        <w:rPr>
          <w:rFonts w:ascii="Garamond" w:hAnsi="Garamond"/>
        </w:rPr>
        <w:t xml:space="preserve">the Bank of Russia </w:t>
      </w:r>
      <w:r w:rsidR="002B30E4" w:rsidRPr="000F21D1">
        <w:rPr>
          <w:rFonts w:ascii="Garamond" w:hAnsi="Garamond"/>
        </w:rPr>
        <w:t>cut</w:t>
      </w:r>
      <w:r w:rsidR="00015E64" w:rsidRPr="000F21D1">
        <w:rPr>
          <w:rFonts w:ascii="Garamond" w:hAnsi="Garamond"/>
        </w:rPr>
        <w:t xml:space="preserve"> the policy rates </w:t>
      </w:r>
      <w:r w:rsidR="002B30E4" w:rsidRPr="000F21D1">
        <w:rPr>
          <w:rFonts w:ascii="Garamond" w:hAnsi="Garamond"/>
        </w:rPr>
        <w:t xml:space="preserve">by 0.5 pp to </w:t>
      </w:r>
      <w:r w:rsidR="002278AA" w:rsidRPr="000F21D1">
        <w:rPr>
          <w:rFonts w:ascii="Garamond" w:hAnsi="Garamond"/>
        </w:rPr>
        <w:t>1</w:t>
      </w:r>
      <w:r w:rsidR="002B30E4" w:rsidRPr="000F21D1">
        <w:rPr>
          <w:rFonts w:ascii="Garamond" w:hAnsi="Garamond"/>
        </w:rPr>
        <w:t>0</w:t>
      </w:r>
      <w:r w:rsidR="002278AA" w:rsidRPr="000F21D1">
        <w:rPr>
          <w:rFonts w:ascii="Garamond" w:hAnsi="Garamond"/>
        </w:rPr>
        <w:t>.</w:t>
      </w:r>
      <w:r w:rsidR="002B30E4" w:rsidRPr="000F21D1">
        <w:rPr>
          <w:rFonts w:ascii="Garamond" w:hAnsi="Garamond"/>
        </w:rPr>
        <w:t>5</w:t>
      </w:r>
      <w:r w:rsidR="002278AA" w:rsidRPr="000F21D1">
        <w:rPr>
          <w:rFonts w:ascii="Garamond" w:hAnsi="Garamond"/>
        </w:rPr>
        <w:t>%</w:t>
      </w:r>
      <w:r w:rsidR="002B30E4" w:rsidRPr="000F21D1">
        <w:rPr>
          <w:rFonts w:ascii="Garamond" w:hAnsi="Garamond"/>
        </w:rPr>
        <w:t xml:space="preserve"> in the second quarter</w:t>
      </w:r>
      <w:r w:rsidR="002278AA" w:rsidRPr="000F21D1">
        <w:rPr>
          <w:rFonts w:ascii="Garamond" w:hAnsi="Garamond"/>
        </w:rPr>
        <w:t xml:space="preserve">, </w:t>
      </w:r>
      <w:r w:rsidR="00393C1D" w:rsidRPr="000F21D1">
        <w:rPr>
          <w:rFonts w:ascii="Garamond" w:hAnsi="Garamond"/>
        </w:rPr>
        <w:t>w</w:t>
      </w:r>
      <w:r w:rsidR="002B30E4" w:rsidRPr="000F21D1">
        <w:rPr>
          <w:rFonts w:ascii="Garamond" w:hAnsi="Garamond"/>
        </w:rPr>
        <w:t xml:space="preserve">ith </w:t>
      </w:r>
      <w:r w:rsidR="002278AA" w:rsidRPr="000F21D1">
        <w:rPr>
          <w:rFonts w:ascii="Garamond" w:hAnsi="Garamond"/>
        </w:rPr>
        <w:t xml:space="preserve">the 12-month inflation </w:t>
      </w:r>
      <w:r w:rsidR="002B30E4" w:rsidRPr="000F21D1">
        <w:rPr>
          <w:rFonts w:ascii="Garamond" w:hAnsi="Garamond"/>
        </w:rPr>
        <w:t xml:space="preserve">rate </w:t>
      </w:r>
      <w:r w:rsidR="002278AA" w:rsidRPr="000F21D1">
        <w:rPr>
          <w:rFonts w:ascii="Garamond" w:hAnsi="Garamond"/>
        </w:rPr>
        <w:t>ha</w:t>
      </w:r>
      <w:r w:rsidR="002B30E4" w:rsidRPr="000F21D1">
        <w:rPr>
          <w:rFonts w:ascii="Garamond" w:hAnsi="Garamond"/>
        </w:rPr>
        <w:t>ving subdued to</w:t>
      </w:r>
      <w:r w:rsidR="00393C1D" w:rsidRPr="000F21D1">
        <w:rPr>
          <w:rFonts w:ascii="Garamond" w:hAnsi="Garamond"/>
        </w:rPr>
        <w:t xml:space="preserve"> </w:t>
      </w:r>
      <w:r w:rsidR="002278AA" w:rsidRPr="000F21D1">
        <w:rPr>
          <w:rFonts w:ascii="Garamond" w:hAnsi="Garamond"/>
        </w:rPr>
        <w:t>7.</w:t>
      </w:r>
      <w:r w:rsidR="002B30E4" w:rsidRPr="000F21D1">
        <w:rPr>
          <w:rFonts w:ascii="Garamond" w:hAnsi="Garamond"/>
        </w:rPr>
        <w:t>1</w:t>
      </w:r>
      <w:r w:rsidR="002278AA" w:rsidRPr="000F21D1">
        <w:rPr>
          <w:rFonts w:ascii="Garamond" w:hAnsi="Garamond"/>
        </w:rPr>
        <w:t xml:space="preserve">% </w:t>
      </w:r>
      <w:r w:rsidR="002B30E4" w:rsidRPr="000F21D1">
        <w:rPr>
          <w:rFonts w:ascii="Garamond" w:hAnsi="Garamond"/>
        </w:rPr>
        <w:t xml:space="preserve">from </w:t>
      </w:r>
      <w:r w:rsidR="00393C1D" w:rsidRPr="000F21D1">
        <w:rPr>
          <w:rFonts w:ascii="Garamond" w:hAnsi="Garamond"/>
        </w:rPr>
        <w:t xml:space="preserve">the previous quarter’s respective figure of </w:t>
      </w:r>
      <w:r w:rsidR="002B30E4" w:rsidRPr="000F21D1">
        <w:rPr>
          <w:rFonts w:ascii="Garamond" w:hAnsi="Garamond"/>
        </w:rPr>
        <w:t>7</w:t>
      </w:r>
      <w:r w:rsidR="002278AA" w:rsidRPr="000F21D1">
        <w:rPr>
          <w:rFonts w:ascii="Garamond" w:hAnsi="Garamond"/>
        </w:rPr>
        <w:t>.</w:t>
      </w:r>
      <w:r w:rsidR="002B30E4" w:rsidRPr="000F21D1">
        <w:rPr>
          <w:rFonts w:ascii="Garamond" w:hAnsi="Garamond"/>
        </w:rPr>
        <w:t>9</w:t>
      </w:r>
      <w:r w:rsidR="002278AA" w:rsidRPr="000F21D1">
        <w:rPr>
          <w:rFonts w:ascii="Garamond" w:hAnsi="Garamond"/>
        </w:rPr>
        <w:t>%.</w:t>
      </w:r>
    </w:p>
    <w:p w14:paraId="191F409C" w14:textId="77777777" w:rsidR="00DB6B0F" w:rsidRPr="000F21D1" w:rsidRDefault="00DB6B0F" w:rsidP="0006101A">
      <w:pPr>
        <w:spacing w:line="360" w:lineRule="auto"/>
        <w:jc w:val="both"/>
        <w:rPr>
          <w:rFonts w:ascii="Garamond" w:hAnsi="Garamond"/>
        </w:rPr>
      </w:pPr>
    </w:p>
    <w:p w14:paraId="5EFE654E" w14:textId="77777777" w:rsidR="00DB6B0F" w:rsidRPr="000F21D1" w:rsidRDefault="00DB6B0F" w:rsidP="0006101A">
      <w:pPr>
        <w:spacing w:line="360" w:lineRule="auto"/>
        <w:jc w:val="both"/>
        <w:rPr>
          <w:rFonts w:ascii="Garamond" w:hAnsi="Garamond"/>
        </w:rPr>
      </w:pPr>
      <w:r w:rsidRPr="000F21D1">
        <w:rPr>
          <w:rFonts w:ascii="Garamond" w:hAnsi="Garamond"/>
        </w:rPr>
        <w:t xml:space="preserve">In the </w:t>
      </w:r>
      <w:r w:rsidR="007F35EA" w:rsidRPr="000F21D1">
        <w:rPr>
          <w:rFonts w:ascii="Garamond" w:hAnsi="Garamond"/>
        </w:rPr>
        <w:t>second</w:t>
      </w:r>
      <w:r w:rsidRPr="000F21D1">
        <w:rPr>
          <w:rFonts w:ascii="Garamond" w:hAnsi="Garamond"/>
        </w:rPr>
        <w:t xml:space="preserve"> quarter of 2016 the </w:t>
      </w:r>
      <w:r w:rsidRPr="000F21D1">
        <w:rPr>
          <w:rFonts w:ascii="Garamond" w:hAnsi="Garamond"/>
          <w:b/>
        </w:rPr>
        <w:t>price of Brent crude oil</w:t>
      </w:r>
      <w:r w:rsidRPr="000F21D1">
        <w:rPr>
          <w:rFonts w:ascii="Garamond" w:hAnsi="Garamond"/>
        </w:rPr>
        <w:t xml:space="preserve"> at </w:t>
      </w:r>
      <w:r w:rsidRPr="000F21D1">
        <w:rPr>
          <w:rFonts w:ascii="Garamond" w:hAnsi="Garamond"/>
          <w:iCs/>
        </w:rPr>
        <w:t xml:space="preserve">Intercontinental Exchange </w:t>
      </w:r>
      <w:r w:rsidR="007F35EA" w:rsidRPr="000F21D1">
        <w:rPr>
          <w:rFonts w:ascii="Garamond" w:hAnsi="Garamond"/>
          <w:iCs/>
        </w:rPr>
        <w:t>grew</w:t>
      </w:r>
      <w:r w:rsidRPr="000F21D1">
        <w:rPr>
          <w:rFonts w:ascii="Garamond" w:hAnsi="Garamond"/>
          <w:iCs/>
        </w:rPr>
        <w:t xml:space="preserve"> </w:t>
      </w:r>
      <w:r w:rsidR="00F91A6F" w:rsidRPr="000F21D1">
        <w:rPr>
          <w:rFonts w:ascii="Garamond" w:hAnsi="Garamond"/>
          <w:iCs/>
        </w:rPr>
        <w:t xml:space="preserve">against the previous quarter </w:t>
      </w:r>
      <w:r w:rsidR="007F35EA" w:rsidRPr="000F21D1">
        <w:rPr>
          <w:rFonts w:ascii="Garamond" w:hAnsi="Garamond"/>
          <w:iCs/>
        </w:rPr>
        <w:t>by about 34.2%</w:t>
      </w:r>
      <w:r w:rsidR="00F91A6F" w:rsidRPr="000F21D1">
        <w:rPr>
          <w:rFonts w:ascii="Garamond" w:hAnsi="Garamond"/>
          <w:iCs/>
        </w:rPr>
        <w:t xml:space="preserve"> </w:t>
      </w:r>
      <w:r w:rsidR="00E137D0" w:rsidRPr="000F21D1">
        <w:rPr>
          <w:rFonts w:ascii="Garamond" w:hAnsi="Garamond"/>
        </w:rPr>
        <w:t xml:space="preserve">to </w:t>
      </w:r>
      <w:r w:rsidRPr="000F21D1">
        <w:rPr>
          <w:rFonts w:ascii="Garamond" w:hAnsi="Garamond"/>
        </w:rPr>
        <w:t xml:space="preserve">USD </w:t>
      </w:r>
      <w:r w:rsidR="00F91A6F" w:rsidRPr="000F21D1">
        <w:rPr>
          <w:rFonts w:ascii="Garamond" w:hAnsi="Garamond"/>
        </w:rPr>
        <w:t>45</w:t>
      </w:r>
      <w:r w:rsidRPr="000F21D1">
        <w:rPr>
          <w:rFonts w:ascii="Garamond" w:hAnsi="Garamond"/>
        </w:rPr>
        <w:t>.</w:t>
      </w:r>
      <w:r w:rsidR="00F91A6F" w:rsidRPr="000F21D1">
        <w:rPr>
          <w:rFonts w:ascii="Garamond" w:hAnsi="Garamond"/>
        </w:rPr>
        <w:t>9</w:t>
      </w:r>
      <w:r w:rsidRPr="000F21D1">
        <w:rPr>
          <w:rFonts w:ascii="Garamond" w:hAnsi="Garamond"/>
        </w:rPr>
        <w:t xml:space="preserve"> a barrel </w:t>
      </w:r>
      <w:r w:rsidR="00F91A6F" w:rsidRPr="000F21D1">
        <w:rPr>
          <w:rFonts w:ascii="Garamond" w:hAnsi="Garamond"/>
        </w:rPr>
        <w:t xml:space="preserve">on average </w:t>
      </w:r>
      <w:r w:rsidRPr="000F21D1">
        <w:rPr>
          <w:rFonts w:ascii="Garamond" w:hAnsi="Garamond"/>
        </w:rPr>
        <w:t xml:space="preserve">(with </w:t>
      </w:r>
      <w:r w:rsidR="00F91A6F" w:rsidRPr="000F21D1">
        <w:rPr>
          <w:rFonts w:ascii="Garamond" w:hAnsi="Garamond"/>
        </w:rPr>
        <w:t xml:space="preserve">28.6% y/y decrease). The rise in oil prices was mainly due to seasonal increase in demand, decline in production volumes in some oil-producing countries and depreciation of the U.S. dollar, but it should be noted that </w:t>
      </w:r>
      <w:r w:rsidR="00E137D0" w:rsidRPr="000F21D1">
        <w:rPr>
          <w:rFonts w:ascii="Garamond" w:hAnsi="Garamond"/>
        </w:rPr>
        <w:t xml:space="preserve">international oil prices </w:t>
      </w:r>
      <w:r w:rsidR="00F91A6F" w:rsidRPr="000F21D1">
        <w:rPr>
          <w:rFonts w:ascii="Garamond" w:hAnsi="Garamond"/>
        </w:rPr>
        <w:t xml:space="preserve">trended somewhat downward </w:t>
      </w:r>
      <w:r w:rsidR="00E137D0" w:rsidRPr="000F21D1">
        <w:rPr>
          <w:rFonts w:ascii="Garamond" w:hAnsi="Garamond"/>
        </w:rPr>
        <w:t>at the end of the quarter.</w:t>
      </w:r>
    </w:p>
    <w:p w14:paraId="608149DC" w14:textId="77777777" w:rsidR="00E137D0" w:rsidRPr="000F21D1" w:rsidRDefault="00E137D0" w:rsidP="0006101A">
      <w:pPr>
        <w:spacing w:line="360" w:lineRule="auto"/>
        <w:jc w:val="both"/>
        <w:rPr>
          <w:rFonts w:ascii="Garamond" w:hAnsi="Garamond"/>
        </w:rPr>
      </w:pPr>
    </w:p>
    <w:p w14:paraId="5AFB65AC" w14:textId="77777777" w:rsidR="00E137D0" w:rsidRPr="000F21D1" w:rsidRDefault="00E137D0" w:rsidP="0006101A">
      <w:pPr>
        <w:spacing w:line="360" w:lineRule="auto"/>
        <w:jc w:val="both"/>
        <w:rPr>
          <w:rFonts w:ascii="Garamond" w:hAnsi="Garamond"/>
        </w:rPr>
      </w:pPr>
      <w:r w:rsidRPr="000F21D1">
        <w:rPr>
          <w:rFonts w:ascii="Garamond" w:hAnsi="Garamond"/>
        </w:rPr>
        <w:t xml:space="preserve">In the </w:t>
      </w:r>
      <w:r w:rsidR="004726FE" w:rsidRPr="000F21D1">
        <w:rPr>
          <w:rFonts w:ascii="Garamond" w:hAnsi="Garamond"/>
        </w:rPr>
        <w:t>second</w:t>
      </w:r>
      <w:r w:rsidRPr="000F21D1">
        <w:rPr>
          <w:rFonts w:ascii="Garamond" w:hAnsi="Garamond"/>
        </w:rPr>
        <w:t xml:space="preserve"> quarter of 2016 the </w:t>
      </w:r>
      <w:r w:rsidRPr="000F21D1">
        <w:rPr>
          <w:rFonts w:ascii="Garamond" w:hAnsi="Garamond"/>
          <w:b/>
        </w:rPr>
        <w:t>price of copper</w:t>
      </w:r>
      <w:r w:rsidRPr="000F21D1">
        <w:rPr>
          <w:rFonts w:ascii="Garamond" w:hAnsi="Garamond"/>
        </w:rPr>
        <w:t xml:space="preserve"> at the London Metal Exchange </w:t>
      </w:r>
      <w:r w:rsidR="004726FE" w:rsidRPr="000F21D1">
        <w:rPr>
          <w:rFonts w:ascii="Garamond" w:hAnsi="Garamond"/>
        </w:rPr>
        <w:t>grew</w:t>
      </w:r>
      <w:r w:rsidRPr="000F21D1">
        <w:rPr>
          <w:rFonts w:ascii="Garamond" w:hAnsi="Garamond"/>
        </w:rPr>
        <w:t xml:space="preserve"> </w:t>
      </w:r>
      <w:r w:rsidR="00F1147D" w:rsidRPr="000F21D1">
        <w:rPr>
          <w:rFonts w:ascii="Garamond" w:hAnsi="Garamond"/>
        </w:rPr>
        <w:t xml:space="preserve">by 1.4% q/q </w:t>
      </w:r>
      <w:r w:rsidR="00B01D01" w:rsidRPr="000F21D1">
        <w:rPr>
          <w:rFonts w:ascii="Garamond" w:hAnsi="Garamond"/>
        </w:rPr>
        <w:t xml:space="preserve">against the previous quarter </w:t>
      </w:r>
      <w:r w:rsidRPr="000F21D1">
        <w:rPr>
          <w:rFonts w:ascii="Garamond" w:hAnsi="Garamond"/>
        </w:rPr>
        <w:t xml:space="preserve">(with </w:t>
      </w:r>
      <w:r w:rsidR="00B01D01" w:rsidRPr="000F21D1">
        <w:rPr>
          <w:rFonts w:ascii="Garamond" w:hAnsi="Garamond"/>
        </w:rPr>
        <w:t>21</w:t>
      </w:r>
      <w:r w:rsidRPr="000F21D1">
        <w:rPr>
          <w:rFonts w:ascii="Garamond" w:hAnsi="Garamond"/>
        </w:rPr>
        <w:t>.</w:t>
      </w:r>
      <w:r w:rsidR="00B01D01" w:rsidRPr="000F21D1">
        <w:rPr>
          <w:rFonts w:ascii="Garamond" w:hAnsi="Garamond"/>
        </w:rPr>
        <w:t>8</w:t>
      </w:r>
      <w:r w:rsidRPr="000F21D1">
        <w:rPr>
          <w:rFonts w:ascii="Garamond" w:hAnsi="Garamond"/>
        </w:rPr>
        <w:t>% price decrease y/y</w:t>
      </w:r>
      <w:r w:rsidR="00B01D01" w:rsidRPr="000F21D1">
        <w:rPr>
          <w:rFonts w:ascii="Garamond" w:hAnsi="Garamond"/>
        </w:rPr>
        <w:t>)</w:t>
      </w:r>
      <w:r w:rsidR="00DE3DF0" w:rsidRPr="000F21D1">
        <w:rPr>
          <w:rFonts w:ascii="Garamond" w:hAnsi="Garamond"/>
        </w:rPr>
        <w:t xml:space="preserve">, which was </w:t>
      </w:r>
      <w:r w:rsidR="00B01D01" w:rsidRPr="000F21D1">
        <w:rPr>
          <w:rFonts w:ascii="Garamond" w:hAnsi="Garamond"/>
        </w:rPr>
        <w:t>mostly determined by some contraction in</w:t>
      </w:r>
      <w:r w:rsidR="003360CC" w:rsidRPr="000F21D1">
        <w:rPr>
          <w:rFonts w:ascii="Garamond" w:hAnsi="Garamond"/>
        </w:rPr>
        <w:t xml:space="preserve"> the volumes of</w:t>
      </w:r>
      <w:r w:rsidR="00B01D01" w:rsidRPr="000F21D1">
        <w:rPr>
          <w:rFonts w:ascii="Garamond" w:hAnsi="Garamond"/>
        </w:rPr>
        <w:t xml:space="preserve"> supply </w:t>
      </w:r>
      <w:r w:rsidR="003360CC" w:rsidRPr="000F21D1">
        <w:rPr>
          <w:rFonts w:ascii="Garamond" w:hAnsi="Garamond"/>
        </w:rPr>
        <w:t xml:space="preserve">by </w:t>
      </w:r>
      <w:r w:rsidR="00B01D01" w:rsidRPr="000F21D1">
        <w:rPr>
          <w:rFonts w:ascii="Garamond" w:hAnsi="Garamond"/>
        </w:rPr>
        <w:t>major copper producers in Chi</w:t>
      </w:r>
      <w:r w:rsidRPr="000F21D1">
        <w:rPr>
          <w:rFonts w:ascii="Garamond" w:hAnsi="Garamond"/>
        </w:rPr>
        <w:t>na</w:t>
      </w:r>
      <w:r w:rsidR="003360CC" w:rsidRPr="000F21D1">
        <w:rPr>
          <w:rFonts w:ascii="Garamond" w:hAnsi="Garamond"/>
        </w:rPr>
        <w:t xml:space="preserve"> early in the quarter</w:t>
      </w:r>
      <w:r w:rsidRPr="000F21D1">
        <w:rPr>
          <w:rFonts w:ascii="Garamond" w:hAnsi="Garamond"/>
        </w:rPr>
        <w:t>.</w:t>
      </w:r>
    </w:p>
    <w:p w14:paraId="79784EC6" w14:textId="77777777" w:rsidR="00DE3DF0" w:rsidRPr="000F21D1" w:rsidRDefault="00DE3DF0" w:rsidP="0006101A">
      <w:pPr>
        <w:spacing w:line="360" w:lineRule="auto"/>
        <w:jc w:val="both"/>
        <w:rPr>
          <w:rFonts w:ascii="Garamond" w:hAnsi="Garamond"/>
        </w:rPr>
      </w:pPr>
    </w:p>
    <w:p w14:paraId="1772F339" w14:textId="77777777" w:rsidR="002278AA" w:rsidRPr="000F21D1" w:rsidRDefault="00DE3DF0" w:rsidP="0006101A">
      <w:pPr>
        <w:spacing w:line="360" w:lineRule="auto"/>
        <w:jc w:val="both"/>
        <w:rPr>
          <w:rStyle w:val="longtext"/>
          <w:rFonts w:ascii="Garamond" w:hAnsi="Garamond"/>
          <w:shd w:val="clear" w:color="auto" w:fill="FFFFFF"/>
        </w:rPr>
      </w:pPr>
      <w:r w:rsidRPr="000F21D1">
        <w:rPr>
          <w:rFonts w:ascii="Garamond" w:hAnsi="Garamond"/>
        </w:rPr>
        <w:t>The e</w:t>
      </w:r>
      <w:r w:rsidRPr="000F21D1">
        <w:rPr>
          <w:rStyle w:val="longtext"/>
          <w:rFonts w:ascii="Garamond" w:hAnsi="Garamond"/>
          <w:shd w:val="clear" w:color="auto" w:fill="FFFFFF"/>
        </w:rPr>
        <w:t xml:space="preserve">xport price of </w:t>
      </w:r>
      <w:r w:rsidRPr="000F21D1">
        <w:rPr>
          <w:rStyle w:val="longtext"/>
          <w:rFonts w:ascii="Garamond" w:hAnsi="Garamond"/>
          <w:b/>
          <w:shd w:val="clear" w:color="auto" w:fill="FFFFFF"/>
        </w:rPr>
        <w:t xml:space="preserve">hard red wheat </w:t>
      </w:r>
      <w:r w:rsidR="003360CC" w:rsidRPr="000F21D1">
        <w:rPr>
          <w:rStyle w:val="longtext"/>
          <w:rFonts w:ascii="Garamond" w:hAnsi="Garamond"/>
          <w:shd w:val="clear" w:color="auto" w:fill="FFFFFF"/>
        </w:rPr>
        <w:t xml:space="preserve">followed a downward path </w:t>
      </w:r>
      <w:r w:rsidRPr="000F21D1">
        <w:rPr>
          <w:rStyle w:val="longtext"/>
          <w:rFonts w:ascii="Garamond" w:hAnsi="Garamond"/>
          <w:shd w:val="clear" w:color="auto" w:fill="FFFFFF"/>
        </w:rPr>
        <w:t xml:space="preserve">during </w:t>
      </w:r>
      <w:r w:rsidRPr="000F21D1">
        <w:rPr>
          <w:rFonts w:ascii="Garamond" w:hAnsi="Garamond"/>
        </w:rPr>
        <w:t xml:space="preserve">the </w:t>
      </w:r>
      <w:r w:rsidR="003360CC" w:rsidRPr="000F21D1">
        <w:rPr>
          <w:rFonts w:ascii="Garamond" w:hAnsi="Garamond"/>
        </w:rPr>
        <w:t>second</w:t>
      </w:r>
      <w:r w:rsidRPr="000F21D1">
        <w:rPr>
          <w:rFonts w:ascii="Garamond" w:hAnsi="Garamond"/>
        </w:rPr>
        <w:t xml:space="preserve"> quarter </w:t>
      </w:r>
      <w:r w:rsidR="003360CC" w:rsidRPr="000F21D1">
        <w:rPr>
          <w:rFonts w:ascii="Garamond" w:hAnsi="Garamond"/>
        </w:rPr>
        <w:t xml:space="preserve">too, </w:t>
      </w:r>
      <w:r w:rsidR="00A95B49" w:rsidRPr="000F21D1">
        <w:rPr>
          <w:rFonts w:ascii="Garamond" w:hAnsi="Garamond"/>
        </w:rPr>
        <w:t>owing to</w:t>
      </w:r>
      <w:r w:rsidRPr="000F21D1">
        <w:rPr>
          <w:rFonts w:ascii="Garamond" w:hAnsi="Garamond"/>
        </w:rPr>
        <w:t xml:space="preserve"> </w:t>
      </w:r>
      <w:r w:rsidRPr="000F21D1">
        <w:rPr>
          <w:rStyle w:val="longtext"/>
          <w:rFonts w:ascii="Garamond" w:hAnsi="Garamond"/>
        </w:rPr>
        <w:t>large worldwide production volumes and sizable inventories</w:t>
      </w:r>
      <w:r w:rsidR="003360CC" w:rsidRPr="000F21D1">
        <w:rPr>
          <w:rStyle w:val="longtext"/>
          <w:rFonts w:ascii="Garamond" w:hAnsi="Garamond"/>
        </w:rPr>
        <w:t>.</w:t>
      </w:r>
      <w:r w:rsidR="0086764D" w:rsidRPr="000F21D1">
        <w:rPr>
          <w:rStyle w:val="longtext"/>
          <w:rFonts w:ascii="Garamond" w:hAnsi="Garamond"/>
          <w:lang w:val="hy-AM"/>
        </w:rPr>
        <w:t xml:space="preserve"> </w:t>
      </w:r>
      <w:r w:rsidR="00A95B49" w:rsidRPr="000F21D1">
        <w:rPr>
          <w:rStyle w:val="longtext"/>
          <w:rFonts w:ascii="Garamond" w:hAnsi="Garamond"/>
        </w:rPr>
        <w:t>This</w:t>
      </w:r>
      <w:r w:rsidR="00A95B49" w:rsidRPr="000F21D1">
        <w:rPr>
          <w:rStyle w:val="longtext"/>
          <w:rFonts w:ascii="Garamond" w:hAnsi="Garamond"/>
          <w:lang w:val="hy-AM"/>
        </w:rPr>
        <w:t xml:space="preserve"> quarter</w:t>
      </w:r>
      <w:r w:rsidR="00F1147D" w:rsidRPr="000F21D1">
        <w:rPr>
          <w:rStyle w:val="longtext"/>
          <w:rFonts w:ascii="Garamond" w:hAnsi="Garamond"/>
        </w:rPr>
        <w:t>,</w:t>
      </w:r>
      <w:r w:rsidR="00A95B49" w:rsidRPr="000F21D1">
        <w:rPr>
          <w:rStyle w:val="longtext"/>
          <w:rFonts w:ascii="Garamond" w:hAnsi="Garamond"/>
          <w:lang w:val="hy-AM"/>
        </w:rPr>
        <w:t xml:space="preserve"> the wheat </w:t>
      </w:r>
      <w:r w:rsidR="00A95B49" w:rsidRPr="000F21D1">
        <w:rPr>
          <w:rStyle w:val="longtext"/>
          <w:rFonts w:ascii="Garamond" w:hAnsi="Garamond"/>
        </w:rPr>
        <w:t xml:space="preserve">price fell </w:t>
      </w:r>
      <w:r w:rsidR="00A95B49" w:rsidRPr="000F21D1">
        <w:rPr>
          <w:rStyle w:val="longtext"/>
          <w:rFonts w:ascii="Garamond" w:hAnsi="Garamond"/>
          <w:lang w:val="hy-AM"/>
        </w:rPr>
        <w:t xml:space="preserve">by 2.1% </w:t>
      </w:r>
      <w:r w:rsidR="00A95B49" w:rsidRPr="000F21D1">
        <w:rPr>
          <w:rStyle w:val="longtext"/>
          <w:rFonts w:ascii="Garamond" w:hAnsi="Garamond"/>
        </w:rPr>
        <w:t xml:space="preserve">against the previous quarter </w:t>
      </w:r>
      <w:r w:rsidR="00A95B49" w:rsidRPr="000F21D1">
        <w:rPr>
          <w:rStyle w:val="longtext"/>
          <w:rFonts w:ascii="Garamond" w:hAnsi="Garamond"/>
          <w:lang w:val="hy-AM"/>
        </w:rPr>
        <w:t>(</w:t>
      </w:r>
      <w:r w:rsidR="00F1147D" w:rsidRPr="000F21D1">
        <w:rPr>
          <w:rStyle w:val="longtext"/>
          <w:rFonts w:ascii="Garamond" w:hAnsi="Garamond"/>
        </w:rPr>
        <w:t xml:space="preserve">with </w:t>
      </w:r>
      <w:r w:rsidR="00A95B49" w:rsidRPr="000F21D1">
        <w:rPr>
          <w:rStyle w:val="longtext"/>
          <w:rFonts w:ascii="Garamond" w:hAnsi="Garamond"/>
          <w:lang w:val="hy-AM"/>
        </w:rPr>
        <w:t>18.9%</w:t>
      </w:r>
      <w:r w:rsidR="00F1147D" w:rsidRPr="000F21D1">
        <w:rPr>
          <w:rStyle w:val="longtext"/>
          <w:rFonts w:ascii="Garamond" w:hAnsi="Garamond"/>
        </w:rPr>
        <w:t xml:space="preserve"> decrease y/y</w:t>
      </w:r>
      <w:r w:rsidR="00A95B49" w:rsidRPr="000F21D1">
        <w:rPr>
          <w:rStyle w:val="longtext"/>
          <w:rFonts w:ascii="Garamond" w:hAnsi="Garamond"/>
          <w:lang w:val="hy-AM"/>
        </w:rPr>
        <w:t>)</w:t>
      </w:r>
      <w:r w:rsidR="00F1147D" w:rsidRPr="000F21D1">
        <w:rPr>
          <w:rStyle w:val="longtext"/>
          <w:rFonts w:ascii="Garamond" w:hAnsi="Garamond"/>
        </w:rPr>
        <w:t xml:space="preserve"> </w:t>
      </w:r>
      <w:r w:rsidRPr="000F21D1">
        <w:rPr>
          <w:rStyle w:val="longtext"/>
          <w:rFonts w:ascii="Garamond" w:hAnsi="Garamond"/>
        </w:rPr>
        <w:t xml:space="preserve">to </w:t>
      </w:r>
      <w:r w:rsidRPr="000F21D1">
        <w:rPr>
          <w:rStyle w:val="longtext"/>
          <w:rFonts w:ascii="Garamond" w:hAnsi="Garamond"/>
          <w:shd w:val="clear" w:color="auto" w:fill="FFFFFF"/>
        </w:rPr>
        <w:t>USD 4.3 a bushel</w:t>
      </w:r>
      <w:r w:rsidR="00F1147D" w:rsidRPr="000F21D1">
        <w:rPr>
          <w:rStyle w:val="longtext"/>
          <w:rFonts w:ascii="Garamond" w:hAnsi="Garamond"/>
          <w:shd w:val="clear" w:color="auto" w:fill="FFFFFF"/>
        </w:rPr>
        <w:t xml:space="preserve"> on average</w:t>
      </w:r>
      <w:r w:rsidRPr="000F21D1">
        <w:rPr>
          <w:rStyle w:val="longtext"/>
          <w:rFonts w:ascii="Garamond" w:hAnsi="Garamond"/>
          <w:shd w:val="clear" w:color="auto" w:fill="FFFFFF"/>
        </w:rPr>
        <w:t xml:space="preserve">. </w:t>
      </w:r>
    </w:p>
    <w:p w14:paraId="2FE99DC3" w14:textId="77777777" w:rsidR="00A36A51" w:rsidRPr="000F21D1" w:rsidRDefault="00A36A51" w:rsidP="0006101A">
      <w:pPr>
        <w:spacing w:line="360" w:lineRule="auto"/>
        <w:jc w:val="both"/>
        <w:rPr>
          <w:rStyle w:val="longtext"/>
          <w:rFonts w:ascii="Garamond" w:hAnsi="Garamond"/>
          <w:shd w:val="clear" w:color="auto" w:fill="FFFFFF"/>
        </w:rPr>
      </w:pPr>
    </w:p>
    <w:p w14:paraId="30560354" w14:textId="77777777" w:rsidR="00A36A51" w:rsidRPr="000F21D1" w:rsidRDefault="00A36A51" w:rsidP="0006101A">
      <w:pPr>
        <w:spacing w:line="360" w:lineRule="auto"/>
        <w:jc w:val="both"/>
        <w:rPr>
          <w:rStyle w:val="longtext"/>
          <w:rFonts w:ascii="Garamond" w:hAnsi="Garamond"/>
          <w:shd w:val="clear" w:color="auto" w:fill="FFFFFF"/>
        </w:rPr>
      </w:pPr>
      <w:r w:rsidRPr="000F21D1">
        <w:rPr>
          <w:rStyle w:val="longtext"/>
          <w:rFonts w:ascii="Garamond" w:hAnsi="Garamond"/>
        </w:rPr>
        <w:t xml:space="preserve">In the </w:t>
      </w:r>
      <w:r w:rsidR="0001484B" w:rsidRPr="000F21D1">
        <w:rPr>
          <w:rStyle w:val="longtext"/>
          <w:rFonts w:ascii="Garamond" w:hAnsi="Garamond"/>
        </w:rPr>
        <w:t>second</w:t>
      </w:r>
      <w:r w:rsidRPr="000F21D1">
        <w:rPr>
          <w:rStyle w:val="longtext"/>
          <w:rFonts w:ascii="Garamond" w:hAnsi="Garamond"/>
        </w:rPr>
        <w:t xml:space="preserve"> quarter of 2016 the price index of </w:t>
      </w:r>
      <w:r w:rsidRPr="000F21D1">
        <w:rPr>
          <w:rStyle w:val="longtext"/>
          <w:rFonts w:ascii="Garamond" w:hAnsi="Garamond"/>
          <w:b/>
        </w:rPr>
        <w:t>unprocessed sugar</w:t>
      </w:r>
      <w:r w:rsidRPr="000F21D1">
        <w:rPr>
          <w:rStyle w:val="longtext"/>
          <w:rFonts w:ascii="Garamond" w:hAnsi="Garamond"/>
        </w:rPr>
        <w:t xml:space="preserve"> at the </w:t>
      </w:r>
      <w:r w:rsidRPr="000F21D1">
        <w:rPr>
          <w:rFonts w:ascii="Garamond" w:eastAsia="MS Mincho" w:hAnsi="Garamond"/>
          <w:iCs/>
        </w:rPr>
        <w:t>New York Board-Intercontinental Exchange</w:t>
      </w:r>
      <w:r w:rsidR="0086764D" w:rsidRPr="000F21D1">
        <w:rPr>
          <w:rFonts w:ascii="Garamond" w:eastAsia="MS Mincho" w:hAnsi="Garamond"/>
          <w:iCs/>
          <w:lang w:val="hy-AM"/>
        </w:rPr>
        <w:t xml:space="preserve"> </w:t>
      </w:r>
      <w:r w:rsidR="0001484B" w:rsidRPr="000F21D1">
        <w:rPr>
          <w:rFonts w:ascii="Garamond" w:eastAsia="MS Mincho" w:hAnsi="Garamond"/>
          <w:iCs/>
        </w:rPr>
        <w:t xml:space="preserve">grew considerably, which was driven by expected contraction in the amount of harvest in </w:t>
      </w:r>
      <w:r w:rsidR="0001484B" w:rsidRPr="000F21D1">
        <w:rPr>
          <w:rStyle w:val="longtext"/>
          <w:rFonts w:ascii="Garamond" w:hAnsi="Garamond"/>
          <w:shd w:val="clear" w:color="auto" w:fill="FFFFFF"/>
        </w:rPr>
        <w:t>Brazil and India, main producer and exporter</w:t>
      </w:r>
      <w:r w:rsidR="0001484B" w:rsidRPr="000F21D1">
        <w:rPr>
          <w:rStyle w:val="longtext"/>
          <w:rFonts w:ascii="Garamond" w:hAnsi="Garamond"/>
        </w:rPr>
        <w:t xml:space="preserve"> countries. As a result, price growth of sugar was 19% q/q and 35.5% y/y.</w:t>
      </w:r>
    </w:p>
    <w:p w14:paraId="6ECA7DE9" w14:textId="77777777" w:rsidR="00586351" w:rsidRPr="000F21D1" w:rsidRDefault="00586351" w:rsidP="0006101A">
      <w:pPr>
        <w:spacing w:line="360" w:lineRule="auto"/>
        <w:jc w:val="both"/>
        <w:rPr>
          <w:rStyle w:val="longtext"/>
          <w:rFonts w:ascii="Garamond" w:hAnsi="Garamond"/>
          <w:shd w:val="clear" w:color="auto" w:fill="FFFFFF"/>
        </w:rPr>
      </w:pPr>
    </w:p>
    <w:p w14:paraId="694D5006" w14:textId="77777777" w:rsidR="00586351" w:rsidRPr="000F21D1" w:rsidRDefault="00586351" w:rsidP="0006101A">
      <w:pPr>
        <w:spacing w:line="360" w:lineRule="auto"/>
        <w:jc w:val="both"/>
        <w:rPr>
          <w:rStyle w:val="longtext"/>
          <w:rFonts w:ascii="Garamond" w:hAnsi="Garamond"/>
        </w:rPr>
      </w:pPr>
      <w:r w:rsidRPr="000F21D1">
        <w:rPr>
          <w:rStyle w:val="longtext"/>
          <w:rFonts w:ascii="Garamond" w:hAnsi="Garamond"/>
          <w:shd w:val="clear" w:color="auto" w:fill="FFFFFF"/>
        </w:rPr>
        <w:t xml:space="preserve">In the </w:t>
      </w:r>
      <w:r w:rsidR="0001484B" w:rsidRPr="000F21D1">
        <w:rPr>
          <w:rStyle w:val="longtext"/>
          <w:rFonts w:ascii="Garamond" w:hAnsi="Garamond"/>
          <w:shd w:val="clear" w:color="auto" w:fill="FFFFFF"/>
        </w:rPr>
        <w:t>second</w:t>
      </w:r>
      <w:r w:rsidRPr="000F21D1">
        <w:rPr>
          <w:rStyle w:val="longtext"/>
          <w:rFonts w:ascii="Garamond" w:hAnsi="Garamond"/>
          <w:shd w:val="clear" w:color="auto" w:fill="FFFFFF"/>
        </w:rPr>
        <w:t xml:space="preserve"> </w:t>
      </w:r>
      <w:r w:rsidRPr="000F21D1">
        <w:rPr>
          <w:rStyle w:val="longtext"/>
          <w:rFonts w:ascii="Garamond" w:hAnsi="Garamond"/>
        </w:rPr>
        <w:t>quarter of 2016</w:t>
      </w:r>
      <w:r w:rsidR="0001484B" w:rsidRPr="000F21D1">
        <w:rPr>
          <w:rStyle w:val="longtext"/>
          <w:rFonts w:ascii="Garamond" w:hAnsi="Garamond"/>
        </w:rPr>
        <w:t xml:space="preserve"> </w:t>
      </w:r>
      <w:r w:rsidRPr="000F21D1">
        <w:rPr>
          <w:rStyle w:val="longtext"/>
          <w:rFonts w:ascii="Garamond" w:hAnsi="Garamond"/>
          <w:shd w:val="clear" w:color="auto" w:fill="FFFFFF"/>
        </w:rPr>
        <w:t>t</w:t>
      </w:r>
      <w:r w:rsidRPr="000F21D1">
        <w:rPr>
          <w:rStyle w:val="longtext"/>
          <w:rFonts w:ascii="Garamond" w:hAnsi="Garamond"/>
        </w:rPr>
        <w:t>he price of</w:t>
      </w:r>
      <w:r w:rsidR="0086764D" w:rsidRPr="000F21D1">
        <w:rPr>
          <w:rStyle w:val="longtext"/>
          <w:rFonts w:ascii="Garamond" w:hAnsi="Garamond"/>
          <w:lang w:val="hy-AM"/>
        </w:rPr>
        <w:t xml:space="preserve"> </w:t>
      </w:r>
      <w:r w:rsidRPr="000F21D1">
        <w:rPr>
          <w:rStyle w:val="longtext"/>
          <w:rFonts w:ascii="Garamond" w:hAnsi="Garamond"/>
          <w:b/>
        </w:rPr>
        <w:t>rice</w:t>
      </w:r>
      <w:r w:rsidRPr="000F21D1">
        <w:rPr>
          <w:rStyle w:val="longtext"/>
          <w:rFonts w:ascii="Garamond" w:hAnsi="Garamond"/>
        </w:rPr>
        <w:t xml:space="preserve"> at the Chicago Board of Trade </w:t>
      </w:r>
      <w:r w:rsidR="00B7152D" w:rsidRPr="000F21D1">
        <w:rPr>
          <w:rStyle w:val="longtext"/>
          <w:rFonts w:ascii="Garamond" w:hAnsi="Garamond"/>
        </w:rPr>
        <w:t xml:space="preserve">kept on </w:t>
      </w:r>
      <w:r w:rsidRPr="000F21D1">
        <w:rPr>
          <w:rStyle w:val="longtext"/>
          <w:rFonts w:ascii="Garamond" w:hAnsi="Garamond"/>
        </w:rPr>
        <w:t>gr</w:t>
      </w:r>
      <w:r w:rsidR="00B7152D" w:rsidRPr="000F21D1">
        <w:rPr>
          <w:rStyle w:val="longtext"/>
          <w:rFonts w:ascii="Garamond" w:hAnsi="Garamond"/>
        </w:rPr>
        <w:t>o</w:t>
      </w:r>
      <w:r w:rsidRPr="000F21D1">
        <w:rPr>
          <w:rStyle w:val="longtext"/>
          <w:rFonts w:ascii="Garamond" w:hAnsi="Garamond"/>
        </w:rPr>
        <w:t>w</w:t>
      </w:r>
      <w:r w:rsidR="00B7152D" w:rsidRPr="000F21D1">
        <w:rPr>
          <w:rStyle w:val="longtext"/>
          <w:rFonts w:ascii="Garamond" w:hAnsi="Garamond"/>
        </w:rPr>
        <w:t>ing</w:t>
      </w:r>
      <w:r w:rsidRPr="000F21D1">
        <w:rPr>
          <w:rStyle w:val="longtext"/>
          <w:rFonts w:ascii="Garamond" w:hAnsi="Garamond"/>
        </w:rPr>
        <w:t xml:space="preserve"> </w:t>
      </w:r>
      <w:r w:rsidR="00B7152D" w:rsidRPr="000F21D1">
        <w:rPr>
          <w:rStyle w:val="longtext"/>
          <w:rFonts w:ascii="Garamond" w:hAnsi="Garamond"/>
        </w:rPr>
        <w:t xml:space="preserve">on the back of persistently low production volumes; the price rose </w:t>
      </w:r>
      <w:r w:rsidRPr="000F21D1">
        <w:rPr>
          <w:rStyle w:val="longtext"/>
          <w:rFonts w:ascii="Garamond" w:hAnsi="Garamond"/>
        </w:rPr>
        <w:t xml:space="preserve">by </w:t>
      </w:r>
      <w:r w:rsidR="00B7152D" w:rsidRPr="000F21D1">
        <w:rPr>
          <w:rStyle w:val="longtext"/>
          <w:rFonts w:ascii="Garamond" w:hAnsi="Garamond"/>
        </w:rPr>
        <w:t>8</w:t>
      </w:r>
      <w:r w:rsidRPr="000F21D1">
        <w:rPr>
          <w:rStyle w:val="longtext"/>
          <w:rFonts w:ascii="Garamond" w:hAnsi="Garamond"/>
        </w:rPr>
        <w:t>.</w:t>
      </w:r>
      <w:r w:rsidR="00B7152D" w:rsidRPr="000F21D1">
        <w:rPr>
          <w:rStyle w:val="longtext"/>
          <w:rFonts w:ascii="Garamond" w:hAnsi="Garamond"/>
        </w:rPr>
        <w:t>9</w:t>
      </w:r>
      <w:r w:rsidRPr="000F21D1">
        <w:rPr>
          <w:rStyle w:val="longtext"/>
          <w:rFonts w:ascii="Garamond" w:hAnsi="Garamond"/>
        </w:rPr>
        <w:t>%</w:t>
      </w:r>
      <w:r w:rsidR="00B7152D" w:rsidRPr="000F21D1">
        <w:rPr>
          <w:rStyle w:val="longtext"/>
          <w:rFonts w:ascii="Garamond" w:hAnsi="Garamond"/>
        </w:rPr>
        <w:t xml:space="preserve"> </w:t>
      </w:r>
      <w:r w:rsidRPr="000F21D1">
        <w:rPr>
          <w:rStyle w:val="longtext"/>
          <w:rFonts w:ascii="Garamond" w:hAnsi="Garamond"/>
        </w:rPr>
        <w:t xml:space="preserve">to </w:t>
      </w:r>
      <w:r w:rsidRPr="000F21D1">
        <w:rPr>
          <w:rStyle w:val="longtext"/>
          <w:rFonts w:ascii="Garamond" w:hAnsi="Garamond"/>
          <w:shd w:val="clear" w:color="auto" w:fill="FFFFFF"/>
        </w:rPr>
        <w:t xml:space="preserve">USD </w:t>
      </w:r>
      <w:r w:rsidRPr="000F21D1">
        <w:rPr>
          <w:rStyle w:val="longtext"/>
          <w:rFonts w:ascii="Garamond" w:hAnsi="Garamond"/>
        </w:rPr>
        <w:t>1</w:t>
      </w:r>
      <w:r w:rsidR="00B7152D" w:rsidRPr="000F21D1">
        <w:rPr>
          <w:rStyle w:val="longtext"/>
          <w:rFonts w:ascii="Garamond" w:hAnsi="Garamond"/>
        </w:rPr>
        <w:t>8</w:t>
      </w:r>
      <w:r w:rsidRPr="000F21D1">
        <w:rPr>
          <w:rStyle w:val="longtext"/>
          <w:rFonts w:ascii="Garamond" w:hAnsi="Garamond"/>
        </w:rPr>
        <w:t>.</w:t>
      </w:r>
      <w:r w:rsidR="00B7152D" w:rsidRPr="000F21D1">
        <w:rPr>
          <w:rStyle w:val="longtext"/>
          <w:rFonts w:ascii="Garamond" w:hAnsi="Garamond"/>
        </w:rPr>
        <w:t>2</w:t>
      </w:r>
      <w:r w:rsidRPr="000F21D1">
        <w:rPr>
          <w:rStyle w:val="longtext"/>
          <w:rFonts w:ascii="Garamond" w:hAnsi="Garamond"/>
        </w:rPr>
        <w:t xml:space="preserve"> per U.S. hundredweight (45.4 kg)</w:t>
      </w:r>
      <w:r w:rsidR="00B7152D" w:rsidRPr="000F21D1">
        <w:rPr>
          <w:rStyle w:val="longtext"/>
          <w:rFonts w:ascii="Garamond" w:hAnsi="Garamond"/>
        </w:rPr>
        <w:t>, with the y/y growth reaching 4.9%.</w:t>
      </w:r>
    </w:p>
    <w:p w14:paraId="5603E419" w14:textId="77777777" w:rsidR="00586351" w:rsidRPr="000F21D1" w:rsidRDefault="00586351" w:rsidP="0006101A">
      <w:pPr>
        <w:spacing w:line="360" w:lineRule="auto"/>
        <w:jc w:val="both"/>
        <w:rPr>
          <w:rStyle w:val="longtext"/>
          <w:rFonts w:ascii="Garamond" w:hAnsi="Garamond"/>
        </w:rPr>
      </w:pPr>
    </w:p>
    <w:p w14:paraId="6E527ED4" w14:textId="77777777" w:rsidR="00586351" w:rsidRPr="000F21D1" w:rsidRDefault="00CF27FC" w:rsidP="0006101A">
      <w:pPr>
        <w:spacing w:line="360" w:lineRule="auto"/>
        <w:jc w:val="both"/>
        <w:rPr>
          <w:rFonts w:ascii="Garamond" w:hAnsi="Garamond" w:cs="Sylfaen"/>
          <w:b/>
        </w:rPr>
      </w:pPr>
      <w:r w:rsidRPr="000F21D1">
        <w:rPr>
          <w:rFonts w:ascii="Garamond" w:hAnsi="Garamond" w:cs="Sylfaen"/>
          <w:b/>
        </w:rPr>
        <w:t>Summary: inf</w:t>
      </w:r>
      <w:r w:rsidR="00586351" w:rsidRPr="000F21D1">
        <w:rPr>
          <w:rFonts w:ascii="Garamond" w:hAnsi="Garamond" w:cs="Sylfaen"/>
          <w:b/>
        </w:rPr>
        <w:t xml:space="preserve">lationary trends </w:t>
      </w:r>
      <w:r w:rsidRPr="000F21D1">
        <w:rPr>
          <w:rFonts w:ascii="Garamond" w:hAnsi="Garamond" w:cs="Sylfaen"/>
          <w:b/>
        </w:rPr>
        <w:t xml:space="preserve">observable in </w:t>
      </w:r>
      <w:r w:rsidR="00586351" w:rsidRPr="000F21D1">
        <w:rPr>
          <w:rFonts w:ascii="Garamond" w:hAnsi="Garamond" w:cs="Sylfaen"/>
          <w:b/>
        </w:rPr>
        <w:t xml:space="preserve">the world’s commodity </w:t>
      </w:r>
      <w:r w:rsidR="006356C4" w:rsidRPr="000F21D1">
        <w:rPr>
          <w:rFonts w:ascii="Garamond" w:hAnsi="Garamond" w:cs="Sylfaen"/>
          <w:b/>
        </w:rPr>
        <w:t xml:space="preserve">and food product </w:t>
      </w:r>
      <w:r w:rsidR="00586351" w:rsidRPr="000F21D1">
        <w:rPr>
          <w:rFonts w:ascii="Garamond" w:hAnsi="Garamond" w:cs="Sylfaen"/>
          <w:b/>
        </w:rPr>
        <w:t xml:space="preserve">markets </w:t>
      </w:r>
      <w:r w:rsidR="006356C4" w:rsidRPr="000F21D1">
        <w:rPr>
          <w:rFonts w:ascii="Garamond" w:hAnsi="Garamond" w:cs="Sylfaen"/>
          <w:b/>
        </w:rPr>
        <w:t xml:space="preserve">in </w:t>
      </w:r>
      <w:r w:rsidR="00586351" w:rsidRPr="000F21D1">
        <w:rPr>
          <w:rFonts w:ascii="Garamond" w:hAnsi="Garamond" w:cs="Sylfaen"/>
          <w:b/>
        </w:rPr>
        <w:t xml:space="preserve">the </w:t>
      </w:r>
      <w:r w:rsidRPr="000F21D1">
        <w:rPr>
          <w:rFonts w:ascii="Garamond" w:hAnsi="Garamond" w:cs="Sylfaen"/>
          <w:b/>
        </w:rPr>
        <w:t>second</w:t>
      </w:r>
      <w:r w:rsidR="00586351" w:rsidRPr="000F21D1">
        <w:rPr>
          <w:rFonts w:ascii="Garamond" w:hAnsi="Garamond" w:cs="Sylfaen"/>
          <w:b/>
        </w:rPr>
        <w:t xml:space="preserve"> quarter of 201</w:t>
      </w:r>
      <w:r w:rsidR="000B6343" w:rsidRPr="000F21D1">
        <w:rPr>
          <w:rFonts w:ascii="Garamond" w:hAnsi="Garamond" w:cs="Sylfaen"/>
          <w:b/>
        </w:rPr>
        <w:t>6</w:t>
      </w:r>
      <w:r w:rsidRPr="000F21D1">
        <w:rPr>
          <w:rFonts w:ascii="Garamond" w:hAnsi="Garamond" w:cs="Sylfaen"/>
          <w:b/>
        </w:rPr>
        <w:t xml:space="preserve"> were</w:t>
      </w:r>
      <w:r w:rsidR="00586351" w:rsidRPr="000F21D1">
        <w:rPr>
          <w:rFonts w:ascii="Garamond" w:hAnsi="Garamond" w:cs="Sylfaen"/>
          <w:b/>
        </w:rPr>
        <w:t xml:space="preserve"> </w:t>
      </w:r>
      <w:r w:rsidR="006356C4" w:rsidRPr="000F21D1">
        <w:rPr>
          <w:rFonts w:ascii="Garamond" w:hAnsi="Garamond" w:cs="Sylfaen"/>
          <w:b/>
        </w:rPr>
        <w:t xml:space="preserve">mostly </w:t>
      </w:r>
      <w:r w:rsidR="00586351" w:rsidRPr="000F21D1">
        <w:rPr>
          <w:rFonts w:ascii="Garamond" w:hAnsi="Garamond" w:cs="Sylfaen"/>
          <w:b/>
        </w:rPr>
        <w:t>in line with the previous program’s forecast</w:t>
      </w:r>
      <w:r w:rsidR="006356C4" w:rsidRPr="000F21D1">
        <w:rPr>
          <w:rFonts w:ascii="Garamond" w:hAnsi="Garamond" w:cs="Sylfaen"/>
          <w:b/>
        </w:rPr>
        <w:t>s</w:t>
      </w:r>
      <w:r w:rsidR="004D5B22" w:rsidRPr="000F21D1">
        <w:rPr>
          <w:rFonts w:ascii="Garamond" w:hAnsi="Garamond" w:cs="Sylfaen"/>
          <w:b/>
        </w:rPr>
        <w:t>, although food products reported somewhat higher-than-expected price growth.</w:t>
      </w:r>
    </w:p>
    <w:p w14:paraId="6DD86C7F" w14:textId="77777777" w:rsidR="001A1846" w:rsidRPr="000F21D1" w:rsidRDefault="001A1846" w:rsidP="0006101A">
      <w:pPr>
        <w:spacing w:line="360" w:lineRule="auto"/>
        <w:jc w:val="both"/>
        <w:rPr>
          <w:rFonts w:ascii="Garamond" w:hAnsi="Garamond" w:cs="Sylfaen"/>
          <w:b/>
        </w:rPr>
      </w:pPr>
    </w:p>
    <w:p w14:paraId="22C72A1E" w14:textId="77777777" w:rsidR="001A1846" w:rsidRPr="000F21D1" w:rsidRDefault="001A1846" w:rsidP="0006101A">
      <w:pPr>
        <w:spacing w:line="360" w:lineRule="auto"/>
        <w:jc w:val="both"/>
        <w:rPr>
          <w:rFonts w:ascii="Garamond" w:hAnsi="Garamond" w:cs="Sylfaen"/>
          <w:b/>
        </w:rPr>
      </w:pPr>
      <w:r w:rsidRPr="000F21D1">
        <w:rPr>
          <w:rFonts w:ascii="Garamond" w:hAnsi="Garamond" w:cs="Sylfaen"/>
          <w:b/>
        </w:rPr>
        <w:t>4. Conclusion</w:t>
      </w:r>
    </w:p>
    <w:p w14:paraId="4DA77C9E" w14:textId="77777777" w:rsidR="001A1846" w:rsidRPr="000F21D1" w:rsidRDefault="001A1846" w:rsidP="0006101A">
      <w:pPr>
        <w:spacing w:line="360" w:lineRule="auto"/>
        <w:jc w:val="both"/>
        <w:rPr>
          <w:rFonts w:ascii="Garamond" w:hAnsi="Garamond" w:cs="Sylfaen"/>
          <w:b/>
        </w:rPr>
      </w:pPr>
    </w:p>
    <w:p w14:paraId="2D648A53" w14:textId="77777777" w:rsidR="001A1846" w:rsidRPr="000F21D1" w:rsidRDefault="001A1846" w:rsidP="0006101A">
      <w:pPr>
        <w:spacing w:line="360" w:lineRule="auto"/>
        <w:jc w:val="both"/>
        <w:rPr>
          <w:rStyle w:val="longtext"/>
          <w:rFonts w:ascii="Garamond" w:hAnsi="Garamond"/>
          <w:shd w:val="clear" w:color="auto" w:fill="FFFFFF"/>
        </w:rPr>
      </w:pPr>
      <w:r w:rsidRPr="000F21D1">
        <w:rPr>
          <w:rFonts w:ascii="Garamond" w:hAnsi="Garamond"/>
        </w:rPr>
        <w:t xml:space="preserve">The </w:t>
      </w:r>
      <w:r w:rsidRPr="000F21D1">
        <w:rPr>
          <w:rFonts w:ascii="Garamond" w:hAnsi="Garamond"/>
          <w:b/>
        </w:rPr>
        <w:t>global economy</w:t>
      </w:r>
      <w:r w:rsidRPr="000F21D1">
        <w:rPr>
          <w:rFonts w:ascii="Garamond" w:hAnsi="Garamond"/>
        </w:rPr>
        <w:t xml:space="preserve"> remained on a slow-growth track </w:t>
      </w:r>
      <w:r w:rsidR="00D6328C" w:rsidRPr="000F21D1">
        <w:rPr>
          <w:rFonts w:ascii="Garamond" w:hAnsi="Garamond"/>
        </w:rPr>
        <w:t xml:space="preserve">in </w:t>
      </w:r>
      <w:r w:rsidRPr="000F21D1">
        <w:rPr>
          <w:rFonts w:ascii="Garamond" w:hAnsi="Garamond"/>
        </w:rPr>
        <w:t xml:space="preserve">the </w:t>
      </w:r>
      <w:r w:rsidR="00D6328C" w:rsidRPr="000F21D1">
        <w:rPr>
          <w:rFonts w:ascii="Garamond" w:hAnsi="Garamond"/>
        </w:rPr>
        <w:t>second</w:t>
      </w:r>
      <w:r w:rsidRPr="000F21D1">
        <w:rPr>
          <w:rFonts w:ascii="Garamond" w:hAnsi="Garamond"/>
        </w:rPr>
        <w:t xml:space="preserve"> quarter of 2016</w:t>
      </w:r>
      <w:r w:rsidR="00D6328C" w:rsidRPr="000F21D1">
        <w:rPr>
          <w:rFonts w:ascii="Garamond" w:hAnsi="Garamond"/>
        </w:rPr>
        <w:t xml:space="preserve">, too. </w:t>
      </w:r>
      <w:r w:rsidRPr="000F21D1">
        <w:rPr>
          <w:rFonts w:ascii="Garamond" w:hAnsi="Garamond"/>
        </w:rPr>
        <w:t>This will continue up until the end of the year</w:t>
      </w:r>
      <w:r w:rsidR="00D6328C" w:rsidRPr="000F21D1">
        <w:rPr>
          <w:rFonts w:ascii="Garamond" w:hAnsi="Garamond"/>
        </w:rPr>
        <w:t>.</w:t>
      </w:r>
      <w:r w:rsidR="00E572EF" w:rsidRPr="000F21D1">
        <w:rPr>
          <w:rFonts w:ascii="Garamond" w:hAnsi="Garamond"/>
        </w:rPr>
        <w:t xml:space="preserve"> </w:t>
      </w:r>
      <w:r w:rsidR="00D6328C" w:rsidRPr="000F21D1">
        <w:rPr>
          <w:rFonts w:ascii="Garamond" w:hAnsi="Garamond"/>
        </w:rPr>
        <w:t>D</w:t>
      </w:r>
      <w:r w:rsidRPr="000F21D1">
        <w:rPr>
          <w:rFonts w:ascii="Garamond" w:hAnsi="Garamond"/>
        </w:rPr>
        <w:t>eflationary developments</w:t>
      </w:r>
      <w:r w:rsidR="00E572EF" w:rsidRPr="000F21D1">
        <w:rPr>
          <w:rFonts w:ascii="Garamond" w:hAnsi="Garamond"/>
        </w:rPr>
        <w:t xml:space="preserve"> </w:t>
      </w:r>
      <w:r w:rsidR="00D6328C" w:rsidRPr="000F21D1">
        <w:rPr>
          <w:rFonts w:ascii="Garamond" w:hAnsi="Garamond"/>
        </w:rPr>
        <w:t>have generally suspended</w:t>
      </w:r>
      <w:r w:rsidR="00E572EF" w:rsidRPr="000F21D1">
        <w:rPr>
          <w:rFonts w:ascii="Garamond" w:hAnsi="Garamond"/>
        </w:rPr>
        <w:t xml:space="preserve"> </w:t>
      </w:r>
      <w:r w:rsidR="00D6328C" w:rsidRPr="000F21D1">
        <w:rPr>
          <w:rFonts w:ascii="Garamond" w:hAnsi="Garamond"/>
        </w:rPr>
        <w:t xml:space="preserve">and </w:t>
      </w:r>
      <w:r w:rsidR="00E572EF" w:rsidRPr="000F21D1">
        <w:rPr>
          <w:rFonts w:ascii="Garamond" w:hAnsi="Garamond"/>
        </w:rPr>
        <w:t xml:space="preserve">some stability is achieved in </w:t>
      </w:r>
      <w:r w:rsidRPr="000F21D1">
        <w:rPr>
          <w:rFonts w:ascii="Garamond" w:hAnsi="Garamond"/>
        </w:rPr>
        <w:t xml:space="preserve">international commodity markets. </w:t>
      </w:r>
      <w:r w:rsidR="00C008E3" w:rsidRPr="000F21D1">
        <w:rPr>
          <w:rFonts w:ascii="Garamond" w:hAnsi="Garamond"/>
        </w:rPr>
        <w:t xml:space="preserve">A low-price environment will be persisting in these markets in the short run, however. </w:t>
      </w:r>
      <w:r w:rsidR="00E572EF" w:rsidRPr="000F21D1">
        <w:rPr>
          <w:rFonts w:ascii="Garamond" w:hAnsi="Garamond"/>
        </w:rPr>
        <w:t xml:space="preserve">In </w:t>
      </w:r>
      <w:r w:rsidRPr="000F21D1">
        <w:rPr>
          <w:rFonts w:ascii="Garamond" w:hAnsi="Garamond"/>
        </w:rPr>
        <w:t xml:space="preserve">the </w:t>
      </w:r>
      <w:r w:rsidR="00E572EF" w:rsidRPr="000F21D1">
        <w:rPr>
          <w:rFonts w:ascii="Garamond" w:hAnsi="Garamond"/>
        </w:rPr>
        <w:t>rest part of</w:t>
      </w:r>
      <w:r w:rsidRPr="000F21D1">
        <w:rPr>
          <w:rFonts w:ascii="Garamond" w:hAnsi="Garamond"/>
        </w:rPr>
        <w:t xml:space="preserve"> the forecast horizon, prices of goods in foreign markets will increase gradually due to some recovery in global demand. Therefore, </w:t>
      </w:r>
      <w:r w:rsidR="00E572EF" w:rsidRPr="000F21D1">
        <w:rPr>
          <w:rFonts w:ascii="Garamond" w:hAnsi="Garamond"/>
        </w:rPr>
        <w:t>i</w:t>
      </w:r>
      <w:r w:rsidRPr="000F21D1">
        <w:rPr>
          <w:rStyle w:val="longtext"/>
          <w:rFonts w:ascii="Garamond" w:hAnsi="Garamond"/>
          <w:color w:val="000000"/>
          <w:shd w:val="clear" w:color="auto" w:fill="FFFFFF"/>
        </w:rPr>
        <w:t xml:space="preserve">n the </w:t>
      </w:r>
      <w:r w:rsidRPr="000F21D1">
        <w:rPr>
          <w:rStyle w:val="longtext"/>
          <w:rFonts w:ascii="Garamond" w:hAnsi="Garamond"/>
          <w:b/>
          <w:color w:val="000000"/>
          <w:shd w:val="clear" w:color="auto" w:fill="FFFFFF"/>
        </w:rPr>
        <w:t>forecast horizon</w:t>
      </w:r>
      <w:r w:rsidRPr="000F21D1">
        <w:rPr>
          <w:rStyle w:val="longtext"/>
          <w:rFonts w:ascii="Garamond" w:hAnsi="Garamond"/>
          <w:color w:val="000000"/>
          <w:shd w:val="clear" w:color="auto" w:fill="FFFFFF"/>
        </w:rPr>
        <w:t xml:space="preserve">, </w:t>
      </w:r>
      <w:r w:rsidR="00E572EF" w:rsidRPr="000F21D1">
        <w:rPr>
          <w:rStyle w:val="longtext"/>
          <w:rFonts w:ascii="Garamond" w:hAnsi="Garamond"/>
          <w:b/>
          <w:color w:val="000000"/>
          <w:shd w:val="clear" w:color="auto" w:fill="FFFFFF"/>
        </w:rPr>
        <w:t xml:space="preserve">considerable </w:t>
      </w:r>
      <w:r w:rsidRPr="000F21D1">
        <w:rPr>
          <w:rStyle w:val="longtext"/>
          <w:rFonts w:ascii="Garamond" w:hAnsi="Garamond"/>
          <w:b/>
          <w:shd w:val="clear" w:color="auto" w:fill="FFFFFF"/>
        </w:rPr>
        <w:t xml:space="preserve">inflationary pressures </w:t>
      </w:r>
      <w:r w:rsidRPr="000F21D1">
        <w:rPr>
          <w:rStyle w:val="longtext"/>
          <w:rFonts w:ascii="Garamond" w:hAnsi="Garamond"/>
          <w:shd w:val="clear" w:color="auto" w:fill="FFFFFF"/>
        </w:rPr>
        <w:t>from the external environment</w:t>
      </w:r>
      <w:r w:rsidRPr="000F21D1">
        <w:rPr>
          <w:rStyle w:val="longtext"/>
          <w:rFonts w:ascii="Garamond" w:hAnsi="Garamond"/>
          <w:b/>
          <w:shd w:val="clear" w:color="auto" w:fill="FFFFFF"/>
        </w:rPr>
        <w:t xml:space="preserve"> are not likely</w:t>
      </w:r>
      <w:r w:rsidRPr="000F21D1">
        <w:rPr>
          <w:rStyle w:val="longtext"/>
          <w:rFonts w:ascii="Garamond" w:hAnsi="Garamond"/>
          <w:shd w:val="clear" w:color="auto" w:fill="FFFFFF"/>
        </w:rPr>
        <w:t>.</w:t>
      </w:r>
    </w:p>
    <w:p w14:paraId="051B4C3A" w14:textId="77777777" w:rsidR="00B67F25" w:rsidRPr="000F21D1" w:rsidRDefault="00B67F25" w:rsidP="0006101A">
      <w:pPr>
        <w:spacing w:line="360" w:lineRule="auto"/>
        <w:jc w:val="both"/>
        <w:rPr>
          <w:rStyle w:val="longtext"/>
          <w:rFonts w:ascii="Garamond" w:hAnsi="Garamond"/>
          <w:shd w:val="clear" w:color="auto" w:fill="FFFFFF"/>
        </w:rPr>
      </w:pPr>
    </w:p>
    <w:p w14:paraId="0347F7C9" w14:textId="77777777" w:rsidR="00B67F25" w:rsidRPr="000F21D1" w:rsidRDefault="00B67F25" w:rsidP="0006101A">
      <w:pPr>
        <w:spacing w:line="360" w:lineRule="auto"/>
        <w:jc w:val="both"/>
        <w:rPr>
          <w:rFonts w:ascii="Garamond" w:hAnsi="Garamond" w:cs="Sylfaen"/>
        </w:rPr>
      </w:pPr>
      <w:r w:rsidRPr="000F21D1">
        <w:rPr>
          <w:rStyle w:val="longtext"/>
          <w:rFonts w:ascii="Garamond" w:hAnsi="Garamond"/>
          <w:shd w:val="clear" w:color="auto" w:fill="FFFFFF"/>
        </w:rPr>
        <w:lastRenderedPageBreak/>
        <w:t xml:space="preserve">In </w:t>
      </w:r>
      <w:r w:rsidR="00AE761D" w:rsidRPr="000F21D1">
        <w:rPr>
          <w:rStyle w:val="longtext"/>
          <w:rFonts w:ascii="Garamond" w:hAnsi="Garamond"/>
          <w:shd w:val="clear" w:color="auto" w:fill="FFFFFF"/>
        </w:rPr>
        <w:t xml:space="preserve">the </w:t>
      </w:r>
      <w:r w:rsidR="00F81F39" w:rsidRPr="000F21D1">
        <w:rPr>
          <w:rStyle w:val="longtext"/>
          <w:rFonts w:ascii="Garamond" w:hAnsi="Garamond"/>
          <w:shd w:val="clear" w:color="auto" w:fill="FFFFFF"/>
        </w:rPr>
        <w:t>second</w:t>
      </w:r>
      <w:r w:rsidR="00AE761D" w:rsidRPr="000F21D1">
        <w:rPr>
          <w:rStyle w:val="longtext"/>
          <w:rFonts w:ascii="Garamond" w:hAnsi="Garamond"/>
          <w:shd w:val="clear" w:color="auto" w:fill="FFFFFF"/>
        </w:rPr>
        <w:t xml:space="preserve"> quarter of </w:t>
      </w:r>
      <w:r w:rsidRPr="000F21D1">
        <w:rPr>
          <w:rStyle w:val="longtext"/>
          <w:rFonts w:ascii="Garamond" w:hAnsi="Garamond"/>
          <w:shd w:val="clear" w:color="auto" w:fill="FFFFFF"/>
        </w:rPr>
        <w:t>201</w:t>
      </w:r>
      <w:r w:rsidR="00AE761D" w:rsidRPr="000F21D1">
        <w:rPr>
          <w:rStyle w:val="longtext"/>
          <w:rFonts w:ascii="Garamond" w:hAnsi="Garamond"/>
          <w:shd w:val="clear" w:color="auto" w:fill="FFFFFF"/>
        </w:rPr>
        <w:t>6</w:t>
      </w:r>
      <w:r w:rsidR="00D6328C" w:rsidRPr="000F21D1">
        <w:rPr>
          <w:rStyle w:val="longtext"/>
          <w:rFonts w:ascii="Garamond" w:hAnsi="Garamond"/>
          <w:shd w:val="clear" w:color="auto" w:fill="FFFFFF"/>
        </w:rPr>
        <w:t xml:space="preserve"> </w:t>
      </w:r>
      <w:r w:rsidRPr="000F21D1">
        <w:rPr>
          <w:rStyle w:val="longtext"/>
          <w:rFonts w:ascii="Garamond" w:hAnsi="Garamond"/>
          <w:b/>
          <w:shd w:val="clear" w:color="auto" w:fill="FFFFFF"/>
        </w:rPr>
        <w:t xml:space="preserve">growth of economic activity </w:t>
      </w:r>
      <w:r w:rsidRPr="000F21D1">
        <w:rPr>
          <w:rStyle w:val="longtext"/>
          <w:rFonts w:ascii="Garamond" w:hAnsi="Garamond"/>
          <w:shd w:val="clear" w:color="auto" w:fill="FFFFFF"/>
        </w:rPr>
        <w:t xml:space="preserve">amounted to </w:t>
      </w:r>
      <w:r w:rsidR="00F81F39" w:rsidRPr="000F21D1">
        <w:rPr>
          <w:rStyle w:val="longtext"/>
          <w:rFonts w:ascii="Garamond" w:hAnsi="Garamond"/>
          <w:b/>
          <w:shd w:val="clear" w:color="auto" w:fill="FFFFFF"/>
        </w:rPr>
        <w:t>4</w:t>
      </w:r>
      <w:r w:rsidRPr="000F21D1">
        <w:rPr>
          <w:rStyle w:val="longtext"/>
          <w:rFonts w:ascii="Garamond" w:hAnsi="Garamond"/>
          <w:b/>
          <w:shd w:val="clear" w:color="auto" w:fill="FFFFFF"/>
        </w:rPr>
        <w:t>.</w:t>
      </w:r>
      <w:r w:rsidR="00F81F39" w:rsidRPr="000F21D1">
        <w:rPr>
          <w:rStyle w:val="longtext"/>
          <w:rFonts w:ascii="Garamond" w:hAnsi="Garamond"/>
          <w:b/>
          <w:shd w:val="clear" w:color="auto" w:fill="FFFFFF"/>
        </w:rPr>
        <w:t>7</w:t>
      </w:r>
      <w:r w:rsidRPr="000F21D1">
        <w:rPr>
          <w:rStyle w:val="longtext"/>
          <w:rFonts w:ascii="Garamond" w:hAnsi="Garamond"/>
          <w:b/>
          <w:shd w:val="clear" w:color="auto" w:fill="FFFFFF"/>
        </w:rPr>
        <w:t>%</w:t>
      </w:r>
      <w:r w:rsidRPr="000F21D1">
        <w:rPr>
          <w:rStyle w:val="longtext"/>
          <w:rFonts w:ascii="Garamond" w:hAnsi="Garamond"/>
          <w:shd w:val="clear" w:color="auto" w:fill="FFFFFF"/>
        </w:rPr>
        <w:t xml:space="preserve"> largely driven by </w:t>
      </w:r>
      <w:r w:rsidRPr="000F21D1">
        <w:rPr>
          <w:rFonts w:ascii="Garamond" w:hAnsi="Garamond" w:cs="Sylfaen"/>
        </w:rPr>
        <w:t xml:space="preserve">increased output in industry and </w:t>
      </w:r>
      <w:r w:rsidR="00AE761D" w:rsidRPr="000F21D1">
        <w:rPr>
          <w:rFonts w:ascii="Garamond" w:hAnsi="Garamond" w:cs="Sylfaen"/>
        </w:rPr>
        <w:t>services</w:t>
      </w:r>
      <w:r w:rsidRPr="000F21D1">
        <w:rPr>
          <w:rFonts w:ascii="Garamond" w:hAnsi="Garamond" w:cs="Sylfaen"/>
        </w:rPr>
        <w:t xml:space="preserve"> sectors. Under this circumstance, </w:t>
      </w:r>
      <w:r w:rsidRPr="000F21D1">
        <w:rPr>
          <w:rFonts w:ascii="Garamond" w:hAnsi="Garamond" w:cs="Sylfaen"/>
          <w:b/>
        </w:rPr>
        <w:t xml:space="preserve">economic growth </w:t>
      </w:r>
      <w:r w:rsidRPr="000F21D1">
        <w:rPr>
          <w:rFonts w:ascii="Garamond" w:hAnsi="Garamond" w:cs="Sylfaen"/>
        </w:rPr>
        <w:t>is estimated</w:t>
      </w:r>
      <w:r w:rsidR="00AE761D" w:rsidRPr="000F21D1">
        <w:rPr>
          <w:rFonts w:ascii="Garamond" w:hAnsi="Garamond" w:cs="Sylfaen"/>
        </w:rPr>
        <w:t xml:space="preserve"> in the range of </w:t>
      </w:r>
      <w:r w:rsidR="00AE761D" w:rsidRPr="000F21D1">
        <w:rPr>
          <w:rFonts w:ascii="Garamond" w:hAnsi="Garamond" w:cs="Sylfaen"/>
          <w:b/>
        </w:rPr>
        <w:t>2.</w:t>
      </w:r>
      <w:r w:rsidR="00F81F39" w:rsidRPr="000F21D1">
        <w:rPr>
          <w:rFonts w:ascii="Garamond" w:hAnsi="Garamond" w:cs="Sylfaen"/>
          <w:b/>
        </w:rPr>
        <w:t>8</w:t>
      </w:r>
      <w:r w:rsidR="00AE761D" w:rsidRPr="000F21D1">
        <w:rPr>
          <w:rFonts w:ascii="Garamond" w:hAnsi="Garamond" w:cs="Sylfaen"/>
          <w:b/>
        </w:rPr>
        <w:t>-3.</w:t>
      </w:r>
      <w:r w:rsidR="00F81F39" w:rsidRPr="000F21D1">
        <w:rPr>
          <w:rFonts w:ascii="Garamond" w:hAnsi="Garamond" w:cs="Sylfaen"/>
          <w:b/>
        </w:rPr>
        <w:t>4</w:t>
      </w:r>
      <w:r w:rsidR="00AE761D" w:rsidRPr="000F21D1">
        <w:rPr>
          <w:rFonts w:ascii="Garamond" w:hAnsi="Garamond" w:cs="Sylfaen"/>
        </w:rPr>
        <w:t xml:space="preserve"> at the end of 2016 and </w:t>
      </w:r>
      <w:r w:rsidRPr="000F21D1">
        <w:rPr>
          <w:rFonts w:ascii="Garamond" w:hAnsi="Garamond" w:cs="Sylfaen"/>
          <w:b/>
        </w:rPr>
        <w:t>3.</w:t>
      </w:r>
      <w:r w:rsidR="00AE761D" w:rsidRPr="000F21D1">
        <w:rPr>
          <w:rFonts w:ascii="Garamond" w:hAnsi="Garamond" w:cs="Sylfaen"/>
          <w:b/>
        </w:rPr>
        <w:t>0</w:t>
      </w:r>
      <w:r w:rsidRPr="000F21D1">
        <w:rPr>
          <w:rFonts w:ascii="Garamond" w:hAnsi="Garamond" w:cs="Sylfaen"/>
          <w:b/>
        </w:rPr>
        <w:t>-</w:t>
      </w:r>
      <w:r w:rsidR="00AE761D" w:rsidRPr="000F21D1">
        <w:rPr>
          <w:rFonts w:ascii="Garamond" w:hAnsi="Garamond" w:cs="Sylfaen"/>
          <w:b/>
        </w:rPr>
        <w:t>4</w:t>
      </w:r>
      <w:r w:rsidRPr="000F21D1">
        <w:rPr>
          <w:rFonts w:ascii="Garamond" w:hAnsi="Garamond" w:cs="Sylfaen"/>
          <w:b/>
        </w:rPr>
        <w:t>.</w:t>
      </w:r>
      <w:r w:rsidR="00AE761D" w:rsidRPr="000F21D1">
        <w:rPr>
          <w:rFonts w:ascii="Garamond" w:hAnsi="Garamond" w:cs="Sylfaen"/>
          <w:b/>
        </w:rPr>
        <w:t>5</w:t>
      </w:r>
      <w:r w:rsidRPr="000F21D1">
        <w:rPr>
          <w:rFonts w:ascii="Garamond" w:hAnsi="Garamond" w:cs="Sylfaen"/>
          <w:b/>
        </w:rPr>
        <w:t>%</w:t>
      </w:r>
      <w:r w:rsidR="00F81F39" w:rsidRPr="000F21D1">
        <w:rPr>
          <w:rFonts w:ascii="Garamond" w:hAnsi="Garamond" w:cs="Sylfaen"/>
          <w:b/>
        </w:rPr>
        <w:t xml:space="preserve"> </w:t>
      </w:r>
      <w:r w:rsidR="00AE761D" w:rsidRPr="000F21D1">
        <w:rPr>
          <w:rFonts w:ascii="Garamond" w:hAnsi="Garamond" w:cs="Sylfaen"/>
        </w:rPr>
        <w:t>at the end of the forecast horizon.</w:t>
      </w:r>
    </w:p>
    <w:p w14:paraId="7AF97BA9" w14:textId="77777777" w:rsidR="00425E31" w:rsidRPr="000F21D1" w:rsidRDefault="00425E31" w:rsidP="0006101A">
      <w:pPr>
        <w:spacing w:line="360" w:lineRule="auto"/>
        <w:jc w:val="both"/>
        <w:rPr>
          <w:rFonts w:ascii="Garamond" w:hAnsi="Garamond" w:cs="Sylfaen"/>
        </w:rPr>
      </w:pPr>
    </w:p>
    <w:p w14:paraId="5009F197" w14:textId="77777777" w:rsidR="00425E31" w:rsidRPr="000F21D1" w:rsidRDefault="00526614" w:rsidP="00425E31">
      <w:pPr>
        <w:spacing w:line="360" w:lineRule="auto"/>
        <w:jc w:val="both"/>
        <w:rPr>
          <w:rFonts w:ascii="Garamond" w:hAnsi="Garamond" w:cs="GHEA Grapalat"/>
          <w:b/>
        </w:rPr>
      </w:pPr>
      <w:r w:rsidRPr="000F21D1">
        <w:rPr>
          <w:rFonts w:ascii="Garamond" w:hAnsi="Garamond"/>
          <w:b/>
        </w:rPr>
        <w:t>I</w:t>
      </w:r>
      <w:r w:rsidR="00425E31" w:rsidRPr="000F21D1">
        <w:rPr>
          <w:rFonts w:ascii="Garamond" w:hAnsi="Garamond"/>
          <w:b/>
        </w:rPr>
        <w:t>n the forecast horizon,</w:t>
      </w:r>
      <w:r w:rsidR="00425E31" w:rsidRPr="000F21D1">
        <w:rPr>
          <w:rFonts w:ascii="Garamond" w:hAnsi="Garamond" w:cs="GHEA Grapalat"/>
          <w:b/>
        </w:rPr>
        <w:t xml:space="preserve"> the impact of aggregate demand on domestic prices will be deflationary up until the </w:t>
      </w:r>
      <w:r w:rsidRPr="000F21D1">
        <w:rPr>
          <w:rFonts w:ascii="Garamond" w:hAnsi="Garamond" w:cs="GHEA Grapalat"/>
          <w:b/>
        </w:rPr>
        <w:t xml:space="preserve">fourth quarter </w:t>
      </w:r>
      <w:r w:rsidR="00425E31" w:rsidRPr="000F21D1">
        <w:rPr>
          <w:rFonts w:ascii="Garamond" w:hAnsi="Garamond" w:cs="GHEA Grapalat"/>
          <w:b/>
        </w:rPr>
        <w:t>of 2017; then it will grow into inflationary by the end of the horizon.</w:t>
      </w:r>
    </w:p>
    <w:p w14:paraId="28860DB1" w14:textId="77777777" w:rsidR="00425E31" w:rsidRPr="000F21D1" w:rsidRDefault="00425E31" w:rsidP="00425E31">
      <w:pPr>
        <w:spacing w:line="360" w:lineRule="auto"/>
        <w:jc w:val="both"/>
        <w:rPr>
          <w:rFonts w:ascii="Garamond" w:hAnsi="Garamond" w:cs="GHEA Grapalat"/>
        </w:rPr>
      </w:pPr>
    </w:p>
    <w:p w14:paraId="39C7FEFE" w14:textId="77777777" w:rsidR="00EF6EAC" w:rsidRPr="000F21D1" w:rsidRDefault="00EF6EAC" w:rsidP="00425E31">
      <w:pPr>
        <w:spacing w:line="360" w:lineRule="auto"/>
        <w:jc w:val="both"/>
        <w:rPr>
          <w:rFonts w:ascii="Garamond" w:hAnsi="Garamond" w:cs="GHEA Grapalat"/>
        </w:rPr>
      </w:pPr>
      <w:r w:rsidRPr="000F21D1">
        <w:rPr>
          <w:rFonts w:ascii="Garamond" w:hAnsi="Garamond" w:cs="GHEA Grapalat"/>
        </w:rPr>
        <w:t xml:space="preserve">At the end of </w:t>
      </w:r>
      <w:r w:rsidR="00D6619B" w:rsidRPr="000F21D1">
        <w:rPr>
          <w:rFonts w:ascii="Garamond" w:hAnsi="Garamond" w:cs="GHEA Grapalat"/>
        </w:rPr>
        <w:t>June</w:t>
      </w:r>
      <w:r w:rsidRPr="000F21D1">
        <w:rPr>
          <w:rFonts w:ascii="Garamond" w:hAnsi="Garamond" w:cs="GHEA Grapalat"/>
        </w:rPr>
        <w:t xml:space="preserve"> of 2016</w:t>
      </w:r>
      <w:r w:rsidR="00526614" w:rsidRPr="000F21D1">
        <w:rPr>
          <w:rFonts w:ascii="Garamond" w:hAnsi="Garamond" w:cs="GHEA Grapalat"/>
        </w:rPr>
        <w:t xml:space="preserve"> </w:t>
      </w:r>
      <w:r w:rsidRPr="000F21D1">
        <w:rPr>
          <w:rFonts w:ascii="Garamond" w:hAnsi="Garamond" w:cs="GHEA Grapalat"/>
        </w:rPr>
        <w:t>t</w:t>
      </w:r>
      <w:r w:rsidR="00425E31" w:rsidRPr="000F21D1">
        <w:rPr>
          <w:rFonts w:ascii="Garamond" w:hAnsi="Garamond" w:cs="GHEA Grapalat"/>
        </w:rPr>
        <w:t xml:space="preserve">he </w:t>
      </w:r>
      <w:r w:rsidR="00425E31" w:rsidRPr="000F21D1">
        <w:rPr>
          <w:rFonts w:ascii="Garamond" w:hAnsi="Garamond" w:cs="GHEA Grapalat"/>
          <w:b/>
        </w:rPr>
        <w:t>12-month inflation rate</w:t>
      </w:r>
      <w:r w:rsidR="0086764D" w:rsidRPr="000F21D1">
        <w:rPr>
          <w:rFonts w:ascii="Garamond" w:hAnsi="Garamond" w:cs="GHEA Grapalat"/>
          <w:b/>
          <w:lang w:val="hy-AM"/>
        </w:rPr>
        <w:t xml:space="preserve"> </w:t>
      </w:r>
      <w:r w:rsidRPr="000F21D1">
        <w:rPr>
          <w:rFonts w:ascii="Garamond" w:hAnsi="Garamond" w:cs="GHEA Grapalat"/>
        </w:rPr>
        <w:t xml:space="preserve">was </w:t>
      </w:r>
      <w:r w:rsidRPr="000F21D1">
        <w:rPr>
          <w:rFonts w:ascii="Garamond" w:hAnsi="Garamond" w:cs="GHEA Grapalat"/>
          <w:b/>
        </w:rPr>
        <w:t>-</w:t>
      </w:r>
      <w:r w:rsidR="00D6619B" w:rsidRPr="000F21D1">
        <w:rPr>
          <w:rFonts w:ascii="Garamond" w:hAnsi="Garamond" w:cs="GHEA Grapalat"/>
          <w:b/>
        </w:rPr>
        <w:t>1</w:t>
      </w:r>
      <w:r w:rsidRPr="000F21D1">
        <w:rPr>
          <w:rFonts w:ascii="Garamond" w:hAnsi="Garamond" w:cs="GHEA Grapalat"/>
          <w:b/>
        </w:rPr>
        <w:t>.</w:t>
      </w:r>
      <w:r w:rsidR="00D6619B" w:rsidRPr="000F21D1">
        <w:rPr>
          <w:rFonts w:ascii="Garamond" w:hAnsi="Garamond" w:cs="GHEA Grapalat"/>
          <w:b/>
        </w:rPr>
        <w:t>1</w:t>
      </w:r>
      <w:r w:rsidRPr="000F21D1">
        <w:rPr>
          <w:rFonts w:ascii="Garamond" w:hAnsi="Garamond" w:cs="GHEA Grapalat"/>
          <w:b/>
        </w:rPr>
        <w:t>%</w:t>
      </w:r>
      <w:r w:rsidRPr="000F21D1">
        <w:rPr>
          <w:rFonts w:ascii="Garamond" w:hAnsi="Garamond" w:cs="GHEA Grapalat"/>
        </w:rPr>
        <w:t xml:space="preserve">, </w:t>
      </w:r>
      <w:r w:rsidR="00425E31" w:rsidRPr="000F21D1">
        <w:rPr>
          <w:rFonts w:ascii="Garamond" w:hAnsi="Garamond" w:cs="GHEA Grapalat"/>
        </w:rPr>
        <w:t xml:space="preserve">driven by </w:t>
      </w:r>
      <w:r w:rsidR="00D6619B" w:rsidRPr="000F21D1">
        <w:rPr>
          <w:rFonts w:ascii="Garamond" w:hAnsi="Garamond" w:cs="GHEA Grapalat"/>
        </w:rPr>
        <w:t xml:space="preserve">lower seasonal </w:t>
      </w:r>
      <w:r w:rsidR="00425E31" w:rsidRPr="000F21D1">
        <w:rPr>
          <w:rFonts w:ascii="Garamond" w:hAnsi="Garamond" w:cs="GHEA Grapalat"/>
        </w:rPr>
        <w:t>prices of agricultural products</w:t>
      </w:r>
      <w:r w:rsidR="00D6619B" w:rsidRPr="000F21D1">
        <w:rPr>
          <w:rFonts w:ascii="Garamond" w:hAnsi="Garamond" w:cs="GHEA Grapalat"/>
        </w:rPr>
        <w:t>.</w:t>
      </w:r>
      <w:r w:rsidR="00425E31" w:rsidRPr="000F21D1">
        <w:rPr>
          <w:rFonts w:ascii="Garamond" w:hAnsi="Garamond" w:cs="GHEA Grapalat"/>
        </w:rPr>
        <w:t xml:space="preserve"> </w:t>
      </w:r>
    </w:p>
    <w:p w14:paraId="488E18E2" w14:textId="77777777" w:rsidR="00EF6EAC" w:rsidRPr="000F21D1" w:rsidRDefault="00EF6EAC" w:rsidP="00425E31">
      <w:pPr>
        <w:spacing w:line="360" w:lineRule="auto"/>
        <w:jc w:val="both"/>
        <w:rPr>
          <w:rFonts w:ascii="Garamond" w:hAnsi="Garamond" w:cs="GHEA Grapalat"/>
        </w:rPr>
      </w:pPr>
    </w:p>
    <w:p w14:paraId="0E5D824D" w14:textId="77777777" w:rsidR="00EF6EAC" w:rsidRPr="000F21D1" w:rsidRDefault="00EF6EAC" w:rsidP="00425E31">
      <w:pPr>
        <w:spacing w:line="360" w:lineRule="auto"/>
        <w:jc w:val="both"/>
        <w:rPr>
          <w:rFonts w:ascii="Garamond" w:hAnsi="Garamond"/>
        </w:rPr>
      </w:pPr>
      <w:r w:rsidRPr="000F21D1">
        <w:rPr>
          <w:rFonts w:ascii="Garamond" w:hAnsi="Garamond" w:cs="GHEA Grapalat"/>
          <w:b/>
        </w:rPr>
        <w:t>At the end of the forecast horizon</w:t>
      </w:r>
      <w:r w:rsidRPr="000F21D1">
        <w:rPr>
          <w:rFonts w:ascii="Garamond" w:hAnsi="Garamond" w:cs="GHEA Grapalat"/>
        </w:rPr>
        <w:t xml:space="preserve"> the 12-month inflation rate will stabilize around the 4% target. </w:t>
      </w:r>
      <w:r w:rsidR="002F02CC" w:rsidRPr="000F21D1">
        <w:rPr>
          <w:rFonts w:ascii="Garamond" w:hAnsi="Garamond" w:cs="GHEA Grapalat"/>
        </w:rPr>
        <w:t xml:space="preserve">The CBA estimates that deflationary environment will persist in the third quarter of 2016 but will gradually reduce thereafter; in the forecast horizon the 12-month inflation rate will gradually return to the target. </w:t>
      </w:r>
    </w:p>
    <w:p w14:paraId="345C828A" w14:textId="77777777" w:rsidR="007E2033" w:rsidRPr="000F21D1" w:rsidRDefault="007E2033" w:rsidP="00425E31">
      <w:pPr>
        <w:spacing w:line="360" w:lineRule="auto"/>
        <w:jc w:val="both"/>
        <w:rPr>
          <w:rFonts w:ascii="Garamond" w:hAnsi="Garamond"/>
        </w:rPr>
      </w:pPr>
    </w:p>
    <w:p w14:paraId="5C08B54F" w14:textId="77777777" w:rsidR="007E2033" w:rsidRPr="000F21D1" w:rsidRDefault="002F02CC" w:rsidP="00425E31">
      <w:pPr>
        <w:spacing w:line="360" w:lineRule="auto"/>
        <w:jc w:val="both"/>
        <w:rPr>
          <w:rFonts w:ascii="Garamond" w:hAnsi="Garamond"/>
        </w:rPr>
      </w:pPr>
      <w:r w:rsidRPr="000F21D1">
        <w:rPr>
          <w:rFonts w:ascii="Garamond" w:hAnsi="Garamond"/>
        </w:rPr>
        <w:t xml:space="preserve">In this case, the </w:t>
      </w:r>
      <w:r w:rsidR="007E2033" w:rsidRPr="000F21D1">
        <w:rPr>
          <w:rFonts w:ascii="Garamond" w:hAnsi="Garamond"/>
          <w:b/>
        </w:rPr>
        <w:t xml:space="preserve">CBA </w:t>
      </w:r>
      <w:r w:rsidRPr="000F21D1">
        <w:rPr>
          <w:rFonts w:ascii="Garamond" w:hAnsi="Garamond"/>
          <w:b/>
        </w:rPr>
        <w:t xml:space="preserve">finds it reasonable to continue </w:t>
      </w:r>
      <w:r w:rsidR="007E2033" w:rsidRPr="000F21D1">
        <w:rPr>
          <w:rFonts w:ascii="Garamond" w:hAnsi="Garamond"/>
          <w:b/>
        </w:rPr>
        <w:t>easing monetary conditions</w:t>
      </w:r>
      <w:r w:rsidR="001F303A" w:rsidRPr="000F21D1">
        <w:rPr>
          <w:rFonts w:ascii="Garamond" w:hAnsi="Garamond"/>
          <w:b/>
        </w:rPr>
        <w:t xml:space="preserve"> in the second quarter of 2016</w:t>
      </w:r>
      <w:r w:rsidR="007E2033" w:rsidRPr="000F21D1">
        <w:rPr>
          <w:rFonts w:ascii="Garamond" w:hAnsi="Garamond"/>
          <w:b/>
        </w:rPr>
        <w:t xml:space="preserve"> </w:t>
      </w:r>
      <w:r w:rsidRPr="000F21D1">
        <w:rPr>
          <w:rFonts w:ascii="Garamond" w:hAnsi="Garamond"/>
        </w:rPr>
        <w:t>in order to contribute to further expanding of aggregate demand</w:t>
      </w:r>
      <w:r w:rsidR="001F303A" w:rsidRPr="000F21D1">
        <w:rPr>
          <w:rFonts w:ascii="Garamond" w:hAnsi="Garamond"/>
        </w:rPr>
        <w:t xml:space="preserve">. In doing so, the CBA will also assist </w:t>
      </w:r>
      <w:r w:rsidRPr="000F21D1">
        <w:rPr>
          <w:rFonts w:ascii="Garamond" w:hAnsi="Garamond"/>
        </w:rPr>
        <w:t xml:space="preserve">the deflation environment </w:t>
      </w:r>
      <w:r w:rsidR="001F303A" w:rsidRPr="000F21D1">
        <w:rPr>
          <w:rFonts w:ascii="Garamond" w:hAnsi="Garamond"/>
        </w:rPr>
        <w:t xml:space="preserve">to </w:t>
      </w:r>
      <w:r w:rsidRPr="000F21D1">
        <w:rPr>
          <w:rFonts w:ascii="Garamond" w:hAnsi="Garamond"/>
        </w:rPr>
        <w:t xml:space="preserve">phase out gradually and the inflation </w:t>
      </w:r>
      <w:r w:rsidR="001F303A" w:rsidRPr="000F21D1">
        <w:rPr>
          <w:rFonts w:ascii="Garamond" w:hAnsi="Garamond"/>
        </w:rPr>
        <w:t xml:space="preserve">to </w:t>
      </w:r>
      <w:r w:rsidRPr="000F21D1">
        <w:rPr>
          <w:rFonts w:ascii="Garamond" w:hAnsi="Garamond"/>
        </w:rPr>
        <w:t>stabilize around the target in the forecast horizon.</w:t>
      </w:r>
      <w:r w:rsidR="007E2033" w:rsidRPr="000F21D1">
        <w:rPr>
          <w:rFonts w:ascii="Garamond" w:hAnsi="Garamond"/>
        </w:rPr>
        <w:t xml:space="preserve"> </w:t>
      </w:r>
    </w:p>
    <w:p w14:paraId="552074FC" w14:textId="77777777" w:rsidR="007E2033" w:rsidRPr="000F21D1" w:rsidRDefault="007E2033" w:rsidP="00425E31">
      <w:pPr>
        <w:spacing w:line="360" w:lineRule="auto"/>
        <w:jc w:val="both"/>
        <w:rPr>
          <w:rFonts w:ascii="Garamond" w:hAnsi="Garamond"/>
        </w:rPr>
      </w:pPr>
    </w:p>
    <w:p w14:paraId="5934C6DB" w14:textId="77777777" w:rsidR="00B7707D" w:rsidRPr="000F21D1" w:rsidRDefault="00B7707D" w:rsidP="007E2033">
      <w:pPr>
        <w:spacing w:line="360" w:lineRule="auto"/>
        <w:jc w:val="both"/>
        <w:rPr>
          <w:rFonts w:ascii="Garamond" w:hAnsi="Garamond"/>
        </w:rPr>
      </w:pPr>
      <w:r w:rsidRPr="000F21D1">
        <w:rPr>
          <w:rFonts w:ascii="Garamond" w:hAnsi="Garamond"/>
          <w:b/>
        </w:rPr>
        <w:t>Risks that inflation will deviate from the</w:t>
      </w:r>
      <w:r w:rsidRPr="000F21D1">
        <w:rPr>
          <w:rFonts w:ascii="Garamond" w:hAnsi="Garamond"/>
          <w:b/>
          <w:lang w:val="hy-AM"/>
        </w:rPr>
        <w:t xml:space="preserve"> </w:t>
      </w:r>
      <w:r w:rsidRPr="000F21D1">
        <w:rPr>
          <w:rFonts w:ascii="Garamond" w:hAnsi="Garamond"/>
          <w:b/>
        </w:rPr>
        <w:t>projected value</w:t>
      </w:r>
      <w:r w:rsidRPr="000F21D1">
        <w:rPr>
          <w:rFonts w:ascii="Garamond" w:hAnsi="Garamond"/>
          <w:b/>
          <w:lang w:val="hy-AM"/>
        </w:rPr>
        <w:t xml:space="preserve"> </w:t>
      </w:r>
      <w:r w:rsidRPr="000F21D1">
        <w:rPr>
          <w:rFonts w:ascii="Garamond" w:hAnsi="Garamond"/>
          <w:b/>
        </w:rPr>
        <w:t>are estimated downside in the short run and balanced in the medium run</w:t>
      </w:r>
      <w:r w:rsidRPr="000F21D1">
        <w:rPr>
          <w:rFonts w:ascii="Garamond" w:hAnsi="Garamond"/>
        </w:rPr>
        <w:t>.</w:t>
      </w:r>
      <w:r w:rsidRPr="000F21D1">
        <w:rPr>
          <w:rFonts w:ascii="Garamond" w:hAnsi="Garamond"/>
          <w:lang w:val="hy-AM"/>
        </w:rPr>
        <w:t xml:space="preserve"> </w:t>
      </w:r>
      <w:r w:rsidRPr="000F21D1">
        <w:rPr>
          <w:rFonts w:ascii="Garamond" w:hAnsi="Garamond"/>
          <w:color w:val="000000"/>
        </w:rPr>
        <w:t>Risks deriving from external and domestic sectors mostly persisted in relation to the previous forecast.</w:t>
      </w:r>
      <w:r w:rsidRPr="000F21D1">
        <w:rPr>
          <w:rFonts w:ascii="Garamond" w:hAnsi="Garamond" w:cs="Sylfaen"/>
          <w:color w:val="000000"/>
        </w:rPr>
        <w:t xml:space="preserve"> In particular, the </w:t>
      </w:r>
      <w:r w:rsidRPr="000F21D1">
        <w:rPr>
          <w:rFonts w:ascii="Garamond" w:hAnsi="Garamond" w:cs="Sylfaen"/>
          <w:b/>
          <w:color w:val="000000"/>
        </w:rPr>
        <w:t>external sector risks</w:t>
      </w:r>
      <w:r w:rsidRPr="000F21D1">
        <w:rPr>
          <w:rFonts w:ascii="Garamond" w:hAnsi="Garamond" w:cs="Sylfaen"/>
          <w:color w:val="000000"/>
        </w:rPr>
        <w:t xml:space="preserve"> are related to</w:t>
      </w:r>
      <w:r w:rsidRPr="000F21D1">
        <w:rPr>
          <w:rFonts w:ascii="Garamond" w:hAnsi="Garamond" w:cs="Sylfaen"/>
          <w:color w:val="000000"/>
          <w:lang w:val="hy-AM"/>
        </w:rPr>
        <w:t xml:space="preserve"> </w:t>
      </w:r>
      <w:r w:rsidRPr="000F21D1">
        <w:rPr>
          <w:rFonts w:ascii="Garamond" w:hAnsi="Garamond"/>
        </w:rPr>
        <w:t xml:space="preserve">capital outflows from developing countries and, consequently, volatilities in financial markets, the processes in the European Union, a likely slowdown of global economic growth resulting from structural </w:t>
      </w:r>
      <w:r w:rsidR="00612B5F" w:rsidRPr="000F21D1">
        <w:rPr>
          <w:rFonts w:ascii="Garamond" w:hAnsi="Garamond"/>
        </w:rPr>
        <w:t>shifts in</w:t>
      </w:r>
      <w:r w:rsidRPr="000F21D1">
        <w:rPr>
          <w:rFonts w:ascii="Garamond" w:hAnsi="Garamond"/>
        </w:rPr>
        <w:t xml:space="preserve"> the Chinese economy as well as risks related to developments in international prices of raw materials and food products. </w:t>
      </w:r>
      <w:r w:rsidRPr="000F21D1">
        <w:rPr>
          <w:rFonts w:ascii="Garamond" w:hAnsi="Garamond"/>
          <w:b/>
        </w:rPr>
        <w:t>Risks deriving from the domestic sector</w:t>
      </w:r>
      <w:r w:rsidRPr="000F21D1">
        <w:rPr>
          <w:rFonts w:ascii="Garamond" w:hAnsi="Garamond"/>
        </w:rPr>
        <w:t xml:space="preserve"> are</w:t>
      </w:r>
      <w:r w:rsidRPr="000F21D1">
        <w:rPr>
          <w:rFonts w:ascii="Garamond" w:hAnsi="Garamond"/>
          <w:lang w:val="hy-AM"/>
        </w:rPr>
        <w:t xml:space="preserve"> </w:t>
      </w:r>
      <w:r w:rsidRPr="000F21D1">
        <w:rPr>
          <w:rFonts w:ascii="Garamond" w:hAnsi="Garamond"/>
          <w:color w:val="000000"/>
        </w:rPr>
        <w:t xml:space="preserve">mostly associated with the extent to which </w:t>
      </w:r>
      <w:r w:rsidRPr="000F21D1">
        <w:rPr>
          <w:rFonts w:ascii="Garamond" w:hAnsi="Garamond"/>
        </w:rPr>
        <w:t>external environment’s deflationary impact will spill over to the domestic prices,</w:t>
      </w:r>
      <w:r w:rsidRPr="000F21D1">
        <w:rPr>
          <w:rFonts w:ascii="Garamond" w:hAnsi="Garamond"/>
          <w:lang w:val="hy-AM"/>
        </w:rPr>
        <w:t xml:space="preserve"> </w:t>
      </w:r>
      <w:r w:rsidRPr="000F21D1">
        <w:rPr>
          <w:rFonts w:ascii="Garamond" w:hAnsi="Garamond"/>
          <w:color w:val="000000"/>
        </w:rPr>
        <w:t xml:space="preserve">developments in agriculture, a sector greatly depending on weather conditions, the pace at which domestic demand and private investments will recover, as well as Government-led </w:t>
      </w:r>
      <w:r w:rsidRPr="000F21D1">
        <w:rPr>
          <w:rFonts w:ascii="Garamond" w:hAnsi="Garamond"/>
          <w:color w:val="000000"/>
        </w:rPr>
        <w:lastRenderedPageBreak/>
        <w:t>structural reforms.</w:t>
      </w:r>
      <w:r w:rsidRPr="000F21D1">
        <w:rPr>
          <w:rFonts w:ascii="Garamond" w:hAnsi="Garamond" w:cs="GHEA Grapalat"/>
        </w:rPr>
        <w:t xml:space="preserve"> </w:t>
      </w:r>
      <w:r w:rsidRPr="000F21D1">
        <w:rPr>
          <w:rFonts w:ascii="Garamond" w:hAnsi="Garamond"/>
        </w:rPr>
        <w:t>If the aforementioned risks materialize, the CBA will react accordingly by maintaining the inflation target in the medium run.</w:t>
      </w:r>
    </w:p>
    <w:p w14:paraId="58BD9B32" w14:textId="77777777" w:rsidR="00B7707D" w:rsidRPr="000F21D1" w:rsidRDefault="00B7707D" w:rsidP="007E2033">
      <w:pPr>
        <w:spacing w:line="360" w:lineRule="auto"/>
        <w:jc w:val="both"/>
        <w:rPr>
          <w:rFonts w:ascii="Garamond" w:hAnsi="Garamond"/>
        </w:rPr>
      </w:pPr>
    </w:p>
    <w:p w14:paraId="7CF7AC9F" w14:textId="77777777" w:rsidR="00B7707D" w:rsidRPr="000F21D1" w:rsidRDefault="00B7707D" w:rsidP="007E2033">
      <w:pPr>
        <w:spacing w:line="360" w:lineRule="auto"/>
        <w:jc w:val="both"/>
        <w:rPr>
          <w:rFonts w:ascii="Garamond" w:hAnsi="Garamond"/>
        </w:rPr>
      </w:pPr>
    </w:p>
    <w:p w14:paraId="44A63956" w14:textId="77777777" w:rsidR="00B7707D" w:rsidRPr="000F21D1" w:rsidRDefault="00B7707D" w:rsidP="007E2033">
      <w:pPr>
        <w:spacing w:line="360" w:lineRule="auto"/>
        <w:jc w:val="both"/>
        <w:rPr>
          <w:rFonts w:ascii="Garamond" w:hAnsi="Garamond"/>
        </w:rPr>
      </w:pPr>
    </w:p>
    <w:p w14:paraId="37F26F89" w14:textId="77777777" w:rsidR="00B7707D" w:rsidRPr="000F21D1" w:rsidRDefault="00B7707D" w:rsidP="007E2033">
      <w:pPr>
        <w:spacing w:line="360" w:lineRule="auto"/>
        <w:jc w:val="both"/>
        <w:rPr>
          <w:rFonts w:ascii="Garamond" w:hAnsi="Garamond"/>
        </w:rPr>
      </w:pPr>
    </w:p>
    <w:p w14:paraId="6AADA5B2" w14:textId="77777777" w:rsidR="00B7707D" w:rsidRPr="000F21D1" w:rsidRDefault="00B7707D" w:rsidP="007E2033">
      <w:pPr>
        <w:spacing w:line="360" w:lineRule="auto"/>
        <w:jc w:val="both"/>
        <w:rPr>
          <w:rFonts w:ascii="Garamond" w:hAnsi="Garamond"/>
        </w:rPr>
      </w:pPr>
    </w:p>
    <w:p w14:paraId="22BA9015" w14:textId="77777777" w:rsidR="00B7707D" w:rsidRPr="000F21D1" w:rsidRDefault="00B7707D" w:rsidP="007E2033">
      <w:pPr>
        <w:spacing w:line="360" w:lineRule="auto"/>
        <w:jc w:val="both"/>
        <w:rPr>
          <w:rFonts w:ascii="Garamond" w:hAnsi="Garamond"/>
        </w:rPr>
      </w:pPr>
    </w:p>
    <w:sectPr w:rsidR="00B7707D" w:rsidRPr="000F21D1" w:rsidSect="004E2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08271" w14:textId="77777777" w:rsidR="00392729" w:rsidRDefault="00392729" w:rsidP="004C715C">
      <w:r>
        <w:separator/>
      </w:r>
    </w:p>
  </w:endnote>
  <w:endnote w:type="continuationSeparator" w:id="0">
    <w:p w14:paraId="48560EBE" w14:textId="77777777" w:rsidR="00392729" w:rsidRDefault="00392729" w:rsidP="004C7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GHEA Grapalat">
    <w:panose1 w:val="02000506050000020003"/>
    <w:charset w:val="00"/>
    <w:family w:val="modern"/>
    <w:notTrueType/>
    <w:pitch w:val="variable"/>
    <w:sig w:usb0="A00006AF" w:usb1="50002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8B70B" w14:textId="77777777" w:rsidR="00392729" w:rsidRDefault="00392729" w:rsidP="004C715C">
      <w:r>
        <w:separator/>
      </w:r>
    </w:p>
  </w:footnote>
  <w:footnote w:type="continuationSeparator" w:id="0">
    <w:p w14:paraId="25BF9661" w14:textId="77777777" w:rsidR="00392729" w:rsidRDefault="00392729" w:rsidP="004C715C">
      <w:r>
        <w:continuationSeparator/>
      </w:r>
    </w:p>
  </w:footnote>
  <w:footnote w:id="1">
    <w:p w14:paraId="03C8D4B2" w14:textId="77777777" w:rsidR="00392729" w:rsidRPr="00CC73A5" w:rsidRDefault="00392729" w:rsidP="0018680E">
      <w:pPr>
        <w:pStyle w:val="FootnoteText"/>
        <w:jc w:val="both"/>
        <w:rPr>
          <w:rFonts w:ascii="Garamond" w:hAnsi="Garamond"/>
        </w:rPr>
      </w:pPr>
      <w:r w:rsidRPr="00CC73A5">
        <w:rPr>
          <w:rStyle w:val="FootnoteReference"/>
          <w:rFonts w:ascii="Garamond" w:hAnsi="Garamond"/>
        </w:rPr>
        <w:t>1</w:t>
      </w:r>
      <w:r w:rsidRPr="00CC73A5">
        <w:rPr>
          <w:rFonts w:ascii="Garamond" w:hAnsi="Garamond"/>
        </w:rPr>
        <w:t xml:space="preserve"> The forecasts of external sector were based on the information provided from international reputable analytical, research, ratings organizations and financial institutions as well as various news agencies worldwide (including the</w:t>
      </w:r>
      <w:r w:rsidRPr="00CC73A5">
        <w:rPr>
          <w:rFonts w:ascii="Garamond" w:hAnsi="Garamond"/>
          <w:lang w:val="hy-AM"/>
        </w:rPr>
        <w:t xml:space="preserve"> IMF, </w:t>
      </w:r>
      <w:r w:rsidRPr="00CC73A5">
        <w:rPr>
          <w:rFonts w:ascii="Garamond" w:hAnsi="Garamond"/>
        </w:rPr>
        <w:t xml:space="preserve">the </w:t>
      </w:r>
      <w:r w:rsidRPr="00CC73A5">
        <w:rPr>
          <w:rFonts w:ascii="Garamond" w:hAnsi="Garamond"/>
          <w:lang w:val="hy-AM"/>
        </w:rPr>
        <w:t xml:space="preserve">World Bank, The Economist, Economist </w:t>
      </w:r>
      <w:r w:rsidRPr="00CC73A5">
        <w:rPr>
          <w:rFonts w:ascii="Garamond" w:hAnsi="Garamond"/>
        </w:rPr>
        <w:t xml:space="preserve">Intelligence Unit, the </w:t>
      </w:r>
      <w:r w:rsidRPr="00CC73A5">
        <w:rPr>
          <w:rFonts w:ascii="Garamond" w:hAnsi="Garamond"/>
          <w:lang w:val="hy-AM"/>
        </w:rPr>
        <w:t xml:space="preserve">Global Insight, </w:t>
      </w:r>
      <w:r w:rsidRPr="00CC73A5">
        <w:rPr>
          <w:rFonts w:ascii="Garamond" w:hAnsi="Garamond"/>
        </w:rPr>
        <w:t xml:space="preserve">the </w:t>
      </w:r>
      <w:r w:rsidRPr="00CC73A5">
        <w:rPr>
          <w:rFonts w:ascii="Garamond" w:hAnsi="Garamond"/>
          <w:lang w:val="hy-AM"/>
        </w:rPr>
        <w:t xml:space="preserve">Financial Times, </w:t>
      </w:r>
      <w:r w:rsidRPr="00CC73A5">
        <w:rPr>
          <w:rFonts w:ascii="Garamond" w:hAnsi="Garamond"/>
        </w:rPr>
        <w:t>and so on).</w:t>
      </w:r>
    </w:p>
  </w:footnote>
  <w:footnote w:id="2">
    <w:p w14:paraId="4A9468A3" w14:textId="77777777" w:rsidR="00392729" w:rsidRPr="0018680E" w:rsidRDefault="00392729" w:rsidP="0018680E">
      <w:pPr>
        <w:pStyle w:val="FootnoteText"/>
        <w:jc w:val="both"/>
        <w:rPr>
          <w:rFonts w:ascii="Garamond" w:hAnsi="Garamond"/>
        </w:rPr>
      </w:pPr>
      <w:r w:rsidRPr="0018680E">
        <w:rPr>
          <w:rStyle w:val="FootnoteReference"/>
          <w:rFonts w:ascii="Garamond" w:hAnsi="Garamond"/>
        </w:rPr>
        <w:t>2</w:t>
      </w:r>
      <w:r w:rsidRPr="0018680E">
        <w:rPr>
          <w:rFonts w:ascii="Garamond" w:hAnsi="Garamond"/>
        </w:rPr>
        <w:t xml:space="preserve"> All forecasts </w:t>
      </w:r>
      <w:r>
        <w:rPr>
          <w:rFonts w:ascii="Garamond" w:hAnsi="Garamond"/>
        </w:rPr>
        <w:t xml:space="preserve">for </w:t>
      </w:r>
      <w:r w:rsidRPr="0018680E">
        <w:rPr>
          <w:rFonts w:ascii="Garamond" w:hAnsi="Garamond"/>
        </w:rPr>
        <w:t xml:space="preserve">the external environment are based on </w:t>
      </w:r>
      <w:r>
        <w:rPr>
          <w:rFonts w:ascii="Garamond" w:hAnsi="Garamond"/>
        </w:rPr>
        <w:t xml:space="preserve">the information available as of </w:t>
      </w:r>
      <w:r w:rsidRPr="0018680E">
        <w:rPr>
          <w:rFonts w:ascii="Garamond" w:hAnsi="Garamond"/>
        </w:rPr>
        <w:t>25.07.2016.</w:t>
      </w:r>
    </w:p>
  </w:footnote>
  <w:footnote w:id="3">
    <w:p w14:paraId="3A7F02FE" w14:textId="77777777" w:rsidR="00392729" w:rsidRPr="00400525" w:rsidRDefault="00392729" w:rsidP="00400525">
      <w:pPr>
        <w:pStyle w:val="FootnoteText"/>
        <w:jc w:val="both"/>
        <w:rPr>
          <w:rFonts w:ascii="Garamond" w:hAnsi="Garamond"/>
          <w:lang w:val="pt-BR"/>
        </w:rPr>
      </w:pPr>
      <w:r>
        <w:rPr>
          <w:rStyle w:val="FootnoteReference"/>
        </w:rPr>
        <w:t>3</w:t>
      </w:r>
      <w:r>
        <w:t xml:space="preserve"> </w:t>
      </w:r>
      <w:r w:rsidRPr="00400525">
        <w:rPr>
          <w:rFonts w:ascii="Garamond" w:hAnsi="Garamond"/>
        </w:rPr>
        <w:t>See the 30% range in the Real GDP Growth (Cumulative</w:t>
      </w:r>
      <w:r>
        <w:rPr>
          <w:rFonts w:ascii="Garamond" w:hAnsi="Garamond"/>
        </w:rPr>
        <w:t xml:space="preserve">) </w:t>
      </w:r>
      <w:r w:rsidRPr="00400525">
        <w:rPr>
          <w:rFonts w:ascii="Garamond" w:hAnsi="Garamond"/>
        </w:rPr>
        <w:t>Projection Probability Distribution Chart.</w:t>
      </w:r>
    </w:p>
  </w:footnote>
  <w:footnote w:id="4">
    <w:p w14:paraId="35A29295" w14:textId="77777777" w:rsidR="00392729" w:rsidRPr="002D3505" w:rsidRDefault="00392729" w:rsidP="002D3505">
      <w:pPr>
        <w:pStyle w:val="FootnoteText"/>
        <w:jc w:val="both"/>
        <w:rPr>
          <w:rFonts w:ascii="Garamond" w:hAnsi="Garamond"/>
          <w:lang w:val="pt-BR"/>
        </w:rPr>
      </w:pPr>
      <w:r>
        <w:rPr>
          <w:rStyle w:val="FootnoteReference"/>
        </w:rPr>
        <w:t>4</w:t>
      </w:r>
      <w:r>
        <w:t xml:space="preserve"> </w:t>
      </w:r>
      <w:r w:rsidRPr="002D3505">
        <w:rPr>
          <w:rFonts w:ascii="Garamond" w:hAnsi="Garamond"/>
        </w:rPr>
        <w:t>See the 30% range in the Real GDP Growth (Cumulative) Projection Probability Distribution Chart.</w:t>
      </w:r>
    </w:p>
  </w:footnote>
  <w:footnote w:id="5">
    <w:p w14:paraId="38DE1C78" w14:textId="77777777" w:rsidR="00392729" w:rsidRPr="005B6C26" w:rsidRDefault="00392729" w:rsidP="00C70554">
      <w:pPr>
        <w:pStyle w:val="FootnoteText"/>
        <w:jc w:val="both"/>
        <w:rPr>
          <w:rFonts w:ascii="Garamond" w:hAnsi="Garamond"/>
          <w:lang w:val="pt-BR"/>
        </w:rPr>
      </w:pPr>
      <w:r w:rsidRPr="005B6C26">
        <w:rPr>
          <w:rStyle w:val="FootnoteReference"/>
          <w:rFonts w:ascii="Garamond" w:hAnsi="Garamond"/>
        </w:rPr>
        <w:t>5</w:t>
      </w:r>
      <w:r w:rsidRPr="005B6C26">
        <w:rPr>
          <w:rFonts w:ascii="Garamond" w:hAnsi="Garamond"/>
        </w:rPr>
        <w:t xml:space="preserve"> The labor market data for 2016-2018 are the CBA projections which are based on the first quarter of 2016 data and actual January-May</w:t>
      </w:r>
      <w:r w:rsidRPr="005B6C26">
        <w:rPr>
          <w:rFonts w:ascii="Garamond" w:hAnsi="Garamond"/>
          <w:lang w:val="hy-AM"/>
        </w:rPr>
        <w:t xml:space="preserve"> </w:t>
      </w:r>
      <w:r w:rsidRPr="005B6C26">
        <w:rPr>
          <w:rFonts w:ascii="Garamond" w:hAnsi="Garamond"/>
        </w:rPr>
        <w:t>of 2016 figures. The growth indicators presented in this sub-section are relative to the same reference period last year, unless otherwise specified.</w:t>
      </w:r>
    </w:p>
  </w:footnote>
  <w:footnote w:id="6">
    <w:p w14:paraId="3BF7063B" w14:textId="77777777" w:rsidR="00392729" w:rsidRPr="005B6C26" w:rsidRDefault="00392729" w:rsidP="00E51C4E">
      <w:pPr>
        <w:pStyle w:val="FootnoteText"/>
        <w:jc w:val="both"/>
        <w:rPr>
          <w:rFonts w:ascii="Garamond" w:hAnsi="Garamond"/>
        </w:rPr>
      </w:pPr>
      <w:r w:rsidRPr="005B6C26">
        <w:rPr>
          <w:rStyle w:val="FootnoteReference"/>
          <w:rFonts w:ascii="Garamond" w:hAnsi="Garamond"/>
        </w:rPr>
        <w:t>6</w:t>
      </w:r>
      <w:r w:rsidRPr="005B6C26">
        <w:rPr>
          <w:rFonts w:ascii="Garamond" w:hAnsi="Garamond"/>
        </w:rPr>
        <w:t xml:space="preserve"> Forecasts of private and public sector wages will, from now on, be published along with the average nominal wage forecast by the CBA. </w:t>
      </w:r>
    </w:p>
  </w:footnote>
  <w:footnote w:id="7">
    <w:p w14:paraId="0EB6C8B9" w14:textId="77777777" w:rsidR="00392729" w:rsidRPr="005B6C26" w:rsidRDefault="00392729" w:rsidP="00E23D05">
      <w:pPr>
        <w:pStyle w:val="FootnoteText"/>
        <w:jc w:val="both"/>
        <w:rPr>
          <w:rFonts w:ascii="Garamond" w:hAnsi="Garamond"/>
        </w:rPr>
      </w:pPr>
      <w:r w:rsidRPr="005B6C26">
        <w:rPr>
          <w:rStyle w:val="FootnoteReference"/>
          <w:rFonts w:ascii="Garamond" w:hAnsi="Garamond"/>
        </w:rPr>
        <w:t>7</w:t>
      </w:r>
      <w:r w:rsidRPr="005B6C26">
        <w:rPr>
          <w:rFonts w:ascii="Garamond" w:hAnsi="Garamond"/>
        </w:rPr>
        <w:t xml:space="preserve"> A gradual rise in the minimum wage in the medium run has been outlined in the Republic of Armenia’s Medium-Term Public Expenditures Program for 2016-2018.</w:t>
      </w:r>
    </w:p>
  </w:footnote>
  <w:footnote w:id="8">
    <w:p w14:paraId="153F1908" w14:textId="77777777" w:rsidR="00392729" w:rsidRPr="000069EE" w:rsidRDefault="00392729" w:rsidP="006251FD">
      <w:pPr>
        <w:pStyle w:val="FootnoteText"/>
        <w:jc w:val="both"/>
        <w:rPr>
          <w:rFonts w:ascii="Garamond" w:hAnsi="Garamond"/>
        </w:rPr>
      </w:pPr>
      <w:r w:rsidRPr="005B6C26">
        <w:rPr>
          <w:rStyle w:val="FootnoteReference"/>
          <w:rFonts w:ascii="Garamond" w:hAnsi="Garamond"/>
        </w:rPr>
        <w:t>8</w:t>
      </w:r>
      <w:r w:rsidRPr="005B6C26">
        <w:rPr>
          <w:rFonts w:ascii="Garamond" w:hAnsi="Garamond"/>
        </w:rPr>
        <w:t xml:space="preserve"> Average nominal wage constitutes the grand sum of salary and salary equivalents (premiums, allowances, bonuses, one-time incentive pays, etc.).</w:t>
      </w:r>
    </w:p>
  </w:footnote>
  <w:footnote w:id="9">
    <w:p w14:paraId="30B007BF" w14:textId="77777777" w:rsidR="00392729" w:rsidRPr="00D810B0" w:rsidRDefault="00392729" w:rsidP="00D810B0">
      <w:pPr>
        <w:pStyle w:val="FootnoteText"/>
        <w:jc w:val="both"/>
        <w:rPr>
          <w:rFonts w:ascii="Garamond" w:hAnsi="Garamond"/>
        </w:rPr>
      </w:pPr>
      <w:r>
        <w:rPr>
          <w:rStyle w:val="FootnoteReference"/>
        </w:rPr>
        <w:t>9</w:t>
      </w:r>
      <w:r w:rsidRPr="00D810B0">
        <w:rPr>
          <w:rFonts w:ascii="Garamond" w:hAnsi="Garamond"/>
        </w:rPr>
        <w:t xml:space="preserve"> The data of real growth of private consumption and investments for 2016-2018 are the CBA estimates. These actual figures are as of the </w:t>
      </w:r>
      <w:r>
        <w:rPr>
          <w:rFonts w:ascii="Garamond" w:hAnsi="Garamond"/>
        </w:rPr>
        <w:t xml:space="preserve">first </w:t>
      </w:r>
      <w:r w:rsidRPr="00D810B0">
        <w:rPr>
          <w:rFonts w:ascii="Garamond" w:hAnsi="Garamond"/>
        </w:rPr>
        <w:t>quarter of 2015 published by the National Statistics Service of Armenia. The real growth indicators represented in this sub-section are relative to the same reference period last year, unless otherwise specified.</w:t>
      </w:r>
    </w:p>
  </w:footnote>
  <w:footnote w:id="10">
    <w:p w14:paraId="6C25FAEF" w14:textId="77777777" w:rsidR="00392729" w:rsidRPr="00431888" w:rsidRDefault="00392729" w:rsidP="00431888">
      <w:pPr>
        <w:pStyle w:val="FootnoteText"/>
        <w:jc w:val="both"/>
        <w:rPr>
          <w:rFonts w:ascii="Garamond" w:hAnsi="Garamond"/>
        </w:rPr>
      </w:pPr>
      <w:r>
        <w:rPr>
          <w:rStyle w:val="FootnoteReference"/>
        </w:rPr>
        <w:t>10</w:t>
      </w:r>
      <w:r w:rsidRPr="00F6771F">
        <w:rPr>
          <w:rFonts w:ascii="Garamond" w:hAnsi="Garamond"/>
        </w:rPr>
        <w:t xml:space="preserve"> The </w:t>
      </w:r>
      <w:r w:rsidRPr="00F6771F">
        <w:rPr>
          <w:rFonts w:ascii="Garamond" w:hAnsi="Garamond"/>
          <w:bCs/>
          <w:iCs/>
        </w:rPr>
        <w:t xml:space="preserve">revenue and expenditure </w:t>
      </w:r>
      <w:r>
        <w:rPr>
          <w:rFonts w:ascii="Garamond" w:hAnsi="Garamond"/>
          <w:bCs/>
          <w:iCs/>
        </w:rPr>
        <w:t xml:space="preserve">indicators as established </w:t>
      </w:r>
      <w:r w:rsidRPr="00F6771F">
        <w:rPr>
          <w:rFonts w:ascii="Garamond" w:hAnsi="Garamond"/>
          <w:bCs/>
          <w:iCs/>
        </w:rPr>
        <w:t>in the Republic of Armenia Law on State Budget</w:t>
      </w:r>
      <w:r>
        <w:rPr>
          <w:rFonts w:ascii="Garamond" w:hAnsi="Garamond"/>
        </w:rPr>
        <w:t xml:space="preserve"> are subject to </w:t>
      </w:r>
      <w:r w:rsidRPr="003E7A84">
        <w:rPr>
          <w:rFonts w:ascii="Garamond" w:hAnsi="Garamond"/>
        </w:rPr>
        <w:t>revision</w:t>
      </w:r>
      <w:r>
        <w:rPr>
          <w:rFonts w:ascii="Garamond" w:hAnsi="Garamond"/>
        </w:rPr>
        <w:t xml:space="preserve"> during the year under relevant </w:t>
      </w:r>
      <w:r w:rsidRPr="00BC44A9">
        <w:rPr>
          <w:rFonts w:ascii="Garamond" w:hAnsi="Garamond"/>
        </w:rPr>
        <w:t>decisions</w:t>
      </w:r>
      <w:r>
        <w:rPr>
          <w:rFonts w:ascii="Garamond" w:hAnsi="Garamond"/>
        </w:rPr>
        <w:t xml:space="preserve"> issued by the Government, which are available at www.e-gov.am.</w:t>
      </w:r>
    </w:p>
  </w:footnote>
  <w:footnote w:id="11">
    <w:p w14:paraId="081886C8" w14:textId="77777777" w:rsidR="00392729" w:rsidRPr="00AB63DE" w:rsidRDefault="00392729" w:rsidP="00AB63DE">
      <w:pPr>
        <w:pStyle w:val="FootnoteText"/>
        <w:jc w:val="both"/>
        <w:rPr>
          <w:rFonts w:ascii="Garamond" w:hAnsi="Garamond"/>
        </w:rPr>
      </w:pPr>
      <w:r w:rsidRPr="00AB63DE">
        <w:rPr>
          <w:rStyle w:val="FootnoteReference"/>
          <w:rFonts w:ascii="Garamond" w:hAnsi="Garamond"/>
        </w:rPr>
        <w:t>11</w:t>
      </w:r>
      <w:r w:rsidRPr="00AB63DE">
        <w:rPr>
          <w:rFonts w:ascii="Garamond" w:hAnsi="Garamond"/>
        </w:rPr>
        <w:t xml:space="preserve"> Sign </w:t>
      </w:r>
      <w:r>
        <w:rPr>
          <w:rFonts w:ascii="Garamond" w:hAnsi="Garamond"/>
        </w:rPr>
        <w:t>“–”</w:t>
      </w:r>
      <w:r w:rsidRPr="00AB63DE">
        <w:rPr>
          <w:rFonts w:ascii="Garamond" w:hAnsi="Garamond"/>
        </w:rPr>
        <w:t xml:space="preserve"> </w:t>
      </w:r>
      <w:r>
        <w:rPr>
          <w:rFonts w:ascii="Garamond" w:hAnsi="Garamond"/>
        </w:rPr>
        <w:t xml:space="preserve">denotes </w:t>
      </w:r>
      <w:r w:rsidRPr="00AB63DE">
        <w:rPr>
          <w:rFonts w:ascii="Garamond" w:hAnsi="Garamond"/>
        </w:rPr>
        <w:t xml:space="preserve">deficit, </w:t>
      </w:r>
      <w:r>
        <w:rPr>
          <w:rFonts w:ascii="Garamond" w:hAnsi="Garamond"/>
        </w:rPr>
        <w:t>sign “</w:t>
      </w:r>
      <w:r w:rsidRPr="00AB63DE">
        <w:rPr>
          <w:rFonts w:ascii="Garamond" w:hAnsi="Garamond"/>
        </w:rPr>
        <w:t>+</w:t>
      </w:r>
      <w:r>
        <w:rPr>
          <w:rFonts w:ascii="Garamond" w:hAnsi="Garamond"/>
        </w:rPr>
        <w:t>”,</w:t>
      </w:r>
      <w:r w:rsidRPr="00AB63DE">
        <w:rPr>
          <w:rFonts w:ascii="Garamond" w:hAnsi="Garamond"/>
        </w:rPr>
        <w:t xml:space="preserve"> surplus</w:t>
      </w:r>
      <w:r>
        <w:rPr>
          <w:rFonts w:ascii="Garamond" w:hAnsi="Garamond"/>
        </w:rPr>
        <w:t>.</w:t>
      </w:r>
    </w:p>
  </w:footnote>
  <w:footnote w:id="12">
    <w:p w14:paraId="2FF7661F" w14:textId="77777777" w:rsidR="00392729" w:rsidRPr="000704AE" w:rsidRDefault="00392729" w:rsidP="000704AE">
      <w:pPr>
        <w:pStyle w:val="FootnoteText"/>
        <w:jc w:val="both"/>
        <w:rPr>
          <w:rFonts w:ascii="Garamond" w:hAnsi="Garamond"/>
        </w:rPr>
      </w:pPr>
      <w:r w:rsidRPr="000704AE">
        <w:rPr>
          <w:rStyle w:val="FootnoteReference"/>
          <w:rFonts w:ascii="Garamond" w:hAnsi="Garamond"/>
        </w:rPr>
        <w:t>13</w:t>
      </w:r>
      <w:r w:rsidRPr="000704AE">
        <w:rPr>
          <w:rFonts w:ascii="Garamond" w:hAnsi="Garamond"/>
        </w:rPr>
        <w:t xml:space="preserve"> Based on </w:t>
      </w:r>
      <w:r>
        <w:rPr>
          <w:rFonts w:ascii="Garamond" w:hAnsi="Garamond"/>
        </w:rPr>
        <w:t xml:space="preserve">the PSRC’s Decision </w:t>
      </w:r>
      <w:r w:rsidRPr="000704AE">
        <w:rPr>
          <w:rFonts w:ascii="Garamond" w:hAnsi="Garamond"/>
        </w:rPr>
        <w:t>of 24</w:t>
      </w:r>
      <w:r>
        <w:rPr>
          <w:rFonts w:ascii="Garamond" w:hAnsi="Garamond"/>
        </w:rPr>
        <w:t>th</w:t>
      </w:r>
      <w:r w:rsidRPr="000704AE">
        <w:rPr>
          <w:rFonts w:ascii="Garamond" w:hAnsi="Garamond"/>
        </w:rPr>
        <w:t xml:space="preserve"> June 2016</w:t>
      </w:r>
      <w:r>
        <w:rPr>
          <w:rFonts w:ascii="Garamond" w:hAnsi="Garamond"/>
        </w:rPr>
        <w:t xml:space="preserve"> on </w:t>
      </w:r>
      <w:r w:rsidRPr="000704AE">
        <w:rPr>
          <w:rFonts w:ascii="Garamond" w:hAnsi="Garamond"/>
        </w:rPr>
        <w:t>the reduction of electricity tariffs for the consumers (http://www.psrc.am/am/announcements/ press-release / 2273-2016-06-24-08 -11-08).</w:t>
      </w:r>
    </w:p>
  </w:footnote>
  <w:footnote w:id="13">
    <w:p w14:paraId="41158755" w14:textId="77777777" w:rsidR="00392729" w:rsidRPr="000704AE" w:rsidRDefault="00392729" w:rsidP="000704AE">
      <w:pPr>
        <w:pStyle w:val="FootnoteText"/>
        <w:jc w:val="both"/>
        <w:rPr>
          <w:rFonts w:ascii="Garamond" w:hAnsi="Garamond"/>
        </w:rPr>
      </w:pPr>
      <w:r w:rsidRPr="000704AE">
        <w:rPr>
          <w:rStyle w:val="FootnoteReference"/>
          <w:rFonts w:ascii="Garamond" w:hAnsi="Garamond"/>
        </w:rPr>
        <w:t>14</w:t>
      </w:r>
      <w:r w:rsidRPr="000704AE">
        <w:rPr>
          <w:rFonts w:ascii="Garamond" w:hAnsi="Garamond"/>
        </w:rPr>
        <w:t xml:space="preserve"> Based on </w:t>
      </w:r>
      <w:r>
        <w:rPr>
          <w:rFonts w:ascii="Garamond" w:hAnsi="Garamond"/>
        </w:rPr>
        <w:t xml:space="preserve">a </w:t>
      </w:r>
      <w:r w:rsidRPr="000704AE">
        <w:rPr>
          <w:rFonts w:ascii="Garamond" w:hAnsi="Garamond"/>
        </w:rPr>
        <w:t>Government Decree</w:t>
      </w:r>
      <w:r>
        <w:rPr>
          <w:rFonts w:ascii="Garamond" w:hAnsi="Garamond"/>
        </w:rPr>
        <w:t xml:space="preserve"> No. </w:t>
      </w:r>
      <w:r w:rsidRPr="000704AE">
        <w:rPr>
          <w:rFonts w:ascii="Garamond" w:hAnsi="Garamond"/>
        </w:rPr>
        <w:t>1269</w:t>
      </w:r>
      <w:r>
        <w:rPr>
          <w:rFonts w:ascii="Garamond" w:hAnsi="Garamond"/>
        </w:rPr>
        <w:t xml:space="preserve"> of</w:t>
      </w:r>
      <w:r w:rsidRPr="000704AE">
        <w:rPr>
          <w:rFonts w:ascii="Garamond" w:hAnsi="Garamond"/>
        </w:rPr>
        <w:t xml:space="preserve"> October 29</w:t>
      </w:r>
      <w:r>
        <w:rPr>
          <w:rFonts w:ascii="Garamond" w:hAnsi="Garamond"/>
        </w:rPr>
        <w:t xml:space="preserve">th 2015 </w:t>
      </w:r>
      <w:r w:rsidRPr="000704AE">
        <w:rPr>
          <w:rFonts w:ascii="Garamond" w:hAnsi="Garamond"/>
        </w:rPr>
        <w:t>(https://www.e-gov.am/gov-decrees/item/26490/)</w:t>
      </w:r>
      <w:r>
        <w:rPr>
          <w:rFonts w:ascii="Garamond" w:hAnsi="Garamond"/>
        </w:rPr>
        <w:t>.</w:t>
      </w:r>
    </w:p>
  </w:footnote>
  <w:footnote w:id="14">
    <w:p w14:paraId="71F59A13" w14:textId="77777777" w:rsidR="00392729" w:rsidRPr="004A0D05" w:rsidRDefault="00392729" w:rsidP="004A0D05">
      <w:pPr>
        <w:pStyle w:val="FootnoteText"/>
        <w:jc w:val="both"/>
        <w:rPr>
          <w:rFonts w:ascii="Garamond" w:eastAsia="Calibri" w:hAnsi="Garamond" w:cs="Sylfaen"/>
          <w:lang w:val="hy-AM"/>
        </w:rPr>
      </w:pPr>
      <w:r>
        <w:rPr>
          <w:rStyle w:val="FootnoteReference"/>
        </w:rPr>
        <w:t>15</w:t>
      </w:r>
      <w:r>
        <w:t xml:space="preserve"> </w:t>
      </w:r>
      <w:r w:rsidRPr="004A0D05">
        <w:rPr>
          <w:rFonts w:ascii="Garamond" w:eastAsia="Calibri" w:hAnsi="Garamond" w:cs="Sylfaen"/>
        </w:rPr>
        <w:t>T</w:t>
      </w:r>
      <w:r w:rsidRPr="004A0D05">
        <w:rPr>
          <w:rFonts w:ascii="Garamond" w:hAnsi="Garamond"/>
        </w:rPr>
        <w:t xml:space="preserve">he price index change </w:t>
      </w:r>
      <w:r>
        <w:rPr>
          <w:rFonts w:ascii="Garamond" w:hAnsi="Garamond"/>
        </w:rPr>
        <w:t xml:space="preserve">for </w:t>
      </w:r>
      <w:r w:rsidRPr="004A0D05">
        <w:rPr>
          <w:rFonts w:ascii="Garamond" w:hAnsi="Garamond"/>
        </w:rPr>
        <w:t>January-</w:t>
      </w:r>
      <w:r>
        <w:rPr>
          <w:rFonts w:ascii="Garamond" w:hAnsi="Garamond"/>
        </w:rPr>
        <w:t>June</w:t>
      </w:r>
      <w:r w:rsidRPr="004A0D05">
        <w:rPr>
          <w:rFonts w:ascii="Garamond" w:hAnsi="Garamond"/>
        </w:rPr>
        <w:t xml:space="preserve"> 201</w:t>
      </w:r>
      <w:r>
        <w:rPr>
          <w:rFonts w:ascii="Garamond" w:hAnsi="Garamond"/>
        </w:rPr>
        <w:t>6</w:t>
      </w:r>
      <w:r w:rsidRPr="004A0D05">
        <w:rPr>
          <w:rFonts w:ascii="Garamond" w:hAnsi="Garamond"/>
        </w:rPr>
        <w:t xml:space="preserve"> is relative to the same reference period last year, unless otherwise specified.</w:t>
      </w:r>
    </w:p>
  </w:footnote>
  <w:footnote w:id="15">
    <w:p w14:paraId="7624AEB4" w14:textId="77777777" w:rsidR="00392729" w:rsidRPr="005A5C2F" w:rsidRDefault="00392729" w:rsidP="003E6532">
      <w:pPr>
        <w:pStyle w:val="FootnoteText"/>
        <w:jc w:val="both"/>
        <w:rPr>
          <w:rFonts w:ascii="Garamond" w:hAnsi="Garamond"/>
          <w:lang w:val="pt-BR"/>
        </w:rPr>
      </w:pPr>
      <w:r w:rsidRPr="005A5C2F">
        <w:rPr>
          <w:rStyle w:val="FootnoteReference"/>
          <w:rFonts w:ascii="Garamond" w:hAnsi="Garamond"/>
        </w:rPr>
        <w:t>16</w:t>
      </w:r>
      <w:r w:rsidRPr="005A5C2F">
        <w:rPr>
          <w:rFonts w:ascii="Garamond" w:hAnsi="Garamond"/>
        </w:rPr>
        <w:t xml:space="preserve"> Here sales prices of producers of agricultural product are presented.</w:t>
      </w:r>
    </w:p>
  </w:footnote>
  <w:footnote w:id="16">
    <w:p w14:paraId="784F2D7E" w14:textId="77777777" w:rsidR="00392729" w:rsidRPr="00EC0F2E" w:rsidRDefault="00392729" w:rsidP="00EC0F2E">
      <w:pPr>
        <w:pStyle w:val="FootnoteText"/>
        <w:jc w:val="both"/>
        <w:rPr>
          <w:rFonts w:ascii="Garamond" w:hAnsi="Garamond"/>
        </w:rPr>
      </w:pPr>
      <w:r>
        <w:rPr>
          <w:rStyle w:val="FootnoteReference"/>
        </w:rPr>
        <w:t>17</w:t>
      </w:r>
      <w:r w:rsidRPr="00EC0F2E">
        <w:rPr>
          <w:rFonts w:ascii="Garamond" w:hAnsi="Garamond"/>
        </w:rPr>
        <w:t xml:space="preserve"> The indicators of y/y real growth of value added in sectors of the economy for January-</w:t>
      </w:r>
      <w:r>
        <w:rPr>
          <w:rFonts w:ascii="Garamond" w:hAnsi="Garamond"/>
        </w:rPr>
        <w:t>June</w:t>
      </w:r>
      <w:r w:rsidRPr="00EC0F2E">
        <w:rPr>
          <w:rFonts w:ascii="Garamond" w:hAnsi="Garamond"/>
        </w:rPr>
        <w:t xml:space="preserve"> 201</w:t>
      </w:r>
      <w:r>
        <w:rPr>
          <w:rFonts w:ascii="Garamond" w:hAnsi="Garamond"/>
        </w:rPr>
        <w:t>6</w:t>
      </w:r>
      <w:r w:rsidRPr="00EC0F2E">
        <w:rPr>
          <w:rFonts w:ascii="Garamond" w:hAnsi="Garamond"/>
        </w:rPr>
        <w:t xml:space="preserve"> are the CBA forecasts, whereas the indicators of sub-sectors represent y/y growth rates in output volumes for January-</w:t>
      </w:r>
      <w:r>
        <w:rPr>
          <w:rFonts w:ascii="Garamond" w:hAnsi="Garamond"/>
        </w:rPr>
        <w:t>June</w:t>
      </w:r>
      <w:r w:rsidRPr="00EC0F2E">
        <w:rPr>
          <w:rFonts w:ascii="Garamond" w:hAnsi="Garamond"/>
        </w:rPr>
        <w:t xml:space="preserve"> 201</w:t>
      </w:r>
      <w:r>
        <w:rPr>
          <w:rFonts w:ascii="Garamond" w:hAnsi="Garamond"/>
        </w:rPr>
        <w:t>6</w:t>
      </w:r>
      <w:r w:rsidRPr="00EC0F2E">
        <w:rPr>
          <w:rFonts w:ascii="Garamond" w:hAnsi="Garamond"/>
        </w:rPr>
        <w:t>, unless otherwise specified.</w:t>
      </w:r>
    </w:p>
  </w:footnote>
  <w:footnote w:id="17">
    <w:p w14:paraId="10912F97" w14:textId="77777777" w:rsidR="00392729" w:rsidRPr="003E3E73" w:rsidRDefault="00392729" w:rsidP="00C55DA1">
      <w:pPr>
        <w:pStyle w:val="FootnoteText"/>
        <w:jc w:val="both"/>
        <w:rPr>
          <w:rFonts w:ascii="Garamond" w:hAnsi="Garamond"/>
          <w:lang w:val="pt-BR"/>
        </w:rPr>
      </w:pPr>
      <w:r>
        <w:rPr>
          <w:rStyle w:val="FootnoteReference"/>
        </w:rPr>
        <w:t>18</w:t>
      </w:r>
      <w:r>
        <w:t xml:space="preserve"> </w:t>
      </w:r>
      <w:r w:rsidRPr="003E3E73">
        <w:rPr>
          <w:rFonts w:ascii="Garamond" w:hAnsi="Garamond"/>
        </w:rPr>
        <w:t xml:space="preserve">See the </w:t>
      </w:r>
      <w:r>
        <w:rPr>
          <w:rFonts w:ascii="Garamond" w:hAnsi="Garamond"/>
        </w:rPr>
        <w:t>3</w:t>
      </w:r>
      <w:r w:rsidRPr="003E3E73">
        <w:rPr>
          <w:rFonts w:ascii="Garamond" w:hAnsi="Garamond"/>
        </w:rPr>
        <w:t xml:space="preserve">0% range in Real GDP Growth (Cumulative) Projection Probability Distribution Chart. </w:t>
      </w:r>
    </w:p>
  </w:footnote>
  <w:footnote w:id="18">
    <w:p w14:paraId="2CDB6E3A" w14:textId="77777777" w:rsidR="00392729" w:rsidRPr="007149A1" w:rsidRDefault="00392729" w:rsidP="007149A1">
      <w:pPr>
        <w:pStyle w:val="FootnoteText"/>
        <w:jc w:val="both"/>
        <w:rPr>
          <w:rFonts w:ascii="Garamond" w:hAnsi="Garamond"/>
        </w:rPr>
      </w:pPr>
      <w:r w:rsidRPr="007149A1">
        <w:rPr>
          <w:rStyle w:val="FootnoteReference"/>
          <w:rFonts w:ascii="Garamond" w:hAnsi="Garamond"/>
        </w:rPr>
        <w:t>19</w:t>
      </w:r>
      <w:r w:rsidRPr="007149A1">
        <w:rPr>
          <w:rFonts w:ascii="Garamond" w:hAnsi="Garamond"/>
        </w:rPr>
        <w:t xml:space="preserve"> </w:t>
      </w:r>
      <w:r>
        <w:rPr>
          <w:rFonts w:ascii="Garamond" w:hAnsi="Garamond"/>
        </w:rPr>
        <w:t>F</w:t>
      </w:r>
      <w:r w:rsidRPr="007149A1">
        <w:rPr>
          <w:rFonts w:ascii="Garamond" w:hAnsi="Garamond"/>
        </w:rPr>
        <w:t xml:space="preserve">ood production </w:t>
      </w:r>
      <w:r>
        <w:rPr>
          <w:rFonts w:ascii="Garamond" w:hAnsi="Garamond"/>
        </w:rPr>
        <w:t xml:space="preserve">has grown owing to increased volumes of output </w:t>
      </w:r>
      <w:r w:rsidRPr="007149A1">
        <w:rPr>
          <w:rFonts w:ascii="Garamond" w:hAnsi="Garamond"/>
        </w:rPr>
        <w:t xml:space="preserve">in meat (2%), meat </w:t>
      </w:r>
      <w:r>
        <w:rPr>
          <w:rFonts w:ascii="Garamond" w:hAnsi="Garamond"/>
        </w:rPr>
        <w:t xml:space="preserve">products </w:t>
      </w:r>
      <w:r w:rsidRPr="007149A1">
        <w:rPr>
          <w:rFonts w:ascii="Garamond" w:hAnsi="Garamond"/>
        </w:rPr>
        <w:t xml:space="preserve">(9.4%), </w:t>
      </w:r>
      <w:r>
        <w:rPr>
          <w:rFonts w:ascii="Garamond" w:hAnsi="Garamond"/>
        </w:rPr>
        <w:t xml:space="preserve">meat prepacks </w:t>
      </w:r>
      <w:r w:rsidRPr="007149A1">
        <w:rPr>
          <w:rFonts w:ascii="Garamond" w:hAnsi="Garamond"/>
        </w:rPr>
        <w:t xml:space="preserve">(19.6%), milk (2.7%), cheese (7.4%), sour cream (3.1%) and </w:t>
      </w:r>
      <w:r>
        <w:rPr>
          <w:rFonts w:ascii="Garamond" w:hAnsi="Garamond"/>
        </w:rPr>
        <w:t xml:space="preserve">canned </w:t>
      </w:r>
      <w:r w:rsidRPr="007149A1">
        <w:rPr>
          <w:rFonts w:ascii="Garamond" w:hAnsi="Garamond"/>
        </w:rPr>
        <w:t>food (46.1%)</w:t>
      </w:r>
      <w:r>
        <w:rPr>
          <w:rFonts w:ascii="Garamond" w:hAnsi="Garamond"/>
        </w:rPr>
        <w:t>, as expressed in kind</w:t>
      </w:r>
      <w:r w:rsidRPr="007149A1">
        <w:rPr>
          <w:rFonts w:ascii="Garamond" w:hAnsi="Garamond"/>
        </w:rPr>
        <w:t>.</w:t>
      </w:r>
    </w:p>
  </w:footnote>
  <w:footnote w:id="19">
    <w:p w14:paraId="79206DA6" w14:textId="77777777" w:rsidR="00392729" w:rsidRPr="007149A1" w:rsidRDefault="00392729" w:rsidP="007149A1">
      <w:pPr>
        <w:pStyle w:val="FootnoteText"/>
        <w:jc w:val="both"/>
        <w:rPr>
          <w:rFonts w:ascii="Garamond" w:hAnsi="Garamond"/>
        </w:rPr>
      </w:pPr>
      <w:r w:rsidRPr="007149A1">
        <w:rPr>
          <w:rStyle w:val="FootnoteReference"/>
          <w:rFonts w:ascii="Garamond" w:hAnsi="Garamond"/>
        </w:rPr>
        <w:t>20</w:t>
      </w:r>
      <w:r w:rsidRPr="007149A1">
        <w:rPr>
          <w:rFonts w:ascii="Garamond" w:hAnsi="Garamond"/>
        </w:rPr>
        <w:t xml:space="preserve"> </w:t>
      </w:r>
      <w:r>
        <w:rPr>
          <w:rFonts w:ascii="Garamond" w:hAnsi="Garamond"/>
        </w:rPr>
        <w:t>Beverage production has grown thanks to increased volumes of output in brandy</w:t>
      </w:r>
      <w:r w:rsidRPr="007149A1">
        <w:rPr>
          <w:rFonts w:ascii="Garamond" w:hAnsi="Garamond"/>
        </w:rPr>
        <w:t xml:space="preserve"> (34.5%), whiskey (2.6-</w:t>
      </w:r>
      <w:r>
        <w:rPr>
          <w:rFonts w:ascii="Garamond" w:hAnsi="Garamond"/>
        </w:rPr>
        <w:t>fold</w:t>
      </w:r>
      <w:r w:rsidRPr="007149A1">
        <w:rPr>
          <w:rFonts w:ascii="Garamond" w:hAnsi="Garamond"/>
        </w:rPr>
        <w:t xml:space="preserve">), wine (10.8%), champagne (15.1%) and </w:t>
      </w:r>
      <w:r>
        <w:rPr>
          <w:rFonts w:ascii="Garamond" w:hAnsi="Garamond"/>
        </w:rPr>
        <w:t xml:space="preserve">spring </w:t>
      </w:r>
      <w:r w:rsidRPr="007149A1">
        <w:rPr>
          <w:rFonts w:ascii="Garamond" w:hAnsi="Garamond"/>
        </w:rPr>
        <w:t>water (2.1%)</w:t>
      </w:r>
      <w:r>
        <w:rPr>
          <w:rFonts w:ascii="Garamond" w:hAnsi="Garamond"/>
        </w:rPr>
        <w:t>, as expressed in kind</w:t>
      </w:r>
      <w:r w:rsidRPr="007149A1">
        <w:rPr>
          <w:rFonts w:ascii="Garamond" w:hAnsi="Garamond"/>
        </w:rPr>
        <w:t>.</w:t>
      </w:r>
    </w:p>
  </w:footnote>
  <w:footnote w:id="20">
    <w:p w14:paraId="6C1B7D8D" w14:textId="77777777" w:rsidR="00392729" w:rsidRPr="0065044E" w:rsidRDefault="00392729" w:rsidP="0065044E">
      <w:pPr>
        <w:pStyle w:val="FootnoteText"/>
        <w:jc w:val="both"/>
        <w:rPr>
          <w:rFonts w:ascii="Garamond" w:hAnsi="Garamond"/>
        </w:rPr>
      </w:pPr>
      <w:r>
        <w:rPr>
          <w:rStyle w:val="FootnoteReference"/>
        </w:rPr>
        <w:t>21</w:t>
      </w:r>
      <w:r w:rsidRPr="0065044E">
        <w:rPr>
          <w:rFonts w:ascii="Garamond" w:hAnsi="Garamond"/>
        </w:rPr>
        <w:t xml:space="preserve"> The private spending, private consumption and private investment indicators for the </w:t>
      </w:r>
      <w:r>
        <w:rPr>
          <w:rFonts w:ascii="Garamond" w:hAnsi="Garamond"/>
        </w:rPr>
        <w:t xml:space="preserve">second </w:t>
      </w:r>
      <w:r w:rsidRPr="0065044E">
        <w:rPr>
          <w:rFonts w:ascii="Garamond" w:hAnsi="Garamond"/>
        </w:rPr>
        <w:t>quarter of 201</w:t>
      </w:r>
      <w:r>
        <w:rPr>
          <w:rFonts w:ascii="Garamond" w:hAnsi="Garamond"/>
        </w:rPr>
        <w:t>6</w:t>
      </w:r>
      <w:r w:rsidRPr="0065044E">
        <w:rPr>
          <w:rFonts w:ascii="Garamond" w:hAnsi="Garamond"/>
        </w:rPr>
        <w:t xml:space="preserve"> are the CBA estimates which are based on the </w:t>
      </w:r>
      <w:r>
        <w:rPr>
          <w:rFonts w:ascii="Garamond" w:hAnsi="Garamond"/>
        </w:rPr>
        <w:t xml:space="preserve">actual fourth </w:t>
      </w:r>
      <w:r w:rsidRPr="0065044E">
        <w:rPr>
          <w:rFonts w:ascii="Garamond" w:hAnsi="Garamond"/>
        </w:rPr>
        <w:t>quarter 201</w:t>
      </w:r>
      <w:r>
        <w:rPr>
          <w:rFonts w:ascii="Garamond" w:hAnsi="Garamond"/>
        </w:rPr>
        <w:t>5</w:t>
      </w:r>
      <w:r w:rsidRPr="0065044E">
        <w:rPr>
          <w:rFonts w:ascii="Garamond" w:hAnsi="Garamond"/>
        </w:rPr>
        <w:t xml:space="preserve"> data. The growth estimates provided in this sub-section are relative to the same reference period last year, unless otherwise specified.</w:t>
      </w:r>
    </w:p>
  </w:footnote>
  <w:footnote w:id="21">
    <w:p w14:paraId="75AC7AFD" w14:textId="77777777" w:rsidR="00392729" w:rsidRPr="00C270AF" w:rsidRDefault="00392729">
      <w:pPr>
        <w:pStyle w:val="FootnoteText"/>
        <w:rPr>
          <w:rFonts w:ascii="Garamond" w:hAnsi="Garamond"/>
        </w:rPr>
      </w:pPr>
      <w:r>
        <w:rPr>
          <w:rStyle w:val="FootnoteReference"/>
        </w:rPr>
        <w:t>22</w:t>
      </w:r>
      <w:r>
        <w:t xml:space="preserve"> </w:t>
      </w:r>
      <w:r w:rsidRPr="00C270AF">
        <w:rPr>
          <w:rFonts w:ascii="Garamond" w:hAnsi="Garamond"/>
          <w:lang w:val="pt-BR"/>
        </w:rPr>
        <w:t>Real export and import growth indicators are the CBA estimates</w:t>
      </w:r>
      <w:r w:rsidRPr="00C270AF">
        <w:rPr>
          <w:rFonts w:ascii="Garamond" w:hAnsi="Garamond"/>
          <w:color w:val="000000"/>
        </w:rPr>
        <w:t>.</w:t>
      </w:r>
    </w:p>
  </w:footnote>
  <w:footnote w:id="22">
    <w:p w14:paraId="74F723FC" w14:textId="77777777" w:rsidR="00392729" w:rsidRPr="002847C1" w:rsidRDefault="00392729" w:rsidP="002847C1">
      <w:pPr>
        <w:pStyle w:val="FootnoteText"/>
        <w:jc w:val="both"/>
        <w:rPr>
          <w:rFonts w:ascii="Garamond" w:hAnsi="Garamond"/>
        </w:rPr>
      </w:pPr>
      <w:r>
        <w:rPr>
          <w:rStyle w:val="FootnoteReference"/>
        </w:rPr>
        <w:t>23</w:t>
      </w:r>
      <w:r w:rsidRPr="002847C1">
        <w:rPr>
          <w:rFonts w:ascii="Garamond" w:hAnsi="Garamond"/>
        </w:rPr>
        <w:t xml:space="preserve"> The labor market data for the </w:t>
      </w:r>
      <w:r>
        <w:rPr>
          <w:rFonts w:ascii="Garamond" w:hAnsi="Garamond"/>
        </w:rPr>
        <w:t xml:space="preserve">second </w:t>
      </w:r>
      <w:r w:rsidRPr="002847C1">
        <w:rPr>
          <w:rFonts w:ascii="Garamond" w:hAnsi="Garamond"/>
        </w:rPr>
        <w:t>quarter of 201</w:t>
      </w:r>
      <w:r>
        <w:rPr>
          <w:rFonts w:ascii="Garamond" w:hAnsi="Garamond"/>
        </w:rPr>
        <w:t>6</w:t>
      </w:r>
      <w:r w:rsidRPr="002847C1">
        <w:rPr>
          <w:rFonts w:ascii="Garamond" w:hAnsi="Garamond"/>
        </w:rPr>
        <w:t xml:space="preserve"> are the CBA estimates which are based on the </w:t>
      </w:r>
      <w:r>
        <w:rPr>
          <w:rFonts w:ascii="Garamond" w:hAnsi="Garamond"/>
        </w:rPr>
        <w:t>first quarter 2016</w:t>
      </w:r>
      <w:r w:rsidRPr="002847C1">
        <w:rPr>
          <w:rFonts w:ascii="Garamond" w:hAnsi="Garamond"/>
        </w:rPr>
        <w:t xml:space="preserve"> data and actual </w:t>
      </w:r>
      <w:r>
        <w:rPr>
          <w:rFonts w:ascii="Garamond" w:hAnsi="Garamond"/>
        </w:rPr>
        <w:t>January</w:t>
      </w:r>
      <w:r w:rsidRPr="002847C1">
        <w:rPr>
          <w:rFonts w:ascii="Garamond" w:hAnsi="Garamond"/>
        </w:rPr>
        <w:t>-</w:t>
      </w:r>
      <w:r>
        <w:rPr>
          <w:rFonts w:ascii="Garamond" w:hAnsi="Garamond"/>
        </w:rPr>
        <w:t>May</w:t>
      </w:r>
      <w:r w:rsidRPr="002847C1">
        <w:rPr>
          <w:rFonts w:ascii="Garamond" w:hAnsi="Garamond"/>
        </w:rPr>
        <w:t xml:space="preserve"> 201</w:t>
      </w:r>
      <w:r>
        <w:rPr>
          <w:rFonts w:ascii="Garamond" w:hAnsi="Garamond"/>
        </w:rPr>
        <w:t>6</w:t>
      </w:r>
      <w:r w:rsidRPr="002847C1">
        <w:rPr>
          <w:rFonts w:ascii="Garamond" w:hAnsi="Garamond"/>
        </w:rPr>
        <w:t xml:space="preserve"> figures. The growth indicators provided in this sub-section are relative to the same reference period last year, unless otherwise specified.</w:t>
      </w:r>
    </w:p>
  </w:footnote>
  <w:footnote w:id="23">
    <w:p w14:paraId="482C5FED" w14:textId="77777777" w:rsidR="00392729" w:rsidRPr="008D531F" w:rsidRDefault="00392729" w:rsidP="008D531F">
      <w:pPr>
        <w:pStyle w:val="FootnoteText"/>
        <w:jc w:val="both"/>
        <w:rPr>
          <w:rFonts w:ascii="Garamond" w:hAnsi="Garamond"/>
        </w:rPr>
      </w:pPr>
      <w:r>
        <w:rPr>
          <w:rStyle w:val="FootnoteReference"/>
        </w:rPr>
        <w:t>24</w:t>
      </w:r>
      <w:r>
        <w:t xml:space="preserve"> </w:t>
      </w:r>
      <w:r w:rsidRPr="008D531F">
        <w:rPr>
          <w:rFonts w:ascii="Garamond" w:hAnsi="Garamond"/>
          <w:iCs/>
        </w:rPr>
        <w:t xml:space="preserve">The review of the fiscal sector was done using preliminary actual consolidated budget indicators </w:t>
      </w:r>
      <w:r>
        <w:rPr>
          <w:rFonts w:ascii="Garamond" w:hAnsi="Garamond"/>
          <w:iCs/>
        </w:rPr>
        <w:t xml:space="preserve">(local budgets as an estimate) </w:t>
      </w:r>
      <w:r w:rsidRPr="008D531F">
        <w:rPr>
          <w:rFonts w:ascii="Garamond" w:hAnsi="Garamond"/>
          <w:iCs/>
        </w:rPr>
        <w:t xml:space="preserve">prepared on the basis of preliminary actual indicators of the </w:t>
      </w:r>
      <w:r>
        <w:rPr>
          <w:rFonts w:ascii="Garamond" w:hAnsi="Garamond"/>
          <w:iCs/>
        </w:rPr>
        <w:t>second quarter of 2016</w:t>
      </w:r>
      <w:r w:rsidRPr="008D531F">
        <w:rPr>
          <w:rFonts w:ascii="Garamond" w:hAnsi="Garamond"/>
          <w:iCs/>
        </w:rPr>
        <w:t xml:space="preserve"> (PIU funds included), excluding off-budgetary funds. The impact of revenues was calculated in respect of the nominal GDP indicator while the impact of expenditures, in respect of an estimated economic potential.</w:t>
      </w:r>
    </w:p>
  </w:footnote>
  <w:footnote w:id="24">
    <w:p w14:paraId="6968D7CB" w14:textId="77777777" w:rsidR="00392729" w:rsidRPr="00201FF4" w:rsidRDefault="00392729" w:rsidP="001151D0">
      <w:pPr>
        <w:pStyle w:val="FootnoteText"/>
        <w:jc w:val="both"/>
        <w:rPr>
          <w:rFonts w:ascii="Garamond" w:hAnsi="Garamond"/>
        </w:rPr>
      </w:pPr>
      <w:r>
        <w:rPr>
          <w:rStyle w:val="FootnoteReference"/>
        </w:rPr>
        <w:t>25</w:t>
      </w:r>
      <w:r w:rsidRPr="00201FF4">
        <w:rPr>
          <w:rFonts w:ascii="Garamond" w:hAnsi="Garamond"/>
        </w:rPr>
        <w:t xml:space="preserve"> A</w:t>
      </w:r>
      <w:r>
        <w:rPr>
          <w:rFonts w:ascii="Garamond" w:hAnsi="Garamond"/>
        </w:rPr>
        <w:t>ctual public sector indicators were compared with the CBA projections; note that the CBA projections on revenues were in line with quarterly revenue proportions.</w:t>
      </w:r>
    </w:p>
  </w:footnote>
  <w:footnote w:id="25">
    <w:p w14:paraId="762B78A2" w14:textId="77777777" w:rsidR="00392729" w:rsidRPr="00A77641" w:rsidRDefault="00392729" w:rsidP="00A77641">
      <w:pPr>
        <w:pStyle w:val="FootnoteText"/>
        <w:jc w:val="both"/>
        <w:rPr>
          <w:rFonts w:ascii="Garamond" w:hAnsi="Garamond"/>
        </w:rPr>
      </w:pPr>
      <w:r>
        <w:rPr>
          <w:rStyle w:val="FootnoteReference"/>
        </w:rPr>
        <w:t>26</w:t>
      </w:r>
      <w:r w:rsidRPr="00DC347D">
        <w:rPr>
          <w:rFonts w:ascii="Garamond" w:hAnsi="Garamond"/>
        </w:rPr>
        <w:t xml:space="preserve"> The </w:t>
      </w:r>
      <w:r w:rsidRPr="00DC347D">
        <w:rPr>
          <w:rFonts w:ascii="Garamond" w:hAnsi="Garamond"/>
          <w:bCs/>
          <w:iCs/>
        </w:rPr>
        <w:t>revenue and expenditure indicators as established in the Republic of Armenia Law on State Budget</w:t>
      </w:r>
      <w:r w:rsidRPr="00DC347D">
        <w:rPr>
          <w:rFonts w:ascii="Garamond" w:hAnsi="Garamond"/>
        </w:rPr>
        <w:t xml:space="preserve"> are subject to </w:t>
      </w:r>
      <w:r w:rsidRPr="00BB6AC4">
        <w:rPr>
          <w:rFonts w:ascii="Garamond" w:hAnsi="Garamond"/>
        </w:rPr>
        <w:t xml:space="preserve">revision </w:t>
      </w:r>
      <w:r>
        <w:rPr>
          <w:rFonts w:ascii="Garamond" w:hAnsi="Garamond"/>
        </w:rPr>
        <w:t xml:space="preserve">during the year </w:t>
      </w:r>
      <w:r w:rsidRPr="00DC347D">
        <w:rPr>
          <w:rFonts w:ascii="Garamond" w:hAnsi="Garamond"/>
        </w:rPr>
        <w:t xml:space="preserve">under </w:t>
      </w:r>
      <w:r>
        <w:rPr>
          <w:rFonts w:ascii="Garamond" w:hAnsi="Garamond"/>
        </w:rPr>
        <w:t xml:space="preserve">relevant </w:t>
      </w:r>
      <w:r w:rsidRPr="00132EED">
        <w:rPr>
          <w:rFonts w:ascii="Garamond" w:hAnsi="Garamond"/>
        </w:rPr>
        <w:t xml:space="preserve">decisions </w:t>
      </w:r>
      <w:r w:rsidRPr="00DC347D">
        <w:rPr>
          <w:rFonts w:ascii="Garamond" w:hAnsi="Garamond"/>
        </w:rPr>
        <w:t xml:space="preserve">issued by the Government, and are </w:t>
      </w:r>
      <w:r w:rsidRPr="00A77641">
        <w:rPr>
          <w:rFonts w:ascii="Garamond" w:hAnsi="Garamond"/>
        </w:rPr>
        <w:t>available at www.e-gov.am.</w:t>
      </w:r>
    </w:p>
  </w:footnote>
  <w:footnote w:id="26">
    <w:p w14:paraId="7CBFE2A6" w14:textId="77777777" w:rsidR="00392729" w:rsidRPr="00277BE5" w:rsidRDefault="00392729" w:rsidP="00FD4627">
      <w:pPr>
        <w:pStyle w:val="FootnoteText"/>
        <w:jc w:val="both"/>
        <w:rPr>
          <w:rFonts w:ascii="Garamond" w:hAnsi="Garamond"/>
        </w:rPr>
      </w:pPr>
      <w:r>
        <w:rPr>
          <w:rStyle w:val="FootnoteReference"/>
        </w:rPr>
        <w:t>27</w:t>
      </w:r>
      <w:r w:rsidRPr="00277BE5">
        <w:rPr>
          <w:rFonts w:ascii="Garamond" w:hAnsi="Garamond"/>
        </w:rPr>
        <w:t xml:space="preserve"> The </w:t>
      </w:r>
      <w:r>
        <w:rPr>
          <w:rFonts w:ascii="Garamond" w:hAnsi="Garamond"/>
        </w:rPr>
        <w:t xml:space="preserve">second </w:t>
      </w:r>
      <w:r w:rsidRPr="00277BE5">
        <w:rPr>
          <w:rFonts w:ascii="Garamond" w:hAnsi="Garamond"/>
        </w:rPr>
        <w:t>quarter 201</w:t>
      </w:r>
      <w:r>
        <w:rPr>
          <w:rFonts w:ascii="Garamond" w:hAnsi="Garamond"/>
        </w:rPr>
        <w:t>6</w:t>
      </w:r>
      <w:r w:rsidRPr="00277BE5">
        <w:rPr>
          <w:rFonts w:ascii="Garamond" w:hAnsi="Garamond"/>
        </w:rPr>
        <w:t xml:space="preserve"> indicator of the real exchange rate is the CBA estimate.</w:t>
      </w:r>
    </w:p>
  </w:footnote>
  <w:footnote w:id="27">
    <w:p w14:paraId="6866E79F" w14:textId="77777777" w:rsidR="00392729" w:rsidRPr="00D154B0" w:rsidRDefault="00392729" w:rsidP="00D154B0">
      <w:pPr>
        <w:pStyle w:val="FootnoteText"/>
        <w:jc w:val="both"/>
        <w:rPr>
          <w:rFonts w:ascii="Garamond" w:hAnsi="Garamond"/>
        </w:rPr>
      </w:pPr>
      <w:r>
        <w:rPr>
          <w:rStyle w:val="FootnoteReference"/>
        </w:rPr>
        <w:t>28</w:t>
      </w:r>
      <w:r>
        <w:t xml:space="preserve"> </w:t>
      </w:r>
      <w:r w:rsidRPr="004C1B43">
        <w:rPr>
          <w:rFonts w:ascii="Garamond" w:hAnsi="Garamond"/>
        </w:rPr>
        <w:t xml:space="preserve">The </w:t>
      </w:r>
      <w:r>
        <w:rPr>
          <w:rFonts w:ascii="Garamond" w:hAnsi="Garamond"/>
        </w:rPr>
        <w:t>second</w:t>
      </w:r>
      <w:r w:rsidRPr="004C1B43">
        <w:rPr>
          <w:rFonts w:ascii="Garamond" w:hAnsi="Garamond"/>
        </w:rPr>
        <w:t xml:space="preserve"> quarter </w:t>
      </w:r>
      <w:r>
        <w:rPr>
          <w:rFonts w:ascii="Garamond" w:hAnsi="Garamond"/>
        </w:rPr>
        <w:t xml:space="preserve">2016 </w:t>
      </w:r>
      <w:r w:rsidRPr="004C1B43">
        <w:rPr>
          <w:rFonts w:ascii="Garamond" w:hAnsi="Garamond"/>
        </w:rPr>
        <w:t>balance of payments</w:t>
      </w:r>
      <w:r>
        <w:rPr>
          <w:rFonts w:ascii="Sylfaen" w:hAnsi="Sylfaen"/>
          <w:lang w:val="hy-AM"/>
        </w:rPr>
        <w:t xml:space="preserve"> </w:t>
      </w:r>
      <w:r w:rsidRPr="004C1B43">
        <w:rPr>
          <w:rFonts w:ascii="Garamond" w:hAnsi="Garamond"/>
        </w:rPr>
        <w:t xml:space="preserve">will be </w:t>
      </w:r>
      <w:r>
        <w:rPr>
          <w:rFonts w:ascii="Garamond" w:hAnsi="Garamond"/>
        </w:rPr>
        <w:t xml:space="preserve">published at the end of September of 2016, according to the </w:t>
      </w:r>
      <w:r w:rsidRPr="00D154B0">
        <w:rPr>
          <w:rFonts w:ascii="Garamond" w:hAnsi="Garamond"/>
        </w:rPr>
        <w:t>timetable. The second quarter 2016 indicators are the CBA’s forecasts and estimates.</w:t>
      </w:r>
    </w:p>
  </w:footnote>
  <w:footnote w:id="28">
    <w:p w14:paraId="4ED0BF90" w14:textId="77777777" w:rsidR="00392729" w:rsidRPr="00561725" w:rsidRDefault="00392729" w:rsidP="00561725">
      <w:pPr>
        <w:pStyle w:val="FootnoteText"/>
        <w:jc w:val="both"/>
        <w:rPr>
          <w:rFonts w:ascii="Garamond" w:hAnsi="Garamond"/>
        </w:rPr>
      </w:pPr>
      <w:r w:rsidRPr="00561725">
        <w:rPr>
          <w:rStyle w:val="FootnoteReference"/>
          <w:rFonts w:ascii="Garamond" w:hAnsi="Garamond"/>
        </w:rPr>
        <w:t>29</w:t>
      </w:r>
      <w:r w:rsidRPr="00561725">
        <w:rPr>
          <w:rFonts w:ascii="Garamond" w:hAnsi="Garamond"/>
        </w:rPr>
        <w:t xml:space="preserve"> The export and import indicators are represented on a balance-of-payments basis, i.e. by credit and debit, respectively.</w:t>
      </w:r>
    </w:p>
  </w:footnote>
  <w:footnote w:id="29">
    <w:p w14:paraId="3951DA5E" w14:textId="77777777" w:rsidR="00392729" w:rsidRPr="00561725" w:rsidRDefault="00392729" w:rsidP="00561725">
      <w:pPr>
        <w:pStyle w:val="FootnoteText"/>
        <w:jc w:val="both"/>
        <w:rPr>
          <w:rFonts w:ascii="Garamond" w:hAnsi="Garamond"/>
        </w:rPr>
      </w:pPr>
      <w:r w:rsidRPr="00561725">
        <w:rPr>
          <w:rStyle w:val="FootnoteReference"/>
          <w:rFonts w:ascii="Garamond" w:hAnsi="Garamond"/>
        </w:rPr>
        <w:t>30</w:t>
      </w:r>
      <w:r w:rsidRPr="00561725">
        <w:rPr>
          <w:rFonts w:ascii="Garamond" w:hAnsi="Garamond"/>
        </w:rPr>
        <w:t xml:space="preserve"> The deficit of trade balance </w:t>
      </w:r>
      <w:r>
        <w:rPr>
          <w:rFonts w:ascii="Garamond" w:hAnsi="Garamond"/>
        </w:rPr>
        <w:t xml:space="preserve">has been </w:t>
      </w:r>
      <w:r w:rsidRPr="00561725">
        <w:rPr>
          <w:rFonts w:ascii="Garamond" w:hAnsi="Garamond"/>
        </w:rPr>
        <w:t xml:space="preserve">calculated </w:t>
      </w:r>
      <w:r>
        <w:rPr>
          <w:rFonts w:ascii="Garamond" w:hAnsi="Garamond"/>
        </w:rPr>
        <w:t>on a balance-of-</w:t>
      </w:r>
      <w:r w:rsidRPr="00561725">
        <w:rPr>
          <w:rFonts w:ascii="Garamond" w:hAnsi="Garamond"/>
        </w:rPr>
        <w:t xml:space="preserve">payments basis, </w:t>
      </w:r>
      <w:r>
        <w:rPr>
          <w:rFonts w:ascii="Garamond" w:hAnsi="Garamond"/>
        </w:rPr>
        <w:t xml:space="preserve">where </w:t>
      </w:r>
      <w:r w:rsidRPr="00561725">
        <w:rPr>
          <w:rFonts w:ascii="Garamond" w:hAnsi="Garamond"/>
        </w:rPr>
        <w:t xml:space="preserve">export </w:t>
      </w:r>
      <w:r>
        <w:rPr>
          <w:rFonts w:ascii="Garamond" w:hAnsi="Garamond"/>
        </w:rPr>
        <w:t xml:space="preserve">is </w:t>
      </w:r>
      <w:r w:rsidRPr="00561725">
        <w:rPr>
          <w:rFonts w:ascii="Garamond" w:hAnsi="Garamond"/>
        </w:rPr>
        <w:t>credit, import</w:t>
      </w:r>
      <w:r>
        <w:rPr>
          <w:rFonts w:ascii="Garamond" w:hAnsi="Garamond"/>
        </w:rPr>
        <w:t xml:space="preserve"> </w:t>
      </w:r>
      <w:r w:rsidRPr="00561725">
        <w:rPr>
          <w:rFonts w:ascii="Garamond" w:hAnsi="Garamond"/>
        </w:rPr>
        <w:t>debit.</w:t>
      </w:r>
    </w:p>
  </w:footnote>
  <w:footnote w:id="30">
    <w:p w14:paraId="143326F0" w14:textId="77777777" w:rsidR="00392729" w:rsidRPr="00E14715" w:rsidRDefault="00392729" w:rsidP="00E14715">
      <w:pPr>
        <w:pStyle w:val="FootnoteText"/>
        <w:jc w:val="both"/>
        <w:rPr>
          <w:rFonts w:ascii="Garamond" w:hAnsi="Garamond"/>
        </w:rPr>
      </w:pPr>
      <w:r w:rsidRPr="00E14715">
        <w:rPr>
          <w:rStyle w:val="FootnoteReference"/>
          <w:rFonts w:ascii="Garamond" w:hAnsi="Garamond"/>
        </w:rPr>
        <w:t>31</w:t>
      </w:r>
      <w:r w:rsidRPr="00E14715">
        <w:rPr>
          <w:rFonts w:ascii="Garamond" w:hAnsi="Garamond"/>
        </w:rPr>
        <w:t xml:space="preserve"> </w:t>
      </w:r>
      <w:r>
        <w:rPr>
          <w:rFonts w:ascii="Garamond" w:hAnsi="Garamond"/>
        </w:rPr>
        <w:t>T</w:t>
      </w:r>
      <w:r w:rsidRPr="00E14715">
        <w:rPr>
          <w:rFonts w:ascii="Garamond" w:hAnsi="Garamond"/>
        </w:rPr>
        <w:t xml:space="preserve">he publication of the Bureau of Economic Analysis of the U.S. Department of Commerce </w:t>
      </w:r>
      <w:r>
        <w:rPr>
          <w:rFonts w:ascii="Garamond" w:hAnsi="Garamond"/>
        </w:rPr>
        <w:t xml:space="preserve">included </w:t>
      </w:r>
      <w:r w:rsidRPr="00E14715">
        <w:rPr>
          <w:rFonts w:ascii="Garamond" w:hAnsi="Garamond"/>
        </w:rPr>
        <w:t xml:space="preserve">a review of the historical series </w:t>
      </w:r>
      <w:r>
        <w:rPr>
          <w:rFonts w:ascii="Garamond" w:hAnsi="Garamond"/>
        </w:rPr>
        <w:t xml:space="preserve">of </w:t>
      </w:r>
      <w:r w:rsidRPr="00E14715">
        <w:rPr>
          <w:rFonts w:ascii="Garamond" w:hAnsi="Garamond"/>
        </w:rPr>
        <w:t>economic growth.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630"/>
    <w:multiLevelType w:val="hybridMultilevel"/>
    <w:tmpl w:val="7CD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E34"/>
    <w:rsid w:val="000015E3"/>
    <w:rsid w:val="0000246A"/>
    <w:rsid w:val="00003FDA"/>
    <w:rsid w:val="000069EE"/>
    <w:rsid w:val="0001484B"/>
    <w:rsid w:val="00015474"/>
    <w:rsid w:val="00015E64"/>
    <w:rsid w:val="0002241A"/>
    <w:rsid w:val="0002455C"/>
    <w:rsid w:val="00027123"/>
    <w:rsid w:val="00027AFD"/>
    <w:rsid w:val="000325E1"/>
    <w:rsid w:val="00032D90"/>
    <w:rsid w:val="000359CC"/>
    <w:rsid w:val="0004107C"/>
    <w:rsid w:val="00041212"/>
    <w:rsid w:val="0004316E"/>
    <w:rsid w:val="00043B62"/>
    <w:rsid w:val="00046A8D"/>
    <w:rsid w:val="00046C53"/>
    <w:rsid w:val="00046E56"/>
    <w:rsid w:val="000471F2"/>
    <w:rsid w:val="00050B69"/>
    <w:rsid w:val="0005368A"/>
    <w:rsid w:val="00054262"/>
    <w:rsid w:val="00057357"/>
    <w:rsid w:val="0006101A"/>
    <w:rsid w:val="00061A2D"/>
    <w:rsid w:val="0006206E"/>
    <w:rsid w:val="0006417D"/>
    <w:rsid w:val="00064FDD"/>
    <w:rsid w:val="0006729F"/>
    <w:rsid w:val="0006742C"/>
    <w:rsid w:val="00067ACB"/>
    <w:rsid w:val="000704AE"/>
    <w:rsid w:val="00072000"/>
    <w:rsid w:val="000724EF"/>
    <w:rsid w:val="00073136"/>
    <w:rsid w:val="00073B73"/>
    <w:rsid w:val="000749EE"/>
    <w:rsid w:val="0007729A"/>
    <w:rsid w:val="00080A7F"/>
    <w:rsid w:val="00081224"/>
    <w:rsid w:val="00091128"/>
    <w:rsid w:val="000917CA"/>
    <w:rsid w:val="000A2AB2"/>
    <w:rsid w:val="000A2C22"/>
    <w:rsid w:val="000A2E88"/>
    <w:rsid w:val="000A2F1E"/>
    <w:rsid w:val="000A48A7"/>
    <w:rsid w:val="000A73C7"/>
    <w:rsid w:val="000B069A"/>
    <w:rsid w:val="000B4301"/>
    <w:rsid w:val="000B52F7"/>
    <w:rsid w:val="000B6343"/>
    <w:rsid w:val="000B6E34"/>
    <w:rsid w:val="000C3CBC"/>
    <w:rsid w:val="000C4B1B"/>
    <w:rsid w:val="000D1448"/>
    <w:rsid w:val="000D14E4"/>
    <w:rsid w:val="000D1C9B"/>
    <w:rsid w:val="000D20D6"/>
    <w:rsid w:val="000D6BB2"/>
    <w:rsid w:val="000E025E"/>
    <w:rsid w:val="000E504C"/>
    <w:rsid w:val="000E5483"/>
    <w:rsid w:val="000E72F2"/>
    <w:rsid w:val="000F21D1"/>
    <w:rsid w:val="000F4AA2"/>
    <w:rsid w:val="000F5B41"/>
    <w:rsid w:val="000F60CD"/>
    <w:rsid w:val="000F6DDC"/>
    <w:rsid w:val="000F6E4D"/>
    <w:rsid w:val="00100842"/>
    <w:rsid w:val="001030B5"/>
    <w:rsid w:val="00106C08"/>
    <w:rsid w:val="00107D1A"/>
    <w:rsid w:val="00110FB8"/>
    <w:rsid w:val="00112D54"/>
    <w:rsid w:val="001151D0"/>
    <w:rsid w:val="0012120D"/>
    <w:rsid w:val="00121565"/>
    <w:rsid w:val="0012594D"/>
    <w:rsid w:val="00125C0A"/>
    <w:rsid w:val="00125E97"/>
    <w:rsid w:val="00125EBA"/>
    <w:rsid w:val="00127AC7"/>
    <w:rsid w:val="00127D3C"/>
    <w:rsid w:val="001317A3"/>
    <w:rsid w:val="00132731"/>
    <w:rsid w:val="00132EED"/>
    <w:rsid w:val="00133A63"/>
    <w:rsid w:val="001361C9"/>
    <w:rsid w:val="00137211"/>
    <w:rsid w:val="001400E2"/>
    <w:rsid w:val="00142A8D"/>
    <w:rsid w:val="00144320"/>
    <w:rsid w:val="00147E8E"/>
    <w:rsid w:val="00153D45"/>
    <w:rsid w:val="00154ACF"/>
    <w:rsid w:val="001576AE"/>
    <w:rsid w:val="001577E3"/>
    <w:rsid w:val="00160A11"/>
    <w:rsid w:val="00162C9B"/>
    <w:rsid w:val="00166A0A"/>
    <w:rsid w:val="00167B8F"/>
    <w:rsid w:val="001711FF"/>
    <w:rsid w:val="00171EEE"/>
    <w:rsid w:val="001725FE"/>
    <w:rsid w:val="00174ADA"/>
    <w:rsid w:val="00181D5F"/>
    <w:rsid w:val="00183124"/>
    <w:rsid w:val="00183E51"/>
    <w:rsid w:val="0018680E"/>
    <w:rsid w:val="00186A58"/>
    <w:rsid w:val="00187B89"/>
    <w:rsid w:val="001910F6"/>
    <w:rsid w:val="00191BEF"/>
    <w:rsid w:val="00192F8D"/>
    <w:rsid w:val="00193B82"/>
    <w:rsid w:val="00193D63"/>
    <w:rsid w:val="00195151"/>
    <w:rsid w:val="001968B5"/>
    <w:rsid w:val="00197AEE"/>
    <w:rsid w:val="001A146B"/>
    <w:rsid w:val="001A1846"/>
    <w:rsid w:val="001A32D2"/>
    <w:rsid w:val="001A3426"/>
    <w:rsid w:val="001B0CE1"/>
    <w:rsid w:val="001B2A01"/>
    <w:rsid w:val="001B393E"/>
    <w:rsid w:val="001B3B55"/>
    <w:rsid w:val="001B5AA1"/>
    <w:rsid w:val="001C02B8"/>
    <w:rsid w:val="001C28A9"/>
    <w:rsid w:val="001C3604"/>
    <w:rsid w:val="001C4B04"/>
    <w:rsid w:val="001C59A8"/>
    <w:rsid w:val="001C741D"/>
    <w:rsid w:val="001D0EF9"/>
    <w:rsid w:val="001D0F31"/>
    <w:rsid w:val="001D1E8D"/>
    <w:rsid w:val="001D300B"/>
    <w:rsid w:val="001D381B"/>
    <w:rsid w:val="001D4949"/>
    <w:rsid w:val="001D57F3"/>
    <w:rsid w:val="001D74AC"/>
    <w:rsid w:val="001D7CB5"/>
    <w:rsid w:val="001E25C2"/>
    <w:rsid w:val="001E499D"/>
    <w:rsid w:val="001F25A9"/>
    <w:rsid w:val="001F303A"/>
    <w:rsid w:val="001F5018"/>
    <w:rsid w:val="001F6105"/>
    <w:rsid w:val="002002B9"/>
    <w:rsid w:val="00201050"/>
    <w:rsid w:val="00201A71"/>
    <w:rsid w:val="00201FF4"/>
    <w:rsid w:val="00202757"/>
    <w:rsid w:val="00202A42"/>
    <w:rsid w:val="0020464F"/>
    <w:rsid w:val="00210C68"/>
    <w:rsid w:val="00212976"/>
    <w:rsid w:val="002130E0"/>
    <w:rsid w:val="00213EC8"/>
    <w:rsid w:val="00215850"/>
    <w:rsid w:val="00215B58"/>
    <w:rsid w:val="00215B7C"/>
    <w:rsid w:val="00220E40"/>
    <w:rsid w:val="00223057"/>
    <w:rsid w:val="00225172"/>
    <w:rsid w:val="002278AA"/>
    <w:rsid w:val="002278EE"/>
    <w:rsid w:val="00231DC1"/>
    <w:rsid w:val="00233015"/>
    <w:rsid w:val="00233F8B"/>
    <w:rsid w:val="00236A23"/>
    <w:rsid w:val="00237D6F"/>
    <w:rsid w:val="00240D65"/>
    <w:rsid w:val="00241C4F"/>
    <w:rsid w:val="00241F5F"/>
    <w:rsid w:val="00244247"/>
    <w:rsid w:val="0024485F"/>
    <w:rsid w:val="00245D79"/>
    <w:rsid w:val="00251231"/>
    <w:rsid w:val="00251551"/>
    <w:rsid w:val="00251CAF"/>
    <w:rsid w:val="002525CE"/>
    <w:rsid w:val="0025529A"/>
    <w:rsid w:val="0025631D"/>
    <w:rsid w:val="00257B58"/>
    <w:rsid w:val="0026014A"/>
    <w:rsid w:val="00262EF6"/>
    <w:rsid w:val="00265F5B"/>
    <w:rsid w:val="002664BE"/>
    <w:rsid w:val="002667B0"/>
    <w:rsid w:val="002712F3"/>
    <w:rsid w:val="00271625"/>
    <w:rsid w:val="00275761"/>
    <w:rsid w:val="00275AB5"/>
    <w:rsid w:val="00276ADF"/>
    <w:rsid w:val="00277BE5"/>
    <w:rsid w:val="00280C40"/>
    <w:rsid w:val="00282CDE"/>
    <w:rsid w:val="00284736"/>
    <w:rsid w:val="002847C1"/>
    <w:rsid w:val="00284EE4"/>
    <w:rsid w:val="002862F9"/>
    <w:rsid w:val="00286BB6"/>
    <w:rsid w:val="002871A6"/>
    <w:rsid w:val="00290291"/>
    <w:rsid w:val="00290B98"/>
    <w:rsid w:val="00290C7F"/>
    <w:rsid w:val="00291537"/>
    <w:rsid w:val="00293B44"/>
    <w:rsid w:val="00294ED3"/>
    <w:rsid w:val="00296F05"/>
    <w:rsid w:val="00297F63"/>
    <w:rsid w:val="00297FDF"/>
    <w:rsid w:val="002A098D"/>
    <w:rsid w:val="002A0B0B"/>
    <w:rsid w:val="002A1012"/>
    <w:rsid w:val="002A11DD"/>
    <w:rsid w:val="002A457E"/>
    <w:rsid w:val="002A52AC"/>
    <w:rsid w:val="002A5F78"/>
    <w:rsid w:val="002A6B43"/>
    <w:rsid w:val="002A7713"/>
    <w:rsid w:val="002B235A"/>
    <w:rsid w:val="002B258A"/>
    <w:rsid w:val="002B30E4"/>
    <w:rsid w:val="002B57F4"/>
    <w:rsid w:val="002C1A9C"/>
    <w:rsid w:val="002C20A8"/>
    <w:rsid w:val="002C2ACB"/>
    <w:rsid w:val="002C3366"/>
    <w:rsid w:val="002C34C7"/>
    <w:rsid w:val="002C5781"/>
    <w:rsid w:val="002C6448"/>
    <w:rsid w:val="002C6CE2"/>
    <w:rsid w:val="002C6D47"/>
    <w:rsid w:val="002D34D2"/>
    <w:rsid w:val="002D3505"/>
    <w:rsid w:val="002D3865"/>
    <w:rsid w:val="002D5CC6"/>
    <w:rsid w:val="002D68FD"/>
    <w:rsid w:val="002E7E19"/>
    <w:rsid w:val="002F02CC"/>
    <w:rsid w:val="002F084F"/>
    <w:rsid w:val="002F1EDA"/>
    <w:rsid w:val="002F44CD"/>
    <w:rsid w:val="002F4EEA"/>
    <w:rsid w:val="002F4FEC"/>
    <w:rsid w:val="002F7498"/>
    <w:rsid w:val="003012F2"/>
    <w:rsid w:val="00303F1E"/>
    <w:rsid w:val="0030500E"/>
    <w:rsid w:val="00305DB7"/>
    <w:rsid w:val="003063B8"/>
    <w:rsid w:val="003078C9"/>
    <w:rsid w:val="00307BE9"/>
    <w:rsid w:val="00312EC1"/>
    <w:rsid w:val="003144A8"/>
    <w:rsid w:val="003147F5"/>
    <w:rsid w:val="00315DF6"/>
    <w:rsid w:val="00322BA3"/>
    <w:rsid w:val="00325A21"/>
    <w:rsid w:val="00331036"/>
    <w:rsid w:val="00332437"/>
    <w:rsid w:val="003360CC"/>
    <w:rsid w:val="00337802"/>
    <w:rsid w:val="00337E9B"/>
    <w:rsid w:val="00340201"/>
    <w:rsid w:val="0034270F"/>
    <w:rsid w:val="00344292"/>
    <w:rsid w:val="00345F88"/>
    <w:rsid w:val="0034638E"/>
    <w:rsid w:val="00347413"/>
    <w:rsid w:val="00347AC8"/>
    <w:rsid w:val="00347B30"/>
    <w:rsid w:val="00347C30"/>
    <w:rsid w:val="0035146E"/>
    <w:rsid w:val="003562CE"/>
    <w:rsid w:val="003603CD"/>
    <w:rsid w:val="00363061"/>
    <w:rsid w:val="00364A36"/>
    <w:rsid w:val="00366569"/>
    <w:rsid w:val="00370025"/>
    <w:rsid w:val="003735BC"/>
    <w:rsid w:val="00373CE0"/>
    <w:rsid w:val="0037593B"/>
    <w:rsid w:val="00377763"/>
    <w:rsid w:val="00377DC5"/>
    <w:rsid w:val="00380B84"/>
    <w:rsid w:val="00381DE7"/>
    <w:rsid w:val="003831CF"/>
    <w:rsid w:val="00383887"/>
    <w:rsid w:val="00384986"/>
    <w:rsid w:val="00385474"/>
    <w:rsid w:val="00385D40"/>
    <w:rsid w:val="00385D6B"/>
    <w:rsid w:val="00386395"/>
    <w:rsid w:val="0038729D"/>
    <w:rsid w:val="00392729"/>
    <w:rsid w:val="00392C0F"/>
    <w:rsid w:val="00393C1D"/>
    <w:rsid w:val="003940EB"/>
    <w:rsid w:val="00394A76"/>
    <w:rsid w:val="003A0393"/>
    <w:rsid w:val="003A2B37"/>
    <w:rsid w:val="003A3BC5"/>
    <w:rsid w:val="003A44FA"/>
    <w:rsid w:val="003A4B8A"/>
    <w:rsid w:val="003A4F6C"/>
    <w:rsid w:val="003A7A94"/>
    <w:rsid w:val="003B032D"/>
    <w:rsid w:val="003B0C7D"/>
    <w:rsid w:val="003B0DC1"/>
    <w:rsid w:val="003B3280"/>
    <w:rsid w:val="003B583C"/>
    <w:rsid w:val="003B7186"/>
    <w:rsid w:val="003B7483"/>
    <w:rsid w:val="003C05E3"/>
    <w:rsid w:val="003C2ED0"/>
    <w:rsid w:val="003C304D"/>
    <w:rsid w:val="003C329C"/>
    <w:rsid w:val="003C4F0C"/>
    <w:rsid w:val="003C63F3"/>
    <w:rsid w:val="003C718B"/>
    <w:rsid w:val="003C73A7"/>
    <w:rsid w:val="003C7CC1"/>
    <w:rsid w:val="003D0CAE"/>
    <w:rsid w:val="003D238F"/>
    <w:rsid w:val="003D2E75"/>
    <w:rsid w:val="003D4491"/>
    <w:rsid w:val="003D52B1"/>
    <w:rsid w:val="003D5A71"/>
    <w:rsid w:val="003D6B47"/>
    <w:rsid w:val="003E0FC6"/>
    <w:rsid w:val="003E2200"/>
    <w:rsid w:val="003E3E4D"/>
    <w:rsid w:val="003E3E73"/>
    <w:rsid w:val="003E6532"/>
    <w:rsid w:val="003E6782"/>
    <w:rsid w:val="003E7A84"/>
    <w:rsid w:val="003F0BDB"/>
    <w:rsid w:val="003F12D9"/>
    <w:rsid w:val="003F3873"/>
    <w:rsid w:val="003F3BA2"/>
    <w:rsid w:val="003F4B76"/>
    <w:rsid w:val="00400525"/>
    <w:rsid w:val="004027E1"/>
    <w:rsid w:val="00404010"/>
    <w:rsid w:val="0041099B"/>
    <w:rsid w:val="00410A65"/>
    <w:rsid w:val="00412CA9"/>
    <w:rsid w:val="00414223"/>
    <w:rsid w:val="00414562"/>
    <w:rsid w:val="004150BC"/>
    <w:rsid w:val="00416086"/>
    <w:rsid w:val="00417635"/>
    <w:rsid w:val="004208A2"/>
    <w:rsid w:val="00422A33"/>
    <w:rsid w:val="004236E7"/>
    <w:rsid w:val="004250AA"/>
    <w:rsid w:val="004258B2"/>
    <w:rsid w:val="00425E31"/>
    <w:rsid w:val="004303E9"/>
    <w:rsid w:val="0043068E"/>
    <w:rsid w:val="00430CFB"/>
    <w:rsid w:val="00431888"/>
    <w:rsid w:val="00432A35"/>
    <w:rsid w:val="00433B8F"/>
    <w:rsid w:val="0043651F"/>
    <w:rsid w:val="00437821"/>
    <w:rsid w:val="0044181F"/>
    <w:rsid w:val="0044404F"/>
    <w:rsid w:val="00446522"/>
    <w:rsid w:val="00446B4F"/>
    <w:rsid w:val="004535B0"/>
    <w:rsid w:val="00454718"/>
    <w:rsid w:val="00454FFC"/>
    <w:rsid w:val="00457554"/>
    <w:rsid w:val="004659BE"/>
    <w:rsid w:val="00467085"/>
    <w:rsid w:val="004726FE"/>
    <w:rsid w:val="00474127"/>
    <w:rsid w:val="00481359"/>
    <w:rsid w:val="0048353C"/>
    <w:rsid w:val="00484009"/>
    <w:rsid w:val="00486266"/>
    <w:rsid w:val="00487893"/>
    <w:rsid w:val="0049042F"/>
    <w:rsid w:val="00493463"/>
    <w:rsid w:val="00493A0E"/>
    <w:rsid w:val="004956C9"/>
    <w:rsid w:val="00495A83"/>
    <w:rsid w:val="00496CC1"/>
    <w:rsid w:val="004A0D05"/>
    <w:rsid w:val="004A18CF"/>
    <w:rsid w:val="004A3317"/>
    <w:rsid w:val="004A3B43"/>
    <w:rsid w:val="004A3B8E"/>
    <w:rsid w:val="004A4E1C"/>
    <w:rsid w:val="004A6421"/>
    <w:rsid w:val="004A66A1"/>
    <w:rsid w:val="004A730F"/>
    <w:rsid w:val="004A7D99"/>
    <w:rsid w:val="004B103C"/>
    <w:rsid w:val="004B1E9C"/>
    <w:rsid w:val="004B6BF4"/>
    <w:rsid w:val="004B6C1D"/>
    <w:rsid w:val="004B722B"/>
    <w:rsid w:val="004C090B"/>
    <w:rsid w:val="004C0CA3"/>
    <w:rsid w:val="004C1B43"/>
    <w:rsid w:val="004C22DC"/>
    <w:rsid w:val="004C2D90"/>
    <w:rsid w:val="004C38A3"/>
    <w:rsid w:val="004C3AE8"/>
    <w:rsid w:val="004C715C"/>
    <w:rsid w:val="004C7B38"/>
    <w:rsid w:val="004D09C9"/>
    <w:rsid w:val="004D5B22"/>
    <w:rsid w:val="004D7651"/>
    <w:rsid w:val="004E202E"/>
    <w:rsid w:val="004E3BA7"/>
    <w:rsid w:val="004E5D71"/>
    <w:rsid w:val="004E7752"/>
    <w:rsid w:val="004F30C0"/>
    <w:rsid w:val="004F33C6"/>
    <w:rsid w:val="004F346B"/>
    <w:rsid w:val="004F349B"/>
    <w:rsid w:val="004F3D58"/>
    <w:rsid w:val="004F4927"/>
    <w:rsid w:val="004F5E13"/>
    <w:rsid w:val="004F623C"/>
    <w:rsid w:val="004F78DC"/>
    <w:rsid w:val="005029F4"/>
    <w:rsid w:val="0050397E"/>
    <w:rsid w:val="00504667"/>
    <w:rsid w:val="00504B62"/>
    <w:rsid w:val="00511AE3"/>
    <w:rsid w:val="005152A6"/>
    <w:rsid w:val="005163CB"/>
    <w:rsid w:val="00520437"/>
    <w:rsid w:val="0052080A"/>
    <w:rsid w:val="00523597"/>
    <w:rsid w:val="0052421F"/>
    <w:rsid w:val="00525378"/>
    <w:rsid w:val="005259C0"/>
    <w:rsid w:val="00526614"/>
    <w:rsid w:val="00530B3A"/>
    <w:rsid w:val="00530CE8"/>
    <w:rsid w:val="00531341"/>
    <w:rsid w:val="005341FC"/>
    <w:rsid w:val="005355D1"/>
    <w:rsid w:val="00535682"/>
    <w:rsid w:val="00537305"/>
    <w:rsid w:val="005461F6"/>
    <w:rsid w:val="00550497"/>
    <w:rsid w:val="00551648"/>
    <w:rsid w:val="0055383A"/>
    <w:rsid w:val="00553BC9"/>
    <w:rsid w:val="00555ADF"/>
    <w:rsid w:val="00555FFC"/>
    <w:rsid w:val="0055635D"/>
    <w:rsid w:val="00561725"/>
    <w:rsid w:val="00562146"/>
    <w:rsid w:val="005623DD"/>
    <w:rsid w:val="00567054"/>
    <w:rsid w:val="005711CF"/>
    <w:rsid w:val="005712B4"/>
    <w:rsid w:val="0057315C"/>
    <w:rsid w:val="00573367"/>
    <w:rsid w:val="00577965"/>
    <w:rsid w:val="00581F38"/>
    <w:rsid w:val="00583366"/>
    <w:rsid w:val="0058366E"/>
    <w:rsid w:val="005858AE"/>
    <w:rsid w:val="00585EE7"/>
    <w:rsid w:val="00586351"/>
    <w:rsid w:val="00590A8F"/>
    <w:rsid w:val="00590C92"/>
    <w:rsid w:val="005911A1"/>
    <w:rsid w:val="00592BBF"/>
    <w:rsid w:val="005947CE"/>
    <w:rsid w:val="00595B32"/>
    <w:rsid w:val="005973A3"/>
    <w:rsid w:val="00597C08"/>
    <w:rsid w:val="005A1CAD"/>
    <w:rsid w:val="005A26ED"/>
    <w:rsid w:val="005A4407"/>
    <w:rsid w:val="005A4C03"/>
    <w:rsid w:val="005A5A7D"/>
    <w:rsid w:val="005A5C2F"/>
    <w:rsid w:val="005B014E"/>
    <w:rsid w:val="005B0FF8"/>
    <w:rsid w:val="005B304B"/>
    <w:rsid w:val="005B492E"/>
    <w:rsid w:val="005B5728"/>
    <w:rsid w:val="005B6C26"/>
    <w:rsid w:val="005B71D4"/>
    <w:rsid w:val="005C40A7"/>
    <w:rsid w:val="005C4780"/>
    <w:rsid w:val="005C5202"/>
    <w:rsid w:val="005C7EAB"/>
    <w:rsid w:val="005D2065"/>
    <w:rsid w:val="005D3B98"/>
    <w:rsid w:val="005D4A2B"/>
    <w:rsid w:val="005E09C2"/>
    <w:rsid w:val="005E1B6A"/>
    <w:rsid w:val="005E2744"/>
    <w:rsid w:val="005E4964"/>
    <w:rsid w:val="005E7050"/>
    <w:rsid w:val="005F25EC"/>
    <w:rsid w:val="005F49EB"/>
    <w:rsid w:val="005F6DF3"/>
    <w:rsid w:val="0060114E"/>
    <w:rsid w:val="00601435"/>
    <w:rsid w:val="00601F50"/>
    <w:rsid w:val="006021FA"/>
    <w:rsid w:val="00603367"/>
    <w:rsid w:val="00607E10"/>
    <w:rsid w:val="006104F0"/>
    <w:rsid w:val="00610C0D"/>
    <w:rsid w:val="00610D1F"/>
    <w:rsid w:val="006117AE"/>
    <w:rsid w:val="00612B5F"/>
    <w:rsid w:val="0061514B"/>
    <w:rsid w:val="006203FB"/>
    <w:rsid w:val="00621421"/>
    <w:rsid w:val="00624325"/>
    <w:rsid w:val="006251FD"/>
    <w:rsid w:val="00627C60"/>
    <w:rsid w:val="00630551"/>
    <w:rsid w:val="006313F6"/>
    <w:rsid w:val="00631797"/>
    <w:rsid w:val="006346C5"/>
    <w:rsid w:val="006356C4"/>
    <w:rsid w:val="00637FC0"/>
    <w:rsid w:val="00646A73"/>
    <w:rsid w:val="006501FB"/>
    <w:rsid w:val="0065044E"/>
    <w:rsid w:val="00652B80"/>
    <w:rsid w:val="00655B0C"/>
    <w:rsid w:val="00656DB6"/>
    <w:rsid w:val="00660D91"/>
    <w:rsid w:val="00660DB8"/>
    <w:rsid w:val="0066332E"/>
    <w:rsid w:val="00664339"/>
    <w:rsid w:val="006652C5"/>
    <w:rsid w:val="0066543D"/>
    <w:rsid w:val="00667AD6"/>
    <w:rsid w:val="006727D1"/>
    <w:rsid w:val="006727F8"/>
    <w:rsid w:val="006728B4"/>
    <w:rsid w:val="00674919"/>
    <w:rsid w:val="00674C4D"/>
    <w:rsid w:val="00676B75"/>
    <w:rsid w:val="00686DFC"/>
    <w:rsid w:val="0069027D"/>
    <w:rsid w:val="00694C2A"/>
    <w:rsid w:val="006A18CE"/>
    <w:rsid w:val="006A39D2"/>
    <w:rsid w:val="006A39D3"/>
    <w:rsid w:val="006A562D"/>
    <w:rsid w:val="006A7967"/>
    <w:rsid w:val="006B14C9"/>
    <w:rsid w:val="006B2799"/>
    <w:rsid w:val="006B3671"/>
    <w:rsid w:val="006B5568"/>
    <w:rsid w:val="006C2E3C"/>
    <w:rsid w:val="006C3C4F"/>
    <w:rsid w:val="006D048A"/>
    <w:rsid w:val="006D0708"/>
    <w:rsid w:val="006D1765"/>
    <w:rsid w:val="006D17A5"/>
    <w:rsid w:val="006D4423"/>
    <w:rsid w:val="006E25F7"/>
    <w:rsid w:val="006E3C27"/>
    <w:rsid w:val="006E410B"/>
    <w:rsid w:val="006E66FC"/>
    <w:rsid w:val="006E6DC7"/>
    <w:rsid w:val="006E715B"/>
    <w:rsid w:val="006F0733"/>
    <w:rsid w:val="006F0967"/>
    <w:rsid w:val="006F4F16"/>
    <w:rsid w:val="006F5C7B"/>
    <w:rsid w:val="006F6790"/>
    <w:rsid w:val="006F687A"/>
    <w:rsid w:val="00701809"/>
    <w:rsid w:val="00703248"/>
    <w:rsid w:val="00707909"/>
    <w:rsid w:val="007149A1"/>
    <w:rsid w:val="00714C05"/>
    <w:rsid w:val="00715CAB"/>
    <w:rsid w:val="007177CF"/>
    <w:rsid w:val="00720607"/>
    <w:rsid w:val="00720C09"/>
    <w:rsid w:val="00720FE0"/>
    <w:rsid w:val="00721072"/>
    <w:rsid w:val="0072219E"/>
    <w:rsid w:val="00724223"/>
    <w:rsid w:val="00725594"/>
    <w:rsid w:val="00727D5A"/>
    <w:rsid w:val="0073075D"/>
    <w:rsid w:val="00731645"/>
    <w:rsid w:val="00731916"/>
    <w:rsid w:val="00732B64"/>
    <w:rsid w:val="00733691"/>
    <w:rsid w:val="00735B72"/>
    <w:rsid w:val="007361B0"/>
    <w:rsid w:val="00736695"/>
    <w:rsid w:val="00740F1A"/>
    <w:rsid w:val="00746CFB"/>
    <w:rsid w:val="00750214"/>
    <w:rsid w:val="00750F76"/>
    <w:rsid w:val="0075154D"/>
    <w:rsid w:val="00751B76"/>
    <w:rsid w:val="00753EF4"/>
    <w:rsid w:val="0075478D"/>
    <w:rsid w:val="00754CC8"/>
    <w:rsid w:val="00762D82"/>
    <w:rsid w:val="00763244"/>
    <w:rsid w:val="007640C7"/>
    <w:rsid w:val="007703CF"/>
    <w:rsid w:val="007748E0"/>
    <w:rsid w:val="00777E10"/>
    <w:rsid w:val="007800EB"/>
    <w:rsid w:val="00781208"/>
    <w:rsid w:val="00781D10"/>
    <w:rsid w:val="007825BC"/>
    <w:rsid w:val="007826AB"/>
    <w:rsid w:val="007830B5"/>
    <w:rsid w:val="00785232"/>
    <w:rsid w:val="0079065E"/>
    <w:rsid w:val="007910ED"/>
    <w:rsid w:val="007913D9"/>
    <w:rsid w:val="00791F62"/>
    <w:rsid w:val="00794D69"/>
    <w:rsid w:val="007A00DC"/>
    <w:rsid w:val="007A195E"/>
    <w:rsid w:val="007A2661"/>
    <w:rsid w:val="007A334D"/>
    <w:rsid w:val="007A5E4F"/>
    <w:rsid w:val="007A7963"/>
    <w:rsid w:val="007B6235"/>
    <w:rsid w:val="007C1708"/>
    <w:rsid w:val="007C2671"/>
    <w:rsid w:val="007C6A1A"/>
    <w:rsid w:val="007D38C4"/>
    <w:rsid w:val="007D3AD8"/>
    <w:rsid w:val="007D4556"/>
    <w:rsid w:val="007E2033"/>
    <w:rsid w:val="007E3F00"/>
    <w:rsid w:val="007E4AEC"/>
    <w:rsid w:val="007E71BE"/>
    <w:rsid w:val="007E7CA8"/>
    <w:rsid w:val="007F0C12"/>
    <w:rsid w:val="007F1BA5"/>
    <w:rsid w:val="007F2F4D"/>
    <w:rsid w:val="007F35EA"/>
    <w:rsid w:val="007F57CF"/>
    <w:rsid w:val="0080160D"/>
    <w:rsid w:val="00804A54"/>
    <w:rsid w:val="00804AFD"/>
    <w:rsid w:val="008050A1"/>
    <w:rsid w:val="0080512E"/>
    <w:rsid w:val="00805C31"/>
    <w:rsid w:val="00811309"/>
    <w:rsid w:val="00817BAF"/>
    <w:rsid w:val="00820043"/>
    <w:rsid w:val="008233C2"/>
    <w:rsid w:val="00827F77"/>
    <w:rsid w:val="00831B10"/>
    <w:rsid w:val="008320C5"/>
    <w:rsid w:val="00832B91"/>
    <w:rsid w:val="008337C7"/>
    <w:rsid w:val="008364DE"/>
    <w:rsid w:val="0083770B"/>
    <w:rsid w:val="00844655"/>
    <w:rsid w:val="00844810"/>
    <w:rsid w:val="0084681C"/>
    <w:rsid w:val="00847264"/>
    <w:rsid w:val="00850014"/>
    <w:rsid w:val="0085120F"/>
    <w:rsid w:val="00851D27"/>
    <w:rsid w:val="00856DF9"/>
    <w:rsid w:val="00860D7D"/>
    <w:rsid w:val="00860E8B"/>
    <w:rsid w:val="00861ACA"/>
    <w:rsid w:val="0086764D"/>
    <w:rsid w:val="00870A61"/>
    <w:rsid w:val="00871951"/>
    <w:rsid w:val="00880749"/>
    <w:rsid w:val="00880C18"/>
    <w:rsid w:val="00883A18"/>
    <w:rsid w:val="008911F9"/>
    <w:rsid w:val="00891283"/>
    <w:rsid w:val="008917C7"/>
    <w:rsid w:val="00891F70"/>
    <w:rsid w:val="008931CF"/>
    <w:rsid w:val="00895770"/>
    <w:rsid w:val="008958B5"/>
    <w:rsid w:val="0089667B"/>
    <w:rsid w:val="008A19C9"/>
    <w:rsid w:val="008A45A4"/>
    <w:rsid w:val="008A627C"/>
    <w:rsid w:val="008A662E"/>
    <w:rsid w:val="008A6B03"/>
    <w:rsid w:val="008B0104"/>
    <w:rsid w:val="008B0414"/>
    <w:rsid w:val="008B0DAA"/>
    <w:rsid w:val="008B2854"/>
    <w:rsid w:val="008B3C72"/>
    <w:rsid w:val="008B46FC"/>
    <w:rsid w:val="008B4B41"/>
    <w:rsid w:val="008B4CFA"/>
    <w:rsid w:val="008B5B1D"/>
    <w:rsid w:val="008B6991"/>
    <w:rsid w:val="008C1056"/>
    <w:rsid w:val="008C4457"/>
    <w:rsid w:val="008C4463"/>
    <w:rsid w:val="008C57FB"/>
    <w:rsid w:val="008C7485"/>
    <w:rsid w:val="008D1C78"/>
    <w:rsid w:val="008D312C"/>
    <w:rsid w:val="008D3CEC"/>
    <w:rsid w:val="008D531F"/>
    <w:rsid w:val="008D5718"/>
    <w:rsid w:val="008D6235"/>
    <w:rsid w:val="008D794A"/>
    <w:rsid w:val="008E3E8C"/>
    <w:rsid w:val="008F0F9D"/>
    <w:rsid w:val="008F2F5C"/>
    <w:rsid w:val="008F4C50"/>
    <w:rsid w:val="008F6268"/>
    <w:rsid w:val="009004A3"/>
    <w:rsid w:val="0090268C"/>
    <w:rsid w:val="009035E3"/>
    <w:rsid w:val="0090492A"/>
    <w:rsid w:val="00907B56"/>
    <w:rsid w:val="00907F05"/>
    <w:rsid w:val="00910A0D"/>
    <w:rsid w:val="00913120"/>
    <w:rsid w:val="0091461F"/>
    <w:rsid w:val="00921068"/>
    <w:rsid w:val="009213E1"/>
    <w:rsid w:val="0092387B"/>
    <w:rsid w:val="00925BD9"/>
    <w:rsid w:val="0092617C"/>
    <w:rsid w:val="00936344"/>
    <w:rsid w:val="00936B90"/>
    <w:rsid w:val="00937789"/>
    <w:rsid w:val="009418DB"/>
    <w:rsid w:val="0094352D"/>
    <w:rsid w:val="009438E2"/>
    <w:rsid w:val="009471FB"/>
    <w:rsid w:val="0095116E"/>
    <w:rsid w:val="00952A1A"/>
    <w:rsid w:val="00953886"/>
    <w:rsid w:val="0095506C"/>
    <w:rsid w:val="009620E3"/>
    <w:rsid w:val="00965804"/>
    <w:rsid w:val="00965C3E"/>
    <w:rsid w:val="00967AE1"/>
    <w:rsid w:val="00971BDD"/>
    <w:rsid w:val="00972F5A"/>
    <w:rsid w:val="009738A0"/>
    <w:rsid w:val="00973B4A"/>
    <w:rsid w:val="00975A03"/>
    <w:rsid w:val="00982761"/>
    <w:rsid w:val="00982CAE"/>
    <w:rsid w:val="009867FE"/>
    <w:rsid w:val="00991582"/>
    <w:rsid w:val="00992045"/>
    <w:rsid w:val="00993E0B"/>
    <w:rsid w:val="00995280"/>
    <w:rsid w:val="0099608A"/>
    <w:rsid w:val="0099631A"/>
    <w:rsid w:val="0099740A"/>
    <w:rsid w:val="009A0C5D"/>
    <w:rsid w:val="009A2E19"/>
    <w:rsid w:val="009A5A72"/>
    <w:rsid w:val="009A5B93"/>
    <w:rsid w:val="009A67FD"/>
    <w:rsid w:val="009B3BFF"/>
    <w:rsid w:val="009B3C35"/>
    <w:rsid w:val="009B5348"/>
    <w:rsid w:val="009B54D7"/>
    <w:rsid w:val="009B57DB"/>
    <w:rsid w:val="009C1A54"/>
    <w:rsid w:val="009C2498"/>
    <w:rsid w:val="009C2669"/>
    <w:rsid w:val="009C6B91"/>
    <w:rsid w:val="009C7703"/>
    <w:rsid w:val="009D2F92"/>
    <w:rsid w:val="009D33C4"/>
    <w:rsid w:val="009D385B"/>
    <w:rsid w:val="009D41D9"/>
    <w:rsid w:val="009D685F"/>
    <w:rsid w:val="009E00FF"/>
    <w:rsid w:val="009E3780"/>
    <w:rsid w:val="009F06FA"/>
    <w:rsid w:val="009F13D7"/>
    <w:rsid w:val="009F3168"/>
    <w:rsid w:val="00A00F56"/>
    <w:rsid w:val="00A06E1C"/>
    <w:rsid w:val="00A124AF"/>
    <w:rsid w:val="00A13E8F"/>
    <w:rsid w:val="00A22BB5"/>
    <w:rsid w:val="00A236B8"/>
    <w:rsid w:val="00A25235"/>
    <w:rsid w:val="00A25C29"/>
    <w:rsid w:val="00A269AB"/>
    <w:rsid w:val="00A3265C"/>
    <w:rsid w:val="00A32AB2"/>
    <w:rsid w:val="00A36A51"/>
    <w:rsid w:val="00A37C42"/>
    <w:rsid w:val="00A40D3A"/>
    <w:rsid w:val="00A41E9D"/>
    <w:rsid w:val="00A4251D"/>
    <w:rsid w:val="00A4502A"/>
    <w:rsid w:val="00A47859"/>
    <w:rsid w:val="00A47F2B"/>
    <w:rsid w:val="00A52AB3"/>
    <w:rsid w:val="00A56248"/>
    <w:rsid w:val="00A568EB"/>
    <w:rsid w:val="00A57178"/>
    <w:rsid w:val="00A60998"/>
    <w:rsid w:val="00A62DC1"/>
    <w:rsid w:val="00A63A11"/>
    <w:rsid w:val="00A64499"/>
    <w:rsid w:val="00A66249"/>
    <w:rsid w:val="00A66EF4"/>
    <w:rsid w:val="00A70330"/>
    <w:rsid w:val="00A705C3"/>
    <w:rsid w:val="00A71E7E"/>
    <w:rsid w:val="00A753F4"/>
    <w:rsid w:val="00A75718"/>
    <w:rsid w:val="00A766F8"/>
    <w:rsid w:val="00A772D2"/>
    <w:rsid w:val="00A77641"/>
    <w:rsid w:val="00A80F21"/>
    <w:rsid w:val="00A83C67"/>
    <w:rsid w:val="00A83FE2"/>
    <w:rsid w:val="00A84952"/>
    <w:rsid w:val="00A9243C"/>
    <w:rsid w:val="00A95A01"/>
    <w:rsid w:val="00A95B49"/>
    <w:rsid w:val="00A96CCB"/>
    <w:rsid w:val="00A97807"/>
    <w:rsid w:val="00AA0240"/>
    <w:rsid w:val="00AA7020"/>
    <w:rsid w:val="00AB41B8"/>
    <w:rsid w:val="00AB4579"/>
    <w:rsid w:val="00AB58B1"/>
    <w:rsid w:val="00AB63DE"/>
    <w:rsid w:val="00AC1083"/>
    <w:rsid w:val="00AC22BB"/>
    <w:rsid w:val="00AC238F"/>
    <w:rsid w:val="00AC2FAF"/>
    <w:rsid w:val="00AC37B4"/>
    <w:rsid w:val="00AC74F4"/>
    <w:rsid w:val="00AD038A"/>
    <w:rsid w:val="00AD458C"/>
    <w:rsid w:val="00AD5403"/>
    <w:rsid w:val="00AD742C"/>
    <w:rsid w:val="00AD7591"/>
    <w:rsid w:val="00AD780C"/>
    <w:rsid w:val="00AD7FBC"/>
    <w:rsid w:val="00AE080E"/>
    <w:rsid w:val="00AE0B4A"/>
    <w:rsid w:val="00AE1718"/>
    <w:rsid w:val="00AE343D"/>
    <w:rsid w:val="00AE6881"/>
    <w:rsid w:val="00AE761D"/>
    <w:rsid w:val="00AF1697"/>
    <w:rsid w:val="00AF221A"/>
    <w:rsid w:val="00AF22E1"/>
    <w:rsid w:val="00AF2805"/>
    <w:rsid w:val="00AF328F"/>
    <w:rsid w:val="00AF3E86"/>
    <w:rsid w:val="00AF5912"/>
    <w:rsid w:val="00AF5BA8"/>
    <w:rsid w:val="00B01C5D"/>
    <w:rsid w:val="00B01D01"/>
    <w:rsid w:val="00B04247"/>
    <w:rsid w:val="00B04E2F"/>
    <w:rsid w:val="00B074AD"/>
    <w:rsid w:val="00B07AD9"/>
    <w:rsid w:val="00B117C8"/>
    <w:rsid w:val="00B12789"/>
    <w:rsid w:val="00B12CCE"/>
    <w:rsid w:val="00B141FB"/>
    <w:rsid w:val="00B155A9"/>
    <w:rsid w:val="00B1566C"/>
    <w:rsid w:val="00B15F2B"/>
    <w:rsid w:val="00B237AC"/>
    <w:rsid w:val="00B26AF5"/>
    <w:rsid w:val="00B26CF3"/>
    <w:rsid w:val="00B326BB"/>
    <w:rsid w:val="00B37CB4"/>
    <w:rsid w:val="00B432B3"/>
    <w:rsid w:val="00B43F6E"/>
    <w:rsid w:val="00B45B5F"/>
    <w:rsid w:val="00B50260"/>
    <w:rsid w:val="00B5129B"/>
    <w:rsid w:val="00B51400"/>
    <w:rsid w:val="00B517E0"/>
    <w:rsid w:val="00B550FB"/>
    <w:rsid w:val="00B568B2"/>
    <w:rsid w:val="00B57C33"/>
    <w:rsid w:val="00B60003"/>
    <w:rsid w:val="00B62113"/>
    <w:rsid w:val="00B62906"/>
    <w:rsid w:val="00B62C86"/>
    <w:rsid w:val="00B63FB0"/>
    <w:rsid w:val="00B67F25"/>
    <w:rsid w:val="00B705A8"/>
    <w:rsid w:val="00B7152D"/>
    <w:rsid w:val="00B71614"/>
    <w:rsid w:val="00B754FA"/>
    <w:rsid w:val="00B7707D"/>
    <w:rsid w:val="00B83A1F"/>
    <w:rsid w:val="00B87843"/>
    <w:rsid w:val="00B9097E"/>
    <w:rsid w:val="00B91BD5"/>
    <w:rsid w:val="00B93ECF"/>
    <w:rsid w:val="00B95189"/>
    <w:rsid w:val="00BA0C37"/>
    <w:rsid w:val="00BA3E6A"/>
    <w:rsid w:val="00BA472E"/>
    <w:rsid w:val="00BA51A7"/>
    <w:rsid w:val="00BA5700"/>
    <w:rsid w:val="00BB1C12"/>
    <w:rsid w:val="00BB259A"/>
    <w:rsid w:val="00BB25D6"/>
    <w:rsid w:val="00BB4AE9"/>
    <w:rsid w:val="00BB637D"/>
    <w:rsid w:val="00BB6AC4"/>
    <w:rsid w:val="00BB71DD"/>
    <w:rsid w:val="00BC0952"/>
    <w:rsid w:val="00BC0EEE"/>
    <w:rsid w:val="00BC20D7"/>
    <w:rsid w:val="00BC32F9"/>
    <w:rsid w:val="00BC3DCD"/>
    <w:rsid w:val="00BC44A9"/>
    <w:rsid w:val="00BC5001"/>
    <w:rsid w:val="00BD0E7F"/>
    <w:rsid w:val="00BD4FDE"/>
    <w:rsid w:val="00BE23D0"/>
    <w:rsid w:val="00BE7257"/>
    <w:rsid w:val="00BF0570"/>
    <w:rsid w:val="00BF149B"/>
    <w:rsid w:val="00BF1ADB"/>
    <w:rsid w:val="00BF1B10"/>
    <w:rsid w:val="00BF1B40"/>
    <w:rsid w:val="00BF1D1D"/>
    <w:rsid w:val="00BF2ED0"/>
    <w:rsid w:val="00BF42D2"/>
    <w:rsid w:val="00BF72C5"/>
    <w:rsid w:val="00C005EF"/>
    <w:rsid w:val="00C008E3"/>
    <w:rsid w:val="00C06588"/>
    <w:rsid w:val="00C067D0"/>
    <w:rsid w:val="00C077A5"/>
    <w:rsid w:val="00C100B1"/>
    <w:rsid w:val="00C11F74"/>
    <w:rsid w:val="00C133B7"/>
    <w:rsid w:val="00C13B8F"/>
    <w:rsid w:val="00C1693B"/>
    <w:rsid w:val="00C211EC"/>
    <w:rsid w:val="00C255F1"/>
    <w:rsid w:val="00C268C4"/>
    <w:rsid w:val="00C26C15"/>
    <w:rsid w:val="00C270AF"/>
    <w:rsid w:val="00C273D4"/>
    <w:rsid w:val="00C278BD"/>
    <w:rsid w:val="00C27AF7"/>
    <w:rsid w:val="00C317EB"/>
    <w:rsid w:val="00C322EA"/>
    <w:rsid w:val="00C348DE"/>
    <w:rsid w:val="00C35118"/>
    <w:rsid w:val="00C3783D"/>
    <w:rsid w:val="00C40009"/>
    <w:rsid w:val="00C43431"/>
    <w:rsid w:val="00C4551D"/>
    <w:rsid w:val="00C47E98"/>
    <w:rsid w:val="00C50087"/>
    <w:rsid w:val="00C55DA1"/>
    <w:rsid w:val="00C56670"/>
    <w:rsid w:val="00C57636"/>
    <w:rsid w:val="00C577CD"/>
    <w:rsid w:val="00C57A01"/>
    <w:rsid w:val="00C57F35"/>
    <w:rsid w:val="00C61BAE"/>
    <w:rsid w:val="00C62516"/>
    <w:rsid w:val="00C634EB"/>
    <w:rsid w:val="00C64491"/>
    <w:rsid w:val="00C64DA5"/>
    <w:rsid w:val="00C661EF"/>
    <w:rsid w:val="00C704BE"/>
    <w:rsid w:val="00C70554"/>
    <w:rsid w:val="00C70FB2"/>
    <w:rsid w:val="00C71DA3"/>
    <w:rsid w:val="00C750DB"/>
    <w:rsid w:val="00C81FC7"/>
    <w:rsid w:val="00C821A3"/>
    <w:rsid w:val="00C82592"/>
    <w:rsid w:val="00C82894"/>
    <w:rsid w:val="00C84135"/>
    <w:rsid w:val="00C874A8"/>
    <w:rsid w:val="00C87EAE"/>
    <w:rsid w:val="00C951E1"/>
    <w:rsid w:val="00C959AE"/>
    <w:rsid w:val="00C95BB3"/>
    <w:rsid w:val="00C961E2"/>
    <w:rsid w:val="00C96A90"/>
    <w:rsid w:val="00C9745D"/>
    <w:rsid w:val="00CA1BFB"/>
    <w:rsid w:val="00CA2C67"/>
    <w:rsid w:val="00CA5AB0"/>
    <w:rsid w:val="00CA5D68"/>
    <w:rsid w:val="00CB32F9"/>
    <w:rsid w:val="00CB3EAF"/>
    <w:rsid w:val="00CB40D2"/>
    <w:rsid w:val="00CB4E02"/>
    <w:rsid w:val="00CC235C"/>
    <w:rsid w:val="00CC279B"/>
    <w:rsid w:val="00CC6ADE"/>
    <w:rsid w:val="00CC73A5"/>
    <w:rsid w:val="00CD29E8"/>
    <w:rsid w:val="00CD2EC4"/>
    <w:rsid w:val="00CD3666"/>
    <w:rsid w:val="00CD3FCC"/>
    <w:rsid w:val="00CD441A"/>
    <w:rsid w:val="00CD4B2A"/>
    <w:rsid w:val="00CD5D9F"/>
    <w:rsid w:val="00CE038A"/>
    <w:rsid w:val="00CE0941"/>
    <w:rsid w:val="00CE0A67"/>
    <w:rsid w:val="00CE1E50"/>
    <w:rsid w:val="00CE2FF3"/>
    <w:rsid w:val="00CE346D"/>
    <w:rsid w:val="00CE41D3"/>
    <w:rsid w:val="00CE52D9"/>
    <w:rsid w:val="00CE5EEB"/>
    <w:rsid w:val="00CE66DD"/>
    <w:rsid w:val="00CF0C0C"/>
    <w:rsid w:val="00CF1E07"/>
    <w:rsid w:val="00CF27FC"/>
    <w:rsid w:val="00CF2EC9"/>
    <w:rsid w:val="00D028EF"/>
    <w:rsid w:val="00D03B70"/>
    <w:rsid w:val="00D04752"/>
    <w:rsid w:val="00D07B25"/>
    <w:rsid w:val="00D11F44"/>
    <w:rsid w:val="00D12E95"/>
    <w:rsid w:val="00D14EA8"/>
    <w:rsid w:val="00D154B0"/>
    <w:rsid w:val="00D17C48"/>
    <w:rsid w:val="00D23264"/>
    <w:rsid w:val="00D23FFF"/>
    <w:rsid w:val="00D256FE"/>
    <w:rsid w:val="00D25F84"/>
    <w:rsid w:val="00D26ECD"/>
    <w:rsid w:val="00D26F61"/>
    <w:rsid w:val="00D27583"/>
    <w:rsid w:val="00D27BB4"/>
    <w:rsid w:val="00D30922"/>
    <w:rsid w:val="00D32052"/>
    <w:rsid w:val="00D327A4"/>
    <w:rsid w:val="00D3403C"/>
    <w:rsid w:val="00D34A05"/>
    <w:rsid w:val="00D366B4"/>
    <w:rsid w:val="00D37098"/>
    <w:rsid w:val="00D374D8"/>
    <w:rsid w:val="00D4161C"/>
    <w:rsid w:val="00D42100"/>
    <w:rsid w:val="00D46DA9"/>
    <w:rsid w:val="00D47B58"/>
    <w:rsid w:val="00D50622"/>
    <w:rsid w:val="00D529AD"/>
    <w:rsid w:val="00D52C21"/>
    <w:rsid w:val="00D53CE7"/>
    <w:rsid w:val="00D55F8B"/>
    <w:rsid w:val="00D60FE6"/>
    <w:rsid w:val="00D62F83"/>
    <w:rsid w:val="00D62F87"/>
    <w:rsid w:val="00D6328C"/>
    <w:rsid w:val="00D63327"/>
    <w:rsid w:val="00D64DCC"/>
    <w:rsid w:val="00D6619B"/>
    <w:rsid w:val="00D723DA"/>
    <w:rsid w:val="00D72519"/>
    <w:rsid w:val="00D72A2E"/>
    <w:rsid w:val="00D76692"/>
    <w:rsid w:val="00D770B1"/>
    <w:rsid w:val="00D80B0A"/>
    <w:rsid w:val="00D810B0"/>
    <w:rsid w:val="00D81CA7"/>
    <w:rsid w:val="00D82287"/>
    <w:rsid w:val="00D83B69"/>
    <w:rsid w:val="00D83F2B"/>
    <w:rsid w:val="00D84536"/>
    <w:rsid w:val="00D84CB5"/>
    <w:rsid w:val="00D8536E"/>
    <w:rsid w:val="00D8723D"/>
    <w:rsid w:val="00D90B8B"/>
    <w:rsid w:val="00D970C2"/>
    <w:rsid w:val="00DA6002"/>
    <w:rsid w:val="00DB0661"/>
    <w:rsid w:val="00DB1A8B"/>
    <w:rsid w:val="00DB24EA"/>
    <w:rsid w:val="00DB53EF"/>
    <w:rsid w:val="00DB6B0F"/>
    <w:rsid w:val="00DC2DD1"/>
    <w:rsid w:val="00DC2F31"/>
    <w:rsid w:val="00DC347D"/>
    <w:rsid w:val="00DC3C73"/>
    <w:rsid w:val="00DC3F0A"/>
    <w:rsid w:val="00DC74DD"/>
    <w:rsid w:val="00DD125B"/>
    <w:rsid w:val="00DD54DF"/>
    <w:rsid w:val="00DD675A"/>
    <w:rsid w:val="00DD68EA"/>
    <w:rsid w:val="00DE363D"/>
    <w:rsid w:val="00DE377A"/>
    <w:rsid w:val="00DE3DF0"/>
    <w:rsid w:val="00DE5AD8"/>
    <w:rsid w:val="00DE5D6F"/>
    <w:rsid w:val="00DF25A9"/>
    <w:rsid w:val="00E00977"/>
    <w:rsid w:val="00E00CD2"/>
    <w:rsid w:val="00E02B39"/>
    <w:rsid w:val="00E06CB9"/>
    <w:rsid w:val="00E1126A"/>
    <w:rsid w:val="00E137D0"/>
    <w:rsid w:val="00E14715"/>
    <w:rsid w:val="00E1750E"/>
    <w:rsid w:val="00E23111"/>
    <w:rsid w:val="00E23D05"/>
    <w:rsid w:val="00E31CBC"/>
    <w:rsid w:val="00E33507"/>
    <w:rsid w:val="00E33FF4"/>
    <w:rsid w:val="00E35770"/>
    <w:rsid w:val="00E3634A"/>
    <w:rsid w:val="00E36407"/>
    <w:rsid w:val="00E41FE2"/>
    <w:rsid w:val="00E44D7B"/>
    <w:rsid w:val="00E4515D"/>
    <w:rsid w:val="00E452AD"/>
    <w:rsid w:val="00E4663C"/>
    <w:rsid w:val="00E51C4E"/>
    <w:rsid w:val="00E5404F"/>
    <w:rsid w:val="00E5405B"/>
    <w:rsid w:val="00E545F0"/>
    <w:rsid w:val="00E5460C"/>
    <w:rsid w:val="00E5467D"/>
    <w:rsid w:val="00E546C4"/>
    <w:rsid w:val="00E55DC0"/>
    <w:rsid w:val="00E57266"/>
    <w:rsid w:val="00E572EF"/>
    <w:rsid w:val="00E57CFA"/>
    <w:rsid w:val="00E60CAE"/>
    <w:rsid w:val="00E614AF"/>
    <w:rsid w:val="00E6187B"/>
    <w:rsid w:val="00E61E62"/>
    <w:rsid w:val="00E62397"/>
    <w:rsid w:val="00E63C6F"/>
    <w:rsid w:val="00E6549E"/>
    <w:rsid w:val="00E66FB0"/>
    <w:rsid w:val="00E70FBB"/>
    <w:rsid w:val="00E71524"/>
    <w:rsid w:val="00E760B4"/>
    <w:rsid w:val="00E763F8"/>
    <w:rsid w:val="00E76CF8"/>
    <w:rsid w:val="00E807D1"/>
    <w:rsid w:val="00E80B6B"/>
    <w:rsid w:val="00E8152B"/>
    <w:rsid w:val="00E837D8"/>
    <w:rsid w:val="00E869D9"/>
    <w:rsid w:val="00E87661"/>
    <w:rsid w:val="00E930A8"/>
    <w:rsid w:val="00E9467F"/>
    <w:rsid w:val="00E94D91"/>
    <w:rsid w:val="00EA242F"/>
    <w:rsid w:val="00EA31C1"/>
    <w:rsid w:val="00EA3FA0"/>
    <w:rsid w:val="00EB0768"/>
    <w:rsid w:val="00EB11F5"/>
    <w:rsid w:val="00EB1BBB"/>
    <w:rsid w:val="00EB7DBD"/>
    <w:rsid w:val="00EC0192"/>
    <w:rsid w:val="00EC0F2E"/>
    <w:rsid w:val="00EC2202"/>
    <w:rsid w:val="00EC45CF"/>
    <w:rsid w:val="00EC4EEE"/>
    <w:rsid w:val="00EC7096"/>
    <w:rsid w:val="00EC7803"/>
    <w:rsid w:val="00ED1479"/>
    <w:rsid w:val="00ED2067"/>
    <w:rsid w:val="00ED2DD0"/>
    <w:rsid w:val="00ED4F25"/>
    <w:rsid w:val="00EE150F"/>
    <w:rsid w:val="00EE5831"/>
    <w:rsid w:val="00EE7CBE"/>
    <w:rsid w:val="00EF05C0"/>
    <w:rsid w:val="00EF2B48"/>
    <w:rsid w:val="00EF316E"/>
    <w:rsid w:val="00EF3CB3"/>
    <w:rsid w:val="00EF6EAC"/>
    <w:rsid w:val="00F005A8"/>
    <w:rsid w:val="00F028AC"/>
    <w:rsid w:val="00F028F0"/>
    <w:rsid w:val="00F035F5"/>
    <w:rsid w:val="00F04444"/>
    <w:rsid w:val="00F06A7E"/>
    <w:rsid w:val="00F1147D"/>
    <w:rsid w:val="00F11522"/>
    <w:rsid w:val="00F12835"/>
    <w:rsid w:val="00F1319F"/>
    <w:rsid w:val="00F1359D"/>
    <w:rsid w:val="00F136FD"/>
    <w:rsid w:val="00F15C23"/>
    <w:rsid w:val="00F1637D"/>
    <w:rsid w:val="00F16A10"/>
    <w:rsid w:val="00F2030E"/>
    <w:rsid w:val="00F210BE"/>
    <w:rsid w:val="00F244DB"/>
    <w:rsid w:val="00F2493D"/>
    <w:rsid w:val="00F2750C"/>
    <w:rsid w:val="00F30CE8"/>
    <w:rsid w:val="00F31E88"/>
    <w:rsid w:val="00F3395A"/>
    <w:rsid w:val="00F349B9"/>
    <w:rsid w:val="00F36833"/>
    <w:rsid w:val="00F3762E"/>
    <w:rsid w:val="00F42198"/>
    <w:rsid w:val="00F45468"/>
    <w:rsid w:val="00F458E9"/>
    <w:rsid w:val="00F45A7D"/>
    <w:rsid w:val="00F50850"/>
    <w:rsid w:val="00F50B3C"/>
    <w:rsid w:val="00F51B36"/>
    <w:rsid w:val="00F51B85"/>
    <w:rsid w:val="00F5537E"/>
    <w:rsid w:val="00F5538C"/>
    <w:rsid w:val="00F56008"/>
    <w:rsid w:val="00F61806"/>
    <w:rsid w:val="00F61E8B"/>
    <w:rsid w:val="00F64C5B"/>
    <w:rsid w:val="00F653FC"/>
    <w:rsid w:val="00F665A6"/>
    <w:rsid w:val="00F6771F"/>
    <w:rsid w:val="00F67D2B"/>
    <w:rsid w:val="00F67D8C"/>
    <w:rsid w:val="00F720C4"/>
    <w:rsid w:val="00F72DAA"/>
    <w:rsid w:val="00F731A9"/>
    <w:rsid w:val="00F75123"/>
    <w:rsid w:val="00F7763A"/>
    <w:rsid w:val="00F80712"/>
    <w:rsid w:val="00F81F39"/>
    <w:rsid w:val="00F82782"/>
    <w:rsid w:val="00F846ED"/>
    <w:rsid w:val="00F856C1"/>
    <w:rsid w:val="00F85B59"/>
    <w:rsid w:val="00F85FAD"/>
    <w:rsid w:val="00F90453"/>
    <w:rsid w:val="00F91A6F"/>
    <w:rsid w:val="00F95DF1"/>
    <w:rsid w:val="00FA22AC"/>
    <w:rsid w:val="00FA27EE"/>
    <w:rsid w:val="00FA2DBA"/>
    <w:rsid w:val="00FA306D"/>
    <w:rsid w:val="00FA387A"/>
    <w:rsid w:val="00FA5448"/>
    <w:rsid w:val="00FB006B"/>
    <w:rsid w:val="00FB0EF7"/>
    <w:rsid w:val="00FB1CCD"/>
    <w:rsid w:val="00FB246E"/>
    <w:rsid w:val="00FB5314"/>
    <w:rsid w:val="00FB5853"/>
    <w:rsid w:val="00FD3669"/>
    <w:rsid w:val="00FD4627"/>
    <w:rsid w:val="00FE26B2"/>
    <w:rsid w:val="00FE4604"/>
    <w:rsid w:val="00FE5317"/>
    <w:rsid w:val="00FE6E82"/>
    <w:rsid w:val="00FF11D2"/>
    <w:rsid w:val="00FF1B7C"/>
    <w:rsid w:val="00FF2209"/>
    <w:rsid w:val="00FF3CD9"/>
    <w:rsid w:val="00FF7337"/>
    <w:rsid w:val="00FF79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3AEC"/>
  <w15:docId w15:val="{FCC78C3B-CA55-4633-8D7E-E3DEBE21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62"/>
    <w:pPr>
      <w:spacing w:after="0" w:line="240" w:lineRule="auto"/>
    </w:pPr>
    <w:rPr>
      <w:rFonts w:ascii="Times LatArm" w:eastAsia="Times New Roman" w:hAnsi="Times LatArm"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rsid w:val="00414562"/>
  </w:style>
  <w:style w:type="paragraph" w:styleId="ListParagraph">
    <w:name w:val="List Paragraph"/>
    <w:basedOn w:val="Normal"/>
    <w:uiPriority w:val="34"/>
    <w:qFormat/>
    <w:rsid w:val="002F4FEC"/>
    <w:pPr>
      <w:ind w:left="720"/>
      <w:contextualSpacing/>
    </w:pPr>
  </w:style>
  <w:style w:type="paragraph" w:styleId="FootnoteText">
    <w:name w:val="footnote text"/>
    <w:basedOn w:val="Normal"/>
    <w:link w:val="FootnoteTextChar"/>
    <w:unhideWhenUsed/>
    <w:rsid w:val="004C715C"/>
    <w:rPr>
      <w:sz w:val="20"/>
      <w:szCs w:val="20"/>
    </w:rPr>
  </w:style>
  <w:style w:type="character" w:customStyle="1" w:styleId="FootnoteTextChar">
    <w:name w:val="Footnote Text Char"/>
    <w:basedOn w:val="DefaultParagraphFont"/>
    <w:link w:val="FootnoteText"/>
    <w:uiPriority w:val="99"/>
    <w:semiHidden/>
    <w:rsid w:val="004C715C"/>
    <w:rPr>
      <w:rFonts w:ascii="Times LatArm" w:eastAsia="Times New Roman" w:hAnsi="Times LatArm" w:cs="Times New Roman"/>
      <w:sz w:val="20"/>
      <w:szCs w:val="20"/>
    </w:rPr>
  </w:style>
  <w:style w:type="character" w:styleId="FootnoteReference">
    <w:name w:val="footnote reference"/>
    <w:basedOn w:val="DefaultParagraphFont"/>
    <w:unhideWhenUsed/>
    <w:rsid w:val="004C715C"/>
    <w:rPr>
      <w:vertAlign w:val="superscript"/>
    </w:rPr>
  </w:style>
  <w:style w:type="table" w:styleId="TableGrid">
    <w:name w:val="Table Grid"/>
    <w:basedOn w:val="TableNormal"/>
    <w:uiPriority w:val="59"/>
    <w:rsid w:val="002A0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2">
    <w:name w:val="Footnote Text Char2"/>
    <w:semiHidden/>
    <w:rsid w:val="00400525"/>
    <w:rPr>
      <w:rFonts w:ascii="Times Armenian" w:hAnsi="Times Armenian"/>
      <w:lang w:val="en-US" w:eastAsia="en-US" w:bidi="ar-SA"/>
    </w:rPr>
  </w:style>
  <w:style w:type="character" w:styleId="Hyperlink">
    <w:name w:val="Hyperlink"/>
    <w:rsid w:val="00431888"/>
    <w:rPr>
      <w:color w:val="0000FF"/>
      <w:u w:val="single"/>
    </w:rPr>
  </w:style>
  <w:style w:type="paragraph" w:styleId="Header">
    <w:name w:val="header"/>
    <w:basedOn w:val="Normal"/>
    <w:link w:val="HeaderChar"/>
    <w:uiPriority w:val="99"/>
    <w:unhideWhenUsed/>
    <w:rsid w:val="008D531F"/>
    <w:pPr>
      <w:tabs>
        <w:tab w:val="center" w:pos="4680"/>
        <w:tab w:val="right" w:pos="9360"/>
      </w:tabs>
    </w:pPr>
  </w:style>
  <w:style w:type="character" w:customStyle="1" w:styleId="HeaderChar">
    <w:name w:val="Header Char"/>
    <w:basedOn w:val="DefaultParagraphFont"/>
    <w:link w:val="Header"/>
    <w:uiPriority w:val="99"/>
    <w:rsid w:val="008D531F"/>
    <w:rPr>
      <w:rFonts w:ascii="Times LatArm" w:eastAsia="Times New Roman" w:hAnsi="Times LatArm" w:cs="Times New Roman"/>
      <w:sz w:val="24"/>
      <w:szCs w:val="24"/>
    </w:rPr>
  </w:style>
  <w:style w:type="paragraph" w:styleId="Footer">
    <w:name w:val="footer"/>
    <w:basedOn w:val="Normal"/>
    <w:link w:val="FooterChar"/>
    <w:uiPriority w:val="99"/>
    <w:unhideWhenUsed/>
    <w:rsid w:val="008D531F"/>
    <w:pPr>
      <w:tabs>
        <w:tab w:val="center" w:pos="4680"/>
        <w:tab w:val="right" w:pos="9360"/>
      </w:tabs>
    </w:pPr>
  </w:style>
  <w:style w:type="character" w:customStyle="1" w:styleId="FooterChar">
    <w:name w:val="Footer Char"/>
    <w:basedOn w:val="DefaultParagraphFont"/>
    <w:link w:val="Footer"/>
    <w:uiPriority w:val="99"/>
    <w:rsid w:val="008D531F"/>
    <w:rPr>
      <w:rFonts w:ascii="Times LatArm" w:eastAsia="Times New Roman" w:hAnsi="Times LatArm" w:cs="Times New Roman"/>
      <w:sz w:val="24"/>
      <w:szCs w:val="24"/>
    </w:rPr>
  </w:style>
  <w:style w:type="paragraph" w:styleId="BalloonText">
    <w:name w:val="Balloon Text"/>
    <w:basedOn w:val="Normal"/>
    <w:link w:val="BalloonTextChar"/>
    <w:uiPriority w:val="99"/>
    <w:semiHidden/>
    <w:unhideWhenUsed/>
    <w:rsid w:val="00FA30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06D"/>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8D3CEC"/>
    <w:rPr>
      <w:sz w:val="16"/>
      <w:szCs w:val="16"/>
    </w:rPr>
  </w:style>
  <w:style w:type="paragraph" w:styleId="CommentText">
    <w:name w:val="annotation text"/>
    <w:basedOn w:val="Normal"/>
    <w:link w:val="CommentTextChar"/>
    <w:uiPriority w:val="99"/>
    <w:semiHidden/>
    <w:unhideWhenUsed/>
    <w:rsid w:val="008D3CEC"/>
    <w:rPr>
      <w:sz w:val="20"/>
      <w:szCs w:val="20"/>
    </w:rPr>
  </w:style>
  <w:style w:type="character" w:customStyle="1" w:styleId="CommentTextChar">
    <w:name w:val="Comment Text Char"/>
    <w:basedOn w:val="DefaultParagraphFont"/>
    <w:link w:val="CommentText"/>
    <w:uiPriority w:val="99"/>
    <w:semiHidden/>
    <w:rsid w:val="008D3CEC"/>
    <w:rPr>
      <w:rFonts w:ascii="Times LatArm" w:eastAsia="Times New Roman" w:hAnsi="Times LatArm" w:cs="Times New Roman"/>
      <w:sz w:val="20"/>
      <w:szCs w:val="20"/>
    </w:rPr>
  </w:style>
  <w:style w:type="paragraph" w:styleId="CommentSubject">
    <w:name w:val="annotation subject"/>
    <w:basedOn w:val="CommentText"/>
    <w:next w:val="CommentText"/>
    <w:link w:val="CommentSubjectChar"/>
    <w:uiPriority w:val="99"/>
    <w:semiHidden/>
    <w:unhideWhenUsed/>
    <w:rsid w:val="008D3CEC"/>
    <w:rPr>
      <w:b/>
      <w:bCs/>
    </w:rPr>
  </w:style>
  <w:style w:type="character" w:customStyle="1" w:styleId="CommentSubjectChar">
    <w:name w:val="Comment Subject Char"/>
    <w:basedOn w:val="CommentTextChar"/>
    <w:link w:val="CommentSubject"/>
    <w:uiPriority w:val="99"/>
    <w:semiHidden/>
    <w:rsid w:val="008D3CEC"/>
    <w:rPr>
      <w:rFonts w:ascii="Times LatArm" w:eastAsia="Times New Roman" w:hAnsi="Times LatArm"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F2157-1522-4DCB-B3BD-11221EAC4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49</Pages>
  <Words>15668</Words>
  <Characters>89310</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Սուսաննա Քարտաշյան</cp:lastModifiedBy>
  <cp:revision>14</cp:revision>
  <dcterms:created xsi:type="dcterms:W3CDTF">2016-09-24T07:01:00Z</dcterms:created>
  <dcterms:modified xsi:type="dcterms:W3CDTF">2024-02-02T13:02:00Z</dcterms:modified>
</cp:coreProperties>
</file>