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B047" w14:textId="77777777" w:rsidR="00F27451" w:rsidRPr="00623302" w:rsidRDefault="00F27451" w:rsidP="00F27451">
      <w:pPr>
        <w:pStyle w:val="Heading1"/>
        <w:spacing w:line="312" w:lineRule="auto"/>
        <w:ind w:right="336" w:firstLine="1300"/>
        <w:jc w:val="right"/>
        <w:rPr>
          <w:rFonts w:ascii="GHEA Grapalat" w:hAnsi="GHEA Grapalat" w:cs="Sylfaen"/>
          <w:color w:val="auto"/>
          <w:spacing w:val="20"/>
          <w:w w:val="110"/>
          <w:sz w:val="20"/>
          <w:szCs w:val="20"/>
          <w:u w:val="none"/>
          <w:lang w:val="en-US"/>
        </w:rPr>
      </w:pPr>
      <w:r w:rsidRPr="00792946">
        <w:rPr>
          <w:rFonts w:ascii="GHEA Grapalat" w:hAnsi="GHEA Grapalat" w:cs="Sylfaen"/>
          <w:color w:val="auto"/>
          <w:spacing w:val="20"/>
          <w:w w:val="110"/>
          <w:sz w:val="20"/>
          <w:szCs w:val="20"/>
          <w:u w:val="none"/>
          <w:lang w:val="en-US"/>
        </w:rPr>
        <w:t>THE</w:t>
      </w:r>
      <w:r w:rsidRPr="00623302">
        <w:rPr>
          <w:rFonts w:ascii="GHEA Grapalat" w:hAnsi="GHEA Grapalat" w:cs="Sylfaen"/>
          <w:color w:val="auto"/>
          <w:spacing w:val="20"/>
          <w:w w:val="110"/>
          <w:sz w:val="20"/>
          <w:szCs w:val="20"/>
          <w:u w:val="none"/>
          <w:lang w:val="en-US"/>
        </w:rPr>
        <w:t xml:space="preserve"> CENTRAL BANK </w:t>
      </w:r>
    </w:p>
    <w:p w14:paraId="2A1A72BB" w14:textId="77777777" w:rsidR="00F27451" w:rsidRPr="00623302" w:rsidRDefault="00F27451" w:rsidP="00F27451">
      <w:pPr>
        <w:pStyle w:val="Heading1"/>
        <w:spacing w:line="312" w:lineRule="auto"/>
        <w:ind w:right="336" w:firstLine="1300"/>
        <w:jc w:val="right"/>
        <w:rPr>
          <w:rFonts w:ascii="GHEA Grapalat" w:hAnsi="GHEA Grapalat"/>
          <w:color w:val="auto"/>
          <w:spacing w:val="20"/>
          <w:w w:val="110"/>
          <w:sz w:val="20"/>
          <w:szCs w:val="20"/>
          <w:u w:val="none"/>
        </w:rPr>
      </w:pPr>
      <w:r w:rsidRPr="00623302">
        <w:rPr>
          <w:rFonts w:ascii="GHEA Grapalat" w:hAnsi="GHEA Grapalat" w:cs="Sylfaen"/>
          <w:color w:val="auto"/>
          <w:spacing w:val="20"/>
          <w:w w:val="110"/>
          <w:sz w:val="20"/>
          <w:szCs w:val="20"/>
          <w:u w:val="none"/>
          <w:lang w:val="en-US"/>
        </w:rPr>
        <w:t>OF THE REPUBLIC OF ARMENIA</w:t>
      </w:r>
    </w:p>
    <w:p w14:paraId="53B028BA"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28175BA3"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23233D8E"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19FD330D" w14:textId="77777777" w:rsidR="00F27451" w:rsidRPr="00623302" w:rsidRDefault="00F27451" w:rsidP="00F27451">
      <w:pPr>
        <w:pStyle w:val="Heading7"/>
        <w:spacing w:line="312" w:lineRule="auto"/>
        <w:ind w:right="336" w:firstLine="400"/>
        <w:jc w:val="right"/>
        <w:rPr>
          <w:rFonts w:ascii="GHEA Grapalat" w:hAnsi="GHEA Grapalat" w:cs="Sylfaen"/>
          <w:b w:val="0"/>
          <w:spacing w:val="10"/>
          <w:w w:val="110"/>
          <w:sz w:val="18"/>
          <w:szCs w:val="18"/>
        </w:rPr>
      </w:pPr>
      <w:r w:rsidRPr="00623302">
        <w:rPr>
          <w:rFonts w:ascii="GHEA Grapalat" w:hAnsi="GHEA Grapalat" w:cs="Sylfaen"/>
          <w:b w:val="0"/>
          <w:spacing w:val="10"/>
          <w:w w:val="110"/>
          <w:sz w:val="18"/>
          <w:szCs w:val="18"/>
        </w:rPr>
        <w:t xml:space="preserve">Approved under Board of the Central Bank Resolution No. </w:t>
      </w:r>
      <w:r>
        <w:rPr>
          <w:rFonts w:ascii="GHEA Grapalat" w:hAnsi="GHEA Grapalat" w:cs="Sylfaen"/>
          <w:b w:val="0"/>
          <w:spacing w:val="10"/>
          <w:w w:val="110"/>
          <w:sz w:val="18"/>
          <w:szCs w:val="18"/>
        </w:rPr>
        <w:t>251</w:t>
      </w:r>
      <w:r w:rsidRPr="00623302">
        <w:rPr>
          <w:rFonts w:ascii="GHEA Grapalat" w:hAnsi="GHEA Grapalat" w:cs="Sylfaen"/>
          <w:b w:val="0"/>
          <w:spacing w:val="10"/>
          <w:w w:val="110"/>
          <w:sz w:val="18"/>
          <w:szCs w:val="18"/>
        </w:rPr>
        <w:t>A,</w:t>
      </w:r>
    </w:p>
    <w:p w14:paraId="219C319F" w14:textId="77777777" w:rsidR="00F27451" w:rsidRPr="00623302" w:rsidRDefault="00F27451" w:rsidP="00F27451">
      <w:pPr>
        <w:pStyle w:val="Heading7"/>
        <w:spacing w:line="312" w:lineRule="auto"/>
        <w:ind w:right="328" w:firstLine="400"/>
        <w:jc w:val="right"/>
        <w:rPr>
          <w:rFonts w:ascii="GHEA Grapalat" w:hAnsi="GHEA Grapalat"/>
          <w:b w:val="0"/>
          <w:i/>
          <w:spacing w:val="10"/>
          <w:w w:val="110"/>
          <w:sz w:val="18"/>
          <w:szCs w:val="18"/>
          <w:lang w:val="hy-AM"/>
        </w:rPr>
      </w:pPr>
      <w:r>
        <w:rPr>
          <w:rFonts w:ascii="GHEA Grapalat" w:hAnsi="GHEA Grapalat" w:cs="Sylfaen"/>
          <w:b w:val="0"/>
          <w:spacing w:val="10"/>
          <w:w w:val="110"/>
          <w:sz w:val="18"/>
          <w:szCs w:val="18"/>
        </w:rPr>
        <w:t>d</w:t>
      </w:r>
      <w:r w:rsidRPr="00623302">
        <w:rPr>
          <w:rFonts w:ascii="GHEA Grapalat" w:hAnsi="GHEA Grapalat" w:cs="Sylfaen"/>
          <w:b w:val="0"/>
          <w:spacing w:val="10"/>
          <w:w w:val="110"/>
          <w:sz w:val="18"/>
          <w:szCs w:val="18"/>
        </w:rPr>
        <w:t xml:space="preserve">ated </w:t>
      </w:r>
      <w:r>
        <w:rPr>
          <w:rFonts w:ascii="GHEA Grapalat" w:hAnsi="GHEA Grapalat" w:cs="Sylfaen"/>
          <w:b w:val="0"/>
          <w:spacing w:val="10"/>
          <w:w w:val="110"/>
          <w:sz w:val="18"/>
          <w:szCs w:val="18"/>
        </w:rPr>
        <w:t>November</w:t>
      </w:r>
      <w:r w:rsidRPr="00623302">
        <w:rPr>
          <w:rFonts w:ascii="GHEA Grapalat" w:hAnsi="GHEA Grapalat" w:cs="Sylfaen"/>
          <w:b w:val="0"/>
          <w:spacing w:val="10"/>
          <w:w w:val="110"/>
          <w:sz w:val="18"/>
          <w:szCs w:val="18"/>
        </w:rPr>
        <w:t xml:space="preserve"> 2</w:t>
      </w:r>
      <w:r>
        <w:rPr>
          <w:rFonts w:ascii="GHEA Grapalat" w:hAnsi="GHEA Grapalat" w:cs="Sylfaen"/>
          <w:b w:val="0"/>
          <w:spacing w:val="10"/>
          <w:w w:val="110"/>
          <w:sz w:val="18"/>
          <w:szCs w:val="18"/>
        </w:rPr>
        <w:t>5</w:t>
      </w:r>
      <w:r w:rsidRPr="00623302">
        <w:rPr>
          <w:rFonts w:ascii="GHEA Grapalat" w:hAnsi="GHEA Grapalat" w:cs="Sylfaen"/>
          <w:b w:val="0"/>
          <w:spacing w:val="10"/>
          <w:w w:val="110"/>
          <w:sz w:val="18"/>
          <w:szCs w:val="18"/>
        </w:rPr>
        <w:t>, 2016</w:t>
      </w:r>
    </w:p>
    <w:p w14:paraId="00286793"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291A1878"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6929718F"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75F66B7D"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098693DF"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0AE3966D"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580E80DA" w14:textId="77777777" w:rsidR="00F27451" w:rsidRPr="00623302" w:rsidRDefault="00F27451" w:rsidP="00F27451">
      <w:pPr>
        <w:tabs>
          <w:tab w:val="left" w:pos="600"/>
        </w:tabs>
        <w:spacing w:line="312" w:lineRule="auto"/>
        <w:ind w:right="336" w:firstLine="400"/>
        <w:jc w:val="center"/>
        <w:rPr>
          <w:rFonts w:ascii="GHEA Grapalat" w:hAnsi="GHEA Grapalat"/>
        </w:rPr>
      </w:pPr>
    </w:p>
    <w:p w14:paraId="3F72204F" w14:textId="77777777" w:rsidR="00F27451" w:rsidRPr="00623302" w:rsidRDefault="00F27451" w:rsidP="00F27451">
      <w:pPr>
        <w:ind w:right="336"/>
        <w:jc w:val="center"/>
        <w:rPr>
          <w:rFonts w:ascii="GHEA Grapalat" w:hAnsi="GHEA Grapalat"/>
        </w:rPr>
      </w:pPr>
      <w:r w:rsidRPr="00623302">
        <w:rPr>
          <w:rFonts w:ascii="GHEA Grapalat" w:hAnsi="GHEA Grapalat"/>
        </w:rPr>
        <w:tab/>
      </w:r>
    </w:p>
    <w:p w14:paraId="184E4CDF" w14:textId="77777777" w:rsidR="00F27451" w:rsidRPr="00623302" w:rsidRDefault="00F27451" w:rsidP="00F27451">
      <w:pPr>
        <w:pStyle w:val="Heading2"/>
        <w:spacing w:line="240" w:lineRule="auto"/>
        <w:ind w:right="336" w:firstLine="0"/>
        <w:rPr>
          <w:rFonts w:ascii="GHEA Grapalat" w:hAnsi="GHEA Grapalat"/>
          <w:b/>
          <w:i w:val="0"/>
          <w:iCs w:val="0"/>
          <w:color w:val="auto"/>
          <w:spacing w:val="40"/>
          <w:w w:val="110"/>
          <w:sz w:val="48"/>
          <w:szCs w:val="48"/>
        </w:rPr>
      </w:pPr>
      <w:r w:rsidRPr="00623302">
        <w:rPr>
          <w:rFonts w:ascii="GHEA Grapalat" w:hAnsi="GHEA Grapalat"/>
          <w:b/>
          <w:i w:val="0"/>
          <w:iCs w:val="0"/>
          <w:color w:val="auto"/>
          <w:spacing w:val="40"/>
          <w:w w:val="110"/>
          <w:sz w:val="48"/>
          <w:szCs w:val="48"/>
          <w:lang w:val="en-US"/>
        </w:rPr>
        <w:t>Inflation Report</w:t>
      </w:r>
      <w:r w:rsidRPr="00623302">
        <w:rPr>
          <w:rFonts w:ascii="GHEA Grapalat" w:hAnsi="GHEA Grapalat"/>
          <w:b/>
          <w:i w:val="0"/>
          <w:iCs w:val="0"/>
          <w:color w:val="auto"/>
          <w:spacing w:val="40"/>
          <w:w w:val="110"/>
          <w:sz w:val="48"/>
          <w:szCs w:val="48"/>
        </w:rPr>
        <w:t xml:space="preserve"> </w:t>
      </w:r>
    </w:p>
    <w:p w14:paraId="0EE7B625" w14:textId="77777777" w:rsidR="00F27451" w:rsidRPr="00623302" w:rsidRDefault="00F27451" w:rsidP="00F27451">
      <w:pPr>
        <w:pStyle w:val="Heading2"/>
        <w:spacing w:line="240" w:lineRule="auto"/>
        <w:ind w:right="336" w:firstLine="0"/>
        <w:rPr>
          <w:rFonts w:ascii="GHEA Grapalat" w:hAnsi="GHEA Grapalat"/>
          <w:i w:val="0"/>
          <w:iCs w:val="0"/>
          <w:color w:val="auto"/>
          <w:sz w:val="36"/>
          <w:szCs w:val="36"/>
        </w:rPr>
      </w:pPr>
    </w:p>
    <w:p w14:paraId="6A436695" w14:textId="77777777" w:rsidR="00F27451" w:rsidRPr="00623302" w:rsidRDefault="00F27451" w:rsidP="00F27451">
      <w:pPr>
        <w:pStyle w:val="Heading2"/>
        <w:spacing w:line="240" w:lineRule="auto"/>
        <w:ind w:right="336" w:firstLine="0"/>
        <w:rPr>
          <w:rFonts w:ascii="GHEA Grapalat" w:hAnsi="GHEA Grapalat"/>
          <w:i w:val="0"/>
          <w:iCs w:val="0"/>
          <w:color w:val="auto"/>
          <w:sz w:val="36"/>
          <w:szCs w:val="36"/>
        </w:rPr>
      </w:pPr>
    </w:p>
    <w:p w14:paraId="36C3445C" w14:textId="77777777" w:rsidR="00F27451" w:rsidRPr="00623302" w:rsidRDefault="00F27451" w:rsidP="00F27451">
      <w:pPr>
        <w:ind w:right="336"/>
        <w:rPr>
          <w:rFonts w:ascii="GHEA Grapalat" w:hAnsi="GHEA Grapalat"/>
          <w:lang w:val="hy-AM"/>
        </w:rPr>
      </w:pPr>
    </w:p>
    <w:p w14:paraId="7C225C47" w14:textId="77777777" w:rsidR="00F27451" w:rsidRPr="00623302" w:rsidRDefault="00F27451" w:rsidP="00F27451">
      <w:pPr>
        <w:ind w:right="336"/>
        <w:rPr>
          <w:rFonts w:ascii="GHEA Grapalat" w:hAnsi="GHEA Grapalat"/>
          <w:lang w:val="hy-AM"/>
        </w:rPr>
      </w:pPr>
    </w:p>
    <w:p w14:paraId="4D3B0E59" w14:textId="77777777" w:rsidR="00F27451" w:rsidRPr="00623302" w:rsidRDefault="00F27451" w:rsidP="00F27451">
      <w:pPr>
        <w:ind w:right="336"/>
        <w:rPr>
          <w:rFonts w:ascii="GHEA Grapalat" w:hAnsi="GHEA Grapalat"/>
          <w:lang w:val="hy-AM"/>
        </w:rPr>
      </w:pPr>
    </w:p>
    <w:p w14:paraId="6DA23E3A" w14:textId="77777777" w:rsidR="00F27451" w:rsidRPr="00623302" w:rsidRDefault="00F27451" w:rsidP="00F27451">
      <w:pPr>
        <w:ind w:right="336"/>
        <w:rPr>
          <w:rFonts w:ascii="GHEA Grapalat" w:hAnsi="GHEA Grapalat"/>
          <w:lang w:val="hy-AM"/>
        </w:rPr>
      </w:pPr>
    </w:p>
    <w:p w14:paraId="043A255E" w14:textId="77777777" w:rsidR="00F27451" w:rsidRPr="00623302" w:rsidRDefault="00F27451" w:rsidP="00F27451">
      <w:pPr>
        <w:ind w:right="336"/>
        <w:rPr>
          <w:rFonts w:ascii="GHEA Grapalat" w:hAnsi="GHEA Grapalat"/>
          <w:lang w:val="hy-AM"/>
        </w:rPr>
      </w:pPr>
    </w:p>
    <w:p w14:paraId="45B84903" w14:textId="77777777" w:rsidR="00F27451" w:rsidRPr="00623302" w:rsidRDefault="00F27451" w:rsidP="00F27451">
      <w:pPr>
        <w:ind w:right="336"/>
        <w:rPr>
          <w:rFonts w:ascii="GHEA Grapalat" w:hAnsi="GHEA Grapalat"/>
          <w:lang w:val="hy-AM"/>
        </w:rPr>
      </w:pPr>
    </w:p>
    <w:p w14:paraId="49D5C4F7" w14:textId="77777777" w:rsidR="00F27451" w:rsidRPr="00623302" w:rsidRDefault="00F27451" w:rsidP="00F27451">
      <w:pPr>
        <w:ind w:right="336"/>
        <w:rPr>
          <w:rFonts w:ascii="GHEA Grapalat" w:hAnsi="GHEA Grapalat"/>
        </w:rPr>
      </w:pPr>
    </w:p>
    <w:p w14:paraId="28F21F82" w14:textId="77777777" w:rsidR="00F27451" w:rsidRPr="00623302" w:rsidRDefault="00F27451" w:rsidP="00F27451">
      <w:pPr>
        <w:ind w:right="336"/>
        <w:rPr>
          <w:rFonts w:ascii="GHEA Grapalat" w:hAnsi="GHEA Grapalat"/>
        </w:rPr>
      </w:pPr>
    </w:p>
    <w:p w14:paraId="6BAF87A7" w14:textId="77777777" w:rsidR="00F27451" w:rsidRPr="00623302" w:rsidRDefault="00F27451" w:rsidP="00F27451">
      <w:pPr>
        <w:ind w:right="336"/>
        <w:rPr>
          <w:rFonts w:ascii="GHEA Grapalat" w:hAnsi="GHEA Grapalat"/>
        </w:rPr>
      </w:pPr>
    </w:p>
    <w:p w14:paraId="47F4122B" w14:textId="77777777" w:rsidR="00F27451" w:rsidRPr="00623302" w:rsidRDefault="00F27451" w:rsidP="00F27451">
      <w:pPr>
        <w:ind w:right="336"/>
        <w:rPr>
          <w:rFonts w:ascii="GHEA Grapalat" w:hAnsi="GHEA Grapalat"/>
          <w:lang w:val="hy-AM"/>
        </w:rPr>
      </w:pPr>
    </w:p>
    <w:p w14:paraId="7969E93D" w14:textId="77777777" w:rsidR="00F27451" w:rsidRPr="00623302" w:rsidRDefault="00F27451" w:rsidP="00F27451">
      <w:pPr>
        <w:ind w:right="336"/>
        <w:rPr>
          <w:rFonts w:ascii="GHEA Grapalat" w:hAnsi="GHEA Grapalat"/>
          <w:lang w:val="hy-AM"/>
        </w:rPr>
      </w:pPr>
    </w:p>
    <w:p w14:paraId="6F25BF65" w14:textId="77777777" w:rsidR="00F27451" w:rsidRPr="00623302" w:rsidRDefault="00F27451" w:rsidP="00F27451">
      <w:pPr>
        <w:pStyle w:val="Heading2"/>
        <w:spacing w:line="240" w:lineRule="auto"/>
        <w:ind w:right="336" w:firstLine="0"/>
        <w:rPr>
          <w:rFonts w:ascii="GHEA Grapalat" w:hAnsi="GHEA Grapalat"/>
          <w:lang w:val="en-US"/>
        </w:rPr>
      </w:pPr>
      <w:r w:rsidRPr="00623302">
        <w:rPr>
          <w:rFonts w:ascii="GHEA Grapalat" w:hAnsi="GHEA Grapalat"/>
          <w:iCs w:val="0"/>
          <w:color w:val="auto"/>
          <w:szCs w:val="24"/>
          <w:lang w:val="en-US"/>
        </w:rPr>
        <w:t>Monetary Policy Program, Q</w:t>
      </w:r>
      <w:r>
        <w:rPr>
          <w:rFonts w:ascii="GHEA Grapalat" w:hAnsi="GHEA Grapalat"/>
          <w:iCs w:val="0"/>
          <w:color w:val="auto"/>
          <w:szCs w:val="24"/>
          <w:lang w:val="en-US"/>
        </w:rPr>
        <w:t>4</w:t>
      </w:r>
      <w:r w:rsidRPr="00623302">
        <w:rPr>
          <w:rFonts w:ascii="GHEA Grapalat" w:hAnsi="GHEA Grapalat"/>
          <w:iCs w:val="0"/>
          <w:color w:val="auto"/>
          <w:szCs w:val="24"/>
          <w:lang w:val="en-US"/>
        </w:rPr>
        <w:t>, 2016</w:t>
      </w:r>
    </w:p>
    <w:p w14:paraId="162C77CF" w14:textId="77777777" w:rsidR="00F27451" w:rsidRPr="00623302" w:rsidRDefault="00F27451" w:rsidP="00F27451">
      <w:pPr>
        <w:ind w:right="336" w:firstLine="403"/>
        <w:rPr>
          <w:rFonts w:ascii="GHEA Grapalat" w:hAnsi="GHEA Grapalat" w:cs="Sylfaen"/>
          <w:b/>
          <w:i/>
          <w:spacing w:val="40"/>
          <w:w w:val="150"/>
          <w:sz w:val="20"/>
          <w:szCs w:val="20"/>
        </w:rPr>
      </w:pPr>
    </w:p>
    <w:p w14:paraId="42FD0C40" w14:textId="77777777" w:rsidR="00F27451" w:rsidRPr="00623302" w:rsidRDefault="00F27451" w:rsidP="00F27451">
      <w:pPr>
        <w:spacing w:line="312" w:lineRule="auto"/>
        <w:ind w:right="336" w:firstLine="400"/>
        <w:jc w:val="right"/>
        <w:rPr>
          <w:rFonts w:ascii="GHEA Grapalat" w:hAnsi="GHEA Grapalat" w:cs="Sylfaen"/>
          <w:b/>
          <w:sz w:val="28"/>
          <w:szCs w:val="28"/>
        </w:rPr>
      </w:pPr>
      <w:r w:rsidRPr="00623302">
        <w:rPr>
          <w:rFonts w:ascii="GHEA Grapalat" w:hAnsi="GHEA Grapalat" w:cs="Sylfaen"/>
          <w:b/>
          <w:sz w:val="28"/>
          <w:szCs w:val="28"/>
        </w:rPr>
        <w:sym w:font="Wingdings 2" w:char="F0E7"/>
      </w:r>
    </w:p>
    <w:p w14:paraId="00CBDB1B" w14:textId="77777777" w:rsidR="00F27451" w:rsidRDefault="00F27451" w:rsidP="00F27451">
      <w:pPr>
        <w:autoSpaceDE w:val="0"/>
        <w:autoSpaceDN w:val="0"/>
        <w:adjustRightInd w:val="0"/>
        <w:spacing w:after="120" w:line="360" w:lineRule="auto"/>
        <w:ind w:left="720"/>
        <w:jc w:val="both"/>
        <w:rPr>
          <w:rFonts w:ascii="Garamond" w:hAnsi="Garamond"/>
          <w:sz w:val="22"/>
          <w:szCs w:val="22"/>
        </w:rPr>
      </w:pPr>
      <w:r>
        <w:rPr>
          <w:rFonts w:ascii="GHEA Grapalat" w:hAnsi="GHEA Grapalat"/>
          <w:iCs/>
        </w:rPr>
        <w:t xml:space="preserve">      </w:t>
      </w:r>
      <w:r w:rsidRPr="00623302">
        <w:rPr>
          <w:rFonts w:ascii="GHEA Grapalat" w:hAnsi="GHEA Grapalat"/>
          <w:iCs/>
        </w:rPr>
        <w:t>Status Report on Implementation of the Monetary Policy Program, Q</w:t>
      </w:r>
      <w:r>
        <w:rPr>
          <w:rFonts w:ascii="GHEA Grapalat" w:hAnsi="GHEA Grapalat"/>
          <w:iCs/>
        </w:rPr>
        <w:t>3</w:t>
      </w:r>
      <w:r w:rsidRPr="00623302">
        <w:rPr>
          <w:rFonts w:ascii="GHEA Grapalat" w:hAnsi="GHEA Grapalat"/>
          <w:iCs/>
        </w:rPr>
        <w:t>, 2016</w:t>
      </w:r>
    </w:p>
    <w:p w14:paraId="27A144D8" w14:textId="77777777" w:rsidR="00F27451" w:rsidRDefault="00F27451" w:rsidP="00B117C8">
      <w:pPr>
        <w:autoSpaceDE w:val="0"/>
        <w:autoSpaceDN w:val="0"/>
        <w:adjustRightInd w:val="0"/>
        <w:spacing w:after="120" w:line="360" w:lineRule="auto"/>
        <w:jc w:val="both"/>
        <w:rPr>
          <w:rFonts w:ascii="Garamond" w:hAnsi="Garamond"/>
          <w:sz w:val="22"/>
          <w:szCs w:val="22"/>
        </w:rPr>
      </w:pPr>
    </w:p>
    <w:p w14:paraId="70DAE87C" w14:textId="77777777" w:rsidR="00F27451" w:rsidRDefault="00F27451" w:rsidP="00B117C8">
      <w:pPr>
        <w:autoSpaceDE w:val="0"/>
        <w:autoSpaceDN w:val="0"/>
        <w:adjustRightInd w:val="0"/>
        <w:spacing w:after="120" w:line="360" w:lineRule="auto"/>
        <w:jc w:val="both"/>
        <w:rPr>
          <w:rFonts w:ascii="Garamond" w:hAnsi="Garamond"/>
          <w:sz w:val="22"/>
          <w:szCs w:val="22"/>
        </w:rPr>
      </w:pPr>
    </w:p>
    <w:p w14:paraId="1915D679" w14:textId="77777777" w:rsidR="00F27451" w:rsidRDefault="00F27451" w:rsidP="00B117C8">
      <w:pPr>
        <w:autoSpaceDE w:val="0"/>
        <w:autoSpaceDN w:val="0"/>
        <w:adjustRightInd w:val="0"/>
        <w:spacing w:after="120" w:line="360" w:lineRule="auto"/>
        <w:jc w:val="both"/>
        <w:rPr>
          <w:rFonts w:ascii="Garamond" w:hAnsi="Garamond"/>
          <w:sz w:val="22"/>
          <w:szCs w:val="22"/>
        </w:rPr>
      </w:pPr>
    </w:p>
    <w:p w14:paraId="75D18DBC" w14:textId="77777777" w:rsidR="00414562" w:rsidRPr="00A32AB2" w:rsidRDefault="00762D82" w:rsidP="00B117C8">
      <w:pPr>
        <w:autoSpaceDE w:val="0"/>
        <w:autoSpaceDN w:val="0"/>
        <w:adjustRightInd w:val="0"/>
        <w:spacing w:after="120" w:line="360" w:lineRule="auto"/>
        <w:jc w:val="both"/>
        <w:rPr>
          <w:rFonts w:ascii="Garamond" w:hAnsi="Garamond" w:cs="Sylfaen"/>
          <w:sz w:val="22"/>
          <w:szCs w:val="22"/>
        </w:rPr>
      </w:pPr>
      <w:r>
        <w:rPr>
          <w:rFonts w:ascii="Garamond" w:hAnsi="Garamond"/>
          <w:sz w:val="22"/>
          <w:szCs w:val="22"/>
        </w:rPr>
        <w:t>T</w:t>
      </w:r>
      <w:r w:rsidR="00AD7FBC" w:rsidRPr="00A32AB2">
        <w:rPr>
          <w:rFonts w:ascii="Garamond" w:hAnsi="Garamond"/>
          <w:sz w:val="22"/>
          <w:szCs w:val="22"/>
        </w:rPr>
        <w:t>he Central Bank of Armenia has, s</w:t>
      </w:r>
      <w:r w:rsidR="00414562" w:rsidRPr="00A32AB2">
        <w:rPr>
          <w:rFonts w:ascii="Garamond" w:hAnsi="Garamond"/>
          <w:sz w:val="22"/>
          <w:szCs w:val="22"/>
        </w:rPr>
        <w:t xml:space="preserve">tarting from January 2006,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00414562" w:rsidRPr="00A32AB2">
        <w:rPr>
          <w:rStyle w:val="longtext"/>
          <w:rFonts w:ascii="Garamond" w:hAnsi="Garamond"/>
          <w:color w:val="000000"/>
          <w:sz w:val="22"/>
          <w:szCs w:val="22"/>
          <w:shd w:val="clear" w:color="auto" w:fill="FFFFFF"/>
        </w:rPr>
        <w:t>status report on implementation of the monetary policy</w:t>
      </w:r>
      <w:r w:rsidR="00414562" w:rsidRPr="00A32AB2">
        <w:rPr>
          <w:rFonts w:ascii="Garamond" w:hAnsi="Garamond"/>
          <w:sz w:val="22"/>
          <w:szCs w:val="22"/>
        </w:rPr>
        <w:t xml:space="preserve"> program</w:t>
      </w:r>
      <w:r w:rsidR="00414562" w:rsidRPr="00A32AB2">
        <w:rPr>
          <w:rStyle w:val="longtext"/>
          <w:rFonts w:ascii="Garamond" w:hAnsi="Garamond"/>
          <w:color w:val="000000"/>
          <w:sz w:val="22"/>
          <w:szCs w:val="22"/>
          <w:shd w:val="clear" w:color="auto" w:fill="FFFFFF"/>
        </w:rPr>
        <w:t xml:space="preserve"> of the previous quarter, which covers actual economic and monetary developments.</w:t>
      </w:r>
    </w:p>
    <w:p w14:paraId="033764D4" w14:textId="77777777" w:rsidR="00414562" w:rsidRPr="00A32AB2" w:rsidRDefault="00414562" w:rsidP="00B117C8">
      <w:pPr>
        <w:autoSpaceDE w:val="0"/>
        <w:autoSpaceDN w:val="0"/>
        <w:adjustRightInd w:val="0"/>
        <w:spacing w:after="120" w:line="360" w:lineRule="auto"/>
        <w:jc w:val="both"/>
        <w:rPr>
          <w:rFonts w:ascii="Garamond" w:hAnsi="Garamond" w:cs="Sylfaen"/>
          <w:sz w:val="22"/>
          <w:szCs w:val="22"/>
        </w:rPr>
      </w:pPr>
      <w:r w:rsidRPr="00A32AB2">
        <w:rPr>
          <w:rFonts w:ascii="Garamond" w:hAnsi="Garamond"/>
          <w:sz w:val="22"/>
          <w:szCs w:val="22"/>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7F23D27B" w14:textId="77777777" w:rsidR="00414562" w:rsidRPr="00A32AB2" w:rsidRDefault="00414562" w:rsidP="00B117C8">
      <w:pPr>
        <w:autoSpaceDE w:val="0"/>
        <w:autoSpaceDN w:val="0"/>
        <w:adjustRightInd w:val="0"/>
        <w:spacing w:after="120" w:line="360" w:lineRule="auto"/>
        <w:jc w:val="both"/>
        <w:rPr>
          <w:rFonts w:ascii="Garamond" w:hAnsi="Garamond" w:cs="Sylfaen"/>
          <w:sz w:val="22"/>
          <w:szCs w:val="22"/>
        </w:rPr>
      </w:pPr>
      <w:r w:rsidRPr="00A32AB2">
        <w:rPr>
          <w:rFonts w:ascii="Garamond" w:hAnsi="Garamond"/>
          <w:sz w:val="22"/>
          <w:szCs w:val="22"/>
        </w:rPr>
        <w:t xml:space="preserve">Starting from the second quarter of 2012, the </w:t>
      </w:r>
      <w:r w:rsidR="008D5718" w:rsidRPr="00A32AB2">
        <w:rPr>
          <w:rFonts w:ascii="Garamond" w:hAnsi="Garamond"/>
          <w:sz w:val="22"/>
          <w:szCs w:val="22"/>
        </w:rPr>
        <w:t>C</w:t>
      </w:r>
      <w:r w:rsidR="002F4FEC" w:rsidRPr="00A32AB2">
        <w:rPr>
          <w:rFonts w:ascii="Garamond" w:hAnsi="Garamond"/>
          <w:sz w:val="22"/>
          <w:szCs w:val="22"/>
        </w:rPr>
        <w:t>BA</w:t>
      </w:r>
      <w:r w:rsidRPr="00A32AB2">
        <w:rPr>
          <w:rFonts w:ascii="Garamond" w:hAnsi="Garamond"/>
          <w:sz w:val="22"/>
          <w:szCs w:val="22"/>
        </w:rPr>
        <w:t xml:space="preserve"> has been publishing forecasts of non-conditional inflation in a 3-year time horizon, in implementation of the inflation targeting strategy, </w:t>
      </w:r>
      <w:r w:rsidR="00E87661" w:rsidRPr="00A32AB2">
        <w:rPr>
          <w:rFonts w:ascii="Garamond" w:hAnsi="Garamond"/>
          <w:sz w:val="22"/>
          <w:szCs w:val="22"/>
        </w:rPr>
        <w:t>whereby the</w:t>
      </w:r>
      <w:r w:rsidRPr="00A32AB2">
        <w:rPr>
          <w:rFonts w:ascii="Garamond" w:hAnsi="Garamond"/>
          <w:sz w:val="22"/>
          <w:szCs w:val="22"/>
        </w:rPr>
        <w:t xml:space="preserve"> monetary policy is steered to minimize any deviations of potential inflation from a 4 % target. </w:t>
      </w:r>
    </w:p>
    <w:p w14:paraId="1C4EC51B" w14:textId="77777777" w:rsidR="00414562" w:rsidRPr="00A32AB2" w:rsidRDefault="00414562" w:rsidP="00B117C8">
      <w:pPr>
        <w:autoSpaceDE w:val="0"/>
        <w:autoSpaceDN w:val="0"/>
        <w:adjustRightInd w:val="0"/>
        <w:spacing w:after="120" w:line="360" w:lineRule="auto"/>
        <w:jc w:val="both"/>
        <w:rPr>
          <w:rFonts w:ascii="Garamond" w:hAnsi="Garamond" w:cs="Sylfaen"/>
          <w:sz w:val="22"/>
          <w:szCs w:val="22"/>
        </w:rPr>
      </w:pPr>
      <w:r w:rsidRPr="00A32AB2">
        <w:rPr>
          <w:rFonts w:ascii="Garamond" w:hAnsi="Garamond"/>
          <w:sz w:val="22"/>
          <w:szCs w:val="22"/>
        </w:rPr>
        <w:t xml:space="preserve">Projections in this report are based on the factual information available by </w:t>
      </w:r>
      <w:r w:rsidR="0081627D">
        <w:rPr>
          <w:rFonts w:ascii="Garamond" w:hAnsi="Garamond"/>
          <w:sz w:val="22"/>
          <w:szCs w:val="22"/>
        </w:rPr>
        <w:t>November</w:t>
      </w:r>
      <w:r w:rsidR="007800EB" w:rsidRPr="00A32AB2">
        <w:rPr>
          <w:rFonts w:ascii="Garamond" w:hAnsi="Garamond"/>
          <w:sz w:val="22"/>
          <w:szCs w:val="22"/>
        </w:rPr>
        <w:t xml:space="preserve"> 1</w:t>
      </w:r>
      <w:r w:rsidR="0081627D">
        <w:rPr>
          <w:rFonts w:ascii="Garamond" w:hAnsi="Garamond"/>
          <w:sz w:val="22"/>
          <w:szCs w:val="22"/>
        </w:rPr>
        <w:t>5</w:t>
      </w:r>
      <w:r w:rsidRPr="00A32AB2">
        <w:rPr>
          <w:rFonts w:ascii="Garamond" w:hAnsi="Garamond"/>
          <w:sz w:val="22"/>
          <w:szCs w:val="22"/>
        </w:rPr>
        <w:t xml:space="preserve">, 2016, i.e. the day on which the refinancing rate was set, the results of a survey conducted by the </w:t>
      </w:r>
      <w:r w:rsidR="002F4FEC" w:rsidRPr="00A32AB2">
        <w:rPr>
          <w:rFonts w:ascii="Garamond" w:hAnsi="Garamond"/>
          <w:sz w:val="22"/>
          <w:szCs w:val="22"/>
        </w:rPr>
        <w:t>CBA</w:t>
      </w:r>
      <w:r w:rsidRPr="00A32AB2">
        <w:rPr>
          <w:rFonts w:ascii="Garamond" w:hAnsi="Garamond"/>
          <w:sz w:val="22"/>
          <w:szCs w:val="22"/>
        </w:rPr>
        <w:t xml:space="preserve"> and the judgment made pursuant to the information on future </w:t>
      </w:r>
      <w:r w:rsidR="002F4FEC" w:rsidRPr="00A32AB2">
        <w:rPr>
          <w:rFonts w:ascii="Garamond" w:hAnsi="Garamond"/>
          <w:sz w:val="22"/>
          <w:szCs w:val="22"/>
        </w:rPr>
        <w:t xml:space="preserve">developments of the </w:t>
      </w:r>
      <w:r w:rsidRPr="00A32AB2">
        <w:rPr>
          <w:rFonts w:ascii="Garamond" w:hAnsi="Garamond"/>
          <w:sz w:val="22"/>
          <w:szCs w:val="22"/>
        </w:rPr>
        <w:t xml:space="preserve">macroeconomic </w:t>
      </w:r>
      <w:r w:rsidR="002F4FEC" w:rsidRPr="00A32AB2">
        <w:rPr>
          <w:rFonts w:ascii="Garamond" w:hAnsi="Garamond"/>
          <w:sz w:val="22"/>
          <w:szCs w:val="22"/>
        </w:rPr>
        <w:t xml:space="preserve">environment. </w:t>
      </w:r>
    </w:p>
    <w:p w14:paraId="14EC5023" w14:textId="77777777" w:rsidR="00A57178" w:rsidRPr="00A32AB2" w:rsidRDefault="00414562" w:rsidP="00B117C8">
      <w:pPr>
        <w:spacing w:line="360" w:lineRule="auto"/>
        <w:jc w:val="both"/>
        <w:rPr>
          <w:rFonts w:ascii="Garamond" w:hAnsi="Garamond"/>
          <w:sz w:val="22"/>
          <w:szCs w:val="22"/>
        </w:rPr>
      </w:pPr>
      <w:r w:rsidRPr="00A32AB2">
        <w:rPr>
          <w:rFonts w:ascii="Garamond" w:hAnsi="Garamond"/>
          <w:sz w:val="22"/>
          <w:szCs w:val="22"/>
        </w:rPr>
        <w:t>All inflation reports which have been published to date are available on the Bank’s website which also contains monetary policy-related publications.</w:t>
      </w:r>
    </w:p>
    <w:p w14:paraId="48CB1273" w14:textId="77777777" w:rsidR="00B117C8" w:rsidRPr="00A32AB2" w:rsidRDefault="00B117C8" w:rsidP="00B117C8">
      <w:pPr>
        <w:spacing w:line="360" w:lineRule="auto"/>
        <w:jc w:val="both"/>
        <w:rPr>
          <w:rFonts w:ascii="Garamond" w:hAnsi="Garamond"/>
          <w:sz w:val="22"/>
          <w:szCs w:val="22"/>
        </w:rPr>
      </w:pPr>
    </w:p>
    <w:p w14:paraId="318FA769" w14:textId="77777777" w:rsidR="002F4FEC" w:rsidRPr="00A32AB2" w:rsidRDefault="002F4FEC" w:rsidP="00B117C8">
      <w:pPr>
        <w:spacing w:line="360" w:lineRule="auto"/>
        <w:jc w:val="both"/>
        <w:rPr>
          <w:rFonts w:ascii="Garamond" w:hAnsi="Garamond"/>
          <w:b/>
          <w:sz w:val="22"/>
          <w:szCs w:val="22"/>
        </w:rPr>
      </w:pPr>
      <w:r w:rsidRPr="00A32AB2">
        <w:rPr>
          <w:rFonts w:ascii="Garamond" w:hAnsi="Garamond"/>
          <w:b/>
          <w:sz w:val="22"/>
          <w:szCs w:val="22"/>
        </w:rPr>
        <w:t>1. Executive Summary</w:t>
      </w:r>
    </w:p>
    <w:p w14:paraId="6F16349E" w14:textId="77777777" w:rsidR="00A67283" w:rsidRDefault="00A67283" w:rsidP="00B117C8">
      <w:pPr>
        <w:spacing w:line="360" w:lineRule="auto"/>
        <w:jc w:val="both"/>
        <w:rPr>
          <w:rFonts w:ascii="Garamond" w:hAnsi="Garamond"/>
          <w:sz w:val="22"/>
          <w:szCs w:val="22"/>
        </w:rPr>
      </w:pPr>
    </w:p>
    <w:p w14:paraId="41ED8A8F" w14:textId="77777777" w:rsidR="006E3C27" w:rsidRPr="00A32AB2" w:rsidRDefault="00686DFC" w:rsidP="00B117C8">
      <w:pPr>
        <w:spacing w:line="360" w:lineRule="auto"/>
        <w:jc w:val="both"/>
        <w:rPr>
          <w:rFonts w:ascii="Garamond" w:hAnsi="Garamond"/>
          <w:b/>
          <w:sz w:val="22"/>
          <w:szCs w:val="22"/>
        </w:rPr>
      </w:pPr>
      <w:r w:rsidRPr="00A32AB2">
        <w:rPr>
          <w:rFonts w:ascii="Garamond" w:hAnsi="Garamond"/>
          <w:b/>
          <w:sz w:val="22"/>
          <w:szCs w:val="22"/>
        </w:rPr>
        <w:t xml:space="preserve">Notwithstanding continued sluggishness in global economic growth rates, </w:t>
      </w:r>
      <w:r w:rsidR="00134A83">
        <w:rPr>
          <w:rFonts w:ascii="Garamond" w:hAnsi="Garamond"/>
          <w:b/>
          <w:sz w:val="22"/>
          <w:szCs w:val="22"/>
        </w:rPr>
        <w:t xml:space="preserve">main trade partner countries to Armenia saw </w:t>
      </w:r>
      <w:r w:rsidR="00A67283">
        <w:rPr>
          <w:rFonts w:ascii="Garamond" w:hAnsi="Garamond"/>
          <w:b/>
          <w:sz w:val="22"/>
          <w:szCs w:val="22"/>
        </w:rPr>
        <w:t>the</w:t>
      </w:r>
      <w:r w:rsidR="00134A83">
        <w:rPr>
          <w:rFonts w:ascii="Garamond" w:hAnsi="Garamond"/>
          <w:b/>
          <w:sz w:val="22"/>
          <w:szCs w:val="22"/>
        </w:rPr>
        <w:t>ir</w:t>
      </w:r>
      <w:r w:rsidR="00A67283">
        <w:rPr>
          <w:rFonts w:ascii="Garamond" w:hAnsi="Garamond"/>
          <w:b/>
          <w:sz w:val="22"/>
          <w:szCs w:val="22"/>
        </w:rPr>
        <w:t xml:space="preserve"> </w:t>
      </w:r>
      <w:r w:rsidRPr="00A32AB2">
        <w:rPr>
          <w:rFonts w:ascii="Garamond" w:hAnsi="Garamond"/>
          <w:b/>
          <w:sz w:val="22"/>
          <w:szCs w:val="22"/>
        </w:rPr>
        <w:t xml:space="preserve">economic activity </w:t>
      </w:r>
      <w:r w:rsidR="00134A83">
        <w:rPr>
          <w:rFonts w:ascii="Garamond" w:hAnsi="Garamond"/>
          <w:b/>
          <w:sz w:val="22"/>
          <w:szCs w:val="22"/>
        </w:rPr>
        <w:t xml:space="preserve">further </w:t>
      </w:r>
      <w:r w:rsidR="00A67283">
        <w:rPr>
          <w:rFonts w:ascii="Garamond" w:hAnsi="Garamond"/>
          <w:b/>
          <w:sz w:val="22"/>
          <w:szCs w:val="22"/>
        </w:rPr>
        <w:t xml:space="preserve">accelerating </w:t>
      </w:r>
      <w:r w:rsidRPr="00A32AB2">
        <w:rPr>
          <w:rFonts w:ascii="Garamond" w:hAnsi="Garamond"/>
          <w:b/>
          <w:sz w:val="22"/>
          <w:szCs w:val="22"/>
        </w:rPr>
        <w:t xml:space="preserve">in the </w:t>
      </w:r>
      <w:r w:rsidR="00134A83">
        <w:rPr>
          <w:rFonts w:ascii="Garamond" w:hAnsi="Garamond"/>
          <w:b/>
          <w:sz w:val="22"/>
          <w:szCs w:val="22"/>
        </w:rPr>
        <w:t xml:space="preserve">third quarter of 2016, reflecting an increased external demand for export goods from the Republic of Armenia and positive developments in </w:t>
      </w:r>
      <w:r w:rsidRPr="00A32AB2">
        <w:rPr>
          <w:rFonts w:ascii="Garamond" w:hAnsi="Garamond"/>
          <w:b/>
          <w:sz w:val="22"/>
          <w:szCs w:val="22"/>
        </w:rPr>
        <w:t xml:space="preserve">Armenia’s tradable sector of the economy. </w:t>
      </w:r>
      <w:r w:rsidR="0088659E">
        <w:rPr>
          <w:rFonts w:ascii="Garamond" w:hAnsi="Garamond"/>
          <w:b/>
          <w:sz w:val="22"/>
          <w:szCs w:val="22"/>
        </w:rPr>
        <w:t>Yet</w:t>
      </w:r>
      <w:r w:rsidR="0088659E" w:rsidRPr="0088659E">
        <w:rPr>
          <w:rFonts w:ascii="Garamond" w:hAnsi="Garamond"/>
          <w:b/>
          <w:sz w:val="22"/>
          <w:szCs w:val="22"/>
        </w:rPr>
        <w:t xml:space="preserve">, </w:t>
      </w:r>
      <w:r w:rsidR="0088659E">
        <w:rPr>
          <w:rFonts w:ascii="Garamond" w:hAnsi="Garamond"/>
          <w:b/>
          <w:sz w:val="22"/>
          <w:szCs w:val="22"/>
        </w:rPr>
        <w:t xml:space="preserve">the </w:t>
      </w:r>
      <w:r w:rsidR="0088659E" w:rsidRPr="0088659E">
        <w:rPr>
          <w:rFonts w:ascii="Garamond" w:hAnsi="Garamond"/>
          <w:b/>
          <w:sz w:val="22"/>
          <w:szCs w:val="22"/>
        </w:rPr>
        <w:t>economic growth</w:t>
      </w:r>
      <w:r w:rsidR="0088659E">
        <w:rPr>
          <w:rFonts w:ascii="Garamond" w:hAnsi="Garamond"/>
          <w:b/>
          <w:sz w:val="22"/>
          <w:szCs w:val="22"/>
        </w:rPr>
        <w:t xml:space="preserve"> reported for the </w:t>
      </w:r>
      <w:r w:rsidR="0088659E" w:rsidRPr="0088659E">
        <w:rPr>
          <w:rFonts w:ascii="Garamond" w:hAnsi="Garamond"/>
          <w:b/>
          <w:sz w:val="22"/>
          <w:szCs w:val="22"/>
        </w:rPr>
        <w:t xml:space="preserve">first half of the </w:t>
      </w:r>
      <w:r w:rsidR="0088659E">
        <w:rPr>
          <w:rFonts w:ascii="Garamond" w:hAnsi="Garamond"/>
          <w:b/>
          <w:sz w:val="22"/>
          <w:szCs w:val="22"/>
        </w:rPr>
        <w:t xml:space="preserve">year was considerably lower </w:t>
      </w:r>
      <w:r w:rsidR="0088659E" w:rsidRPr="0088659E">
        <w:rPr>
          <w:rFonts w:ascii="Garamond" w:hAnsi="Garamond"/>
          <w:b/>
          <w:sz w:val="22"/>
          <w:szCs w:val="22"/>
        </w:rPr>
        <w:t>than expected</w:t>
      </w:r>
      <w:r w:rsidR="0088659E">
        <w:rPr>
          <w:rFonts w:ascii="Garamond" w:hAnsi="Garamond"/>
          <w:b/>
          <w:sz w:val="22"/>
          <w:szCs w:val="22"/>
        </w:rPr>
        <w:t xml:space="preserve"> in the third quarter</w:t>
      </w:r>
      <w:r w:rsidR="003F7B10">
        <w:rPr>
          <w:rFonts w:ascii="Garamond" w:hAnsi="Garamond"/>
          <w:b/>
          <w:sz w:val="22"/>
          <w:szCs w:val="22"/>
        </w:rPr>
        <w:t xml:space="preserve">. Also, </w:t>
      </w:r>
      <w:r w:rsidR="0088659E" w:rsidRPr="0088659E">
        <w:rPr>
          <w:rFonts w:ascii="Garamond" w:hAnsi="Garamond"/>
          <w:b/>
          <w:sz w:val="22"/>
          <w:szCs w:val="22"/>
        </w:rPr>
        <w:t xml:space="preserve">trade turnover </w:t>
      </w:r>
      <w:r w:rsidR="0088659E">
        <w:rPr>
          <w:rFonts w:ascii="Garamond" w:hAnsi="Garamond"/>
          <w:b/>
          <w:sz w:val="22"/>
          <w:szCs w:val="22"/>
        </w:rPr>
        <w:t xml:space="preserve">volumes </w:t>
      </w:r>
      <w:r w:rsidR="003F7B10">
        <w:rPr>
          <w:rFonts w:ascii="Garamond" w:hAnsi="Garamond"/>
          <w:b/>
          <w:sz w:val="22"/>
          <w:szCs w:val="22"/>
        </w:rPr>
        <w:t xml:space="preserve">remained </w:t>
      </w:r>
      <w:r w:rsidR="0088659E">
        <w:rPr>
          <w:rFonts w:ascii="Garamond" w:hAnsi="Garamond"/>
          <w:b/>
          <w:sz w:val="22"/>
          <w:szCs w:val="22"/>
        </w:rPr>
        <w:t xml:space="preserve">low </w:t>
      </w:r>
      <w:r w:rsidR="003F7B10">
        <w:rPr>
          <w:rFonts w:ascii="Garamond" w:hAnsi="Garamond"/>
          <w:b/>
          <w:sz w:val="22"/>
          <w:szCs w:val="22"/>
        </w:rPr>
        <w:t xml:space="preserve">and risks to reduced </w:t>
      </w:r>
      <w:r w:rsidR="003F7B10" w:rsidRPr="0088659E">
        <w:rPr>
          <w:rFonts w:ascii="Garamond" w:hAnsi="Garamond"/>
          <w:b/>
          <w:sz w:val="22"/>
          <w:szCs w:val="22"/>
        </w:rPr>
        <w:t>output in agriculture and mining</w:t>
      </w:r>
      <w:r w:rsidR="003F7B10">
        <w:rPr>
          <w:rFonts w:ascii="Garamond" w:hAnsi="Garamond"/>
          <w:b/>
          <w:sz w:val="22"/>
          <w:szCs w:val="22"/>
        </w:rPr>
        <w:t xml:space="preserve"> materialized during the quarter. </w:t>
      </w:r>
      <w:r w:rsidR="00991582" w:rsidRPr="00A32AB2">
        <w:rPr>
          <w:rFonts w:ascii="Garamond" w:hAnsi="Garamond"/>
          <w:b/>
          <w:sz w:val="22"/>
          <w:szCs w:val="22"/>
        </w:rPr>
        <w:t xml:space="preserve">In view of </w:t>
      </w:r>
      <w:r w:rsidR="003F7B10">
        <w:rPr>
          <w:rFonts w:ascii="Garamond" w:hAnsi="Garamond"/>
          <w:b/>
          <w:sz w:val="22"/>
          <w:szCs w:val="22"/>
        </w:rPr>
        <w:t xml:space="preserve">such </w:t>
      </w:r>
      <w:r w:rsidR="00991582" w:rsidRPr="00A32AB2">
        <w:rPr>
          <w:rFonts w:ascii="Garamond" w:hAnsi="Garamond"/>
          <w:b/>
          <w:sz w:val="22"/>
          <w:szCs w:val="22"/>
        </w:rPr>
        <w:t>developments</w:t>
      </w:r>
      <w:r w:rsidR="003F7B10">
        <w:rPr>
          <w:rFonts w:ascii="Garamond" w:hAnsi="Garamond"/>
          <w:b/>
          <w:sz w:val="22"/>
          <w:szCs w:val="22"/>
        </w:rPr>
        <w:t>,</w:t>
      </w:r>
      <w:r w:rsidR="00991582" w:rsidRPr="00A32AB2">
        <w:rPr>
          <w:rFonts w:ascii="Garamond" w:hAnsi="Garamond"/>
          <w:b/>
          <w:sz w:val="22"/>
          <w:szCs w:val="22"/>
        </w:rPr>
        <w:t xml:space="preserve"> </w:t>
      </w:r>
      <w:r w:rsidR="003F7B10">
        <w:rPr>
          <w:rFonts w:ascii="Garamond" w:hAnsi="Garamond"/>
          <w:b/>
          <w:sz w:val="22"/>
          <w:szCs w:val="22"/>
        </w:rPr>
        <w:t xml:space="preserve">the Central Bank of Armenia (the CBA) </w:t>
      </w:r>
      <w:r w:rsidR="003F7B10" w:rsidRPr="003F7B10">
        <w:rPr>
          <w:rFonts w:ascii="Garamond" w:hAnsi="Garamond"/>
          <w:b/>
          <w:sz w:val="22"/>
          <w:szCs w:val="22"/>
        </w:rPr>
        <w:t xml:space="preserve">has revised the </w:t>
      </w:r>
      <w:r w:rsidR="002F1F35">
        <w:rPr>
          <w:rFonts w:ascii="Garamond" w:hAnsi="Garamond"/>
          <w:b/>
          <w:sz w:val="22"/>
          <w:szCs w:val="22"/>
        </w:rPr>
        <w:t xml:space="preserve">2016 </w:t>
      </w:r>
      <w:r w:rsidR="003F7B10" w:rsidRPr="003F7B10">
        <w:rPr>
          <w:rFonts w:ascii="Garamond" w:hAnsi="Garamond"/>
          <w:b/>
          <w:sz w:val="22"/>
          <w:szCs w:val="22"/>
        </w:rPr>
        <w:t>economic gr</w:t>
      </w:r>
      <w:r w:rsidR="003F7B10">
        <w:rPr>
          <w:rFonts w:ascii="Garamond" w:hAnsi="Garamond"/>
          <w:b/>
          <w:sz w:val="22"/>
          <w:szCs w:val="22"/>
        </w:rPr>
        <w:t xml:space="preserve">owth forecast downward. </w:t>
      </w:r>
      <w:r w:rsidR="00991582" w:rsidRPr="00A32AB2">
        <w:rPr>
          <w:rFonts w:ascii="Garamond" w:hAnsi="Garamond"/>
          <w:b/>
          <w:sz w:val="22"/>
          <w:szCs w:val="22"/>
        </w:rPr>
        <w:t>In the rest of the forecast horizon</w:t>
      </w:r>
      <w:r w:rsidR="00367884">
        <w:rPr>
          <w:rFonts w:ascii="Garamond" w:hAnsi="Garamond"/>
          <w:b/>
          <w:sz w:val="22"/>
          <w:szCs w:val="22"/>
        </w:rPr>
        <w:t>, however,</w:t>
      </w:r>
      <w:r w:rsidR="00991582" w:rsidRPr="00A32AB2">
        <w:rPr>
          <w:rFonts w:ascii="Garamond" w:hAnsi="Garamond"/>
          <w:b/>
          <w:sz w:val="22"/>
          <w:szCs w:val="22"/>
        </w:rPr>
        <w:t xml:space="preserve"> </w:t>
      </w:r>
      <w:r w:rsidR="00367884">
        <w:rPr>
          <w:rFonts w:ascii="Garamond" w:hAnsi="Garamond"/>
          <w:b/>
          <w:sz w:val="22"/>
          <w:szCs w:val="22"/>
        </w:rPr>
        <w:t xml:space="preserve">the </w:t>
      </w:r>
      <w:r w:rsidR="00991582" w:rsidRPr="00A32AB2">
        <w:rPr>
          <w:rFonts w:ascii="Garamond" w:hAnsi="Garamond"/>
          <w:b/>
          <w:sz w:val="22"/>
          <w:szCs w:val="22"/>
        </w:rPr>
        <w:t>growth rates will speed up</w:t>
      </w:r>
      <w:r w:rsidR="00367884">
        <w:rPr>
          <w:rFonts w:ascii="Garamond" w:hAnsi="Garamond"/>
          <w:b/>
          <w:sz w:val="22"/>
          <w:szCs w:val="22"/>
        </w:rPr>
        <w:t xml:space="preserve"> to </w:t>
      </w:r>
      <w:r w:rsidR="00991582" w:rsidRPr="00A32AB2">
        <w:rPr>
          <w:rFonts w:ascii="Garamond" w:hAnsi="Garamond"/>
          <w:b/>
          <w:sz w:val="22"/>
          <w:szCs w:val="22"/>
        </w:rPr>
        <w:t>gradually approac</w:t>
      </w:r>
      <w:r w:rsidR="002F1F35">
        <w:rPr>
          <w:rFonts w:ascii="Garamond" w:hAnsi="Garamond"/>
          <w:b/>
          <w:sz w:val="22"/>
          <w:szCs w:val="22"/>
        </w:rPr>
        <w:t>h</w:t>
      </w:r>
      <w:r w:rsidR="00991582" w:rsidRPr="00A32AB2">
        <w:rPr>
          <w:rFonts w:ascii="Garamond" w:hAnsi="Garamond"/>
          <w:b/>
          <w:sz w:val="22"/>
          <w:szCs w:val="22"/>
        </w:rPr>
        <w:t xml:space="preserve"> the long-term equilibrium. </w:t>
      </w:r>
      <w:r w:rsidR="000F2DFD">
        <w:rPr>
          <w:rFonts w:ascii="Garamond" w:hAnsi="Garamond"/>
          <w:b/>
          <w:sz w:val="22"/>
          <w:szCs w:val="22"/>
        </w:rPr>
        <w:t xml:space="preserve">In the course of the </w:t>
      </w:r>
      <w:r w:rsidR="000F2DFD">
        <w:rPr>
          <w:rFonts w:ascii="Garamond" w:hAnsi="Garamond"/>
          <w:b/>
          <w:sz w:val="22"/>
          <w:szCs w:val="22"/>
        </w:rPr>
        <w:lastRenderedPageBreak/>
        <w:t>past nine months</w:t>
      </w:r>
      <w:r w:rsidR="000F2DFD" w:rsidRPr="00A32AB2">
        <w:rPr>
          <w:rFonts w:ascii="Garamond" w:hAnsi="Garamond"/>
          <w:b/>
          <w:sz w:val="22"/>
          <w:szCs w:val="22"/>
        </w:rPr>
        <w:t xml:space="preserve"> </w:t>
      </w:r>
      <w:r w:rsidR="000F2DFD">
        <w:rPr>
          <w:rFonts w:ascii="Garamond" w:hAnsi="Garamond"/>
          <w:b/>
          <w:sz w:val="22"/>
          <w:szCs w:val="22"/>
        </w:rPr>
        <w:t>d</w:t>
      </w:r>
      <w:r w:rsidR="00E6549E" w:rsidRPr="00A32AB2">
        <w:rPr>
          <w:rFonts w:ascii="Garamond" w:hAnsi="Garamond"/>
          <w:b/>
          <w:sz w:val="22"/>
          <w:szCs w:val="22"/>
        </w:rPr>
        <w:t xml:space="preserve">eflationary patterns </w:t>
      </w:r>
      <w:r w:rsidR="000F2DFD">
        <w:rPr>
          <w:rFonts w:ascii="Garamond" w:hAnsi="Garamond"/>
          <w:b/>
          <w:sz w:val="22"/>
          <w:szCs w:val="22"/>
        </w:rPr>
        <w:t xml:space="preserve">have prevailed – </w:t>
      </w:r>
      <w:r w:rsidR="000F2DFD" w:rsidRPr="00A32AB2">
        <w:rPr>
          <w:rFonts w:ascii="Garamond" w:hAnsi="Garamond"/>
          <w:b/>
          <w:sz w:val="22"/>
          <w:szCs w:val="22"/>
        </w:rPr>
        <w:t>the 12-month inflation rate</w:t>
      </w:r>
      <w:r w:rsidR="000F2DFD">
        <w:rPr>
          <w:rFonts w:ascii="Garamond" w:hAnsi="Garamond"/>
          <w:b/>
          <w:sz w:val="22"/>
          <w:szCs w:val="22"/>
        </w:rPr>
        <w:t xml:space="preserve"> </w:t>
      </w:r>
      <w:r w:rsidR="00CF2BD0" w:rsidRPr="00CF2BD0">
        <w:rPr>
          <w:rFonts w:ascii="Garamond" w:hAnsi="Garamond"/>
          <w:b/>
          <w:sz w:val="22"/>
          <w:szCs w:val="22"/>
        </w:rPr>
        <w:t>fluctuated around an average</w:t>
      </w:r>
      <w:r w:rsidR="00CF2BD0">
        <w:rPr>
          <w:rFonts w:ascii="Garamond" w:hAnsi="Garamond"/>
          <w:b/>
          <w:sz w:val="22"/>
          <w:szCs w:val="22"/>
        </w:rPr>
        <w:t xml:space="preserve"> value of</w:t>
      </w:r>
      <w:r w:rsidR="00CF2BD0" w:rsidRPr="00CF2BD0">
        <w:rPr>
          <w:rFonts w:ascii="Garamond" w:hAnsi="Garamond"/>
          <w:b/>
          <w:sz w:val="22"/>
          <w:szCs w:val="22"/>
        </w:rPr>
        <w:t xml:space="preserve"> -1.7%</w:t>
      </w:r>
      <w:r w:rsidR="00CF2BD0">
        <w:rPr>
          <w:rFonts w:ascii="Garamond" w:hAnsi="Garamond"/>
          <w:b/>
          <w:sz w:val="22"/>
          <w:szCs w:val="22"/>
        </w:rPr>
        <w:t xml:space="preserve">. </w:t>
      </w:r>
      <w:r w:rsidR="00CF2BD0" w:rsidRPr="00CF2BD0">
        <w:rPr>
          <w:rFonts w:ascii="Garamond" w:hAnsi="Garamond"/>
          <w:b/>
          <w:sz w:val="22"/>
          <w:szCs w:val="22"/>
        </w:rPr>
        <w:t>In the coming months</w:t>
      </w:r>
      <w:r w:rsidR="00B560EC">
        <w:rPr>
          <w:rFonts w:ascii="Garamond" w:hAnsi="Garamond"/>
          <w:b/>
          <w:sz w:val="22"/>
          <w:szCs w:val="22"/>
        </w:rPr>
        <w:t>,</w:t>
      </w:r>
      <w:r w:rsidR="00CF2BD0" w:rsidRPr="00CF2BD0">
        <w:rPr>
          <w:rFonts w:ascii="Garamond" w:hAnsi="Garamond"/>
          <w:b/>
          <w:sz w:val="22"/>
          <w:szCs w:val="22"/>
        </w:rPr>
        <w:t xml:space="preserve"> </w:t>
      </w:r>
      <w:r w:rsidR="00B560EC">
        <w:rPr>
          <w:rFonts w:ascii="Garamond" w:hAnsi="Garamond"/>
          <w:b/>
          <w:sz w:val="22"/>
          <w:szCs w:val="22"/>
        </w:rPr>
        <w:t xml:space="preserve">the </w:t>
      </w:r>
      <w:r w:rsidR="00CF2BD0" w:rsidRPr="00CF2BD0">
        <w:rPr>
          <w:rFonts w:ascii="Garamond" w:hAnsi="Garamond"/>
          <w:b/>
          <w:sz w:val="22"/>
          <w:szCs w:val="22"/>
        </w:rPr>
        <w:t>deflationary environment will persist due to</w:t>
      </w:r>
      <w:r w:rsidR="00CF2BD0">
        <w:rPr>
          <w:rFonts w:ascii="Garamond" w:hAnsi="Garamond"/>
          <w:b/>
          <w:sz w:val="22"/>
          <w:szCs w:val="22"/>
        </w:rPr>
        <w:t xml:space="preserve"> low </w:t>
      </w:r>
      <w:r w:rsidR="00CF2BD0" w:rsidRPr="00CF2BD0">
        <w:rPr>
          <w:rFonts w:ascii="Garamond" w:hAnsi="Garamond"/>
          <w:b/>
          <w:sz w:val="22"/>
          <w:szCs w:val="22"/>
        </w:rPr>
        <w:t xml:space="preserve">economic activity </w:t>
      </w:r>
      <w:r w:rsidR="00CF2BD0">
        <w:rPr>
          <w:rFonts w:ascii="Garamond" w:hAnsi="Garamond"/>
          <w:b/>
          <w:sz w:val="22"/>
          <w:szCs w:val="22"/>
        </w:rPr>
        <w:t xml:space="preserve">and expected </w:t>
      </w:r>
      <w:r w:rsidR="00CF2BD0" w:rsidRPr="00CF2BD0">
        <w:rPr>
          <w:rFonts w:ascii="Garamond" w:hAnsi="Garamond"/>
          <w:b/>
          <w:sz w:val="22"/>
          <w:szCs w:val="22"/>
        </w:rPr>
        <w:t xml:space="preserve">gas and electricity </w:t>
      </w:r>
      <w:r w:rsidR="00CF2BD0">
        <w:rPr>
          <w:rFonts w:ascii="Garamond" w:hAnsi="Garamond"/>
          <w:b/>
          <w:sz w:val="22"/>
          <w:szCs w:val="22"/>
        </w:rPr>
        <w:t xml:space="preserve">tariff </w:t>
      </w:r>
      <w:r w:rsidR="00CF2BD0" w:rsidRPr="00CF2BD0">
        <w:rPr>
          <w:rFonts w:ascii="Garamond" w:hAnsi="Garamond"/>
          <w:b/>
          <w:sz w:val="22"/>
          <w:szCs w:val="22"/>
        </w:rPr>
        <w:t>reduction</w:t>
      </w:r>
      <w:r w:rsidR="00CF2BD0">
        <w:rPr>
          <w:rFonts w:ascii="Garamond" w:hAnsi="Garamond"/>
          <w:b/>
          <w:sz w:val="22"/>
          <w:szCs w:val="22"/>
        </w:rPr>
        <w:t xml:space="preserve"> </w:t>
      </w:r>
      <w:r w:rsidR="00CF2BD0" w:rsidRPr="00CF2BD0">
        <w:rPr>
          <w:rFonts w:ascii="Garamond" w:hAnsi="Garamond"/>
          <w:b/>
          <w:sz w:val="22"/>
          <w:szCs w:val="22"/>
        </w:rPr>
        <w:t>in the first quarter of 2017</w:t>
      </w:r>
      <w:r w:rsidR="00CF2BD0">
        <w:rPr>
          <w:rFonts w:ascii="Garamond" w:hAnsi="Garamond"/>
          <w:b/>
          <w:sz w:val="22"/>
          <w:szCs w:val="22"/>
        </w:rPr>
        <w:t>.</w:t>
      </w:r>
      <w:r w:rsidR="00CF2BD0" w:rsidRPr="00CF2BD0">
        <w:rPr>
          <w:rFonts w:ascii="Garamond" w:hAnsi="Garamond"/>
          <w:b/>
          <w:sz w:val="22"/>
          <w:szCs w:val="22"/>
        </w:rPr>
        <w:t xml:space="preserve"> </w:t>
      </w:r>
      <w:r w:rsidR="00CF2BD0">
        <w:rPr>
          <w:rFonts w:ascii="Garamond" w:hAnsi="Garamond"/>
          <w:b/>
          <w:sz w:val="22"/>
          <w:szCs w:val="22"/>
        </w:rPr>
        <w:t>I</w:t>
      </w:r>
      <w:r w:rsidR="00B117C8" w:rsidRPr="00A32AB2">
        <w:rPr>
          <w:rFonts w:ascii="Garamond" w:hAnsi="Garamond"/>
          <w:b/>
          <w:sz w:val="22"/>
          <w:szCs w:val="22"/>
        </w:rPr>
        <w:t xml:space="preserve">n </w:t>
      </w:r>
      <w:r w:rsidR="00937789" w:rsidRPr="00A32AB2">
        <w:rPr>
          <w:rFonts w:ascii="Garamond" w:hAnsi="Garamond"/>
          <w:b/>
          <w:sz w:val="22"/>
          <w:szCs w:val="22"/>
        </w:rPr>
        <w:t xml:space="preserve">the rest of the forecast horizon </w:t>
      </w:r>
      <w:r w:rsidR="00CF2BD0">
        <w:rPr>
          <w:rFonts w:ascii="Garamond" w:hAnsi="Garamond"/>
          <w:b/>
          <w:sz w:val="22"/>
          <w:szCs w:val="22"/>
        </w:rPr>
        <w:t xml:space="preserve">the 12-month inflation rate </w:t>
      </w:r>
      <w:r w:rsidR="00B117C8" w:rsidRPr="00A32AB2">
        <w:rPr>
          <w:rFonts w:ascii="Garamond" w:hAnsi="Garamond"/>
          <w:b/>
          <w:sz w:val="22"/>
          <w:szCs w:val="22"/>
        </w:rPr>
        <w:t xml:space="preserve">will </w:t>
      </w:r>
      <w:r w:rsidR="00937789" w:rsidRPr="00A32AB2">
        <w:rPr>
          <w:rFonts w:ascii="Garamond" w:hAnsi="Garamond"/>
          <w:b/>
          <w:sz w:val="22"/>
          <w:szCs w:val="22"/>
        </w:rPr>
        <w:t xml:space="preserve">gradually return to </w:t>
      </w:r>
      <w:r w:rsidR="00B117C8" w:rsidRPr="00A32AB2">
        <w:rPr>
          <w:rFonts w:ascii="Garamond" w:hAnsi="Garamond"/>
          <w:b/>
          <w:sz w:val="22"/>
          <w:szCs w:val="22"/>
        </w:rPr>
        <w:t>the target</w:t>
      </w:r>
      <w:r w:rsidR="00937789" w:rsidRPr="00A32AB2">
        <w:rPr>
          <w:rFonts w:ascii="Garamond" w:hAnsi="Garamond"/>
          <w:b/>
          <w:sz w:val="22"/>
          <w:szCs w:val="22"/>
        </w:rPr>
        <w:t>.</w:t>
      </w:r>
      <w:r w:rsidR="006E3C27" w:rsidRPr="00A32AB2">
        <w:rPr>
          <w:rFonts w:ascii="Garamond" w:hAnsi="Garamond"/>
          <w:b/>
          <w:sz w:val="22"/>
          <w:szCs w:val="22"/>
        </w:rPr>
        <w:t xml:space="preserve"> </w:t>
      </w:r>
    </w:p>
    <w:p w14:paraId="50E95ED9" w14:textId="77777777" w:rsidR="006E3C27" w:rsidRPr="00A32AB2" w:rsidRDefault="006E3C27" w:rsidP="00B117C8">
      <w:pPr>
        <w:spacing w:line="360" w:lineRule="auto"/>
        <w:jc w:val="both"/>
        <w:rPr>
          <w:rFonts w:ascii="Garamond" w:hAnsi="Garamond"/>
          <w:b/>
          <w:sz w:val="22"/>
          <w:szCs w:val="22"/>
        </w:rPr>
      </w:pPr>
    </w:p>
    <w:p w14:paraId="23E88EF0" w14:textId="77777777" w:rsidR="004A3B43" w:rsidRPr="00A32AB2" w:rsidRDefault="00B560EC" w:rsidP="00B117C8">
      <w:pPr>
        <w:spacing w:line="360" w:lineRule="auto"/>
        <w:jc w:val="both"/>
        <w:rPr>
          <w:rFonts w:ascii="Garamond" w:hAnsi="Garamond" w:cs="Sylfaen"/>
          <w:sz w:val="22"/>
          <w:szCs w:val="22"/>
        </w:rPr>
      </w:pPr>
      <w:r>
        <w:rPr>
          <w:rFonts w:ascii="Garamond" w:hAnsi="Garamond" w:cs="Sylfaen"/>
          <w:sz w:val="22"/>
          <w:szCs w:val="22"/>
        </w:rPr>
        <w:t>S</w:t>
      </w:r>
      <w:r w:rsidRPr="00B560EC">
        <w:rPr>
          <w:rFonts w:ascii="Garamond" w:hAnsi="Garamond" w:cs="Sylfaen"/>
          <w:sz w:val="22"/>
          <w:szCs w:val="22"/>
        </w:rPr>
        <w:t>harp</w:t>
      </w:r>
      <w:r>
        <w:rPr>
          <w:rFonts w:ascii="Garamond" w:hAnsi="Garamond" w:cs="Sylfaen"/>
          <w:sz w:val="22"/>
          <w:szCs w:val="22"/>
        </w:rPr>
        <w:t>ly</w:t>
      </w:r>
      <w:r w:rsidRPr="00B560EC">
        <w:rPr>
          <w:rFonts w:ascii="Garamond" w:hAnsi="Garamond" w:cs="Sylfaen"/>
          <w:sz w:val="22"/>
          <w:szCs w:val="22"/>
        </w:rPr>
        <w:t xml:space="preserve"> deteriorat</w:t>
      </w:r>
      <w:r>
        <w:rPr>
          <w:rFonts w:ascii="Garamond" w:hAnsi="Garamond" w:cs="Sylfaen"/>
          <w:sz w:val="22"/>
          <w:szCs w:val="22"/>
        </w:rPr>
        <w:t xml:space="preserve">ed </w:t>
      </w:r>
      <w:r w:rsidRPr="00B560EC">
        <w:rPr>
          <w:rFonts w:ascii="Garamond" w:hAnsi="Garamond" w:cs="Sylfaen"/>
          <w:sz w:val="22"/>
          <w:szCs w:val="22"/>
        </w:rPr>
        <w:t xml:space="preserve">economic activity in the third quarter </w:t>
      </w:r>
      <w:r>
        <w:rPr>
          <w:rFonts w:ascii="Garamond" w:hAnsi="Garamond" w:cs="Sylfaen"/>
          <w:sz w:val="22"/>
          <w:szCs w:val="22"/>
        </w:rPr>
        <w:t xml:space="preserve">of 2016 was mainly determined by </w:t>
      </w:r>
      <w:r w:rsidRPr="00B560EC">
        <w:rPr>
          <w:rFonts w:ascii="Garamond" w:hAnsi="Garamond" w:cs="Sylfaen"/>
          <w:sz w:val="22"/>
          <w:szCs w:val="22"/>
        </w:rPr>
        <w:t xml:space="preserve">supply factors, particularly </w:t>
      </w:r>
      <w:r>
        <w:rPr>
          <w:rFonts w:ascii="Garamond" w:hAnsi="Garamond" w:cs="Sylfaen"/>
          <w:sz w:val="22"/>
          <w:szCs w:val="22"/>
        </w:rPr>
        <w:t xml:space="preserve">slower growth rates in </w:t>
      </w:r>
      <w:r w:rsidRPr="00B560EC">
        <w:rPr>
          <w:rFonts w:ascii="Garamond" w:hAnsi="Garamond" w:cs="Sylfaen"/>
          <w:sz w:val="22"/>
          <w:szCs w:val="22"/>
        </w:rPr>
        <w:t>agricultur</w:t>
      </w:r>
      <w:r>
        <w:rPr>
          <w:rFonts w:ascii="Garamond" w:hAnsi="Garamond" w:cs="Sylfaen"/>
          <w:sz w:val="22"/>
          <w:szCs w:val="22"/>
        </w:rPr>
        <w:t xml:space="preserve">e </w:t>
      </w:r>
      <w:r w:rsidRPr="00B560EC">
        <w:rPr>
          <w:rFonts w:ascii="Garamond" w:hAnsi="Garamond" w:cs="Sylfaen"/>
          <w:sz w:val="22"/>
          <w:szCs w:val="22"/>
        </w:rPr>
        <w:t>and industr</w:t>
      </w:r>
      <w:r>
        <w:rPr>
          <w:rFonts w:ascii="Garamond" w:hAnsi="Garamond" w:cs="Sylfaen"/>
          <w:sz w:val="22"/>
          <w:szCs w:val="22"/>
        </w:rPr>
        <w:t xml:space="preserve">y </w:t>
      </w:r>
      <w:r w:rsidRPr="00B560EC">
        <w:rPr>
          <w:rFonts w:ascii="Garamond" w:hAnsi="Garamond" w:cs="Sylfaen"/>
          <w:sz w:val="22"/>
          <w:szCs w:val="22"/>
        </w:rPr>
        <w:t>sectors, while domestic demand continued to remain weak.</w:t>
      </w:r>
      <w:r>
        <w:rPr>
          <w:rFonts w:ascii="Garamond" w:hAnsi="Garamond" w:cs="Sylfaen"/>
          <w:sz w:val="22"/>
          <w:szCs w:val="22"/>
        </w:rPr>
        <w:t xml:space="preserve"> </w:t>
      </w:r>
      <w:r w:rsidR="00282573">
        <w:rPr>
          <w:rFonts w:ascii="Garamond" w:hAnsi="Garamond" w:cs="Sylfaen"/>
          <w:sz w:val="22"/>
          <w:szCs w:val="22"/>
        </w:rPr>
        <w:t>D</w:t>
      </w:r>
      <w:r w:rsidR="00E35770" w:rsidRPr="00A32AB2">
        <w:rPr>
          <w:rFonts w:ascii="Garamond" w:hAnsi="Garamond" w:cs="Sylfaen"/>
          <w:sz w:val="22"/>
          <w:szCs w:val="22"/>
        </w:rPr>
        <w:t xml:space="preserve">riven by </w:t>
      </w:r>
      <w:r>
        <w:rPr>
          <w:rFonts w:ascii="Garamond" w:hAnsi="Garamond" w:cs="Sylfaen"/>
          <w:sz w:val="22"/>
          <w:szCs w:val="22"/>
        </w:rPr>
        <w:t>more</w:t>
      </w:r>
      <w:r w:rsidR="005A4C03" w:rsidRPr="00A32AB2">
        <w:rPr>
          <w:rFonts w:ascii="Garamond" w:hAnsi="Garamond" w:cs="Sylfaen"/>
          <w:sz w:val="22"/>
          <w:szCs w:val="22"/>
        </w:rPr>
        <w:t>-than-expected contraction in trade volumes</w:t>
      </w:r>
      <w:r>
        <w:rPr>
          <w:rFonts w:ascii="Garamond" w:hAnsi="Garamond" w:cs="Sylfaen"/>
          <w:sz w:val="22"/>
          <w:szCs w:val="22"/>
        </w:rPr>
        <w:t>,</w:t>
      </w:r>
      <w:r w:rsidR="005A4C03" w:rsidRPr="00A32AB2">
        <w:rPr>
          <w:rFonts w:ascii="Garamond" w:hAnsi="Garamond" w:cs="Sylfaen"/>
          <w:sz w:val="22"/>
          <w:szCs w:val="22"/>
        </w:rPr>
        <w:t xml:space="preserve"> </w:t>
      </w:r>
      <w:r>
        <w:rPr>
          <w:rFonts w:ascii="Garamond" w:hAnsi="Garamond" w:cs="Sylfaen"/>
          <w:sz w:val="22"/>
          <w:szCs w:val="22"/>
        </w:rPr>
        <w:t xml:space="preserve">lower </w:t>
      </w:r>
      <w:r w:rsidR="005A4C03" w:rsidRPr="00A32AB2">
        <w:rPr>
          <w:rFonts w:ascii="Garamond" w:hAnsi="Garamond" w:cs="Sylfaen"/>
          <w:sz w:val="22"/>
          <w:szCs w:val="22"/>
        </w:rPr>
        <w:t>economic activity</w:t>
      </w:r>
      <w:r>
        <w:rPr>
          <w:rFonts w:ascii="Garamond" w:hAnsi="Garamond" w:cs="Sylfaen"/>
          <w:sz w:val="22"/>
          <w:szCs w:val="22"/>
        </w:rPr>
        <w:t xml:space="preserve"> and </w:t>
      </w:r>
      <w:r w:rsidR="004F215F">
        <w:rPr>
          <w:rFonts w:ascii="Garamond" w:hAnsi="Garamond" w:cs="Sylfaen"/>
          <w:sz w:val="22"/>
          <w:szCs w:val="22"/>
        </w:rPr>
        <w:t xml:space="preserve">construction still at a decline, </w:t>
      </w:r>
      <w:r w:rsidR="00282573">
        <w:rPr>
          <w:rFonts w:ascii="Garamond" w:hAnsi="Garamond" w:cs="Sylfaen"/>
          <w:sz w:val="22"/>
          <w:szCs w:val="22"/>
        </w:rPr>
        <w:t xml:space="preserve">about 2% </w:t>
      </w:r>
      <w:r w:rsidR="004F215F">
        <w:rPr>
          <w:rFonts w:ascii="Garamond" w:hAnsi="Garamond" w:cs="Sylfaen"/>
          <w:sz w:val="22"/>
          <w:szCs w:val="22"/>
        </w:rPr>
        <w:t>growth of</w:t>
      </w:r>
      <w:r w:rsidR="004F215F" w:rsidRPr="00A32AB2">
        <w:rPr>
          <w:rFonts w:ascii="Garamond" w:hAnsi="Garamond" w:cs="Sylfaen"/>
          <w:sz w:val="22"/>
          <w:szCs w:val="22"/>
        </w:rPr>
        <w:t xml:space="preserve"> </w:t>
      </w:r>
      <w:r w:rsidR="004F215F" w:rsidRPr="004F215F">
        <w:rPr>
          <w:rFonts w:ascii="Garamond" w:hAnsi="Garamond" w:cs="Sylfaen"/>
          <w:b/>
          <w:sz w:val="22"/>
          <w:szCs w:val="22"/>
        </w:rPr>
        <w:t>real</w:t>
      </w:r>
      <w:r w:rsidR="004F215F" w:rsidRPr="00A32AB2">
        <w:rPr>
          <w:rFonts w:ascii="Garamond" w:hAnsi="Garamond" w:cs="Sylfaen"/>
          <w:sz w:val="22"/>
          <w:szCs w:val="22"/>
        </w:rPr>
        <w:t xml:space="preserve"> </w:t>
      </w:r>
      <w:r w:rsidR="004F215F" w:rsidRPr="00A32AB2">
        <w:rPr>
          <w:rFonts w:ascii="Garamond" w:hAnsi="Garamond" w:cs="Sylfaen"/>
          <w:b/>
          <w:sz w:val="22"/>
          <w:szCs w:val="22"/>
        </w:rPr>
        <w:t xml:space="preserve">private consumption </w:t>
      </w:r>
      <w:r w:rsidR="00282573" w:rsidRPr="00282573">
        <w:rPr>
          <w:rFonts w:ascii="Garamond" w:hAnsi="Garamond" w:cs="Sylfaen"/>
          <w:sz w:val="22"/>
          <w:szCs w:val="22"/>
        </w:rPr>
        <w:t>but</w:t>
      </w:r>
      <w:r w:rsidR="00282573">
        <w:rPr>
          <w:rFonts w:ascii="Garamond" w:hAnsi="Garamond" w:cs="Sylfaen"/>
          <w:sz w:val="22"/>
          <w:szCs w:val="22"/>
        </w:rPr>
        <w:t xml:space="preserve"> 1.0% decrease in </w:t>
      </w:r>
      <w:r w:rsidR="00282573">
        <w:rPr>
          <w:rFonts w:ascii="Garamond" w:hAnsi="Garamond" w:cs="Sylfaen"/>
          <w:b/>
          <w:sz w:val="22"/>
          <w:szCs w:val="22"/>
        </w:rPr>
        <w:t xml:space="preserve">real </w:t>
      </w:r>
      <w:r w:rsidR="00282573" w:rsidRPr="00A32AB2">
        <w:rPr>
          <w:rFonts w:ascii="Garamond" w:hAnsi="Garamond" w:cs="Sylfaen"/>
          <w:b/>
          <w:sz w:val="22"/>
          <w:szCs w:val="22"/>
        </w:rPr>
        <w:t>private investment</w:t>
      </w:r>
      <w:r w:rsidR="00282573">
        <w:rPr>
          <w:rFonts w:ascii="Garamond" w:hAnsi="Garamond" w:cs="Sylfaen"/>
          <w:sz w:val="22"/>
          <w:szCs w:val="22"/>
        </w:rPr>
        <w:t xml:space="preserve"> are estimated for the third quarter of 2016. The adverse effect of low economic activity was in part cushioned by </w:t>
      </w:r>
      <w:r w:rsidR="00282573" w:rsidRPr="00A32AB2">
        <w:rPr>
          <w:rFonts w:ascii="Garamond" w:hAnsi="Garamond"/>
          <w:sz w:val="22"/>
          <w:szCs w:val="22"/>
        </w:rPr>
        <w:t xml:space="preserve">expansionary fiscal and monetary policy implementation by the CBA and the Government </w:t>
      </w:r>
      <w:r w:rsidR="00AB4F41">
        <w:rPr>
          <w:rFonts w:ascii="Garamond" w:hAnsi="Garamond"/>
          <w:sz w:val="22"/>
          <w:szCs w:val="22"/>
        </w:rPr>
        <w:t xml:space="preserve">of Armenia </w:t>
      </w:r>
      <w:r w:rsidR="00282573" w:rsidRPr="00A32AB2">
        <w:rPr>
          <w:rFonts w:ascii="Garamond" w:hAnsi="Garamond"/>
          <w:sz w:val="22"/>
          <w:szCs w:val="22"/>
        </w:rPr>
        <w:t>since early 2015 to date</w:t>
      </w:r>
      <w:r w:rsidR="004F215F">
        <w:rPr>
          <w:rFonts w:ascii="Garamond" w:hAnsi="Garamond" w:cs="Sylfaen"/>
          <w:sz w:val="22"/>
          <w:szCs w:val="22"/>
        </w:rPr>
        <w:t xml:space="preserve"> </w:t>
      </w:r>
      <w:r w:rsidR="00282573" w:rsidRPr="00A32AB2">
        <w:rPr>
          <w:rFonts w:ascii="Garamond" w:hAnsi="Garamond"/>
          <w:sz w:val="22"/>
          <w:szCs w:val="22"/>
        </w:rPr>
        <w:t>on the one hand, and relatively sizable investment in the tradable sector, on the other.</w:t>
      </w:r>
      <w:r w:rsidR="00282573">
        <w:rPr>
          <w:rFonts w:ascii="Garamond" w:hAnsi="Garamond"/>
          <w:sz w:val="22"/>
          <w:szCs w:val="22"/>
        </w:rPr>
        <w:t xml:space="preserve"> </w:t>
      </w:r>
      <w:r w:rsidR="00AB4F41">
        <w:rPr>
          <w:rFonts w:ascii="Garamond" w:hAnsi="Garamond"/>
          <w:sz w:val="22"/>
          <w:szCs w:val="22"/>
        </w:rPr>
        <w:t>Influenced by t</w:t>
      </w:r>
      <w:r w:rsidR="00192F8D" w:rsidRPr="00A32AB2">
        <w:rPr>
          <w:rFonts w:ascii="Garamond" w:hAnsi="Garamond"/>
          <w:sz w:val="22"/>
          <w:szCs w:val="22"/>
        </w:rPr>
        <w:t xml:space="preserve">he </w:t>
      </w:r>
      <w:r w:rsidR="00AB4F41">
        <w:rPr>
          <w:rFonts w:ascii="Garamond" w:hAnsi="Garamond"/>
          <w:sz w:val="22"/>
          <w:szCs w:val="22"/>
        </w:rPr>
        <w:t xml:space="preserve">latter, net real exports kept on improving this quarter, too: </w:t>
      </w:r>
      <w:r w:rsidR="00192F8D" w:rsidRPr="00A32AB2">
        <w:rPr>
          <w:rFonts w:ascii="Garamond" w:hAnsi="Garamond"/>
          <w:sz w:val="22"/>
          <w:szCs w:val="22"/>
        </w:rPr>
        <w:t xml:space="preserve">in the </w:t>
      </w:r>
      <w:r w:rsidR="00AB4F41">
        <w:rPr>
          <w:rFonts w:ascii="Garamond" w:hAnsi="Garamond"/>
          <w:sz w:val="22"/>
          <w:szCs w:val="22"/>
        </w:rPr>
        <w:t>thir</w:t>
      </w:r>
      <w:r w:rsidR="00192F8D" w:rsidRPr="00A32AB2">
        <w:rPr>
          <w:rFonts w:ascii="Garamond" w:hAnsi="Garamond"/>
          <w:sz w:val="22"/>
          <w:szCs w:val="22"/>
        </w:rPr>
        <w:t>d quarter real growth</w:t>
      </w:r>
      <w:r w:rsidR="006A7967" w:rsidRPr="00A32AB2">
        <w:rPr>
          <w:rFonts w:ascii="Garamond" w:hAnsi="Garamond"/>
          <w:sz w:val="22"/>
          <w:szCs w:val="22"/>
        </w:rPr>
        <w:t xml:space="preserve"> of export of goods and services</w:t>
      </w:r>
      <w:r w:rsidR="00192F8D" w:rsidRPr="00A32AB2">
        <w:rPr>
          <w:rFonts w:ascii="Garamond" w:hAnsi="Garamond"/>
          <w:sz w:val="22"/>
          <w:szCs w:val="22"/>
        </w:rPr>
        <w:t xml:space="preserve"> is estimated at 1</w:t>
      </w:r>
      <w:r w:rsidR="00AB4F41">
        <w:rPr>
          <w:rFonts w:ascii="Garamond" w:hAnsi="Garamond"/>
          <w:sz w:val="22"/>
          <w:szCs w:val="22"/>
        </w:rPr>
        <w:t>0</w:t>
      </w:r>
      <w:r w:rsidR="00192F8D" w:rsidRPr="00A32AB2">
        <w:rPr>
          <w:rFonts w:ascii="Garamond" w:hAnsi="Garamond"/>
          <w:sz w:val="22"/>
          <w:szCs w:val="22"/>
        </w:rPr>
        <w:t>.</w:t>
      </w:r>
      <w:r w:rsidR="00AB4F41">
        <w:rPr>
          <w:rFonts w:ascii="Garamond" w:hAnsi="Garamond"/>
          <w:sz w:val="22"/>
          <w:szCs w:val="22"/>
        </w:rPr>
        <w:t>5</w:t>
      </w:r>
      <w:r w:rsidR="00192F8D" w:rsidRPr="00A32AB2">
        <w:rPr>
          <w:rFonts w:ascii="Garamond" w:hAnsi="Garamond"/>
          <w:sz w:val="22"/>
          <w:szCs w:val="22"/>
        </w:rPr>
        <w:t xml:space="preserve">% </w:t>
      </w:r>
      <w:r w:rsidR="006A7967" w:rsidRPr="00A32AB2">
        <w:rPr>
          <w:rFonts w:ascii="Garamond" w:hAnsi="Garamond"/>
          <w:sz w:val="22"/>
          <w:szCs w:val="22"/>
        </w:rPr>
        <w:t xml:space="preserve">y/y and real growth of </w:t>
      </w:r>
      <w:r w:rsidR="00192F8D" w:rsidRPr="00A32AB2">
        <w:rPr>
          <w:rFonts w:ascii="Garamond" w:hAnsi="Garamond"/>
          <w:sz w:val="22"/>
          <w:szCs w:val="22"/>
        </w:rPr>
        <w:t>import of goods and services</w:t>
      </w:r>
      <w:r w:rsidR="006A7967" w:rsidRPr="00A32AB2">
        <w:rPr>
          <w:rFonts w:ascii="Garamond" w:hAnsi="Garamond"/>
          <w:sz w:val="22"/>
          <w:szCs w:val="22"/>
        </w:rPr>
        <w:t>,</w:t>
      </w:r>
      <w:r w:rsidR="00192F8D" w:rsidRPr="00A32AB2">
        <w:rPr>
          <w:rFonts w:ascii="Garamond" w:hAnsi="Garamond"/>
          <w:sz w:val="22"/>
          <w:szCs w:val="22"/>
        </w:rPr>
        <w:t xml:space="preserve"> </w:t>
      </w:r>
      <w:r w:rsidR="006A7967" w:rsidRPr="00A32AB2">
        <w:rPr>
          <w:rFonts w:ascii="Garamond" w:hAnsi="Garamond"/>
          <w:sz w:val="22"/>
          <w:szCs w:val="22"/>
        </w:rPr>
        <w:t xml:space="preserve">merely </w:t>
      </w:r>
      <w:r w:rsidR="00AB4F41">
        <w:rPr>
          <w:rFonts w:ascii="Garamond" w:hAnsi="Garamond"/>
          <w:sz w:val="22"/>
          <w:szCs w:val="22"/>
        </w:rPr>
        <w:t>3</w:t>
      </w:r>
      <w:r w:rsidR="00192F8D" w:rsidRPr="00A32AB2">
        <w:rPr>
          <w:rFonts w:ascii="Garamond" w:hAnsi="Garamond"/>
          <w:sz w:val="22"/>
          <w:szCs w:val="22"/>
        </w:rPr>
        <w:t>.</w:t>
      </w:r>
      <w:r w:rsidR="00AB4F41">
        <w:rPr>
          <w:rFonts w:ascii="Garamond" w:hAnsi="Garamond"/>
          <w:sz w:val="22"/>
          <w:szCs w:val="22"/>
        </w:rPr>
        <w:t>1</w:t>
      </w:r>
      <w:r w:rsidR="00192F8D" w:rsidRPr="00A32AB2">
        <w:rPr>
          <w:rFonts w:ascii="Garamond" w:hAnsi="Garamond"/>
          <w:sz w:val="22"/>
          <w:szCs w:val="22"/>
        </w:rPr>
        <w:t>%.</w:t>
      </w:r>
      <w:r w:rsidR="006A7967" w:rsidRPr="00A32AB2">
        <w:rPr>
          <w:rFonts w:ascii="Garamond" w:hAnsi="Garamond"/>
          <w:sz w:val="22"/>
          <w:szCs w:val="22"/>
        </w:rPr>
        <w:t xml:space="preserve"> </w:t>
      </w:r>
      <w:r w:rsidR="00FF2209" w:rsidRPr="00A32AB2">
        <w:rPr>
          <w:rFonts w:ascii="Garamond" w:hAnsi="Garamond"/>
          <w:sz w:val="22"/>
          <w:szCs w:val="22"/>
        </w:rPr>
        <w:t xml:space="preserve">So, </w:t>
      </w:r>
      <w:r w:rsidR="006C3C4F" w:rsidRPr="00A32AB2">
        <w:rPr>
          <w:rFonts w:ascii="Garamond" w:hAnsi="Garamond"/>
          <w:sz w:val="22"/>
          <w:szCs w:val="22"/>
        </w:rPr>
        <w:t xml:space="preserve">based on </w:t>
      </w:r>
      <w:r w:rsidR="00FF2209" w:rsidRPr="00A32AB2">
        <w:rPr>
          <w:rFonts w:ascii="Garamond" w:hAnsi="Garamond" w:cs="Sylfaen"/>
          <w:sz w:val="22"/>
          <w:szCs w:val="22"/>
        </w:rPr>
        <w:t xml:space="preserve">the </w:t>
      </w:r>
      <w:r w:rsidR="00AB4F41">
        <w:rPr>
          <w:rFonts w:ascii="Garamond" w:hAnsi="Garamond" w:cs="Sylfaen"/>
          <w:sz w:val="22"/>
          <w:szCs w:val="22"/>
        </w:rPr>
        <w:t>past nine</w:t>
      </w:r>
      <w:r w:rsidR="00FF2209" w:rsidRPr="00A32AB2">
        <w:rPr>
          <w:rFonts w:ascii="Garamond" w:hAnsi="Garamond" w:cs="Sylfaen"/>
          <w:sz w:val="22"/>
          <w:szCs w:val="22"/>
        </w:rPr>
        <w:t xml:space="preserve"> </w:t>
      </w:r>
      <w:r w:rsidR="00AB4F41">
        <w:rPr>
          <w:rFonts w:ascii="Garamond" w:hAnsi="Garamond" w:cs="Sylfaen"/>
          <w:sz w:val="22"/>
          <w:szCs w:val="22"/>
        </w:rPr>
        <w:t xml:space="preserve">months’ </w:t>
      </w:r>
      <w:r w:rsidR="006C3C4F" w:rsidRPr="00A32AB2">
        <w:rPr>
          <w:rFonts w:ascii="Garamond" w:hAnsi="Garamond" w:cs="Sylfaen"/>
          <w:sz w:val="22"/>
          <w:szCs w:val="22"/>
        </w:rPr>
        <w:t xml:space="preserve">results, </w:t>
      </w:r>
      <w:r w:rsidR="004A3B43" w:rsidRPr="00A32AB2">
        <w:rPr>
          <w:rFonts w:ascii="Garamond" w:hAnsi="Garamond" w:cs="Sylfaen"/>
          <w:sz w:val="22"/>
          <w:szCs w:val="22"/>
        </w:rPr>
        <w:t xml:space="preserve">the </w:t>
      </w:r>
      <w:r w:rsidR="004A3B43" w:rsidRPr="00A32AB2">
        <w:rPr>
          <w:rFonts w:ascii="Garamond" w:hAnsi="Garamond" w:cs="Sylfaen"/>
          <w:b/>
          <w:sz w:val="22"/>
          <w:szCs w:val="22"/>
        </w:rPr>
        <w:t xml:space="preserve">economic activity </w:t>
      </w:r>
      <w:r w:rsidR="00E87661" w:rsidRPr="00A32AB2">
        <w:rPr>
          <w:rFonts w:ascii="Garamond" w:hAnsi="Garamond" w:cs="Sylfaen"/>
          <w:b/>
          <w:sz w:val="22"/>
          <w:szCs w:val="22"/>
        </w:rPr>
        <w:t xml:space="preserve">indicator </w:t>
      </w:r>
      <w:r w:rsidR="0030500E" w:rsidRPr="00A32AB2">
        <w:rPr>
          <w:rFonts w:ascii="Garamond" w:hAnsi="Garamond" w:cs="Sylfaen"/>
          <w:b/>
          <w:sz w:val="22"/>
          <w:szCs w:val="22"/>
        </w:rPr>
        <w:t>amounted to</w:t>
      </w:r>
      <w:r w:rsidR="00312EC1" w:rsidRPr="00A32AB2">
        <w:rPr>
          <w:rFonts w:ascii="Garamond" w:hAnsi="Garamond" w:cs="Sylfaen"/>
          <w:b/>
          <w:sz w:val="22"/>
          <w:szCs w:val="22"/>
        </w:rPr>
        <w:t xml:space="preserve"> </w:t>
      </w:r>
      <w:r w:rsidR="00AB4F41">
        <w:rPr>
          <w:rFonts w:ascii="Garamond" w:hAnsi="Garamond" w:cs="Sylfaen"/>
          <w:b/>
          <w:sz w:val="22"/>
          <w:szCs w:val="22"/>
        </w:rPr>
        <w:t>1</w:t>
      </w:r>
      <w:r w:rsidR="004A3B43" w:rsidRPr="00A32AB2">
        <w:rPr>
          <w:rFonts w:ascii="Garamond" w:hAnsi="Garamond" w:cs="Sylfaen"/>
          <w:b/>
          <w:sz w:val="22"/>
          <w:szCs w:val="22"/>
        </w:rPr>
        <w:t>.</w:t>
      </w:r>
      <w:r w:rsidR="00AB4F41">
        <w:rPr>
          <w:rFonts w:ascii="Garamond" w:hAnsi="Garamond" w:cs="Sylfaen"/>
          <w:b/>
          <w:sz w:val="22"/>
          <w:szCs w:val="22"/>
        </w:rPr>
        <w:t>6</w:t>
      </w:r>
      <w:r w:rsidR="004A3B43" w:rsidRPr="00A32AB2">
        <w:rPr>
          <w:rFonts w:ascii="Garamond" w:hAnsi="Garamond" w:cs="Sylfaen"/>
          <w:b/>
          <w:sz w:val="22"/>
          <w:szCs w:val="22"/>
        </w:rPr>
        <w:t xml:space="preserve">% </w:t>
      </w:r>
      <w:r w:rsidR="00FF2209" w:rsidRPr="00A32AB2">
        <w:rPr>
          <w:rFonts w:ascii="Garamond" w:hAnsi="Garamond" w:cs="Sylfaen"/>
          <w:b/>
          <w:sz w:val="22"/>
          <w:szCs w:val="22"/>
        </w:rPr>
        <w:t>y/y</w:t>
      </w:r>
      <w:r w:rsidR="004A3B43" w:rsidRPr="00A32AB2">
        <w:rPr>
          <w:rFonts w:ascii="Garamond" w:hAnsi="Garamond" w:cs="Sylfaen"/>
          <w:sz w:val="22"/>
          <w:szCs w:val="22"/>
        </w:rPr>
        <w:t>, in which case the</w:t>
      </w:r>
      <w:r w:rsidR="00FF2209" w:rsidRPr="00A32AB2">
        <w:rPr>
          <w:rFonts w:ascii="Garamond" w:hAnsi="Garamond" w:cs="Sylfaen"/>
          <w:sz w:val="22"/>
          <w:szCs w:val="22"/>
        </w:rPr>
        <w:t xml:space="preserve"> </w:t>
      </w:r>
      <w:r w:rsidR="00E36B10">
        <w:rPr>
          <w:rFonts w:ascii="Garamond" w:hAnsi="Garamond" w:cs="Sylfaen"/>
          <w:sz w:val="22"/>
          <w:szCs w:val="22"/>
        </w:rPr>
        <w:t>January-September</w:t>
      </w:r>
      <w:r w:rsidR="00FF2209" w:rsidRPr="00A32AB2">
        <w:rPr>
          <w:rFonts w:ascii="Garamond" w:hAnsi="Garamond" w:cs="Sylfaen"/>
          <w:sz w:val="22"/>
          <w:szCs w:val="22"/>
        </w:rPr>
        <w:t xml:space="preserve"> </w:t>
      </w:r>
      <w:r w:rsidR="004A3B43" w:rsidRPr="00A32AB2">
        <w:rPr>
          <w:rFonts w:ascii="Garamond" w:hAnsi="Garamond" w:cs="Sylfaen"/>
          <w:b/>
          <w:sz w:val="22"/>
          <w:szCs w:val="22"/>
        </w:rPr>
        <w:t xml:space="preserve">economic growth </w:t>
      </w:r>
      <w:r w:rsidR="0030500E" w:rsidRPr="00A32AB2">
        <w:rPr>
          <w:rFonts w:ascii="Garamond" w:hAnsi="Garamond" w:cs="Sylfaen"/>
          <w:b/>
          <w:sz w:val="22"/>
          <w:szCs w:val="22"/>
        </w:rPr>
        <w:t xml:space="preserve">is </w:t>
      </w:r>
      <w:r w:rsidR="004A3B43" w:rsidRPr="00A32AB2">
        <w:rPr>
          <w:rFonts w:ascii="Garamond" w:hAnsi="Garamond" w:cs="Sylfaen"/>
          <w:b/>
          <w:sz w:val="22"/>
          <w:szCs w:val="22"/>
        </w:rPr>
        <w:t>estimated</w:t>
      </w:r>
      <w:r w:rsidR="00E87661" w:rsidRPr="00A32AB2">
        <w:rPr>
          <w:rFonts w:ascii="Garamond" w:hAnsi="Garamond" w:cs="Sylfaen"/>
          <w:b/>
          <w:sz w:val="22"/>
          <w:szCs w:val="22"/>
          <w:lang w:val="hy-AM"/>
        </w:rPr>
        <w:t xml:space="preserve"> </w:t>
      </w:r>
      <w:r w:rsidR="004A3B43" w:rsidRPr="00A32AB2">
        <w:rPr>
          <w:rFonts w:ascii="Garamond" w:hAnsi="Garamond" w:cs="Sylfaen"/>
          <w:b/>
          <w:sz w:val="22"/>
          <w:szCs w:val="22"/>
        </w:rPr>
        <w:t xml:space="preserve">in the range of </w:t>
      </w:r>
      <w:r w:rsidR="00E36B10">
        <w:rPr>
          <w:rFonts w:ascii="Garamond" w:hAnsi="Garamond" w:cs="Sylfaen"/>
          <w:b/>
          <w:sz w:val="22"/>
          <w:szCs w:val="22"/>
        </w:rPr>
        <w:t>1</w:t>
      </w:r>
      <w:r w:rsidR="004A3B43" w:rsidRPr="00A32AB2">
        <w:rPr>
          <w:rFonts w:ascii="Garamond" w:hAnsi="Garamond" w:cs="Sylfaen"/>
          <w:b/>
          <w:sz w:val="22"/>
          <w:szCs w:val="22"/>
        </w:rPr>
        <w:t>.</w:t>
      </w:r>
      <w:r w:rsidR="00E36B10">
        <w:rPr>
          <w:rFonts w:ascii="Garamond" w:hAnsi="Garamond" w:cs="Sylfaen"/>
          <w:b/>
          <w:sz w:val="22"/>
          <w:szCs w:val="22"/>
        </w:rPr>
        <w:t>3</w:t>
      </w:r>
      <w:r w:rsidR="004A3B43" w:rsidRPr="00A32AB2">
        <w:rPr>
          <w:rFonts w:ascii="Garamond" w:hAnsi="Garamond" w:cs="Sylfaen"/>
          <w:b/>
          <w:sz w:val="22"/>
          <w:szCs w:val="22"/>
        </w:rPr>
        <w:t>-</w:t>
      </w:r>
      <w:r w:rsidR="00E36B10">
        <w:rPr>
          <w:rFonts w:ascii="Garamond" w:hAnsi="Garamond" w:cs="Sylfaen"/>
          <w:b/>
          <w:sz w:val="22"/>
          <w:szCs w:val="22"/>
        </w:rPr>
        <w:t>1</w:t>
      </w:r>
      <w:r w:rsidR="004A3B43" w:rsidRPr="00A32AB2">
        <w:rPr>
          <w:rFonts w:ascii="Garamond" w:hAnsi="Garamond" w:cs="Sylfaen"/>
          <w:b/>
          <w:sz w:val="22"/>
          <w:szCs w:val="22"/>
        </w:rPr>
        <w:t>.</w:t>
      </w:r>
      <w:r w:rsidR="00E36B10">
        <w:rPr>
          <w:rFonts w:ascii="Garamond" w:hAnsi="Garamond" w:cs="Sylfaen"/>
          <w:b/>
          <w:sz w:val="22"/>
          <w:szCs w:val="22"/>
        </w:rPr>
        <w:t>5</w:t>
      </w:r>
      <w:r w:rsidR="004A3B43" w:rsidRPr="00A32AB2">
        <w:rPr>
          <w:rFonts w:ascii="Garamond" w:hAnsi="Garamond" w:cs="Sylfaen"/>
          <w:b/>
          <w:sz w:val="22"/>
          <w:szCs w:val="22"/>
        </w:rPr>
        <w:t>% y/y</w:t>
      </w:r>
      <w:r w:rsidR="004A3B43" w:rsidRPr="00A32AB2">
        <w:rPr>
          <w:rFonts w:ascii="Garamond" w:hAnsi="Garamond" w:cs="Sylfaen"/>
          <w:sz w:val="22"/>
          <w:szCs w:val="22"/>
        </w:rPr>
        <w:t>.</w:t>
      </w:r>
      <w:r w:rsidR="00191BEF" w:rsidRPr="00A32AB2">
        <w:rPr>
          <w:rFonts w:ascii="Garamond" w:hAnsi="Garamond" w:cs="Sylfaen"/>
          <w:sz w:val="22"/>
          <w:szCs w:val="22"/>
        </w:rPr>
        <w:t xml:space="preserve"> </w:t>
      </w:r>
    </w:p>
    <w:p w14:paraId="2BC05A71" w14:textId="77777777" w:rsidR="00193B82" w:rsidRPr="00A32AB2" w:rsidRDefault="00193B82" w:rsidP="00B117C8">
      <w:pPr>
        <w:spacing w:line="360" w:lineRule="auto"/>
        <w:jc w:val="both"/>
        <w:rPr>
          <w:rFonts w:ascii="Garamond" w:hAnsi="Garamond" w:cs="GHEA Grapalat"/>
          <w:sz w:val="22"/>
          <w:szCs w:val="22"/>
        </w:rPr>
      </w:pPr>
    </w:p>
    <w:p w14:paraId="0D5A5EF2" w14:textId="77777777" w:rsidR="00193B82" w:rsidRPr="00A32AB2" w:rsidRDefault="002B2148" w:rsidP="00B117C8">
      <w:pPr>
        <w:spacing w:line="360" w:lineRule="auto"/>
        <w:jc w:val="both"/>
        <w:rPr>
          <w:rFonts w:ascii="Garamond" w:hAnsi="Garamond"/>
          <w:sz w:val="22"/>
          <w:szCs w:val="22"/>
        </w:rPr>
      </w:pPr>
      <w:r>
        <w:rPr>
          <w:rFonts w:ascii="Garamond" w:hAnsi="Garamond" w:cs="GHEA Grapalat"/>
          <w:sz w:val="22"/>
          <w:szCs w:val="22"/>
        </w:rPr>
        <w:t>There was 2</w:t>
      </w:r>
      <w:r w:rsidR="00290C7F" w:rsidRPr="00A32AB2">
        <w:rPr>
          <w:rFonts w:ascii="Garamond" w:hAnsi="Garamond" w:cs="GHEA Grapalat"/>
          <w:sz w:val="22"/>
          <w:szCs w:val="22"/>
        </w:rPr>
        <w:t>.</w:t>
      </w:r>
      <w:r>
        <w:rPr>
          <w:rFonts w:ascii="Garamond" w:hAnsi="Garamond" w:cs="GHEA Grapalat"/>
          <w:sz w:val="22"/>
          <w:szCs w:val="22"/>
        </w:rPr>
        <w:t>7</w:t>
      </w:r>
      <w:r w:rsidR="00290C7F" w:rsidRPr="00A32AB2">
        <w:rPr>
          <w:rFonts w:ascii="Garamond" w:hAnsi="Garamond" w:cs="GHEA Grapalat"/>
          <w:sz w:val="22"/>
          <w:szCs w:val="22"/>
        </w:rPr>
        <w:t>% deflation i</w:t>
      </w:r>
      <w:r w:rsidR="00193B82" w:rsidRPr="00A32AB2">
        <w:rPr>
          <w:rFonts w:ascii="Garamond" w:hAnsi="Garamond" w:cs="GHEA Grapalat"/>
          <w:sz w:val="22"/>
          <w:szCs w:val="22"/>
        </w:rPr>
        <w:t xml:space="preserve">n the </w:t>
      </w:r>
      <w:r>
        <w:rPr>
          <w:rFonts w:ascii="Garamond" w:hAnsi="Garamond" w:cs="GHEA Grapalat"/>
          <w:sz w:val="22"/>
          <w:szCs w:val="22"/>
        </w:rPr>
        <w:t xml:space="preserve">third </w:t>
      </w:r>
      <w:r w:rsidR="00193B82" w:rsidRPr="00A32AB2">
        <w:rPr>
          <w:rFonts w:ascii="Garamond" w:hAnsi="Garamond" w:cs="GHEA Grapalat"/>
          <w:sz w:val="22"/>
          <w:szCs w:val="22"/>
        </w:rPr>
        <w:t>quarter of 2016</w:t>
      </w:r>
      <w:r w:rsidR="00290C7F" w:rsidRPr="00A32AB2">
        <w:rPr>
          <w:rFonts w:ascii="Garamond" w:hAnsi="Garamond" w:cs="GHEA Grapalat"/>
          <w:sz w:val="22"/>
          <w:szCs w:val="22"/>
        </w:rPr>
        <w:t xml:space="preserve"> compared to </w:t>
      </w:r>
      <w:r>
        <w:rPr>
          <w:rFonts w:ascii="Garamond" w:hAnsi="Garamond" w:cs="GHEA Grapalat"/>
          <w:sz w:val="22"/>
          <w:szCs w:val="22"/>
        </w:rPr>
        <w:t>that of 1</w:t>
      </w:r>
      <w:r w:rsidR="00290C7F" w:rsidRPr="00A32AB2">
        <w:rPr>
          <w:rFonts w:ascii="Garamond" w:hAnsi="Garamond" w:cs="GHEA Grapalat"/>
          <w:sz w:val="22"/>
          <w:szCs w:val="22"/>
        </w:rPr>
        <w:t>.</w:t>
      </w:r>
      <w:r>
        <w:rPr>
          <w:rFonts w:ascii="Garamond" w:hAnsi="Garamond" w:cs="GHEA Grapalat"/>
          <w:sz w:val="22"/>
          <w:szCs w:val="22"/>
        </w:rPr>
        <w:t>9</w:t>
      </w:r>
      <w:r w:rsidR="00290C7F" w:rsidRPr="00A32AB2">
        <w:rPr>
          <w:rFonts w:ascii="Garamond" w:hAnsi="Garamond" w:cs="GHEA Grapalat"/>
          <w:sz w:val="22"/>
          <w:szCs w:val="22"/>
        </w:rPr>
        <w:t>% in the same period of the previous year,</w:t>
      </w:r>
      <w:r w:rsidR="00193B82" w:rsidRPr="00A32AB2">
        <w:rPr>
          <w:rFonts w:ascii="Garamond" w:hAnsi="Garamond" w:cs="GHEA Grapalat"/>
          <w:sz w:val="22"/>
          <w:szCs w:val="22"/>
        </w:rPr>
        <w:t xml:space="preserve"> </w:t>
      </w:r>
      <w:r w:rsidR="00290C7F" w:rsidRPr="00A32AB2">
        <w:rPr>
          <w:rFonts w:ascii="Garamond" w:hAnsi="Garamond" w:cs="GHEA Grapalat"/>
          <w:sz w:val="22"/>
          <w:szCs w:val="22"/>
        </w:rPr>
        <w:t xml:space="preserve">in which case </w:t>
      </w:r>
      <w:r w:rsidR="00193B82" w:rsidRPr="00A32AB2">
        <w:rPr>
          <w:rFonts w:ascii="Garamond" w:hAnsi="Garamond" w:cs="GHEA Grapalat"/>
          <w:sz w:val="22"/>
          <w:szCs w:val="22"/>
        </w:rPr>
        <w:t xml:space="preserve">the </w:t>
      </w:r>
      <w:r w:rsidR="00193B82" w:rsidRPr="00A32AB2">
        <w:rPr>
          <w:rFonts w:ascii="Garamond" w:hAnsi="Garamond" w:cs="GHEA Grapalat"/>
          <w:b/>
          <w:sz w:val="22"/>
          <w:szCs w:val="22"/>
        </w:rPr>
        <w:t>12-month inflation rate</w:t>
      </w:r>
      <w:r w:rsidR="00193B82" w:rsidRPr="00A32AB2">
        <w:rPr>
          <w:rFonts w:ascii="Garamond" w:hAnsi="Garamond" w:cs="GHEA Grapalat"/>
          <w:sz w:val="22"/>
          <w:szCs w:val="22"/>
        </w:rPr>
        <w:t xml:space="preserve"> reached </w:t>
      </w:r>
      <w:r w:rsidR="00290C7F" w:rsidRPr="00A32AB2">
        <w:rPr>
          <w:rFonts w:ascii="Garamond" w:hAnsi="Garamond" w:cs="GHEA Grapalat"/>
          <w:b/>
          <w:sz w:val="22"/>
          <w:szCs w:val="22"/>
        </w:rPr>
        <w:t>-1</w:t>
      </w:r>
      <w:r w:rsidR="00193B82" w:rsidRPr="00A32AB2">
        <w:rPr>
          <w:rFonts w:ascii="Garamond" w:hAnsi="Garamond" w:cs="GHEA Grapalat"/>
          <w:b/>
          <w:sz w:val="22"/>
          <w:szCs w:val="22"/>
        </w:rPr>
        <w:t>.</w:t>
      </w:r>
      <w:r>
        <w:rPr>
          <w:rFonts w:ascii="Garamond" w:hAnsi="Garamond" w:cs="GHEA Grapalat"/>
          <w:b/>
          <w:sz w:val="22"/>
          <w:szCs w:val="22"/>
        </w:rPr>
        <w:t>9</w:t>
      </w:r>
      <w:r w:rsidR="00193B82" w:rsidRPr="00A32AB2">
        <w:rPr>
          <w:rFonts w:ascii="Garamond" w:hAnsi="Garamond" w:cs="GHEA Grapalat"/>
          <w:b/>
          <w:sz w:val="22"/>
          <w:szCs w:val="22"/>
        </w:rPr>
        <w:t>%</w:t>
      </w:r>
      <w:r w:rsidR="00193B82" w:rsidRPr="00A32AB2">
        <w:rPr>
          <w:rFonts w:ascii="Garamond" w:hAnsi="Garamond" w:cs="GHEA Grapalat"/>
          <w:sz w:val="22"/>
          <w:szCs w:val="22"/>
        </w:rPr>
        <w:t xml:space="preserve"> at the end of </w:t>
      </w:r>
      <w:r>
        <w:rPr>
          <w:rFonts w:ascii="Garamond" w:hAnsi="Garamond" w:cs="GHEA Grapalat"/>
          <w:sz w:val="22"/>
          <w:szCs w:val="22"/>
        </w:rPr>
        <w:t>September</w:t>
      </w:r>
      <w:r w:rsidR="00193B82" w:rsidRPr="00A32AB2">
        <w:rPr>
          <w:rFonts w:ascii="Garamond" w:hAnsi="Garamond" w:cs="GHEA Grapalat"/>
          <w:sz w:val="22"/>
          <w:szCs w:val="22"/>
        </w:rPr>
        <w:t xml:space="preserve">. </w:t>
      </w:r>
      <w:r w:rsidR="00E41FE2" w:rsidRPr="00A32AB2">
        <w:rPr>
          <w:rFonts w:ascii="Garamond" w:hAnsi="Garamond" w:cs="GHEA Grapalat"/>
          <w:sz w:val="22"/>
          <w:szCs w:val="22"/>
        </w:rPr>
        <w:t xml:space="preserve">In view of the inflation environment </w:t>
      </w:r>
      <w:r w:rsidR="009667F0">
        <w:rPr>
          <w:rFonts w:ascii="Garamond" w:hAnsi="Garamond" w:cs="GHEA Grapalat"/>
          <w:sz w:val="22"/>
          <w:szCs w:val="22"/>
        </w:rPr>
        <w:t xml:space="preserve">to </w:t>
      </w:r>
      <w:r w:rsidR="00E41FE2" w:rsidRPr="00A32AB2">
        <w:rPr>
          <w:rFonts w:ascii="Garamond" w:hAnsi="Garamond" w:cs="GHEA Grapalat"/>
          <w:sz w:val="22"/>
          <w:szCs w:val="22"/>
        </w:rPr>
        <w:t>persist</w:t>
      </w:r>
      <w:r w:rsidR="009667F0">
        <w:rPr>
          <w:rFonts w:ascii="Garamond" w:hAnsi="Garamond" w:cs="GHEA Grapalat"/>
          <w:sz w:val="22"/>
          <w:szCs w:val="22"/>
        </w:rPr>
        <w:t xml:space="preserve"> </w:t>
      </w:r>
      <w:r w:rsidR="00E41FE2" w:rsidRPr="00A32AB2">
        <w:rPr>
          <w:rFonts w:ascii="Garamond" w:hAnsi="Garamond" w:cs="GHEA Grapalat"/>
          <w:sz w:val="22"/>
          <w:szCs w:val="22"/>
        </w:rPr>
        <w:t xml:space="preserve">at a low </w:t>
      </w:r>
      <w:r w:rsidR="009667F0">
        <w:rPr>
          <w:rFonts w:ascii="Garamond" w:hAnsi="Garamond" w:cs="GHEA Grapalat"/>
          <w:sz w:val="22"/>
          <w:szCs w:val="22"/>
        </w:rPr>
        <w:t xml:space="preserve">level </w:t>
      </w:r>
      <w:r w:rsidR="00E41FE2" w:rsidRPr="00A32AB2">
        <w:rPr>
          <w:rFonts w:ascii="Garamond" w:hAnsi="Garamond" w:cs="GHEA Grapalat"/>
          <w:sz w:val="22"/>
          <w:szCs w:val="22"/>
        </w:rPr>
        <w:t>in the upcoming months</w:t>
      </w:r>
      <w:r w:rsidR="009667F0">
        <w:rPr>
          <w:rFonts w:ascii="Garamond" w:hAnsi="Garamond" w:cs="GHEA Grapalat"/>
          <w:sz w:val="22"/>
          <w:szCs w:val="22"/>
        </w:rPr>
        <w:t xml:space="preserve">, sluggish domestic demand </w:t>
      </w:r>
      <w:r w:rsidR="00E41FE2" w:rsidRPr="00A32AB2">
        <w:rPr>
          <w:rFonts w:ascii="Garamond" w:hAnsi="Garamond" w:cs="GHEA Grapalat"/>
          <w:sz w:val="22"/>
          <w:szCs w:val="22"/>
        </w:rPr>
        <w:t>and</w:t>
      </w:r>
      <w:r w:rsidR="009667F0">
        <w:rPr>
          <w:rFonts w:ascii="Garamond" w:hAnsi="Garamond" w:cs="GHEA Grapalat"/>
          <w:sz w:val="22"/>
          <w:szCs w:val="22"/>
        </w:rPr>
        <w:t xml:space="preserve"> the</w:t>
      </w:r>
      <w:r w:rsidR="00E41FE2" w:rsidRPr="00A32AB2">
        <w:rPr>
          <w:rFonts w:ascii="Garamond" w:hAnsi="Garamond" w:cs="GHEA Grapalat"/>
          <w:sz w:val="22"/>
          <w:szCs w:val="22"/>
        </w:rPr>
        <w:t xml:space="preserve"> inflation expectations further mitigating, the CBA continued to loosen monetary conditions in the </w:t>
      </w:r>
      <w:r w:rsidR="009667F0">
        <w:rPr>
          <w:rFonts w:ascii="Garamond" w:hAnsi="Garamond" w:cs="GHEA Grapalat"/>
          <w:sz w:val="22"/>
          <w:szCs w:val="22"/>
        </w:rPr>
        <w:t>third q</w:t>
      </w:r>
      <w:r w:rsidR="00E41FE2" w:rsidRPr="00A32AB2">
        <w:rPr>
          <w:rFonts w:ascii="Garamond" w:hAnsi="Garamond" w:cs="GHEA Grapalat"/>
          <w:sz w:val="22"/>
          <w:szCs w:val="22"/>
        </w:rPr>
        <w:t>uarter</w:t>
      </w:r>
      <w:r w:rsidR="009667F0">
        <w:rPr>
          <w:rFonts w:ascii="Garamond" w:hAnsi="Garamond" w:cs="GHEA Grapalat"/>
          <w:sz w:val="22"/>
          <w:szCs w:val="22"/>
        </w:rPr>
        <w:t xml:space="preserve"> as well</w:t>
      </w:r>
      <w:r w:rsidR="00E41FE2" w:rsidRPr="00A32AB2">
        <w:rPr>
          <w:rFonts w:ascii="Garamond" w:hAnsi="Garamond" w:cs="GHEA Grapalat"/>
          <w:sz w:val="22"/>
          <w:szCs w:val="22"/>
        </w:rPr>
        <w:t xml:space="preserve">: the refinancing rate was lowered by a total of 0.75 pp to </w:t>
      </w:r>
      <w:r w:rsidR="009667F0">
        <w:rPr>
          <w:rFonts w:ascii="Garamond" w:hAnsi="Garamond" w:cs="GHEA Grapalat"/>
          <w:sz w:val="22"/>
          <w:szCs w:val="22"/>
        </w:rPr>
        <w:t>6.</w:t>
      </w:r>
      <w:r w:rsidR="00E41FE2" w:rsidRPr="00A32AB2">
        <w:rPr>
          <w:rFonts w:ascii="Garamond" w:hAnsi="Garamond" w:cs="GHEA Grapalat"/>
          <w:sz w:val="22"/>
          <w:szCs w:val="22"/>
        </w:rPr>
        <w:t xml:space="preserve">75% in late </w:t>
      </w:r>
      <w:r w:rsidR="009667F0">
        <w:rPr>
          <w:rFonts w:ascii="Garamond" w:hAnsi="Garamond" w:cs="GHEA Grapalat"/>
          <w:sz w:val="22"/>
          <w:szCs w:val="22"/>
        </w:rPr>
        <w:t>September</w:t>
      </w:r>
      <w:r w:rsidR="00E41FE2" w:rsidRPr="00A32AB2">
        <w:rPr>
          <w:rFonts w:ascii="Garamond" w:hAnsi="Garamond" w:cs="GHEA Grapalat"/>
          <w:sz w:val="22"/>
          <w:szCs w:val="22"/>
        </w:rPr>
        <w:t xml:space="preserve"> </w:t>
      </w:r>
      <w:r w:rsidR="00DB26F7">
        <w:rPr>
          <w:rFonts w:ascii="Garamond" w:hAnsi="Garamond"/>
          <w:sz w:val="22"/>
          <w:szCs w:val="22"/>
        </w:rPr>
        <w:t>(see details in section “</w:t>
      </w:r>
      <w:r w:rsidR="00420C07">
        <w:rPr>
          <w:rFonts w:ascii="Garamond" w:hAnsi="Garamond"/>
          <w:sz w:val="22"/>
          <w:szCs w:val="22"/>
        </w:rPr>
        <w:t>3</w:t>
      </w:r>
      <w:r w:rsidR="00E41FE2" w:rsidRPr="00A32AB2">
        <w:rPr>
          <w:rFonts w:ascii="Garamond" w:hAnsi="Garamond"/>
          <w:sz w:val="22"/>
          <w:szCs w:val="22"/>
        </w:rPr>
        <w:t>.1.1</w:t>
      </w:r>
      <w:r w:rsidR="00A56248" w:rsidRPr="00A32AB2">
        <w:rPr>
          <w:rFonts w:ascii="Garamond" w:hAnsi="Garamond"/>
          <w:sz w:val="22"/>
          <w:szCs w:val="22"/>
        </w:rPr>
        <w:t>.</w:t>
      </w:r>
      <w:r w:rsidR="00E41FE2" w:rsidRPr="00A32AB2">
        <w:rPr>
          <w:rFonts w:ascii="Garamond" w:hAnsi="Garamond"/>
          <w:sz w:val="22"/>
          <w:szCs w:val="22"/>
        </w:rPr>
        <w:t xml:space="preserve"> Actual inflation and fulfillment of the inflation target”).</w:t>
      </w:r>
      <w:r w:rsidR="00E41FE2" w:rsidRPr="00A32AB2">
        <w:rPr>
          <w:rFonts w:ascii="Garamond" w:hAnsi="Garamond" w:cs="GHEA Grapalat"/>
          <w:sz w:val="22"/>
          <w:szCs w:val="22"/>
        </w:rPr>
        <w:t xml:space="preserve"> </w:t>
      </w:r>
    </w:p>
    <w:p w14:paraId="5EF91EBD" w14:textId="77777777" w:rsidR="008C57FB" w:rsidRPr="00A32AB2" w:rsidRDefault="008C57FB" w:rsidP="00B117C8">
      <w:pPr>
        <w:spacing w:line="360" w:lineRule="auto"/>
        <w:jc w:val="both"/>
        <w:rPr>
          <w:rFonts w:ascii="Garamond" w:hAnsi="Garamond"/>
          <w:sz w:val="22"/>
          <w:szCs w:val="22"/>
        </w:rPr>
      </w:pPr>
    </w:p>
    <w:p w14:paraId="161D14AD" w14:textId="77777777" w:rsidR="00F5151D" w:rsidRDefault="00507533" w:rsidP="00B117C8">
      <w:pPr>
        <w:spacing w:line="360" w:lineRule="auto"/>
        <w:jc w:val="both"/>
        <w:rPr>
          <w:rFonts w:ascii="Garamond" w:hAnsi="Garamond"/>
          <w:sz w:val="22"/>
          <w:szCs w:val="22"/>
        </w:rPr>
      </w:pPr>
      <w:r>
        <w:rPr>
          <w:rFonts w:ascii="Garamond" w:hAnsi="Garamond"/>
          <w:b/>
          <w:sz w:val="22"/>
          <w:szCs w:val="22"/>
        </w:rPr>
        <w:t xml:space="preserve">According to the CBA </w:t>
      </w:r>
      <w:r w:rsidR="008C57FB" w:rsidRPr="00DB26F7">
        <w:rPr>
          <w:rFonts w:ascii="Garamond" w:hAnsi="Garamond"/>
          <w:b/>
          <w:sz w:val="22"/>
          <w:szCs w:val="22"/>
        </w:rPr>
        <w:t>forecasts</w:t>
      </w:r>
      <w:r w:rsidR="008B4B41" w:rsidRPr="00DB26F7">
        <w:rPr>
          <w:rFonts w:ascii="Garamond" w:hAnsi="Garamond"/>
          <w:sz w:val="22"/>
          <w:szCs w:val="22"/>
        </w:rPr>
        <w:t>,</w:t>
      </w:r>
      <w:r w:rsidR="008B4B41" w:rsidRPr="00DB26F7">
        <w:rPr>
          <w:rFonts w:ascii="Garamond" w:hAnsi="Garamond"/>
          <w:b/>
          <w:sz w:val="22"/>
          <w:szCs w:val="22"/>
        </w:rPr>
        <w:t xml:space="preserve"> </w:t>
      </w:r>
      <w:r w:rsidRPr="00507533">
        <w:rPr>
          <w:rFonts w:ascii="Garamond" w:hAnsi="Garamond"/>
          <w:sz w:val="22"/>
          <w:szCs w:val="22"/>
        </w:rPr>
        <w:t xml:space="preserve">in the external sector in 2016 </w:t>
      </w:r>
      <w:r>
        <w:rPr>
          <w:rFonts w:ascii="Garamond" w:hAnsi="Garamond"/>
          <w:sz w:val="22"/>
          <w:szCs w:val="22"/>
        </w:rPr>
        <w:t xml:space="preserve">slow economic growth rates will continue </w:t>
      </w:r>
      <w:r w:rsidRPr="00507533">
        <w:rPr>
          <w:rFonts w:ascii="Garamond" w:hAnsi="Garamond"/>
          <w:sz w:val="22"/>
          <w:szCs w:val="22"/>
        </w:rPr>
        <w:t xml:space="preserve">and </w:t>
      </w:r>
      <w:r>
        <w:rPr>
          <w:rFonts w:ascii="Garamond" w:hAnsi="Garamond"/>
          <w:sz w:val="22"/>
          <w:szCs w:val="22"/>
        </w:rPr>
        <w:t xml:space="preserve">mainly </w:t>
      </w:r>
      <w:r w:rsidRPr="00507533">
        <w:rPr>
          <w:rFonts w:ascii="Garamond" w:hAnsi="Garamond"/>
          <w:sz w:val="22"/>
          <w:szCs w:val="22"/>
        </w:rPr>
        <w:t xml:space="preserve">weak inflationary developments </w:t>
      </w:r>
      <w:r>
        <w:rPr>
          <w:rFonts w:ascii="Garamond" w:hAnsi="Garamond"/>
          <w:sz w:val="22"/>
          <w:szCs w:val="22"/>
        </w:rPr>
        <w:t xml:space="preserve">will be seen </w:t>
      </w:r>
      <w:r w:rsidRPr="00507533">
        <w:rPr>
          <w:rFonts w:ascii="Garamond" w:hAnsi="Garamond"/>
          <w:sz w:val="22"/>
          <w:szCs w:val="22"/>
        </w:rPr>
        <w:t>in international commodity markets</w:t>
      </w:r>
      <w:r>
        <w:rPr>
          <w:rFonts w:ascii="Garamond" w:hAnsi="Garamond"/>
          <w:sz w:val="22"/>
          <w:szCs w:val="22"/>
        </w:rPr>
        <w:t>.</w:t>
      </w:r>
      <w:r w:rsidRPr="00507533">
        <w:rPr>
          <w:rFonts w:ascii="Garamond" w:hAnsi="Garamond"/>
          <w:sz w:val="22"/>
          <w:szCs w:val="22"/>
        </w:rPr>
        <w:t xml:space="preserve"> </w:t>
      </w:r>
      <w:r w:rsidR="00D731F9">
        <w:rPr>
          <w:rFonts w:ascii="Garamond" w:hAnsi="Garamond"/>
          <w:sz w:val="22"/>
          <w:szCs w:val="22"/>
        </w:rPr>
        <w:t xml:space="preserve">As </w:t>
      </w:r>
      <w:r w:rsidR="00D731F9" w:rsidRPr="00D731F9">
        <w:rPr>
          <w:rFonts w:ascii="Garamond" w:hAnsi="Garamond"/>
          <w:sz w:val="22"/>
          <w:szCs w:val="22"/>
        </w:rPr>
        <w:t xml:space="preserve">the Russian economy </w:t>
      </w:r>
      <w:r w:rsidR="00D731F9">
        <w:rPr>
          <w:rFonts w:ascii="Garamond" w:hAnsi="Garamond"/>
          <w:sz w:val="22"/>
          <w:szCs w:val="22"/>
        </w:rPr>
        <w:t xml:space="preserve">declines at a </w:t>
      </w:r>
      <w:r w:rsidR="00D731F9" w:rsidRPr="00D731F9">
        <w:rPr>
          <w:rFonts w:ascii="Garamond" w:hAnsi="Garamond"/>
          <w:sz w:val="22"/>
          <w:szCs w:val="22"/>
        </w:rPr>
        <w:t>slow</w:t>
      </w:r>
      <w:r w:rsidR="00D731F9">
        <w:rPr>
          <w:rFonts w:ascii="Garamond" w:hAnsi="Garamond"/>
          <w:sz w:val="22"/>
          <w:szCs w:val="22"/>
        </w:rPr>
        <w:t>er pace</w:t>
      </w:r>
      <w:r w:rsidR="00D731F9" w:rsidRPr="00D731F9">
        <w:rPr>
          <w:rFonts w:ascii="Garamond" w:hAnsi="Garamond"/>
          <w:sz w:val="22"/>
          <w:szCs w:val="22"/>
        </w:rPr>
        <w:t xml:space="preserve"> </w:t>
      </w:r>
      <w:r w:rsidR="00D731F9">
        <w:rPr>
          <w:rFonts w:ascii="Garamond" w:hAnsi="Garamond"/>
          <w:sz w:val="22"/>
          <w:szCs w:val="22"/>
        </w:rPr>
        <w:t>there will be much less narrowing of inflow of seasonal</w:t>
      </w:r>
      <w:r w:rsidR="00D731F9" w:rsidRPr="00D731F9">
        <w:rPr>
          <w:rFonts w:ascii="Garamond" w:hAnsi="Garamond"/>
          <w:sz w:val="22"/>
          <w:szCs w:val="22"/>
        </w:rPr>
        <w:t xml:space="preserve"> work</w:t>
      </w:r>
      <w:r w:rsidR="00D731F9">
        <w:rPr>
          <w:rFonts w:ascii="Garamond" w:hAnsi="Garamond"/>
          <w:sz w:val="22"/>
          <w:szCs w:val="22"/>
        </w:rPr>
        <w:t xml:space="preserve"> income </w:t>
      </w:r>
      <w:r w:rsidR="00D731F9" w:rsidRPr="00D731F9">
        <w:rPr>
          <w:rFonts w:ascii="Garamond" w:hAnsi="Garamond"/>
          <w:sz w:val="22"/>
          <w:szCs w:val="22"/>
        </w:rPr>
        <w:t xml:space="preserve">and private transfers, but its impact on </w:t>
      </w:r>
      <w:r w:rsidR="00D731F9">
        <w:rPr>
          <w:rFonts w:ascii="Garamond" w:hAnsi="Garamond"/>
          <w:sz w:val="22"/>
          <w:szCs w:val="22"/>
        </w:rPr>
        <w:t xml:space="preserve">the recovering of </w:t>
      </w:r>
      <w:r w:rsidR="00D731F9" w:rsidRPr="00D731F9">
        <w:rPr>
          <w:rFonts w:ascii="Garamond" w:hAnsi="Garamond"/>
          <w:sz w:val="22"/>
          <w:szCs w:val="22"/>
        </w:rPr>
        <w:t>domestic demand</w:t>
      </w:r>
      <w:r w:rsidR="00D731F9">
        <w:rPr>
          <w:rFonts w:ascii="Garamond" w:hAnsi="Garamond"/>
          <w:sz w:val="22"/>
          <w:szCs w:val="22"/>
        </w:rPr>
        <w:t xml:space="preserve"> thus private consumption will </w:t>
      </w:r>
      <w:r w:rsidR="00C12895">
        <w:rPr>
          <w:rFonts w:ascii="Garamond" w:hAnsi="Garamond"/>
          <w:sz w:val="22"/>
          <w:szCs w:val="22"/>
        </w:rPr>
        <w:t>be largely offset b</w:t>
      </w:r>
      <w:r w:rsidR="00D731F9" w:rsidRPr="00D731F9">
        <w:rPr>
          <w:rFonts w:ascii="Garamond" w:hAnsi="Garamond"/>
          <w:sz w:val="22"/>
          <w:szCs w:val="22"/>
        </w:rPr>
        <w:t xml:space="preserve">y </w:t>
      </w:r>
      <w:r w:rsidR="00C12895">
        <w:rPr>
          <w:rFonts w:ascii="Garamond" w:hAnsi="Garamond"/>
          <w:sz w:val="22"/>
          <w:szCs w:val="22"/>
        </w:rPr>
        <w:t xml:space="preserve">an anticipated low domestic economic growth effect. In this circumstance, </w:t>
      </w:r>
      <w:r w:rsidR="00C12895" w:rsidRPr="00C12895">
        <w:rPr>
          <w:rFonts w:ascii="Garamond" w:hAnsi="Garamond"/>
          <w:sz w:val="22"/>
          <w:szCs w:val="22"/>
        </w:rPr>
        <w:t xml:space="preserve">private consumption </w:t>
      </w:r>
      <w:r w:rsidR="00C12895">
        <w:rPr>
          <w:rFonts w:ascii="Garamond" w:hAnsi="Garamond"/>
          <w:sz w:val="22"/>
          <w:szCs w:val="22"/>
        </w:rPr>
        <w:t xml:space="preserve">will grow by about </w:t>
      </w:r>
      <w:r w:rsidR="00C12895" w:rsidRPr="00C12895">
        <w:rPr>
          <w:rFonts w:ascii="Garamond" w:hAnsi="Garamond"/>
          <w:sz w:val="22"/>
          <w:szCs w:val="22"/>
        </w:rPr>
        <w:t xml:space="preserve">0.8% </w:t>
      </w:r>
      <w:r w:rsidR="00C12895">
        <w:rPr>
          <w:rFonts w:ascii="Garamond" w:hAnsi="Garamond"/>
          <w:sz w:val="22"/>
          <w:szCs w:val="22"/>
        </w:rPr>
        <w:t xml:space="preserve">but private investment shrink by nearly </w:t>
      </w:r>
      <w:r w:rsidR="00C12895" w:rsidRPr="00C12895">
        <w:rPr>
          <w:rFonts w:ascii="Garamond" w:hAnsi="Garamond"/>
          <w:sz w:val="22"/>
          <w:szCs w:val="22"/>
        </w:rPr>
        <w:t>3.5%</w:t>
      </w:r>
      <w:r w:rsidR="00C12895">
        <w:rPr>
          <w:rFonts w:ascii="Garamond" w:hAnsi="Garamond"/>
          <w:sz w:val="22"/>
          <w:szCs w:val="22"/>
        </w:rPr>
        <w:t xml:space="preserve">, according to the 2016 forecast. </w:t>
      </w:r>
      <w:r w:rsidR="00F7220A">
        <w:rPr>
          <w:rFonts w:ascii="Garamond" w:hAnsi="Garamond"/>
          <w:sz w:val="22"/>
          <w:szCs w:val="22"/>
        </w:rPr>
        <w:t>The c</w:t>
      </w:r>
      <w:r w:rsidR="00F7220A" w:rsidRPr="00F7220A">
        <w:rPr>
          <w:rFonts w:ascii="Garamond" w:hAnsi="Garamond"/>
          <w:sz w:val="22"/>
          <w:szCs w:val="22"/>
        </w:rPr>
        <w:t xml:space="preserve">onsumption growth will be </w:t>
      </w:r>
      <w:r w:rsidR="00F7220A">
        <w:rPr>
          <w:rFonts w:ascii="Garamond" w:hAnsi="Garamond"/>
          <w:sz w:val="22"/>
          <w:szCs w:val="22"/>
        </w:rPr>
        <w:t>sustained thanks to an</w:t>
      </w:r>
      <w:r w:rsidR="00F7220A" w:rsidRPr="00F7220A">
        <w:rPr>
          <w:rFonts w:ascii="Garamond" w:hAnsi="Garamond"/>
          <w:sz w:val="22"/>
          <w:szCs w:val="22"/>
        </w:rPr>
        <w:t xml:space="preserve"> expansionary monetary policy </w:t>
      </w:r>
      <w:r w:rsidR="00F7220A">
        <w:rPr>
          <w:rFonts w:ascii="Garamond" w:hAnsi="Garamond"/>
          <w:sz w:val="22"/>
          <w:szCs w:val="22"/>
        </w:rPr>
        <w:t>conducted since 2015, fiscal stimulus provided by t</w:t>
      </w:r>
      <w:r w:rsidR="00F7220A" w:rsidRPr="00F7220A">
        <w:rPr>
          <w:rFonts w:ascii="Garamond" w:hAnsi="Garamond"/>
          <w:sz w:val="22"/>
          <w:szCs w:val="22"/>
        </w:rPr>
        <w:t xml:space="preserve">he Government </w:t>
      </w:r>
      <w:r w:rsidR="00F7220A">
        <w:rPr>
          <w:rFonts w:ascii="Garamond" w:hAnsi="Garamond"/>
          <w:sz w:val="22"/>
          <w:szCs w:val="22"/>
        </w:rPr>
        <w:t xml:space="preserve">of Armenia in 2016 and the </w:t>
      </w:r>
      <w:r w:rsidR="00F7220A" w:rsidRPr="00F7220A">
        <w:rPr>
          <w:rFonts w:ascii="Garamond" w:hAnsi="Garamond"/>
          <w:sz w:val="22"/>
          <w:szCs w:val="22"/>
        </w:rPr>
        <w:t>current</w:t>
      </w:r>
      <w:r w:rsidR="00F7220A">
        <w:rPr>
          <w:rFonts w:ascii="Garamond" w:hAnsi="Garamond"/>
          <w:sz w:val="22"/>
          <w:szCs w:val="22"/>
        </w:rPr>
        <w:t>ly</w:t>
      </w:r>
      <w:r w:rsidR="00F7220A" w:rsidRPr="00F7220A">
        <w:rPr>
          <w:rFonts w:ascii="Garamond" w:hAnsi="Garamond"/>
          <w:sz w:val="22"/>
          <w:szCs w:val="22"/>
        </w:rPr>
        <w:t xml:space="preserve"> deflationary environment</w:t>
      </w:r>
      <w:r w:rsidR="00F7220A">
        <w:rPr>
          <w:rFonts w:ascii="Garamond" w:hAnsi="Garamond"/>
          <w:sz w:val="22"/>
          <w:szCs w:val="22"/>
        </w:rPr>
        <w:t xml:space="preserve"> in the economy</w:t>
      </w:r>
      <w:r w:rsidR="00F7220A" w:rsidRPr="00F7220A">
        <w:rPr>
          <w:rFonts w:ascii="Garamond" w:hAnsi="Garamond"/>
          <w:sz w:val="22"/>
          <w:szCs w:val="22"/>
        </w:rPr>
        <w:t xml:space="preserve">. The decline in investment </w:t>
      </w:r>
      <w:r w:rsidR="00C95F08">
        <w:rPr>
          <w:rFonts w:ascii="Garamond" w:hAnsi="Garamond"/>
          <w:sz w:val="22"/>
          <w:szCs w:val="22"/>
        </w:rPr>
        <w:t xml:space="preserve">will be attributable to </w:t>
      </w:r>
      <w:r w:rsidR="00F7220A" w:rsidRPr="00F7220A">
        <w:rPr>
          <w:rFonts w:ascii="Garamond" w:hAnsi="Garamond"/>
          <w:sz w:val="22"/>
          <w:szCs w:val="22"/>
        </w:rPr>
        <w:t>l</w:t>
      </w:r>
      <w:r w:rsidR="00C95F08">
        <w:rPr>
          <w:rFonts w:ascii="Garamond" w:hAnsi="Garamond"/>
          <w:sz w:val="22"/>
          <w:szCs w:val="22"/>
        </w:rPr>
        <w:t xml:space="preserve">ow activity in the construction </w:t>
      </w:r>
      <w:r w:rsidR="00F7220A" w:rsidRPr="00F7220A">
        <w:rPr>
          <w:rFonts w:ascii="Garamond" w:hAnsi="Garamond"/>
          <w:sz w:val="22"/>
          <w:szCs w:val="22"/>
        </w:rPr>
        <w:t>sector.</w:t>
      </w:r>
      <w:r w:rsidR="00C12895">
        <w:rPr>
          <w:rFonts w:ascii="Garamond" w:hAnsi="Garamond"/>
          <w:sz w:val="22"/>
          <w:szCs w:val="22"/>
        </w:rPr>
        <w:t xml:space="preserve"> </w:t>
      </w:r>
      <w:r w:rsidR="00C95F08">
        <w:rPr>
          <w:rFonts w:ascii="Garamond" w:hAnsi="Garamond"/>
          <w:sz w:val="22"/>
          <w:szCs w:val="22"/>
        </w:rPr>
        <w:t xml:space="preserve">In the light of these developments, </w:t>
      </w:r>
      <w:r w:rsidR="00C95F08" w:rsidRPr="00CE4CC8">
        <w:rPr>
          <w:rFonts w:ascii="Garamond" w:hAnsi="Garamond"/>
          <w:b/>
          <w:sz w:val="22"/>
          <w:szCs w:val="22"/>
        </w:rPr>
        <w:t>the 2016 economic growth is estimated to be within 1.3-1.8%</w:t>
      </w:r>
      <w:r w:rsidR="00C95F08" w:rsidRPr="00C95F08">
        <w:rPr>
          <w:rFonts w:ascii="Garamond" w:hAnsi="Garamond"/>
          <w:sz w:val="22"/>
          <w:szCs w:val="22"/>
        </w:rPr>
        <w:t xml:space="preserve">. </w:t>
      </w:r>
      <w:r w:rsidR="00CE4CC8">
        <w:rPr>
          <w:rFonts w:ascii="Garamond" w:hAnsi="Garamond"/>
          <w:sz w:val="22"/>
          <w:szCs w:val="22"/>
        </w:rPr>
        <w:lastRenderedPageBreak/>
        <w:t xml:space="preserve">It will be </w:t>
      </w:r>
      <w:proofErr w:type="spellStart"/>
      <w:r w:rsidR="00CE4CC8">
        <w:rPr>
          <w:rFonts w:ascii="Garamond" w:hAnsi="Garamond"/>
          <w:sz w:val="22"/>
          <w:szCs w:val="22"/>
        </w:rPr>
        <w:t>fuelled</w:t>
      </w:r>
      <w:proofErr w:type="spellEnd"/>
      <w:r w:rsidR="00CE4CC8">
        <w:rPr>
          <w:rFonts w:ascii="Garamond" w:hAnsi="Garamond"/>
          <w:sz w:val="22"/>
          <w:szCs w:val="22"/>
        </w:rPr>
        <w:t xml:space="preserve"> primarily by </w:t>
      </w:r>
      <w:r w:rsidR="00CE4CC8" w:rsidRPr="00CE4CC8">
        <w:rPr>
          <w:rFonts w:ascii="Garamond" w:hAnsi="Garamond"/>
          <w:b/>
          <w:sz w:val="22"/>
          <w:szCs w:val="22"/>
        </w:rPr>
        <w:t xml:space="preserve">net </w:t>
      </w:r>
      <w:r w:rsidR="00C95F08" w:rsidRPr="00CE4CC8">
        <w:rPr>
          <w:rFonts w:ascii="Garamond" w:hAnsi="Garamond"/>
          <w:b/>
          <w:sz w:val="22"/>
          <w:szCs w:val="22"/>
        </w:rPr>
        <w:t>exports</w:t>
      </w:r>
      <w:r w:rsidR="00CE4CC8">
        <w:rPr>
          <w:rFonts w:ascii="Garamond" w:hAnsi="Garamond"/>
          <w:sz w:val="22"/>
          <w:szCs w:val="22"/>
        </w:rPr>
        <w:t xml:space="preserve"> </w:t>
      </w:r>
      <w:r w:rsidR="00593603">
        <w:rPr>
          <w:rFonts w:ascii="Garamond" w:hAnsi="Garamond"/>
          <w:sz w:val="22"/>
          <w:szCs w:val="22"/>
        </w:rPr>
        <w:t xml:space="preserve">as </w:t>
      </w:r>
      <w:r w:rsidR="00C95F08" w:rsidRPr="00C95F08">
        <w:rPr>
          <w:rFonts w:ascii="Garamond" w:hAnsi="Garamond"/>
          <w:sz w:val="22"/>
          <w:szCs w:val="22"/>
        </w:rPr>
        <w:t>economic activity accelerate</w:t>
      </w:r>
      <w:r w:rsidR="00CE4CC8">
        <w:rPr>
          <w:rFonts w:ascii="Garamond" w:hAnsi="Garamond"/>
          <w:sz w:val="22"/>
          <w:szCs w:val="22"/>
        </w:rPr>
        <w:t xml:space="preserve">s in main partner countries on the one hand, and </w:t>
      </w:r>
      <w:r w:rsidR="00593603">
        <w:rPr>
          <w:rFonts w:ascii="Garamond" w:hAnsi="Garamond"/>
          <w:sz w:val="22"/>
          <w:szCs w:val="22"/>
        </w:rPr>
        <w:t xml:space="preserve">external </w:t>
      </w:r>
      <w:r w:rsidR="00CE4CC8">
        <w:rPr>
          <w:rFonts w:ascii="Garamond" w:hAnsi="Garamond"/>
          <w:sz w:val="22"/>
          <w:szCs w:val="22"/>
        </w:rPr>
        <w:t>demand</w:t>
      </w:r>
      <w:r w:rsidR="00593603">
        <w:rPr>
          <w:rFonts w:ascii="Garamond" w:hAnsi="Garamond"/>
          <w:sz w:val="22"/>
          <w:szCs w:val="22"/>
        </w:rPr>
        <w:t xml:space="preserve"> brings in </w:t>
      </w:r>
      <w:r w:rsidR="00C95F08" w:rsidRPr="00C95F08">
        <w:rPr>
          <w:rFonts w:ascii="Garamond" w:hAnsi="Garamond"/>
          <w:sz w:val="22"/>
          <w:szCs w:val="22"/>
        </w:rPr>
        <w:t xml:space="preserve">positive developments in the </w:t>
      </w:r>
      <w:r w:rsidR="00CE4CC8">
        <w:rPr>
          <w:rFonts w:ascii="Garamond" w:hAnsi="Garamond"/>
          <w:sz w:val="22"/>
          <w:szCs w:val="22"/>
        </w:rPr>
        <w:t>tradable sector</w:t>
      </w:r>
      <w:r w:rsidR="00C95F08" w:rsidRPr="00C95F08">
        <w:rPr>
          <w:rFonts w:ascii="Garamond" w:hAnsi="Garamond"/>
          <w:sz w:val="22"/>
          <w:szCs w:val="22"/>
        </w:rPr>
        <w:t xml:space="preserve">, </w:t>
      </w:r>
      <w:r w:rsidR="00CE4CC8">
        <w:rPr>
          <w:rFonts w:ascii="Garamond" w:hAnsi="Garamond"/>
          <w:sz w:val="22"/>
          <w:szCs w:val="22"/>
        </w:rPr>
        <w:t xml:space="preserve">on the other, </w:t>
      </w:r>
      <w:r w:rsidR="00C95F08" w:rsidRPr="00C95F08">
        <w:rPr>
          <w:rFonts w:ascii="Garamond" w:hAnsi="Garamond"/>
          <w:sz w:val="22"/>
          <w:szCs w:val="22"/>
        </w:rPr>
        <w:t xml:space="preserve">which </w:t>
      </w:r>
      <w:r w:rsidR="00593603">
        <w:rPr>
          <w:rFonts w:ascii="Garamond" w:hAnsi="Garamond"/>
          <w:sz w:val="22"/>
          <w:szCs w:val="22"/>
        </w:rPr>
        <w:t>was</w:t>
      </w:r>
      <w:r w:rsidR="00C95F08" w:rsidRPr="00C95F08">
        <w:rPr>
          <w:rFonts w:ascii="Garamond" w:hAnsi="Garamond"/>
          <w:sz w:val="22"/>
          <w:szCs w:val="22"/>
        </w:rPr>
        <w:t xml:space="preserve"> </w:t>
      </w:r>
      <w:r w:rsidR="00593603">
        <w:rPr>
          <w:rFonts w:ascii="Garamond" w:hAnsi="Garamond"/>
          <w:sz w:val="22"/>
          <w:szCs w:val="22"/>
        </w:rPr>
        <w:t xml:space="preserve">in turn fostered by </w:t>
      </w:r>
      <w:r w:rsidR="00C95F08" w:rsidRPr="00C95F08">
        <w:rPr>
          <w:rFonts w:ascii="Garamond" w:hAnsi="Garamond"/>
          <w:sz w:val="22"/>
          <w:szCs w:val="22"/>
        </w:rPr>
        <w:t xml:space="preserve">a </w:t>
      </w:r>
      <w:r w:rsidR="00C95F08" w:rsidRPr="00F4313E">
        <w:rPr>
          <w:rFonts w:ascii="Garamond" w:hAnsi="Garamond"/>
          <w:b/>
          <w:sz w:val="22"/>
          <w:szCs w:val="22"/>
        </w:rPr>
        <w:t>consistent monetary policy by the C</w:t>
      </w:r>
      <w:r w:rsidR="00593603" w:rsidRPr="00F4313E">
        <w:rPr>
          <w:rFonts w:ascii="Garamond" w:hAnsi="Garamond"/>
          <w:b/>
          <w:sz w:val="22"/>
          <w:szCs w:val="22"/>
        </w:rPr>
        <w:t xml:space="preserve">BA and risen competitiveness of firms that benefited a lower inflation </w:t>
      </w:r>
      <w:r w:rsidR="00C95F08" w:rsidRPr="00F4313E">
        <w:rPr>
          <w:rFonts w:ascii="Garamond" w:hAnsi="Garamond"/>
          <w:b/>
          <w:sz w:val="22"/>
          <w:szCs w:val="22"/>
        </w:rPr>
        <w:t>compared with t</w:t>
      </w:r>
      <w:r w:rsidR="00593603" w:rsidRPr="00F4313E">
        <w:rPr>
          <w:rFonts w:ascii="Garamond" w:hAnsi="Garamond"/>
          <w:b/>
          <w:sz w:val="22"/>
          <w:szCs w:val="22"/>
        </w:rPr>
        <w:t xml:space="preserve">rade </w:t>
      </w:r>
      <w:r w:rsidR="00F4313E">
        <w:rPr>
          <w:rFonts w:ascii="Garamond" w:hAnsi="Garamond"/>
          <w:b/>
          <w:sz w:val="22"/>
          <w:szCs w:val="22"/>
        </w:rPr>
        <w:t>partner countries</w:t>
      </w:r>
      <w:r w:rsidR="00C12895" w:rsidRPr="00C12895">
        <w:rPr>
          <w:rFonts w:ascii="Garamond" w:hAnsi="Garamond"/>
          <w:sz w:val="22"/>
          <w:szCs w:val="22"/>
        </w:rPr>
        <w:t>.</w:t>
      </w:r>
    </w:p>
    <w:p w14:paraId="74AEE66B" w14:textId="77777777" w:rsidR="00F5151D" w:rsidRDefault="00F5151D" w:rsidP="00B117C8">
      <w:pPr>
        <w:spacing w:line="360" w:lineRule="auto"/>
        <w:jc w:val="both"/>
        <w:rPr>
          <w:rFonts w:ascii="Garamond" w:hAnsi="Garamond"/>
          <w:sz w:val="22"/>
          <w:szCs w:val="22"/>
        </w:rPr>
      </w:pPr>
    </w:p>
    <w:p w14:paraId="74CA9233" w14:textId="77777777" w:rsidR="005C13AE" w:rsidRDefault="00F5151D" w:rsidP="00B117C8">
      <w:pPr>
        <w:spacing w:line="360" w:lineRule="auto"/>
        <w:jc w:val="both"/>
        <w:rPr>
          <w:rFonts w:ascii="Garamond" w:hAnsi="Garamond"/>
          <w:sz w:val="22"/>
          <w:szCs w:val="22"/>
        </w:rPr>
      </w:pPr>
      <w:r w:rsidRPr="00A32AB2">
        <w:rPr>
          <w:rFonts w:ascii="Garamond" w:hAnsi="Garamond" w:cs="GHEA Grapalat"/>
          <w:b/>
          <w:sz w:val="22"/>
          <w:szCs w:val="22"/>
        </w:rPr>
        <w:t>In 2017 the economic growth rates will speed up</w:t>
      </w:r>
      <w:r w:rsidRPr="00A32AB2">
        <w:rPr>
          <w:rFonts w:ascii="Garamond" w:hAnsi="Garamond" w:cs="GHEA Grapalat"/>
          <w:sz w:val="22"/>
          <w:szCs w:val="22"/>
        </w:rPr>
        <w:t>,</w:t>
      </w:r>
      <w:r w:rsidRPr="00A32AB2">
        <w:rPr>
          <w:rFonts w:ascii="Garamond" w:hAnsi="Garamond" w:cs="GHEA Grapalat"/>
          <w:sz w:val="22"/>
          <w:szCs w:val="22"/>
          <w:lang w:val="hy-AM"/>
        </w:rPr>
        <w:t xml:space="preserve"> </w:t>
      </w:r>
      <w:r w:rsidRPr="00A32AB2">
        <w:rPr>
          <w:rFonts w:ascii="Garamond" w:hAnsi="Garamond" w:cs="GHEA Grapalat"/>
          <w:sz w:val="22"/>
          <w:szCs w:val="22"/>
        </w:rPr>
        <w:t xml:space="preserve">bearing the influence of effective implementation of the Government </w:t>
      </w:r>
      <w:r>
        <w:rPr>
          <w:rFonts w:ascii="Garamond" w:hAnsi="Garamond" w:cs="GHEA Grapalat"/>
          <w:sz w:val="22"/>
          <w:szCs w:val="22"/>
        </w:rPr>
        <w:t xml:space="preserve">of Armenia </w:t>
      </w:r>
      <w:r w:rsidRPr="00A32AB2">
        <w:rPr>
          <w:rFonts w:ascii="Garamond" w:hAnsi="Garamond" w:cs="GHEA Grapalat"/>
          <w:sz w:val="22"/>
          <w:szCs w:val="22"/>
        </w:rPr>
        <w:t xml:space="preserve">program, steered to gradual recovery of domestic demand and export and investment promotion, and the </w:t>
      </w:r>
      <w:r>
        <w:rPr>
          <w:rFonts w:ascii="Garamond" w:hAnsi="Garamond" w:cs="GHEA Grapalat"/>
          <w:sz w:val="22"/>
          <w:szCs w:val="22"/>
        </w:rPr>
        <w:t xml:space="preserve">effect of </w:t>
      </w:r>
      <w:r w:rsidRPr="00A32AB2">
        <w:rPr>
          <w:rFonts w:ascii="Garamond" w:hAnsi="Garamond" w:cs="GHEA Grapalat"/>
          <w:sz w:val="22"/>
          <w:szCs w:val="22"/>
        </w:rPr>
        <w:t>continued improvement in external economic environment and structural reforms.</w:t>
      </w:r>
      <w:r w:rsidRPr="00A32AB2">
        <w:rPr>
          <w:rFonts w:ascii="Garamond" w:hAnsi="Garamond" w:cs="GHEA Grapalat"/>
          <w:sz w:val="22"/>
          <w:szCs w:val="22"/>
          <w:lang w:val="hy-AM"/>
        </w:rPr>
        <w:t xml:space="preserve"> </w:t>
      </w:r>
      <w:r w:rsidRPr="00A32AB2">
        <w:rPr>
          <w:rFonts w:ascii="Garamond" w:hAnsi="Garamond" w:cs="GHEA Grapalat"/>
          <w:sz w:val="22"/>
          <w:szCs w:val="22"/>
        </w:rPr>
        <w:t xml:space="preserve">Driven by these developments, it is expected that </w:t>
      </w:r>
      <w:r w:rsidRPr="00A32AB2">
        <w:rPr>
          <w:rFonts w:ascii="Garamond" w:hAnsi="Garamond" w:cs="GHEA Grapalat"/>
          <w:b/>
          <w:sz w:val="22"/>
          <w:szCs w:val="22"/>
        </w:rPr>
        <w:t xml:space="preserve">economic growth at the end of the forecast horizon will be within </w:t>
      </w:r>
      <w:r>
        <w:rPr>
          <w:rFonts w:ascii="Garamond" w:hAnsi="Garamond" w:cs="GHEA Grapalat"/>
          <w:b/>
          <w:sz w:val="22"/>
          <w:szCs w:val="22"/>
        </w:rPr>
        <w:t>2</w:t>
      </w:r>
      <w:r w:rsidRPr="00A32AB2">
        <w:rPr>
          <w:rFonts w:ascii="Garamond" w:hAnsi="Garamond" w:cs="GHEA Grapalat"/>
          <w:b/>
          <w:sz w:val="22"/>
          <w:szCs w:val="22"/>
        </w:rPr>
        <w:t>.</w:t>
      </w:r>
      <w:r>
        <w:rPr>
          <w:rFonts w:ascii="Garamond" w:hAnsi="Garamond" w:cs="GHEA Grapalat"/>
          <w:b/>
          <w:sz w:val="22"/>
          <w:szCs w:val="22"/>
        </w:rPr>
        <w:t>8</w:t>
      </w:r>
      <w:r w:rsidRPr="00A32AB2">
        <w:rPr>
          <w:rFonts w:ascii="Garamond" w:hAnsi="Garamond" w:cs="GHEA Grapalat"/>
          <w:b/>
          <w:sz w:val="22"/>
          <w:szCs w:val="22"/>
        </w:rPr>
        <w:t>-4.</w:t>
      </w:r>
      <w:r>
        <w:rPr>
          <w:rFonts w:ascii="Garamond" w:hAnsi="Garamond" w:cs="GHEA Grapalat"/>
          <w:b/>
          <w:sz w:val="22"/>
          <w:szCs w:val="22"/>
        </w:rPr>
        <w:t>3</w:t>
      </w:r>
      <w:r w:rsidRPr="00A32AB2">
        <w:rPr>
          <w:rFonts w:ascii="Garamond" w:hAnsi="Garamond" w:cs="GHEA Grapalat"/>
          <w:b/>
          <w:sz w:val="22"/>
          <w:szCs w:val="22"/>
        </w:rPr>
        <w:t>%</w:t>
      </w:r>
      <w:r w:rsidRPr="00A32AB2">
        <w:rPr>
          <w:rFonts w:ascii="Garamond" w:hAnsi="Garamond" w:cs="GHEA Grapalat"/>
          <w:sz w:val="22"/>
          <w:szCs w:val="22"/>
        </w:rPr>
        <w:t>.</w:t>
      </w:r>
      <w:r w:rsidR="00C12895">
        <w:rPr>
          <w:rFonts w:ascii="Garamond" w:hAnsi="Garamond"/>
          <w:sz w:val="22"/>
          <w:szCs w:val="22"/>
        </w:rPr>
        <w:t xml:space="preserve"> </w:t>
      </w:r>
    </w:p>
    <w:p w14:paraId="1A57AE22" w14:textId="77777777" w:rsidR="005C13AE" w:rsidRPr="005C13AE" w:rsidRDefault="005C13AE" w:rsidP="00B117C8">
      <w:pPr>
        <w:spacing w:line="360" w:lineRule="auto"/>
        <w:jc w:val="both"/>
        <w:rPr>
          <w:rFonts w:ascii="GHEA Grapalat" w:hAnsi="GHEA Grapalat"/>
          <w:b/>
          <w:i/>
          <w:sz w:val="14"/>
          <w:szCs w:val="14"/>
        </w:rPr>
      </w:pPr>
    </w:p>
    <w:p w14:paraId="30C00EB7" w14:textId="77777777" w:rsidR="008C57FB" w:rsidRPr="00A32AB2" w:rsidRDefault="00823881" w:rsidP="00B117C8">
      <w:pPr>
        <w:spacing w:line="360" w:lineRule="auto"/>
        <w:jc w:val="both"/>
        <w:rPr>
          <w:rFonts w:ascii="Garamond" w:hAnsi="Garamond"/>
          <w:sz w:val="22"/>
          <w:szCs w:val="22"/>
        </w:rPr>
      </w:pPr>
      <w:r>
        <w:rPr>
          <w:rFonts w:ascii="Garamond" w:hAnsi="Garamond"/>
          <w:sz w:val="22"/>
          <w:szCs w:val="22"/>
        </w:rPr>
        <w:t xml:space="preserve">Thus, </w:t>
      </w:r>
      <w:r w:rsidRPr="00823881">
        <w:rPr>
          <w:rFonts w:ascii="Garamond" w:hAnsi="Garamond"/>
          <w:b/>
          <w:sz w:val="22"/>
          <w:szCs w:val="22"/>
        </w:rPr>
        <w:t xml:space="preserve">in the forecast horizon up until the second quarter of 2018, the impact of domestic demand on prices will be deflationary; then in the end of the forecast horizon it </w:t>
      </w:r>
      <w:r w:rsidR="005B492E" w:rsidRPr="00823881">
        <w:rPr>
          <w:rFonts w:ascii="Garamond" w:hAnsi="Garamond"/>
          <w:b/>
          <w:sz w:val="22"/>
          <w:szCs w:val="22"/>
        </w:rPr>
        <w:t xml:space="preserve">will </w:t>
      </w:r>
      <w:r w:rsidRPr="00823881">
        <w:rPr>
          <w:rFonts w:ascii="Garamond" w:hAnsi="Garamond"/>
          <w:b/>
          <w:sz w:val="22"/>
          <w:szCs w:val="22"/>
        </w:rPr>
        <w:t>turn into that of inflationary</w:t>
      </w:r>
      <w:r>
        <w:rPr>
          <w:rFonts w:ascii="Garamond" w:hAnsi="Garamond"/>
          <w:sz w:val="22"/>
          <w:szCs w:val="22"/>
        </w:rPr>
        <w:t xml:space="preserve">. </w:t>
      </w:r>
    </w:p>
    <w:p w14:paraId="53015D71" w14:textId="77777777" w:rsidR="00B1566C" w:rsidRDefault="00B1566C" w:rsidP="00B117C8">
      <w:pPr>
        <w:spacing w:line="360" w:lineRule="auto"/>
        <w:jc w:val="both"/>
        <w:rPr>
          <w:rFonts w:ascii="Garamond" w:hAnsi="Garamond"/>
          <w:sz w:val="22"/>
          <w:szCs w:val="22"/>
        </w:rPr>
      </w:pPr>
    </w:p>
    <w:p w14:paraId="766AA585" w14:textId="77777777" w:rsidR="00DC32BE" w:rsidRDefault="00CA7F9D" w:rsidP="00B117C8">
      <w:pPr>
        <w:spacing w:line="360" w:lineRule="auto"/>
        <w:jc w:val="both"/>
        <w:rPr>
          <w:rFonts w:ascii="Garamond" w:hAnsi="Garamond"/>
          <w:sz w:val="22"/>
          <w:szCs w:val="22"/>
        </w:rPr>
      </w:pPr>
      <w:r w:rsidRPr="00CA7F9D">
        <w:rPr>
          <w:rFonts w:ascii="Garamond" w:hAnsi="Garamond"/>
          <w:b/>
          <w:sz w:val="22"/>
          <w:szCs w:val="22"/>
        </w:rPr>
        <w:t>According to the CBA forecasts</w:t>
      </w:r>
      <w:r w:rsidRPr="00CA7F9D">
        <w:rPr>
          <w:rFonts w:ascii="Garamond" w:hAnsi="Garamond"/>
          <w:sz w:val="22"/>
          <w:szCs w:val="22"/>
        </w:rPr>
        <w:t xml:space="preserve">, the deflationary environment </w:t>
      </w:r>
      <w:r>
        <w:rPr>
          <w:rFonts w:ascii="Garamond" w:hAnsi="Garamond"/>
          <w:sz w:val="22"/>
          <w:szCs w:val="22"/>
        </w:rPr>
        <w:t xml:space="preserve">is </w:t>
      </w:r>
      <w:r w:rsidRPr="00CA7F9D">
        <w:rPr>
          <w:rFonts w:ascii="Garamond" w:hAnsi="Garamond"/>
          <w:sz w:val="22"/>
          <w:szCs w:val="22"/>
        </w:rPr>
        <w:t>expected to mitigate</w:t>
      </w:r>
      <w:r>
        <w:rPr>
          <w:rFonts w:ascii="Garamond" w:hAnsi="Garamond"/>
          <w:sz w:val="22"/>
          <w:szCs w:val="22"/>
        </w:rPr>
        <w:t xml:space="preserve"> </w:t>
      </w:r>
      <w:r w:rsidRPr="00CA7F9D">
        <w:rPr>
          <w:rFonts w:ascii="Garamond" w:hAnsi="Garamond"/>
          <w:sz w:val="22"/>
          <w:szCs w:val="22"/>
        </w:rPr>
        <w:t>significantly</w:t>
      </w:r>
      <w:r>
        <w:rPr>
          <w:rFonts w:ascii="Garamond" w:hAnsi="Garamond"/>
          <w:sz w:val="22"/>
          <w:szCs w:val="22"/>
        </w:rPr>
        <w:t xml:space="preserve"> at the end of the year</w:t>
      </w:r>
      <w:r w:rsidRPr="00CA7F9D">
        <w:rPr>
          <w:rFonts w:ascii="Garamond" w:hAnsi="Garamond"/>
          <w:sz w:val="22"/>
          <w:szCs w:val="22"/>
        </w:rPr>
        <w:t xml:space="preserve">. </w:t>
      </w:r>
      <w:r w:rsidR="007C5238">
        <w:rPr>
          <w:rFonts w:ascii="Garamond" w:hAnsi="Garamond"/>
          <w:sz w:val="22"/>
          <w:szCs w:val="22"/>
        </w:rPr>
        <w:t xml:space="preserve">The first quarter 2017 inflation forecasts </w:t>
      </w:r>
      <w:r w:rsidRPr="00CA7F9D">
        <w:rPr>
          <w:rFonts w:ascii="Garamond" w:hAnsi="Garamond"/>
          <w:sz w:val="22"/>
          <w:szCs w:val="22"/>
        </w:rPr>
        <w:t xml:space="preserve">took into account the factor of lowering </w:t>
      </w:r>
      <w:r w:rsidR="007C5238">
        <w:rPr>
          <w:rFonts w:ascii="Garamond" w:hAnsi="Garamond"/>
          <w:sz w:val="22"/>
          <w:szCs w:val="22"/>
        </w:rPr>
        <w:t xml:space="preserve">of </w:t>
      </w:r>
      <w:r w:rsidRPr="00CA7F9D">
        <w:rPr>
          <w:rFonts w:ascii="Garamond" w:hAnsi="Garamond"/>
          <w:sz w:val="22"/>
          <w:szCs w:val="22"/>
        </w:rPr>
        <w:t>gas price</w:t>
      </w:r>
      <w:r w:rsidR="007C5238">
        <w:rPr>
          <w:rFonts w:ascii="Garamond" w:hAnsi="Garamond"/>
          <w:sz w:val="22"/>
          <w:szCs w:val="22"/>
        </w:rPr>
        <w:t xml:space="preserve"> (see details in section “2.3. </w:t>
      </w:r>
      <w:r w:rsidR="007C5238" w:rsidRPr="007C5238">
        <w:rPr>
          <w:rFonts w:ascii="Garamond" w:hAnsi="Garamond"/>
          <w:bCs/>
          <w:iCs/>
          <w:sz w:val="22"/>
          <w:szCs w:val="22"/>
        </w:rPr>
        <w:t>Inflation forecasts and monetary policy directions in 3-year forecast horizon</w:t>
      </w:r>
      <w:r w:rsidR="007C5238">
        <w:rPr>
          <w:rFonts w:ascii="Garamond" w:hAnsi="Garamond"/>
          <w:sz w:val="22"/>
          <w:szCs w:val="22"/>
        </w:rPr>
        <w:t>”).</w:t>
      </w:r>
      <w:r w:rsidRPr="00CA7F9D">
        <w:rPr>
          <w:rFonts w:ascii="Garamond" w:hAnsi="Garamond"/>
          <w:sz w:val="22"/>
          <w:szCs w:val="22"/>
        </w:rPr>
        <w:t xml:space="preserve"> </w:t>
      </w:r>
      <w:r w:rsidR="007C5238">
        <w:rPr>
          <w:rFonts w:ascii="Garamond" w:hAnsi="Garamond"/>
          <w:sz w:val="22"/>
          <w:szCs w:val="22"/>
        </w:rPr>
        <w:t>On the back of these developments, the</w:t>
      </w:r>
      <w:r w:rsidRPr="00CA7F9D">
        <w:rPr>
          <w:rFonts w:ascii="Garamond" w:hAnsi="Garamond"/>
          <w:sz w:val="22"/>
          <w:szCs w:val="22"/>
        </w:rPr>
        <w:t xml:space="preserve"> CB</w:t>
      </w:r>
      <w:r w:rsidR="007C5238">
        <w:rPr>
          <w:rFonts w:ascii="Garamond" w:hAnsi="Garamond"/>
          <w:sz w:val="22"/>
          <w:szCs w:val="22"/>
        </w:rPr>
        <w:t>A</w:t>
      </w:r>
      <w:r w:rsidRPr="00CA7F9D">
        <w:rPr>
          <w:rFonts w:ascii="Garamond" w:hAnsi="Garamond"/>
          <w:sz w:val="22"/>
          <w:szCs w:val="22"/>
        </w:rPr>
        <w:t xml:space="preserve"> </w:t>
      </w:r>
      <w:r w:rsidR="007C5238">
        <w:rPr>
          <w:rFonts w:ascii="Garamond" w:hAnsi="Garamond"/>
          <w:sz w:val="22"/>
          <w:szCs w:val="22"/>
        </w:rPr>
        <w:t xml:space="preserve">estimates that </w:t>
      </w:r>
      <w:r w:rsidRPr="00CA7F9D">
        <w:rPr>
          <w:rFonts w:ascii="Garamond" w:hAnsi="Garamond"/>
          <w:sz w:val="22"/>
          <w:szCs w:val="22"/>
        </w:rPr>
        <w:t xml:space="preserve">the deflationary environment </w:t>
      </w:r>
      <w:r w:rsidR="007C5238">
        <w:rPr>
          <w:rFonts w:ascii="Garamond" w:hAnsi="Garamond"/>
          <w:sz w:val="22"/>
          <w:szCs w:val="22"/>
        </w:rPr>
        <w:t xml:space="preserve">will still be </w:t>
      </w:r>
      <w:r w:rsidR="009464FC">
        <w:rPr>
          <w:rFonts w:ascii="Garamond" w:hAnsi="Garamond"/>
          <w:sz w:val="22"/>
          <w:szCs w:val="22"/>
        </w:rPr>
        <w:t xml:space="preserve">maintained </w:t>
      </w:r>
      <w:r w:rsidR="007C5238">
        <w:rPr>
          <w:rFonts w:ascii="Garamond" w:hAnsi="Garamond"/>
          <w:sz w:val="22"/>
          <w:szCs w:val="22"/>
        </w:rPr>
        <w:t xml:space="preserve">in </w:t>
      </w:r>
      <w:r w:rsidRPr="00CA7F9D">
        <w:rPr>
          <w:rFonts w:ascii="Garamond" w:hAnsi="Garamond"/>
          <w:sz w:val="22"/>
          <w:szCs w:val="22"/>
        </w:rPr>
        <w:t xml:space="preserve">the first quarter of 2017, then </w:t>
      </w:r>
      <w:r w:rsidR="007C5238">
        <w:rPr>
          <w:rFonts w:ascii="Garamond" w:hAnsi="Garamond"/>
          <w:sz w:val="22"/>
          <w:szCs w:val="22"/>
        </w:rPr>
        <w:t xml:space="preserve">it will </w:t>
      </w:r>
      <w:r w:rsidR="00E75071">
        <w:rPr>
          <w:rFonts w:ascii="Garamond" w:hAnsi="Garamond"/>
          <w:sz w:val="22"/>
          <w:szCs w:val="22"/>
        </w:rPr>
        <w:t>generally phase out</w:t>
      </w:r>
      <w:r w:rsidRPr="00CA7F9D">
        <w:rPr>
          <w:rFonts w:ascii="Garamond" w:hAnsi="Garamond"/>
          <w:sz w:val="22"/>
          <w:szCs w:val="22"/>
        </w:rPr>
        <w:t xml:space="preserve">, and </w:t>
      </w:r>
      <w:r w:rsidR="00E75071">
        <w:rPr>
          <w:rFonts w:ascii="Garamond" w:hAnsi="Garamond"/>
          <w:sz w:val="22"/>
          <w:szCs w:val="22"/>
        </w:rPr>
        <w:t xml:space="preserve">the </w:t>
      </w:r>
      <w:r w:rsidRPr="00CA7F9D">
        <w:rPr>
          <w:rFonts w:ascii="Garamond" w:hAnsi="Garamond"/>
          <w:sz w:val="22"/>
          <w:szCs w:val="22"/>
        </w:rPr>
        <w:t xml:space="preserve">12-month inflation </w:t>
      </w:r>
      <w:r w:rsidR="00E75071">
        <w:rPr>
          <w:rFonts w:ascii="Garamond" w:hAnsi="Garamond"/>
          <w:sz w:val="22"/>
          <w:szCs w:val="22"/>
        </w:rPr>
        <w:t xml:space="preserve">rate </w:t>
      </w:r>
      <w:r w:rsidRPr="00CA7F9D">
        <w:rPr>
          <w:rFonts w:ascii="Garamond" w:hAnsi="Garamond"/>
          <w:sz w:val="22"/>
          <w:szCs w:val="22"/>
        </w:rPr>
        <w:t>will return to target</w:t>
      </w:r>
      <w:r w:rsidR="00E75071">
        <w:rPr>
          <w:rFonts w:ascii="Garamond" w:hAnsi="Garamond"/>
          <w:sz w:val="22"/>
          <w:szCs w:val="22"/>
        </w:rPr>
        <w:t xml:space="preserve"> in the forecast horizon</w:t>
      </w:r>
      <w:r w:rsidRPr="00CA7F9D">
        <w:rPr>
          <w:rFonts w:ascii="Garamond" w:hAnsi="Garamond"/>
          <w:sz w:val="22"/>
          <w:szCs w:val="22"/>
        </w:rPr>
        <w:t>.</w:t>
      </w:r>
    </w:p>
    <w:p w14:paraId="745CC79D" w14:textId="77777777" w:rsidR="00DC32BE" w:rsidRDefault="00DC32BE" w:rsidP="00B117C8">
      <w:pPr>
        <w:spacing w:line="360" w:lineRule="auto"/>
        <w:jc w:val="both"/>
        <w:rPr>
          <w:rFonts w:ascii="Garamond" w:hAnsi="Garamond"/>
          <w:sz w:val="22"/>
          <w:szCs w:val="22"/>
        </w:rPr>
      </w:pPr>
    </w:p>
    <w:p w14:paraId="2662CC3F" w14:textId="77777777" w:rsidR="00612F44" w:rsidRDefault="009464FC" w:rsidP="00B117C8">
      <w:pPr>
        <w:spacing w:line="360" w:lineRule="auto"/>
        <w:jc w:val="both"/>
        <w:rPr>
          <w:rFonts w:ascii="Garamond" w:hAnsi="Garamond"/>
          <w:b/>
          <w:sz w:val="22"/>
          <w:szCs w:val="22"/>
        </w:rPr>
      </w:pPr>
      <w:r w:rsidRPr="009464FC">
        <w:rPr>
          <w:rFonts w:ascii="Garamond" w:hAnsi="Garamond"/>
          <w:sz w:val="22"/>
          <w:szCs w:val="22"/>
        </w:rPr>
        <w:t>As a result, the C</w:t>
      </w:r>
      <w:r>
        <w:rPr>
          <w:rFonts w:ascii="Garamond" w:hAnsi="Garamond"/>
          <w:sz w:val="22"/>
          <w:szCs w:val="22"/>
        </w:rPr>
        <w:t xml:space="preserve">BA </w:t>
      </w:r>
      <w:r w:rsidRPr="009464FC">
        <w:rPr>
          <w:rFonts w:ascii="Garamond" w:hAnsi="Garamond"/>
          <w:sz w:val="22"/>
          <w:szCs w:val="22"/>
        </w:rPr>
        <w:t xml:space="preserve">believes that </w:t>
      </w:r>
      <w:r>
        <w:rPr>
          <w:rFonts w:ascii="Garamond" w:hAnsi="Garamond"/>
          <w:sz w:val="22"/>
          <w:szCs w:val="22"/>
        </w:rPr>
        <w:t>m</w:t>
      </w:r>
      <w:r w:rsidRPr="009464FC">
        <w:rPr>
          <w:rFonts w:ascii="Garamond" w:hAnsi="Garamond"/>
          <w:sz w:val="22"/>
          <w:szCs w:val="22"/>
        </w:rPr>
        <w:t xml:space="preserve">edium-term deflation risks </w:t>
      </w:r>
      <w:r>
        <w:rPr>
          <w:rFonts w:ascii="Garamond" w:hAnsi="Garamond"/>
          <w:sz w:val="22"/>
          <w:szCs w:val="22"/>
        </w:rPr>
        <w:t xml:space="preserve">largely persist, and the </w:t>
      </w:r>
      <w:r w:rsidRPr="009464FC">
        <w:rPr>
          <w:rFonts w:ascii="Garamond" w:hAnsi="Garamond"/>
          <w:sz w:val="22"/>
          <w:szCs w:val="22"/>
        </w:rPr>
        <w:t>2017</w:t>
      </w:r>
      <w:r>
        <w:rPr>
          <w:rFonts w:ascii="Garamond" w:hAnsi="Garamond"/>
          <w:sz w:val="22"/>
          <w:szCs w:val="22"/>
        </w:rPr>
        <w:t xml:space="preserve"> </w:t>
      </w:r>
      <w:r w:rsidRPr="009464FC">
        <w:rPr>
          <w:rFonts w:ascii="Garamond" w:hAnsi="Garamond"/>
          <w:sz w:val="22"/>
          <w:szCs w:val="22"/>
        </w:rPr>
        <w:t>fiscal policy factor</w:t>
      </w:r>
      <w:r>
        <w:rPr>
          <w:rFonts w:ascii="Garamond" w:hAnsi="Garamond"/>
          <w:sz w:val="22"/>
          <w:szCs w:val="22"/>
        </w:rPr>
        <w:t xml:space="preserve"> has now </w:t>
      </w:r>
      <w:r w:rsidR="00E71691">
        <w:rPr>
          <w:rFonts w:ascii="Garamond" w:hAnsi="Garamond"/>
          <w:sz w:val="22"/>
          <w:szCs w:val="22"/>
        </w:rPr>
        <w:t xml:space="preserve">been </w:t>
      </w:r>
      <w:r>
        <w:rPr>
          <w:rFonts w:ascii="Garamond" w:hAnsi="Garamond"/>
          <w:sz w:val="22"/>
          <w:szCs w:val="22"/>
        </w:rPr>
        <w:t>added to them</w:t>
      </w:r>
      <w:r w:rsidRPr="009464FC">
        <w:rPr>
          <w:rFonts w:ascii="Garamond" w:hAnsi="Garamond"/>
          <w:sz w:val="22"/>
          <w:szCs w:val="22"/>
        </w:rPr>
        <w:t>.</w:t>
      </w:r>
      <w:r w:rsidR="00612F44">
        <w:rPr>
          <w:rFonts w:ascii="Garamond" w:hAnsi="Garamond"/>
          <w:sz w:val="22"/>
          <w:szCs w:val="22"/>
        </w:rPr>
        <w:t xml:space="preserve"> So, </w:t>
      </w:r>
      <w:r w:rsidR="00612F44" w:rsidRPr="00612F44">
        <w:rPr>
          <w:rFonts w:ascii="Garamond" w:hAnsi="Garamond"/>
          <w:b/>
          <w:sz w:val="22"/>
          <w:szCs w:val="22"/>
        </w:rPr>
        <w:t>further easing of monetary conditions to some extent by t</w:t>
      </w:r>
      <w:r w:rsidR="00B1566C" w:rsidRPr="00612F44">
        <w:rPr>
          <w:rFonts w:ascii="Garamond" w:hAnsi="Garamond"/>
          <w:b/>
          <w:sz w:val="22"/>
          <w:szCs w:val="22"/>
        </w:rPr>
        <w:t xml:space="preserve">he CBA </w:t>
      </w:r>
      <w:r w:rsidR="00612F44">
        <w:rPr>
          <w:rFonts w:ascii="Garamond" w:hAnsi="Garamond"/>
          <w:b/>
          <w:sz w:val="22"/>
          <w:szCs w:val="22"/>
        </w:rPr>
        <w:t xml:space="preserve">in the fourth quarter of 2016 is </w:t>
      </w:r>
      <w:r w:rsidR="00DC32BE">
        <w:rPr>
          <w:rFonts w:ascii="Garamond" w:hAnsi="Garamond"/>
          <w:b/>
          <w:sz w:val="22"/>
          <w:szCs w:val="22"/>
        </w:rPr>
        <w:t>relevant</w:t>
      </w:r>
      <w:r w:rsidR="00612F44" w:rsidRPr="00612F44">
        <w:rPr>
          <w:rFonts w:ascii="Garamond" w:hAnsi="Garamond"/>
          <w:sz w:val="22"/>
          <w:szCs w:val="22"/>
        </w:rPr>
        <w:t>.</w:t>
      </w:r>
      <w:r w:rsidR="00612F44">
        <w:rPr>
          <w:rFonts w:ascii="Garamond" w:hAnsi="Garamond"/>
          <w:b/>
          <w:sz w:val="22"/>
          <w:szCs w:val="22"/>
        </w:rPr>
        <w:t xml:space="preserve"> </w:t>
      </w:r>
    </w:p>
    <w:p w14:paraId="37424A41" w14:textId="77777777" w:rsidR="00612F44" w:rsidRPr="00DC32BE" w:rsidRDefault="00612F44" w:rsidP="00B117C8">
      <w:pPr>
        <w:spacing w:line="360" w:lineRule="auto"/>
        <w:jc w:val="both"/>
        <w:rPr>
          <w:rFonts w:ascii="GHEA Grapalat" w:hAnsi="GHEA Grapalat"/>
          <w:b/>
          <w:i/>
          <w:sz w:val="14"/>
          <w:szCs w:val="14"/>
        </w:rPr>
      </w:pPr>
    </w:p>
    <w:p w14:paraId="05277064" w14:textId="77777777" w:rsidR="008C57FB" w:rsidRPr="00A32AB2" w:rsidRDefault="00B1566C" w:rsidP="00B117C8">
      <w:pPr>
        <w:spacing w:line="360" w:lineRule="auto"/>
        <w:jc w:val="both"/>
        <w:rPr>
          <w:rFonts w:ascii="Garamond" w:hAnsi="Garamond" w:cs="GHEA Grapalat"/>
          <w:sz w:val="22"/>
          <w:szCs w:val="22"/>
        </w:rPr>
      </w:pPr>
      <w:r w:rsidRPr="00A32AB2">
        <w:rPr>
          <w:rFonts w:ascii="Garamond" w:hAnsi="Garamond"/>
          <w:b/>
          <w:sz w:val="22"/>
          <w:szCs w:val="22"/>
        </w:rPr>
        <w:t xml:space="preserve">Risks </w:t>
      </w:r>
      <w:r w:rsidR="00F2493D" w:rsidRPr="00A32AB2">
        <w:rPr>
          <w:rFonts w:ascii="Garamond" w:hAnsi="Garamond"/>
          <w:b/>
          <w:sz w:val="22"/>
          <w:szCs w:val="22"/>
        </w:rPr>
        <w:t xml:space="preserve">that </w:t>
      </w:r>
      <w:r w:rsidRPr="00A32AB2">
        <w:rPr>
          <w:rFonts w:ascii="Garamond" w:hAnsi="Garamond"/>
          <w:b/>
          <w:sz w:val="22"/>
          <w:szCs w:val="22"/>
        </w:rPr>
        <w:t xml:space="preserve">inflation </w:t>
      </w:r>
      <w:r w:rsidR="00F2493D" w:rsidRPr="00A32AB2">
        <w:rPr>
          <w:rFonts w:ascii="Garamond" w:hAnsi="Garamond"/>
          <w:b/>
          <w:sz w:val="22"/>
          <w:szCs w:val="22"/>
        </w:rPr>
        <w:t xml:space="preserve">will </w:t>
      </w:r>
      <w:r w:rsidRPr="00A32AB2">
        <w:rPr>
          <w:rFonts w:ascii="Garamond" w:hAnsi="Garamond"/>
          <w:b/>
          <w:sz w:val="22"/>
          <w:szCs w:val="22"/>
        </w:rPr>
        <w:t>deviat</w:t>
      </w:r>
      <w:r w:rsidR="00F2493D" w:rsidRPr="00A32AB2">
        <w:rPr>
          <w:rFonts w:ascii="Garamond" w:hAnsi="Garamond"/>
          <w:b/>
          <w:sz w:val="22"/>
          <w:szCs w:val="22"/>
        </w:rPr>
        <w:t xml:space="preserve">e </w:t>
      </w:r>
      <w:r w:rsidRPr="00A32AB2">
        <w:rPr>
          <w:rFonts w:ascii="Garamond" w:hAnsi="Garamond"/>
          <w:b/>
          <w:sz w:val="22"/>
          <w:szCs w:val="22"/>
        </w:rPr>
        <w:t>from the</w:t>
      </w:r>
      <w:r w:rsidR="00E87661" w:rsidRPr="00A32AB2">
        <w:rPr>
          <w:rFonts w:ascii="Garamond" w:hAnsi="Garamond"/>
          <w:b/>
          <w:sz w:val="22"/>
          <w:szCs w:val="22"/>
          <w:lang w:val="hy-AM"/>
        </w:rPr>
        <w:t xml:space="preserve"> </w:t>
      </w:r>
      <w:r w:rsidRPr="00A32AB2">
        <w:rPr>
          <w:rFonts w:ascii="Garamond" w:hAnsi="Garamond"/>
          <w:b/>
          <w:sz w:val="22"/>
          <w:szCs w:val="22"/>
        </w:rPr>
        <w:t>projected value</w:t>
      </w:r>
      <w:r w:rsidR="00E87661" w:rsidRPr="00A32AB2">
        <w:rPr>
          <w:rFonts w:ascii="Garamond" w:hAnsi="Garamond"/>
          <w:b/>
          <w:sz w:val="22"/>
          <w:szCs w:val="22"/>
          <w:lang w:val="hy-AM"/>
        </w:rPr>
        <w:t xml:space="preserve"> </w:t>
      </w:r>
      <w:r w:rsidRPr="00A32AB2">
        <w:rPr>
          <w:rFonts w:ascii="Garamond" w:hAnsi="Garamond"/>
          <w:b/>
          <w:sz w:val="22"/>
          <w:szCs w:val="22"/>
        </w:rPr>
        <w:t xml:space="preserve">are estimated </w:t>
      </w:r>
      <w:r w:rsidR="00F2493D" w:rsidRPr="00A32AB2">
        <w:rPr>
          <w:rFonts w:ascii="Garamond" w:hAnsi="Garamond"/>
          <w:b/>
          <w:sz w:val="22"/>
          <w:szCs w:val="22"/>
        </w:rPr>
        <w:t>to follow a down</w:t>
      </w:r>
      <w:r w:rsidR="00913120">
        <w:rPr>
          <w:rFonts w:ascii="Garamond" w:hAnsi="Garamond"/>
          <w:b/>
          <w:sz w:val="22"/>
          <w:szCs w:val="22"/>
        </w:rPr>
        <w:t>ward</w:t>
      </w:r>
      <w:r w:rsidR="00F2493D" w:rsidRPr="00A32AB2">
        <w:rPr>
          <w:rFonts w:ascii="Garamond" w:hAnsi="Garamond"/>
          <w:b/>
          <w:sz w:val="22"/>
          <w:szCs w:val="22"/>
        </w:rPr>
        <w:t xml:space="preserve"> path </w:t>
      </w:r>
      <w:r w:rsidRPr="00A32AB2">
        <w:rPr>
          <w:rFonts w:ascii="Garamond" w:hAnsi="Garamond"/>
          <w:b/>
          <w:sz w:val="22"/>
          <w:szCs w:val="22"/>
        </w:rPr>
        <w:t xml:space="preserve">in </w:t>
      </w:r>
      <w:r w:rsidR="00612F44">
        <w:rPr>
          <w:rFonts w:ascii="Garamond" w:hAnsi="Garamond"/>
          <w:b/>
          <w:sz w:val="22"/>
          <w:szCs w:val="22"/>
        </w:rPr>
        <w:t xml:space="preserve">both </w:t>
      </w:r>
      <w:r w:rsidRPr="00A32AB2">
        <w:rPr>
          <w:rFonts w:ascii="Garamond" w:hAnsi="Garamond"/>
          <w:b/>
          <w:sz w:val="22"/>
          <w:szCs w:val="22"/>
        </w:rPr>
        <w:t xml:space="preserve">short </w:t>
      </w:r>
      <w:r w:rsidR="00612F44">
        <w:rPr>
          <w:rFonts w:ascii="Garamond" w:hAnsi="Garamond"/>
          <w:b/>
          <w:sz w:val="22"/>
          <w:szCs w:val="22"/>
        </w:rPr>
        <w:t xml:space="preserve">and medium-term perspectives. </w:t>
      </w:r>
      <w:r w:rsidR="00257B58" w:rsidRPr="00351E8F">
        <w:rPr>
          <w:rFonts w:ascii="Garamond" w:hAnsi="Garamond"/>
          <w:b/>
          <w:color w:val="000000"/>
          <w:sz w:val="22"/>
          <w:szCs w:val="22"/>
        </w:rPr>
        <w:t>R</w:t>
      </w:r>
      <w:r w:rsidRPr="00351E8F">
        <w:rPr>
          <w:rFonts w:ascii="Garamond" w:hAnsi="Garamond"/>
          <w:b/>
          <w:color w:val="000000"/>
          <w:sz w:val="22"/>
          <w:szCs w:val="22"/>
        </w:rPr>
        <w:t>isks deriving from external</w:t>
      </w:r>
      <w:r w:rsidR="00351E8F">
        <w:rPr>
          <w:rFonts w:ascii="Garamond" w:hAnsi="Garamond"/>
          <w:color w:val="000000"/>
          <w:sz w:val="22"/>
          <w:szCs w:val="22"/>
        </w:rPr>
        <w:t xml:space="preserve"> </w:t>
      </w:r>
      <w:r w:rsidR="00351E8F" w:rsidRPr="00351E8F">
        <w:rPr>
          <w:rFonts w:ascii="Garamond" w:hAnsi="Garamond"/>
          <w:b/>
          <w:color w:val="000000"/>
          <w:sz w:val="22"/>
          <w:szCs w:val="22"/>
        </w:rPr>
        <w:t>sector are somewhat inflationary</w:t>
      </w:r>
      <w:r w:rsidR="00351E8F">
        <w:rPr>
          <w:rFonts w:ascii="Garamond" w:hAnsi="Garamond"/>
          <w:color w:val="000000"/>
          <w:sz w:val="22"/>
          <w:szCs w:val="22"/>
        </w:rPr>
        <w:t xml:space="preserve"> </w:t>
      </w:r>
      <w:r w:rsidR="00F2493D" w:rsidRPr="00A32AB2">
        <w:rPr>
          <w:rFonts w:ascii="Garamond" w:hAnsi="Garamond"/>
          <w:color w:val="000000"/>
          <w:sz w:val="22"/>
          <w:szCs w:val="22"/>
        </w:rPr>
        <w:t xml:space="preserve">and </w:t>
      </w:r>
      <w:r w:rsidR="00351E8F">
        <w:rPr>
          <w:rFonts w:ascii="Garamond" w:hAnsi="Garamond"/>
          <w:color w:val="000000"/>
          <w:sz w:val="22"/>
          <w:szCs w:val="22"/>
        </w:rPr>
        <w:t xml:space="preserve">pertinent to </w:t>
      </w:r>
      <w:r w:rsidR="00257B58" w:rsidRPr="00A32AB2">
        <w:rPr>
          <w:rFonts w:ascii="Garamond" w:hAnsi="Garamond"/>
          <w:sz w:val="22"/>
          <w:szCs w:val="22"/>
        </w:rPr>
        <w:t>capital outflows from developing countries and, consequently, volatilit</w:t>
      </w:r>
      <w:r w:rsidR="005947CE" w:rsidRPr="00A32AB2">
        <w:rPr>
          <w:rFonts w:ascii="Garamond" w:hAnsi="Garamond"/>
          <w:sz w:val="22"/>
          <w:szCs w:val="22"/>
        </w:rPr>
        <w:t xml:space="preserve">ies in financial markets, the processes in the European Union, </w:t>
      </w:r>
      <w:r w:rsidR="00257B58" w:rsidRPr="00A32AB2">
        <w:rPr>
          <w:rFonts w:ascii="Garamond" w:hAnsi="Garamond"/>
          <w:sz w:val="22"/>
          <w:szCs w:val="22"/>
        </w:rPr>
        <w:t xml:space="preserve">a likely slowdown of </w:t>
      </w:r>
      <w:r w:rsidRPr="00A32AB2">
        <w:rPr>
          <w:rFonts w:ascii="Garamond" w:hAnsi="Garamond"/>
          <w:sz w:val="22"/>
          <w:szCs w:val="22"/>
        </w:rPr>
        <w:t xml:space="preserve">global economic </w:t>
      </w:r>
      <w:r w:rsidR="00257B58" w:rsidRPr="00A32AB2">
        <w:rPr>
          <w:rFonts w:ascii="Garamond" w:hAnsi="Garamond"/>
          <w:sz w:val="22"/>
          <w:szCs w:val="22"/>
        </w:rPr>
        <w:t xml:space="preserve">growth resulting from structural reformation of the Chinese economy as well as risks related to developments in international prices of raw materials and food products. </w:t>
      </w:r>
      <w:r w:rsidRPr="00A32AB2">
        <w:rPr>
          <w:rFonts w:ascii="Garamond" w:hAnsi="Garamond"/>
          <w:b/>
          <w:sz w:val="22"/>
          <w:szCs w:val="22"/>
        </w:rPr>
        <w:t>Risks deriving from the domestic sector</w:t>
      </w:r>
      <w:r w:rsidR="00351E8F">
        <w:rPr>
          <w:rFonts w:ascii="Garamond" w:hAnsi="Garamond"/>
          <w:b/>
          <w:sz w:val="22"/>
          <w:szCs w:val="22"/>
        </w:rPr>
        <w:t xml:space="preserve"> are estimated to be </w:t>
      </w:r>
      <w:r w:rsidR="003B7412">
        <w:rPr>
          <w:rFonts w:ascii="Garamond" w:hAnsi="Garamond"/>
          <w:b/>
          <w:sz w:val="22"/>
          <w:szCs w:val="22"/>
        </w:rPr>
        <w:t>de</w:t>
      </w:r>
      <w:r w:rsidR="00351E8F">
        <w:rPr>
          <w:rFonts w:ascii="Garamond" w:hAnsi="Garamond"/>
          <w:b/>
          <w:sz w:val="22"/>
          <w:szCs w:val="22"/>
        </w:rPr>
        <w:t>flationary</w:t>
      </w:r>
      <w:r w:rsidR="00351E8F" w:rsidRPr="00351E8F">
        <w:rPr>
          <w:rFonts w:ascii="Garamond" w:hAnsi="Garamond"/>
          <w:sz w:val="22"/>
          <w:szCs w:val="22"/>
        </w:rPr>
        <w:t>,</w:t>
      </w:r>
      <w:r w:rsidRPr="00A32AB2">
        <w:rPr>
          <w:rFonts w:ascii="Garamond" w:hAnsi="Garamond"/>
          <w:sz w:val="22"/>
          <w:szCs w:val="22"/>
        </w:rPr>
        <w:t xml:space="preserve"> </w:t>
      </w:r>
      <w:r w:rsidR="00351E8F">
        <w:rPr>
          <w:rFonts w:ascii="Garamond" w:hAnsi="Garamond"/>
          <w:sz w:val="22"/>
          <w:szCs w:val="22"/>
        </w:rPr>
        <w:t xml:space="preserve">with the </w:t>
      </w:r>
      <w:r w:rsidR="00351E8F" w:rsidRPr="009464FC">
        <w:rPr>
          <w:rFonts w:ascii="Garamond" w:hAnsi="Garamond"/>
          <w:sz w:val="22"/>
          <w:szCs w:val="22"/>
        </w:rPr>
        <w:t>2017</w:t>
      </w:r>
      <w:r w:rsidR="00351E8F">
        <w:rPr>
          <w:rFonts w:ascii="Garamond" w:hAnsi="Garamond"/>
          <w:sz w:val="22"/>
          <w:szCs w:val="22"/>
        </w:rPr>
        <w:t xml:space="preserve"> </w:t>
      </w:r>
      <w:r w:rsidR="00351E8F" w:rsidRPr="009464FC">
        <w:rPr>
          <w:rFonts w:ascii="Garamond" w:hAnsi="Garamond"/>
          <w:sz w:val="22"/>
          <w:szCs w:val="22"/>
        </w:rPr>
        <w:t>fiscal policy factor</w:t>
      </w:r>
      <w:r w:rsidR="00351E8F">
        <w:rPr>
          <w:rFonts w:ascii="Garamond" w:hAnsi="Garamond"/>
          <w:sz w:val="22"/>
          <w:szCs w:val="22"/>
        </w:rPr>
        <w:t xml:space="preserve"> and possible reduction of electricity tariff in the first quarter the same year now added to the existing ones. </w:t>
      </w:r>
      <w:r w:rsidR="00246E16">
        <w:rPr>
          <w:rFonts w:ascii="Garamond" w:hAnsi="Garamond"/>
          <w:sz w:val="22"/>
          <w:szCs w:val="22"/>
        </w:rPr>
        <w:t xml:space="preserve">Risks outlined in the previous forecast carry on and </w:t>
      </w:r>
      <w:r w:rsidRPr="00A32AB2">
        <w:rPr>
          <w:rFonts w:ascii="Garamond" w:hAnsi="Garamond"/>
          <w:sz w:val="22"/>
          <w:szCs w:val="22"/>
        </w:rPr>
        <w:t>are</w:t>
      </w:r>
      <w:r w:rsidR="00E87661" w:rsidRPr="00A32AB2">
        <w:rPr>
          <w:rFonts w:ascii="Garamond" w:hAnsi="Garamond"/>
          <w:sz w:val="22"/>
          <w:szCs w:val="22"/>
          <w:lang w:val="hy-AM"/>
        </w:rPr>
        <w:t xml:space="preserve"> </w:t>
      </w:r>
      <w:r w:rsidRPr="00A32AB2">
        <w:rPr>
          <w:rFonts w:ascii="Garamond" w:hAnsi="Garamond"/>
          <w:color w:val="000000"/>
          <w:sz w:val="22"/>
          <w:szCs w:val="22"/>
        </w:rPr>
        <w:t xml:space="preserve">associated with the </w:t>
      </w:r>
      <w:r w:rsidR="009F06FA" w:rsidRPr="00A32AB2">
        <w:rPr>
          <w:rFonts w:ascii="Garamond" w:hAnsi="Garamond"/>
          <w:color w:val="000000"/>
          <w:sz w:val="22"/>
          <w:szCs w:val="22"/>
        </w:rPr>
        <w:t xml:space="preserve">extent to which </w:t>
      </w:r>
      <w:r w:rsidR="009F06FA" w:rsidRPr="00A32AB2">
        <w:rPr>
          <w:rFonts w:ascii="Garamond" w:hAnsi="Garamond"/>
          <w:sz w:val="22"/>
          <w:szCs w:val="22"/>
        </w:rPr>
        <w:t>external environment’s deflationary impact will spill over to the domestic price</w:t>
      </w:r>
      <w:r w:rsidR="005947CE" w:rsidRPr="00A32AB2">
        <w:rPr>
          <w:rFonts w:ascii="Garamond" w:hAnsi="Garamond"/>
          <w:sz w:val="22"/>
          <w:szCs w:val="22"/>
        </w:rPr>
        <w:t>s,</w:t>
      </w:r>
      <w:r w:rsidR="00E87661" w:rsidRPr="00A32AB2">
        <w:rPr>
          <w:rFonts w:ascii="Garamond" w:hAnsi="Garamond"/>
          <w:sz w:val="22"/>
          <w:szCs w:val="22"/>
          <w:lang w:val="hy-AM"/>
        </w:rPr>
        <w:t xml:space="preserve"> </w:t>
      </w:r>
      <w:r w:rsidRPr="00A32AB2">
        <w:rPr>
          <w:rFonts w:ascii="Garamond" w:hAnsi="Garamond"/>
          <w:color w:val="000000"/>
          <w:sz w:val="22"/>
          <w:szCs w:val="22"/>
        </w:rPr>
        <w:t xml:space="preserve">developments in agriculture, a sector greatly depending on weather conditions, the pace at </w:t>
      </w:r>
      <w:r w:rsidRPr="00A32AB2">
        <w:rPr>
          <w:rFonts w:ascii="Garamond" w:hAnsi="Garamond"/>
          <w:color w:val="000000"/>
          <w:sz w:val="22"/>
          <w:szCs w:val="22"/>
        </w:rPr>
        <w:lastRenderedPageBreak/>
        <w:t xml:space="preserve">which domestic demand and private investments will recover, as well as </w:t>
      </w:r>
      <w:r w:rsidR="00246E16">
        <w:rPr>
          <w:rFonts w:ascii="Garamond" w:hAnsi="Garamond"/>
          <w:color w:val="000000"/>
          <w:sz w:val="22"/>
          <w:szCs w:val="22"/>
        </w:rPr>
        <w:t xml:space="preserve">the </w:t>
      </w:r>
      <w:r w:rsidRPr="00A32AB2">
        <w:rPr>
          <w:rFonts w:ascii="Garamond" w:hAnsi="Garamond"/>
          <w:color w:val="000000"/>
          <w:sz w:val="22"/>
          <w:szCs w:val="22"/>
        </w:rPr>
        <w:t xml:space="preserve">Government-led </w:t>
      </w:r>
      <w:r w:rsidR="009F06FA" w:rsidRPr="00A32AB2">
        <w:rPr>
          <w:rFonts w:ascii="Garamond" w:hAnsi="Garamond"/>
          <w:color w:val="000000"/>
          <w:sz w:val="22"/>
          <w:szCs w:val="22"/>
        </w:rPr>
        <w:t>structural reforms</w:t>
      </w:r>
      <w:r w:rsidRPr="00A32AB2">
        <w:rPr>
          <w:rFonts w:ascii="Garamond" w:hAnsi="Garamond"/>
          <w:color w:val="000000"/>
          <w:sz w:val="22"/>
          <w:szCs w:val="22"/>
        </w:rPr>
        <w:t>.</w:t>
      </w:r>
      <w:r w:rsidR="005947CE" w:rsidRPr="00A32AB2">
        <w:rPr>
          <w:rFonts w:ascii="Garamond" w:hAnsi="Garamond" w:cs="GHEA Grapalat"/>
          <w:sz w:val="22"/>
          <w:szCs w:val="22"/>
        </w:rPr>
        <w:t xml:space="preserve"> </w:t>
      </w:r>
      <w:r w:rsidRPr="00A32AB2">
        <w:rPr>
          <w:rFonts w:ascii="Garamond" w:hAnsi="Garamond"/>
          <w:sz w:val="22"/>
          <w:szCs w:val="22"/>
        </w:rPr>
        <w:t>If the aforementioned risks materialize, the CBA will react accordingly by main</w:t>
      </w:r>
      <w:r w:rsidR="009F06FA" w:rsidRPr="00A32AB2">
        <w:rPr>
          <w:rFonts w:ascii="Garamond" w:hAnsi="Garamond"/>
          <w:sz w:val="22"/>
          <w:szCs w:val="22"/>
        </w:rPr>
        <w:t xml:space="preserve">taining the inflation target in </w:t>
      </w:r>
      <w:r w:rsidRPr="00A32AB2">
        <w:rPr>
          <w:rFonts w:ascii="Garamond" w:hAnsi="Garamond"/>
          <w:sz w:val="22"/>
          <w:szCs w:val="22"/>
        </w:rPr>
        <w:t xml:space="preserve">the medium run.   </w:t>
      </w:r>
    </w:p>
    <w:p w14:paraId="550F5876" w14:textId="77777777" w:rsidR="004F78DC" w:rsidRPr="00A32AB2" w:rsidRDefault="004F78DC" w:rsidP="00B117C8">
      <w:pPr>
        <w:spacing w:line="360" w:lineRule="auto"/>
        <w:jc w:val="both"/>
        <w:rPr>
          <w:rFonts w:ascii="Garamond" w:hAnsi="Garamond"/>
          <w:sz w:val="22"/>
          <w:szCs w:val="22"/>
        </w:rPr>
      </w:pPr>
    </w:p>
    <w:p w14:paraId="48C1802E" w14:textId="77777777" w:rsidR="004F78DC" w:rsidRPr="00A32AB2" w:rsidRDefault="004F78DC" w:rsidP="00B117C8">
      <w:pPr>
        <w:spacing w:line="360" w:lineRule="auto"/>
        <w:jc w:val="both"/>
        <w:rPr>
          <w:rFonts w:ascii="Garamond" w:hAnsi="Garamond"/>
          <w:b/>
          <w:sz w:val="22"/>
          <w:szCs w:val="22"/>
        </w:rPr>
      </w:pPr>
      <w:r w:rsidRPr="00A32AB2">
        <w:rPr>
          <w:rFonts w:ascii="Garamond" w:hAnsi="Garamond"/>
          <w:b/>
          <w:sz w:val="22"/>
          <w:szCs w:val="22"/>
        </w:rPr>
        <w:t>2. Forecast, Forecast Changes and Risks</w:t>
      </w:r>
    </w:p>
    <w:p w14:paraId="425F5255" w14:textId="77777777" w:rsidR="004F78DC" w:rsidRPr="00A32AB2" w:rsidRDefault="004F78DC" w:rsidP="00B117C8">
      <w:pPr>
        <w:spacing w:line="360" w:lineRule="auto"/>
        <w:jc w:val="both"/>
        <w:rPr>
          <w:rStyle w:val="FootnoteReference"/>
          <w:rFonts w:ascii="Garamond" w:hAnsi="Garamond"/>
          <w:b/>
          <w:sz w:val="22"/>
          <w:szCs w:val="22"/>
        </w:rPr>
      </w:pPr>
      <w:r w:rsidRPr="00A32AB2">
        <w:rPr>
          <w:rFonts w:ascii="Garamond" w:hAnsi="Garamond"/>
          <w:b/>
          <w:sz w:val="22"/>
          <w:szCs w:val="22"/>
        </w:rPr>
        <w:t>2.1. External environment</w:t>
      </w:r>
      <w:r w:rsidR="004C715C" w:rsidRPr="00A32AB2">
        <w:rPr>
          <w:rStyle w:val="FootnoteReference"/>
          <w:rFonts w:ascii="Garamond" w:hAnsi="Garamond"/>
          <w:b/>
          <w:sz w:val="22"/>
          <w:szCs w:val="22"/>
        </w:rPr>
        <w:footnoteReference w:customMarkFollows="1" w:id="1"/>
        <w:t>1</w:t>
      </w:r>
    </w:p>
    <w:p w14:paraId="5DE656C0" w14:textId="77777777" w:rsidR="00B15F2B" w:rsidRPr="00A32AB2" w:rsidRDefault="00B15F2B" w:rsidP="00B117C8">
      <w:pPr>
        <w:spacing w:line="360" w:lineRule="auto"/>
        <w:jc w:val="both"/>
        <w:rPr>
          <w:rFonts w:ascii="Garamond" w:hAnsi="Garamond"/>
          <w:b/>
          <w:sz w:val="22"/>
          <w:szCs w:val="22"/>
        </w:rPr>
      </w:pPr>
    </w:p>
    <w:p w14:paraId="689AF5B7" w14:textId="77777777" w:rsidR="00B15F2B" w:rsidRPr="00A32AB2" w:rsidRDefault="00B15F2B" w:rsidP="00B117C8">
      <w:pPr>
        <w:spacing w:line="360" w:lineRule="auto"/>
        <w:jc w:val="both"/>
        <w:rPr>
          <w:rFonts w:ascii="Garamond" w:hAnsi="Garamond" w:cs="Sylfaen"/>
          <w:b/>
          <w:sz w:val="22"/>
          <w:szCs w:val="22"/>
        </w:rPr>
      </w:pPr>
      <w:r w:rsidRPr="00A32AB2">
        <w:rPr>
          <w:rFonts w:ascii="Garamond" w:hAnsi="Garamond" w:cs="Sylfaen"/>
          <w:b/>
          <w:sz w:val="22"/>
          <w:szCs w:val="22"/>
        </w:rPr>
        <w:t>In 2016 trends of slow economic growth will continue to be observable in the global economy and</w:t>
      </w:r>
      <w:r w:rsidR="00315AA3">
        <w:rPr>
          <w:rFonts w:ascii="Garamond" w:hAnsi="Garamond" w:cs="Sylfaen"/>
          <w:b/>
          <w:sz w:val="22"/>
          <w:szCs w:val="22"/>
        </w:rPr>
        <w:t>, in particular,</w:t>
      </w:r>
      <w:r w:rsidRPr="00A32AB2">
        <w:rPr>
          <w:rFonts w:ascii="Garamond" w:hAnsi="Garamond" w:cs="Sylfaen"/>
          <w:b/>
          <w:sz w:val="22"/>
          <w:szCs w:val="22"/>
        </w:rPr>
        <w:t xml:space="preserve"> main partner countries to Armenia. </w:t>
      </w:r>
    </w:p>
    <w:p w14:paraId="1BD151E3" w14:textId="77777777" w:rsidR="00B15F2B" w:rsidRPr="00A40624" w:rsidRDefault="00B15F2B" w:rsidP="00B117C8">
      <w:pPr>
        <w:spacing w:line="360" w:lineRule="auto"/>
        <w:jc w:val="both"/>
        <w:rPr>
          <w:rFonts w:ascii="GHEA Grapalat" w:hAnsi="GHEA Grapalat" w:cs="Sylfaen"/>
          <w:b/>
          <w:i/>
          <w:sz w:val="14"/>
          <w:szCs w:val="14"/>
        </w:rPr>
      </w:pPr>
    </w:p>
    <w:p w14:paraId="483F343A" w14:textId="77777777" w:rsidR="00B15F2B" w:rsidRPr="00A32AB2" w:rsidRDefault="00315AA3" w:rsidP="00B117C8">
      <w:pPr>
        <w:spacing w:line="360" w:lineRule="auto"/>
        <w:jc w:val="both"/>
        <w:rPr>
          <w:rFonts w:ascii="Garamond" w:hAnsi="Garamond"/>
          <w:b/>
          <w:sz w:val="22"/>
          <w:szCs w:val="22"/>
        </w:rPr>
      </w:pPr>
      <w:r>
        <w:rPr>
          <w:rFonts w:ascii="Garamond" w:hAnsi="Garamond"/>
          <w:b/>
          <w:sz w:val="22"/>
          <w:szCs w:val="22"/>
        </w:rPr>
        <w:t>In</w:t>
      </w:r>
      <w:r w:rsidR="00A83FE2" w:rsidRPr="00A32AB2">
        <w:rPr>
          <w:rFonts w:ascii="Garamond" w:hAnsi="Garamond"/>
          <w:b/>
          <w:sz w:val="22"/>
          <w:szCs w:val="22"/>
        </w:rPr>
        <w:t xml:space="preserve">flationary </w:t>
      </w:r>
      <w:r>
        <w:rPr>
          <w:rFonts w:ascii="Garamond" w:hAnsi="Garamond"/>
          <w:b/>
          <w:sz w:val="22"/>
          <w:szCs w:val="22"/>
        </w:rPr>
        <w:t>patterns</w:t>
      </w:r>
      <w:r w:rsidR="00A83FE2" w:rsidRPr="00A32AB2">
        <w:rPr>
          <w:rFonts w:ascii="Garamond" w:hAnsi="Garamond"/>
          <w:b/>
          <w:sz w:val="22"/>
          <w:szCs w:val="22"/>
        </w:rPr>
        <w:t xml:space="preserve"> </w:t>
      </w:r>
      <w:r w:rsidR="00A40624">
        <w:rPr>
          <w:rFonts w:ascii="Garamond" w:hAnsi="Garamond"/>
          <w:b/>
          <w:sz w:val="22"/>
          <w:szCs w:val="22"/>
        </w:rPr>
        <w:t xml:space="preserve">will prevail </w:t>
      </w:r>
      <w:r w:rsidR="00A83FE2" w:rsidRPr="00A32AB2">
        <w:rPr>
          <w:rFonts w:ascii="Garamond" w:hAnsi="Garamond"/>
          <w:b/>
          <w:sz w:val="22"/>
          <w:szCs w:val="22"/>
        </w:rPr>
        <w:t>in international markets of raw materials and food products</w:t>
      </w:r>
      <w:r w:rsidR="00A40624">
        <w:rPr>
          <w:rFonts w:ascii="Garamond" w:hAnsi="Garamond"/>
          <w:b/>
          <w:sz w:val="22"/>
          <w:szCs w:val="22"/>
        </w:rPr>
        <w:t>, except for the wheat market</w:t>
      </w:r>
      <w:r w:rsidR="00A83FE2" w:rsidRPr="00A32AB2">
        <w:rPr>
          <w:rFonts w:ascii="Garamond" w:hAnsi="Garamond"/>
          <w:b/>
          <w:sz w:val="22"/>
          <w:szCs w:val="22"/>
        </w:rPr>
        <w:t xml:space="preserve">. </w:t>
      </w:r>
    </w:p>
    <w:p w14:paraId="3BC368D7" w14:textId="77777777" w:rsidR="00F028F0" w:rsidRPr="00A40624" w:rsidRDefault="00F028F0" w:rsidP="00B117C8">
      <w:pPr>
        <w:spacing w:line="360" w:lineRule="auto"/>
        <w:jc w:val="both"/>
        <w:rPr>
          <w:rFonts w:ascii="GHEA Grapalat" w:hAnsi="GHEA Grapalat"/>
          <w:b/>
          <w:i/>
          <w:sz w:val="14"/>
          <w:szCs w:val="14"/>
        </w:rPr>
      </w:pPr>
    </w:p>
    <w:p w14:paraId="5299DCCA" w14:textId="77777777" w:rsidR="00C322EA" w:rsidRPr="00A32AB2" w:rsidRDefault="00F028F0" w:rsidP="00B117C8">
      <w:pPr>
        <w:spacing w:line="360" w:lineRule="auto"/>
        <w:jc w:val="both"/>
        <w:rPr>
          <w:rFonts w:ascii="Garamond" w:hAnsi="Garamond" w:cs="Sylfaen"/>
          <w:color w:val="000000"/>
          <w:sz w:val="22"/>
          <w:szCs w:val="22"/>
        </w:rPr>
      </w:pPr>
      <w:r w:rsidRPr="00A32AB2">
        <w:rPr>
          <w:rFonts w:ascii="Garamond" w:hAnsi="Garamond" w:cs="Sylfaen"/>
          <w:sz w:val="22"/>
          <w:szCs w:val="22"/>
        </w:rPr>
        <w:t xml:space="preserve">Economic growth in the </w:t>
      </w:r>
      <w:r w:rsidRPr="00A32AB2">
        <w:rPr>
          <w:rFonts w:ascii="Garamond" w:hAnsi="Garamond" w:cs="Sylfaen"/>
          <w:b/>
          <w:sz w:val="22"/>
          <w:szCs w:val="22"/>
        </w:rPr>
        <w:t>U.S.A.</w:t>
      </w:r>
      <w:r w:rsidRPr="00A32AB2">
        <w:rPr>
          <w:rFonts w:ascii="Garamond" w:hAnsi="Garamond" w:cs="Sylfaen"/>
          <w:sz w:val="22"/>
          <w:szCs w:val="22"/>
        </w:rPr>
        <w:t xml:space="preserve"> </w:t>
      </w:r>
      <w:r w:rsidR="00A40624">
        <w:rPr>
          <w:rFonts w:ascii="Garamond" w:hAnsi="Garamond" w:cs="Sylfaen"/>
          <w:sz w:val="22"/>
          <w:szCs w:val="22"/>
        </w:rPr>
        <w:t xml:space="preserve">was revised downside </w:t>
      </w:r>
      <w:r w:rsidR="00D0709E">
        <w:rPr>
          <w:rFonts w:ascii="Garamond" w:hAnsi="Garamond" w:cs="Sylfaen"/>
          <w:sz w:val="22"/>
          <w:szCs w:val="22"/>
        </w:rPr>
        <w:t>for</w:t>
      </w:r>
      <w:r w:rsidRPr="00A32AB2">
        <w:rPr>
          <w:rFonts w:ascii="Garamond" w:hAnsi="Garamond" w:cs="Sylfaen"/>
          <w:sz w:val="22"/>
          <w:szCs w:val="22"/>
        </w:rPr>
        <w:t xml:space="preserve"> 2016 </w:t>
      </w:r>
      <w:r w:rsidR="00D0709E">
        <w:rPr>
          <w:rFonts w:ascii="Garamond" w:hAnsi="Garamond" w:cs="Sylfaen"/>
          <w:sz w:val="22"/>
          <w:szCs w:val="22"/>
        </w:rPr>
        <w:t xml:space="preserve">and </w:t>
      </w:r>
      <w:r w:rsidRPr="00A32AB2">
        <w:rPr>
          <w:rFonts w:ascii="Garamond" w:hAnsi="Garamond" w:cs="Sylfaen"/>
          <w:sz w:val="22"/>
          <w:szCs w:val="22"/>
        </w:rPr>
        <w:t xml:space="preserve">is </w:t>
      </w:r>
      <w:r w:rsidR="00D0709E">
        <w:rPr>
          <w:rFonts w:ascii="Garamond" w:hAnsi="Garamond" w:cs="Sylfaen"/>
          <w:sz w:val="22"/>
          <w:szCs w:val="22"/>
        </w:rPr>
        <w:t xml:space="preserve">now </w:t>
      </w:r>
      <w:r w:rsidRPr="00A32AB2">
        <w:rPr>
          <w:rFonts w:ascii="Garamond" w:hAnsi="Garamond" w:cs="Sylfaen"/>
          <w:sz w:val="22"/>
          <w:szCs w:val="22"/>
        </w:rPr>
        <w:t xml:space="preserve">forecast </w:t>
      </w:r>
      <w:r w:rsidR="00D0709E">
        <w:rPr>
          <w:rFonts w:ascii="Garamond" w:hAnsi="Garamond" w:cs="Sylfaen"/>
          <w:sz w:val="22"/>
          <w:szCs w:val="22"/>
        </w:rPr>
        <w:t>to be 1</w:t>
      </w:r>
      <w:r w:rsidRPr="00A32AB2">
        <w:rPr>
          <w:rFonts w:ascii="Garamond" w:hAnsi="Garamond" w:cs="Sylfaen"/>
          <w:sz w:val="22"/>
          <w:szCs w:val="22"/>
        </w:rPr>
        <w:t>.</w:t>
      </w:r>
      <w:r w:rsidR="00D0709E">
        <w:rPr>
          <w:rFonts w:ascii="Garamond" w:hAnsi="Garamond" w:cs="Sylfaen"/>
          <w:sz w:val="22"/>
          <w:szCs w:val="22"/>
        </w:rPr>
        <w:t>5</w:t>
      </w:r>
      <w:r w:rsidRPr="00A32AB2">
        <w:rPr>
          <w:rFonts w:ascii="Garamond" w:hAnsi="Garamond" w:cs="Sylfaen"/>
          <w:sz w:val="22"/>
          <w:szCs w:val="22"/>
        </w:rPr>
        <w:t>%</w:t>
      </w:r>
      <w:r w:rsidR="0029012B">
        <w:rPr>
          <w:rStyle w:val="FootnoteReference"/>
          <w:rFonts w:ascii="Garamond" w:hAnsi="Garamond" w:cs="Sylfaen"/>
          <w:sz w:val="22"/>
          <w:szCs w:val="22"/>
        </w:rPr>
        <w:footnoteReference w:customMarkFollows="1" w:id="2"/>
        <w:t>2</w:t>
      </w:r>
      <w:r w:rsidR="00D0709E">
        <w:rPr>
          <w:rFonts w:ascii="Garamond" w:hAnsi="Garamond" w:cs="Sylfaen"/>
          <w:sz w:val="22"/>
          <w:szCs w:val="22"/>
        </w:rPr>
        <w:t>.</w:t>
      </w:r>
      <w:r w:rsidRPr="00A32AB2">
        <w:rPr>
          <w:rFonts w:ascii="Garamond" w:hAnsi="Garamond" w:cs="Sylfaen"/>
          <w:color w:val="000000"/>
          <w:sz w:val="22"/>
          <w:szCs w:val="22"/>
        </w:rPr>
        <w:t xml:space="preserve"> </w:t>
      </w:r>
      <w:r w:rsidR="00D0709E">
        <w:rPr>
          <w:rFonts w:ascii="Garamond" w:hAnsi="Garamond" w:cs="Sylfaen"/>
          <w:color w:val="000000"/>
          <w:sz w:val="22"/>
          <w:szCs w:val="22"/>
        </w:rPr>
        <w:t>However, t</w:t>
      </w:r>
      <w:r w:rsidR="0018680E" w:rsidRPr="00A32AB2">
        <w:rPr>
          <w:rFonts w:ascii="Garamond" w:hAnsi="Garamond" w:cs="Sylfaen"/>
          <w:color w:val="000000"/>
          <w:sz w:val="22"/>
          <w:szCs w:val="22"/>
        </w:rPr>
        <w:t>he economic growth rate in the medium-term is expected to accelerate to 2.</w:t>
      </w:r>
      <w:r w:rsidR="00D0709E">
        <w:rPr>
          <w:rFonts w:ascii="Garamond" w:hAnsi="Garamond" w:cs="Sylfaen"/>
          <w:color w:val="000000"/>
          <w:sz w:val="22"/>
          <w:szCs w:val="22"/>
        </w:rPr>
        <w:t>5</w:t>
      </w:r>
      <w:r w:rsidR="0018680E" w:rsidRPr="00A32AB2">
        <w:rPr>
          <w:rFonts w:ascii="Garamond" w:hAnsi="Garamond" w:cs="Sylfaen"/>
          <w:color w:val="000000"/>
          <w:sz w:val="22"/>
          <w:szCs w:val="22"/>
        </w:rPr>
        <w:t>%</w:t>
      </w:r>
      <w:r w:rsidR="00D0709E">
        <w:rPr>
          <w:rStyle w:val="FootnoteReference"/>
          <w:rFonts w:ascii="Garamond" w:hAnsi="Garamond" w:cs="Sylfaen"/>
          <w:color w:val="000000"/>
          <w:sz w:val="22"/>
          <w:szCs w:val="22"/>
        </w:rPr>
        <w:footnoteReference w:customMarkFollows="1" w:id="3"/>
        <w:t>3</w:t>
      </w:r>
      <w:r w:rsidR="0018680E" w:rsidRPr="00A32AB2">
        <w:rPr>
          <w:rFonts w:ascii="Garamond" w:hAnsi="Garamond" w:cs="Sylfaen"/>
          <w:color w:val="000000"/>
          <w:sz w:val="22"/>
          <w:szCs w:val="22"/>
        </w:rPr>
        <w:t xml:space="preserve">. </w:t>
      </w:r>
      <w:r w:rsidR="000B6A81">
        <w:rPr>
          <w:rFonts w:ascii="Garamond" w:hAnsi="Garamond" w:cs="Sylfaen"/>
          <w:color w:val="000000"/>
          <w:sz w:val="22"/>
          <w:szCs w:val="22"/>
        </w:rPr>
        <w:t xml:space="preserve">On the back of </w:t>
      </w:r>
      <w:r w:rsidR="00C322EA" w:rsidRPr="00A32AB2">
        <w:rPr>
          <w:rFonts w:ascii="Garamond" w:hAnsi="Garamond" w:cs="Sylfaen"/>
          <w:color w:val="000000"/>
          <w:sz w:val="22"/>
          <w:szCs w:val="22"/>
        </w:rPr>
        <w:t>improv</w:t>
      </w:r>
      <w:r w:rsidR="000B6A81">
        <w:rPr>
          <w:rFonts w:ascii="Garamond" w:hAnsi="Garamond" w:cs="Sylfaen"/>
          <w:color w:val="000000"/>
          <w:sz w:val="22"/>
          <w:szCs w:val="22"/>
        </w:rPr>
        <w:t xml:space="preserve">ing </w:t>
      </w:r>
      <w:r w:rsidR="00C322EA" w:rsidRPr="00A32AB2">
        <w:rPr>
          <w:rFonts w:ascii="Garamond" w:hAnsi="Garamond" w:cs="Sylfaen"/>
          <w:color w:val="000000"/>
          <w:sz w:val="22"/>
          <w:szCs w:val="22"/>
        </w:rPr>
        <w:t>labor market</w:t>
      </w:r>
      <w:r w:rsidR="000B6A81">
        <w:rPr>
          <w:rFonts w:ascii="Garamond" w:hAnsi="Garamond" w:cs="Sylfaen"/>
          <w:color w:val="000000"/>
          <w:sz w:val="22"/>
          <w:szCs w:val="22"/>
        </w:rPr>
        <w:t>,</w:t>
      </w:r>
      <w:r w:rsidR="00C322EA" w:rsidRPr="00A32AB2">
        <w:rPr>
          <w:rFonts w:ascii="Garamond" w:hAnsi="Garamond" w:cs="Sylfaen"/>
          <w:color w:val="000000"/>
          <w:sz w:val="22"/>
          <w:szCs w:val="22"/>
        </w:rPr>
        <w:t xml:space="preserve"> </w:t>
      </w:r>
      <w:r w:rsidR="003702D9">
        <w:rPr>
          <w:rFonts w:ascii="Garamond" w:hAnsi="Garamond" w:cs="Sylfaen"/>
          <w:color w:val="000000"/>
          <w:sz w:val="22"/>
          <w:szCs w:val="22"/>
        </w:rPr>
        <w:t xml:space="preserve">a </w:t>
      </w:r>
      <w:r w:rsidR="00C322EA" w:rsidRPr="00A32AB2">
        <w:rPr>
          <w:rFonts w:ascii="Garamond" w:hAnsi="Garamond" w:cs="Sylfaen"/>
          <w:color w:val="000000"/>
          <w:sz w:val="22"/>
          <w:szCs w:val="22"/>
        </w:rPr>
        <w:t>low</w:t>
      </w:r>
      <w:r w:rsidR="000B6A81">
        <w:rPr>
          <w:rFonts w:ascii="Garamond" w:hAnsi="Garamond" w:cs="Sylfaen"/>
          <w:color w:val="000000"/>
          <w:sz w:val="22"/>
          <w:szCs w:val="22"/>
        </w:rPr>
        <w:t>ering</w:t>
      </w:r>
      <w:r w:rsidR="00C322EA" w:rsidRPr="00A32AB2">
        <w:rPr>
          <w:rFonts w:ascii="Garamond" w:hAnsi="Garamond" w:cs="Sylfaen"/>
          <w:color w:val="000000"/>
          <w:sz w:val="22"/>
          <w:szCs w:val="22"/>
        </w:rPr>
        <w:t xml:space="preserve"> </w:t>
      </w:r>
      <w:r w:rsidR="003702D9">
        <w:rPr>
          <w:rFonts w:ascii="Garamond" w:hAnsi="Garamond" w:cs="Sylfaen"/>
          <w:color w:val="000000"/>
          <w:sz w:val="22"/>
          <w:szCs w:val="22"/>
        </w:rPr>
        <w:t xml:space="preserve">rate of </w:t>
      </w:r>
      <w:r w:rsidR="00C322EA" w:rsidRPr="00A32AB2">
        <w:rPr>
          <w:rFonts w:ascii="Garamond" w:hAnsi="Garamond" w:cs="Sylfaen"/>
          <w:color w:val="000000"/>
          <w:sz w:val="22"/>
          <w:szCs w:val="22"/>
        </w:rPr>
        <w:t>unemployment</w:t>
      </w:r>
      <w:r w:rsidR="003702D9">
        <w:rPr>
          <w:rFonts w:ascii="Garamond" w:hAnsi="Garamond" w:cs="Sylfaen"/>
          <w:color w:val="000000"/>
          <w:sz w:val="22"/>
          <w:szCs w:val="22"/>
        </w:rPr>
        <w:t xml:space="preserve"> and</w:t>
      </w:r>
      <w:r w:rsidR="00C322EA" w:rsidRPr="00A32AB2">
        <w:rPr>
          <w:rFonts w:ascii="Garamond" w:hAnsi="Garamond" w:cs="Sylfaen"/>
          <w:color w:val="000000"/>
          <w:sz w:val="22"/>
          <w:szCs w:val="22"/>
        </w:rPr>
        <w:t xml:space="preserve"> </w:t>
      </w:r>
      <w:r w:rsidR="003702D9">
        <w:rPr>
          <w:rFonts w:ascii="Garamond" w:hAnsi="Garamond" w:cs="Sylfaen"/>
          <w:color w:val="000000"/>
          <w:sz w:val="22"/>
          <w:szCs w:val="22"/>
        </w:rPr>
        <w:t xml:space="preserve">inflation recovering to a certain extent, </w:t>
      </w:r>
      <w:r w:rsidR="00C322EA" w:rsidRPr="00A32AB2">
        <w:rPr>
          <w:rFonts w:ascii="Garamond" w:hAnsi="Garamond" w:cs="Sylfaen"/>
          <w:color w:val="000000"/>
          <w:sz w:val="22"/>
          <w:szCs w:val="22"/>
        </w:rPr>
        <w:t xml:space="preserve">the raising of </w:t>
      </w:r>
      <w:r w:rsidR="003702D9">
        <w:rPr>
          <w:rFonts w:ascii="Garamond" w:hAnsi="Garamond" w:cs="Sylfaen"/>
          <w:color w:val="000000"/>
          <w:sz w:val="22"/>
          <w:szCs w:val="22"/>
        </w:rPr>
        <w:t xml:space="preserve">the </w:t>
      </w:r>
      <w:r w:rsidR="00C322EA" w:rsidRPr="00A32AB2">
        <w:rPr>
          <w:rFonts w:ascii="Garamond" w:hAnsi="Garamond" w:cs="Sylfaen"/>
          <w:color w:val="000000"/>
          <w:sz w:val="22"/>
          <w:szCs w:val="22"/>
        </w:rPr>
        <w:t xml:space="preserve">policy rate by the US Federal Reserve System is expected in </w:t>
      </w:r>
      <w:r w:rsidR="003702D9">
        <w:rPr>
          <w:rFonts w:ascii="Garamond" w:hAnsi="Garamond" w:cs="Sylfaen"/>
          <w:color w:val="000000"/>
          <w:sz w:val="22"/>
          <w:szCs w:val="22"/>
        </w:rPr>
        <w:t xml:space="preserve">December </w:t>
      </w:r>
      <w:r w:rsidR="00C322EA" w:rsidRPr="00A32AB2">
        <w:rPr>
          <w:rFonts w:ascii="Garamond" w:hAnsi="Garamond" w:cs="Sylfaen"/>
          <w:color w:val="000000"/>
          <w:sz w:val="22"/>
          <w:szCs w:val="22"/>
        </w:rPr>
        <w:t>of 2016. Then, i</w:t>
      </w:r>
      <w:r w:rsidR="003702D9">
        <w:rPr>
          <w:rFonts w:ascii="Garamond" w:hAnsi="Garamond" w:cs="Sylfaen"/>
          <w:color w:val="000000"/>
          <w:sz w:val="22"/>
          <w:szCs w:val="22"/>
        </w:rPr>
        <w:t>n the medium term, the Fed will, most probably, gradually tighten i</w:t>
      </w:r>
      <w:r w:rsidR="00C322EA" w:rsidRPr="00A32AB2">
        <w:rPr>
          <w:rFonts w:ascii="Garamond" w:hAnsi="Garamond" w:cs="Sylfaen"/>
          <w:color w:val="000000"/>
          <w:sz w:val="22"/>
          <w:szCs w:val="22"/>
        </w:rPr>
        <w:t>ts monetary policy.</w:t>
      </w:r>
    </w:p>
    <w:p w14:paraId="73B825AB" w14:textId="77777777" w:rsidR="00C322EA" w:rsidRPr="00A32AB2" w:rsidRDefault="00C322EA" w:rsidP="00B117C8">
      <w:pPr>
        <w:spacing w:line="360" w:lineRule="auto"/>
        <w:jc w:val="both"/>
        <w:rPr>
          <w:rFonts w:ascii="Garamond" w:hAnsi="Garamond" w:cs="Sylfaen"/>
          <w:color w:val="000000"/>
          <w:sz w:val="22"/>
          <w:szCs w:val="22"/>
        </w:rPr>
      </w:pPr>
    </w:p>
    <w:p w14:paraId="7A8A0DB9" w14:textId="70420EE0" w:rsidR="00C11F74" w:rsidRPr="00A32AB2" w:rsidRDefault="00C11F74" w:rsidP="00B117C8">
      <w:pPr>
        <w:spacing w:line="360" w:lineRule="auto"/>
        <w:jc w:val="both"/>
        <w:rPr>
          <w:rFonts w:ascii="Garamond" w:hAnsi="Garamond"/>
          <w:sz w:val="22"/>
          <w:szCs w:val="22"/>
        </w:rPr>
      </w:pPr>
      <w:r w:rsidRPr="00A32AB2">
        <w:rPr>
          <w:rFonts w:ascii="Garamond" w:hAnsi="Garamond"/>
          <w:sz w:val="22"/>
          <w:szCs w:val="22"/>
        </w:rPr>
        <w:t xml:space="preserve">Economic growth in </w:t>
      </w:r>
      <w:r w:rsidRPr="00A32AB2">
        <w:rPr>
          <w:rFonts w:ascii="Garamond" w:hAnsi="Garamond"/>
          <w:b/>
          <w:sz w:val="22"/>
          <w:szCs w:val="22"/>
        </w:rPr>
        <w:t>Eurozone</w:t>
      </w:r>
      <w:r w:rsidRPr="00A32AB2">
        <w:rPr>
          <w:rFonts w:ascii="Garamond" w:hAnsi="Garamond"/>
          <w:sz w:val="22"/>
          <w:szCs w:val="22"/>
        </w:rPr>
        <w:t xml:space="preserve"> in 2016 is predicted to </w:t>
      </w:r>
      <w:r w:rsidR="00AE080E" w:rsidRPr="00A32AB2">
        <w:rPr>
          <w:rFonts w:ascii="Garamond" w:hAnsi="Garamond"/>
          <w:sz w:val="22"/>
          <w:szCs w:val="22"/>
        </w:rPr>
        <w:t>be 1</w:t>
      </w:r>
      <w:r w:rsidRPr="00A32AB2">
        <w:rPr>
          <w:rFonts w:ascii="Garamond" w:hAnsi="Garamond"/>
          <w:sz w:val="22"/>
          <w:szCs w:val="22"/>
        </w:rPr>
        <w:t>.</w:t>
      </w:r>
      <w:r w:rsidR="00D724A0">
        <w:rPr>
          <w:rFonts w:ascii="Garamond" w:hAnsi="Garamond"/>
          <w:sz w:val="22"/>
          <w:szCs w:val="22"/>
        </w:rPr>
        <w:t>6</w:t>
      </w:r>
      <w:r w:rsidRPr="00A32AB2">
        <w:rPr>
          <w:rFonts w:ascii="Garamond" w:hAnsi="Garamond"/>
          <w:sz w:val="22"/>
          <w:szCs w:val="22"/>
        </w:rPr>
        <w:t xml:space="preserve">% </w:t>
      </w:r>
      <w:r w:rsidR="00D724A0">
        <w:rPr>
          <w:rFonts w:ascii="Garamond" w:hAnsi="Garamond"/>
          <w:sz w:val="22"/>
          <w:szCs w:val="22"/>
        </w:rPr>
        <w:t xml:space="preserve">versus the previous 1.3% growth forecast. The growth will </w:t>
      </w:r>
      <w:r w:rsidR="004844E2">
        <w:rPr>
          <w:rFonts w:ascii="Garamond" w:hAnsi="Garamond"/>
          <w:sz w:val="22"/>
          <w:szCs w:val="22"/>
        </w:rPr>
        <w:t xml:space="preserve">be mostly </w:t>
      </w:r>
      <w:r w:rsidR="00D724A0">
        <w:rPr>
          <w:rFonts w:ascii="Garamond" w:hAnsi="Garamond"/>
          <w:sz w:val="22"/>
          <w:szCs w:val="22"/>
        </w:rPr>
        <w:t xml:space="preserve">attributable </w:t>
      </w:r>
      <w:r w:rsidR="00AE080E" w:rsidRPr="00A32AB2">
        <w:rPr>
          <w:rFonts w:ascii="Garamond" w:hAnsi="Garamond"/>
          <w:sz w:val="22"/>
          <w:szCs w:val="22"/>
        </w:rPr>
        <w:t xml:space="preserve">to </w:t>
      </w:r>
      <w:r w:rsidR="00B47D0E">
        <w:rPr>
          <w:rFonts w:ascii="Garamond" w:hAnsi="Garamond"/>
          <w:sz w:val="22"/>
          <w:szCs w:val="22"/>
        </w:rPr>
        <w:t xml:space="preserve">the increasing net exports; the domestic demand bouncing back will also contribute to such growth. </w:t>
      </w:r>
      <w:r w:rsidR="00057FE2">
        <w:rPr>
          <w:rFonts w:ascii="Garamond" w:hAnsi="Garamond"/>
          <w:sz w:val="22"/>
          <w:szCs w:val="22"/>
        </w:rPr>
        <w:t>I</w:t>
      </w:r>
      <w:r w:rsidR="00E869D9" w:rsidRPr="00A32AB2">
        <w:rPr>
          <w:rFonts w:ascii="Garamond" w:hAnsi="Garamond" w:cs="Sylfaen"/>
          <w:color w:val="000000"/>
          <w:sz w:val="22"/>
          <w:szCs w:val="22"/>
        </w:rPr>
        <w:t>n the medium term</w:t>
      </w:r>
      <w:r w:rsidR="00C71775">
        <w:rPr>
          <w:rFonts w:ascii="Garamond" w:hAnsi="Garamond" w:cs="Sylfaen"/>
          <w:color w:val="000000"/>
          <w:sz w:val="22"/>
          <w:szCs w:val="22"/>
        </w:rPr>
        <w:t>,</w:t>
      </w:r>
      <w:r w:rsidR="00E869D9" w:rsidRPr="00A32AB2">
        <w:rPr>
          <w:rFonts w:ascii="Garamond" w:hAnsi="Garamond" w:cs="Sylfaen"/>
          <w:color w:val="000000"/>
          <w:sz w:val="22"/>
          <w:szCs w:val="22"/>
        </w:rPr>
        <w:t xml:space="preserve"> </w:t>
      </w:r>
      <w:r w:rsidR="00C71775">
        <w:rPr>
          <w:rFonts w:ascii="Garamond" w:hAnsi="Garamond" w:cs="Sylfaen"/>
          <w:color w:val="000000"/>
          <w:sz w:val="22"/>
          <w:szCs w:val="22"/>
        </w:rPr>
        <w:t xml:space="preserve">no change in growth rates is anticipated, so these will be </w:t>
      </w:r>
      <w:r w:rsidR="00E869D9" w:rsidRPr="00A32AB2">
        <w:rPr>
          <w:rFonts w:ascii="Garamond" w:hAnsi="Garamond" w:cs="Sylfaen"/>
          <w:color w:val="000000"/>
          <w:sz w:val="22"/>
          <w:szCs w:val="22"/>
        </w:rPr>
        <w:t xml:space="preserve">averaging around 1.5%. Although the euro’s exchange rate remains depreciated against the US dollar, the Eurozone inflation </w:t>
      </w:r>
      <w:r w:rsidR="0006206E" w:rsidRPr="00A32AB2">
        <w:rPr>
          <w:rFonts w:ascii="Garamond" w:hAnsi="Garamond" w:cs="Sylfaen"/>
          <w:color w:val="000000"/>
          <w:sz w:val="22"/>
          <w:szCs w:val="22"/>
        </w:rPr>
        <w:t xml:space="preserve">runs </w:t>
      </w:r>
      <w:r w:rsidR="00E869D9" w:rsidRPr="00A32AB2">
        <w:rPr>
          <w:rFonts w:ascii="Garamond" w:hAnsi="Garamond" w:cs="Sylfaen"/>
          <w:color w:val="000000"/>
          <w:sz w:val="22"/>
          <w:szCs w:val="22"/>
        </w:rPr>
        <w:t>below the target</w:t>
      </w:r>
      <w:r w:rsidR="00C71775">
        <w:rPr>
          <w:rFonts w:ascii="Garamond" w:hAnsi="Garamond" w:cs="Sylfaen"/>
          <w:color w:val="000000"/>
          <w:sz w:val="22"/>
          <w:szCs w:val="22"/>
        </w:rPr>
        <w:t>, further carrying the influence of fallen o</w:t>
      </w:r>
      <w:r w:rsidR="00C71775" w:rsidRPr="00C71775">
        <w:rPr>
          <w:rFonts w:ascii="Garamond" w:hAnsi="Garamond" w:cs="Sylfaen"/>
          <w:color w:val="000000"/>
          <w:sz w:val="22"/>
          <w:szCs w:val="22"/>
        </w:rPr>
        <w:t xml:space="preserve">il prices as well as lower prices for </w:t>
      </w:r>
      <w:r w:rsidR="00C71775">
        <w:rPr>
          <w:rFonts w:ascii="Garamond" w:hAnsi="Garamond" w:cs="Sylfaen"/>
          <w:color w:val="000000"/>
          <w:sz w:val="22"/>
          <w:szCs w:val="22"/>
        </w:rPr>
        <w:t xml:space="preserve">some </w:t>
      </w:r>
      <w:r w:rsidR="00C71775" w:rsidRPr="00C71775">
        <w:rPr>
          <w:rFonts w:ascii="Garamond" w:hAnsi="Garamond" w:cs="Sylfaen"/>
          <w:color w:val="000000"/>
          <w:sz w:val="22"/>
          <w:szCs w:val="22"/>
        </w:rPr>
        <w:t>raw materials.</w:t>
      </w:r>
      <w:r w:rsidR="00C71775">
        <w:rPr>
          <w:rFonts w:ascii="Garamond" w:hAnsi="Garamond" w:cs="Sylfaen"/>
          <w:color w:val="000000"/>
          <w:sz w:val="22"/>
          <w:szCs w:val="22"/>
        </w:rPr>
        <w:t xml:space="preserve"> </w:t>
      </w:r>
      <w:r w:rsidR="00DE6172">
        <w:rPr>
          <w:rFonts w:ascii="Garamond" w:hAnsi="Garamond" w:cs="Sylfaen"/>
          <w:color w:val="000000"/>
          <w:sz w:val="22"/>
          <w:szCs w:val="22"/>
        </w:rPr>
        <w:t>The Eurozone’s i</w:t>
      </w:r>
      <w:r w:rsidR="00E869D9" w:rsidRPr="00A32AB2">
        <w:rPr>
          <w:rFonts w:ascii="Garamond" w:hAnsi="Garamond" w:cs="Sylfaen"/>
          <w:color w:val="000000"/>
          <w:sz w:val="22"/>
          <w:szCs w:val="22"/>
        </w:rPr>
        <w:t>nflation will approach the target only at the end of the forecast horizon</w:t>
      </w:r>
      <w:r w:rsidR="00E11304">
        <w:rPr>
          <w:rFonts w:ascii="Garamond" w:hAnsi="Garamond" w:cs="Sylfaen"/>
          <w:color w:val="000000"/>
          <w:sz w:val="22"/>
          <w:szCs w:val="22"/>
        </w:rPr>
        <w:t>;</w:t>
      </w:r>
      <w:r w:rsidR="00E869D9" w:rsidRPr="00A32AB2">
        <w:rPr>
          <w:rFonts w:ascii="Garamond" w:hAnsi="Garamond" w:cs="Sylfaen"/>
          <w:color w:val="000000"/>
          <w:sz w:val="22"/>
          <w:szCs w:val="22"/>
        </w:rPr>
        <w:t xml:space="preserve"> </w:t>
      </w:r>
      <w:r w:rsidR="00E11304">
        <w:rPr>
          <w:rFonts w:ascii="Garamond" w:hAnsi="Garamond" w:cs="Sylfaen"/>
          <w:color w:val="000000"/>
          <w:sz w:val="22"/>
          <w:szCs w:val="22"/>
        </w:rPr>
        <w:t xml:space="preserve">this </w:t>
      </w:r>
      <w:r w:rsidR="00195151" w:rsidRPr="00A32AB2">
        <w:rPr>
          <w:rFonts w:ascii="Garamond" w:hAnsi="Garamond" w:cs="Sylfaen"/>
          <w:color w:val="000000"/>
          <w:sz w:val="22"/>
          <w:szCs w:val="22"/>
        </w:rPr>
        <w:t xml:space="preserve">will be </w:t>
      </w:r>
      <w:r w:rsidR="00E11304">
        <w:rPr>
          <w:rFonts w:ascii="Garamond" w:hAnsi="Garamond" w:cs="Sylfaen"/>
          <w:color w:val="000000"/>
          <w:sz w:val="22"/>
          <w:szCs w:val="22"/>
        </w:rPr>
        <w:t xml:space="preserve">bolstered </w:t>
      </w:r>
      <w:r w:rsidR="00195151" w:rsidRPr="00A32AB2">
        <w:rPr>
          <w:rFonts w:ascii="Garamond" w:hAnsi="Garamond" w:cs="Sylfaen"/>
          <w:color w:val="000000"/>
          <w:sz w:val="22"/>
          <w:szCs w:val="22"/>
        </w:rPr>
        <w:t>by the ECB’</w:t>
      </w:r>
      <w:r w:rsidR="00E869D9" w:rsidRPr="00A32AB2">
        <w:rPr>
          <w:rFonts w:ascii="Garamond" w:hAnsi="Garamond" w:cs="Sylfaen"/>
          <w:color w:val="000000"/>
          <w:sz w:val="22"/>
          <w:szCs w:val="22"/>
        </w:rPr>
        <w:t xml:space="preserve">s expansionary policy under which </w:t>
      </w:r>
      <w:r w:rsidR="00195151" w:rsidRPr="00A32AB2">
        <w:rPr>
          <w:rFonts w:ascii="Garamond" w:hAnsi="Garamond" w:cs="Sylfaen"/>
          <w:color w:val="000000"/>
          <w:sz w:val="22"/>
          <w:szCs w:val="22"/>
        </w:rPr>
        <w:t xml:space="preserve">the </w:t>
      </w:r>
      <w:r w:rsidR="00E869D9" w:rsidRPr="00A32AB2">
        <w:rPr>
          <w:rFonts w:ascii="Garamond" w:hAnsi="Garamond" w:cs="Sylfaen"/>
          <w:color w:val="000000"/>
          <w:sz w:val="22"/>
          <w:szCs w:val="22"/>
        </w:rPr>
        <w:t>quantitative e</w:t>
      </w:r>
      <w:r w:rsidR="00195151" w:rsidRPr="00A32AB2">
        <w:rPr>
          <w:rFonts w:ascii="Garamond" w:hAnsi="Garamond" w:cs="Sylfaen"/>
          <w:color w:val="000000"/>
          <w:sz w:val="22"/>
          <w:szCs w:val="22"/>
        </w:rPr>
        <w:t xml:space="preserve">asing </w:t>
      </w:r>
      <w:r w:rsidR="00CE3E92">
        <w:rPr>
          <w:rFonts w:ascii="Garamond" w:hAnsi="Garamond" w:cs="Sylfaen"/>
          <w:color w:val="000000"/>
          <w:sz w:val="22"/>
          <w:szCs w:val="22"/>
        </w:rPr>
        <w:t>program</w:t>
      </w:r>
      <w:r w:rsidR="00CE3E92" w:rsidRPr="00A32AB2">
        <w:rPr>
          <w:rFonts w:ascii="Garamond" w:hAnsi="Garamond" w:cs="Sylfaen"/>
          <w:color w:val="000000"/>
          <w:sz w:val="22"/>
          <w:szCs w:val="22"/>
        </w:rPr>
        <w:t xml:space="preserve"> </w:t>
      </w:r>
      <w:r w:rsidR="00E869D9" w:rsidRPr="00A32AB2">
        <w:rPr>
          <w:rFonts w:ascii="Garamond" w:hAnsi="Garamond" w:cs="Sylfaen"/>
          <w:color w:val="000000"/>
          <w:sz w:val="22"/>
          <w:szCs w:val="22"/>
        </w:rPr>
        <w:t xml:space="preserve">will continue </w:t>
      </w:r>
      <w:r w:rsidR="00195151" w:rsidRPr="00A32AB2">
        <w:rPr>
          <w:rFonts w:ascii="Garamond" w:hAnsi="Garamond" w:cs="Sylfaen"/>
          <w:color w:val="000000"/>
          <w:sz w:val="22"/>
          <w:szCs w:val="22"/>
        </w:rPr>
        <w:t xml:space="preserve">up </w:t>
      </w:r>
      <w:r w:rsidR="00E869D9" w:rsidRPr="00A32AB2">
        <w:rPr>
          <w:rFonts w:ascii="Garamond" w:hAnsi="Garamond" w:cs="Sylfaen"/>
          <w:color w:val="000000"/>
          <w:sz w:val="22"/>
          <w:szCs w:val="22"/>
        </w:rPr>
        <w:t xml:space="preserve">until </w:t>
      </w:r>
      <w:r w:rsidR="00195151" w:rsidRPr="00A32AB2">
        <w:rPr>
          <w:rFonts w:ascii="Garamond" w:hAnsi="Garamond" w:cs="Sylfaen"/>
          <w:color w:val="000000"/>
          <w:sz w:val="22"/>
          <w:szCs w:val="22"/>
        </w:rPr>
        <w:t xml:space="preserve">the </w:t>
      </w:r>
      <w:r w:rsidR="00DE6172">
        <w:rPr>
          <w:rFonts w:ascii="Garamond" w:hAnsi="Garamond" w:cs="Sylfaen"/>
          <w:color w:val="000000"/>
          <w:sz w:val="22"/>
          <w:szCs w:val="22"/>
        </w:rPr>
        <w:t>second</w:t>
      </w:r>
      <w:r w:rsidR="00195151" w:rsidRPr="00A32AB2">
        <w:rPr>
          <w:rFonts w:ascii="Garamond" w:hAnsi="Garamond" w:cs="Sylfaen"/>
          <w:color w:val="000000"/>
          <w:sz w:val="22"/>
          <w:szCs w:val="22"/>
        </w:rPr>
        <w:t xml:space="preserve"> </w:t>
      </w:r>
      <w:r w:rsidR="00DE6172">
        <w:rPr>
          <w:rFonts w:ascii="Garamond" w:hAnsi="Garamond" w:cs="Sylfaen"/>
          <w:color w:val="000000"/>
          <w:sz w:val="22"/>
          <w:szCs w:val="22"/>
        </w:rPr>
        <w:t xml:space="preserve">half </w:t>
      </w:r>
      <w:r w:rsidR="00195151" w:rsidRPr="00A32AB2">
        <w:rPr>
          <w:rFonts w:ascii="Garamond" w:hAnsi="Garamond" w:cs="Sylfaen"/>
          <w:color w:val="000000"/>
          <w:sz w:val="22"/>
          <w:szCs w:val="22"/>
        </w:rPr>
        <w:t xml:space="preserve">of </w:t>
      </w:r>
      <w:r w:rsidR="00E869D9" w:rsidRPr="00A32AB2">
        <w:rPr>
          <w:rFonts w:ascii="Garamond" w:hAnsi="Garamond" w:cs="Sylfaen"/>
          <w:color w:val="000000"/>
          <w:sz w:val="22"/>
          <w:szCs w:val="22"/>
        </w:rPr>
        <w:t xml:space="preserve">2017. </w:t>
      </w:r>
    </w:p>
    <w:p w14:paraId="1D3D751C" w14:textId="77777777" w:rsidR="00F11522" w:rsidRPr="00A32AB2" w:rsidRDefault="00F11522" w:rsidP="00B117C8">
      <w:pPr>
        <w:spacing w:line="360" w:lineRule="auto"/>
        <w:jc w:val="both"/>
        <w:rPr>
          <w:rFonts w:ascii="Garamond" w:hAnsi="Garamond"/>
          <w:sz w:val="22"/>
          <w:szCs w:val="22"/>
        </w:rPr>
      </w:pPr>
    </w:p>
    <w:p w14:paraId="59C2733C" w14:textId="77777777" w:rsidR="00275AB5" w:rsidRPr="00A32AB2" w:rsidRDefault="00437A01" w:rsidP="00B117C8">
      <w:pPr>
        <w:spacing w:line="360" w:lineRule="auto"/>
        <w:jc w:val="both"/>
        <w:rPr>
          <w:rFonts w:ascii="Garamond" w:hAnsi="Garamond" w:cs="Sylfaen"/>
          <w:sz w:val="22"/>
          <w:szCs w:val="22"/>
        </w:rPr>
      </w:pPr>
      <w:r>
        <w:rPr>
          <w:rFonts w:ascii="Garamond" w:hAnsi="Garamond" w:cs="Sylfaen"/>
          <w:sz w:val="22"/>
          <w:szCs w:val="22"/>
        </w:rPr>
        <w:t>In 2016 e</w:t>
      </w:r>
      <w:r w:rsidR="00F11522" w:rsidRPr="00A32AB2">
        <w:rPr>
          <w:rFonts w:ascii="Garamond" w:hAnsi="Garamond" w:cs="Sylfaen"/>
          <w:sz w:val="22"/>
          <w:szCs w:val="22"/>
        </w:rPr>
        <w:t xml:space="preserve">conomic decline in </w:t>
      </w:r>
      <w:r w:rsidR="00F11522" w:rsidRPr="00A32AB2">
        <w:rPr>
          <w:rFonts w:ascii="Garamond" w:hAnsi="Garamond" w:cs="Sylfaen"/>
          <w:b/>
          <w:sz w:val="22"/>
          <w:szCs w:val="22"/>
        </w:rPr>
        <w:t>Russia</w:t>
      </w:r>
      <w:r w:rsidR="00F11522" w:rsidRPr="00A32AB2">
        <w:rPr>
          <w:rFonts w:ascii="Garamond" w:hAnsi="Garamond" w:cs="Sylfaen"/>
          <w:sz w:val="22"/>
          <w:szCs w:val="22"/>
        </w:rPr>
        <w:t xml:space="preserve"> </w:t>
      </w:r>
      <w:r w:rsidR="00195151" w:rsidRPr="00A32AB2">
        <w:rPr>
          <w:rFonts w:ascii="Garamond" w:hAnsi="Garamond" w:cs="Sylfaen"/>
          <w:sz w:val="22"/>
          <w:szCs w:val="22"/>
        </w:rPr>
        <w:t xml:space="preserve">is anticipated to slow down to </w:t>
      </w:r>
      <w:r w:rsidR="00195151" w:rsidRPr="00A32AB2">
        <w:rPr>
          <w:rFonts w:ascii="Garamond" w:hAnsi="Garamond" w:cs="Sylfaen"/>
          <w:color w:val="000000"/>
          <w:sz w:val="22"/>
          <w:szCs w:val="22"/>
        </w:rPr>
        <w:t>0.</w:t>
      </w:r>
      <w:r>
        <w:rPr>
          <w:rFonts w:ascii="Garamond" w:hAnsi="Garamond" w:cs="Sylfaen"/>
          <w:color w:val="000000"/>
          <w:sz w:val="22"/>
          <w:szCs w:val="22"/>
        </w:rPr>
        <w:t>6</w:t>
      </w:r>
      <w:r w:rsidR="00195151" w:rsidRPr="00A32AB2">
        <w:rPr>
          <w:rFonts w:ascii="Garamond" w:hAnsi="Garamond" w:cs="Sylfaen"/>
          <w:color w:val="000000"/>
          <w:sz w:val="22"/>
          <w:szCs w:val="22"/>
        </w:rPr>
        <w:t xml:space="preserve">% </w:t>
      </w:r>
      <w:r>
        <w:rPr>
          <w:rFonts w:ascii="Garamond" w:hAnsi="Garamond" w:cs="Sylfaen"/>
          <w:color w:val="000000"/>
          <w:sz w:val="22"/>
          <w:szCs w:val="22"/>
        </w:rPr>
        <w:t>against the p</w:t>
      </w:r>
      <w:r w:rsidR="00195151" w:rsidRPr="00A32AB2">
        <w:rPr>
          <w:rFonts w:ascii="Garamond" w:hAnsi="Garamond" w:cs="Sylfaen"/>
          <w:color w:val="000000"/>
          <w:sz w:val="22"/>
          <w:szCs w:val="22"/>
        </w:rPr>
        <w:t>revious</w:t>
      </w:r>
      <w:r>
        <w:rPr>
          <w:rFonts w:ascii="Garamond" w:hAnsi="Garamond" w:cs="Sylfaen"/>
          <w:color w:val="000000"/>
          <w:sz w:val="22"/>
          <w:szCs w:val="22"/>
        </w:rPr>
        <w:t xml:space="preserve">ly </w:t>
      </w:r>
      <w:r w:rsidR="00195151" w:rsidRPr="00A32AB2">
        <w:rPr>
          <w:rFonts w:ascii="Garamond" w:hAnsi="Garamond" w:cs="Sylfaen"/>
          <w:color w:val="000000"/>
          <w:sz w:val="22"/>
          <w:szCs w:val="22"/>
        </w:rPr>
        <w:t>predict</w:t>
      </w:r>
      <w:r>
        <w:rPr>
          <w:rFonts w:ascii="Garamond" w:hAnsi="Garamond" w:cs="Sylfaen"/>
          <w:color w:val="000000"/>
          <w:sz w:val="22"/>
          <w:szCs w:val="22"/>
        </w:rPr>
        <w:t>ed slowing of 0</w:t>
      </w:r>
      <w:r w:rsidR="00F11522" w:rsidRPr="00A32AB2">
        <w:rPr>
          <w:rFonts w:ascii="Garamond" w:hAnsi="Garamond" w:cs="Sylfaen"/>
          <w:color w:val="000000"/>
          <w:sz w:val="22"/>
          <w:szCs w:val="22"/>
        </w:rPr>
        <w:t>.</w:t>
      </w:r>
      <w:r>
        <w:rPr>
          <w:rFonts w:ascii="Garamond" w:hAnsi="Garamond" w:cs="Sylfaen"/>
          <w:color w:val="000000"/>
          <w:sz w:val="22"/>
          <w:szCs w:val="22"/>
        </w:rPr>
        <w:t>8</w:t>
      </w:r>
      <w:r w:rsidR="00F11522" w:rsidRPr="00A32AB2">
        <w:rPr>
          <w:rFonts w:ascii="Garamond" w:hAnsi="Garamond" w:cs="Sylfaen"/>
          <w:color w:val="000000"/>
          <w:sz w:val="22"/>
          <w:szCs w:val="22"/>
        </w:rPr>
        <w:t>%.</w:t>
      </w:r>
      <w:r w:rsidR="00195151" w:rsidRPr="00A32AB2">
        <w:rPr>
          <w:rFonts w:ascii="Garamond" w:hAnsi="Garamond" w:cs="Sylfaen"/>
          <w:color w:val="000000"/>
          <w:sz w:val="22"/>
          <w:szCs w:val="22"/>
        </w:rPr>
        <w:t xml:space="preserve"> </w:t>
      </w:r>
      <w:r w:rsidR="007D4EF1">
        <w:rPr>
          <w:rFonts w:ascii="Garamond" w:hAnsi="Garamond" w:cs="Sylfaen"/>
          <w:color w:val="000000"/>
          <w:sz w:val="22"/>
          <w:szCs w:val="22"/>
        </w:rPr>
        <w:t>I</w:t>
      </w:r>
      <w:r w:rsidR="007D4EF1" w:rsidRPr="007D4EF1">
        <w:rPr>
          <w:rFonts w:ascii="Garamond" w:hAnsi="Garamond" w:cs="Sylfaen"/>
          <w:color w:val="000000"/>
          <w:sz w:val="22"/>
          <w:szCs w:val="22"/>
        </w:rPr>
        <w:t xml:space="preserve">nternational oil prices </w:t>
      </w:r>
      <w:r w:rsidR="007D4EF1">
        <w:rPr>
          <w:rFonts w:ascii="Garamond" w:hAnsi="Garamond" w:cs="Sylfaen"/>
          <w:color w:val="000000"/>
          <w:sz w:val="22"/>
          <w:szCs w:val="22"/>
        </w:rPr>
        <w:t xml:space="preserve">tending to bounce back help curtail the </w:t>
      </w:r>
      <w:r w:rsidR="007D4EF1" w:rsidRPr="007D4EF1">
        <w:rPr>
          <w:rFonts w:ascii="Garamond" w:hAnsi="Garamond" w:cs="Sylfaen"/>
          <w:color w:val="000000"/>
          <w:sz w:val="22"/>
          <w:szCs w:val="22"/>
        </w:rPr>
        <w:t>decline.</w:t>
      </w:r>
      <w:r w:rsidR="007D4EF1">
        <w:rPr>
          <w:rFonts w:ascii="Garamond" w:hAnsi="Garamond" w:cs="Sylfaen"/>
          <w:color w:val="000000"/>
          <w:sz w:val="22"/>
          <w:szCs w:val="22"/>
        </w:rPr>
        <w:t xml:space="preserve"> </w:t>
      </w:r>
      <w:r w:rsidR="00F11522" w:rsidRPr="00A32AB2">
        <w:rPr>
          <w:rFonts w:ascii="Garamond" w:hAnsi="Garamond" w:cs="Sylfaen"/>
          <w:color w:val="000000"/>
          <w:sz w:val="22"/>
          <w:szCs w:val="22"/>
        </w:rPr>
        <w:t xml:space="preserve">The economy </w:t>
      </w:r>
      <w:r w:rsidR="007D4EF1">
        <w:rPr>
          <w:rFonts w:ascii="Garamond" w:hAnsi="Garamond" w:cs="Sylfaen"/>
          <w:color w:val="000000"/>
          <w:sz w:val="22"/>
          <w:szCs w:val="22"/>
        </w:rPr>
        <w:t xml:space="preserve">is expected to </w:t>
      </w:r>
      <w:r w:rsidR="00F11522" w:rsidRPr="00A32AB2">
        <w:rPr>
          <w:rFonts w:ascii="Garamond" w:hAnsi="Garamond" w:cs="Sylfaen"/>
          <w:color w:val="000000"/>
          <w:sz w:val="22"/>
          <w:szCs w:val="22"/>
        </w:rPr>
        <w:t xml:space="preserve">return to positive growth </w:t>
      </w:r>
      <w:r w:rsidR="007D4EF1">
        <w:rPr>
          <w:rFonts w:ascii="Garamond" w:hAnsi="Garamond" w:cs="Sylfaen"/>
          <w:color w:val="000000"/>
          <w:sz w:val="22"/>
          <w:szCs w:val="22"/>
        </w:rPr>
        <w:t xml:space="preserve">as soon as the first quarter of 2017, </w:t>
      </w:r>
      <w:r w:rsidR="00CD5D9F" w:rsidRPr="00A32AB2">
        <w:rPr>
          <w:rFonts w:ascii="Garamond" w:hAnsi="Garamond" w:cs="Sylfaen"/>
          <w:color w:val="000000"/>
          <w:sz w:val="22"/>
          <w:szCs w:val="22"/>
        </w:rPr>
        <w:t xml:space="preserve">with </w:t>
      </w:r>
      <w:r w:rsidR="00F11522" w:rsidRPr="00A32AB2">
        <w:rPr>
          <w:rFonts w:ascii="Garamond" w:hAnsi="Garamond" w:cs="Sylfaen"/>
          <w:color w:val="000000"/>
          <w:sz w:val="22"/>
          <w:szCs w:val="22"/>
        </w:rPr>
        <w:t xml:space="preserve">the </w:t>
      </w:r>
      <w:r w:rsidR="00181D5F" w:rsidRPr="00A32AB2">
        <w:rPr>
          <w:rFonts w:ascii="Garamond" w:hAnsi="Garamond" w:cs="Sylfaen"/>
          <w:color w:val="000000"/>
          <w:sz w:val="22"/>
          <w:szCs w:val="22"/>
        </w:rPr>
        <w:t xml:space="preserve">medium-term </w:t>
      </w:r>
      <w:r w:rsidR="00F11522" w:rsidRPr="00A32AB2">
        <w:rPr>
          <w:rFonts w:ascii="Garamond" w:hAnsi="Garamond" w:cs="Sylfaen"/>
          <w:color w:val="000000"/>
          <w:sz w:val="22"/>
          <w:szCs w:val="22"/>
        </w:rPr>
        <w:t xml:space="preserve">growth </w:t>
      </w:r>
      <w:r w:rsidR="009A15E1">
        <w:rPr>
          <w:rFonts w:ascii="Garamond" w:hAnsi="Garamond" w:cs="Sylfaen"/>
          <w:color w:val="000000"/>
          <w:sz w:val="22"/>
          <w:szCs w:val="22"/>
        </w:rPr>
        <w:lastRenderedPageBreak/>
        <w:t>prediction in the region of 1.5-2.0%</w:t>
      </w:r>
      <w:r w:rsidR="00181D5F" w:rsidRPr="00A32AB2">
        <w:rPr>
          <w:rFonts w:ascii="Garamond" w:hAnsi="Garamond" w:cs="Sylfaen"/>
          <w:color w:val="000000"/>
          <w:sz w:val="22"/>
          <w:szCs w:val="22"/>
        </w:rPr>
        <w:t xml:space="preserve">. </w:t>
      </w:r>
      <w:r w:rsidR="001416A4">
        <w:rPr>
          <w:rFonts w:ascii="Garamond" w:hAnsi="Garamond" w:cs="Sylfaen"/>
          <w:color w:val="000000"/>
          <w:sz w:val="22"/>
          <w:szCs w:val="22"/>
        </w:rPr>
        <w:t xml:space="preserve">Recovery of domestic demand will be an impetus for the economic growth. </w:t>
      </w:r>
      <w:r w:rsidR="00181D5F" w:rsidRPr="00A32AB2">
        <w:rPr>
          <w:rFonts w:ascii="Garamond" w:hAnsi="Garamond" w:cs="Sylfaen"/>
          <w:sz w:val="22"/>
          <w:szCs w:val="22"/>
        </w:rPr>
        <w:t xml:space="preserve">On the other hand, </w:t>
      </w:r>
      <w:r w:rsidR="001416A4">
        <w:rPr>
          <w:rFonts w:ascii="Garamond" w:hAnsi="Garamond" w:cs="Sylfaen"/>
          <w:sz w:val="22"/>
          <w:szCs w:val="22"/>
        </w:rPr>
        <w:t>continued slowing of i</w:t>
      </w:r>
      <w:r w:rsidR="00181D5F" w:rsidRPr="00A32AB2">
        <w:rPr>
          <w:rFonts w:ascii="Garamond" w:hAnsi="Garamond" w:cs="Sylfaen"/>
          <w:sz w:val="22"/>
          <w:szCs w:val="22"/>
        </w:rPr>
        <w:t xml:space="preserve">nflation expectations </w:t>
      </w:r>
      <w:r w:rsidR="001416A4">
        <w:rPr>
          <w:rFonts w:ascii="Garamond" w:hAnsi="Garamond" w:cs="Sylfaen"/>
          <w:sz w:val="22"/>
          <w:szCs w:val="22"/>
        </w:rPr>
        <w:t xml:space="preserve">will </w:t>
      </w:r>
      <w:r w:rsidR="00181D5F" w:rsidRPr="00A32AB2">
        <w:rPr>
          <w:rFonts w:ascii="Garamond" w:hAnsi="Garamond" w:cs="Sylfaen"/>
          <w:sz w:val="22"/>
          <w:szCs w:val="22"/>
        </w:rPr>
        <w:t>contribute</w:t>
      </w:r>
      <w:r w:rsidR="000D14E4" w:rsidRPr="00A32AB2">
        <w:rPr>
          <w:rFonts w:ascii="Garamond" w:hAnsi="Garamond" w:cs="Sylfaen"/>
          <w:sz w:val="22"/>
          <w:szCs w:val="22"/>
        </w:rPr>
        <w:t xml:space="preserve"> to the reduction of inflation; </w:t>
      </w:r>
      <w:r w:rsidR="00181D5F" w:rsidRPr="00A32AB2">
        <w:rPr>
          <w:rFonts w:ascii="Garamond" w:hAnsi="Garamond" w:cs="Sylfaen"/>
          <w:sz w:val="22"/>
          <w:szCs w:val="22"/>
        </w:rPr>
        <w:t>later th</w:t>
      </w:r>
      <w:r w:rsidR="000D14E4" w:rsidRPr="00A32AB2">
        <w:rPr>
          <w:rFonts w:ascii="Garamond" w:hAnsi="Garamond" w:cs="Sylfaen"/>
          <w:sz w:val="22"/>
          <w:szCs w:val="22"/>
        </w:rPr>
        <w:t xml:space="preserve">is year it </w:t>
      </w:r>
      <w:r w:rsidR="001416A4">
        <w:rPr>
          <w:rFonts w:ascii="Garamond" w:hAnsi="Garamond" w:cs="Sylfaen"/>
          <w:sz w:val="22"/>
          <w:szCs w:val="22"/>
        </w:rPr>
        <w:t xml:space="preserve">is expected to make up </w:t>
      </w:r>
      <w:r w:rsidR="000D14E4" w:rsidRPr="00A32AB2">
        <w:rPr>
          <w:rFonts w:ascii="Garamond" w:hAnsi="Garamond" w:cs="Sylfaen"/>
          <w:sz w:val="22"/>
          <w:szCs w:val="22"/>
        </w:rPr>
        <w:t xml:space="preserve">6% and </w:t>
      </w:r>
      <w:r w:rsidR="001416A4">
        <w:rPr>
          <w:rFonts w:ascii="Garamond" w:hAnsi="Garamond" w:cs="Sylfaen"/>
          <w:sz w:val="22"/>
          <w:szCs w:val="22"/>
        </w:rPr>
        <w:t>to</w:t>
      </w:r>
      <w:r w:rsidR="000D14E4" w:rsidRPr="00A32AB2">
        <w:rPr>
          <w:rFonts w:ascii="Garamond" w:hAnsi="Garamond" w:cs="Sylfaen"/>
          <w:sz w:val="22"/>
          <w:szCs w:val="22"/>
        </w:rPr>
        <w:t xml:space="preserve"> approach the 4% </w:t>
      </w:r>
      <w:r w:rsidR="00181D5F" w:rsidRPr="00A32AB2">
        <w:rPr>
          <w:rFonts w:ascii="Garamond" w:hAnsi="Garamond" w:cs="Sylfaen"/>
          <w:sz w:val="22"/>
          <w:szCs w:val="22"/>
        </w:rPr>
        <w:t xml:space="preserve">target in </w:t>
      </w:r>
      <w:r w:rsidR="000D14E4" w:rsidRPr="00A32AB2">
        <w:rPr>
          <w:rFonts w:ascii="Garamond" w:hAnsi="Garamond" w:cs="Sylfaen"/>
          <w:sz w:val="22"/>
          <w:szCs w:val="22"/>
        </w:rPr>
        <w:t xml:space="preserve">the second half of 2017. </w:t>
      </w:r>
      <w:r w:rsidR="00275AB5" w:rsidRPr="00A32AB2">
        <w:rPr>
          <w:rFonts w:ascii="Garamond" w:hAnsi="Garamond" w:cs="Sylfaen"/>
          <w:sz w:val="22"/>
          <w:szCs w:val="22"/>
        </w:rPr>
        <w:t xml:space="preserve">In view of </w:t>
      </w:r>
      <w:r w:rsidR="00852FBB">
        <w:rPr>
          <w:rFonts w:ascii="Garamond" w:hAnsi="Garamond" w:cs="Sylfaen"/>
          <w:sz w:val="22"/>
          <w:szCs w:val="22"/>
        </w:rPr>
        <w:t xml:space="preserve">such </w:t>
      </w:r>
      <w:r w:rsidR="00181D5F" w:rsidRPr="00A32AB2">
        <w:rPr>
          <w:rFonts w:ascii="Garamond" w:hAnsi="Garamond" w:cs="Sylfaen"/>
          <w:sz w:val="22"/>
          <w:szCs w:val="22"/>
        </w:rPr>
        <w:t>inflation</w:t>
      </w:r>
      <w:r w:rsidR="00852FBB">
        <w:rPr>
          <w:rFonts w:ascii="Garamond" w:hAnsi="Garamond" w:cs="Sylfaen"/>
          <w:sz w:val="22"/>
          <w:szCs w:val="22"/>
        </w:rPr>
        <w:t xml:space="preserve">ary risks, including </w:t>
      </w:r>
      <w:r w:rsidR="00852FBB" w:rsidRPr="00852FBB">
        <w:rPr>
          <w:rFonts w:ascii="Garamond" w:hAnsi="Garamond" w:cs="Sylfaen"/>
          <w:sz w:val="22"/>
          <w:szCs w:val="22"/>
        </w:rPr>
        <w:t xml:space="preserve">those associated with a slower decline in inflation expectations </w:t>
      </w:r>
      <w:r w:rsidR="00852FBB">
        <w:rPr>
          <w:rFonts w:ascii="Garamond" w:hAnsi="Garamond" w:cs="Sylfaen"/>
          <w:sz w:val="22"/>
          <w:szCs w:val="22"/>
        </w:rPr>
        <w:t xml:space="preserve">and a rise in </w:t>
      </w:r>
      <w:r w:rsidR="00852FBB" w:rsidRPr="00852FBB">
        <w:rPr>
          <w:rFonts w:ascii="Garamond" w:hAnsi="Garamond" w:cs="Sylfaen"/>
          <w:sz w:val="22"/>
          <w:szCs w:val="22"/>
        </w:rPr>
        <w:t>real wages</w:t>
      </w:r>
      <w:r w:rsidR="00852FBB">
        <w:rPr>
          <w:rFonts w:ascii="Garamond" w:hAnsi="Garamond" w:cs="Sylfaen"/>
          <w:sz w:val="22"/>
          <w:szCs w:val="22"/>
        </w:rPr>
        <w:t>,</w:t>
      </w:r>
      <w:r w:rsidR="00852FBB" w:rsidRPr="00852FBB">
        <w:rPr>
          <w:rFonts w:ascii="Garamond" w:hAnsi="Garamond" w:cs="Sylfaen"/>
          <w:sz w:val="22"/>
          <w:szCs w:val="22"/>
        </w:rPr>
        <w:t xml:space="preserve"> and </w:t>
      </w:r>
      <w:r w:rsidR="00852FBB">
        <w:rPr>
          <w:rFonts w:ascii="Garamond" w:hAnsi="Garamond" w:cs="Sylfaen"/>
          <w:sz w:val="22"/>
          <w:szCs w:val="22"/>
        </w:rPr>
        <w:t xml:space="preserve">expected </w:t>
      </w:r>
      <w:r w:rsidR="00852FBB" w:rsidRPr="00852FBB">
        <w:rPr>
          <w:rFonts w:ascii="Garamond" w:hAnsi="Garamond" w:cs="Sylfaen"/>
          <w:sz w:val="22"/>
          <w:szCs w:val="22"/>
        </w:rPr>
        <w:t>inflation development</w:t>
      </w:r>
      <w:r w:rsidR="00A73BBC">
        <w:rPr>
          <w:rFonts w:ascii="Garamond" w:hAnsi="Garamond" w:cs="Sylfaen"/>
          <w:sz w:val="22"/>
          <w:szCs w:val="22"/>
        </w:rPr>
        <w:t>s</w:t>
      </w:r>
      <w:r w:rsidR="00852FBB">
        <w:rPr>
          <w:rFonts w:ascii="Garamond" w:hAnsi="Garamond" w:cs="Sylfaen"/>
          <w:sz w:val="22"/>
          <w:szCs w:val="22"/>
        </w:rPr>
        <w:t>, the Central Bank of Russia will avoid a short-</w:t>
      </w:r>
      <w:r w:rsidR="00852FBB" w:rsidRPr="00852FBB">
        <w:rPr>
          <w:rFonts w:ascii="Garamond" w:hAnsi="Garamond" w:cs="Sylfaen"/>
          <w:sz w:val="22"/>
          <w:szCs w:val="22"/>
        </w:rPr>
        <w:t xml:space="preserve">term </w:t>
      </w:r>
      <w:r w:rsidR="00852FBB">
        <w:rPr>
          <w:rFonts w:ascii="Garamond" w:hAnsi="Garamond" w:cs="Sylfaen"/>
          <w:sz w:val="22"/>
          <w:szCs w:val="22"/>
        </w:rPr>
        <w:t xml:space="preserve">adjustment of </w:t>
      </w:r>
      <w:r w:rsidR="00275AB5" w:rsidRPr="00A32AB2">
        <w:rPr>
          <w:rFonts w:ascii="Garamond" w:hAnsi="Garamond" w:cs="Sylfaen"/>
          <w:sz w:val="22"/>
          <w:szCs w:val="22"/>
        </w:rPr>
        <w:t>the policy rates</w:t>
      </w:r>
      <w:r w:rsidR="00852FBB">
        <w:rPr>
          <w:rFonts w:ascii="Garamond" w:hAnsi="Garamond" w:cs="Sylfaen"/>
          <w:sz w:val="22"/>
          <w:szCs w:val="22"/>
        </w:rPr>
        <w:t>.</w:t>
      </w:r>
      <w:r w:rsidR="00275AB5" w:rsidRPr="00A32AB2">
        <w:rPr>
          <w:rFonts w:ascii="Garamond" w:hAnsi="Garamond" w:cs="Sylfaen"/>
          <w:sz w:val="22"/>
          <w:szCs w:val="22"/>
        </w:rPr>
        <w:t xml:space="preserve"> </w:t>
      </w:r>
    </w:p>
    <w:p w14:paraId="13CBAA41" w14:textId="77777777" w:rsidR="00275AB5" w:rsidRPr="00A32AB2" w:rsidRDefault="00275AB5" w:rsidP="00B117C8">
      <w:pPr>
        <w:spacing w:line="360" w:lineRule="auto"/>
        <w:jc w:val="both"/>
        <w:rPr>
          <w:rFonts w:ascii="Garamond" w:hAnsi="Garamond" w:cs="Sylfaen"/>
          <w:sz w:val="22"/>
          <w:szCs w:val="22"/>
        </w:rPr>
      </w:pPr>
    </w:p>
    <w:p w14:paraId="074F30D8" w14:textId="31419320" w:rsidR="001C3604" w:rsidRPr="00A32AB2" w:rsidRDefault="003603CD" w:rsidP="00B117C8">
      <w:pPr>
        <w:spacing w:line="360" w:lineRule="auto"/>
        <w:jc w:val="both"/>
        <w:rPr>
          <w:rFonts w:ascii="Garamond" w:hAnsi="Garamond" w:cs="Sylfaen"/>
          <w:color w:val="000000"/>
          <w:sz w:val="22"/>
          <w:szCs w:val="22"/>
        </w:rPr>
      </w:pPr>
      <w:r w:rsidRPr="00A32AB2">
        <w:rPr>
          <w:rFonts w:ascii="Garamond" w:hAnsi="Garamond" w:cs="Sylfaen"/>
          <w:color w:val="000000"/>
          <w:sz w:val="22"/>
          <w:szCs w:val="22"/>
        </w:rPr>
        <w:t xml:space="preserve">According to the IMF </w:t>
      </w:r>
      <w:r w:rsidR="00A73BBC">
        <w:rPr>
          <w:rFonts w:ascii="Garamond" w:hAnsi="Garamond" w:cs="Sylfaen"/>
          <w:color w:val="000000"/>
          <w:sz w:val="22"/>
          <w:szCs w:val="22"/>
        </w:rPr>
        <w:t>October</w:t>
      </w:r>
      <w:r w:rsidRPr="00A32AB2">
        <w:rPr>
          <w:rFonts w:ascii="Garamond" w:hAnsi="Garamond" w:cs="Sylfaen"/>
          <w:color w:val="000000"/>
          <w:sz w:val="22"/>
          <w:szCs w:val="22"/>
        </w:rPr>
        <w:t xml:space="preserve"> 2016 report “</w:t>
      </w:r>
      <w:r w:rsidR="00CE3E92">
        <w:rPr>
          <w:rFonts w:ascii="Garamond" w:hAnsi="Garamond" w:cs="Sylfaen"/>
          <w:color w:val="000000"/>
          <w:sz w:val="22"/>
          <w:szCs w:val="22"/>
        </w:rPr>
        <w:t>World</w:t>
      </w:r>
      <w:r w:rsidR="00CE3E92" w:rsidRPr="00A32AB2">
        <w:rPr>
          <w:rFonts w:ascii="Garamond" w:hAnsi="Garamond" w:cs="Sylfaen"/>
          <w:color w:val="000000"/>
          <w:sz w:val="22"/>
          <w:szCs w:val="22"/>
        </w:rPr>
        <w:t xml:space="preserve"> </w:t>
      </w:r>
      <w:r w:rsidRPr="00A32AB2">
        <w:rPr>
          <w:rFonts w:ascii="Garamond" w:hAnsi="Garamond" w:cs="Sylfaen"/>
          <w:color w:val="000000"/>
          <w:sz w:val="22"/>
          <w:szCs w:val="22"/>
        </w:rPr>
        <w:t>Economic Outlook”, world econom</w:t>
      </w:r>
      <w:r w:rsidR="00A73BBC">
        <w:rPr>
          <w:rFonts w:ascii="Garamond" w:hAnsi="Garamond" w:cs="Sylfaen"/>
          <w:color w:val="000000"/>
          <w:sz w:val="22"/>
          <w:szCs w:val="22"/>
        </w:rPr>
        <w:t>ic growth</w:t>
      </w:r>
      <w:r w:rsidR="003D7EC2">
        <w:rPr>
          <w:rFonts w:ascii="Garamond" w:hAnsi="Garamond" w:cs="Sylfaen"/>
          <w:color w:val="000000"/>
          <w:sz w:val="22"/>
          <w:szCs w:val="22"/>
        </w:rPr>
        <w:t xml:space="preserve"> forecast remained at a 3.1% level, which is the same indicator </w:t>
      </w:r>
      <w:r w:rsidR="001C3604" w:rsidRPr="00A32AB2">
        <w:rPr>
          <w:rFonts w:ascii="Garamond" w:hAnsi="Garamond" w:cs="Sylfaen"/>
          <w:color w:val="000000"/>
          <w:sz w:val="22"/>
          <w:szCs w:val="22"/>
        </w:rPr>
        <w:t>com</w:t>
      </w:r>
      <w:r w:rsidRPr="00A32AB2">
        <w:rPr>
          <w:rFonts w:ascii="Garamond" w:hAnsi="Garamond" w:cs="Sylfaen"/>
          <w:color w:val="000000"/>
          <w:sz w:val="22"/>
          <w:szCs w:val="22"/>
        </w:rPr>
        <w:t xml:space="preserve">pared to the previous publication of the report in </w:t>
      </w:r>
      <w:r w:rsidR="003D7EC2">
        <w:rPr>
          <w:rFonts w:ascii="Garamond" w:hAnsi="Garamond" w:cs="Sylfaen"/>
          <w:color w:val="000000"/>
          <w:sz w:val="22"/>
          <w:szCs w:val="22"/>
        </w:rPr>
        <w:t>July</w:t>
      </w:r>
      <w:r w:rsidR="001C3604" w:rsidRPr="00A32AB2">
        <w:rPr>
          <w:rFonts w:ascii="Garamond" w:hAnsi="Garamond" w:cs="Sylfaen"/>
          <w:color w:val="000000"/>
          <w:sz w:val="22"/>
          <w:szCs w:val="22"/>
        </w:rPr>
        <w:t>.</w:t>
      </w:r>
    </w:p>
    <w:p w14:paraId="04118EE9" w14:textId="77777777" w:rsidR="001C3604" w:rsidRPr="00A32AB2" w:rsidRDefault="001C3604" w:rsidP="00B117C8">
      <w:pPr>
        <w:spacing w:line="360" w:lineRule="auto"/>
        <w:jc w:val="both"/>
        <w:rPr>
          <w:rFonts w:ascii="Garamond" w:hAnsi="Garamond" w:cs="Sylfaen"/>
          <w:color w:val="000000"/>
          <w:sz w:val="22"/>
          <w:szCs w:val="22"/>
        </w:rPr>
      </w:pPr>
    </w:p>
    <w:p w14:paraId="30A43C37" w14:textId="77777777" w:rsidR="002525CE" w:rsidRPr="00A32AB2" w:rsidRDefault="000D07A7" w:rsidP="00B117C8">
      <w:pPr>
        <w:spacing w:line="360" w:lineRule="auto"/>
        <w:jc w:val="both"/>
        <w:rPr>
          <w:rFonts w:ascii="Garamond" w:hAnsi="Garamond" w:cs="Sylfaen"/>
          <w:sz w:val="22"/>
          <w:szCs w:val="22"/>
        </w:rPr>
      </w:pPr>
      <w:r>
        <w:rPr>
          <w:rFonts w:ascii="Garamond" w:hAnsi="Garamond" w:cs="Sylfaen"/>
          <w:sz w:val="22"/>
          <w:szCs w:val="22"/>
        </w:rPr>
        <w:t xml:space="preserve">There might be some upward revision of prices in the </w:t>
      </w:r>
      <w:r w:rsidR="001C3604" w:rsidRPr="00A32AB2">
        <w:rPr>
          <w:rStyle w:val="longtext"/>
          <w:rFonts w:ascii="Garamond" w:hAnsi="Garamond"/>
          <w:b/>
          <w:color w:val="000000"/>
          <w:sz w:val="22"/>
          <w:szCs w:val="22"/>
          <w:shd w:val="clear" w:color="auto" w:fill="FFFFFF"/>
        </w:rPr>
        <w:t>world commodity and food product markets</w:t>
      </w:r>
      <w:r w:rsidR="001C3604" w:rsidRPr="00A32AB2">
        <w:rPr>
          <w:rStyle w:val="longtext"/>
          <w:rFonts w:ascii="Garamond" w:hAnsi="Garamond"/>
          <w:color w:val="000000"/>
          <w:sz w:val="22"/>
          <w:szCs w:val="22"/>
          <w:shd w:val="clear" w:color="auto" w:fill="FFFFFF"/>
        </w:rPr>
        <w:t xml:space="preserve"> </w:t>
      </w:r>
      <w:r>
        <w:rPr>
          <w:rStyle w:val="longtext"/>
          <w:rFonts w:ascii="Garamond" w:hAnsi="Garamond"/>
          <w:color w:val="000000"/>
          <w:sz w:val="22"/>
          <w:szCs w:val="22"/>
          <w:shd w:val="clear" w:color="auto" w:fill="FFFFFF"/>
        </w:rPr>
        <w:t xml:space="preserve">in the fourth quarter of </w:t>
      </w:r>
      <w:r w:rsidR="001C3604" w:rsidRPr="00A32AB2">
        <w:rPr>
          <w:rFonts w:ascii="Garamond" w:hAnsi="Garamond" w:cs="Sylfaen"/>
          <w:sz w:val="22"/>
          <w:szCs w:val="22"/>
        </w:rPr>
        <w:t xml:space="preserve">2016, </w:t>
      </w:r>
      <w:r>
        <w:rPr>
          <w:rFonts w:ascii="Garamond" w:hAnsi="Garamond" w:cs="Sylfaen"/>
          <w:sz w:val="22"/>
          <w:szCs w:val="22"/>
        </w:rPr>
        <w:t>which will be mostly driven by supply factors. S</w:t>
      </w:r>
      <w:r w:rsidR="001C3604" w:rsidRPr="00A32AB2">
        <w:rPr>
          <w:rFonts w:ascii="Garamond" w:hAnsi="Garamond" w:cs="Sylfaen"/>
          <w:sz w:val="22"/>
          <w:szCs w:val="22"/>
        </w:rPr>
        <w:t xml:space="preserve">ome inflationary trends </w:t>
      </w:r>
      <w:r>
        <w:rPr>
          <w:rFonts w:ascii="Garamond" w:hAnsi="Garamond" w:cs="Sylfaen"/>
          <w:sz w:val="22"/>
          <w:szCs w:val="22"/>
        </w:rPr>
        <w:t xml:space="preserve">are also likely </w:t>
      </w:r>
      <w:r w:rsidR="001C3604" w:rsidRPr="00A32AB2">
        <w:rPr>
          <w:rFonts w:ascii="Garamond" w:hAnsi="Garamond" w:cs="Sylfaen"/>
          <w:sz w:val="22"/>
          <w:szCs w:val="22"/>
        </w:rPr>
        <w:t>on the back of re</w:t>
      </w:r>
      <w:r>
        <w:rPr>
          <w:rFonts w:ascii="Garamond" w:hAnsi="Garamond" w:cs="Sylfaen"/>
          <w:sz w:val="22"/>
          <w:szCs w:val="22"/>
        </w:rPr>
        <w:t xml:space="preserve">covering </w:t>
      </w:r>
      <w:r w:rsidR="001C3604" w:rsidRPr="00A32AB2">
        <w:rPr>
          <w:rFonts w:ascii="Garamond" w:hAnsi="Garamond" w:cs="Sylfaen"/>
          <w:sz w:val="22"/>
          <w:szCs w:val="22"/>
        </w:rPr>
        <w:t xml:space="preserve">demand. </w:t>
      </w:r>
    </w:p>
    <w:p w14:paraId="27A6CCF8" w14:textId="77777777" w:rsidR="0006742C" w:rsidRPr="00A32AB2" w:rsidRDefault="0006742C" w:rsidP="00B117C8">
      <w:pPr>
        <w:spacing w:line="360" w:lineRule="auto"/>
        <w:jc w:val="both"/>
        <w:rPr>
          <w:rFonts w:ascii="Garamond" w:hAnsi="Garamond" w:cs="Sylfaen"/>
          <w:sz w:val="22"/>
          <w:szCs w:val="22"/>
        </w:rPr>
      </w:pPr>
    </w:p>
    <w:p w14:paraId="45120868" w14:textId="77777777" w:rsidR="00751B76" w:rsidRPr="00A32AB2" w:rsidRDefault="0006742C" w:rsidP="00B117C8">
      <w:pPr>
        <w:spacing w:line="360" w:lineRule="auto"/>
        <w:jc w:val="both"/>
        <w:rPr>
          <w:rFonts w:ascii="Garamond" w:hAnsi="Garamond"/>
          <w:sz w:val="22"/>
          <w:szCs w:val="22"/>
        </w:rPr>
      </w:pPr>
      <w:r w:rsidRPr="00A32AB2">
        <w:rPr>
          <w:rFonts w:ascii="Garamond" w:hAnsi="Garamond" w:cs="Sylfaen"/>
          <w:b/>
          <w:sz w:val="22"/>
          <w:szCs w:val="22"/>
        </w:rPr>
        <w:t>Risks</w:t>
      </w:r>
      <w:r w:rsidRPr="00A32AB2">
        <w:rPr>
          <w:rFonts w:ascii="Garamond" w:hAnsi="Garamond" w:cs="Sylfaen"/>
          <w:sz w:val="22"/>
          <w:szCs w:val="22"/>
        </w:rPr>
        <w:t xml:space="preserve"> to the developments in global economy persist</w:t>
      </w:r>
      <w:r w:rsidR="00A814B7">
        <w:rPr>
          <w:rFonts w:ascii="Garamond" w:hAnsi="Garamond" w:cs="Sylfaen"/>
          <w:sz w:val="22"/>
          <w:szCs w:val="22"/>
        </w:rPr>
        <w:t>ed</w:t>
      </w:r>
      <w:r w:rsidR="00520437" w:rsidRPr="00A32AB2">
        <w:rPr>
          <w:rFonts w:ascii="Garamond" w:hAnsi="Garamond" w:cs="Sylfaen"/>
          <w:sz w:val="22"/>
          <w:szCs w:val="22"/>
        </w:rPr>
        <w:t xml:space="preserve"> </w:t>
      </w:r>
      <w:r w:rsidR="006E6DC7" w:rsidRPr="00A32AB2">
        <w:rPr>
          <w:rFonts w:ascii="Garamond" w:hAnsi="Garamond" w:cs="Sylfaen"/>
          <w:sz w:val="22"/>
          <w:szCs w:val="22"/>
        </w:rPr>
        <w:t>in general</w:t>
      </w:r>
      <w:r w:rsidRPr="00A32AB2">
        <w:rPr>
          <w:rFonts w:ascii="Garamond" w:hAnsi="Garamond" w:cs="Sylfaen"/>
          <w:sz w:val="22"/>
          <w:szCs w:val="22"/>
        </w:rPr>
        <w:t>.</w:t>
      </w:r>
      <w:r w:rsidR="00520437" w:rsidRPr="00A32AB2">
        <w:rPr>
          <w:rFonts w:ascii="Garamond" w:hAnsi="Garamond" w:cs="Sylfaen"/>
          <w:sz w:val="22"/>
          <w:szCs w:val="22"/>
          <w:lang w:val="hy-AM"/>
        </w:rPr>
        <w:t xml:space="preserve"> </w:t>
      </w:r>
      <w:r w:rsidR="00520437" w:rsidRPr="00A32AB2">
        <w:rPr>
          <w:rFonts w:ascii="Garamond" w:hAnsi="Garamond" w:cs="Sylfaen"/>
          <w:color w:val="000000"/>
          <w:sz w:val="22"/>
          <w:szCs w:val="22"/>
        </w:rPr>
        <w:t xml:space="preserve">More prominent risks </w:t>
      </w:r>
      <w:r w:rsidR="006E6DC7" w:rsidRPr="00A32AB2">
        <w:rPr>
          <w:rFonts w:ascii="Garamond" w:hAnsi="Garamond" w:cs="Sylfaen"/>
          <w:color w:val="000000"/>
          <w:sz w:val="22"/>
          <w:szCs w:val="22"/>
        </w:rPr>
        <w:t xml:space="preserve">include </w:t>
      </w:r>
      <w:r w:rsidR="00AD26C4">
        <w:rPr>
          <w:rFonts w:ascii="Garamond" w:hAnsi="Garamond" w:cs="Sylfaen"/>
          <w:color w:val="000000"/>
          <w:sz w:val="22"/>
          <w:szCs w:val="22"/>
        </w:rPr>
        <w:t xml:space="preserve">the </w:t>
      </w:r>
      <w:r w:rsidR="006E6DC7" w:rsidRPr="00A32AB2">
        <w:rPr>
          <w:rFonts w:ascii="Garamond" w:hAnsi="Garamond"/>
          <w:sz w:val="22"/>
          <w:szCs w:val="22"/>
        </w:rPr>
        <w:t xml:space="preserve">capital </w:t>
      </w:r>
      <w:r w:rsidR="00AD26C4">
        <w:rPr>
          <w:rFonts w:ascii="Garamond" w:hAnsi="Garamond"/>
          <w:sz w:val="22"/>
          <w:szCs w:val="22"/>
        </w:rPr>
        <w:t xml:space="preserve">outflow </w:t>
      </w:r>
      <w:r w:rsidR="006E6DC7" w:rsidRPr="00A32AB2">
        <w:rPr>
          <w:rFonts w:ascii="Garamond" w:hAnsi="Garamond"/>
          <w:sz w:val="22"/>
          <w:szCs w:val="22"/>
        </w:rPr>
        <w:t xml:space="preserve">from developing countries and, consequently, </w:t>
      </w:r>
      <w:r w:rsidR="008F0F9D" w:rsidRPr="00A32AB2">
        <w:rPr>
          <w:rFonts w:ascii="Garamond" w:hAnsi="Garamond"/>
          <w:sz w:val="22"/>
          <w:szCs w:val="22"/>
        </w:rPr>
        <w:t xml:space="preserve">further </w:t>
      </w:r>
      <w:r w:rsidR="006E6DC7" w:rsidRPr="00A32AB2">
        <w:rPr>
          <w:rFonts w:ascii="Garamond" w:hAnsi="Garamond"/>
          <w:sz w:val="22"/>
          <w:szCs w:val="22"/>
        </w:rPr>
        <w:t>volatilities in financial markets</w:t>
      </w:r>
      <w:r w:rsidR="00520437" w:rsidRPr="00A32AB2">
        <w:rPr>
          <w:rFonts w:ascii="Garamond" w:hAnsi="Garamond"/>
          <w:sz w:val="22"/>
          <w:szCs w:val="22"/>
        </w:rPr>
        <w:t xml:space="preserve">, </w:t>
      </w:r>
      <w:r w:rsidR="00AD26C4">
        <w:rPr>
          <w:rFonts w:ascii="Garamond" w:hAnsi="Garamond"/>
          <w:sz w:val="22"/>
          <w:szCs w:val="22"/>
        </w:rPr>
        <w:t xml:space="preserve">because of uncertainties about the US monetary policy, </w:t>
      </w:r>
      <w:r w:rsidR="00520437" w:rsidRPr="00A32AB2">
        <w:rPr>
          <w:rFonts w:ascii="Garamond" w:hAnsi="Garamond"/>
          <w:sz w:val="22"/>
          <w:szCs w:val="22"/>
        </w:rPr>
        <w:t>a likely slowdown of global economic growth resulting from structural reformation of the Chinese economy</w:t>
      </w:r>
      <w:r w:rsidR="008F0F9D" w:rsidRPr="00A32AB2">
        <w:rPr>
          <w:rFonts w:ascii="Garamond" w:hAnsi="Garamond"/>
          <w:sz w:val="22"/>
          <w:szCs w:val="22"/>
        </w:rPr>
        <w:t>,</w:t>
      </w:r>
      <w:r w:rsidR="00751B76" w:rsidRPr="00A32AB2">
        <w:rPr>
          <w:rFonts w:ascii="Garamond" w:hAnsi="Garamond"/>
          <w:sz w:val="22"/>
          <w:szCs w:val="22"/>
        </w:rPr>
        <w:t xml:space="preserve"> </w:t>
      </w:r>
      <w:r w:rsidR="008F0F9D" w:rsidRPr="00A32AB2">
        <w:rPr>
          <w:rFonts w:ascii="Garamond" w:hAnsi="Garamond"/>
          <w:sz w:val="22"/>
          <w:szCs w:val="22"/>
        </w:rPr>
        <w:t xml:space="preserve">continued </w:t>
      </w:r>
      <w:r w:rsidR="00751B76" w:rsidRPr="00A32AB2">
        <w:rPr>
          <w:rFonts w:ascii="Garamond" w:hAnsi="Garamond"/>
          <w:sz w:val="22"/>
          <w:szCs w:val="22"/>
        </w:rPr>
        <w:t>sluggish</w:t>
      </w:r>
      <w:r w:rsidR="008F0F9D" w:rsidRPr="00A32AB2">
        <w:rPr>
          <w:rFonts w:ascii="Garamond" w:hAnsi="Garamond"/>
          <w:sz w:val="22"/>
          <w:szCs w:val="22"/>
        </w:rPr>
        <w:t>ness</w:t>
      </w:r>
      <w:r w:rsidR="00751B76" w:rsidRPr="00A32AB2">
        <w:rPr>
          <w:rFonts w:ascii="Garamond" w:hAnsi="Garamond"/>
          <w:sz w:val="22"/>
          <w:szCs w:val="22"/>
        </w:rPr>
        <w:t xml:space="preserve"> </w:t>
      </w:r>
      <w:r w:rsidR="008F0F9D" w:rsidRPr="00A32AB2">
        <w:rPr>
          <w:rFonts w:ascii="Garamond" w:hAnsi="Garamond"/>
          <w:sz w:val="22"/>
          <w:szCs w:val="22"/>
        </w:rPr>
        <w:t xml:space="preserve">in </w:t>
      </w:r>
      <w:r w:rsidR="00751B76" w:rsidRPr="00A32AB2">
        <w:rPr>
          <w:rFonts w:ascii="Garamond" w:hAnsi="Garamond"/>
          <w:sz w:val="22"/>
          <w:szCs w:val="22"/>
        </w:rPr>
        <w:t>economic activity in developing countries and Russia</w:t>
      </w:r>
      <w:r w:rsidR="00AD26C4">
        <w:rPr>
          <w:rFonts w:ascii="Garamond" w:hAnsi="Garamond"/>
          <w:sz w:val="22"/>
          <w:szCs w:val="22"/>
        </w:rPr>
        <w:t xml:space="preserve">, </w:t>
      </w:r>
      <w:r w:rsidR="00751B76" w:rsidRPr="00A32AB2">
        <w:rPr>
          <w:rFonts w:ascii="Garamond" w:hAnsi="Garamond"/>
          <w:sz w:val="22"/>
          <w:szCs w:val="22"/>
        </w:rPr>
        <w:t>risks associated with geopolitical developments</w:t>
      </w:r>
      <w:r w:rsidR="00AD26C4">
        <w:rPr>
          <w:rFonts w:ascii="Garamond" w:hAnsi="Garamond"/>
          <w:sz w:val="22"/>
          <w:szCs w:val="22"/>
        </w:rPr>
        <w:t>, and vo</w:t>
      </w:r>
      <w:r w:rsidR="00AD26C4" w:rsidRPr="00AD26C4">
        <w:rPr>
          <w:rFonts w:ascii="Garamond" w:hAnsi="Garamond"/>
          <w:sz w:val="22"/>
          <w:szCs w:val="22"/>
        </w:rPr>
        <w:t>latil</w:t>
      </w:r>
      <w:r w:rsidR="00AD26C4">
        <w:rPr>
          <w:rFonts w:ascii="Garamond" w:hAnsi="Garamond"/>
          <w:sz w:val="22"/>
          <w:szCs w:val="22"/>
        </w:rPr>
        <w:t xml:space="preserve">e </w:t>
      </w:r>
      <w:r w:rsidR="00AD26C4" w:rsidRPr="00AD26C4">
        <w:rPr>
          <w:rFonts w:ascii="Garamond" w:hAnsi="Garamond"/>
          <w:sz w:val="22"/>
          <w:szCs w:val="22"/>
        </w:rPr>
        <w:t>international oil prices</w:t>
      </w:r>
      <w:r w:rsidR="00AD26C4">
        <w:rPr>
          <w:rFonts w:ascii="Garamond" w:hAnsi="Garamond"/>
          <w:sz w:val="22"/>
          <w:szCs w:val="22"/>
        </w:rPr>
        <w:t>.</w:t>
      </w:r>
    </w:p>
    <w:p w14:paraId="5FD94E1A" w14:textId="77777777" w:rsidR="00751B76" w:rsidRPr="00A32AB2" w:rsidRDefault="00751B76" w:rsidP="00B117C8">
      <w:pPr>
        <w:spacing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576"/>
      </w:tblGrid>
      <w:tr w:rsidR="002A098D" w:rsidRPr="00A32AB2" w14:paraId="37E30046" w14:textId="77777777" w:rsidTr="002A098D">
        <w:tc>
          <w:tcPr>
            <w:tcW w:w="9576" w:type="dxa"/>
          </w:tcPr>
          <w:p w14:paraId="2E9630DC" w14:textId="77777777" w:rsidR="002A098D" w:rsidRPr="00A32AB2" w:rsidRDefault="002A098D" w:rsidP="002A098D">
            <w:pPr>
              <w:spacing w:line="360" w:lineRule="auto"/>
              <w:jc w:val="right"/>
              <w:rPr>
                <w:rFonts w:ascii="Garamond" w:hAnsi="Garamond"/>
                <w:b/>
                <w:sz w:val="21"/>
                <w:szCs w:val="21"/>
              </w:rPr>
            </w:pPr>
            <w:r w:rsidRPr="00A32AB2">
              <w:rPr>
                <w:rFonts w:ascii="Garamond" w:hAnsi="Garamond"/>
                <w:b/>
                <w:sz w:val="21"/>
                <w:szCs w:val="21"/>
              </w:rPr>
              <w:t>Box 1</w:t>
            </w:r>
          </w:p>
          <w:p w14:paraId="52DD3399" w14:textId="77777777" w:rsidR="00133A63" w:rsidRPr="00A32AB2" w:rsidRDefault="002A098D" w:rsidP="00133A63">
            <w:pPr>
              <w:spacing w:line="360" w:lineRule="auto"/>
              <w:jc w:val="center"/>
              <w:rPr>
                <w:rFonts w:ascii="Garamond" w:hAnsi="Garamond"/>
                <w:sz w:val="21"/>
                <w:szCs w:val="21"/>
              </w:rPr>
            </w:pPr>
            <w:r w:rsidRPr="00A32AB2">
              <w:rPr>
                <w:rFonts w:ascii="Garamond" w:hAnsi="Garamond"/>
                <w:b/>
                <w:sz w:val="21"/>
                <w:szCs w:val="21"/>
              </w:rPr>
              <w:t>Developments in commodities markets</w:t>
            </w:r>
            <w:r w:rsidRPr="00A32AB2">
              <w:rPr>
                <w:rFonts w:ascii="Garamond" w:hAnsi="Garamond" w:cs="Sylfaen"/>
                <w:b/>
                <w:sz w:val="21"/>
                <w:szCs w:val="21"/>
              </w:rPr>
              <w:t xml:space="preserve"> in the forecast horizon</w:t>
            </w:r>
          </w:p>
          <w:p w14:paraId="0B115FF5" w14:textId="77777777" w:rsidR="002A098D" w:rsidRPr="00A32AB2" w:rsidRDefault="002C2ACB" w:rsidP="002A098D">
            <w:pPr>
              <w:spacing w:line="360" w:lineRule="auto"/>
              <w:jc w:val="both"/>
              <w:rPr>
                <w:rFonts w:ascii="Garamond" w:hAnsi="Garamond"/>
                <w:sz w:val="21"/>
                <w:szCs w:val="21"/>
              </w:rPr>
            </w:pPr>
            <w:r w:rsidRPr="00A32AB2">
              <w:rPr>
                <w:rFonts w:ascii="Garamond" w:hAnsi="Garamond"/>
                <w:sz w:val="21"/>
                <w:szCs w:val="21"/>
              </w:rPr>
              <w:t xml:space="preserve">The </w:t>
            </w:r>
            <w:r w:rsidR="00DB7671">
              <w:rPr>
                <w:rFonts w:ascii="Garamond" w:hAnsi="Garamond"/>
                <w:sz w:val="21"/>
                <w:szCs w:val="21"/>
              </w:rPr>
              <w:t>October</w:t>
            </w:r>
            <w:r w:rsidR="00E23111" w:rsidRPr="00A32AB2">
              <w:rPr>
                <w:rFonts w:ascii="Garamond" w:hAnsi="Garamond"/>
                <w:sz w:val="21"/>
                <w:szCs w:val="21"/>
              </w:rPr>
              <w:t xml:space="preserve"> </w:t>
            </w:r>
            <w:r w:rsidRPr="00A32AB2">
              <w:rPr>
                <w:rFonts w:ascii="Garamond" w:hAnsi="Garamond"/>
                <w:sz w:val="21"/>
                <w:szCs w:val="21"/>
              </w:rPr>
              <w:t xml:space="preserve">2016 report of the </w:t>
            </w:r>
            <w:r w:rsidRPr="00A32AB2">
              <w:rPr>
                <w:rFonts w:ascii="Garamond" w:hAnsi="Garamond"/>
                <w:b/>
                <w:sz w:val="21"/>
                <w:szCs w:val="21"/>
              </w:rPr>
              <w:t>oil</w:t>
            </w:r>
            <w:r w:rsidRPr="00A32AB2">
              <w:rPr>
                <w:rFonts w:ascii="Garamond" w:hAnsi="Garamond"/>
                <w:sz w:val="21"/>
                <w:szCs w:val="21"/>
              </w:rPr>
              <w:t xml:space="preserve"> market published by OPEC predicts that the global oil demand will grow in 2016 by 1.2</w:t>
            </w:r>
            <w:r w:rsidR="00E323A5">
              <w:rPr>
                <w:rFonts w:ascii="Garamond" w:hAnsi="Garamond"/>
                <w:sz w:val="21"/>
                <w:szCs w:val="21"/>
              </w:rPr>
              <w:t>4</w:t>
            </w:r>
            <w:r w:rsidRPr="00A32AB2">
              <w:rPr>
                <w:rFonts w:ascii="Garamond" w:hAnsi="Garamond"/>
                <w:sz w:val="21"/>
                <w:szCs w:val="21"/>
              </w:rPr>
              <w:t xml:space="preserve"> million b/d and consumption will </w:t>
            </w:r>
            <w:r w:rsidR="00E323A5">
              <w:rPr>
                <w:rFonts w:ascii="Garamond" w:hAnsi="Garamond"/>
                <w:sz w:val="21"/>
                <w:szCs w:val="21"/>
              </w:rPr>
              <w:t xml:space="preserve">average </w:t>
            </w:r>
            <w:r w:rsidRPr="00A32AB2">
              <w:rPr>
                <w:rFonts w:ascii="Garamond" w:hAnsi="Garamond"/>
                <w:sz w:val="21"/>
                <w:szCs w:val="21"/>
              </w:rPr>
              <w:t>94.</w:t>
            </w:r>
            <w:r w:rsidR="00E323A5">
              <w:rPr>
                <w:rFonts w:ascii="Garamond" w:hAnsi="Garamond"/>
                <w:sz w:val="21"/>
                <w:szCs w:val="21"/>
              </w:rPr>
              <w:t>4</w:t>
            </w:r>
            <w:r w:rsidRPr="00A32AB2">
              <w:rPr>
                <w:rFonts w:ascii="Garamond" w:hAnsi="Garamond"/>
                <w:sz w:val="21"/>
                <w:szCs w:val="21"/>
              </w:rPr>
              <w:t xml:space="preserve"> million b/d. The report also foresees that oil production outside OPEC in 2016 will reduce by 0.</w:t>
            </w:r>
            <w:r w:rsidR="00E323A5">
              <w:rPr>
                <w:rFonts w:ascii="Garamond" w:hAnsi="Garamond"/>
                <w:sz w:val="21"/>
                <w:szCs w:val="21"/>
              </w:rPr>
              <w:t>68</w:t>
            </w:r>
            <w:r w:rsidRPr="00A32AB2">
              <w:rPr>
                <w:rFonts w:ascii="Garamond" w:hAnsi="Garamond"/>
                <w:sz w:val="21"/>
                <w:szCs w:val="21"/>
              </w:rPr>
              <w:t xml:space="preserve"> million b/d to 56.</w:t>
            </w:r>
            <w:r w:rsidR="00DD125B" w:rsidRPr="00A32AB2">
              <w:rPr>
                <w:rFonts w:ascii="Garamond" w:hAnsi="Garamond"/>
                <w:sz w:val="21"/>
                <w:szCs w:val="21"/>
              </w:rPr>
              <w:t>3</w:t>
            </w:r>
            <w:r w:rsidRPr="00A32AB2">
              <w:rPr>
                <w:rFonts w:ascii="Garamond" w:hAnsi="Garamond"/>
                <w:sz w:val="21"/>
                <w:szCs w:val="21"/>
              </w:rPr>
              <w:t xml:space="preserve"> million b/d on average.</w:t>
            </w:r>
            <w:r w:rsidR="00585EE7" w:rsidRPr="00A32AB2">
              <w:rPr>
                <w:rFonts w:ascii="Garamond" w:hAnsi="Garamond"/>
                <w:sz w:val="21"/>
                <w:szCs w:val="21"/>
                <w:lang w:val="hy-AM"/>
              </w:rPr>
              <w:t xml:space="preserve"> </w:t>
            </w:r>
            <w:r w:rsidRPr="00A32AB2">
              <w:rPr>
                <w:rFonts w:ascii="Garamond" w:hAnsi="Garamond"/>
                <w:sz w:val="21"/>
                <w:szCs w:val="21"/>
              </w:rPr>
              <w:t xml:space="preserve">Oil production by </w:t>
            </w:r>
            <w:r w:rsidR="00E323A5">
              <w:rPr>
                <w:rFonts w:ascii="Garamond" w:hAnsi="Garamond"/>
                <w:sz w:val="21"/>
                <w:szCs w:val="21"/>
              </w:rPr>
              <w:t>non-</w:t>
            </w:r>
            <w:r w:rsidRPr="00A32AB2">
              <w:rPr>
                <w:rFonts w:ascii="Garamond" w:hAnsi="Garamond"/>
                <w:sz w:val="21"/>
                <w:szCs w:val="21"/>
              </w:rPr>
              <w:t>OPEC</w:t>
            </w:r>
            <w:r w:rsidR="00E323A5">
              <w:rPr>
                <w:rFonts w:ascii="Garamond" w:hAnsi="Garamond"/>
                <w:sz w:val="21"/>
                <w:szCs w:val="21"/>
              </w:rPr>
              <w:t xml:space="preserve"> members </w:t>
            </w:r>
            <w:r w:rsidRPr="00A32AB2">
              <w:rPr>
                <w:rFonts w:ascii="Garamond" w:hAnsi="Garamond"/>
                <w:sz w:val="21"/>
                <w:szCs w:val="21"/>
              </w:rPr>
              <w:t>in 201</w:t>
            </w:r>
            <w:r w:rsidR="00E323A5">
              <w:rPr>
                <w:rFonts w:ascii="Garamond" w:hAnsi="Garamond"/>
                <w:sz w:val="21"/>
                <w:szCs w:val="21"/>
              </w:rPr>
              <w:t>7</w:t>
            </w:r>
            <w:r w:rsidRPr="00A32AB2">
              <w:rPr>
                <w:rFonts w:ascii="Garamond" w:hAnsi="Garamond"/>
                <w:sz w:val="21"/>
                <w:szCs w:val="21"/>
              </w:rPr>
              <w:t xml:space="preserve"> will go up by 0.</w:t>
            </w:r>
            <w:r w:rsidR="00E323A5">
              <w:rPr>
                <w:rFonts w:ascii="Garamond" w:hAnsi="Garamond"/>
                <w:sz w:val="21"/>
                <w:szCs w:val="21"/>
              </w:rPr>
              <w:t>24</w:t>
            </w:r>
            <w:r w:rsidRPr="00A32AB2">
              <w:rPr>
                <w:rFonts w:ascii="Garamond" w:hAnsi="Garamond"/>
                <w:sz w:val="21"/>
                <w:szCs w:val="21"/>
              </w:rPr>
              <w:t xml:space="preserve"> million b/d</w:t>
            </w:r>
            <w:r w:rsidR="00E23111" w:rsidRPr="00A32AB2">
              <w:rPr>
                <w:rFonts w:ascii="Garamond" w:hAnsi="Garamond"/>
                <w:sz w:val="21"/>
                <w:szCs w:val="21"/>
              </w:rPr>
              <w:t>.</w:t>
            </w:r>
            <w:r w:rsidR="00585EE7" w:rsidRPr="00A32AB2">
              <w:rPr>
                <w:rFonts w:ascii="Garamond" w:hAnsi="Garamond"/>
                <w:sz w:val="21"/>
                <w:szCs w:val="21"/>
                <w:lang w:val="hy-AM"/>
              </w:rPr>
              <w:t xml:space="preserve"> </w:t>
            </w:r>
            <w:r w:rsidR="00E323A5">
              <w:rPr>
                <w:rFonts w:ascii="Garamond" w:hAnsi="Garamond"/>
                <w:sz w:val="21"/>
                <w:szCs w:val="21"/>
              </w:rPr>
              <w:t xml:space="preserve">to 56.54 million b/d. </w:t>
            </w:r>
            <w:r w:rsidR="004053C4" w:rsidRPr="00A32AB2">
              <w:rPr>
                <w:rFonts w:ascii="Garamond" w:hAnsi="Garamond"/>
                <w:sz w:val="21"/>
                <w:szCs w:val="21"/>
              </w:rPr>
              <w:t>Oil production by OPEC</w:t>
            </w:r>
            <w:r w:rsidR="004053C4">
              <w:rPr>
                <w:rFonts w:ascii="Garamond" w:hAnsi="Garamond"/>
                <w:sz w:val="21"/>
                <w:szCs w:val="21"/>
              </w:rPr>
              <w:t xml:space="preserve"> is predicted to grow </w:t>
            </w:r>
            <w:r w:rsidR="004053C4" w:rsidRPr="00A32AB2">
              <w:rPr>
                <w:rFonts w:ascii="Garamond" w:hAnsi="Garamond"/>
                <w:sz w:val="21"/>
                <w:szCs w:val="21"/>
              </w:rPr>
              <w:t>by 0.</w:t>
            </w:r>
            <w:r w:rsidR="004053C4">
              <w:rPr>
                <w:rFonts w:ascii="Garamond" w:hAnsi="Garamond"/>
                <w:sz w:val="21"/>
                <w:szCs w:val="21"/>
              </w:rPr>
              <w:t>16</w:t>
            </w:r>
            <w:r w:rsidR="004053C4" w:rsidRPr="00A32AB2">
              <w:rPr>
                <w:rFonts w:ascii="Garamond" w:hAnsi="Garamond"/>
                <w:sz w:val="21"/>
                <w:szCs w:val="21"/>
              </w:rPr>
              <w:t xml:space="preserve"> million b/d</w:t>
            </w:r>
            <w:r w:rsidR="004053C4">
              <w:rPr>
                <w:rFonts w:ascii="Garamond" w:hAnsi="Garamond"/>
                <w:sz w:val="21"/>
                <w:szCs w:val="21"/>
              </w:rPr>
              <w:t xml:space="preserve"> in 2016 and 0.15 million b/d in 2017</w:t>
            </w:r>
            <w:r w:rsidR="004053C4" w:rsidRPr="00A32AB2">
              <w:rPr>
                <w:rFonts w:ascii="Garamond" w:hAnsi="Garamond"/>
                <w:sz w:val="21"/>
                <w:szCs w:val="21"/>
              </w:rPr>
              <w:t>.</w:t>
            </w:r>
            <w:r w:rsidR="004053C4" w:rsidRPr="00A32AB2">
              <w:rPr>
                <w:rFonts w:ascii="Garamond" w:hAnsi="Garamond"/>
                <w:sz w:val="21"/>
                <w:szCs w:val="21"/>
                <w:lang w:val="hy-AM"/>
              </w:rPr>
              <w:t xml:space="preserve"> </w:t>
            </w:r>
            <w:r w:rsidR="004053C4">
              <w:rPr>
                <w:rFonts w:ascii="Garamond" w:hAnsi="Garamond"/>
                <w:sz w:val="21"/>
                <w:szCs w:val="21"/>
              </w:rPr>
              <w:t>However</w:t>
            </w:r>
            <w:r w:rsidR="00861ACA" w:rsidRPr="00A32AB2">
              <w:rPr>
                <w:rFonts w:ascii="Garamond" w:hAnsi="Garamond"/>
                <w:sz w:val="21"/>
                <w:szCs w:val="21"/>
              </w:rPr>
              <w:t xml:space="preserve">, </w:t>
            </w:r>
            <w:r w:rsidR="00E23111" w:rsidRPr="00A32AB2">
              <w:rPr>
                <w:rFonts w:ascii="Garamond" w:hAnsi="Garamond"/>
                <w:sz w:val="21"/>
                <w:szCs w:val="21"/>
              </w:rPr>
              <w:t xml:space="preserve">international oil prices will </w:t>
            </w:r>
            <w:r w:rsidR="004053C4">
              <w:rPr>
                <w:rFonts w:ascii="Garamond" w:hAnsi="Garamond"/>
                <w:sz w:val="21"/>
                <w:szCs w:val="21"/>
              </w:rPr>
              <w:t xml:space="preserve">behave </w:t>
            </w:r>
            <w:r w:rsidR="00C87EB6">
              <w:rPr>
                <w:rFonts w:ascii="Garamond" w:hAnsi="Garamond"/>
                <w:sz w:val="21"/>
                <w:szCs w:val="21"/>
              </w:rPr>
              <w:t xml:space="preserve">somewhat </w:t>
            </w:r>
            <w:r w:rsidR="004053C4">
              <w:rPr>
                <w:rFonts w:ascii="Garamond" w:hAnsi="Garamond"/>
                <w:sz w:val="21"/>
                <w:szCs w:val="21"/>
              </w:rPr>
              <w:t>volatile</w:t>
            </w:r>
            <w:r w:rsidR="00C87EB6">
              <w:rPr>
                <w:rFonts w:ascii="Garamond" w:hAnsi="Garamond"/>
                <w:sz w:val="21"/>
                <w:szCs w:val="21"/>
              </w:rPr>
              <w:t xml:space="preserve"> in</w:t>
            </w:r>
            <w:r w:rsidR="00E23111" w:rsidRPr="00A32AB2">
              <w:rPr>
                <w:rFonts w:ascii="Garamond" w:hAnsi="Garamond"/>
                <w:sz w:val="21"/>
                <w:szCs w:val="21"/>
              </w:rPr>
              <w:t xml:space="preserve"> the short run</w:t>
            </w:r>
            <w:r w:rsidR="00C87EB6" w:rsidRPr="00C87EB6">
              <w:rPr>
                <w:rFonts w:ascii="Garamond" w:hAnsi="Garamond"/>
                <w:sz w:val="21"/>
                <w:szCs w:val="21"/>
              </w:rPr>
              <w:t xml:space="preserve">, depending on the outcome of the upcoming </w:t>
            </w:r>
            <w:r w:rsidR="00C87EB6">
              <w:rPr>
                <w:rFonts w:ascii="Garamond" w:hAnsi="Garamond"/>
                <w:sz w:val="21"/>
                <w:szCs w:val="21"/>
              </w:rPr>
              <w:t xml:space="preserve">OPEC </w:t>
            </w:r>
            <w:r w:rsidR="00C87EB6" w:rsidRPr="00C87EB6">
              <w:rPr>
                <w:rFonts w:ascii="Garamond" w:hAnsi="Garamond"/>
                <w:sz w:val="21"/>
                <w:szCs w:val="21"/>
              </w:rPr>
              <w:t>meeting o</w:t>
            </w:r>
            <w:r w:rsidR="00C87EB6">
              <w:rPr>
                <w:rFonts w:ascii="Garamond" w:hAnsi="Garamond"/>
                <w:sz w:val="21"/>
                <w:szCs w:val="21"/>
              </w:rPr>
              <w:t>n the one hand, and</w:t>
            </w:r>
            <w:r w:rsidR="00152132">
              <w:rPr>
                <w:rFonts w:ascii="Garamond" w:hAnsi="Garamond"/>
                <w:sz w:val="21"/>
                <w:szCs w:val="21"/>
              </w:rPr>
              <w:t xml:space="preserve"> the</w:t>
            </w:r>
            <w:r w:rsidR="00C87EB6">
              <w:rPr>
                <w:rFonts w:ascii="Garamond" w:hAnsi="Garamond"/>
                <w:sz w:val="21"/>
                <w:szCs w:val="21"/>
              </w:rPr>
              <w:t xml:space="preserve"> </w:t>
            </w:r>
            <w:r w:rsidR="00152132">
              <w:rPr>
                <w:rFonts w:ascii="Garamond" w:hAnsi="Garamond"/>
                <w:sz w:val="21"/>
                <w:szCs w:val="21"/>
              </w:rPr>
              <w:t>likely dollar swings in anticipation of ch</w:t>
            </w:r>
            <w:r w:rsidR="00C87EB6" w:rsidRPr="00C87EB6">
              <w:rPr>
                <w:rFonts w:ascii="Garamond" w:hAnsi="Garamond"/>
                <w:sz w:val="21"/>
                <w:szCs w:val="21"/>
              </w:rPr>
              <w:t>anges in policy interest rates by the US Fed</w:t>
            </w:r>
            <w:r w:rsidR="00152132">
              <w:rPr>
                <w:rFonts w:ascii="Garamond" w:hAnsi="Garamond"/>
                <w:sz w:val="21"/>
                <w:szCs w:val="21"/>
              </w:rPr>
              <w:t>, on the other.</w:t>
            </w:r>
            <w:r w:rsidR="00152132" w:rsidRPr="00A32AB2">
              <w:rPr>
                <w:rFonts w:ascii="Garamond" w:hAnsi="Garamond"/>
                <w:sz w:val="21"/>
                <w:szCs w:val="21"/>
              </w:rPr>
              <w:t xml:space="preserve"> </w:t>
            </w:r>
            <w:r w:rsidR="00861ACA" w:rsidRPr="00A32AB2">
              <w:rPr>
                <w:rFonts w:ascii="Garamond" w:hAnsi="Garamond"/>
                <w:sz w:val="21"/>
                <w:szCs w:val="21"/>
              </w:rPr>
              <w:t xml:space="preserve">In the medium run, prices </w:t>
            </w:r>
            <w:r w:rsidR="00152132">
              <w:rPr>
                <w:rFonts w:ascii="Garamond" w:hAnsi="Garamond"/>
                <w:sz w:val="21"/>
                <w:szCs w:val="21"/>
              </w:rPr>
              <w:t xml:space="preserve">will be in the range of USD 45-50 a barrel </w:t>
            </w:r>
            <w:r w:rsidR="00861ACA" w:rsidRPr="00A32AB2">
              <w:rPr>
                <w:rFonts w:ascii="Garamond" w:hAnsi="Garamond"/>
                <w:sz w:val="21"/>
                <w:szCs w:val="21"/>
              </w:rPr>
              <w:t xml:space="preserve">in the light of </w:t>
            </w:r>
            <w:r w:rsidR="00152132">
              <w:rPr>
                <w:rFonts w:ascii="Garamond" w:hAnsi="Garamond"/>
                <w:sz w:val="21"/>
                <w:szCs w:val="21"/>
              </w:rPr>
              <w:t xml:space="preserve">a </w:t>
            </w:r>
            <w:r w:rsidR="00861ACA" w:rsidRPr="00A32AB2">
              <w:rPr>
                <w:rFonts w:ascii="Garamond" w:hAnsi="Garamond"/>
                <w:sz w:val="21"/>
                <w:szCs w:val="21"/>
              </w:rPr>
              <w:t xml:space="preserve">still </w:t>
            </w:r>
            <w:r w:rsidR="00152132">
              <w:rPr>
                <w:rFonts w:ascii="Garamond" w:hAnsi="Garamond"/>
                <w:sz w:val="21"/>
                <w:szCs w:val="21"/>
              </w:rPr>
              <w:t xml:space="preserve">plenty </w:t>
            </w:r>
            <w:r w:rsidR="00861ACA" w:rsidRPr="00A32AB2">
              <w:rPr>
                <w:rFonts w:ascii="Garamond" w:hAnsi="Garamond"/>
                <w:sz w:val="21"/>
                <w:szCs w:val="21"/>
              </w:rPr>
              <w:t xml:space="preserve">supply in the oil market. </w:t>
            </w:r>
            <w:r w:rsidR="000359CC" w:rsidRPr="00A32AB2">
              <w:rPr>
                <w:rFonts w:ascii="Garamond" w:hAnsi="Garamond"/>
                <w:sz w:val="21"/>
                <w:szCs w:val="21"/>
              </w:rPr>
              <w:t xml:space="preserve"> </w:t>
            </w:r>
          </w:p>
          <w:p w14:paraId="349AF8A5" w14:textId="77777777" w:rsidR="002C2ACB" w:rsidRPr="00A32AB2" w:rsidRDefault="002C2ACB" w:rsidP="002A098D">
            <w:pPr>
              <w:spacing w:line="360" w:lineRule="auto"/>
              <w:jc w:val="both"/>
              <w:rPr>
                <w:rFonts w:ascii="Garamond" w:hAnsi="Garamond"/>
                <w:sz w:val="21"/>
                <w:szCs w:val="21"/>
              </w:rPr>
            </w:pPr>
          </w:p>
          <w:p w14:paraId="3841A616" w14:textId="77777777" w:rsidR="00A4502A" w:rsidRPr="00A32AB2" w:rsidRDefault="00332437" w:rsidP="002A098D">
            <w:pPr>
              <w:spacing w:line="360" w:lineRule="auto"/>
              <w:jc w:val="both"/>
              <w:rPr>
                <w:rFonts w:ascii="Garamond" w:hAnsi="Garamond" w:cs="Sylfaen"/>
                <w:sz w:val="21"/>
                <w:szCs w:val="21"/>
              </w:rPr>
            </w:pPr>
            <w:r w:rsidRPr="00A32AB2">
              <w:rPr>
                <w:rFonts w:ascii="Garamond" w:hAnsi="Garamond" w:cs="Sylfaen"/>
                <w:sz w:val="21"/>
                <w:szCs w:val="21"/>
              </w:rPr>
              <w:t xml:space="preserve">Prices </w:t>
            </w:r>
            <w:r w:rsidR="002C2ACB" w:rsidRPr="00A32AB2">
              <w:rPr>
                <w:rFonts w:ascii="Garamond" w:hAnsi="Garamond" w:cs="Sylfaen"/>
                <w:sz w:val="21"/>
                <w:szCs w:val="21"/>
              </w:rPr>
              <w:t xml:space="preserve">in world </w:t>
            </w:r>
            <w:r w:rsidR="002C2ACB" w:rsidRPr="00A32AB2">
              <w:rPr>
                <w:rFonts w:ascii="Garamond" w:hAnsi="Garamond" w:cs="Sylfaen"/>
                <w:b/>
                <w:sz w:val="21"/>
                <w:szCs w:val="21"/>
              </w:rPr>
              <w:t>metals</w:t>
            </w:r>
            <w:r w:rsidR="002C2ACB" w:rsidRPr="00A32AB2">
              <w:rPr>
                <w:rFonts w:ascii="Garamond" w:hAnsi="Garamond" w:cs="Sylfaen"/>
                <w:sz w:val="21"/>
                <w:szCs w:val="21"/>
              </w:rPr>
              <w:t xml:space="preserve"> markets </w:t>
            </w:r>
            <w:r w:rsidRPr="00A32AB2">
              <w:rPr>
                <w:rFonts w:ascii="Garamond" w:hAnsi="Garamond" w:cs="Sylfaen"/>
                <w:sz w:val="21"/>
                <w:szCs w:val="21"/>
              </w:rPr>
              <w:t xml:space="preserve">will </w:t>
            </w:r>
            <w:r w:rsidR="00A4502A" w:rsidRPr="00A32AB2">
              <w:rPr>
                <w:rFonts w:ascii="Garamond" w:hAnsi="Garamond" w:cs="Sylfaen"/>
                <w:sz w:val="21"/>
                <w:szCs w:val="21"/>
              </w:rPr>
              <w:t xml:space="preserve">continue </w:t>
            </w:r>
            <w:r w:rsidR="00C634D5">
              <w:rPr>
                <w:rFonts w:ascii="Garamond" w:hAnsi="Garamond" w:cs="Sylfaen"/>
                <w:sz w:val="21"/>
                <w:szCs w:val="21"/>
              </w:rPr>
              <w:t>trending upward</w:t>
            </w:r>
            <w:r w:rsidRPr="00A32AB2">
              <w:rPr>
                <w:rFonts w:ascii="Garamond" w:hAnsi="Garamond" w:cs="Sylfaen"/>
                <w:sz w:val="21"/>
                <w:szCs w:val="21"/>
              </w:rPr>
              <w:t xml:space="preserve">, </w:t>
            </w:r>
            <w:r w:rsidR="00C634D5">
              <w:rPr>
                <w:rFonts w:ascii="Garamond" w:hAnsi="Garamond" w:cs="Sylfaen"/>
                <w:sz w:val="21"/>
                <w:szCs w:val="21"/>
              </w:rPr>
              <w:t xml:space="preserve">conditional on </w:t>
            </w:r>
            <w:r w:rsidR="00C634D5" w:rsidRPr="00C634D5">
              <w:rPr>
                <w:rFonts w:ascii="Garamond" w:hAnsi="Garamond" w:cs="Sylfaen"/>
                <w:sz w:val="21"/>
                <w:szCs w:val="21"/>
              </w:rPr>
              <w:t>the gradual recovery in demand</w:t>
            </w:r>
            <w:r w:rsidR="00A4502A" w:rsidRPr="00A32AB2">
              <w:rPr>
                <w:rFonts w:ascii="Garamond" w:hAnsi="Garamond" w:cs="Sylfaen"/>
                <w:sz w:val="21"/>
                <w:szCs w:val="21"/>
              </w:rPr>
              <w:t>. In 201</w:t>
            </w:r>
            <w:r w:rsidR="00C634D5">
              <w:rPr>
                <w:rFonts w:ascii="Garamond" w:hAnsi="Garamond" w:cs="Sylfaen"/>
                <w:sz w:val="21"/>
                <w:szCs w:val="21"/>
              </w:rPr>
              <w:t>7</w:t>
            </w:r>
            <w:r w:rsidR="00625FEC">
              <w:rPr>
                <w:rFonts w:ascii="Garamond" w:hAnsi="Garamond" w:cs="Sylfaen"/>
                <w:sz w:val="21"/>
                <w:szCs w:val="21"/>
              </w:rPr>
              <w:t>,</w:t>
            </w:r>
            <w:r w:rsidR="00A4502A" w:rsidRPr="00A32AB2">
              <w:rPr>
                <w:rFonts w:ascii="Garamond" w:hAnsi="Garamond" w:cs="Sylfaen"/>
                <w:sz w:val="21"/>
                <w:szCs w:val="21"/>
              </w:rPr>
              <w:t xml:space="preserve"> </w:t>
            </w:r>
            <w:r w:rsidR="00C634D5">
              <w:rPr>
                <w:rFonts w:ascii="Garamond" w:hAnsi="Garamond" w:cs="Sylfaen"/>
                <w:sz w:val="21"/>
                <w:szCs w:val="21"/>
              </w:rPr>
              <w:t xml:space="preserve">the </w:t>
            </w:r>
            <w:r w:rsidR="00A4502A" w:rsidRPr="00A32AB2">
              <w:rPr>
                <w:rFonts w:ascii="Garamond" w:hAnsi="Garamond" w:cs="Sylfaen"/>
                <w:sz w:val="21"/>
                <w:szCs w:val="21"/>
              </w:rPr>
              <w:t>world copper market anticipate</w:t>
            </w:r>
            <w:r w:rsidR="00C634D5">
              <w:rPr>
                <w:rFonts w:ascii="Garamond" w:hAnsi="Garamond" w:cs="Sylfaen"/>
                <w:sz w:val="21"/>
                <w:szCs w:val="21"/>
              </w:rPr>
              <w:t>s</w:t>
            </w:r>
            <w:r w:rsidR="00A4502A" w:rsidRPr="00A32AB2">
              <w:rPr>
                <w:rFonts w:ascii="Garamond" w:hAnsi="Garamond" w:cs="Sylfaen"/>
                <w:sz w:val="21"/>
                <w:szCs w:val="21"/>
              </w:rPr>
              <w:t xml:space="preserve"> </w:t>
            </w:r>
            <w:r w:rsidR="00C634D5">
              <w:rPr>
                <w:rFonts w:ascii="Garamond" w:hAnsi="Garamond" w:cs="Sylfaen"/>
                <w:sz w:val="21"/>
                <w:szCs w:val="21"/>
              </w:rPr>
              <w:t xml:space="preserve">a sizable increase in </w:t>
            </w:r>
            <w:r w:rsidR="00C634D5" w:rsidRPr="00C634D5">
              <w:rPr>
                <w:rFonts w:ascii="Garamond" w:hAnsi="Garamond" w:cs="Sylfaen"/>
                <w:sz w:val="21"/>
                <w:szCs w:val="21"/>
              </w:rPr>
              <w:t xml:space="preserve">consumption </w:t>
            </w:r>
            <w:r w:rsidR="00C634D5">
              <w:rPr>
                <w:rFonts w:ascii="Garamond" w:hAnsi="Garamond" w:cs="Sylfaen"/>
                <w:sz w:val="21"/>
                <w:szCs w:val="21"/>
              </w:rPr>
              <w:t xml:space="preserve">notwithstanding an expected </w:t>
            </w:r>
            <w:r w:rsidR="00C634D5">
              <w:rPr>
                <w:rFonts w:ascii="Garamond" w:hAnsi="Garamond" w:cs="Sylfaen"/>
                <w:sz w:val="21"/>
                <w:szCs w:val="21"/>
              </w:rPr>
              <w:lastRenderedPageBreak/>
              <w:t xml:space="preserve">augmenting of production volumes. Yet, </w:t>
            </w:r>
            <w:r w:rsidR="00625FEC">
              <w:rPr>
                <w:rFonts w:ascii="Garamond" w:hAnsi="Garamond" w:cs="Sylfaen"/>
                <w:sz w:val="21"/>
                <w:szCs w:val="21"/>
              </w:rPr>
              <w:t xml:space="preserve">in a setting like this, </w:t>
            </w:r>
            <w:r w:rsidR="00C634D5">
              <w:rPr>
                <w:rFonts w:ascii="Garamond" w:hAnsi="Garamond" w:cs="Sylfaen"/>
                <w:sz w:val="21"/>
                <w:szCs w:val="21"/>
              </w:rPr>
              <w:t xml:space="preserve">any </w:t>
            </w:r>
            <w:r w:rsidR="00C634D5" w:rsidRPr="00C634D5">
              <w:rPr>
                <w:rFonts w:ascii="Garamond" w:hAnsi="Garamond" w:cs="Sylfaen"/>
                <w:sz w:val="21"/>
                <w:szCs w:val="21"/>
              </w:rPr>
              <w:t>significant</w:t>
            </w:r>
            <w:r w:rsidR="00C634D5">
              <w:rPr>
                <w:rFonts w:ascii="Garamond" w:hAnsi="Garamond" w:cs="Sylfaen"/>
                <w:sz w:val="21"/>
                <w:szCs w:val="21"/>
              </w:rPr>
              <w:t xml:space="preserve"> change in </w:t>
            </w:r>
            <w:r w:rsidR="00C634D5" w:rsidRPr="00C634D5">
              <w:rPr>
                <w:rFonts w:ascii="Garamond" w:hAnsi="Garamond" w:cs="Sylfaen"/>
                <w:sz w:val="21"/>
                <w:szCs w:val="21"/>
              </w:rPr>
              <w:t xml:space="preserve">international </w:t>
            </w:r>
            <w:r w:rsidR="00625FEC">
              <w:rPr>
                <w:rFonts w:ascii="Garamond" w:hAnsi="Garamond" w:cs="Sylfaen"/>
                <w:sz w:val="21"/>
                <w:szCs w:val="21"/>
              </w:rPr>
              <w:t xml:space="preserve">copper </w:t>
            </w:r>
            <w:r w:rsidR="00C634D5" w:rsidRPr="00C634D5">
              <w:rPr>
                <w:rFonts w:ascii="Garamond" w:hAnsi="Garamond" w:cs="Sylfaen"/>
                <w:sz w:val="21"/>
                <w:szCs w:val="21"/>
              </w:rPr>
              <w:t>prices</w:t>
            </w:r>
            <w:r w:rsidR="00C634D5">
              <w:rPr>
                <w:rFonts w:ascii="Garamond" w:hAnsi="Garamond" w:cs="Sylfaen"/>
                <w:sz w:val="21"/>
                <w:szCs w:val="21"/>
              </w:rPr>
              <w:t xml:space="preserve"> is not </w:t>
            </w:r>
            <w:r w:rsidR="00625FEC">
              <w:rPr>
                <w:rFonts w:ascii="Garamond" w:hAnsi="Garamond" w:cs="Sylfaen"/>
                <w:sz w:val="21"/>
                <w:szCs w:val="21"/>
              </w:rPr>
              <w:t>expected</w:t>
            </w:r>
            <w:r w:rsidR="00C634D5">
              <w:rPr>
                <w:rFonts w:ascii="Garamond" w:hAnsi="Garamond" w:cs="Sylfaen"/>
                <w:sz w:val="21"/>
                <w:szCs w:val="21"/>
              </w:rPr>
              <w:t xml:space="preserve">. </w:t>
            </w:r>
            <w:r w:rsidR="00625FEC">
              <w:rPr>
                <w:rFonts w:ascii="Garamond" w:hAnsi="Garamond" w:cs="Sylfaen"/>
                <w:sz w:val="21"/>
                <w:szCs w:val="21"/>
              </w:rPr>
              <w:t xml:space="preserve">The </w:t>
            </w:r>
            <w:r w:rsidR="00E81BB3" w:rsidRPr="00625FEC">
              <w:rPr>
                <w:rFonts w:ascii="Garamond" w:hAnsi="Garamond" w:cs="Sylfaen"/>
                <w:sz w:val="21"/>
                <w:szCs w:val="21"/>
              </w:rPr>
              <w:t>medium term</w:t>
            </w:r>
            <w:r w:rsidR="00E81BB3">
              <w:rPr>
                <w:rFonts w:ascii="Garamond" w:hAnsi="Garamond" w:cs="Sylfaen"/>
                <w:sz w:val="21"/>
                <w:szCs w:val="21"/>
              </w:rPr>
              <w:t xml:space="preserve"> </w:t>
            </w:r>
            <w:r w:rsidR="00625FEC">
              <w:rPr>
                <w:rFonts w:ascii="Garamond" w:hAnsi="Garamond" w:cs="Sylfaen"/>
                <w:sz w:val="21"/>
                <w:szCs w:val="21"/>
              </w:rPr>
              <w:t>r</w:t>
            </w:r>
            <w:r w:rsidR="00625FEC" w:rsidRPr="00625FEC">
              <w:rPr>
                <w:rFonts w:ascii="Garamond" w:hAnsi="Garamond" w:cs="Sylfaen"/>
                <w:sz w:val="21"/>
                <w:szCs w:val="21"/>
              </w:rPr>
              <w:t xml:space="preserve">isks </w:t>
            </w:r>
            <w:r w:rsidR="00625FEC">
              <w:rPr>
                <w:rFonts w:ascii="Garamond" w:hAnsi="Garamond" w:cs="Sylfaen"/>
                <w:sz w:val="21"/>
                <w:szCs w:val="21"/>
              </w:rPr>
              <w:t xml:space="preserve">to </w:t>
            </w:r>
            <w:r w:rsidR="00625FEC" w:rsidRPr="00625FEC">
              <w:rPr>
                <w:rFonts w:ascii="Garamond" w:hAnsi="Garamond" w:cs="Sylfaen"/>
                <w:sz w:val="21"/>
                <w:szCs w:val="21"/>
              </w:rPr>
              <w:t xml:space="preserve">international copper prices </w:t>
            </w:r>
            <w:r w:rsidR="00625FEC">
              <w:rPr>
                <w:rFonts w:ascii="Garamond" w:hAnsi="Garamond" w:cs="Sylfaen"/>
                <w:sz w:val="21"/>
                <w:szCs w:val="21"/>
              </w:rPr>
              <w:t>are estimated upside, mostly owing to</w:t>
            </w:r>
            <w:r w:rsidR="00625FEC" w:rsidRPr="00625FEC">
              <w:rPr>
                <w:rFonts w:ascii="Garamond" w:hAnsi="Garamond" w:cs="Sylfaen"/>
                <w:sz w:val="21"/>
                <w:szCs w:val="21"/>
              </w:rPr>
              <w:t xml:space="preserve"> </w:t>
            </w:r>
            <w:r w:rsidR="00E81BB3">
              <w:rPr>
                <w:rFonts w:ascii="Garamond" w:hAnsi="Garamond" w:cs="Sylfaen"/>
                <w:sz w:val="21"/>
                <w:szCs w:val="21"/>
              </w:rPr>
              <w:t xml:space="preserve">a possible rise in copper demand amid </w:t>
            </w:r>
            <w:r w:rsidR="00625FEC" w:rsidRPr="00625FEC">
              <w:rPr>
                <w:rFonts w:ascii="Garamond" w:hAnsi="Garamond" w:cs="Sylfaen"/>
                <w:sz w:val="21"/>
                <w:szCs w:val="21"/>
              </w:rPr>
              <w:t>increas</w:t>
            </w:r>
            <w:r w:rsidR="00E81BB3">
              <w:rPr>
                <w:rFonts w:ascii="Garamond" w:hAnsi="Garamond" w:cs="Sylfaen"/>
                <w:sz w:val="21"/>
                <w:szCs w:val="21"/>
              </w:rPr>
              <w:t xml:space="preserve">ing </w:t>
            </w:r>
            <w:r w:rsidR="00625FEC">
              <w:rPr>
                <w:rFonts w:ascii="Garamond" w:hAnsi="Garamond" w:cs="Sylfaen"/>
                <w:sz w:val="21"/>
                <w:szCs w:val="21"/>
              </w:rPr>
              <w:t xml:space="preserve">activity in </w:t>
            </w:r>
            <w:r w:rsidR="00625FEC" w:rsidRPr="00625FEC">
              <w:rPr>
                <w:rFonts w:ascii="Garamond" w:hAnsi="Garamond" w:cs="Sylfaen"/>
                <w:sz w:val="21"/>
                <w:szCs w:val="21"/>
              </w:rPr>
              <w:t xml:space="preserve">construction </w:t>
            </w:r>
            <w:r w:rsidR="00625FEC">
              <w:rPr>
                <w:rFonts w:ascii="Garamond" w:hAnsi="Garamond" w:cs="Sylfaen"/>
                <w:sz w:val="21"/>
                <w:szCs w:val="21"/>
              </w:rPr>
              <w:t xml:space="preserve">and </w:t>
            </w:r>
            <w:r w:rsidR="00625FEC" w:rsidRPr="00625FEC">
              <w:rPr>
                <w:rFonts w:ascii="Garamond" w:hAnsi="Garamond" w:cs="Sylfaen"/>
                <w:sz w:val="21"/>
                <w:szCs w:val="21"/>
              </w:rPr>
              <w:t>renewable energy sectors</w:t>
            </w:r>
            <w:r w:rsidR="00625FEC">
              <w:rPr>
                <w:rFonts w:ascii="Garamond" w:hAnsi="Garamond" w:cs="Sylfaen"/>
                <w:sz w:val="21"/>
                <w:szCs w:val="21"/>
              </w:rPr>
              <w:t xml:space="preserve"> in China</w:t>
            </w:r>
            <w:r w:rsidR="00625FEC" w:rsidRPr="00625FEC">
              <w:rPr>
                <w:rFonts w:ascii="Garamond" w:hAnsi="Garamond" w:cs="Sylfaen"/>
                <w:sz w:val="21"/>
                <w:szCs w:val="21"/>
              </w:rPr>
              <w:t xml:space="preserve"> </w:t>
            </w:r>
            <w:r w:rsidR="00E81BB3">
              <w:rPr>
                <w:rFonts w:ascii="Garamond" w:hAnsi="Garamond" w:cs="Sylfaen"/>
                <w:sz w:val="21"/>
                <w:szCs w:val="21"/>
              </w:rPr>
              <w:t>and</w:t>
            </w:r>
            <w:r w:rsidR="00625FEC" w:rsidRPr="00625FEC">
              <w:rPr>
                <w:rFonts w:ascii="Garamond" w:hAnsi="Garamond" w:cs="Sylfaen"/>
                <w:sz w:val="21"/>
                <w:szCs w:val="21"/>
              </w:rPr>
              <w:t xml:space="preserve"> </w:t>
            </w:r>
            <w:r w:rsidR="00E81BB3">
              <w:rPr>
                <w:rFonts w:ascii="Garamond" w:hAnsi="Garamond" w:cs="Sylfaen"/>
                <w:sz w:val="21"/>
                <w:szCs w:val="21"/>
              </w:rPr>
              <w:t xml:space="preserve">more costs </w:t>
            </w:r>
            <w:r w:rsidR="000547DE">
              <w:rPr>
                <w:rFonts w:ascii="Garamond" w:hAnsi="Garamond" w:cs="Sylfaen"/>
                <w:sz w:val="21"/>
                <w:szCs w:val="21"/>
              </w:rPr>
              <w:t xml:space="preserve">for infrastructure improvement according to </w:t>
            </w:r>
            <w:r w:rsidR="00625FEC" w:rsidRPr="00625FEC">
              <w:rPr>
                <w:rFonts w:ascii="Garamond" w:hAnsi="Garamond" w:cs="Sylfaen"/>
                <w:sz w:val="21"/>
                <w:szCs w:val="21"/>
              </w:rPr>
              <w:t xml:space="preserve">the </w:t>
            </w:r>
            <w:r w:rsidR="000547DE">
              <w:rPr>
                <w:rFonts w:ascii="Garamond" w:hAnsi="Garamond" w:cs="Sylfaen"/>
                <w:sz w:val="21"/>
                <w:szCs w:val="21"/>
              </w:rPr>
              <w:t xml:space="preserve">US </w:t>
            </w:r>
            <w:r w:rsidR="00625FEC" w:rsidRPr="00625FEC">
              <w:rPr>
                <w:rFonts w:ascii="Garamond" w:hAnsi="Garamond" w:cs="Sylfaen"/>
                <w:sz w:val="21"/>
                <w:szCs w:val="21"/>
              </w:rPr>
              <w:t>president-elect</w:t>
            </w:r>
            <w:r w:rsidR="000547DE">
              <w:rPr>
                <w:rFonts w:ascii="Garamond" w:hAnsi="Garamond" w:cs="Sylfaen"/>
                <w:sz w:val="21"/>
                <w:szCs w:val="21"/>
              </w:rPr>
              <w:t>’</w:t>
            </w:r>
            <w:r w:rsidR="00625FEC" w:rsidRPr="00625FEC">
              <w:rPr>
                <w:rFonts w:ascii="Garamond" w:hAnsi="Garamond" w:cs="Sylfaen"/>
                <w:sz w:val="21"/>
                <w:szCs w:val="21"/>
              </w:rPr>
              <w:t xml:space="preserve">s plan. It is noteworthy that short-term </w:t>
            </w:r>
            <w:r w:rsidR="001C595E">
              <w:rPr>
                <w:rFonts w:ascii="Garamond" w:hAnsi="Garamond" w:cs="Sylfaen"/>
                <w:sz w:val="21"/>
                <w:szCs w:val="21"/>
              </w:rPr>
              <w:t xml:space="preserve">speculative </w:t>
            </w:r>
            <w:r w:rsidR="00625FEC" w:rsidRPr="00625FEC">
              <w:rPr>
                <w:rFonts w:ascii="Garamond" w:hAnsi="Garamond" w:cs="Sylfaen"/>
                <w:sz w:val="21"/>
                <w:szCs w:val="21"/>
              </w:rPr>
              <w:t xml:space="preserve">expectations regarding </w:t>
            </w:r>
            <w:r w:rsidR="001C595E">
              <w:rPr>
                <w:rFonts w:ascii="Garamond" w:hAnsi="Garamond" w:cs="Sylfaen"/>
                <w:sz w:val="21"/>
                <w:szCs w:val="21"/>
              </w:rPr>
              <w:t xml:space="preserve">the said </w:t>
            </w:r>
            <w:r w:rsidR="00625FEC" w:rsidRPr="00625FEC">
              <w:rPr>
                <w:rFonts w:ascii="Garamond" w:hAnsi="Garamond" w:cs="Sylfaen"/>
                <w:sz w:val="21"/>
                <w:szCs w:val="21"/>
              </w:rPr>
              <w:t xml:space="preserve">factors </w:t>
            </w:r>
            <w:r w:rsidR="001C595E">
              <w:rPr>
                <w:rFonts w:ascii="Garamond" w:hAnsi="Garamond" w:cs="Sylfaen"/>
                <w:sz w:val="21"/>
                <w:szCs w:val="21"/>
              </w:rPr>
              <w:t xml:space="preserve">invoked some rising of prices between October and November 2016. </w:t>
            </w:r>
          </w:p>
          <w:p w14:paraId="498D7328" w14:textId="77777777" w:rsidR="00A4502A" w:rsidRPr="00A32AB2" w:rsidRDefault="00A4502A" w:rsidP="002A098D">
            <w:pPr>
              <w:spacing w:line="360" w:lineRule="auto"/>
              <w:jc w:val="both"/>
              <w:rPr>
                <w:rFonts w:ascii="Garamond" w:hAnsi="Garamond" w:cs="Sylfaen"/>
                <w:sz w:val="21"/>
                <w:szCs w:val="21"/>
              </w:rPr>
            </w:pPr>
          </w:p>
          <w:p w14:paraId="5287A537" w14:textId="77777777" w:rsidR="00F2030E" w:rsidRPr="00A32AB2" w:rsidRDefault="003D6B47" w:rsidP="002A098D">
            <w:pPr>
              <w:spacing w:line="360" w:lineRule="auto"/>
              <w:jc w:val="both"/>
              <w:rPr>
                <w:rFonts w:ascii="Garamond" w:hAnsi="Garamond" w:cs="Sylfaen"/>
                <w:color w:val="000000"/>
                <w:sz w:val="21"/>
                <w:szCs w:val="21"/>
              </w:rPr>
            </w:pPr>
            <w:r w:rsidRPr="00A32AB2">
              <w:rPr>
                <w:rFonts w:ascii="Garamond" w:hAnsi="Garamond"/>
                <w:sz w:val="21"/>
                <w:szCs w:val="21"/>
              </w:rPr>
              <w:t xml:space="preserve">According to the </w:t>
            </w:r>
            <w:r w:rsidR="00F77B3C">
              <w:rPr>
                <w:rFonts w:ascii="Garamond" w:hAnsi="Garamond"/>
                <w:sz w:val="21"/>
                <w:szCs w:val="21"/>
              </w:rPr>
              <w:t>October</w:t>
            </w:r>
            <w:r w:rsidR="00585EE7" w:rsidRPr="00A32AB2">
              <w:rPr>
                <w:rFonts w:ascii="Garamond" w:hAnsi="Garamond"/>
                <w:sz w:val="21"/>
                <w:szCs w:val="21"/>
                <w:lang w:val="hy-AM"/>
              </w:rPr>
              <w:t xml:space="preserve"> </w:t>
            </w:r>
            <w:r w:rsidRPr="00A32AB2">
              <w:rPr>
                <w:rFonts w:ascii="Garamond" w:hAnsi="Garamond"/>
                <w:color w:val="000000"/>
                <w:sz w:val="21"/>
                <w:szCs w:val="21"/>
              </w:rPr>
              <w:t>estimates of the U.S. Department of Agriculture, in the 201</w:t>
            </w:r>
            <w:r w:rsidR="00C13B8F" w:rsidRPr="00A32AB2">
              <w:rPr>
                <w:rFonts w:ascii="Garamond" w:hAnsi="Garamond"/>
                <w:color w:val="000000"/>
                <w:sz w:val="21"/>
                <w:szCs w:val="21"/>
              </w:rPr>
              <w:t>6</w:t>
            </w:r>
            <w:r w:rsidRPr="00A32AB2">
              <w:rPr>
                <w:rFonts w:ascii="Garamond" w:hAnsi="Garamond"/>
                <w:color w:val="000000"/>
                <w:sz w:val="21"/>
                <w:szCs w:val="21"/>
              </w:rPr>
              <w:t>/201</w:t>
            </w:r>
            <w:r w:rsidR="00C13B8F" w:rsidRPr="00A32AB2">
              <w:rPr>
                <w:rFonts w:ascii="Garamond" w:hAnsi="Garamond"/>
                <w:color w:val="000000"/>
                <w:sz w:val="21"/>
                <w:szCs w:val="21"/>
              </w:rPr>
              <w:t>7</w:t>
            </w:r>
            <w:r w:rsidRPr="00A32AB2">
              <w:rPr>
                <w:rFonts w:ascii="Garamond" w:hAnsi="Garamond"/>
                <w:color w:val="000000"/>
                <w:sz w:val="21"/>
                <w:szCs w:val="21"/>
              </w:rPr>
              <w:t xml:space="preserve"> marketing year </w:t>
            </w:r>
            <w:r w:rsidR="00F77B3C">
              <w:rPr>
                <w:rFonts w:ascii="Garamond" w:hAnsi="Garamond"/>
                <w:color w:val="000000"/>
                <w:sz w:val="21"/>
                <w:szCs w:val="21"/>
              </w:rPr>
              <w:t xml:space="preserve">the world </w:t>
            </w:r>
            <w:r w:rsidR="00F77B3C" w:rsidRPr="00A32AB2">
              <w:rPr>
                <w:rFonts w:ascii="Garamond" w:hAnsi="Garamond"/>
                <w:b/>
                <w:color w:val="000000"/>
                <w:sz w:val="21"/>
                <w:szCs w:val="21"/>
              </w:rPr>
              <w:t>wheat</w:t>
            </w:r>
            <w:r w:rsidR="00F77B3C" w:rsidRPr="00A32AB2">
              <w:rPr>
                <w:rFonts w:ascii="Garamond" w:hAnsi="Garamond"/>
                <w:color w:val="000000"/>
                <w:sz w:val="21"/>
                <w:szCs w:val="21"/>
              </w:rPr>
              <w:t xml:space="preserve"> </w:t>
            </w:r>
            <w:r w:rsidR="00F77B3C">
              <w:rPr>
                <w:rFonts w:ascii="Garamond" w:hAnsi="Garamond"/>
                <w:color w:val="000000"/>
                <w:sz w:val="21"/>
                <w:szCs w:val="21"/>
              </w:rPr>
              <w:t>harvest will</w:t>
            </w:r>
            <w:r w:rsidR="00D86695">
              <w:rPr>
                <w:rFonts w:ascii="Garamond" w:hAnsi="Garamond"/>
                <w:color w:val="000000"/>
                <w:sz w:val="21"/>
                <w:szCs w:val="21"/>
              </w:rPr>
              <w:t xml:space="preserve"> reduce by</w:t>
            </w:r>
            <w:r w:rsidR="00F77B3C">
              <w:rPr>
                <w:rFonts w:ascii="Garamond" w:hAnsi="Garamond"/>
                <w:color w:val="000000"/>
                <w:sz w:val="21"/>
                <w:szCs w:val="21"/>
              </w:rPr>
              <w:t xml:space="preserve"> </w:t>
            </w:r>
            <w:r w:rsidR="00D86695">
              <w:rPr>
                <w:rFonts w:ascii="Garamond" w:hAnsi="Garamond"/>
                <w:color w:val="000000"/>
                <w:sz w:val="21"/>
                <w:szCs w:val="21"/>
              </w:rPr>
              <w:t>1.6 million tons to</w:t>
            </w:r>
            <w:r w:rsidR="00F77B3C" w:rsidRPr="00A32AB2">
              <w:rPr>
                <w:rFonts w:ascii="Garamond" w:hAnsi="Garamond"/>
                <w:color w:val="000000"/>
                <w:sz w:val="21"/>
                <w:szCs w:val="21"/>
              </w:rPr>
              <w:t xml:space="preserve"> </w:t>
            </w:r>
            <w:r w:rsidRPr="00A32AB2">
              <w:rPr>
                <w:rFonts w:ascii="Garamond" w:hAnsi="Garamond"/>
                <w:color w:val="000000"/>
                <w:sz w:val="21"/>
                <w:szCs w:val="21"/>
              </w:rPr>
              <w:t>some 7</w:t>
            </w:r>
            <w:r w:rsidR="00D86695">
              <w:rPr>
                <w:rFonts w:ascii="Garamond" w:hAnsi="Garamond"/>
                <w:color w:val="000000"/>
                <w:sz w:val="21"/>
                <w:szCs w:val="21"/>
              </w:rPr>
              <w:t>44</w:t>
            </w:r>
            <w:r w:rsidRPr="00A32AB2">
              <w:rPr>
                <w:rFonts w:ascii="Garamond" w:hAnsi="Garamond"/>
                <w:color w:val="000000"/>
                <w:sz w:val="21"/>
                <w:szCs w:val="21"/>
              </w:rPr>
              <w:t>.</w:t>
            </w:r>
            <w:r w:rsidR="00D86695">
              <w:rPr>
                <w:rFonts w:ascii="Garamond" w:hAnsi="Garamond"/>
                <w:color w:val="000000"/>
                <w:sz w:val="21"/>
                <w:szCs w:val="21"/>
              </w:rPr>
              <w:t>4</w:t>
            </w:r>
            <w:r w:rsidRPr="00A32AB2">
              <w:rPr>
                <w:rFonts w:ascii="Garamond" w:hAnsi="Garamond"/>
                <w:color w:val="000000"/>
                <w:sz w:val="21"/>
                <w:szCs w:val="21"/>
              </w:rPr>
              <w:t xml:space="preserve"> million tons</w:t>
            </w:r>
            <w:r w:rsidRPr="00A32AB2">
              <w:rPr>
                <w:rFonts w:ascii="Garamond" w:hAnsi="Garamond" w:cs="Sylfaen"/>
                <w:color w:val="000000"/>
                <w:sz w:val="21"/>
                <w:szCs w:val="21"/>
              </w:rPr>
              <w:t>.</w:t>
            </w:r>
            <w:r w:rsidR="00A4502A" w:rsidRPr="00A32AB2">
              <w:rPr>
                <w:rFonts w:ascii="Garamond" w:hAnsi="Garamond" w:cs="Sylfaen"/>
                <w:color w:val="000000"/>
                <w:sz w:val="21"/>
                <w:szCs w:val="21"/>
              </w:rPr>
              <w:t xml:space="preserve"> </w:t>
            </w:r>
            <w:r w:rsidR="00247CA1">
              <w:rPr>
                <w:rFonts w:ascii="Garamond" w:hAnsi="Garamond" w:cs="Sylfaen"/>
                <w:color w:val="000000"/>
                <w:sz w:val="21"/>
                <w:szCs w:val="21"/>
              </w:rPr>
              <w:t>However</w:t>
            </w:r>
            <w:r w:rsidR="00624325" w:rsidRPr="00A32AB2">
              <w:rPr>
                <w:rFonts w:ascii="Garamond" w:hAnsi="Garamond" w:cs="Sylfaen"/>
                <w:sz w:val="21"/>
                <w:szCs w:val="21"/>
              </w:rPr>
              <w:t xml:space="preserve">, </w:t>
            </w:r>
            <w:r w:rsidR="00C13B8F" w:rsidRPr="00A32AB2">
              <w:rPr>
                <w:rFonts w:ascii="Garamond" w:hAnsi="Garamond" w:cs="Sylfaen"/>
                <w:sz w:val="21"/>
                <w:szCs w:val="21"/>
              </w:rPr>
              <w:t xml:space="preserve">despite reduction </w:t>
            </w:r>
            <w:r w:rsidR="00B61925">
              <w:rPr>
                <w:rFonts w:ascii="Garamond" w:hAnsi="Garamond" w:cs="Sylfaen"/>
                <w:sz w:val="21"/>
                <w:szCs w:val="21"/>
              </w:rPr>
              <w:t xml:space="preserve">by </w:t>
            </w:r>
            <w:r w:rsidR="00C13B8F" w:rsidRPr="00A32AB2">
              <w:rPr>
                <w:rFonts w:ascii="Garamond" w:hAnsi="Garamond" w:cs="Sylfaen"/>
                <w:sz w:val="21"/>
                <w:szCs w:val="21"/>
              </w:rPr>
              <w:t xml:space="preserve">4.1 million tons, </w:t>
            </w:r>
            <w:r w:rsidRPr="00A32AB2">
              <w:rPr>
                <w:rFonts w:ascii="Garamond" w:hAnsi="Garamond"/>
                <w:color w:val="000000"/>
                <w:sz w:val="21"/>
                <w:szCs w:val="21"/>
              </w:rPr>
              <w:t xml:space="preserve">world wheat stock </w:t>
            </w:r>
            <w:r w:rsidR="00624325" w:rsidRPr="00A32AB2">
              <w:rPr>
                <w:rFonts w:ascii="Garamond" w:hAnsi="Garamond"/>
                <w:color w:val="000000"/>
                <w:sz w:val="21"/>
                <w:szCs w:val="21"/>
              </w:rPr>
              <w:t xml:space="preserve">will reach </w:t>
            </w:r>
            <w:r w:rsidRPr="00A32AB2">
              <w:rPr>
                <w:rFonts w:ascii="Garamond" w:hAnsi="Garamond" w:cs="Sylfaen"/>
                <w:color w:val="000000"/>
                <w:sz w:val="21"/>
                <w:szCs w:val="21"/>
              </w:rPr>
              <w:t>2</w:t>
            </w:r>
            <w:r w:rsidR="00B61925">
              <w:rPr>
                <w:rFonts w:ascii="Garamond" w:hAnsi="Garamond" w:cs="Sylfaen"/>
                <w:color w:val="000000"/>
                <w:sz w:val="21"/>
                <w:szCs w:val="21"/>
              </w:rPr>
              <w:t>48</w:t>
            </w:r>
            <w:r w:rsidRPr="00A32AB2">
              <w:rPr>
                <w:rFonts w:ascii="Garamond" w:hAnsi="Garamond" w:cs="Sylfaen"/>
                <w:color w:val="000000"/>
                <w:sz w:val="21"/>
                <w:szCs w:val="21"/>
              </w:rPr>
              <w:t>.</w:t>
            </w:r>
            <w:r w:rsidR="00B61925">
              <w:rPr>
                <w:rFonts w:ascii="Garamond" w:hAnsi="Garamond" w:cs="Sylfaen"/>
                <w:color w:val="000000"/>
                <w:sz w:val="21"/>
                <w:szCs w:val="21"/>
              </w:rPr>
              <w:t>4</w:t>
            </w:r>
            <w:r w:rsidRPr="00A32AB2">
              <w:rPr>
                <w:rFonts w:ascii="Garamond" w:hAnsi="Garamond" w:cs="Sylfaen"/>
                <w:color w:val="000000"/>
                <w:sz w:val="21"/>
                <w:szCs w:val="21"/>
              </w:rPr>
              <w:t xml:space="preserve"> million tons for </w:t>
            </w:r>
            <w:r w:rsidRPr="00A32AB2">
              <w:rPr>
                <w:rFonts w:ascii="Garamond" w:hAnsi="Garamond"/>
                <w:color w:val="000000"/>
                <w:sz w:val="21"/>
                <w:szCs w:val="21"/>
              </w:rPr>
              <w:t>the 201</w:t>
            </w:r>
            <w:r w:rsidR="00C13B8F" w:rsidRPr="00A32AB2">
              <w:rPr>
                <w:rFonts w:ascii="Garamond" w:hAnsi="Garamond"/>
                <w:color w:val="000000"/>
                <w:sz w:val="21"/>
                <w:szCs w:val="21"/>
              </w:rPr>
              <w:t>6</w:t>
            </w:r>
            <w:r w:rsidRPr="00A32AB2">
              <w:rPr>
                <w:rFonts w:ascii="Garamond" w:hAnsi="Garamond"/>
                <w:color w:val="000000"/>
                <w:sz w:val="21"/>
                <w:szCs w:val="21"/>
              </w:rPr>
              <w:t>/201</w:t>
            </w:r>
            <w:r w:rsidR="00C13B8F" w:rsidRPr="00A32AB2">
              <w:rPr>
                <w:rFonts w:ascii="Garamond" w:hAnsi="Garamond"/>
                <w:color w:val="000000"/>
                <w:sz w:val="21"/>
                <w:szCs w:val="21"/>
              </w:rPr>
              <w:t>7</w:t>
            </w:r>
            <w:r w:rsidRPr="00A32AB2">
              <w:rPr>
                <w:rFonts w:ascii="Garamond" w:hAnsi="Garamond"/>
                <w:color w:val="000000"/>
                <w:sz w:val="21"/>
                <w:szCs w:val="21"/>
              </w:rPr>
              <w:t xml:space="preserve"> marketing year</w:t>
            </w:r>
            <w:r w:rsidR="00B61925">
              <w:rPr>
                <w:rFonts w:ascii="Garamond" w:hAnsi="Garamond"/>
                <w:color w:val="000000"/>
                <w:sz w:val="21"/>
                <w:szCs w:val="21"/>
              </w:rPr>
              <w:t>, according to estimations</w:t>
            </w:r>
            <w:r w:rsidRPr="00A32AB2">
              <w:rPr>
                <w:rFonts w:ascii="Garamond" w:hAnsi="Garamond"/>
                <w:color w:val="000000"/>
                <w:sz w:val="21"/>
                <w:szCs w:val="21"/>
              </w:rPr>
              <w:t xml:space="preserve">. </w:t>
            </w:r>
            <w:r w:rsidR="00B61925" w:rsidRPr="00B61925">
              <w:rPr>
                <w:rFonts w:ascii="Garamond" w:hAnsi="Garamond"/>
                <w:color w:val="000000"/>
                <w:sz w:val="21"/>
                <w:szCs w:val="21"/>
              </w:rPr>
              <w:t xml:space="preserve">International wheat prices will continue </w:t>
            </w:r>
            <w:r w:rsidR="00B61925">
              <w:rPr>
                <w:rFonts w:ascii="Garamond" w:hAnsi="Garamond"/>
                <w:color w:val="000000"/>
                <w:sz w:val="21"/>
                <w:szCs w:val="21"/>
              </w:rPr>
              <w:t xml:space="preserve">dropping </w:t>
            </w:r>
            <w:r w:rsidR="00B61925" w:rsidRPr="00B61925">
              <w:rPr>
                <w:rFonts w:ascii="Garamond" w:hAnsi="Garamond"/>
                <w:color w:val="000000"/>
                <w:sz w:val="21"/>
                <w:szCs w:val="21"/>
              </w:rPr>
              <w:t xml:space="preserve">in the short term </w:t>
            </w:r>
            <w:r w:rsidR="00B61925">
              <w:rPr>
                <w:rFonts w:ascii="Garamond" w:hAnsi="Garamond"/>
                <w:color w:val="000000"/>
                <w:sz w:val="21"/>
                <w:szCs w:val="21"/>
              </w:rPr>
              <w:t xml:space="preserve">as a result of </w:t>
            </w:r>
            <w:r w:rsidR="00B61925" w:rsidRPr="00B61925">
              <w:rPr>
                <w:rFonts w:ascii="Garamond" w:hAnsi="Garamond"/>
                <w:color w:val="000000"/>
                <w:sz w:val="21"/>
                <w:szCs w:val="21"/>
              </w:rPr>
              <w:t>abundant harvest</w:t>
            </w:r>
            <w:r w:rsidR="00B61925">
              <w:rPr>
                <w:rFonts w:ascii="Garamond" w:hAnsi="Garamond"/>
                <w:color w:val="000000"/>
                <w:sz w:val="21"/>
                <w:szCs w:val="21"/>
              </w:rPr>
              <w:t>.</w:t>
            </w:r>
            <w:r w:rsidR="00805C31" w:rsidRPr="00A32AB2">
              <w:rPr>
                <w:rFonts w:ascii="Garamond" w:hAnsi="Garamond" w:cs="Sylfaen"/>
                <w:color w:val="000000"/>
                <w:sz w:val="21"/>
                <w:szCs w:val="21"/>
              </w:rPr>
              <w:t xml:space="preserve"> However, </w:t>
            </w:r>
            <w:r w:rsidR="00B61925">
              <w:rPr>
                <w:rFonts w:ascii="Garamond" w:hAnsi="Garamond" w:cs="Sylfaen"/>
                <w:color w:val="000000"/>
                <w:sz w:val="21"/>
                <w:szCs w:val="21"/>
              </w:rPr>
              <w:t xml:space="preserve">modest </w:t>
            </w:r>
            <w:r w:rsidR="00B12CCE" w:rsidRPr="00A32AB2">
              <w:rPr>
                <w:rFonts w:ascii="Garamond" w:hAnsi="Garamond" w:cs="Sylfaen"/>
                <w:color w:val="000000"/>
                <w:sz w:val="21"/>
                <w:szCs w:val="21"/>
              </w:rPr>
              <w:t xml:space="preserve">price growth will be observable in the medium </w:t>
            </w:r>
            <w:r w:rsidR="00B61925">
              <w:rPr>
                <w:rFonts w:ascii="Garamond" w:hAnsi="Garamond" w:cs="Sylfaen"/>
                <w:color w:val="000000"/>
                <w:sz w:val="21"/>
                <w:szCs w:val="21"/>
              </w:rPr>
              <w:t>term</w:t>
            </w:r>
            <w:r w:rsidR="00B12CCE" w:rsidRPr="00A32AB2">
              <w:rPr>
                <w:rFonts w:ascii="Garamond" w:hAnsi="Garamond" w:cs="Sylfaen"/>
                <w:color w:val="000000"/>
                <w:sz w:val="21"/>
                <w:szCs w:val="21"/>
              </w:rPr>
              <w:t xml:space="preserve"> </w:t>
            </w:r>
            <w:r w:rsidR="00CE23E3">
              <w:rPr>
                <w:rFonts w:ascii="Garamond" w:hAnsi="Garamond" w:cs="Sylfaen"/>
                <w:color w:val="000000"/>
                <w:sz w:val="21"/>
                <w:szCs w:val="21"/>
              </w:rPr>
              <w:t xml:space="preserve">amid </w:t>
            </w:r>
            <w:r w:rsidR="00B12CCE" w:rsidRPr="00A32AB2">
              <w:rPr>
                <w:rFonts w:ascii="Garamond" w:hAnsi="Garamond" w:cs="Sylfaen"/>
                <w:color w:val="000000"/>
                <w:sz w:val="21"/>
                <w:szCs w:val="21"/>
              </w:rPr>
              <w:t xml:space="preserve">some contraction in the production as well as </w:t>
            </w:r>
            <w:r w:rsidR="00805C31" w:rsidRPr="00A32AB2">
              <w:rPr>
                <w:rFonts w:ascii="Garamond" w:hAnsi="Garamond" w:cs="Sylfaen"/>
                <w:color w:val="000000"/>
                <w:sz w:val="21"/>
                <w:szCs w:val="21"/>
              </w:rPr>
              <w:t xml:space="preserve">gradual recovery of the global demand </w:t>
            </w:r>
            <w:r w:rsidR="00CC6C39">
              <w:rPr>
                <w:rFonts w:ascii="Garamond" w:hAnsi="Garamond" w:cs="Sylfaen"/>
                <w:color w:val="000000"/>
                <w:sz w:val="21"/>
                <w:szCs w:val="21"/>
              </w:rPr>
              <w:t>in that period of time</w:t>
            </w:r>
            <w:r w:rsidR="00B12CCE" w:rsidRPr="00A32AB2">
              <w:rPr>
                <w:rFonts w:ascii="Garamond" w:hAnsi="Garamond" w:cs="Sylfaen"/>
                <w:color w:val="000000"/>
                <w:sz w:val="21"/>
                <w:szCs w:val="21"/>
              </w:rPr>
              <w:t>.</w:t>
            </w:r>
          </w:p>
          <w:p w14:paraId="38DA0719" w14:textId="77777777" w:rsidR="00F2030E" w:rsidRPr="00A32AB2" w:rsidRDefault="00F2030E" w:rsidP="002A098D">
            <w:pPr>
              <w:spacing w:line="360" w:lineRule="auto"/>
              <w:jc w:val="both"/>
              <w:rPr>
                <w:rFonts w:ascii="Garamond" w:hAnsi="Garamond" w:cs="Sylfaen"/>
                <w:color w:val="000000"/>
                <w:sz w:val="21"/>
                <w:szCs w:val="21"/>
              </w:rPr>
            </w:pPr>
          </w:p>
          <w:p w14:paraId="1F4F14F0" w14:textId="77777777" w:rsidR="002C2ACB" w:rsidRPr="00A32AB2" w:rsidRDefault="008B1A36" w:rsidP="008B1A36">
            <w:pPr>
              <w:spacing w:line="360" w:lineRule="auto"/>
              <w:jc w:val="both"/>
              <w:rPr>
                <w:rFonts w:ascii="Garamond" w:hAnsi="Garamond"/>
                <w:b/>
                <w:sz w:val="21"/>
                <w:szCs w:val="21"/>
              </w:rPr>
            </w:pPr>
            <w:r>
              <w:rPr>
                <w:rFonts w:ascii="Garamond" w:hAnsi="Garamond" w:cs="Sylfaen"/>
                <w:sz w:val="21"/>
                <w:szCs w:val="21"/>
              </w:rPr>
              <w:t>W</w:t>
            </w:r>
            <w:r w:rsidR="00B9097E" w:rsidRPr="00A32AB2">
              <w:rPr>
                <w:rFonts w:ascii="Garamond" w:hAnsi="Garamond" w:cs="Sylfaen"/>
                <w:sz w:val="21"/>
                <w:szCs w:val="21"/>
              </w:rPr>
              <w:t xml:space="preserve">orld </w:t>
            </w:r>
            <w:r w:rsidR="00B9097E" w:rsidRPr="00A32AB2">
              <w:rPr>
                <w:rFonts w:ascii="Garamond" w:hAnsi="Garamond" w:cs="Sylfaen"/>
                <w:b/>
                <w:sz w:val="21"/>
                <w:szCs w:val="21"/>
              </w:rPr>
              <w:t>sugar</w:t>
            </w:r>
            <w:r w:rsidR="00B9097E" w:rsidRPr="00A32AB2">
              <w:rPr>
                <w:rFonts w:ascii="Garamond" w:hAnsi="Garamond" w:cs="Sylfaen"/>
                <w:sz w:val="21"/>
                <w:szCs w:val="21"/>
              </w:rPr>
              <w:t xml:space="preserve"> prices</w:t>
            </w:r>
            <w:r>
              <w:rPr>
                <w:rFonts w:ascii="Garamond" w:hAnsi="Garamond" w:cs="Sylfaen"/>
                <w:sz w:val="21"/>
                <w:szCs w:val="21"/>
              </w:rPr>
              <w:t xml:space="preserve"> will continue growing, although at a slower pace</w:t>
            </w:r>
            <w:r w:rsidR="000B4301" w:rsidRPr="00A32AB2">
              <w:rPr>
                <w:rFonts w:ascii="Garamond" w:hAnsi="Garamond" w:cs="Sylfaen"/>
                <w:sz w:val="21"/>
                <w:szCs w:val="21"/>
              </w:rPr>
              <w:t>,</w:t>
            </w:r>
            <w:r w:rsidR="00585EE7" w:rsidRPr="00A32AB2">
              <w:rPr>
                <w:rFonts w:ascii="Garamond" w:hAnsi="Garamond" w:cs="Sylfaen"/>
                <w:sz w:val="21"/>
                <w:szCs w:val="21"/>
                <w:lang w:val="hy-AM"/>
              </w:rPr>
              <w:t xml:space="preserve"> </w:t>
            </w:r>
            <w:r>
              <w:rPr>
                <w:rFonts w:ascii="Garamond" w:hAnsi="Garamond" w:cs="Sylfaen"/>
                <w:sz w:val="21"/>
                <w:szCs w:val="21"/>
              </w:rPr>
              <w:t>as a result of</w:t>
            </w:r>
            <w:r w:rsidR="000B4301" w:rsidRPr="00A32AB2">
              <w:rPr>
                <w:rFonts w:ascii="Garamond" w:hAnsi="Garamond" w:cs="Sylfaen"/>
                <w:sz w:val="21"/>
                <w:szCs w:val="21"/>
              </w:rPr>
              <w:t xml:space="preserve"> </w:t>
            </w:r>
            <w:r w:rsidR="001400E2" w:rsidRPr="00A32AB2">
              <w:rPr>
                <w:rFonts w:ascii="Garamond" w:hAnsi="Garamond" w:cs="Sylfaen"/>
                <w:sz w:val="21"/>
                <w:szCs w:val="21"/>
              </w:rPr>
              <w:t xml:space="preserve">reduced </w:t>
            </w:r>
            <w:r w:rsidR="00B9097E" w:rsidRPr="00A32AB2">
              <w:rPr>
                <w:rFonts w:ascii="Garamond" w:hAnsi="Garamond" w:cs="Sylfaen"/>
                <w:sz w:val="21"/>
                <w:szCs w:val="21"/>
              </w:rPr>
              <w:t>sugarcane harvest due to bad weather in Brazil</w:t>
            </w:r>
            <w:r w:rsidR="001400E2" w:rsidRPr="00A32AB2">
              <w:rPr>
                <w:rFonts w:ascii="Garamond" w:hAnsi="Garamond" w:cs="Sylfaen"/>
                <w:sz w:val="21"/>
                <w:szCs w:val="21"/>
              </w:rPr>
              <w:t xml:space="preserve"> and </w:t>
            </w:r>
            <w:r>
              <w:rPr>
                <w:rFonts w:ascii="Garamond" w:hAnsi="Garamond" w:cs="Sylfaen"/>
                <w:sz w:val="21"/>
                <w:szCs w:val="21"/>
              </w:rPr>
              <w:t>Thailand</w:t>
            </w:r>
            <w:r w:rsidR="00B9097E" w:rsidRPr="00A32AB2">
              <w:rPr>
                <w:rFonts w:ascii="Garamond" w:hAnsi="Garamond" w:cs="Sylfaen"/>
                <w:sz w:val="21"/>
                <w:szCs w:val="21"/>
              </w:rPr>
              <w:t>, the world’s leading manufacturer</w:t>
            </w:r>
            <w:r w:rsidR="001400E2" w:rsidRPr="00A32AB2">
              <w:rPr>
                <w:rFonts w:ascii="Garamond" w:hAnsi="Garamond" w:cs="Sylfaen"/>
                <w:sz w:val="21"/>
                <w:szCs w:val="21"/>
              </w:rPr>
              <w:t>s</w:t>
            </w:r>
            <w:r w:rsidR="00B9097E" w:rsidRPr="00A32AB2">
              <w:rPr>
                <w:rFonts w:ascii="Garamond" w:hAnsi="Garamond" w:cs="Sylfaen"/>
                <w:sz w:val="21"/>
                <w:szCs w:val="21"/>
              </w:rPr>
              <w:t xml:space="preserve"> and exporter</w:t>
            </w:r>
            <w:r w:rsidR="001400E2" w:rsidRPr="00A32AB2">
              <w:rPr>
                <w:rFonts w:ascii="Garamond" w:hAnsi="Garamond" w:cs="Sylfaen"/>
                <w:sz w:val="21"/>
                <w:szCs w:val="21"/>
              </w:rPr>
              <w:t>s</w:t>
            </w:r>
            <w:r w:rsidR="00B9097E" w:rsidRPr="00A32AB2">
              <w:rPr>
                <w:rFonts w:ascii="Garamond" w:hAnsi="Garamond" w:cs="Sylfaen"/>
                <w:sz w:val="21"/>
                <w:szCs w:val="21"/>
              </w:rPr>
              <w:t xml:space="preserve"> of sugar.</w:t>
            </w:r>
          </w:p>
        </w:tc>
      </w:tr>
    </w:tbl>
    <w:p w14:paraId="1A8E430A" w14:textId="77777777" w:rsidR="003B583C" w:rsidRPr="00A32AB2" w:rsidRDefault="003B583C" w:rsidP="00B117C8">
      <w:pPr>
        <w:spacing w:line="360" w:lineRule="auto"/>
        <w:jc w:val="both"/>
        <w:rPr>
          <w:rFonts w:ascii="Garamond" w:hAnsi="Garamond"/>
          <w:sz w:val="22"/>
          <w:szCs w:val="22"/>
        </w:rPr>
      </w:pPr>
    </w:p>
    <w:p w14:paraId="5EAEA6A8" w14:textId="77777777" w:rsidR="00400525" w:rsidRPr="00A32AB2" w:rsidRDefault="00400525" w:rsidP="00B117C8">
      <w:pPr>
        <w:spacing w:line="360" w:lineRule="auto"/>
        <w:jc w:val="both"/>
        <w:rPr>
          <w:rFonts w:ascii="Garamond" w:hAnsi="Garamond"/>
          <w:b/>
          <w:sz w:val="22"/>
          <w:szCs w:val="22"/>
        </w:rPr>
      </w:pPr>
      <w:r w:rsidRPr="00A32AB2">
        <w:rPr>
          <w:rFonts w:ascii="Garamond" w:hAnsi="Garamond"/>
          <w:b/>
          <w:sz w:val="22"/>
          <w:szCs w:val="22"/>
        </w:rPr>
        <w:t>2.2. Aggregate supply and aggregate demand</w:t>
      </w:r>
    </w:p>
    <w:p w14:paraId="6D3C5491" w14:textId="77777777" w:rsidR="00400525" w:rsidRPr="00A32AB2" w:rsidRDefault="00400525" w:rsidP="00B117C8">
      <w:pPr>
        <w:spacing w:line="360" w:lineRule="auto"/>
        <w:jc w:val="both"/>
        <w:rPr>
          <w:rFonts w:ascii="Garamond" w:hAnsi="Garamond"/>
          <w:sz w:val="22"/>
          <w:szCs w:val="22"/>
        </w:rPr>
      </w:pPr>
      <w:r w:rsidRPr="00A32AB2">
        <w:rPr>
          <w:rFonts w:ascii="Garamond" w:hAnsi="Garamond"/>
          <w:b/>
          <w:sz w:val="22"/>
          <w:szCs w:val="22"/>
        </w:rPr>
        <w:t>Aggregate supply</w:t>
      </w:r>
    </w:p>
    <w:p w14:paraId="3E854134" w14:textId="77777777" w:rsidR="00344292" w:rsidRPr="00A32AB2" w:rsidRDefault="00344292" w:rsidP="00B117C8">
      <w:pPr>
        <w:spacing w:line="360" w:lineRule="auto"/>
        <w:jc w:val="both"/>
        <w:rPr>
          <w:rFonts w:ascii="Garamond" w:hAnsi="Garamond"/>
          <w:b/>
          <w:spacing w:val="20"/>
          <w:sz w:val="22"/>
          <w:szCs w:val="22"/>
        </w:rPr>
      </w:pPr>
    </w:p>
    <w:p w14:paraId="19232B8E" w14:textId="77777777" w:rsidR="00EB7DBD" w:rsidRPr="00A32AB2" w:rsidRDefault="00400525" w:rsidP="00B117C8">
      <w:pPr>
        <w:spacing w:line="360" w:lineRule="auto"/>
        <w:jc w:val="both"/>
        <w:rPr>
          <w:rFonts w:ascii="Garamond" w:hAnsi="Garamond"/>
          <w:sz w:val="22"/>
          <w:szCs w:val="22"/>
        </w:rPr>
      </w:pPr>
      <w:r w:rsidRPr="00A32AB2">
        <w:rPr>
          <w:rFonts w:ascii="Garamond" w:hAnsi="Garamond"/>
          <w:bCs/>
          <w:iCs/>
          <w:sz w:val="22"/>
          <w:szCs w:val="22"/>
        </w:rPr>
        <w:t xml:space="preserve">The </w:t>
      </w:r>
      <w:r w:rsidR="004B6192">
        <w:rPr>
          <w:rFonts w:ascii="Garamond" w:hAnsi="Garamond"/>
          <w:bCs/>
          <w:iCs/>
          <w:sz w:val="22"/>
          <w:szCs w:val="22"/>
        </w:rPr>
        <w:t xml:space="preserve">CBA forecasts of </w:t>
      </w:r>
      <w:r w:rsidRPr="00A32AB2">
        <w:rPr>
          <w:rFonts w:ascii="Garamond" w:hAnsi="Garamond"/>
          <w:bCs/>
          <w:iCs/>
          <w:sz w:val="22"/>
          <w:szCs w:val="22"/>
        </w:rPr>
        <w:t xml:space="preserve">economic growth </w:t>
      </w:r>
      <w:r w:rsidR="004B6192">
        <w:rPr>
          <w:rFonts w:ascii="Garamond" w:hAnsi="Garamond"/>
          <w:bCs/>
          <w:iCs/>
          <w:sz w:val="22"/>
          <w:szCs w:val="22"/>
        </w:rPr>
        <w:t xml:space="preserve">for 2016 </w:t>
      </w:r>
      <w:r w:rsidR="00C74C75">
        <w:rPr>
          <w:rFonts w:ascii="Garamond" w:hAnsi="Garamond"/>
          <w:bCs/>
          <w:iCs/>
          <w:sz w:val="22"/>
          <w:szCs w:val="22"/>
        </w:rPr>
        <w:t>were revised downside</w:t>
      </w:r>
      <w:r w:rsidR="004B6192">
        <w:rPr>
          <w:rFonts w:ascii="Garamond" w:hAnsi="Garamond"/>
          <w:bCs/>
          <w:iCs/>
          <w:sz w:val="22"/>
          <w:szCs w:val="22"/>
        </w:rPr>
        <w:t xml:space="preserve"> </w:t>
      </w:r>
      <w:r w:rsidR="007C6E9B">
        <w:rPr>
          <w:rFonts w:ascii="Garamond" w:hAnsi="Garamond"/>
          <w:bCs/>
          <w:iCs/>
          <w:sz w:val="22"/>
          <w:szCs w:val="22"/>
        </w:rPr>
        <w:t>de</w:t>
      </w:r>
      <w:r w:rsidR="00177B94">
        <w:rPr>
          <w:rFonts w:ascii="Garamond" w:hAnsi="Garamond"/>
          <w:bCs/>
          <w:iCs/>
          <w:sz w:val="22"/>
          <w:szCs w:val="22"/>
        </w:rPr>
        <w:t xml:space="preserve">termined by lower-than-expected </w:t>
      </w:r>
      <w:r w:rsidR="007C6E9B">
        <w:rPr>
          <w:rFonts w:ascii="Garamond" w:hAnsi="Garamond"/>
          <w:bCs/>
          <w:iCs/>
          <w:sz w:val="22"/>
          <w:szCs w:val="22"/>
        </w:rPr>
        <w:t xml:space="preserve">growth </w:t>
      </w:r>
      <w:r w:rsidR="004B6192">
        <w:rPr>
          <w:rFonts w:ascii="Garamond" w:hAnsi="Garamond"/>
          <w:bCs/>
          <w:iCs/>
          <w:sz w:val="22"/>
          <w:szCs w:val="22"/>
        </w:rPr>
        <w:t>in the second quarter</w:t>
      </w:r>
      <w:r w:rsidR="00A11EDE">
        <w:rPr>
          <w:rFonts w:ascii="Garamond" w:hAnsi="Garamond"/>
          <w:bCs/>
          <w:iCs/>
          <w:sz w:val="22"/>
          <w:szCs w:val="22"/>
        </w:rPr>
        <w:t>,</w:t>
      </w:r>
      <w:r w:rsidR="004B6192">
        <w:rPr>
          <w:rFonts w:ascii="Garamond" w:hAnsi="Garamond"/>
          <w:bCs/>
          <w:iCs/>
          <w:sz w:val="22"/>
          <w:szCs w:val="22"/>
        </w:rPr>
        <w:t xml:space="preserve"> </w:t>
      </w:r>
      <w:r w:rsidR="00A11EDE">
        <w:rPr>
          <w:rFonts w:ascii="Garamond" w:hAnsi="Garamond"/>
          <w:bCs/>
          <w:iCs/>
          <w:sz w:val="22"/>
          <w:szCs w:val="22"/>
        </w:rPr>
        <w:t xml:space="preserve">a sluggish </w:t>
      </w:r>
      <w:r w:rsidR="004B6192" w:rsidRPr="004B6192">
        <w:rPr>
          <w:rFonts w:ascii="Garamond" w:hAnsi="Garamond"/>
          <w:bCs/>
          <w:iCs/>
          <w:sz w:val="22"/>
          <w:szCs w:val="22"/>
        </w:rPr>
        <w:t xml:space="preserve">trade turnover </w:t>
      </w:r>
      <w:r w:rsidR="00A11EDE">
        <w:rPr>
          <w:rFonts w:ascii="Garamond" w:hAnsi="Garamond"/>
          <w:bCs/>
          <w:iCs/>
          <w:sz w:val="22"/>
          <w:szCs w:val="22"/>
        </w:rPr>
        <w:t>in</w:t>
      </w:r>
      <w:r w:rsidR="004B6192" w:rsidRPr="004B6192">
        <w:rPr>
          <w:rFonts w:ascii="Garamond" w:hAnsi="Garamond"/>
          <w:bCs/>
          <w:iCs/>
          <w:sz w:val="22"/>
          <w:szCs w:val="22"/>
        </w:rPr>
        <w:t xml:space="preserve"> the third quarter</w:t>
      </w:r>
      <w:r w:rsidR="007C6E9B">
        <w:rPr>
          <w:rFonts w:ascii="Garamond" w:hAnsi="Garamond"/>
          <w:bCs/>
          <w:iCs/>
          <w:sz w:val="22"/>
          <w:szCs w:val="22"/>
        </w:rPr>
        <w:t xml:space="preserve"> and </w:t>
      </w:r>
      <w:r w:rsidR="004B6192" w:rsidRPr="004B6192">
        <w:rPr>
          <w:rFonts w:ascii="Garamond" w:hAnsi="Garamond"/>
          <w:bCs/>
          <w:iCs/>
          <w:sz w:val="22"/>
          <w:szCs w:val="22"/>
        </w:rPr>
        <w:t>emerge</w:t>
      </w:r>
      <w:r w:rsidR="00A11EDE">
        <w:rPr>
          <w:rFonts w:ascii="Garamond" w:hAnsi="Garamond"/>
          <w:bCs/>
          <w:iCs/>
          <w:sz w:val="22"/>
          <w:szCs w:val="22"/>
        </w:rPr>
        <w:t xml:space="preserve">d </w:t>
      </w:r>
      <w:r w:rsidR="004B6192" w:rsidRPr="004B6192">
        <w:rPr>
          <w:rFonts w:ascii="Garamond" w:hAnsi="Garamond"/>
          <w:bCs/>
          <w:iCs/>
          <w:sz w:val="22"/>
          <w:szCs w:val="22"/>
        </w:rPr>
        <w:t>risk</w:t>
      </w:r>
      <w:r w:rsidR="004B6192">
        <w:rPr>
          <w:rFonts w:ascii="Garamond" w:hAnsi="Garamond"/>
          <w:bCs/>
          <w:iCs/>
          <w:sz w:val="22"/>
          <w:szCs w:val="22"/>
        </w:rPr>
        <w:t xml:space="preserve">s to </w:t>
      </w:r>
      <w:r w:rsidR="004B6192" w:rsidRPr="004B6192">
        <w:rPr>
          <w:rFonts w:ascii="Garamond" w:hAnsi="Garamond"/>
          <w:bCs/>
          <w:iCs/>
          <w:sz w:val="22"/>
          <w:szCs w:val="22"/>
        </w:rPr>
        <w:t>reduc</w:t>
      </w:r>
      <w:r w:rsidR="00A11EDE">
        <w:rPr>
          <w:rFonts w:ascii="Garamond" w:hAnsi="Garamond"/>
          <w:bCs/>
          <w:iCs/>
          <w:sz w:val="22"/>
          <w:szCs w:val="22"/>
        </w:rPr>
        <w:t xml:space="preserve">ed </w:t>
      </w:r>
      <w:r w:rsidR="004B6192" w:rsidRPr="004B6192">
        <w:rPr>
          <w:rFonts w:ascii="Garamond" w:hAnsi="Garamond"/>
          <w:bCs/>
          <w:iCs/>
          <w:sz w:val="22"/>
          <w:szCs w:val="22"/>
        </w:rPr>
        <w:t xml:space="preserve">output in the agricultural and mining sectors, which </w:t>
      </w:r>
      <w:r w:rsidR="00A11EDE">
        <w:rPr>
          <w:rFonts w:ascii="Garamond" w:hAnsi="Garamond"/>
          <w:bCs/>
          <w:iCs/>
          <w:sz w:val="22"/>
          <w:szCs w:val="22"/>
        </w:rPr>
        <w:t xml:space="preserve">had been </w:t>
      </w:r>
      <w:r w:rsidR="004B6192" w:rsidRPr="004B6192">
        <w:rPr>
          <w:rFonts w:ascii="Garamond" w:hAnsi="Garamond"/>
          <w:bCs/>
          <w:iCs/>
          <w:sz w:val="22"/>
          <w:szCs w:val="22"/>
        </w:rPr>
        <w:t xml:space="preserve">outlined in </w:t>
      </w:r>
      <w:r w:rsidR="00A11EDE">
        <w:rPr>
          <w:rFonts w:ascii="Garamond" w:hAnsi="Garamond"/>
          <w:bCs/>
          <w:iCs/>
          <w:sz w:val="22"/>
          <w:szCs w:val="22"/>
        </w:rPr>
        <w:t>previous m</w:t>
      </w:r>
      <w:r w:rsidR="004B6192" w:rsidRPr="004B6192">
        <w:rPr>
          <w:rFonts w:ascii="Garamond" w:hAnsi="Garamond"/>
          <w:bCs/>
          <w:iCs/>
          <w:sz w:val="22"/>
          <w:szCs w:val="22"/>
        </w:rPr>
        <w:t xml:space="preserve">onetary </w:t>
      </w:r>
      <w:r w:rsidR="00A11EDE">
        <w:rPr>
          <w:rFonts w:ascii="Garamond" w:hAnsi="Garamond"/>
          <w:bCs/>
          <w:iCs/>
          <w:sz w:val="22"/>
          <w:szCs w:val="22"/>
        </w:rPr>
        <w:t xml:space="preserve">policy programs. </w:t>
      </w:r>
      <w:r w:rsidRPr="00A32AB2">
        <w:rPr>
          <w:rFonts w:ascii="Garamond" w:hAnsi="Garamond"/>
          <w:sz w:val="22"/>
          <w:szCs w:val="22"/>
        </w:rPr>
        <w:t xml:space="preserve">As a result, the </w:t>
      </w:r>
      <w:r w:rsidRPr="00A32AB2">
        <w:rPr>
          <w:rFonts w:ascii="Garamond" w:hAnsi="Garamond"/>
          <w:b/>
          <w:sz w:val="22"/>
          <w:szCs w:val="22"/>
        </w:rPr>
        <w:t xml:space="preserve">2016 economic growth is </w:t>
      </w:r>
      <w:r w:rsidR="003E2200" w:rsidRPr="00A32AB2">
        <w:rPr>
          <w:rFonts w:ascii="Garamond" w:hAnsi="Garamond"/>
          <w:b/>
          <w:sz w:val="22"/>
          <w:szCs w:val="22"/>
        </w:rPr>
        <w:t xml:space="preserve">estimated </w:t>
      </w:r>
      <w:r w:rsidRPr="00A32AB2">
        <w:rPr>
          <w:rFonts w:ascii="Garamond" w:hAnsi="Garamond"/>
          <w:b/>
          <w:sz w:val="22"/>
          <w:szCs w:val="22"/>
        </w:rPr>
        <w:t xml:space="preserve">in the range of </w:t>
      </w:r>
      <w:r w:rsidR="00A11EDE">
        <w:rPr>
          <w:rFonts w:ascii="Garamond" w:hAnsi="Garamond"/>
          <w:b/>
          <w:sz w:val="22"/>
          <w:szCs w:val="22"/>
        </w:rPr>
        <w:t>1</w:t>
      </w:r>
      <w:r w:rsidRPr="00A32AB2">
        <w:rPr>
          <w:rFonts w:ascii="Garamond" w:hAnsi="Garamond"/>
          <w:b/>
          <w:sz w:val="22"/>
          <w:szCs w:val="22"/>
        </w:rPr>
        <w:t>.</w:t>
      </w:r>
      <w:r w:rsidR="00A11EDE">
        <w:rPr>
          <w:rFonts w:ascii="Garamond" w:hAnsi="Garamond"/>
          <w:b/>
          <w:sz w:val="22"/>
          <w:szCs w:val="22"/>
        </w:rPr>
        <w:t>3</w:t>
      </w:r>
      <w:r w:rsidRPr="00A32AB2">
        <w:rPr>
          <w:rFonts w:ascii="Garamond" w:hAnsi="Garamond"/>
          <w:b/>
          <w:sz w:val="22"/>
          <w:szCs w:val="22"/>
        </w:rPr>
        <w:t>-</w:t>
      </w:r>
      <w:r w:rsidR="00A11EDE">
        <w:rPr>
          <w:rFonts w:ascii="Garamond" w:hAnsi="Garamond"/>
          <w:b/>
          <w:sz w:val="22"/>
          <w:szCs w:val="22"/>
        </w:rPr>
        <w:t>1</w:t>
      </w:r>
      <w:r w:rsidRPr="00A32AB2">
        <w:rPr>
          <w:rFonts w:ascii="Garamond" w:hAnsi="Garamond"/>
          <w:b/>
          <w:sz w:val="22"/>
          <w:szCs w:val="22"/>
        </w:rPr>
        <w:t>.</w:t>
      </w:r>
      <w:r w:rsidR="00A11EDE">
        <w:rPr>
          <w:rFonts w:ascii="Garamond" w:hAnsi="Garamond"/>
          <w:b/>
          <w:sz w:val="22"/>
          <w:szCs w:val="22"/>
        </w:rPr>
        <w:t>8</w:t>
      </w:r>
      <w:r w:rsidRPr="00A32AB2">
        <w:rPr>
          <w:rFonts w:ascii="Garamond" w:hAnsi="Garamond"/>
          <w:b/>
          <w:sz w:val="22"/>
          <w:szCs w:val="22"/>
        </w:rPr>
        <w:t>%</w:t>
      </w:r>
      <w:r w:rsidR="00A11EDE">
        <w:rPr>
          <w:rStyle w:val="FootnoteReference"/>
          <w:rFonts w:ascii="Garamond" w:hAnsi="Garamond"/>
          <w:sz w:val="22"/>
          <w:szCs w:val="22"/>
        </w:rPr>
        <w:footnoteReference w:customMarkFollows="1" w:id="4"/>
        <w:t>4</w:t>
      </w:r>
      <w:r w:rsidRPr="00A32AB2">
        <w:rPr>
          <w:rFonts w:ascii="Garamond" w:hAnsi="Garamond"/>
          <w:sz w:val="22"/>
          <w:szCs w:val="22"/>
        </w:rPr>
        <w:t xml:space="preserve">. </w:t>
      </w:r>
    </w:p>
    <w:p w14:paraId="754A9AE2" w14:textId="77777777" w:rsidR="00EB7DBD" w:rsidRPr="00A11EDE" w:rsidRDefault="00EB7DBD" w:rsidP="00B117C8">
      <w:pPr>
        <w:spacing w:line="360" w:lineRule="auto"/>
        <w:jc w:val="both"/>
        <w:rPr>
          <w:rFonts w:ascii="GHEA Grapalat" w:hAnsi="GHEA Grapalat"/>
          <w:i/>
          <w:sz w:val="14"/>
          <w:szCs w:val="14"/>
        </w:rPr>
      </w:pPr>
    </w:p>
    <w:p w14:paraId="4A24C810" w14:textId="77777777" w:rsidR="00344292" w:rsidRPr="00A32AB2" w:rsidRDefault="006F4CA9" w:rsidP="00B117C8">
      <w:pPr>
        <w:spacing w:line="360" w:lineRule="auto"/>
        <w:jc w:val="both"/>
        <w:rPr>
          <w:rFonts w:ascii="Garamond" w:hAnsi="Garamond"/>
          <w:sz w:val="22"/>
          <w:szCs w:val="22"/>
        </w:rPr>
      </w:pPr>
      <w:r w:rsidRPr="006F4CA9">
        <w:rPr>
          <w:rFonts w:ascii="Garamond" w:hAnsi="Garamond"/>
          <w:sz w:val="22"/>
          <w:szCs w:val="22"/>
        </w:rPr>
        <w:t>T</w:t>
      </w:r>
      <w:r w:rsidR="00720C09" w:rsidRPr="006F4CA9">
        <w:rPr>
          <w:rFonts w:ascii="Garamond" w:hAnsi="Garamond"/>
          <w:sz w:val="22"/>
          <w:szCs w:val="22"/>
        </w:rPr>
        <w:t>he</w:t>
      </w:r>
      <w:r w:rsidR="000F5B41" w:rsidRPr="006F4CA9">
        <w:rPr>
          <w:rFonts w:ascii="Garamond" w:hAnsi="Garamond"/>
          <w:sz w:val="22"/>
          <w:szCs w:val="22"/>
        </w:rPr>
        <w:t xml:space="preserve"> </w:t>
      </w:r>
      <w:r w:rsidR="00720C09" w:rsidRPr="006F4CA9">
        <w:rPr>
          <w:rFonts w:ascii="Garamond" w:hAnsi="Garamond"/>
          <w:sz w:val="22"/>
          <w:szCs w:val="22"/>
        </w:rPr>
        <w:t>narrowing of pri</w:t>
      </w:r>
      <w:r w:rsidR="000F5B41" w:rsidRPr="006F4CA9">
        <w:rPr>
          <w:rFonts w:ascii="Garamond" w:hAnsi="Garamond"/>
          <w:sz w:val="22"/>
          <w:szCs w:val="22"/>
        </w:rPr>
        <w:t>vate transfers from Russia to Armenia is expected to slow down considerably in 2016</w:t>
      </w:r>
      <w:r>
        <w:rPr>
          <w:rFonts w:ascii="Garamond" w:hAnsi="Garamond"/>
          <w:sz w:val="22"/>
          <w:szCs w:val="22"/>
        </w:rPr>
        <w:t xml:space="preserve"> yet </w:t>
      </w:r>
      <w:r w:rsidR="00D04752" w:rsidRPr="00A32AB2">
        <w:rPr>
          <w:rFonts w:ascii="Garamond" w:hAnsi="Garamond"/>
          <w:sz w:val="22"/>
          <w:szCs w:val="22"/>
        </w:rPr>
        <w:t xml:space="preserve">the effect of </w:t>
      </w:r>
      <w:r w:rsidR="000F5B41" w:rsidRPr="00A32AB2">
        <w:rPr>
          <w:rFonts w:ascii="Garamond" w:hAnsi="Garamond"/>
          <w:sz w:val="22"/>
          <w:szCs w:val="22"/>
        </w:rPr>
        <w:t>contracting remittances of individuals on the domestic demand will</w:t>
      </w:r>
      <w:r w:rsidR="0043651F" w:rsidRPr="00A32AB2">
        <w:rPr>
          <w:rFonts w:ascii="Garamond" w:hAnsi="Garamond"/>
          <w:sz w:val="22"/>
          <w:szCs w:val="22"/>
        </w:rPr>
        <w:t xml:space="preserve"> </w:t>
      </w:r>
      <w:r w:rsidR="000F5B41" w:rsidRPr="00A32AB2">
        <w:rPr>
          <w:rFonts w:ascii="Garamond" w:hAnsi="Garamond"/>
          <w:sz w:val="22"/>
          <w:szCs w:val="22"/>
        </w:rPr>
        <w:t xml:space="preserve">be </w:t>
      </w:r>
      <w:r w:rsidR="00D04752" w:rsidRPr="00A32AB2">
        <w:rPr>
          <w:rFonts w:ascii="Garamond" w:hAnsi="Garamond"/>
          <w:sz w:val="22"/>
          <w:szCs w:val="22"/>
        </w:rPr>
        <w:t xml:space="preserve">seen further. This will, however, </w:t>
      </w:r>
      <w:r w:rsidR="000F5B41" w:rsidRPr="00A32AB2">
        <w:rPr>
          <w:rFonts w:ascii="Garamond" w:hAnsi="Garamond"/>
          <w:sz w:val="22"/>
          <w:szCs w:val="22"/>
        </w:rPr>
        <w:t xml:space="preserve">be cushioned by the influence of expansionary monetary and fiscal policies </w:t>
      </w:r>
      <w:r w:rsidR="00347B30" w:rsidRPr="00A32AB2">
        <w:rPr>
          <w:rFonts w:ascii="Garamond" w:hAnsi="Garamond"/>
          <w:sz w:val="22"/>
          <w:szCs w:val="22"/>
        </w:rPr>
        <w:t xml:space="preserve">conducted </w:t>
      </w:r>
      <w:r w:rsidR="000F5B41" w:rsidRPr="00A32AB2">
        <w:rPr>
          <w:rFonts w:ascii="Garamond" w:hAnsi="Garamond"/>
          <w:sz w:val="22"/>
          <w:szCs w:val="22"/>
        </w:rPr>
        <w:t>in 2015-2016 and a</w:t>
      </w:r>
      <w:r w:rsidR="00585EE7" w:rsidRPr="00A32AB2">
        <w:rPr>
          <w:rFonts w:ascii="Garamond" w:hAnsi="Garamond"/>
          <w:sz w:val="22"/>
          <w:szCs w:val="22"/>
          <w:lang w:val="hy-AM"/>
        </w:rPr>
        <w:t xml:space="preserve"> </w:t>
      </w:r>
      <w:r w:rsidR="000F5B41" w:rsidRPr="00A32AB2">
        <w:rPr>
          <w:rFonts w:ascii="Garamond" w:hAnsi="Garamond"/>
          <w:sz w:val="22"/>
          <w:szCs w:val="22"/>
        </w:rPr>
        <w:t xml:space="preserve">low inflationary environment in the economy. Under </w:t>
      </w:r>
      <w:r w:rsidR="00B550FB" w:rsidRPr="00A32AB2">
        <w:rPr>
          <w:rFonts w:ascii="Garamond" w:hAnsi="Garamond"/>
          <w:sz w:val="22"/>
          <w:szCs w:val="22"/>
        </w:rPr>
        <w:t>such conditions</w:t>
      </w:r>
      <w:r w:rsidR="000F5B41" w:rsidRPr="00A32AB2">
        <w:rPr>
          <w:rFonts w:ascii="Garamond" w:hAnsi="Garamond"/>
          <w:sz w:val="22"/>
          <w:szCs w:val="22"/>
        </w:rPr>
        <w:t xml:space="preserve">, </w:t>
      </w:r>
      <w:r w:rsidR="00B550FB" w:rsidRPr="00A32AB2">
        <w:rPr>
          <w:rFonts w:ascii="Garamond" w:hAnsi="Garamond"/>
          <w:sz w:val="22"/>
          <w:szCs w:val="22"/>
        </w:rPr>
        <w:t xml:space="preserve">the </w:t>
      </w:r>
      <w:r w:rsidR="000F5B41" w:rsidRPr="00A32AB2">
        <w:rPr>
          <w:rFonts w:ascii="Garamond" w:hAnsi="Garamond"/>
          <w:b/>
          <w:sz w:val="22"/>
          <w:szCs w:val="22"/>
        </w:rPr>
        <w:t xml:space="preserve">domestic demand is expected to </w:t>
      </w:r>
      <w:r w:rsidR="00C750DB" w:rsidRPr="00A32AB2">
        <w:rPr>
          <w:rFonts w:ascii="Garamond" w:hAnsi="Garamond"/>
          <w:b/>
          <w:sz w:val="22"/>
          <w:szCs w:val="22"/>
        </w:rPr>
        <w:t>grow</w:t>
      </w:r>
      <w:r w:rsidR="000F5B41" w:rsidRPr="00A32AB2">
        <w:rPr>
          <w:rFonts w:ascii="Garamond" w:hAnsi="Garamond"/>
          <w:b/>
          <w:sz w:val="22"/>
          <w:szCs w:val="22"/>
        </w:rPr>
        <w:t xml:space="preserve"> by </w:t>
      </w:r>
      <w:r w:rsidR="00D04752" w:rsidRPr="00A32AB2">
        <w:rPr>
          <w:rFonts w:ascii="Garamond" w:hAnsi="Garamond"/>
          <w:b/>
          <w:sz w:val="22"/>
          <w:szCs w:val="22"/>
        </w:rPr>
        <w:t>0</w:t>
      </w:r>
      <w:r w:rsidR="000F5B41" w:rsidRPr="00A32AB2">
        <w:rPr>
          <w:rFonts w:ascii="Garamond" w:hAnsi="Garamond"/>
          <w:b/>
          <w:sz w:val="22"/>
          <w:szCs w:val="22"/>
        </w:rPr>
        <w:t>.</w:t>
      </w:r>
      <w:r>
        <w:rPr>
          <w:rFonts w:ascii="Garamond" w:hAnsi="Garamond"/>
          <w:b/>
          <w:sz w:val="22"/>
          <w:szCs w:val="22"/>
        </w:rPr>
        <w:t>4</w:t>
      </w:r>
      <w:r w:rsidR="000F5B41" w:rsidRPr="00A32AB2">
        <w:rPr>
          <w:rFonts w:ascii="Garamond" w:hAnsi="Garamond"/>
          <w:b/>
          <w:sz w:val="22"/>
          <w:szCs w:val="22"/>
        </w:rPr>
        <w:t>%</w:t>
      </w:r>
      <w:r w:rsidR="000F5B41" w:rsidRPr="00A32AB2">
        <w:rPr>
          <w:rFonts w:ascii="Garamond" w:hAnsi="Garamond"/>
          <w:sz w:val="22"/>
          <w:szCs w:val="22"/>
        </w:rPr>
        <w:t xml:space="preserve">, </w:t>
      </w:r>
      <w:r w:rsidR="00B550FB" w:rsidRPr="00A32AB2">
        <w:rPr>
          <w:rFonts w:ascii="Garamond" w:hAnsi="Garamond"/>
          <w:sz w:val="22"/>
          <w:szCs w:val="22"/>
        </w:rPr>
        <w:t xml:space="preserve">which will </w:t>
      </w:r>
      <w:r w:rsidR="00C750DB" w:rsidRPr="00A32AB2">
        <w:rPr>
          <w:rFonts w:ascii="Garamond" w:hAnsi="Garamond"/>
          <w:sz w:val="22"/>
          <w:szCs w:val="22"/>
        </w:rPr>
        <w:t xml:space="preserve">still </w:t>
      </w:r>
      <w:r w:rsidR="00B550FB" w:rsidRPr="00A32AB2">
        <w:rPr>
          <w:rFonts w:ascii="Garamond" w:hAnsi="Garamond"/>
          <w:sz w:val="22"/>
          <w:szCs w:val="22"/>
        </w:rPr>
        <w:t xml:space="preserve">be </w:t>
      </w:r>
      <w:r w:rsidR="000F5B41" w:rsidRPr="00A32AB2">
        <w:rPr>
          <w:rFonts w:ascii="Garamond" w:hAnsi="Garamond"/>
          <w:sz w:val="22"/>
          <w:szCs w:val="22"/>
        </w:rPr>
        <w:t xml:space="preserve">smaller </w:t>
      </w:r>
      <w:r w:rsidR="00C750DB" w:rsidRPr="00A32AB2">
        <w:rPr>
          <w:rFonts w:ascii="Garamond" w:hAnsi="Garamond"/>
          <w:sz w:val="22"/>
          <w:szCs w:val="22"/>
        </w:rPr>
        <w:t>from its equilibrium</w:t>
      </w:r>
      <w:r w:rsidR="000F5B41" w:rsidRPr="00A32AB2">
        <w:rPr>
          <w:rFonts w:ascii="Garamond" w:hAnsi="Garamond"/>
          <w:sz w:val="22"/>
          <w:szCs w:val="22"/>
        </w:rPr>
        <w:t>.</w:t>
      </w:r>
    </w:p>
    <w:p w14:paraId="001BE050" w14:textId="77777777" w:rsidR="00CF1E07" w:rsidRPr="00A32AB2" w:rsidRDefault="00CF1E07" w:rsidP="00B117C8">
      <w:pPr>
        <w:spacing w:line="360" w:lineRule="auto"/>
        <w:jc w:val="both"/>
        <w:rPr>
          <w:rFonts w:ascii="Garamond" w:hAnsi="Garamond"/>
          <w:sz w:val="22"/>
          <w:szCs w:val="22"/>
        </w:rPr>
      </w:pPr>
    </w:p>
    <w:p w14:paraId="48791003" w14:textId="77777777" w:rsidR="00A8585C" w:rsidRDefault="00CF1E07" w:rsidP="00A8585C">
      <w:pPr>
        <w:spacing w:line="360" w:lineRule="auto"/>
        <w:jc w:val="both"/>
        <w:rPr>
          <w:rFonts w:ascii="Garamond" w:hAnsi="Garamond"/>
          <w:sz w:val="22"/>
          <w:szCs w:val="22"/>
        </w:rPr>
      </w:pPr>
      <w:r w:rsidRPr="00A32AB2">
        <w:rPr>
          <w:rFonts w:ascii="Garamond" w:hAnsi="Garamond"/>
          <w:sz w:val="22"/>
          <w:szCs w:val="22"/>
        </w:rPr>
        <w:t>Thus, with the domestic demand persisting at a low level,</w:t>
      </w:r>
      <w:r w:rsidR="00585EE7" w:rsidRPr="00A32AB2">
        <w:rPr>
          <w:rFonts w:ascii="Garamond" w:hAnsi="Garamond"/>
          <w:sz w:val="22"/>
          <w:szCs w:val="22"/>
          <w:lang w:val="hy-AM"/>
        </w:rPr>
        <w:t xml:space="preserve"> </w:t>
      </w:r>
      <w:r w:rsidRPr="00A32AB2">
        <w:rPr>
          <w:rFonts w:ascii="Garamond" w:hAnsi="Garamond"/>
          <w:sz w:val="22"/>
          <w:szCs w:val="22"/>
        </w:rPr>
        <w:t xml:space="preserve">the 2016 economic growth will be underpinned by </w:t>
      </w:r>
      <w:r w:rsidRPr="00A32AB2">
        <w:rPr>
          <w:rFonts w:ascii="Garamond" w:hAnsi="Garamond"/>
          <w:b/>
          <w:sz w:val="22"/>
          <w:szCs w:val="22"/>
        </w:rPr>
        <w:t>net exports</w:t>
      </w:r>
      <w:r w:rsidRPr="00A32AB2">
        <w:rPr>
          <w:rFonts w:ascii="Garamond" w:hAnsi="Garamond"/>
          <w:sz w:val="22"/>
          <w:szCs w:val="22"/>
        </w:rPr>
        <w:t xml:space="preserve"> </w:t>
      </w:r>
      <w:r w:rsidR="00D04752" w:rsidRPr="00A32AB2">
        <w:rPr>
          <w:rFonts w:ascii="Garamond" w:hAnsi="Garamond"/>
          <w:sz w:val="22"/>
          <w:szCs w:val="22"/>
        </w:rPr>
        <w:t>thanks to higher economic activity in the main partner countrie</w:t>
      </w:r>
      <w:r w:rsidR="001C4B04" w:rsidRPr="00A32AB2">
        <w:rPr>
          <w:rFonts w:ascii="Garamond" w:hAnsi="Garamond"/>
          <w:sz w:val="22"/>
          <w:szCs w:val="22"/>
        </w:rPr>
        <w:t xml:space="preserve">s and, amid a healthy external demand, positive developments in the tradable sector, greatly </w:t>
      </w:r>
      <w:r w:rsidR="00E62397" w:rsidRPr="00A32AB2">
        <w:rPr>
          <w:rFonts w:ascii="Garamond" w:hAnsi="Garamond"/>
          <w:sz w:val="22"/>
          <w:szCs w:val="22"/>
        </w:rPr>
        <w:t xml:space="preserve">assisted by </w:t>
      </w:r>
      <w:r w:rsidR="001C4B04" w:rsidRPr="00A32AB2">
        <w:rPr>
          <w:rFonts w:ascii="Garamond" w:hAnsi="Garamond"/>
          <w:sz w:val="22"/>
          <w:szCs w:val="22"/>
        </w:rPr>
        <w:t xml:space="preserve">the </w:t>
      </w:r>
      <w:r w:rsidR="001C4B04" w:rsidRPr="00A32AB2">
        <w:rPr>
          <w:rFonts w:ascii="Garamond" w:hAnsi="Garamond"/>
          <w:b/>
          <w:sz w:val="22"/>
          <w:szCs w:val="22"/>
        </w:rPr>
        <w:t>CBA</w:t>
      </w:r>
      <w:r w:rsidR="00E62397" w:rsidRPr="00A32AB2">
        <w:rPr>
          <w:rFonts w:ascii="Garamond" w:hAnsi="Garamond"/>
          <w:b/>
          <w:sz w:val="22"/>
          <w:szCs w:val="22"/>
        </w:rPr>
        <w:t xml:space="preserve">’s consistent </w:t>
      </w:r>
      <w:r w:rsidR="00D04752" w:rsidRPr="00A32AB2">
        <w:rPr>
          <w:rFonts w:ascii="Garamond" w:hAnsi="Garamond"/>
          <w:b/>
          <w:sz w:val="22"/>
          <w:szCs w:val="22"/>
        </w:rPr>
        <w:t xml:space="preserve">monetary </w:t>
      </w:r>
      <w:r w:rsidR="00D04752" w:rsidRPr="00A32AB2">
        <w:rPr>
          <w:rFonts w:ascii="Garamond" w:hAnsi="Garamond"/>
          <w:b/>
          <w:sz w:val="22"/>
          <w:szCs w:val="22"/>
        </w:rPr>
        <w:lastRenderedPageBreak/>
        <w:t>policy</w:t>
      </w:r>
      <w:r w:rsidR="00A8585C">
        <w:rPr>
          <w:rFonts w:ascii="Garamond" w:hAnsi="Garamond"/>
          <w:b/>
          <w:sz w:val="22"/>
          <w:szCs w:val="22"/>
        </w:rPr>
        <w:t xml:space="preserve"> and increase</w:t>
      </w:r>
      <w:r w:rsidR="00A8585C" w:rsidRPr="00A8585C">
        <w:rPr>
          <w:rFonts w:ascii="Garamond" w:hAnsi="Garamond"/>
          <w:b/>
          <w:sz w:val="22"/>
          <w:szCs w:val="22"/>
        </w:rPr>
        <w:t xml:space="preserve">d competitiveness </w:t>
      </w:r>
      <w:r w:rsidR="00A8585C">
        <w:rPr>
          <w:rFonts w:ascii="Garamond" w:hAnsi="Garamond"/>
          <w:b/>
          <w:sz w:val="22"/>
          <w:szCs w:val="22"/>
        </w:rPr>
        <w:t>of firms that</w:t>
      </w:r>
      <w:r w:rsidR="00A8585C" w:rsidRPr="00A8585C">
        <w:rPr>
          <w:rFonts w:ascii="Garamond" w:hAnsi="Garamond"/>
          <w:b/>
          <w:sz w:val="22"/>
          <w:szCs w:val="22"/>
        </w:rPr>
        <w:t xml:space="preserve"> benefited a low</w:t>
      </w:r>
      <w:r w:rsidR="00A8585C" w:rsidRPr="00F4313E">
        <w:rPr>
          <w:rFonts w:ascii="Garamond" w:hAnsi="Garamond"/>
          <w:b/>
          <w:sz w:val="22"/>
          <w:szCs w:val="22"/>
        </w:rPr>
        <w:t xml:space="preserve">er inflation compared with trade </w:t>
      </w:r>
      <w:r w:rsidR="00A8585C">
        <w:rPr>
          <w:rFonts w:ascii="Garamond" w:hAnsi="Garamond"/>
          <w:b/>
          <w:sz w:val="22"/>
          <w:szCs w:val="22"/>
        </w:rPr>
        <w:t>partner countries</w:t>
      </w:r>
      <w:r w:rsidR="00A8585C" w:rsidRPr="00C12895">
        <w:rPr>
          <w:rFonts w:ascii="Garamond" w:hAnsi="Garamond"/>
          <w:sz w:val="22"/>
          <w:szCs w:val="22"/>
        </w:rPr>
        <w:t>.</w:t>
      </w:r>
    </w:p>
    <w:p w14:paraId="676830B6" w14:textId="77777777" w:rsidR="002D3505" w:rsidRPr="00A32AB2" w:rsidRDefault="002D3505" w:rsidP="00B117C8">
      <w:pPr>
        <w:spacing w:line="360" w:lineRule="auto"/>
        <w:jc w:val="both"/>
        <w:rPr>
          <w:rFonts w:ascii="Garamond" w:hAnsi="Garamond"/>
          <w:sz w:val="22"/>
          <w:szCs w:val="22"/>
        </w:rPr>
      </w:pPr>
    </w:p>
    <w:p w14:paraId="23219461" w14:textId="77777777" w:rsidR="002D3505" w:rsidRPr="00A32AB2" w:rsidRDefault="002D3505" w:rsidP="00B117C8">
      <w:pPr>
        <w:spacing w:line="360" w:lineRule="auto"/>
        <w:jc w:val="both"/>
        <w:rPr>
          <w:rFonts w:ascii="Garamond" w:hAnsi="Garamond"/>
          <w:bCs/>
          <w:iCs/>
          <w:color w:val="000000"/>
          <w:sz w:val="22"/>
          <w:szCs w:val="22"/>
        </w:rPr>
      </w:pPr>
      <w:r w:rsidRPr="00A32AB2">
        <w:rPr>
          <w:rFonts w:ascii="Garamond" w:hAnsi="Garamond"/>
          <w:sz w:val="22"/>
          <w:szCs w:val="22"/>
        </w:rPr>
        <w:t>Anticipated rebounding of the domestic demand, e</w:t>
      </w:r>
      <w:r w:rsidRPr="00A32AB2">
        <w:rPr>
          <w:rFonts w:ascii="Garamond" w:hAnsi="Garamond"/>
          <w:bCs/>
          <w:iCs/>
          <w:color w:val="000000"/>
          <w:sz w:val="22"/>
          <w:szCs w:val="22"/>
        </w:rPr>
        <w:t>ffective implementation of export and investment promotion policy of the Government</w:t>
      </w:r>
      <w:r w:rsidR="00A8585C">
        <w:rPr>
          <w:rFonts w:ascii="Garamond" w:hAnsi="Garamond"/>
          <w:bCs/>
          <w:iCs/>
          <w:color w:val="000000"/>
          <w:sz w:val="22"/>
          <w:szCs w:val="22"/>
        </w:rPr>
        <w:t xml:space="preserve"> of Armenia</w:t>
      </w:r>
      <w:r w:rsidRPr="00A32AB2">
        <w:rPr>
          <w:rFonts w:ascii="Garamond" w:hAnsi="Garamond"/>
          <w:bCs/>
          <w:iCs/>
          <w:color w:val="000000"/>
          <w:sz w:val="22"/>
          <w:szCs w:val="22"/>
        </w:rPr>
        <w:t>, improving external economic environment and structural reforms are among key factors that will accelerate the economic growth</w:t>
      </w:r>
      <w:r w:rsidR="00D84CB5" w:rsidRPr="00A32AB2">
        <w:rPr>
          <w:rFonts w:ascii="Garamond" w:hAnsi="Garamond"/>
          <w:bCs/>
          <w:iCs/>
          <w:color w:val="000000"/>
          <w:sz w:val="22"/>
          <w:szCs w:val="22"/>
        </w:rPr>
        <w:t xml:space="preserve"> in the forecast horizon. </w:t>
      </w:r>
      <w:r w:rsidR="00FC2E34">
        <w:rPr>
          <w:rFonts w:ascii="Garamond" w:hAnsi="Garamond"/>
          <w:bCs/>
          <w:iCs/>
          <w:color w:val="000000"/>
          <w:sz w:val="22"/>
          <w:szCs w:val="22"/>
        </w:rPr>
        <w:t xml:space="preserve">So, </w:t>
      </w:r>
      <w:r w:rsidR="00FC2E34" w:rsidRPr="00FC2E34">
        <w:rPr>
          <w:rFonts w:ascii="Garamond" w:hAnsi="Garamond"/>
          <w:bCs/>
          <w:iCs/>
          <w:color w:val="000000"/>
          <w:sz w:val="22"/>
          <w:szCs w:val="22"/>
        </w:rPr>
        <w:t>gradually accelerat</w:t>
      </w:r>
      <w:r w:rsidR="00FC2E34">
        <w:rPr>
          <w:rFonts w:ascii="Garamond" w:hAnsi="Garamond"/>
          <w:bCs/>
          <w:iCs/>
          <w:color w:val="000000"/>
          <w:sz w:val="22"/>
          <w:szCs w:val="22"/>
        </w:rPr>
        <w:t>ing</w:t>
      </w:r>
      <w:r w:rsidR="00FC2E34" w:rsidRPr="00FC2E34">
        <w:rPr>
          <w:rFonts w:ascii="Garamond" w:hAnsi="Garamond"/>
          <w:bCs/>
          <w:iCs/>
          <w:color w:val="000000"/>
          <w:sz w:val="22"/>
          <w:szCs w:val="22"/>
        </w:rPr>
        <w:t xml:space="preserve"> </w:t>
      </w:r>
      <w:r w:rsidR="00FC2E34">
        <w:rPr>
          <w:rFonts w:ascii="Garamond" w:hAnsi="Garamond"/>
          <w:bCs/>
          <w:iCs/>
          <w:color w:val="000000"/>
          <w:sz w:val="22"/>
          <w:szCs w:val="22"/>
        </w:rPr>
        <w:t>starting from</w:t>
      </w:r>
      <w:r w:rsidR="00FC2E34" w:rsidRPr="00FC2E34">
        <w:rPr>
          <w:rFonts w:ascii="Garamond" w:hAnsi="Garamond"/>
          <w:bCs/>
          <w:iCs/>
          <w:color w:val="000000"/>
          <w:sz w:val="22"/>
          <w:szCs w:val="22"/>
        </w:rPr>
        <w:t xml:space="preserve"> 2017</w:t>
      </w:r>
      <w:r w:rsidR="00FC2E34">
        <w:rPr>
          <w:rFonts w:ascii="Garamond" w:hAnsi="Garamond"/>
          <w:bCs/>
          <w:iCs/>
          <w:color w:val="000000"/>
          <w:sz w:val="22"/>
          <w:szCs w:val="22"/>
        </w:rPr>
        <w:t>, a</w:t>
      </w:r>
      <w:r w:rsidR="00FC2E34" w:rsidRPr="00A32AB2">
        <w:rPr>
          <w:rFonts w:ascii="Garamond" w:hAnsi="Garamond"/>
          <w:b/>
          <w:bCs/>
          <w:iCs/>
          <w:color w:val="000000"/>
          <w:sz w:val="22"/>
          <w:szCs w:val="22"/>
        </w:rPr>
        <w:t xml:space="preserve">t the end of the forecast horizon </w:t>
      </w:r>
      <w:r w:rsidRPr="00FC2E34">
        <w:rPr>
          <w:rFonts w:ascii="Garamond" w:hAnsi="Garamond"/>
          <w:b/>
          <w:bCs/>
          <w:iCs/>
          <w:color w:val="000000"/>
          <w:sz w:val="22"/>
          <w:szCs w:val="22"/>
        </w:rPr>
        <w:t xml:space="preserve">the </w:t>
      </w:r>
      <w:r w:rsidRPr="00A32AB2">
        <w:rPr>
          <w:rFonts w:ascii="Garamond" w:hAnsi="Garamond"/>
          <w:b/>
          <w:bCs/>
          <w:iCs/>
          <w:color w:val="000000"/>
          <w:sz w:val="22"/>
          <w:szCs w:val="22"/>
        </w:rPr>
        <w:t xml:space="preserve">growth indicator will </w:t>
      </w:r>
      <w:r w:rsidR="003E2200" w:rsidRPr="00A32AB2">
        <w:rPr>
          <w:rFonts w:ascii="Garamond" w:hAnsi="Garamond"/>
          <w:b/>
          <w:bCs/>
          <w:iCs/>
          <w:color w:val="000000"/>
          <w:sz w:val="22"/>
          <w:szCs w:val="22"/>
        </w:rPr>
        <w:t>be</w:t>
      </w:r>
      <w:r w:rsidRPr="00A32AB2">
        <w:rPr>
          <w:rFonts w:ascii="Garamond" w:hAnsi="Garamond"/>
          <w:b/>
          <w:bCs/>
          <w:iCs/>
          <w:color w:val="000000"/>
          <w:sz w:val="22"/>
          <w:szCs w:val="22"/>
        </w:rPr>
        <w:t xml:space="preserve"> within </w:t>
      </w:r>
      <w:r w:rsidR="00FC2E34">
        <w:rPr>
          <w:rFonts w:ascii="Garamond" w:hAnsi="Garamond"/>
          <w:b/>
          <w:bCs/>
          <w:iCs/>
          <w:color w:val="000000"/>
          <w:sz w:val="22"/>
          <w:szCs w:val="22"/>
        </w:rPr>
        <w:t>2.8</w:t>
      </w:r>
      <w:r w:rsidRPr="00A32AB2">
        <w:rPr>
          <w:rFonts w:ascii="Garamond" w:hAnsi="Garamond"/>
          <w:b/>
          <w:sz w:val="22"/>
          <w:szCs w:val="22"/>
        </w:rPr>
        <w:t>-4.</w:t>
      </w:r>
      <w:r w:rsidR="00FC2E34">
        <w:rPr>
          <w:rFonts w:ascii="Garamond" w:hAnsi="Garamond"/>
          <w:b/>
          <w:sz w:val="22"/>
          <w:szCs w:val="22"/>
        </w:rPr>
        <w:t>3</w:t>
      </w:r>
      <w:r w:rsidRPr="00A32AB2">
        <w:rPr>
          <w:rFonts w:ascii="Garamond" w:hAnsi="Garamond"/>
          <w:b/>
          <w:sz w:val="22"/>
          <w:szCs w:val="22"/>
        </w:rPr>
        <w:t>%</w:t>
      </w:r>
      <w:r w:rsidR="00FC2E34">
        <w:rPr>
          <w:rStyle w:val="FootnoteReference"/>
          <w:rFonts w:ascii="Garamond" w:hAnsi="Garamond"/>
          <w:sz w:val="22"/>
          <w:szCs w:val="22"/>
        </w:rPr>
        <w:footnoteReference w:customMarkFollows="1" w:id="5"/>
        <w:t>5</w:t>
      </w:r>
      <w:r w:rsidRPr="00A32AB2">
        <w:rPr>
          <w:rFonts w:ascii="Garamond" w:hAnsi="Garamond"/>
          <w:sz w:val="22"/>
          <w:szCs w:val="22"/>
        </w:rPr>
        <w:t xml:space="preserve">, </w:t>
      </w:r>
      <w:r w:rsidRPr="00A32AB2">
        <w:rPr>
          <w:rFonts w:ascii="Garamond" w:hAnsi="Garamond"/>
          <w:bCs/>
          <w:iCs/>
          <w:color w:val="000000"/>
          <w:sz w:val="22"/>
          <w:szCs w:val="22"/>
        </w:rPr>
        <w:t xml:space="preserve">which will </w:t>
      </w:r>
      <w:r w:rsidR="00FC2E34">
        <w:rPr>
          <w:rFonts w:ascii="Garamond" w:hAnsi="Garamond"/>
          <w:bCs/>
          <w:iCs/>
          <w:color w:val="000000"/>
          <w:sz w:val="22"/>
          <w:szCs w:val="22"/>
        </w:rPr>
        <w:t xml:space="preserve">occur by broadening export capacities, </w:t>
      </w:r>
      <w:r w:rsidR="00FC2E34" w:rsidRPr="00A32AB2">
        <w:rPr>
          <w:rFonts w:ascii="Garamond" w:hAnsi="Garamond"/>
          <w:bCs/>
          <w:iCs/>
          <w:color w:val="000000"/>
          <w:sz w:val="22"/>
          <w:szCs w:val="22"/>
        </w:rPr>
        <w:t xml:space="preserve">identifying new export markets </w:t>
      </w:r>
      <w:r w:rsidR="00DC2DD1" w:rsidRPr="00A32AB2">
        <w:rPr>
          <w:rFonts w:ascii="Garamond" w:hAnsi="Garamond"/>
          <w:bCs/>
          <w:iCs/>
          <w:color w:val="000000"/>
          <w:sz w:val="22"/>
          <w:szCs w:val="22"/>
        </w:rPr>
        <w:t>in the context of export-promotion policy of the Government</w:t>
      </w:r>
      <w:r w:rsidR="00FC2E34">
        <w:rPr>
          <w:rFonts w:ascii="Garamond" w:hAnsi="Garamond"/>
          <w:bCs/>
          <w:iCs/>
          <w:color w:val="000000"/>
          <w:sz w:val="22"/>
          <w:szCs w:val="22"/>
        </w:rPr>
        <w:t xml:space="preserve"> of Armenia</w:t>
      </w:r>
      <w:r w:rsidR="00DC2DD1" w:rsidRPr="00A32AB2">
        <w:rPr>
          <w:rFonts w:ascii="Garamond" w:hAnsi="Garamond"/>
          <w:bCs/>
          <w:iCs/>
          <w:color w:val="000000"/>
          <w:sz w:val="22"/>
          <w:szCs w:val="22"/>
        </w:rPr>
        <w:t xml:space="preserve">. </w:t>
      </w:r>
    </w:p>
    <w:p w14:paraId="5A46140B" w14:textId="77777777" w:rsidR="0038729D" w:rsidRPr="00A32AB2" w:rsidRDefault="0038729D" w:rsidP="00B117C8">
      <w:pPr>
        <w:spacing w:line="360" w:lineRule="auto"/>
        <w:jc w:val="both"/>
        <w:rPr>
          <w:rFonts w:ascii="Garamond" w:hAnsi="Garamond"/>
          <w:bCs/>
          <w:iCs/>
          <w:color w:val="000000"/>
          <w:sz w:val="22"/>
          <w:szCs w:val="22"/>
        </w:rPr>
      </w:pPr>
    </w:p>
    <w:p w14:paraId="4D7BDCC9" w14:textId="77777777" w:rsidR="0038729D" w:rsidRPr="00A32AB2" w:rsidRDefault="0038729D" w:rsidP="00B117C8">
      <w:pPr>
        <w:spacing w:line="360" w:lineRule="auto"/>
        <w:jc w:val="both"/>
        <w:rPr>
          <w:rFonts w:ascii="Garamond" w:eastAsia="Calibri" w:hAnsi="Garamond" w:cs="Sylfaen"/>
          <w:sz w:val="22"/>
          <w:szCs w:val="22"/>
        </w:rPr>
      </w:pPr>
      <w:r w:rsidRPr="00A32AB2">
        <w:rPr>
          <w:rFonts w:ascii="Garamond" w:hAnsi="Garamond"/>
          <w:bCs/>
          <w:iCs/>
          <w:color w:val="000000"/>
          <w:sz w:val="22"/>
          <w:szCs w:val="22"/>
        </w:rPr>
        <w:t xml:space="preserve">Also, taking into account long-term economic developments anticipated in partner countries to Armenia as well as structural shifts in the domestic economy, </w:t>
      </w:r>
      <w:r w:rsidRPr="00A32AB2">
        <w:rPr>
          <w:rFonts w:ascii="Garamond" w:hAnsi="Garamond"/>
          <w:b/>
          <w:bCs/>
          <w:iCs/>
          <w:color w:val="000000"/>
          <w:sz w:val="22"/>
          <w:szCs w:val="22"/>
        </w:rPr>
        <w:t xml:space="preserve">Armenia’s long-term economic growth equilibrium is estimated within </w:t>
      </w:r>
      <w:r w:rsidRPr="00A32AB2">
        <w:rPr>
          <w:rFonts w:ascii="Garamond" w:eastAsia="Calibri" w:hAnsi="Garamond" w:cs="Sylfaen"/>
          <w:b/>
          <w:sz w:val="22"/>
          <w:szCs w:val="22"/>
        </w:rPr>
        <w:t>4-5%</w:t>
      </w:r>
      <w:r w:rsidR="00955EC3">
        <w:rPr>
          <w:rFonts w:ascii="Garamond" w:eastAsia="Calibri" w:hAnsi="Garamond" w:cs="Sylfaen"/>
          <w:b/>
          <w:sz w:val="22"/>
          <w:szCs w:val="22"/>
        </w:rPr>
        <w:t xml:space="preserve">, </w:t>
      </w:r>
      <w:r w:rsidR="00955EC3" w:rsidRPr="00955EC3">
        <w:rPr>
          <w:rFonts w:ascii="Garamond" w:eastAsia="Calibri" w:hAnsi="Garamond" w:cs="Sylfaen"/>
          <w:b/>
          <w:sz w:val="22"/>
          <w:szCs w:val="22"/>
        </w:rPr>
        <w:t xml:space="preserve">and now it is estimated </w:t>
      </w:r>
      <w:r w:rsidR="00955EC3">
        <w:rPr>
          <w:rFonts w:ascii="Garamond" w:eastAsia="Calibri" w:hAnsi="Garamond" w:cs="Sylfaen"/>
          <w:b/>
          <w:sz w:val="22"/>
          <w:szCs w:val="22"/>
        </w:rPr>
        <w:t xml:space="preserve">to be </w:t>
      </w:r>
      <w:r w:rsidR="00955EC3" w:rsidRPr="00955EC3">
        <w:rPr>
          <w:rFonts w:ascii="Garamond" w:eastAsia="Calibri" w:hAnsi="Garamond" w:cs="Sylfaen"/>
          <w:b/>
          <w:sz w:val="22"/>
          <w:szCs w:val="22"/>
        </w:rPr>
        <w:t>1.0-1.5</w:t>
      </w:r>
      <w:r w:rsidR="00955EC3">
        <w:rPr>
          <w:rFonts w:ascii="Garamond" w:eastAsia="Calibri" w:hAnsi="Garamond" w:cs="Sylfaen"/>
          <w:b/>
          <w:sz w:val="22"/>
          <w:szCs w:val="22"/>
        </w:rPr>
        <w:t>%</w:t>
      </w:r>
      <w:r w:rsidRPr="00A32AB2">
        <w:rPr>
          <w:rFonts w:ascii="Garamond" w:eastAsia="Calibri" w:hAnsi="Garamond" w:cs="Sylfaen"/>
          <w:b/>
          <w:sz w:val="22"/>
          <w:szCs w:val="22"/>
        </w:rPr>
        <w:t>.</w:t>
      </w:r>
      <w:r w:rsidR="00F36833" w:rsidRPr="00A32AB2">
        <w:rPr>
          <w:rFonts w:ascii="Garamond" w:eastAsia="Calibri" w:hAnsi="Garamond" w:cs="Sylfaen"/>
          <w:b/>
          <w:sz w:val="22"/>
          <w:szCs w:val="22"/>
          <w:lang w:val="hy-AM"/>
        </w:rPr>
        <w:t xml:space="preserve"> </w:t>
      </w:r>
      <w:r w:rsidRPr="00A32AB2">
        <w:rPr>
          <w:rFonts w:ascii="Garamond" w:eastAsia="Calibri" w:hAnsi="Garamond" w:cs="Sylfaen"/>
          <w:sz w:val="22"/>
          <w:szCs w:val="22"/>
        </w:rPr>
        <w:t xml:space="preserve">It should be noted, however, that </w:t>
      </w:r>
      <w:r w:rsidR="004B1E9C" w:rsidRPr="00A32AB2">
        <w:rPr>
          <w:rFonts w:ascii="Garamond" w:eastAsia="Calibri" w:hAnsi="Garamond" w:cs="Sylfaen"/>
          <w:sz w:val="22"/>
          <w:szCs w:val="22"/>
        </w:rPr>
        <w:t xml:space="preserve">both </w:t>
      </w:r>
      <w:r w:rsidRPr="00A32AB2">
        <w:rPr>
          <w:rFonts w:ascii="Garamond" w:eastAsia="Calibri" w:hAnsi="Garamond" w:cs="Sylfaen"/>
          <w:sz w:val="22"/>
          <w:szCs w:val="22"/>
        </w:rPr>
        <w:t xml:space="preserve">estimated long-term GDP growth rate </w:t>
      </w:r>
      <w:r w:rsidR="004B1E9C" w:rsidRPr="00A32AB2">
        <w:rPr>
          <w:rFonts w:ascii="Garamond" w:eastAsia="Calibri" w:hAnsi="Garamond" w:cs="Sylfaen"/>
          <w:sz w:val="22"/>
          <w:szCs w:val="22"/>
        </w:rPr>
        <w:t xml:space="preserve">and medium-term forecast of the economic growth rate </w:t>
      </w:r>
      <w:r w:rsidRPr="00A32AB2">
        <w:rPr>
          <w:rFonts w:ascii="Garamond" w:eastAsia="Calibri" w:hAnsi="Garamond" w:cs="Sylfaen"/>
          <w:sz w:val="22"/>
          <w:szCs w:val="22"/>
        </w:rPr>
        <w:t xml:space="preserve">may decelerate if the structural reforms </w:t>
      </w:r>
      <w:r w:rsidR="004D09C9">
        <w:rPr>
          <w:rFonts w:ascii="Garamond" w:eastAsia="Calibri" w:hAnsi="Garamond" w:cs="Sylfaen"/>
          <w:sz w:val="22"/>
          <w:szCs w:val="22"/>
        </w:rPr>
        <w:t xml:space="preserve">are pushed ahead </w:t>
      </w:r>
      <w:r w:rsidRPr="00A32AB2">
        <w:rPr>
          <w:rFonts w:ascii="Garamond" w:eastAsia="Calibri" w:hAnsi="Garamond" w:cs="Sylfaen"/>
          <w:sz w:val="22"/>
          <w:szCs w:val="22"/>
        </w:rPr>
        <w:t xml:space="preserve">slowly and investment in </w:t>
      </w:r>
      <w:r w:rsidR="004B1E9C" w:rsidRPr="00A32AB2">
        <w:rPr>
          <w:rFonts w:ascii="Garamond" w:eastAsia="Calibri" w:hAnsi="Garamond" w:cs="Sylfaen"/>
          <w:sz w:val="22"/>
          <w:szCs w:val="22"/>
        </w:rPr>
        <w:t xml:space="preserve">the </w:t>
      </w:r>
      <w:r w:rsidRPr="00A32AB2">
        <w:rPr>
          <w:rFonts w:ascii="Garamond" w:eastAsia="Calibri" w:hAnsi="Garamond" w:cs="Sylfaen"/>
          <w:sz w:val="22"/>
          <w:szCs w:val="22"/>
        </w:rPr>
        <w:t xml:space="preserve">tradable sector grows </w:t>
      </w:r>
      <w:r w:rsidR="004B1E9C" w:rsidRPr="00A32AB2">
        <w:rPr>
          <w:rFonts w:ascii="Garamond" w:eastAsia="Calibri" w:hAnsi="Garamond" w:cs="Sylfaen"/>
          <w:sz w:val="22"/>
          <w:szCs w:val="22"/>
        </w:rPr>
        <w:t>insufficiently</w:t>
      </w:r>
      <w:r w:rsidRPr="00A32AB2">
        <w:rPr>
          <w:rFonts w:ascii="Garamond" w:eastAsia="Calibri" w:hAnsi="Garamond" w:cs="Sylfaen"/>
          <w:sz w:val="22"/>
          <w:szCs w:val="22"/>
        </w:rPr>
        <w:t>.</w:t>
      </w:r>
      <w:r w:rsidR="00F36833" w:rsidRPr="00A32AB2">
        <w:rPr>
          <w:rFonts w:ascii="Garamond" w:eastAsia="Calibri" w:hAnsi="Garamond" w:cs="Sylfaen"/>
          <w:sz w:val="22"/>
          <w:szCs w:val="22"/>
          <w:lang w:val="hy-AM"/>
        </w:rPr>
        <w:t xml:space="preserve"> </w:t>
      </w:r>
      <w:r w:rsidRPr="00A32AB2">
        <w:rPr>
          <w:rFonts w:ascii="Garamond" w:eastAsia="Calibri" w:hAnsi="Garamond" w:cs="Sylfaen"/>
          <w:sz w:val="22"/>
          <w:szCs w:val="22"/>
        </w:rPr>
        <w:t xml:space="preserve">It is </w:t>
      </w:r>
      <w:r w:rsidR="007E4AEC" w:rsidRPr="00A32AB2">
        <w:rPr>
          <w:rFonts w:ascii="Garamond" w:eastAsia="Calibri" w:hAnsi="Garamond" w:cs="Sylfaen"/>
          <w:sz w:val="22"/>
          <w:szCs w:val="22"/>
        </w:rPr>
        <w:t xml:space="preserve">worth mentioning </w:t>
      </w:r>
      <w:r w:rsidRPr="00A32AB2">
        <w:rPr>
          <w:rFonts w:ascii="Garamond" w:eastAsia="Calibri" w:hAnsi="Garamond" w:cs="Sylfaen"/>
          <w:sz w:val="22"/>
          <w:szCs w:val="22"/>
        </w:rPr>
        <w:t>that investment</w:t>
      </w:r>
      <w:r w:rsidR="007E4AEC" w:rsidRPr="00A32AB2">
        <w:rPr>
          <w:rFonts w:ascii="Garamond" w:eastAsia="Calibri" w:hAnsi="Garamond" w:cs="Sylfaen"/>
          <w:sz w:val="22"/>
          <w:szCs w:val="22"/>
        </w:rPr>
        <w:t>s</w:t>
      </w:r>
      <w:r w:rsidRPr="00A32AB2">
        <w:rPr>
          <w:rFonts w:ascii="Garamond" w:eastAsia="Calibri" w:hAnsi="Garamond" w:cs="Sylfaen"/>
          <w:sz w:val="22"/>
          <w:szCs w:val="22"/>
        </w:rPr>
        <w:t xml:space="preserve"> in</w:t>
      </w:r>
      <w:r w:rsidR="00F85B59" w:rsidRPr="00A32AB2">
        <w:rPr>
          <w:rFonts w:ascii="Garamond" w:eastAsia="Calibri" w:hAnsi="Garamond" w:cs="Sylfaen"/>
          <w:sz w:val="22"/>
          <w:szCs w:val="22"/>
        </w:rPr>
        <w:t xml:space="preserve"> the </w:t>
      </w:r>
      <w:r w:rsidRPr="00A32AB2">
        <w:rPr>
          <w:rFonts w:ascii="Garamond" w:eastAsia="Calibri" w:hAnsi="Garamond" w:cs="Sylfaen"/>
          <w:sz w:val="22"/>
          <w:szCs w:val="22"/>
        </w:rPr>
        <w:t xml:space="preserve">tradable sector will prove rather effective in the forecast horizon, if they come as foreign </w:t>
      </w:r>
      <w:r w:rsidR="000B52F7" w:rsidRPr="00A32AB2">
        <w:rPr>
          <w:rFonts w:ascii="Garamond" w:eastAsia="Calibri" w:hAnsi="Garamond" w:cs="Sylfaen"/>
          <w:sz w:val="22"/>
          <w:szCs w:val="22"/>
        </w:rPr>
        <w:t xml:space="preserve">direct </w:t>
      </w:r>
      <w:r w:rsidRPr="00A32AB2">
        <w:rPr>
          <w:rFonts w:ascii="Garamond" w:eastAsia="Calibri" w:hAnsi="Garamond" w:cs="Sylfaen"/>
          <w:sz w:val="22"/>
          <w:szCs w:val="22"/>
        </w:rPr>
        <w:t xml:space="preserve">investment or </w:t>
      </w:r>
      <w:r w:rsidR="000B52F7" w:rsidRPr="00A32AB2">
        <w:rPr>
          <w:rFonts w:ascii="Garamond" w:eastAsia="Calibri" w:hAnsi="Garamond" w:cs="Sylfaen"/>
          <w:sz w:val="22"/>
          <w:szCs w:val="22"/>
        </w:rPr>
        <w:t xml:space="preserve">are funded </w:t>
      </w:r>
      <w:r w:rsidRPr="00A32AB2">
        <w:rPr>
          <w:rFonts w:ascii="Garamond" w:eastAsia="Calibri" w:hAnsi="Garamond" w:cs="Sylfaen"/>
          <w:sz w:val="22"/>
          <w:szCs w:val="22"/>
        </w:rPr>
        <w:t xml:space="preserve">through domestic savings, </w:t>
      </w:r>
      <w:r w:rsidR="000B52F7" w:rsidRPr="00A32AB2">
        <w:rPr>
          <w:rFonts w:ascii="Garamond" w:eastAsia="Calibri" w:hAnsi="Garamond" w:cs="Sylfaen"/>
          <w:sz w:val="22"/>
          <w:szCs w:val="22"/>
        </w:rPr>
        <w:t xml:space="preserve">since investment made at the expense of credit resources in the domestic economy </w:t>
      </w:r>
      <w:r w:rsidRPr="00A32AB2">
        <w:rPr>
          <w:rFonts w:ascii="Garamond" w:eastAsia="Calibri" w:hAnsi="Garamond" w:cs="Sylfaen"/>
          <w:sz w:val="22"/>
          <w:szCs w:val="22"/>
        </w:rPr>
        <w:t>approach</w:t>
      </w:r>
      <w:r w:rsidR="00955EC3">
        <w:rPr>
          <w:rFonts w:ascii="Garamond" w:eastAsia="Calibri" w:hAnsi="Garamond" w:cs="Sylfaen"/>
          <w:sz w:val="22"/>
          <w:szCs w:val="22"/>
        </w:rPr>
        <w:t>ed t</w:t>
      </w:r>
      <w:r w:rsidRPr="00A32AB2">
        <w:rPr>
          <w:rFonts w:ascii="Garamond" w:eastAsia="Calibri" w:hAnsi="Garamond" w:cs="Sylfaen"/>
          <w:sz w:val="22"/>
          <w:szCs w:val="22"/>
        </w:rPr>
        <w:t xml:space="preserve">heir </w:t>
      </w:r>
      <w:r w:rsidR="000B52F7" w:rsidRPr="00A32AB2">
        <w:rPr>
          <w:rFonts w:ascii="Garamond" w:eastAsia="Calibri" w:hAnsi="Garamond" w:cs="Sylfaen"/>
          <w:sz w:val="22"/>
          <w:szCs w:val="22"/>
        </w:rPr>
        <w:t>efficacy caps</w:t>
      </w:r>
      <w:r w:rsidRPr="00A32AB2">
        <w:rPr>
          <w:rFonts w:ascii="Garamond" w:eastAsia="Calibri" w:hAnsi="Garamond" w:cs="Sylfaen"/>
          <w:sz w:val="22"/>
          <w:szCs w:val="22"/>
        </w:rPr>
        <w:t>.</w:t>
      </w:r>
    </w:p>
    <w:p w14:paraId="23D1EF5A" w14:textId="77777777" w:rsidR="008B46FC" w:rsidRPr="00A32AB2" w:rsidRDefault="008B46FC" w:rsidP="00B117C8">
      <w:pPr>
        <w:spacing w:line="360" w:lineRule="auto"/>
        <w:jc w:val="both"/>
        <w:rPr>
          <w:rFonts w:ascii="Garamond" w:eastAsia="Calibri" w:hAnsi="Garamond" w:cs="Sylfaen"/>
          <w:sz w:val="22"/>
          <w:szCs w:val="22"/>
        </w:rPr>
      </w:pPr>
    </w:p>
    <w:p w14:paraId="47D80B7D" w14:textId="77777777" w:rsidR="008B46FC" w:rsidRPr="00A32AB2" w:rsidRDefault="008B46FC" w:rsidP="00B117C8">
      <w:pPr>
        <w:spacing w:line="360" w:lineRule="auto"/>
        <w:jc w:val="both"/>
        <w:rPr>
          <w:rFonts w:ascii="Garamond" w:eastAsia="Calibri" w:hAnsi="Garamond" w:cs="Sylfaen"/>
          <w:sz w:val="22"/>
          <w:szCs w:val="22"/>
        </w:rPr>
      </w:pPr>
      <w:r w:rsidRPr="00A32AB2">
        <w:rPr>
          <w:rFonts w:ascii="Garamond" w:eastAsia="Calibri" w:hAnsi="Garamond" w:cs="Sylfaen"/>
          <w:sz w:val="22"/>
          <w:szCs w:val="22"/>
        </w:rPr>
        <w:t>The following developments are expected in the sectors of the domestic economy in the forecast horizon:</w:t>
      </w:r>
    </w:p>
    <w:p w14:paraId="463D924D" w14:textId="77777777" w:rsidR="000B52F7" w:rsidRPr="00A32AB2" w:rsidRDefault="000B52F7" w:rsidP="00B117C8">
      <w:pPr>
        <w:spacing w:line="360" w:lineRule="auto"/>
        <w:jc w:val="both"/>
        <w:rPr>
          <w:rFonts w:ascii="Garamond" w:eastAsia="Calibri" w:hAnsi="Garamond" w:cs="Sylfaen"/>
          <w:sz w:val="22"/>
          <w:szCs w:val="22"/>
        </w:rPr>
      </w:pPr>
    </w:p>
    <w:p w14:paraId="43227049" w14:textId="77777777" w:rsidR="00F56008" w:rsidRPr="00A32AB2" w:rsidRDefault="000B52F7" w:rsidP="00B117C8">
      <w:pPr>
        <w:spacing w:line="360" w:lineRule="auto"/>
        <w:jc w:val="both"/>
        <w:rPr>
          <w:rFonts w:ascii="Garamond" w:hAnsi="Garamond"/>
          <w:sz w:val="22"/>
          <w:szCs w:val="22"/>
        </w:rPr>
      </w:pPr>
      <w:r w:rsidRPr="00A32AB2">
        <w:rPr>
          <w:rFonts w:ascii="Garamond" w:hAnsi="Garamond"/>
          <w:bCs/>
          <w:iCs/>
          <w:color w:val="000000"/>
          <w:sz w:val="22"/>
          <w:szCs w:val="22"/>
        </w:rPr>
        <w:t xml:space="preserve">For </w:t>
      </w:r>
      <w:r w:rsidRPr="00A32AB2">
        <w:rPr>
          <w:rFonts w:ascii="Garamond" w:hAnsi="Garamond"/>
          <w:b/>
          <w:bCs/>
          <w:iCs/>
          <w:color w:val="000000"/>
          <w:sz w:val="22"/>
          <w:szCs w:val="22"/>
        </w:rPr>
        <w:t>Industry</w:t>
      </w:r>
      <w:r w:rsidRPr="00A32AB2">
        <w:rPr>
          <w:rFonts w:ascii="Garamond" w:hAnsi="Garamond"/>
          <w:bCs/>
          <w:iCs/>
          <w:color w:val="000000"/>
          <w:sz w:val="22"/>
          <w:szCs w:val="22"/>
        </w:rPr>
        <w:t xml:space="preserve">, the forecasts were revised </w:t>
      </w:r>
      <w:r w:rsidR="00955EC3">
        <w:rPr>
          <w:rFonts w:ascii="Garamond" w:hAnsi="Garamond"/>
          <w:bCs/>
          <w:iCs/>
          <w:color w:val="000000"/>
          <w:sz w:val="22"/>
          <w:szCs w:val="22"/>
        </w:rPr>
        <w:t>down</w:t>
      </w:r>
      <w:r w:rsidRPr="00A32AB2">
        <w:rPr>
          <w:rFonts w:ascii="Garamond" w:hAnsi="Garamond"/>
          <w:bCs/>
          <w:iCs/>
          <w:color w:val="000000"/>
          <w:sz w:val="22"/>
          <w:szCs w:val="22"/>
        </w:rPr>
        <w:t xml:space="preserve">side </w:t>
      </w:r>
      <w:r w:rsidR="00251F39" w:rsidRPr="00251F39">
        <w:rPr>
          <w:rFonts w:ascii="Garamond" w:hAnsi="Garamond"/>
          <w:bCs/>
          <w:iCs/>
          <w:color w:val="000000"/>
          <w:sz w:val="22"/>
          <w:szCs w:val="22"/>
        </w:rPr>
        <w:t xml:space="preserve">due to </w:t>
      </w:r>
      <w:r w:rsidR="00BD5220">
        <w:rPr>
          <w:rFonts w:ascii="Garamond" w:hAnsi="Garamond"/>
          <w:bCs/>
          <w:iCs/>
          <w:color w:val="000000"/>
          <w:sz w:val="22"/>
          <w:szCs w:val="22"/>
        </w:rPr>
        <w:t xml:space="preserve">a lower growth of value added against the second quarter’s </w:t>
      </w:r>
      <w:r w:rsidR="00251F39" w:rsidRPr="00251F39">
        <w:rPr>
          <w:rFonts w:ascii="Garamond" w:hAnsi="Garamond"/>
          <w:bCs/>
          <w:iCs/>
          <w:color w:val="000000"/>
          <w:sz w:val="22"/>
          <w:szCs w:val="22"/>
        </w:rPr>
        <w:t>economic activity</w:t>
      </w:r>
      <w:r w:rsidR="00BD5220">
        <w:rPr>
          <w:rFonts w:ascii="Garamond" w:hAnsi="Garamond"/>
          <w:bCs/>
          <w:iCs/>
          <w:color w:val="000000"/>
          <w:sz w:val="22"/>
          <w:szCs w:val="22"/>
        </w:rPr>
        <w:t xml:space="preserve"> as well as </w:t>
      </w:r>
      <w:r w:rsidR="00251F39" w:rsidRPr="00251F39">
        <w:rPr>
          <w:rFonts w:ascii="Garamond" w:hAnsi="Garamond"/>
          <w:bCs/>
          <w:iCs/>
          <w:color w:val="000000"/>
          <w:sz w:val="22"/>
          <w:szCs w:val="22"/>
        </w:rPr>
        <w:t>risk</w:t>
      </w:r>
      <w:r w:rsidR="00BD5220">
        <w:rPr>
          <w:rFonts w:ascii="Garamond" w:hAnsi="Garamond"/>
          <w:bCs/>
          <w:iCs/>
          <w:color w:val="000000"/>
          <w:sz w:val="22"/>
          <w:szCs w:val="22"/>
        </w:rPr>
        <w:t>s</w:t>
      </w:r>
      <w:r w:rsidR="00251F39" w:rsidRPr="00251F39">
        <w:rPr>
          <w:rFonts w:ascii="Garamond" w:hAnsi="Garamond"/>
          <w:bCs/>
          <w:iCs/>
          <w:color w:val="000000"/>
          <w:sz w:val="22"/>
          <w:szCs w:val="22"/>
        </w:rPr>
        <w:t xml:space="preserve"> </w:t>
      </w:r>
      <w:r w:rsidR="00BD5220">
        <w:rPr>
          <w:rFonts w:ascii="Garamond" w:hAnsi="Garamond"/>
          <w:bCs/>
          <w:iCs/>
          <w:color w:val="000000"/>
          <w:sz w:val="22"/>
          <w:szCs w:val="22"/>
        </w:rPr>
        <w:t xml:space="preserve">to a </w:t>
      </w:r>
      <w:r w:rsidR="00251F39" w:rsidRPr="00251F39">
        <w:rPr>
          <w:rFonts w:ascii="Garamond" w:hAnsi="Garamond"/>
          <w:bCs/>
          <w:iCs/>
          <w:color w:val="000000"/>
          <w:sz w:val="22"/>
          <w:szCs w:val="22"/>
        </w:rPr>
        <w:t>decline in the mining sector in the third quarter</w:t>
      </w:r>
      <w:r w:rsidR="00BD5220">
        <w:rPr>
          <w:rFonts w:ascii="Garamond" w:hAnsi="Garamond"/>
          <w:bCs/>
          <w:iCs/>
          <w:color w:val="000000"/>
          <w:sz w:val="22"/>
          <w:szCs w:val="22"/>
        </w:rPr>
        <w:t xml:space="preserve"> because of </w:t>
      </w:r>
      <w:r w:rsidR="00251F39" w:rsidRPr="00251F39">
        <w:rPr>
          <w:rFonts w:ascii="Garamond" w:hAnsi="Garamond"/>
          <w:bCs/>
          <w:iCs/>
          <w:color w:val="000000"/>
          <w:sz w:val="22"/>
          <w:szCs w:val="22"/>
        </w:rPr>
        <w:t>low</w:t>
      </w:r>
      <w:r w:rsidR="00BD5220">
        <w:rPr>
          <w:rFonts w:ascii="Garamond" w:hAnsi="Garamond"/>
          <w:bCs/>
          <w:iCs/>
          <w:color w:val="000000"/>
          <w:sz w:val="22"/>
          <w:szCs w:val="22"/>
        </w:rPr>
        <w:t>er</w:t>
      </w:r>
      <w:r w:rsidR="00251F39" w:rsidRPr="00251F39">
        <w:rPr>
          <w:rFonts w:ascii="Garamond" w:hAnsi="Garamond"/>
          <w:bCs/>
          <w:iCs/>
          <w:color w:val="000000"/>
          <w:sz w:val="22"/>
          <w:szCs w:val="22"/>
        </w:rPr>
        <w:t xml:space="preserve"> metal</w:t>
      </w:r>
      <w:r w:rsidR="00BD5220">
        <w:rPr>
          <w:rFonts w:ascii="Garamond" w:hAnsi="Garamond"/>
          <w:bCs/>
          <w:iCs/>
          <w:color w:val="000000"/>
          <w:sz w:val="22"/>
          <w:szCs w:val="22"/>
        </w:rPr>
        <w:t>s</w:t>
      </w:r>
      <w:r w:rsidR="00251F39" w:rsidRPr="00251F39">
        <w:rPr>
          <w:rFonts w:ascii="Garamond" w:hAnsi="Garamond"/>
          <w:bCs/>
          <w:iCs/>
          <w:color w:val="000000"/>
          <w:sz w:val="22"/>
          <w:szCs w:val="22"/>
        </w:rPr>
        <w:t xml:space="preserve"> prices in international markets.</w:t>
      </w:r>
      <w:r w:rsidR="00BD5220">
        <w:rPr>
          <w:rFonts w:ascii="Garamond" w:hAnsi="Garamond"/>
          <w:bCs/>
          <w:iCs/>
          <w:color w:val="000000"/>
          <w:sz w:val="22"/>
          <w:szCs w:val="22"/>
        </w:rPr>
        <w:t xml:space="preserve"> </w:t>
      </w:r>
      <w:r w:rsidRPr="00A32AB2">
        <w:rPr>
          <w:rFonts w:ascii="Garamond" w:hAnsi="Garamond"/>
          <w:sz w:val="22"/>
          <w:szCs w:val="22"/>
        </w:rPr>
        <w:t xml:space="preserve">As a result, </w:t>
      </w:r>
      <w:r w:rsidRPr="00A32AB2">
        <w:rPr>
          <w:rFonts w:ascii="Garamond" w:hAnsi="Garamond"/>
          <w:b/>
          <w:sz w:val="22"/>
          <w:szCs w:val="22"/>
        </w:rPr>
        <w:t xml:space="preserve">in 2016 the value added in industry is forecast to grow within </w:t>
      </w:r>
      <w:r w:rsidR="00BD5220">
        <w:rPr>
          <w:rFonts w:ascii="Garamond" w:hAnsi="Garamond"/>
          <w:b/>
          <w:sz w:val="22"/>
          <w:szCs w:val="22"/>
        </w:rPr>
        <w:t>5</w:t>
      </w:r>
      <w:r w:rsidRPr="00A32AB2">
        <w:rPr>
          <w:rFonts w:ascii="Garamond" w:hAnsi="Garamond"/>
          <w:b/>
          <w:sz w:val="22"/>
          <w:szCs w:val="22"/>
        </w:rPr>
        <w:t>.</w:t>
      </w:r>
      <w:r w:rsidR="00BD5220">
        <w:rPr>
          <w:rFonts w:ascii="Garamond" w:hAnsi="Garamond"/>
          <w:b/>
          <w:sz w:val="22"/>
          <w:szCs w:val="22"/>
        </w:rPr>
        <w:t>5</w:t>
      </w:r>
      <w:r w:rsidRPr="00A32AB2">
        <w:rPr>
          <w:rFonts w:ascii="Garamond" w:hAnsi="Garamond"/>
          <w:b/>
          <w:sz w:val="22"/>
          <w:szCs w:val="22"/>
        </w:rPr>
        <w:t>-</w:t>
      </w:r>
      <w:r w:rsidR="00BD5220">
        <w:rPr>
          <w:rFonts w:ascii="Garamond" w:hAnsi="Garamond"/>
          <w:b/>
          <w:sz w:val="22"/>
          <w:szCs w:val="22"/>
        </w:rPr>
        <w:t>6</w:t>
      </w:r>
      <w:r w:rsidRPr="00A32AB2">
        <w:rPr>
          <w:rFonts w:ascii="Garamond" w:hAnsi="Garamond"/>
          <w:b/>
          <w:sz w:val="22"/>
          <w:szCs w:val="22"/>
        </w:rPr>
        <w:t>.</w:t>
      </w:r>
      <w:r w:rsidR="00BD5220">
        <w:rPr>
          <w:rFonts w:ascii="Garamond" w:hAnsi="Garamond"/>
          <w:b/>
          <w:sz w:val="22"/>
          <w:szCs w:val="22"/>
        </w:rPr>
        <w:t>1</w:t>
      </w:r>
      <w:r w:rsidRPr="00A32AB2">
        <w:rPr>
          <w:rFonts w:ascii="Garamond" w:hAnsi="Garamond"/>
          <w:b/>
          <w:sz w:val="22"/>
          <w:szCs w:val="22"/>
        </w:rPr>
        <w:t>%</w:t>
      </w:r>
      <w:r w:rsidR="007A334D" w:rsidRPr="00A32AB2">
        <w:rPr>
          <w:rFonts w:ascii="Garamond" w:hAnsi="Garamond"/>
          <w:sz w:val="22"/>
          <w:szCs w:val="22"/>
        </w:rPr>
        <w:t>.</w:t>
      </w:r>
      <w:r w:rsidRPr="00A32AB2">
        <w:rPr>
          <w:rFonts w:ascii="Garamond" w:hAnsi="Garamond"/>
          <w:sz w:val="22"/>
          <w:szCs w:val="22"/>
        </w:rPr>
        <w:t xml:space="preserve"> The </w:t>
      </w:r>
      <w:r w:rsidR="00D90B8B" w:rsidRPr="00A32AB2">
        <w:rPr>
          <w:rFonts w:ascii="Garamond" w:hAnsi="Garamond"/>
          <w:sz w:val="22"/>
          <w:szCs w:val="22"/>
        </w:rPr>
        <w:t xml:space="preserve">expected growth in </w:t>
      </w:r>
      <w:r w:rsidR="00D90B8B" w:rsidRPr="00A32AB2">
        <w:rPr>
          <w:rFonts w:ascii="Garamond" w:hAnsi="Garamond"/>
          <w:bCs/>
          <w:iCs/>
          <w:color w:val="000000"/>
          <w:sz w:val="22"/>
          <w:szCs w:val="22"/>
        </w:rPr>
        <w:t xml:space="preserve">industry sector </w:t>
      </w:r>
      <w:r w:rsidR="00735337">
        <w:rPr>
          <w:rFonts w:ascii="Garamond" w:hAnsi="Garamond"/>
          <w:bCs/>
          <w:iCs/>
          <w:color w:val="000000"/>
          <w:sz w:val="22"/>
          <w:szCs w:val="22"/>
        </w:rPr>
        <w:t>in the fourth quarter of 2016 will be bolstered</w:t>
      </w:r>
      <w:r w:rsidR="009B71E5">
        <w:rPr>
          <w:rFonts w:ascii="Garamond" w:hAnsi="Garamond"/>
          <w:bCs/>
          <w:iCs/>
          <w:color w:val="000000"/>
          <w:sz w:val="22"/>
          <w:szCs w:val="22"/>
        </w:rPr>
        <w:t xml:space="preserve"> </w:t>
      </w:r>
      <w:r w:rsidR="009B71E5" w:rsidRPr="00A32AB2">
        <w:rPr>
          <w:rFonts w:ascii="Garamond" w:hAnsi="Garamond"/>
          <w:bCs/>
          <w:iCs/>
          <w:color w:val="000000"/>
          <w:sz w:val="22"/>
          <w:szCs w:val="22"/>
        </w:rPr>
        <w:t>by implementing a handful of investment projects and</w:t>
      </w:r>
      <w:r w:rsidR="009B71E5" w:rsidRPr="00A32AB2">
        <w:rPr>
          <w:rFonts w:ascii="Garamond" w:hAnsi="Garamond"/>
          <w:sz w:val="22"/>
          <w:szCs w:val="22"/>
        </w:rPr>
        <w:t xml:space="preserve"> </w:t>
      </w:r>
      <w:r w:rsidR="009B71E5" w:rsidRPr="00A32AB2">
        <w:rPr>
          <w:rFonts w:ascii="Garamond" w:hAnsi="Garamond"/>
          <w:bCs/>
          <w:iCs/>
          <w:color w:val="000000"/>
          <w:sz w:val="22"/>
          <w:szCs w:val="22"/>
        </w:rPr>
        <w:t>broadening export capacities</w:t>
      </w:r>
      <w:r w:rsidR="009B71E5" w:rsidRPr="00A32AB2">
        <w:rPr>
          <w:rFonts w:ascii="Garamond" w:hAnsi="Garamond"/>
          <w:bCs/>
          <w:iCs/>
          <w:color w:val="000000"/>
          <w:sz w:val="22"/>
          <w:szCs w:val="22"/>
          <w:lang w:val="hy-AM"/>
        </w:rPr>
        <w:t xml:space="preserve"> </w:t>
      </w:r>
      <w:r w:rsidR="009B71E5" w:rsidRPr="00A32AB2">
        <w:rPr>
          <w:rFonts w:ascii="Garamond" w:hAnsi="Garamond"/>
          <w:bCs/>
          <w:iCs/>
          <w:color w:val="000000"/>
          <w:sz w:val="22"/>
          <w:szCs w:val="22"/>
        </w:rPr>
        <w:t>in the context of export-promotion policy of the Government</w:t>
      </w:r>
      <w:r w:rsidR="00735337">
        <w:rPr>
          <w:rFonts w:ascii="Garamond" w:hAnsi="Garamond"/>
          <w:bCs/>
          <w:iCs/>
          <w:color w:val="000000"/>
          <w:sz w:val="22"/>
          <w:szCs w:val="22"/>
        </w:rPr>
        <w:t xml:space="preserve"> of Armenia</w:t>
      </w:r>
      <w:r w:rsidR="00735337" w:rsidRPr="00A32AB2">
        <w:rPr>
          <w:rFonts w:ascii="Garamond" w:hAnsi="Garamond"/>
          <w:bCs/>
          <w:iCs/>
          <w:color w:val="000000"/>
          <w:sz w:val="22"/>
          <w:szCs w:val="22"/>
        </w:rPr>
        <w:t>.</w:t>
      </w:r>
    </w:p>
    <w:p w14:paraId="1B3A71F8" w14:textId="77777777" w:rsidR="00D81CA7" w:rsidRPr="00A32AB2" w:rsidRDefault="00D81CA7" w:rsidP="00B117C8">
      <w:pPr>
        <w:spacing w:line="360" w:lineRule="auto"/>
        <w:jc w:val="both"/>
        <w:rPr>
          <w:rFonts w:ascii="Garamond" w:hAnsi="Garamond"/>
          <w:sz w:val="22"/>
          <w:szCs w:val="22"/>
        </w:rPr>
      </w:pPr>
    </w:p>
    <w:p w14:paraId="2C32FB94" w14:textId="77777777" w:rsidR="00132731" w:rsidRPr="00A32AB2" w:rsidRDefault="00FF1B7C" w:rsidP="00B117C8">
      <w:pPr>
        <w:spacing w:line="360" w:lineRule="auto"/>
        <w:jc w:val="both"/>
        <w:rPr>
          <w:rFonts w:ascii="Garamond" w:hAnsi="Garamond"/>
          <w:bCs/>
          <w:iCs/>
          <w:color w:val="000000"/>
          <w:sz w:val="22"/>
          <w:szCs w:val="22"/>
        </w:rPr>
      </w:pPr>
      <w:r w:rsidRPr="00A32AB2">
        <w:rPr>
          <w:rFonts w:ascii="Garamond" w:hAnsi="Garamond"/>
          <w:bCs/>
          <w:iCs/>
          <w:color w:val="000000"/>
          <w:sz w:val="22"/>
          <w:szCs w:val="22"/>
        </w:rPr>
        <w:t xml:space="preserve">For </w:t>
      </w:r>
      <w:r w:rsidRPr="00A32AB2">
        <w:rPr>
          <w:rFonts w:ascii="Garamond" w:hAnsi="Garamond"/>
          <w:b/>
          <w:bCs/>
          <w:iCs/>
          <w:color w:val="000000"/>
          <w:sz w:val="22"/>
          <w:szCs w:val="22"/>
        </w:rPr>
        <w:t>Construction</w:t>
      </w:r>
      <w:r w:rsidRPr="00A32AB2">
        <w:rPr>
          <w:rFonts w:ascii="Garamond" w:hAnsi="Garamond"/>
          <w:bCs/>
          <w:iCs/>
          <w:color w:val="000000"/>
          <w:sz w:val="22"/>
          <w:szCs w:val="22"/>
        </w:rPr>
        <w:t xml:space="preserve">, the 2016 forecasts of value added </w:t>
      </w:r>
      <w:r w:rsidR="0077297C">
        <w:rPr>
          <w:rFonts w:ascii="Garamond" w:hAnsi="Garamond"/>
          <w:bCs/>
          <w:iCs/>
          <w:color w:val="000000"/>
          <w:sz w:val="22"/>
          <w:szCs w:val="22"/>
        </w:rPr>
        <w:t xml:space="preserve">were revised slightly downside after </w:t>
      </w:r>
      <w:r w:rsidR="0077297C" w:rsidRPr="0077297C">
        <w:rPr>
          <w:rFonts w:ascii="Garamond" w:hAnsi="Garamond"/>
          <w:bCs/>
          <w:iCs/>
          <w:color w:val="000000"/>
          <w:sz w:val="22"/>
          <w:szCs w:val="22"/>
        </w:rPr>
        <w:t>report</w:t>
      </w:r>
      <w:r w:rsidR="0077297C">
        <w:rPr>
          <w:rFonts w:ascii="Garamond" w:hAnsi="Garamond"/>
          <w:bCs/>
          <w:iCs/>
          <w:color w:val="000000"/>
          <w:sz w:val="22"/>
          <w:szCs w:val="22"/>
        </w:rPr>
        <w:t xml:space="preserve">ed value added </w:t>
      </w:r>
      <w:r w:rsidR="0077297C" w:rsidRPr="0077297C">
        <w:rPr>
          <w:rFonts w:ascii="Garamond" w:hAnsi="Garamond"/>
          <w:bCs/>
          <w:iCs/>
          <w:color w:val="000000"/>
          <w:sz w:val="22"/>
          <w:szCs w:val="22"/>
        </w:rPr>
        <w:t>in the construction sector</w:t>
      </w:r>
      <w:r w:rsidR="0077297C">
        <w:rPr>
          <w:rFonts w:ascii="Garamond" w:hAnsi="Garamond"/>
          <w:bCs/>
          <w:iCs/>
          <w:color w:val="000000"/>
          <w:sz w:val="22"/>
          <w:szCs w:val="22"/>
        </w:rPr>
        <w:t xml:space="preserve"> for the second quarter.</w:t>
      </w:r>
      <w:r w:rsidRPr="00A32AB2">
        <w:rPr>
          <w:rFonts w:ascii="Garamond" w:hAnsi="Garamond"/>
          <w:bCs/>
          <w:iCs/>
          <w:color w:val="000000"/>
          <w:sz w:val="22"/>
          <w:szCs w:val="22"/>
        </w:rPr>
        <w:t xml:space="preserve"> </w:t>
      </w:r>
      <w:r w:rsidR="0077297C" w:rsidRPr="00A32AB2">
        <w:rPr>
          <w:rFonts w:ascii="Garamond" w:hAnsi="Garamond"/>
          <w:bCs/>
          <w:iCs/>
          <w:color w:val="000000"/>
          <w:sz w:val="22"/>
          <w:szCs w:val="22"/>
        </w:rPr>
        <w:t xml:space="preserve">As a result, the </w:t>
      </w:r>
      <w:r w:rsidR="0077297C">
        <w:rPr>
          <w:rFonts w:ascii="Garamond" w:hAnsi="Garamond"/>
          <w:bCs/>
          <w:iCs/>
          <w:color w:val="000000"/>
          <w:sz w:val="22"/>
          <w:szCs w:val="22"/>
        </w:rPr>
        <w:t xml:space="preserve">decline </w:t>
      </w:r>
      <w:r w:rsidR="0077297C" w:rsidRPr="00A32AB2">
        <w:rPr>
          <w:rFonts w:ascii="Garamond" w:hAnsi="Garamond"/>
          <w:bCs/>
          <w:iCs/>
          <w:color w:val="000000"/>
          <w:sz w:val="22"/>
          <w:szCs w:val="22"/>
        </w:rPr>
        <w:t xml:space="preserve">in value added in construction in 2016 </w:t>
      </w:r>
      <w:r w:rsidR="0077297C">
        <w:rPr>
          <w:rFonts w:ascii="Garamond" w:hAnsi="Garamond"/>
          <w:bCs/>
          <w:iCs/>
          <w:color w:val="000000"/>
          <w:sz w:val="22"/>
          <w:szCs w:val="22"/>
        </w:rPr>
        <w:t xml:space="preserve">is expected in the range of </w:t>
      </w:r>
      <w:r w:rsidR="0077297C" w:rsidRPr="00A32AB2">
        <w:rPr>
          <w:rFonts w:ascii="Garamond" w:hAnsi="Garamond"/>
          <w:b/>
          <w:bCs/>
          <w:iCs/>
          <w:color w:val="000000"/>
          <w:sz w:val="22"/>
          <w:szCs w:val="22"/>
        </w:rPr>
        <w:t>1.</w:t>
      </w:r>
      <w:r w:rsidR="0077297C">
        <w:rPr>
          <w:rFonts w:ascii="Garamond" w:hAnsi="Garamond"/>
          <w:b/>
          <w:bCs/>
          <w:iCs/>
          <w:color w:val="000000"/>
          <w:sz w:val="22"/>
          <w:szCs w:val="22"/>
        </w:rPr>
        <w:t>8</w:t>
      </w:r>
      <w:r w:rsidR="0077297C" w:rsidRPr="00A32AB2">
        <w:rPr>
          <w:rFonts w:ascii="Garamond" w:hAnsi="Garamond"/>
          <w:b/>
          <w:bCs/>
          <w:iCs/>
          <w:color w:val="000000"/>
          <w:sz w:val="22"/>
          <w:szCs w:val="22"/>
        </w:rPr>
        <w:t xml:space="preserve"> to -</w:t>
      </w:r>
      <w:r w:rsidR="0077297C">
        <w:rPr>
          <w:rFonts w:ascii="Garamond" w:hAnsi="Garamond"/>
          <w:b/>
          <w:bCs/>
          <w:iCs/>
          <w:color w:val="000000"/>
          <w:sz w:val="22"/>
          <w:szCs w:val="22"/>
        </w:rPr>
        <w:t>2</w:t>
      </w:r>
      <w:r w:rsidR="0077297C" w:rsidRPr="00A32AB2">
        <w:rPr>
          <w:rFonts w:ascii="Garamond" w:hAnsi="Garamond"/>
          <w:b/>
          <w:bCs/>
          <w:iCs/>
          <w:color w:val="000000"/>
          <w:sz w:val="22"/>
          <w:szCs w:val="22"/>
        </w:rPr>
        <w:t>.</w:t>
      </w:r>
      <w:r w:rsidR="0077297C">
        <w:rPr>
          <w:rFonts w:ascii="Garamond" w:hAnsi="Garamond"/>
          <w:b/>
          <w:bCs/>
          <w:iCs/>
          <w:color w:val="000000"/>
          <w:sz w:val="22"/>
          <w:szCs w:val="22"/>
        </w:rPr>
        <w:t>6</w:t>
      </w:r>
      <w:r w:rsidR="0077297C" w:rsidRPr="00A32AB2">
        <w:rPr>
          <w:rFonts w:ascii="Garamond" w:hAnsi="Garamond"/>
          <w:b/>
          <w:bCs/>
          <w:iCs/>
          <w:color w:val="000000"/>
          <w:sz w:val="22"/>
          <w:szCs w:val="22"/>
        </w:rPr>
        <w:t>%</w:t>
      </w:r>
      <w:r w:rsidR="0077297C" w:rsidRPr="00A32AB2">
        <w:rPr>
          <w:rFonts w:ascii="Garamond" w:hAnsi="Garamond"/>
          <w:bCs/>
          <w:iCs/>
          <w:color w:val="000000"/>
          <w:sz w:val="22"/>
          <w:szCs w:val="22"/>
        </w:rPr>
        <w:t>.</w:t>
      </w:r>
      <w:r w:rsidR="0077297C">
        <w:rPr>
          <w:rFonts w:ascii="Garamond" w:hAnsi="Garamond"/>
          <w:bCs/>
          <w:iCs/>
          <w:color w:val="000000"/>
          <w:sz w:val="22"/>
          <w:szCs w:val="22"/>
        </w:rPr>
        <w:t xml:space="preserve"> </w:t>
      </w:r>
      <w:r w:rsidR="00CA0B40">
        <w:rPr>
          <w:rFonts w:ascii="Garamond" w:hAnsi="Garamond"/>
          <w:bCs/>
          <w:iCs/>
          <w:color w:val="000000"/>
          <w:sz w:val="22"/>
          <w:szCs w:val="22"/>
        </w:rPr>
        <w:t>T</w:t>
      </w:r>
      <w:r w:rsidR="00CE41D3" w:rsidRPr="00A32AB2">
        <w:rPr>
          <w:rFonts w:ascii="Garamond" w:hAnsi="Garamond"/>
          <w:bCs/>
          <w:iCs/>
          <w:color w:val="000000"/>
          <w:sz w:val="22"/>
          <w:szCs w:val="22"/>
        </w:rPr>
        <w:t>he decline i</w:t>
      </w:r>
      <w:r w:rsidR="00CA0B40">
        <w:rPr>
          <w:rFonts w:ascii="Garamond" w:hAnsi="Garamond"/>
          <w:bCs/>
          <w:iCs/>
          <w:color w:val="000000"/>
          <w:sz w:val="22"/>
          <w:szCs w:val="22"/>
        </w:rPr>
        <w:t xml:space="preserve">s mostly attributable to reduced </w:t>
      </w:r>
      <w:r w:rsidR="00CE41D3" w:rsidRPr="00A32AB2">
        <w:rPr>
          <w:rFonts w:ascii="Garamond" w:hAnsi="Garamond"/>
          <w:bCs/>
          <w:iCs/>
          <w:color w:val="000000"/>
          <w:sz w:val="22"/>
          <w:szCs w:val="22"/>
        </w:rPr>
        <w:t>construction funded</w:t>
      </w:r>
      <w:r w:rsidR="00CA0B40">
        <w:rPr>
          <w:rFonts w:ascii="Garamond" w:hAnsi="Garamond"/>
          <w:bCs/>
          <w:iCs/>
          <w:color w:val="000000"/>
          <w:sz w:val="22"/>
          <w:szCs w:val="22"/>
        </w:rPr>
        <w:t xml:space="preserve"> by households and companies. This will, however, </w:t>
      </w:r>
      <w:r w:rsidR="00CE41D3" w:rsidRPr="00A32AB2">
        <w:rPr>
          <w:rFonts w:ascii="Garamond" w:hAnsi="Garamond"/>
          <w:bCs/>
          <w:iCs/>
          <w:color w:val="000000"/>
          <w:sz w:val="22"/>
          <w:szCs w:val="22"/>
        </w:rPr>
        <w:t xml:space="preserve">be cushioned by construction </w:t>
      </w:r>
      <w:r w:rsidR="00CA0B40">
        <w:rPr>
          <w:rFonts w:ascii="Garamond" w:hAnsi="Garamond"/>
          <w:bCs/>
          <w:iCs/>
          <w:color w:val="000000"/>
          <w:sz w:val="22"/>
          <w:szCs w:val="22"/>
        </w:rPr>
        <w:t xml:space="preserve">to be </w:t>
      </w:r>
      <w:r w:rsidR="00CE41D3" w:rsidRPr="00A32AB2">
        <w:rPr>
          <w:rFonts w:ascii="Garamond" w:hAnsi="Garamond"/>
          <w:bCs/>
          <w:iCs/>
          <w:color w:val="000000"/>
          <w:sz w:val="22"/>
          <w:szCs w:val="22"/>
        </w:rPr>
        <w:t xml:space="preserve">financed </w:t>
      </w:r>
      <w:r w:rsidR="00CA0B40">
        <w:rPr>
          <w:rFonts w:ascii="Garamond" w:hAnsi="Garamond"/>
          <w:bCs/>
          <w:iCs/>
          <w:color w:val="000000"/>
          <w:sz w:val="22"/>
          <w:szCs w:val="22"/>
        </w:rPr>
        <w:t xml:space="preserve">by increased lending </w:t>
      </w:r>
      <w:r w:rsidR="00CE41D3" w:rsidRPr="00A32AB2">
        <w:rPr>
          <w:rFonts w:ascii="Garamond" w:hAnsi="Garamond"/>
          <w:bCs/>
          <w:iCs/>
          <w:color w:val="000000"/>
          <w:sz w:val="22"/>
          <w:szCs w:val="22"/>
        </w:rPr>
        <w:t>on the one hand and</w:t>
      </w:r>
      <w:r w:rsidR="00CA0B40">
        <w:rPr>
          <w:rFonts w:ascii="Garamond" w:hAnsi="Garamond"/>
          <w:bCs/>
          <w:iCs/>
          <w:color w:val="000000"/>
          <w:sz w:val="22"/>
          <w:szCs w:val="22"/>
        </w:rPr>
        <w:t xml:space="preserve"> </w:t>
      </w:r>
      <w:r w:rsidR="00CE41D3" w:rsidRPr="00A32AB2">
        <w:rPr>
          <w:rFonts w:ascii="Garamond" w:hAnsi="Garamond"/>
          <w:bCs/>
          <w:iCs/>
          <w:color w:val="000000"/>
          <w:sz w:val="22"/>
          <w:szCs w:val="22"/>
        </w:rPr>
        <w:t xml:space="preserve">relatively high investment activity in the tradable sector of the </w:t>
      </w:r>
      <w:r w:rsidR="00CE41D3" w:rsidRPr="00A32AB2">
        <w:rPr>
          <w:rFonts w:ascii="Garamond" w:hAnsi="Garamond"/>
          <w:bCs/>
          <w:iCs/>
          <w:color w:val="000000"/>
          <w:sz w:val="22"/>
          <w:szCs w:val="22"/>
        </w:rPr>
        <w:lastRenderedPageBreak/>
        <w:t>economy</w:t>
      </w:r>
      <w:r w:rsidR="00CA0B40">
        <w:rPr>
          <w:rFonts w:ascii="Garamond" w:hAnsi="Garamond"/>
          <w:bCs/>
          <w:iCs/>
          <w:color w:val="000000"/>
          <w:sz w:val="22"/>
          <w:szCs w:val="22"/>
        </w:rPr>
        <w:t xml:space="preserve">, on the other. </w:t>
      </w:r>
      <w:r w:rsidR="00CA0B40" w:rsidRPr="00CA0B40">
        <w:rPr>
          <w:rFonts w:ascii="Garamond" w:hAnsi="Garamond"/>
          <w:bCs/>
          <w:iCs/>
          <w:color w:val="000000"/>
          <w:sz w:val="22"/>
          <w:szCs w:val="22"/>
        </w:rPr>
        <w:t xml:space="preserve">The decline in the construction sector in 2016 </w:t>
      </w:r>
      <w:r w:rsidR="00CA0B40">
        <w:rPr>
          <w:rFonts w:ascii="Garamond" w:hAnsi="Garamond"/>
          <w:bCs/>
          <w:iCs/>
          <w:color w:val="000000"/>
          <w:sz w:val="22"/>
          <w:szCs w:val="22"/>
        </w:rPr>
        <w:t>may also be mitigated by increased volumes of construction funded by municipal budgets and international loan resources.</w:t>
      </w:r>
      <w:r w:rsidR="0004107C" w:rsidRPr="00A32AB2">
        <w:rPr>
          <w:rFonts w:ascii="Garamond" w:hAnsi="Garamond"/>
          <w:bCs/>
          <w:iCs/>
          <w:color w:val="000000"/>
          <w:sz w:val="22"/>
          <w:szCs w:val="22"/>
        </w:rPr>
        <w:t xml:space="preserve"> </w:t>
      </w:r>
    </w:p>
    <w:p w14:paraId="3AEA375B" w14:textId="77777777" w:rsidR="00B62906" w:rsidRPr="00A32AB2" w:rsidRDefault="00B62906" w:rsidP="00B117C8">
      <w:pPr>
        <w:spacing w:line="360" w:lineRule="auto"/>
        <w:jc w:val="both"/>
        <w:rPr>
          <w:rFonts w:ascii="Garamond" w:hAnsi="Garamond"/>
          <w:bCs/>
          <w:iCs/>
          <w:color w:val="000000"/>
          <w:sz w:val="22"/>
          <w:szCs w:val="22"/>
        </w:rPr>
      </w:pPr>
    </w:p>
    <w:p w14:paraId="465A68B0" w14:textId="77777777" w:rsidR="00B62906" w:rsidRPr="00A32AB2" w:rsidRDefault="00B62906" w:rsidP="00B117C8">
      <w:pPr>
        <w:spacing w:line="360" w:lineRule="auto"/>
        <w:jc w:val="both"/>
        <w:rPr>
          <w:rFonts w:ascii="Garamond" w:hAnsi="Garamond"/>
          <w:bCs/>
          <w:iCs/>
          <w:color w:val="000000"/>
          <w:sz w:val="22"/>
          <w:szCs w:val="22"/>
        </w:rPr>
      </w:pPr>
      <w:r w:rsidRPr="00A32AB2">
        <w:rPr>
          <w:rFonts w:ascii="Garamond" w:hAnsi="Garamond"/>
          <w:bCs/>
          <w:iCs/>
          <w:color w:val="000000"/>
          <w:sz w:val="22"/>
          <w:szCs w:val="22"/>
        </w:rPr>
        <w:t xml:space="preserve">In the </w:t>
      </w:r>
      <w:r w:rsidRPr="00A32AB2">
        <w:rPr>
          <w:rFonts w:ascii="Garamond" w:hAnsi="Garamond"/>
          <w:b/>
          <w:bCs/>
          <w:iCs/>
          <w:color w:val="000000"/>
          <w:sz w:val="22"/>
          <w:szCs w:val="22"/>
        </w:rPr>
        <w:t>forecast horizon</w:t>
      </w:r>
      <w:r w:rsidRPr="00A32AB2">
        <w:rPr>
          <w:rFonts w:ascii="Garamond" w:hAnsi="Garamond"/>
          <w:bCs/>
          <w:iCs/>
          <w:color w:val="000000"/>
          <w:sz w:val="22"/>
          <w:szCs w:val="22"/>
        </w:rPr>
        <w:t>, the growth is expected to</w:t>
      </w:r>
      <w:r w:rsidRPr="00A32AB2">
        <w:rPr>
          <w:rFonts w:ascii="Garamond" w:hAnsi="Garamond"/>
          <w:b/>
          <w:bCs/>
          <w:iCs/>
          <w:color w:val="000000"/>
          <w:sz w:val="22"/>
          <w:szCs w:val="22"/>
        </w:rPr>
        <w:t xml:space="preserve"> stabilize in the range of </w:t>
      </w:r>
      <w:r w:rsidR="00ED37D9">
        <w:rPr>
          <w:rFonts w:ascii="Garamond" w:hAnsi="Garamond"/>
          <w:b/>
          <w:bCs/>
          <w:iCs/>
          <w:color w:val="000000"/>
          <w:sz w:val="22"/>
          <w:szCs w:val="22"/>
        </w:rPr>
        <w:t>0</w:t>
      </w:r>
      <w:r w:rsidRPr="00A32AB2">
        <w:rPr>
          <w:rFonts w:ascii="Garamond" w:hAnsi="Garamond"/>
          <w:b/>
          <w:bCs/>
          <w:iCs/>
          <w:color w:val="000000"/>
          <w:sz w:val="22"/>
          <w:szCs w:val="22"/>
        </w:rPr>
        <w:t>.5-</w:t>
      </w:r>
      <w:r w:rsidR="00ED37D9">
        <w:rPr>
          <w:rFonts w:ascii="Garamond" w:hAnsi="Garamond"/>
          <w:b/>
          <w:bCs/>
          <w:iCs/>
          <w:color w:val="000000"/>
          <w:sz w:val="22"/>
          <w:szCs w:val="22"/>
        </w:rPr>
        <w:t>1.0</w:t>
      </w:r>
      <w:r w:rsidRPr="00A32AB2">
        <w:rPr>
          <w:rFonts w:ascii="Garamond" w:hAnsi="Garamond"/>
          <w:b/>
          <w:bCs/>
          <w:iCs/>
          <w:color w:val="000000"/>
          <w:sz w:val="22"/>
          <w:szCs w:val="22"/>
        </w:rPr>
        <w:t>%</w:t>
      </w:r>
      <w:r w:rsidR="004D09C9">
        <w:rPr>
          <w:rFonts w:ascii="Garamond" w:hAnsi="Garamond"/>
          <w:bCs/>
          <w:iCs/>
          <w:color w:val="000000"/>
          <w:sz w:val="22"/>
          <w:szCs w:val="22"/>
        </w:rPr>
        <w:t xml:space="preserve"> as the supply-</w:t>
      </w:r>
      <w:r w:rsidRPr="00A32AB2">
        <w:rPr>
          <w:rFonts w:ascii="Garamond" w:hAnsi="Garamond"/>
          <w:bCs/>
          <w:iCs/>
          <w:color w:val="000000"/>
          <w:sz w:val="22"/>
          <w:szCs w:val="22"/>
        </w:rPr>
        <w:t>and</w:t>
      </w:r>
      <w:r w:rsidR="004D09C9">
        <w:rPr>
          <w:rFonts w:ascii="Garamond" w:hAnsi="Garamond"/>
          <w:bCs/>
          <w:iCs/>
          <w:color w:val="000000"/>
          <w:sz w:val="22"/>
          <w:szCs w:val="22"/>
        </w:rPr>
        <w:t>-</w:t>
      </w:r>
      <w:r w:rsidRPr="00A32AB2">
        <w:rPr>
          <w:rFonts w:ascii="Garamond" w:hAnsi="Garamond"/>
          <w:bCs/>
          <w:iCs/>
          <w:color w:val="000000"/>
          <w:sz w:val="22"/>
          <w:szCs w:val="22"/>
        </w:rPr>
        <w:t>demand imbalance in the construction sector phases out.</w:t>
      </w:r>
      <w:r w:rsidR="00F36833" w:rsidRPr="00A32AB2">
        <w:rPr>
          <w:rFonts w:ascii="Garamond" w:hAnsi="Garamond"/>
          <w:bCs/>
          <w:iCs/>
          <w:color w:val="000000"/>
          <w:sz w:val="22"/>
          <w:szCs w:val="22"/>
          <w:lang w:val="hy-AM"/>
        </w:rPr>
        <w:t xml:space="preserve"> </w:t>
      </w:r>
      <w:r w:rsidRPr="00A32AB2">
        <w:rPr>
          <w:rFonts w:ascii="Garamond" w:hAnsi="Garamond"/>
          <w:bCs/>
          <w:iCs/>
          <w:color w:val="000000"/>
          <w:sz w:val="22"/>
          <w:szCs w:val="22"/>
        </w:rPr>
        <w:t>The growth will be fostered primarily by construction projects designed for infrastructure improvement and investment projects in the private sector.</w:t>
      </w:r>
    </w:p>
    <w:p w14:paraId="156EFE7C" w14:textId="77777777" w:rsidR="00154ACF" w:rsidRPr="00A32AB2" w:rsidRDefault="00154ACF" w:rsidP="00B117C8">
      <w:pPr>
        <w:spacing w:line="360" w:lineRule="auto"/>
        <w:jc w:val="both"/>
        <w:rPr>
          <w:rFonts w:ascii="Garamond" w:hAnsi="Garamond"/>
          <w:bCs/>
          <w:iCs/>
          <w:color w:val="000000"/>
          <w:sz w:val="22"/>
          <w:szCs w:val="22"/>
        </w:rPr>
      </w:pPr>
    </w:p>
    <w:p w14:paraId="5E2586A7" w14:textId="77777777" w:rsidR="00AC22BB" w:rsidRPr="00A32AB2" w:rsidRDefault="009B3C35" w:rsidP="00B117C8">
      <w:pPr>
        <w:spacing w:line="360" w:lineRule="auto"/>
        <w:jc w:val="both"/>
        <w:rPr>
          <w:rFonts w:ascii="Garamond" w:hAnsi="Garamond"/>
          <w:sz w:val="22"/>
          <w:szCs w:val="22"/>
        </w:rPr>
      </w:pPr>
      <w:r w:rsidRPr="00A32AB2">
        <w:rPr>
          <w:rFonts w:ascii="Garamond" w:hAnsi="Garamond"/>
          <w:bCs/>
          <w:iCs/>
          <w:color w:val="000000"/>
          <w:sz w:val="22"/>
          <w:szCs w:val="22"/>
        </w:rPr>
        <w:t xml:space="preserve">For </w:t>
      </w:r>
      <w:r w:rsidRPr="00A32AB2">
        <w:rPr>
          <w:rFonts w:ascii="Garamond" w:hAnsi="Garamond"/>
          <w:b/>
          <w:bCs/>
          <w:iCs/>
          <w:color w:val="000000"/>
          <w:sz w:val="22"/>
          <w:szCs w:val="22"/>
        </w:rPr>
        <w:t>Services</w:t>
      </w:r>
      <w:r w:rsidRPr="00A32AB2">
        <w:rPr>
          <w:rFonts w:ascii="Garamond" w:hAnsi="Garamond"/>
          <w:bCs/>
          <w:iCs/>
          <w:color w:val="000000"/>
          <w:sz w:val="22"/>
          <w:szCs w:val="22"/>
        </w:rPr>
        <w:t xml:space="preserve">, the 2016 forecasts of value added </w:t>
      </w:r>
      <w:r w:rsidR="00ED37D9">
        <w:rPr>
          <w:rFonts w:ascii="Garamond" w:hAnsi="Garamond"/>
          <w:bCs/>
          <w:iCs/>
          <w:color w:val="000000"/>
          <w:sz w:val="22"/>
          <w:szCs w:val="22"/>
        </w:rPr>
        <w:t>were revised downside determined by lower-than-expected activity in t</w:t>
      </w:r>
      <w:r w:rsidR="00ED37D9" w:rsidRPr="00ED37D9">
        <w:rPr>
          <w:rFonts w:ascii="Garamond" w:hAnsi="Garamond"/>
          <w:bCs/>
          <w:iCs/>
          <w:color w:val="000000"/>
          <w:sz w:val="22"/>
          <w:szCs w:val="22"/>
        </w:rPr>
        <w:t>rade in the third quarter</w:t>
      </w:r>
      <w:r w:rsidR="00ED37D9">
        <w:rPr>
          <w:rFonts w:ascii="Garamond" w:hAnsi="Garamond"/>
          <w:bCs/>
          <w:iCs/>
          <w:color w:val="000000"/>
          <w:sz w:val="22"/>
          <w:szCs w:val="22"/>
        </w:rPr>
        <w:t>. In which case, the annual growth in the sector is</w:t>
      </w:r>
      <w:r w:rsidRPr="00A32AB2">
        <w:rPr>
          <w:rFonts w:ascii="Garamond" w:hAnsi="Garamond"/>
          <w:bCs/>
          <w:iCs/>
          <w:color w:val="000000"/>
          <w:sz w:val="22"/>
          <w:szCs w:val="22"/>
        </w:rPr>
        <w:t xml:space="preserve"> </w:t>
      </w:r>
      <w:r w:rsidR="00ED37D9">
        <w:rPr>
          <w:rFonts w:ascii="Garamond" w:hAnsi="Garamond"/>
          <w:bCs/>
          <w:iCs/>
          <w:color w:val="000000"/>
          <w:sz w:val="22"/>
          <w:szCs w:val="22"/>
        </w:rPr>
        <w:t xml:space="preserve">estimated </w:t>
      </w:r>
      <w:r w:rsidRPr="00A32AB2">
        <w:rPr>
          <w:rFonts w:ascii="Garamond" w:hAnsi="Garamond"/>
          <w:bCs/>
          <w:iCs/>
          <w:color w:val="000000"/>
          <w:sz w:val="22"/>
          <w:szCs w:val="22"/>
        </w:rPr>
        <w:t xml:space="preserve">within </w:t>
      </w:r>
      <w:r w:rsidR="00ED37D9">
        <w:rPr>
          <w:rFonts w:ascii="Garamond" w:hAnsi="Garamond"/>
          <w:b/>
          <w:bCs/>
          <w:iCs/>
          <w:color w:val="000000"/>
          <w:sz w:val="22"/>
          <w:szCs w:val="22"/>
        </w:rPr>
        <w:t>2</w:t>
      </w:r>
      <w:r w:rsidRPr="00A32AB2">
        <w:rPr>
          <w:rFonts w:ascii="Garamond" w:hAnsi="Garamond"/>
          <w:b/>
          <w:sz w:val="22"/>
          <w:szCs w:val="22"/>
        </w:rPr>
        <w:t>.</w:t>
      </w:r>
      <w:r w:rsidR="00ED37D9">
        <w:rPr>
          <w:rFonts w:ascii="Garamond" w:hAnsi="Garamond"/>
          <w:b/>
          <w:sz w:val="22"/>
          <w:szCs w:val="22"/>
        </w:rPr>
        <w:t>2</w:t>
      </w:r>
      <w:r w:rsidRPr="00A32AB2">
        <w:rPr>
          <w:rFonts w:ascii="Garamond" w:hAnsi="Garamond"/>
          <w:b/>
          <w:sz w:val="22"/>
          <w:szCs w:val="22"/>
        </w:rPr>
        <w:t>-</w:t>
      </w:r>
      <w:r w:rsidR="00ED37D9">
        <w:rPr>
          <w:rFonts w:ascii="Garamond" w:hAnsi="Garamond"/>
          <w:b/>
          <w:sz w:val="22"/>
          <w:szCs w:val="22"/>
        </w:rPr>
        <w:t>2</w:t>
      </w:r>
      <w:r w:rsidRPr="00A32AB2">
        <w:rPr>
          <w:rFonts w:ascii="Garamond" w:hAnsi="Garamond"/>
          <w:b/>
          <w:sz w:val="22"/>
          <w:szCs w:val="22"/>
        </w:rPr>
        <w:t>.</w:t>
      </w:r>
      <w:r w:rsidR="00ED37D9">
        <w:rPr>
          <w:rFonts w:ascii="Garamond" w:hAnsi="Garamond"/>
          <w:b/>
          <w:sz w:val="22"/>
          <w:szCs w:val="22"/>
        </w:rPr>
        <w:t>6</w:t>
      </w:r>
      <w:r w:rsidRPr="00A32AB2">
        <w:rPr>
          <w:rFonts w:ascii="Garamond" w:hAnsi="Garamond"/>
          <w:b/>
          <w:sz w:val="22"/>
          <w:szCs w:val="22"/>
        </w:rPr>
        <w:t>%</w:t>
      </w:r>
      <w:r w:rsidRPr="00A32AB2">
        <w:rPr>
          <w:rFonts w:ascii="Garamond" w:hAnsi="Garamond"/>
          <w:sz w:val="22"/>
          <w:szCs w:val="22"/>
        </w:rPr>
        <w:t xml:space="preserve">. </w:t>
      </w:r>
      <w:r w:rsidR="00831B10" w:rsidRPr="00A32AB2">
        <w:rPr>
          <w:rFonts w:ascii="Garamond" w:hAnsi="Garamond"/>
          <w:sz w:val="22"/>
          <w:szCs w:val="22"/>
        </w:rPr>
        <w:t xml:space="preserve">With </w:t>
      </w:r>
      <w:r w:rsidR="000E5E10">
        <w:rPr>
          <w:rFonts w:ascii="Garamond" w:hAnsi="Garamond"/>
          <w:sz w:val="22"/>
          <w:szCs w:val="22"/>
        </w:rPr>
        <w:t xml:space="preserve">a sluggish activity in trade, </w:t>
      </w:r>
      <w:r w:rsidR="00831B10" w:rsidRPr="00A32AB2">
        <w:rPr>
          <w:rFonts w:ascii="Garamond" w:hAnsi="Garamond"/>
          <w:sz w:val="22"/>
          <w:szCs w:val="22"/>
        </w:rPr>
        <w:t xml:space="preserve">the </w:t>
      </w:r>
      <w:r w:rsidRPr="00A32AB2">
        <w:rPr>
          <w:rFonts w:ascii="Garamond" w:hAnsi="Garamond"/>
          <w:sz w:val="22"/>
          <w:szCs w:val="22"/>
        </w:rPr>
        <w:t xml:space="preserve">growth </w:t>
      </w:r>
      <w:r w:rsidR="00831B10" w:rsidRPr="00A32AB2">
        <w:rPr>
          <w:rFonts w:ascii="Garamond" w:hAnsi="Garamond"/>
          <w:sz w:val="22"/>
          <w:szCs w:val="22"/>
        </w:rPr>
        <w:t xml:space="preserve">of </w:t>
      </w:r>
      <w:r w:rsidRPr="00A32AB2">
        <w:rPr>
          <w:rFonts w:ascii="Garamond" w:hAnsi="Garamond"/>
          <w:sz w:val="22"/>
          <w:szCs w:val="22"/>
        </w:rPr>
        <w:t>services</w:t>
      </w:r>
      <w:r w:rsidR="00831B10" w:rsidRPr="00A32AB2">
        <w:rPr>
          <w:rFonts w:ascii="Garamond" w:hAnsi="Garamond"/>
          <w:sz w:val="22"/>
          <w:szCs w:val="22"/>
        </w:rPr>
        <w:t xml:space="preserve"> in 2016 will be bolstered by increasing volumes of services </w:t>
      </w:r>
      <w:r w:rsidR="000E5E10">
        <w:rPr>
          <w:rFonts w:ascii="Garamond" w:hAnsi="Garamond"/>
          <w:sz w:val="22"/>
          <w:szCs w:val="22"/>
        </w:rPr>
        <w:t xml:space="preserve">connected with </w:t>
      </w:r>
      <w:r w:rsidR="00831B10" w:rsidRPr="00A32AB2">
        <w:rPr>
          <w:rFonts w:ascii="Garamond" w:hAnsi="Garamond"/>
          <w:sz w:val="22"/>
          <w:szCs w:val="22"/>
        </w:rPr>
        <w:t>export businesses.</w:t>
      </w:r>
    </w:p>
    <w:p w14:paraId="60ABA9EE" w14:textId="77777777" w:rsidR="00AC22BB" w:rsidRPr="00A32AB2" w:rsidRDefault="00AC22BB" w:rsidP="00B117C8">
      <w:pPr>
        <w:spacing w:line="360" w:lineRule="auto"/>
        <w:jc w:val="both"/>
        <w:rPr>
          <w:rFonts w:ascii="Garamond" w:hAnsi="Garamond"/>
          <w:sz w:val="22"/>
          <w:szCs w:val="22"/>
        </w:rPr>
      </w:pPr>
    </w:p>
    <w:p w14:paraId="34A2F391" w14:textId="77777777" w:rsidR="00831B10" w:rsidRPr="00A32AB2" w:rsidRDefault="00AC22BB" w:rsidP="00B117C8">
      <w:pPr>
        <w:spacing w:line="360" w:lineRule="auto"/>
        <w:jc w:val="both"/>
        <w:rPr>
          <w:rFonts w:ascii="Garamond" w:hAnsi="Garamond"/>
          <w:sz w:val="22"/>
          <w:szCs w:val="22"/>
        </w:rPr>
      </w:pPr>
      <w:r w:rsidRPr="00A32AB2">
        <w:rPr>
          <w:rFonts w:ascii="Garamond" w:hAnsi="Garamond"/>
          <w:bCs/>
          <w:iCs/>
          <w:color w:val="000000"/>
          <w:sz w:val="22"/>
          <w:szCs w:val="22"/>
        </w:rPr>
        <w:t>In the</w:t>
      </w:r>
      <w:r w:rsidRPr="00A32AB2">
        <w:rPr>
          <w:rFonts w:ascii="Garamond" w:hAnsi="Garamond"/>
          <w:b/>
          <w:bCs/>
          <w:iCs/>
          <w:color w:val="000000"/>
          <w:sz w:val="22"/>
          <w:szCs w:val="22"/>
        </w:rPr>
        <w:t xml:space="preserve"> forecast horizon</w:t>
      </w:r>
      <w:r w:rsidRPr="00A32AB2">
        <w:rPr>
          <w:rFonts w:ascii="Garamond" w:hAnsi="Garamond"/>
          <w:bCs/>
          <w:iCs/>
          <w:color w:val="000000"/>
          <w:sz w:val="22"/>
          <w:szCs w:val="22"/>
        </w:rPr>
        <w:t>,</w:t>
      </w:r>
      <w:r w:rsidR="00F36833" w:rsidRPr="00A32AB2">
        <w:rPr>
          <w:rFonts w:ascii="Garamond" w:hAnsi="Garamond"/>
          <w:bCs/>
          <w:iCs/>
          <w:color w:val="000000"/>
          <w:sz w:val="22"/>
          <w:szCs w:val="22"/>
          <w:lang w:val="hy-AM"/>
        </w:rPr>
        <w:t xml:space="preserve"> </w:t>
      </w:r>
      <w:r w:rsidR="009867FE" w:rsidRPr="00A32AB2">
        <w:rPr>
          <w:rFonts w:ascii="Garamond" w:hAnsi="Garamond"/>
          <w:sz w:val="22"/>
          <w:szCs w:val="22"/>
        </w:rPr>
        <w:t xml:space="preserve">the </w:t>
      </w:r>
      <w:r w:rsidRPr="00A32AB2">
        <w:rPr>
          <w:rFonts w:ascii="Garamond" w:hAnsi="Garamond"/>
          <w:sz w:val="22"/>
          <w:szCs w:val="22"/>
        </w:rPr>
        <w:t xml:space="preserve">growth in services is predicted to </w:t>
      </w:r>
      <w:r w:rsidRPr="00A32AB2">
        <w:rPr>
          <w:rFonts w:ascii="Garamond" w:hAnsi="Garamond"/>
          <w:b/>
          <w:sz w:val="22"/>
          <w:szCs w:val="22"/>
        </w:rPr>
        <w:t>stabilize within 3-4%</w:t>
      </w:r>
      <w:r w:rsidR="004C0CA3" w:rsidRPr="00A32AB2">
        <w:rPr>
          <w:rFonts w:ascii="Garamond" w:hAnsi="Garamond"/>
          <w:b/>
          <w:sz w:val="22"/>
          <w:szCs w:val="22"/>
        </w:rPr>
        <w:t xml:space="preserve"> </w:t>
      </w:r>
      <w:r w:rsidRPr="00A32AB2">
        <w:rPr>
          <w:rFonts w:ascii="Garamond" w:hAnsi="Garamond"/>
          <w:sz w:val="22"/>
          <w:szCs w:val="22"/>
        </w:rPr>
        <w:t>in view of gradually recovering domestic demand and expected tourism growth.</w:t>
      </w:r>
    </w:p>
    <w:p w14:paraId="6A66CEED" w14:textId="77777777" w:rsidR="00E5404F" w:rsidRPr="00A32AB2" w:rsidRDefault="00E5404F" w:rsidP="00B117C8">
      <w:pPr>
        <w:spacing w:line="360" w:lineRule="auto"/>
        <w:jc w:val="both"/>
        <w:rPr>
          <w:rFonts w:ascii="Garamond" w:hAnsi="Garamond"/>
          <w:sz w:val="22"/>
          <w:szCs w:val="22"/>
        </w:rPr>
      </w:pPr>
    </w:p>
    <w:p w14:paraId="051D3E5B" w14:textId="77777777" w:rsidR="009867FE" w:rsidRPr="00A32AB2" w:rsidRDefault="00E5404F" w:rsidP="00B117C8">
      <w:pPr>
        <w:spacing w:line="360" w:lineRule="auto"/>
        <w:jc w:val="both"/>
        <w:rPr>
          <w:rFonts w:ascii="Garamond" w:hAnsi="Garamond"/>
          <w:bCs/>
          <w:iCs/>
          <w:color w:val="000000"/>
          <w:sz w:val="22"/>
          <w:szCs w:val="22"/>
        </w:rPr>
      </w:pPr>
      <w:r w:rsidRPr="00A32AB2">
        <w:rPr>
          <w:rFonts w:ascii="Garamond" w:hAnsi="Garamond"/>
          <w:bCs/>
          <w:iCs/>
          <w:color w:val="000000"/>
          <w:sz w:val="22"/>
          <w:szCs w:val="22"/>
        </w:rPr>
        <w:t xml:space="preserve">For </w:t>
      </w:r>
      <w:r w:rsidRPr="00A32AB2">
        <w:rPr>
          <w:rFonts w:ascii="Garamond" w:hAnsi="Garamond"/>
          <w:b/>
          <w:bCs/>
          <w:iCs/>
          <w:color w:val="000000"/>
          <w:sz w:val="22"/>
          <w:szCs w:val="22"/>
        </w:rPr>
        <w:t>Agriculture</w:t>
      </w:r>
      <w:r w:rsidRPr="00A32AB2">
        <w:rPr>
          <w:rFonts w:ascii="Garamond" w:hAnsi="Garamond"/>
          <w:bCs/>
          <w:iCs/>
          <w:color w:val="000000"/>
          <w:sz w:val="22"/>
          <w:szCs w:val="22"/>
        </w:rPr>
        <w:t xml:space="preserve">, the forecasts of value added </w:t>
      </w:r>
      <w:r w:rsidR="004C0CA3" w:rsidRPr="00A32AB2">
        <w:rPr>
          <w:rFonts w:ascii="Garamond" w:hAnsi="Garamond"/>
          <w:bCs/>
          <w:iCs/>
          <w:color w:val="000000"/>
          <w:sz w:val="22"/>
          <w:szCs w:val="22"/>
        </w:rPr>
        <w:t xml:space="preserve">were revised downside </w:t>
      </w:r>
      <w:r w:rsidRPr="00A32AB2">
        <w:rPr>
          <w:rFonts w:ascii="Garamond" w:hAnsi="Garamond"/>
          <w:bCs/>
          <w:iCs/>
          <w:color w:val="000000"/>
          <w:sz w:val="22"/>
          <w:szCs w:val="22"/>
        </w:rPr>
        <w:t>in relation to the previous forecasts</w:t>
      </w:r>
      <w:r w:rsidR="00EC15E0">
        <w:rPr>
          <w:rFonts w:ascii="Garamond" w:hAnsi="Garamond"/>
          <w:bCs/>
          <w:iCs/>
          <w:color w:val="000000"/>
          <w:sz w:val="22"/>
          <w:szCs w:val="22"/>
        </w:rPr>
        <w:t>. This is explained by lower-than-expected output in</w:t>
      </w:r>
      <w:r w:rsidR="004C0CA3" w:rsidRPr="00A32AB2">
        <w:rPr>
          <w:rFonts w:ascii="Garamond" w:hAnsi="Garamond"/>
          <w:bCs/>
          <w:iCs/>
          <w:color w:val="000000"/>
          <w:sz w:val="22"/>
          <w:szCs w:val="22"/>
        </w:rPr>
        <w:t xml:space="preserve"> plant</w:t>
      </w:r>
      <w:r w:rsidR="00EC15E0">
        <w:rPr>
          <w:rFonts w:ascii="Garamond" w:hAnsi="Garamond"/>
          <w:bCs/>
          <w:iCs/>
          <w:color w:val="000000"/>
          <w:sz w:val="22"/>
          <w:szCs w:val="22"/>
        </w:rPr>
        <w:t xml:space="preserve"> growing </w:t>
      </w:r>
      <w:r w:rsidR="004C0CA3" w:rsidRPr="00A32AB2">
        <w:rPr>
          <w:rFonts w:ascii="Garamond" w:hAnsi="Garamond"/>
          <w:bCs/>
          <w:iCs/>
          <w:color w:val="000000"/>
          <w:sz w:val="22"/>
          <w:szCs w:val="22"/>
        </w:rPr>
        <w:t>in</w:t>
      </w:r>
      <w:r w:rsidR="00EC15E0">
        <w:rPr>
          <w:rFonts w:ascii="Garamond" w:hAnsi="Garamond"/>
          <w:bCs/>
          <w:iCs/>
          <w:color w:val="000000"/>
          <w:sz w:val="22"/>
          <w:szCs w:val="22"/>
        </w:rPr>
        <w:t xml:space="preserve"> the third quarter, which is but materialization of risks pointed out in </w:t>
      </w:r>
      <w:r w:rsidR="00EC15E0" w:rsidRPr="00EC15E0">
        <w:rPr>
          <w:rFonts w:ascii="Garamond" w:hAnsi="Garamond"/>
          <w:bCs/>
          <w:iCs/>
          <w:color w:val="000000"/>
          <w:sz w:val="22"/>
          <w:szCs w:val="22"/>
        </w:rPr>
        <w:t>previous</w:t>
      </w:r>
      <w:r w:rsidR="00EC15E0">
        <w:rPr>
          <w:rFonts w:ascii="Garamond" w:hAnsi="Garamond"/>
          <w:bCs/>
          <w:iCs/>
          <w:color w:val="000000"/>
          <w:sz w:val="22"/>
          <w:szCs w:val="22"/>
        </w:rPr>
        <w:t xml:space="preserve"> forecasts for the sector. </w:t>
      </w:r>
      <w:r w:rsidR="004C0CA3" w:rsidRPr="00A32AB2">
        <w:rPr>
          <w:rFonts w:ascii="Garamond" w:hAnsi="Garamond"/>
          <w:bCs/>
          <w:iCs/>
          <w:color w:val="000000"/>
          <w:sz w:val="22"/>
          <w:szCs w:val="22"/>
        </w:rPr>
        <w:t xml:space="preserve">The </w:t>
      </w:r>
      <w:r w:rsidR="00EC15E0">
        <w:rPr>
          <w:rFonts w:ascii="Garamond" w:hAnsi="Garamond"/>
          <w:bCs/>
          <w:iCs/>
          <w:color w:val="000000"/>
          <w:sz w:val="22"/>
          <w:szCs w:val="22"/>
        </w:rPr>
        <w:t xml:space="preserve">decline </w:t>
      </w:r>
      <w:r w:rsidR="004C0CA3" w:rsidRPr="00A32AB2">
        <w:rPr>
          <w:rFonts w:ascii="Garamond" w:hAnsi="Garamond"/>
          <w:bCs/>
          <w:iCs/>
          <w:color w:val="000000"/>
          <w:sz w:val="22"/>
          <w:szCs w:val="22"/>
        </w:rPr>
        <w:t xml:space="preserve">in the sector </w:t>
      </w:r>
      <w:r w:rsidR="00370025" w:rsidRPr="00A32AB2">
        <w:rPr>
          <w:rFonts w:ascii="Garamond" w:hAnsi="Garamond"/>
          <w:bCs/>
          <w:iCs/>
          <w:color w:val="000000"/>
          <w:sz w:val="22"/>
          <w:szCs w:val="22"/>
        </w:rPr>
        <w:t>in 2016 is</w:t>
      </w:r>
      <w:r w:rsidRPr="00A32AB2">
        <w:rPr>
          <w:rFonts w:ascii="Garamond" w:hAnsi="Garamond"/>
          <w:bCs/>
          <w:iCs/>
          <w:color w:val="000000"/>
          <w:sz w:val="22"/>
          <w:szCs w:val="22"/>
        </w:rPr>
        <w:t xml:space="preserve"> estimated in the range o</w:t>
      </w:r>
      <w:r w:rsidRPr="00DE53E5">
        <w:rPr>
          <w:rFonts w:ascii="Garamond" w:hAnsi="Garamond"/>
          <w:bCs/>
          <w:iCs/>
          <w:color w:val="000000"/>
          <w:sz w:val="22"/>
          <w:szCs w:val="22"/>
        </w:rPr>
        <w:t xml:space="preserve">f </w:t>
      </w:r>
      <w:r w:rsidR="00EC15E0" w:rsidRPr="00DE53E5">
        <w:rPr>
          <w:rFonts w:ascii="Garamond" w:hAnsi="Garamond"/>
          <w:bCs/>
          <w:iCs/>
          <w:color w:val="000000"/>
          <w:sz w:val="22"/>
          <w:szCs w:val="22"/>
        </w:rPr>
        <w:t>0.7</w:t>
      </w:r>
      <w:r w:rsidRPr="00DE53E5">
        <w:rPr>
          <w:rFonts w:ascii="Garamond" w:hAnsi="Garamond"/>
          <w:bCs/>
          <w:iCs/>
          <w:color w:val="000000"/>
          <w:sz w:val="22"/>
          <w:szCs w:val="22"/>
        </w:rPr>
        <w:t>-</w:t>
      </w:r>
      <w:r w:rsidR="00EC15E0" w:rsidRPr="00DE53E5">
        <w:rPr>
          <w:rFonts w:ascii="Garamond" w:hAnsi="Garamond"/>
          <w:bCs/>
          <w:iCs/>
          <w:color w:val="000000"/>
          <w:sz w:val="22"/>
          <w:szCs w:val="22"/>
        </w:rPr>
        <w:t>0</w:t>
      </w:r>
      <w:r w:rsidRPr="00DE53E5">
        <w:rPr>
          <w:rFonts w:ascii="Garamond" w:hAnsi="Garamond"/>
          <w:bCs/>
          <w:iCs/>
          <w:color w:val="000000"/>
          <w:sz w:val="22"/>
          <w:szCs w:val="22"/>
        </w:rPr>
        <w:t>.</w:t>
      </w:r>
      <w:r w:rsidR="00EC15E0" w:rsidRPr="00DE53E5">
        <w:rPr>
          <w:rFonts w:ascii="Garamond" w:hAnsi="Garamond"/>
          <w:bCs/>
          <w:iCs/>
          <w:color w:val="000000"/>
          <w:sz w:val="22"/>
          <w:szCs w:val="22"/>
        </w:rPr>
        <w:t>1</w:t>
      </w:r>
      <w:r w:rsidRPr="00DE53E5">
        <w:rPr>
          <w:rFonts w:ascii="Garamond" w:hAnsi="Garamond"/>
          <w:bCs/>
          <w:iCs/>
          <w:color w:val="000000"/>
          <w:sz w:val="22"/>
          <w:szCs w:val="22"/>
        </w:rPr>
        <w:t>%.</w:t>
      </w:r>
      <w:r w:rsidRPr="00A32AB2">
        <w:rPr>
          <w:rFonts w:ascii="Garamond" w:hAnsi="Garamond"/>
          <w:bCs/>
          <w:iCs/>
          <w:color w:val="000000"/>
          <w:sz w:val="22"/>
          <w:szCs w:val="22"/>
        </w:rPr>
        <w:t xml:space="preserve"> </w:t>
      </w:r>
    </w:p>
    <w:p w14:paraId="4DEDDDE2" w14:textId="77777777" w:rsidR="009867FE" w:rsidRPr="00A32AB2" w:rsidRDefault="009867FE" w:rsidP="00B117C8">
      <w:pPr>
        <w:spacing w:line="360" w:lineRule="auto"/>
        <w:jc w:val="both"/>
        <w:rPr>
          <w:rFonts w:ascii="Garamond" w:hAnsi="Garamond"/>
          <w:bCs/>
          <w:iCs/>
          <w:color w:val="000000"/>
          <w:sz w:val="22"/>
          <w:szCs w:val="22"/>
        </w:rPr>
      </w:pPr>
    </w:p>
    <w:p w14:paraId="3966031D" w14:textId="77777777" w:rsidR="00F56008" w:rsidRPr="00A32AB2" w:rsidRDefault="009867FE" w:rsidP="00B117C8">
      <w:pPr>
        <w:spacing w:line="360" w:lineRule="auto"/>
        <w:jc w:val="both"/>
        <w:rPr>
          <w:rFonts w:ascii="Garamond" w:hAnsi="Garamond"/>
          <w:bCs/>
          <w:iCs/>
          <w:color w:val="000000"/>
          <w:sz w:val="22"/>
          <w:szCs w:val="22"/>
        </w:rPr>
      </w:pPr>
      <w:r w:rsidRPr="00A32AB2">
        <w:rPr>
          <w:rFonts w:ascii="Garamond" w:hAnsi="Garamond"/>
          <w:b/>
          <w:bCs/>
          <w:iCs/>
          <w:color w:val="000000"/>
          <w:sz w:val="22"/>
          <w:szCs w:val="22"/>
        </w:rPr>
        <w:t xml:space="preserve">In </w:t>
      </w:r>
      <w:r w:rsidRPr="00A32AB2">
        <w:rPr>
          <w:rFonts w:ascii="Garamond" w:hAnsi="Garamond"/>
          <w:b/>
          <w:sz w:val="22"/>
          <w:szCs w:val="22"/>
        </w:rPr>
        <w:t>the forecast horizon</w:t>
      </w:r>
      <w:r w:rsidRPr="00A32AB2">
        <w:rPr>
          <w:rFonts w:ascii="Garamond" w:hAnsi="Garamond"/>
          <w:sz w:val="22"/>
          <w:szCs w:val="22"/>
        </w:rPr>
        <w:t>,</w:t>
      </w:r>
      <w:r w:rsidR="00F36833" w:rsidRPr="00A32AB2">
        <w:rPr>
          <w:rFonts w:ascii="Garamond" w:hAnsi="Garamond"/>
          <w:sz w:val="22"/>
          <w:szCs w:val="22"/>
          <w:lang w:val="hy-AM"/>
        </w:rPr>
        <w:t xml:space="preserve"> </w:t>
      </w:r>
      <w:r w:rsidRPr="00A32AB2">
        <w:rPr>
          <w:rFonts w:ascii="Garamond" w:hAnsi="Garamond"/>
          <w:sz w:val="22"/>
          <w:szCs w:val="22"/>
        </w:rPr>
        <w:t xml:space="preserve">the growth in agriculture will accelerate </w:t>
      </w:r>
      <w:r w:rsidR="00C704BE" w:rsidRPr="00A32AB2">
        <w:rPr>
          <w:rFonts w:ascii="Garamond" w:hAnsi="Garamond"/>
          <w:sz w:val="22"/>
          <w:szCs w:val="22"/>
        </w:rPr>
        <w:t xml:space="preserve">to </w:t>
      </w:r>
      <w:r w:rsidRPr="00A32AB2">
        <w:rPr>
          <w:rFonts w:ascii="Garamond" w:hAnsi="Garamond"/>
          <w:sz w:val="22"/>
          <w:szCs w:val="22"/>
        </w:rPr>
        <w:t xml:space="preserve">stabilize within </w:t>
      </w:r>
      <w:r w:rsidR="00DE53E5">
        <w:rPr>
          <w:rFonts w:ascii="Garamond" w:eastAsia="Calibri" w:hAnsi="Garamond" w:cs="Sylfaen"/>
          <w:b/>
          <w:sz w:val="22"/>
          <w:szCs w:val="22"/>
        </w:rPr>
        <w:t>4</w:t>
      </w:r>
      <w:r w:rsidRPr="00A32AB2">
        <w:rPr>
          <w:rFonts w:ascii="Garamond" w:eastAsia="Calibri" w:hAnsi="Garamond" w:cs="Sylfaen"/>
          <w:b/>
          <w:sz w:val="22"/>
          <w:szCs w:val="22"/>
        </w:rPr>
        <w:t>.</w:t>
      </w:r>
      <w:r w:rsidR="00DE53E5">
        <w:rPr>
          <w:rFonts w:ascii="Garamond" w:eastAsia="Calibri" w:hAnsi="Garamond" w:cs="Sylfaen"/>
          <w:b/>
          <w:sz w:val="22"/>
          <w:szCs w:val="22"/>
        </w:rPr>
        <w:t>0</w:t>
      </w:r>
      <w:r w:rsidRPr="00A32AB2">
        <w:rPr>
          <w:rFonts w:ascii="Garamond" w:eastAsia="Calibri" w:hAnsi="Garamond" w:cs="Sylfaen"/>
          <w:b/>
          <w:sz w:val="22"/>
          <w:szCs w:val="22"/>
        </w:rPr>
        <w:t>-</w:t>
      </w:r>
      <w:r w:rsidR="00DE53E5">
        <w:rPr>
          <w:rFonts w:ascii="Garamond" w:eastAsia="Calibri" w:hAnsi="Garamond" w:cs="Sylfaen"/>
          <w:b/>
          <w:sz w:val="22"/>
          <w:szCs w:val="22"/>
        </w:rPr>
        <w:t>5</w:t>
      </w:r>
      <w:r w:rsidRPr="00A32AB2">
        <w:rPr>
          <w:rFonts w:ascii="Garamond" w:eastAsia="Calibri" w:hAnsi="Garamond" w:cs="Sylfaen"/>
          <w:b/>
          <w:sz w:val="22"/>
          <w:szCs w:val="22"/>
        </w:rPr>
        <w:t>.</w:t>
      </w:r>
      <w:r w:rsidR="00DE53E5">
        <w:rPr>
          <w:rFonts w:ascii="Garamond" w:eastAsia="Calibri" w:hAnsi="Garamond" w:cs="Sylfaen"/>
          <w:b/>
          <w:sz w:val="22"/>
          <w:szCs w:val="22"/>
        </w:rPr>
        <w:t>0</w:t>
      </w:r>
      <w:r w:rsidRPr="00A32AB2">
        <w:rPr>
          <w:rFonts w:ascii="Garamond" w:eastAsia="Calibri" w:hAnsi="Garamond" w:cs="Sylfaen"/>
          <w:b/>
          <w:sz w:val="22"/>
          <w:szCs w:val="22"/>
        </w:rPr>
        <w:t>%</w:t>
      </w:r>
      <w:r w:rsidRPr="00A32AB2">
        <w:rPr>
          <w:rFonts w:ascii="Garamond" w:eastAsia="Calibri" w:hAnsi="Garamond" w:cs="Sylfaen"/>
          <w:sz w:val="22"/>
          <w:szCs w:val="22"/>
        </w:rPr>
        <w:t xml:space="preserve">. </w:t>
      </w:r>
      <w:r w:rsidR="00963FAA">
        <w:rPr>
          <w:rFonts w:ascii="Garamond" w:eastAsia="Calibri" w:hAnsi="Garamond" w:cs="Sylfaen"/>
          <w:sz w:val="22"/>
          <w:szCs w:val="22"/>
        </w:rPr>
        <w:t>The g</w:t>
      </w:r>
      <w:r w:rsidRPr="00A32AB2">
        <w:rPr>
          <w:rFonts w:ascii="Garamond" w:hAnsi="Garamond"/>
          <w:bCs/>
          <w:iCs/>
          <w:color w:val="000000"/>
          <w:sz w:val="22"/>
          <w:szCs w:val="22"/>
        </w:rPr>
        <w:t xml:space="preserve">rowth rates </w:t>
      </w:r>
      <w:r w:rsidR="00963FAA">
        <w:rPr>
          <w:rFonts w:ascii="Garamond" w:hAnsi="Garamond"/>
          <w:bCs/>
          <w:iCs/>
          <w:color w:val="000000"/>
          <w:sz w:val="22"/>
          <w:szCs w:val="22"/>
        </w:rPr>
        <w:t xml:space="preserve">in the sector can be expected </w:t>
      </w:r>
      <w:r w:rsidR="00164749">
        <w:rPr>
          <w:rFonts w:ascii="Garamond" w:hAnsi="Garamond"/>
          <w:bCs/>
          <w:iCs/>
          <w:color w:val="000000"/>
          <w:sz w:val="22"/>
          <w:szCs w:val="22"/>
        </w:rPr>
        <w:t xml:space="preserve">in the forecast horizon as the Government of Armenia carries on conducting a consistent policy to expand </w:t>
      </w:r>
      <w:r w:rsidRPr="00A32AB2">
        <w:rPr>
          <w:rFonts w:ascii="Garamond" w:hAnsi="Garamond"/>
          <w:bCs/>
          <w:iCs/>
          <w:color w:val="000000"/>
          <w:sz w:val="22"/>
          <w:szCs w:val="22"/>
        </w:rPr>
        <w:t>house farming and refrigerator facilities, arable land, crops and cattle</w:t>
      </w:r>
      <w:r w:rsidR="00164749">
        <w:rPr>
          <w:rFonts w:ascii="Garamond" w:hAnsi="Garamond"/>
          <w:bCs/>
          <w:iCs/>
          <w:color w:val="000000"/>
          <w:sz w:val="22"/>
          <w:szCs w:val="22"/>
        </w:rPr>
        <w:t>,</w:t>
      </w:r>
      <w:r w:rsidRPr="00A32AB2">
        <w:rPr>
          <w:rFonts w:ascii="Garamond" w:hAnsi="Garamond"/>
          <w:bCs/>
          <w:iCs/>
          <w:color w:val="000000"/>
          <w:sz w:val="22"/>
          <w:szCs w:val="22"/>
        </w:rPr>
        <w:t xml:space="preserve"> and </w:t>
      </w:r>
      <w:r w:rsidR="00164749">
        <w:rPr>
          <w:rFonts w:ascii="Garamond" w:hAnsi="Garamond"/>
          <w:bCs/>
          <w:iCs/>
          <w:color w:val="000000"/>
          <w:sz w:val="22"/>
          <w:szCs w:val="22"/>
        </w:rPr>
        <w:t xml:space="preserve">to </w:t>
      </w:r>
      <w:r w:rsidRPr="00A32AB2">
        <w:rPr>
          <w:rFonts w:ascii="Garamond" w:hAnsi="Garamond"/>
          <w:bCs/>
          <w:iCs/>
          <w:color w:val="000000"/>
          <w:sz w:val="22"/>
          <w:szCs w:val="22"/>
        </w:rPr>
        <w:t>engag</w:t>
      </w:r>
      <w:r w:rsidR="00164749">
        <w:rPr>
          <w:rFonts w:ascii="Garamond" w:hAnsi="Garamond"/>
          <w:bCs/>
          <w:iCs/>
          <w:color w:val="000000"/>
          <w:sz w:val="22"/>
          <w:szCs w:val="22"/>
        </w:rPr>
        <w:t>e</w:t>
      </w:r>
      <w:r w:rsidRPr="00A32AB2">
        <w:rPr>
          <w:rFonts w:ascii="Garamond" w:hAnsi="Garamond"/>
          <w:bCs/>
          <w:iCs/>
          <w:color w:val="000000"/>
          <w:sz w:val="22"/>
          <w:szCs w:val="22"/>
        </w:rPr>
        <w:t xml:space="preserve"> extra means of transportation for exports</w:t>
      </w:r>
      <w:r w:rsidR="00164749">
        <w:rPr>
          <w:rFonts w:ascii="Garamond" w:hAnsi="Garamond"/>
          <w:bCs/>
          <w:iCs/>
          <w:color w:val="000000"/>
          <w:sz w:val="22"/>
          <w:szCs w:val="22"/>
        </w:rPr>
        <w:t xml:space="preserve"> and boost up competitiveness in</w:t>
      </w:r>
      <w:r w:rsidR="00963FAA">
        <w:rPr>
          <w:rFonts w:ascii="Garamond" w:hAnsi="Garamond"/>
          <w:bCs/>
          <w:iCs/>
          <w:color w:val="000000"/>
          <w:sz w:val="22"/>
          <w:szCs w:val="22"/>
        </w:rPr>
        <w:t xml:space="preserve"> </w:t>
      </w:r>
      <w:r w:rsidR="004D48DE">
        <w:rPr>
          <w:rFonts w:ascii="Garamond" w:hAnsi="Garamond"/>
          <w:bCs/>
          <w:iCs/>
          <w:color w:val="000000"/>
          <w:sz w:val="22"/>
          <w:szCs w:val="22"/>
        </w:rPr>
        <w:t xml:space="preserve">the </w:t>
      </w:r>
      <w:r w:rsidR="00963FAA">
        <w:rPr>
          <w:rFonts w:ascii="Garamond" w:hAnsi="Garamond"/>
          <w:bCs/>
          <w:iCs/>
          <w:color w:val="000000"/>
          <w:sz w:val="22"/>
          <w:szCs w:val="22"/>
        </w:rPr>
        <w:t>agriculture</w:t>
      </w:r>
      <w:r w:rsidR="004D48DE">
        <w:rPr>
          <w:rFonts w:ascii="Garamond" w:hAnsi="Garamond"/>
          <w:bCs/>
          <w:iCs/>
          <w:color w:val="000000"/>
          <w:sz w:val="22"/>
          <w:szCs w:val="22"/>
        </w:rPr>
        <w:t>.</w:t>
      </w:r>
      <w:r w:rsidR="00963FAA">
        <w:rPr>
          <w:rFonts w:ascii="Garamond" w:hAnsi="Garamond"/>
          <w:bCs/>
          <w:iCs/>
          <w:color w:val="000000"/>
          <w:sz w:val="22"/>
          <w:szCs w:val="22"/>
        </w:rPr>
        <w:t xml:space="preserve"> </w:t>
      </w:r>
    </w:p>
    <w:p w14:paraId="19924B7A" w14:textId="77777777" w:rsidR="00290291" w:rsidRPr="00A32AB2" w:rsidRDefault="00290291" w:rsidP="00B117C8">
      <w:pPr>
        <w:spacing w:line="360" w:lineRule="auto"/>
        <w:jc w:val="both"/>
        <w:rPr>
          <w:rFonts w:ascii="Garamond" w:hAnsi="Garamond"/>
          <w:bCs/>
          <w:iCs/>
          <w:color w:val="000000"/>
          <w:sz w:val="22"/>
          <w:szCs w:val="22"/>
        </w:rPr>
      </w:pPr>
    </w:p>
    <w:p w14:paraId="1C6635EE" w14:textId="77777777" w:rsidR="00290291" w:rsidRPr="00A32AB2" w:rsidRDefault="00290291" w:rsidP="00B117C8">
      <w:pPr>
        <w:spacing w:line="360" w:lineRule="auto"/>
        <w:jc w:val="both"/>
        <w:rPr>
          <w:rFonts w:ascii="Garamond" w:hAnsi="Garamond"/>
          <w:b/>
          <w:sz w:val="22"/>
          <w:szCs w:val="22"/>
        </w:rPr>
      </w:pPr>
      <w:r w:rsidRPr="00A32AB2">
        <w:rPr>
          <w:rFonts w:ascii="Garamond" w:hAnsi="Garamond"/>
          <w:b/>
          <w:sz w:val="22"/>
          <w:szCs w:val="22"/>
        </w:rPr>
        <w:t xml:space="preserve">In the forecast horizon, </w:t>
      </w:r>
      <w:r w:rsidRPr="00A32AB2">
        <w:rPr>
          <w:rFonts w:ascii="Garamond" w:hAnsi="Garamond"/>
          <w:b/>
          <w:bCs/>
          <w:iCs/>
          <w:color w:val="000000"/>
          <w:sz w:val="22"/>
          <w:szCs w:val="22"/>
        </w:rPr>
        <w:t xml:space="preserve">risks to the economic growth are dual-sided and balanced. The risks to the economic growth are associated with </w:t>
      </w:r>
      <w:r w:rsidRPr="00A32AB2">
        <w:rPr>
          <w:rFonts w:ascii="Garamond" w:hAnsi="Garamond"/>
          <w:b/>
          <w:sz w:val="22"/>
          <w:szCs w:val="22"/>
        </w:rPr>
        <w:t>uncertainties in global and domestic economic environments.</w:t>
      </w:r>
    </w:p>
    <w:p w14:paraId="182F9E31" w14:textId="77777777" w:rsidR="00290291" w:rsidRPr="00A32AB2" w:rsidRDefault="00290291" w:rsidP="00B117C8">
      <w:pPr>
        <w:spacing w:line="360" w:lineRule="auto"/>
        <w:jc w:val="both"/>
        <w:rPr>
          <w:rFonts w:ascii="Garamond" w:hAnsi="Garamond"/>
          <w:b/>
          <w:sz w:val="22"/>
          <w:szCs w:val="22"/>
        </w:rPr>
      </w:pPr>
    </w:p>
    <w:p w14:paraId="75D47026" w14:textId="77777777" w:rsidR="00290291" w:rsidRPr="00A32AB2" w:rsidRDefault="00290291" w:rsidP="00B117C8">
      <w:pPr>
        <w:spacing w:line="360" w:lineRule="auto"/>
        <w:jc w:val="both"/>
        <w:rPr>
          <w:rFonts w:ascii="Garamond" w:hAnsi="Garamond"/>
          <w:sz w:val="22"/>
          <w:szCs w:val="22"/>
        </w:rPr>
      </w:pPr>
      <w:r w:rsidRPr="00A32AB2">
        <w:rPr>
          <w:rFonts w:ascii="Garamond" w:hAnsi="Garamond"/>
          <w:sz w:val="22"/>
          <w:szCs w:val="22"/>
        </w:rPr>
        <w:t xml:space="preserve">Among upside risks, most prominent are the expanding and using of export potential in certain sectors of the economy </w:t>
      </w:r>
      <w:r w:rsidR="00170831">
        <w:rPr>
          <w:rFonts w:ascii="Garamond" w:hAnsi="Garamond"/>
          <w:sz w:val="22"/>
          <w:szCs w:val="22"/>
        </w:rPr>
        <w:t xml:space="preserve">and exploring of new export markets </w:t>
      </w:r>
      <w:r w:rsidRPr="00A32AB2">
        <w:rPr>
          <w:rFonts w:ascii="Garamond" w:hAnsi="Garamond"/>
          <w:sz w:val="22"/>
          <w:szCs w:val="22"/>
        </w:rPr>
        <w:t>amid gradual recovery of global economy and growing competitiveness of Armenia.</w:t>
      </w:r>
    </w:p>
    <w:p w14:paraId="71DF6467" w14:textId="77777777" w:rsidR="006203FB" w:rsidRPr="00A32AB2" w:rsidRDefault="006203FB" w:rsidP="00B117C8">
      <w:pPr>
        <w:spacing w:line="360" w:lineRule="auto"/>
        <w:jc w:val="both"/>
        <w:rPr>
          <w:rFonts w:ascii="Garamond" w:hAnsi="Garamond"/>
          <w:sz w:val="22"/>
          <w:szCs w:val="22"/>
        </w:rPr>
      </w:pPr>
    </w:p>
    <w:p w14:paraId="221BB456" w14:textId="77777777" w:rsidR="006203FB" w:rsidRPr="00A32AB2" w:rsidRDefault="006203FB" w:rsidP="00B117C8">
      <w:pPr>
        <w:spacing w:line="360" w:lineRule="auto"/>
        <w:jc w:val="both"/>
        <w:rPr>
          <w:rFonts w:ascii="Garamond" w:hAnsi="Garamond"/>
          <w:sz w:val="22"/>
          <w:szCs w:val="22"/>
        </w:rPr>
      </w:pPr>
      <w:r w:rsidRPr="00A32AB2">
        <w:rPr>
          <w:rFonts w:ascii="Garamond" w:hAnsi="Garamond"/>
          <w:sz w:val="22"/>
          <w:szCs w:val="22"/>
        </w:rPr>
        <w:lastRenderedPageBreak/>
        <w:t xml:space="preserve">Downside risks include </w:t>
      </w:r>
      <w:r w:rsidR="00422B72">
        <w:rPr>
          <w:rFonts w:ascii="Garamond" w:hAnsi="Garamond"/>
          <w:sz w:val="22"/>
          <w:szCs w:val="22"/>
        </w:rPr>
        <w:t xml:space="preserve">a possible decline in value added in plant growing later the year, a </w:t>
      </w:r>
      <w:r w:rsidR="00CE0A67" w:rsidRPr="00A32AB2">
        <w:rPr>
          <w:rFonts w:ascii="Garamond" w:hAnsi="Garamond"/>
          <w:sz w:val="22"/>
          <w:szCs w:val="22"/>
        </w:rPr>
        <w:t xml:space="preserve">slower-than-expected recovery of private demand in </w:t>
      </w:r>
      <w:r w:rsidR="00422B72">
        <w:rPr>
          <w:rFonts w:ascii="Garamond" w:hAnsi="Garamond"/>
          <w:sz w:val="22"/>
          <w:szCs w:val="22"/>
        </w:rPr>
        <w:t xml:space="preserve">the medium run, </w:t>
      </w:r>
      <w:r w:rsidR="00CE0A67" w:rsidRPr="00A32AB2">
        <w:rPr>
          <w:rFonts w:ascii="Garamond" w:hAnsi="Garamond"/>
          <w:sz w:val="22"/>
          <w:szCs w:val="22"/>
        </w:rPr>
        <w:t>and</w:t>
      </w:r>
      <w:r w:rsidRPr="00A32AB2">
        <w:rPr>
          <w:rFonts w:ascii="Garamond" w:hAnsi="Garamond"/>
          <w:sz w:val="22"/>
          <w:szCs w:val="22"/>
        </w:rPr>
        <w:t xml:space="preserve"> </w:t>
      </w:r>
      <w:r w:rsidR="005623DD" w:rsidRPr="00A32AB2">
        <w:rPr>
          <w:rFonts w:ascii="Garamond" w:hAnsi="Garamond"/>
          <w:sz w:val="22"/>
          <w:szCs w:val="22"/>
        </w:rPr>
        <w:t>a</w:t>
      </w:r>
      <w:r w:rsidRPr="00A32AB2">
        <w:rPr>
          <w:rFonts w:ascii="Garamond" w:hAnsi="Garamond"/>
          <w:sz w:val="22"/>
          <w:szCs w:val="22"/>
        </w:rPr>
        <w:t xml:space="preserve"> </w:t>
      </w:r>
      <w:r w:rsidR="005623DD" w:rsidRPr="00A32AB2">
        <w:rPr>
          <w:rFonts w:ascii="Garamond" w:hAnsi="Garamond"/>
          <w:sz w:val="22"/>
          <w:szCs w:val="22"/>
        </w:rPr>
        <w:t xml:space="preserve">lingering </w:t>
      </w:r>
      <w:r w:rsidRPr="00A32AB2">
        <w:rPr>
          <w:rFonts w:ascii="Garamond" w:hAnsi="Garamond"/>
          <w:sz w:val="22"/>
          <w:szCs w:val="22"/>
        </w:rPr>
        <w:t xml:space="preserve">pace of </w:t>
      </w:r>
      <w:r w:rsidR="005623DD" w:rsidRPr="00A32AB2">
        <w:rPr>
          <w:rFonts w:ascii="Garamond" w:hAnsi="Garamond"/>
          <w:sz w:val="22"/>
          <w:szCs w:val="22"/>
        </w:rPr>
        <w:t xml:space="preserve">pushing ahead with </w:t>
      </w:r>
      <w:r w:rsidRPr="00A32AB2">
        <w:rPr>
          <w:rFonts w:ascii="Garamond" w:hAnsi="Garamond"/>
          <w:sz w:val="22"/>
          <w:szCs w:val="22"/>
        </w:rPr>
        <w:t>structural reforms</w:t>
      </w:r>
      <w:r w:rsidR="005623DD" w:rsidRPr="00A32AB2">
        <w:rPr>
          <w:rFonts w:ascii="Garamond" w:hAnsi="Garamond"/>
          <w:sz w:val="22"/>
          <w:szCs w:val="22"/>
        </w:rPr>
        <w:t xml:space="preserve"> for economic growth</w:t>
      </w:r>
      <w:r w:rsidRPr="00A32AB2">
        <w:rPr>
          <w:rFonts w:ascii="Garamond" w:hAnsi="Garamond"/>
          <w:sz w:val="22"/>
          <w:szCs w:val="22"/>
        </w:rPr>
        <w:t>.</w:t>
      </w:r>
    </w:p>
    <w:p w14:paraId="1BE216E5" w14:textId="77777777" w:rsidR="00C70554" w:rsidRPr="00A32AB2" w:rsidRDefault="00C70554" w:rsidP="00B117C8">
      <w:pPr>
        <w:spacing w:line="360" w:lineRule="auto"/>
        <w:jc w:val="both"/>
        <w:rPr>
          <w:rFonts w:ascii="Garamond" w:hAnsi="Garamond"/>
          <w:sz w:val="22"/>
          <w:szCs w:val="22"/>
        </w:rPr>
      </w:pPr>
    </w:p>
    <w:p w14:paraId="4B9505E4" w14:textId="77777777" w:rsidR="00C70554" w:rsidRPr="00A32AB2" w:rsidRDefault="00C70554" w:rsidP="00B117C8">
      <w:pPr>
        <w:spacing w:line="360" w:lineRule="auto"/>
        <w:jc w:val="both"/>
        <w:rPr>
          <w:rFonts w:ascii="Garamond" w:hAnsi="Garamond"/>
          <w:sz w:val="22"/>
          <w:szCs w:val="22"/>
        </w:rPr>
      </w:pPr>
      <w:r w:rsidRPr="00A32AB2">
        <w:rPr>
          <w:rFonts w:ascii="Garamond" w:hAnsi="Garamond" w:cs="Sylfaen"/>
          <w:b/>
          <w:iCs/>
          <w:sz w:val="22"/>
          <w:szCs w:val="22"/>
        </w:rPr>
        <w:t>Labor market:</w:t>
      </w:r>
      <w:r w:rsidR="00E14046">
        <w:rPr>
          <w:rStyle w:val="FootnoteReference"/>
          <w:rFonts w:ascii="Garamond" w:hAnsi="Garamond" w:cs="Sylfaen"/>
          <w:iCs/>
          <w:sz w:val="22"/>
          <w:szCs w:val="22"/>
        </w:rPr>
        <w:footnoteReference w:customMarkFollows="1" w:id="6"/>
        <w:t>6</w:t>
      </w:r>
      <w:r w:rsidRPr="00A32AB2">
        <w:rPr>
          <w:rFonts w:ascii="Garamond" w:hAnsi="Garamond" w:cs="Sylfaen"/>
          <w:iCs/>
          <w:sz w:val="22"/>
          <w:szCs w:val="22"/>
        </w:rPr>
        <w:t xml:space="preserve"> The </w:t>
      </w:r>
      <w:r w:rsidR="00E14046">
        <w:rPr>
          <w:rFonts w:ascii="Garamond" w:hAnsi="Garamond" w:cs="Sylfaen"/>
          <w:iCs/>
          <w:sz w:val="22"/>
          <w:szCs w:val="22"/>
        </w:rPr>
        <w:t>average nominal wage</w:t>
      </w:r>
      <w:r w:rsidR="007971BE">
        <w:rPr>
          <w:rStyle w:val="FootnoteReference"/>
          <w:rFonts w:ascii="Garamond" w:hAnsi="Garamond" w:cs="Sylfaen"/>
          <w:iCs/>
          <w:sz w:val="22"/>
          <w:szCs w:val="22"/>
        </w:rPr>
        <w:footnoteReference w:customMarkFollows="1" w:id="7"/>
        <w:t>7</w:t>
      </w:r>
      <w:r w:rsidR="00E14046">
        <w:rPr>
          <w:rFonts w:ascii="Garamond" w:hAnsi="Garamond" w:cs="Sylfaen"/>
          <w:iCs/>
          <w:sz w:val="22"/>
          <w:szCs w:val="22"/>
        </w:rPr>
        <w:t xml:space="preserve"> forecasts for </w:t>
      </w:r>
      <w:r w:rsidRPr="00A32AB2">
        <w:rPr>
          <w:rFonts w:ascii="Garamond" w:hAnsi="Garamond" w:cs="Sylfaen"/>
          <w:iCs/>
          <w:sz w:val="22"/>
          <w:szCs w:val="22"/>
        </w:rPr>
        <w:t>2016-201</w:t>
      </w:r>
      <w:r w:rsidR="00E14046">
        <w:rPr>
          <w:rFonts w:ascii="Garamond" w:hAnsi="Garamond" w:cs="Sylfaen"/>
          <w:iCs/>
          <w:sz w:val="22"/>
          <w:szCs w:val="22"/>
        </w:rPr>
        <w:t>9</w:t>
      </w:r>
      <w:r w:rsidRPr="00A32AB2">
        <w:rPr>
          <w:rFonts w:ascii="Garamond" w:hAnsi="Garamond" w:cs="Sylfaen"/>
          <w:iCs/>
          <w:sz w:val="22"/>
          <w:szCs w:val="22"/>
        </w:rPr>
        <w:t xml:space="preserve"> </w:t>
      </w:r>
      <w:r w:rsidR="00E14046">
        <w:rPr>
          <w:rFonts w:ascii="Garamond" w:hAnsi="Garamond" w:cs="Sylfaen"/>
          <w:iCs/>
          <w:sz w:val="22"/>
          <w:szCs w:val="22"/>
        </w:rPr>
        <w:t>were adjusted downside in consideration of downward revision of economic growth for that period of time and an anticipated slow growth rate in average nominal wage in the public sector in 2017</w:t>
      </w:r>
      <w:r w:rsidR="00610C0D" w:rsidRPr="00A32AB2">
        <w:rPr>
          <w:rFonts w:ascii="Garamond" w:hAnsi="Garamond" w:cs="Sylfaen"/>
          <w:iCs/>
          <w:sz w:val="22"/>
          <w:szCs w:val="22"/>
        </w:rPr>
        <w:t>.</w:t>
      </w:r>
      <w:r w:rsidR="000F60CD" w:rsidRPr="00A32AB2">
        <w:rPr>
          <w:rFonts w:ascii="Garamond" w:hAnsi="Garamond" w:cs="Sylfaen"/>
          <w:iCs/>
          <w:sz w:val="22"/>
          <w:szCs w:val="22"/>
        </w:rPr>
        <w:t xml:space="preserve"> </w:t>
      </w:r>
    </w:p>
    <w:p w14:paraId="2F0FC63C" w14:textId="77777777" w:rsidR="000F60CD" w:rsidRPr="00A32AB2" w:rsidRDefault="000F60CD" w:rsidP="00B117C8">
      <w:pPr>
        <w:spacing w:line="360" w:lineRule="auto"/>
        <w:jc w:val="both"/>
        <w:rPr>
          <w:rFonts w:ascii="Garamond" w:hAnsi="Garamond"/>
          <w:sz w:val="22"/>
          <w:szCs w:val="22"/>
        </w:rPr>
      </w:pPr>
    </w:p>
    <w:p w14:paraId="0B34AD70" w14:textId="77777777" w:rsidR="00E23D05" w:rsidRPr="00A32AB2" w:rsidRDefault="007971BE" w:rsidP="00B117C8">
      <w:pPr>
        <w:spacing w:line="360" w:lineRule="auto"/>
        <w:jc w:val="both"/>
        <w:rPr>
          <w:rFonts w:ascii="Garamond" w:hAnsi="Garamond" w:cs="Sylfaen"/>
          <w:sz w:val="22"/>
          <w:szCs w:val="22"/>
        </w:rPr>
      </w:pPr>
      <w:r w:rsidRPr="00C869F4">
        <w:rPr>
          <w:rFonts w:ascii="Garamond" w:hAnsi="Garamond"/>
          <w:strike/>
          <w:color w:val="FF0000"/>
          <w:sz w:val="22"/>
          <w:szCs w:val="22"/>
        </w:rPr>
        <w:t>With t</w:t>
      </w:r>
      <w:r w:rsidR="00E51C4E" w:rsidRPr="00C869F4">
        <w:rPr>
          <w:rFonts w:ascii="Garamond" w:hAnsi="Garamond"/>
          <w:strike/>
          <w:color w:val="FF0000"/>
          <w:sz w:val="22"/>
          <w:szCs w:val="22"/>
        </w:rPr>
        <w:t xml:space="preserve">he </w:t>
      </w:r>
      <w:r w:rsidRPr="00C869F4">
        <w:rPr>
          <w:rFonts w:ascii="Garamond" w:hAnsi="Garamond"/>
          <w:strike/>
          <w:color w:val="FF0000"/>
          <w:sz w:val="22"/>
          <w:szCs w:val="22"/>
        </w:rPr>
        <w:t xml:space="preserve">second quarter’s economic activity </w:t>
      </w:r>
      <w:r w:rsidR="00200EF8" w:rsidRPr="00C869F4">
        <w:rPr>
          <w:rFonts w:ascii="Garamond" w:hAnsi="Garamond"/>
          <w:strike/>
          <w:color w:val="FF0000"/>
          <w:sz w:val="22"/>
          <w:szCs w:val="22"/>
        </w:rPr>
        <w:t xml:space="preserve">indicator </w:t>
      </w:r>
      <w:r w:rsidRPr="00C869F4">
        <w:rPr>
          <w:rFonts w:ascii="Garamond" w:hAnsi="Garamond"/>
          <w:strike/>
          <w:color w:val="FF0000"/>
          <w:sz w:val="22"/>
          <w:szCs w:val="22"/>
        </w:rPr>
        <w:t>l</w:t>
      </w:r>
      <w:r w:rsidR="00200EF8" w:rsidRPr="00C869F4">
        <w:rPr>
          <w:rFonts w:ascii="Garamond" w:hAnsi="Garamond"/>
          <w:strike/>
          <w:color w:val="FF0000"/>
          <w:sz w:val="22"/>
          <w:szCs w:val="22"/>
        </w:rPr>
        <w:t xml:space="preserve">esser </w:t>
      </w:r>
      <w:r w:rsidRPr="00C869F4">
        <w:rPr>
          <w:rFonts w:ascii="Garamond" w:hAnsi="Garamond"/>
          <w:strike/>
          <w:color w:val="FF0000"/>
          <w:sz w:val="22"/>
          <w:szCs w:val="22"/>
        </w:rPr>
        <w:t>from pr</w:t>
      </w:r>
      <w:r w:rsidR="00200EF8" w:rsidRPr="00C869F4">
        <w:rPr>
          <w:rFonts w:ascii="Garamond" w:hAnsi="Garamond"/>
          <w:strike/>
          <w:color w:val="FF0000"/>
          <w:sz w:val="22"/>
          <w:szCs w:val="22"/>
        </w:rPr>
        <w:t>ojections</w:t>
      </w:r>
      <w:r w:rsidRPr="00C869F4">
        <w:rPr>
          <w:rFonts w:ascii="Garamond" w:hAnsi="Garamond"/>
          <w:strike/>
          <w:color w:val="FF0000"/>
          <w:sz w:val="22"/>
          <w:szCs w:val="22"/>
        </w:rPr>
        <w:t>,</w:t>
      </w:r>
      <w:r w:rsidRPr="00C869F4">
        <w:rPr>
          <w:rFonts w:ascii="Garamond" w:hAnsi="Garamond"/>
          <w:color w:val="FF0000"/>
          <w:sz w:val="22"/>
          <w:szCs w:val="22"/>
        </w:rPr>
        <w:t xml:space="preserve"> </w:t>
      </w:r>
      <w:r w:rsidR="00054E5F">
        <w:rPr>
          <w:rFonts w:ascii="Garamond" w:hAnsi="Garamond"/>
          <w:color w:val="FF0000"/>
          <w:sz w:val="22"/>
          <w:szCs w:val="22"/>
        </w:rPr>
        <w:t>With the economic activity lesser from projections since the second quarter of 2016,</w:t>
      </w:r>
      <w:r w:rsidR="00054E5F">
        <w:rPr>
          <w:rFonts w:ascii="Garamond" w:hAnsi="Garamond"/>
          <w:sz w:val="22"/>
          <w:szCs w:val="22"/>
        </w:rPr>
        <w:t xml:space="preserve"> </w:t>
      </w:r>
      <w:r>
        <w:rPr>
          <w:rFonts w:ascii="Garamond" w:hAnsi="Garamond"/>
          <w:sz w:val="22"/>
          <w:szCs w:val="22"/>
        </w:rPr>
        <w:t xml:space="preserve">about </w:t>
      </w:r>
      <w:r w:rsidR="00200EF8">
        <w:rPr>
          <w:rFonts w:ascii="Garamond" w:hAnsi="Garamond"/>
          <w:sz w:val="22"/>
          <w:szCs w:val="22"/>
        </w:rPr>
        <w:t xml:space="preserve">an annual </w:t>
      </w:r>
      <w:r>
        <w:rPr>
          <w:rFonts w:ascii="Garamond" w:hAnsi="Garamond"/>
          <w:sz w:val="22"/>
          <w:szCs w:val="22"/>
        </w:rPr>
        <w:t xml:space="preserve">4.1% increase in </w:t>
      </w:r>
      <w:r w:rsidR="00200EF8">
        <w:rPr>
          <w:rFonts w:ascii="Garamond" w:hAnsi="Garamond"/>
          <w:sz w:val="22"/>
          <w:szCs w:val="22"/>
        </w:rPr>
        <w:t xml:space="preserve">average </w:t>
      </w:r>
      <w:r>
        <w:rPr>
          <w:rFonts w:ascii="Garamond" w:hAnsi="Garamond"/>
          <w:sz w:val="22"/>
          <w:szCs w:val="22"/>
        </w:rPr>
        <w:t xml:space="preserve">nominal wages is anticipated </w:t>
      </w:r>
      <w:r w:rsidR="00200EF8" w:rsidRPr="00200EF8">
        <w:rPr>
          <w:rFonts w:ascii="Garamond" w:hAnsi="Garamond"/>
          <w:b/>
          <w:sz w:val="22"/>
          <w:szCs w:val="22"/>
        </w:rPr>
        <w:t>in the private sector</w:t>
      </w:r>
      <w:r w:rsidR="00200EF8">
        <w:rPr>
          <w:rFonts w:ascii="Garamond" w:hAnsi="Garamond"/>
          <w:sz w:val="22"/>
          <w:szCs w:val="22"/>
        </w:rPr>
        <w:t xml:space="preserve">, which is however 2.4 pp lower from previous forecasts. Nevertheless, </w:t>
      </w:r>
      <w:r w:rsidR="00200EF8" w:rsidRPr="00200EF8">
        <w:rPr>
          <w:rFonts w:ascii="Garamond" w:hAnsi="Garamond"/>
          <w:sz w:val="22"/>
          <w:szCs w:val="22"/>
        </w:rPr>
        <w:t>real wages in the private sector will grow by around 5.4</w:t>
      </w:r>
      <w:r w:rsidR="00200EF8">
        <w:rPr>
          <w:rFonts w:ascii="Garamond" w:hAnsi="Garamond"/>
          <w:sz w:val="22"/>
          <w:szCs w:val="22"/>
        </w:rPr>
        <w:t>% owing to a price deflation recorded in 2016</w:t>
      </w:r>
      <w:r w:rsidR="00200EF8" w:rsidRPr="00200EF8">
        <w:rPr>
          <w:rFonts w:ascii="Garamond" w:hAnsi="Garamond"/>
          <w:sz w:val="22"/>
          <w:szCs w:val="22"/>
        </w:rPr>
        <w:t>.</w:t>
      </w:r>
      <w:r w:rsidR="00200EF8">
        <w:rPr>
          <w:rFonts w:ascii="Garamond" w:hAnsi="Garamond"/>
          <w:sz w:val="22"/>
          <w:szCs w:val="22"/>
        </w:rPr>
        <w:t xml:space="preserve"> </w:t>
      </w:r>
      <w:r w:rsidR="00486266" w:rsidRPr="00A32AB2">
        <w:rPr>
          <w:rFonts w:ascii="Garamond" w:hAnsi="Garamond"/>
          <w:sz w:val="22"/>
          <w:szCs w:val="22"/>
        </w:rPr>
        <w:t xml:space="preserve">Note that </w:t>
      </w:r>
      <w:r w:rsidR="000F60CD" w:rsidRPr="00A32AB2">
        <w:rPr>
          <w:rFonts w:ascii="Garamond" w:hAnsi="Garamond"/>
          <w:sz w:val="22"/>
          <w:szCs w:val="22"/>
        </w:rPr>
        <w:t>the minimum wage threshold</w:t>
      </w:r>
      <w:r w:rsidR="001368A5">
        <w:rPr>
          <w:rFonts w:ascii="Garamond" w:hAnsi="Garamond"/>
          <w:sz w:val="22"/>
          <w:szCs w:val="22"/>
        </w:rPr>
        <w:t>,</w:t>
      </w:r>
      <w:r w:rsidR="000F60CD" w:rsidRPr="00A32AB2">
        <w:rPr>
          <w:rFonts w:ascii="Garamond" w:hAnsi="Garamond"/>
          <w:sz w:val="22"/>
          <w:szCs w:val="22"/>
        </w:rPr>
        <w:t xml:space="preserve"> </w:t>
      </w:r>
      <w:r w:rsidR="00826FC7">
        <w:rPr>
          <w:rFonts w:ascii="Garamond" w:hAnsi="Garamond"/>
          <w:sz w:val="22"/>
          <w:szCs w:val="22"/>
        </w:rPr>
        <w:t xml:space="preserve">currently at </w:t>
      </w:r>
      <w:r w:rsidR="000F60CD" w:rsidRPr="00A32AB2">
        <w:rPr>
          <w:rFonts w:ascii="Garamond" w:hAnsi="Garamond"/>
          <w:sz w:val="22"/>
          <w:szCs w:val="22"/>
        </w:rPr>
        <w:t>AMD 55,000</w:t>
      </w:r>
      <w:r w:rsidR="001368A5">
        <w:rPr>
          <w:rFonts w:ascii="Garamond" w:hAnsi="Garamond"/>
          <w:sz w:val="22"/>
          <w:szCs w:val="22"/>
        </w:rPr>
        <w:t>,</w:t>
      </w:r>
      <w:r w:rsidR="000F60CD" w:rsidRPr="00A32AB2">
        <w:rPr>
          <w:rFonts w:ascii="Garamond" w:hAnsi="Garamond"/>
          <w:sz w:val="22"/>
          <w:szCs w:val="22"/>
        </w:rPr>
        <w:t xml:space="preserve"> </w:t>
      </w:r>
      <w:r w:rsidR="00826FC7">
        <w:rPr>
          <w:rFonts w:ascii="Garamond" w:hAnsi="Garamond"/>
          <w:sz w:val="22"/>
          <w:szCs w:val="22"/>
        </w:rPr>
        <w:t>did not rise in 2016</w:t>
      </w:r>
      <w:r w:rsidR="00087190">
        <w:rPr>
          <w:rFonts w:ascii="Garamond" w:hAnsi="Garamond"/>
          <w:sz w:val="22"/>
          <w:szCs w:val="22"/>
        </w:rPr>
        <w:t>.</w:t>
      </w:r>
      <w:r w:rsidR="001368A5">
        <w:rPr>
          <w:rFonts w:ascii="Garamond" w:hAnsi="Garamond"/>
          <w:sz w:val="22"/>
          <w:szCs w:val="22"/>
        </w:rPr>
        <w:t xml:space="preserve"> </w:t>
      </w:r>
      <w:r w:rsidR="00087190">
        <w:rPr>
          <w:rFonts w:ascii="Garamond" w:hAnsi="Garamond"/>
          <w:sz w:val="22"/>
          <w:szCs w:val="22"/>
        </w:rPr>
        <w:t xml:space="preserve">Because </w:t>
      </w:r>
      <w:r w:rsidR="00210C68" w:rsidRPr="00A32AB2">
        <w:rPr>
          <w:rFonts w:ascii="Garamond" w:hAnsi="Garamond"/>
          <w:sz w:val="22"/>
          <w:szCs w:val="22"/>
        </w:rPr>
        <w:t xml:space="preserve">more increases of the threshold </w:t>
      </w:r>
      <w:r w:rsidR="00215850" w:rsidRPr="00A32AB2">
        <w:rPr>
          <w:rFonts w:ascii="Garamond" w:hAnsi="Garamond"/>
          <w:sz w:val="22"/>
          <w:szCs w:val="22"/>
        </w:rPr>
        <w:t xml:space="preserve">are </w:t>
      </w:r>
      <w:r w:rsidR="00210C68" w:rsidRPr="00A32AB2">
        <w:rPr>
          <w:rFonts w:ascii="Garamond" w:hAnsi="Garamond"/>
          <w:sz w:val="22"/>
          <w:szCs w:val="22"/>
        </w:rPr>
        <w:t xml:space="preserve">not scheduled </w:t>
      </w:r>
      <w:r w:rsidR="00486266" w:rsidRPr="00A32AB2">
        <w:rPr>
          <w:rFonts w:ascii="Garamond" w:hAnsi="Garamond"/>
          <w:sz w:val="22"/>
          <w:szCs w:val="22"/>
        </w:rPr>
        <w:t>in</w:t>
      </w:r>
      <w:r w:rsidR="00210C68" w:rsidRPr="00A32AB2">
        <w:rPr>
          <w:rFonts w:ascii="Garamond" w:hAnsi="Garamond"/>
          <w:sz w:val="22"/>
          <w:szCs w:val="22"/>
        </w:rPr>
        <w:t xml:space="preserve"> 201</w:t>
      </w:r>
      <w:r w:rsidR="001368A5">
        <w:rPr>
          <w:rFonts w:ascii="Garamond" w:hAnsi="Garamond"/>
          <w:sz w:val="22"/>
          <w:szCs w:val="22"/>
        </w:rPr>
        <w:t xml:space="preserve">7 </w:t>
      </w:r>
      <w:r w:rsidR="00087190">
        <w:rPr>
          <w:rFonts w:ascii="Garamond" w:hAnsi="Garamond"/>
          <w:sz w:val="22"/>
          <w:szCs w:val="22"/>
        </w:rPr>
        <w:t xml:space="preserve">too and in view of the policy steered to </w:t>
      </w:r>
      <w:r w:rsidR="00E23D05" w:rsidRPr="00A32AB2">
        <w:rPr>
          <w:rFonts w:ascii="Garamond" w:hAnsi="Garamond" w:cs="Sylfaen"/>
          <w:sz w:val="22"/>
          <w:szCs w:val="22"/>
        </w:rPr>
        <w:t>economic growth</w:t>
      </w:r>
      <w:r w:rsidR="00087190">
        <w:rPr>
          <w:rFonts w:ascii="Garamond" w:hAnsi="Garamond" w:cs="Sylfaen"/>
          <w:sz w:val="22"/>
          <w:szCs w:val="22"/>
        </w:rPr>
        <w:t xml:space="preserve"> and</w:t>
      </w:r>
      <w:r w:rsidR="00E23D05" w:rsidRPr="00A32AB2">
        <w:rPr>
          <w:rFonts w:ascii="Garamond" w:hAnsi="Garamond" w:cs="Sylfaen"/>
          <w:sz w:val="22"/>
          <w:szCs w:val="22"/>
        </w:rPr>
        <w:t xml:space="preserve"> fulfillment of the inflation target</w:t>
      </w:r>
      <w:r w:rsidR="00087190">
        <w:rPr>
          <w:rFonts w:ascii="Garamond" w:hAnsi="Garamond" w:cs="Sylfaen"/>
          <w:sz w:val="22"/>
          <w:szCs w:val="22"/>
        </w:rPr>
        <w:t>,</w:t>
      </w:r>
      <w:r w:rsidR="00E23D05" w:rsidRPr="00A32AB2">
        <w:rPr>
          <w:rFonts w:ascii="Garamond" w:hAnsi="Garamond" w:cs="Sylfaen"/>
          <w:sz w:val="22"/>
          <w:szCs w:val="22"/>
        </w:rPr>
        <w:t xml:space="preserve"> the average nominal wage </w:t>
      </w:r>
      <w:r w:rsidR="00087190">
        <w:rPr>
          <w:rFonts w:ascii="Garamond" w:hAnsi="Garamond" w:cs="Sylfaen"/>
          <w:sz w:val="22"/>
          <w:szCs w:val="22"/>
        </w:rPr>
        <w:t xml:space="preserve">is expected to grow </w:t>
      </w:r>
      <w:r w:rsidR="00E23D05" w:rsidRPr="00A32AB2">
        <w:rPr>
          <w:rFonts w:ascii="Garamond" w:hAnsi="Garamond" w:cs="Sylfaen"/>
          <w:sz w:val="22"/>
          <w:szCs w:val="22"/>
        </w:rPr>
        <w:t xml:space="preserve">by </w:t>
      </w:r>
      <w:r w:rsidR="00087190">
        <w:rPr>
          <w:rFonts w:ascii="Garamond" w:hAnsi="Garamond" w:cs="Sylfaen"/>
          <w:sz w:val="22"/>
          <w:szCs w:val="22"/>
        </w:rPr>
        <w:t>3</w:t>
      </w:r>
      <w:r w:rsidR="00E23D05" w:rsidRPr="00A32AB2">
        <w:rPr>
          <w:rFonts w:ascii="Garamond" w:hAnsi="Garamond" w:cs="Sylfaen"/>
          <w:sz w:val="22"/>
          <w:szCs w:val="22"/>
        </w:rPr>
        <w:t>.</w:t>
      </w:r>
      <w:r w:rsidR="00087190">
        <w:rPr>
          <w:rFonts w:ascii="Garamond" w:hAnsi="Garamond" w:cs="Sylfaen"/>
          <w:sz w:val="22"/>
          <w:szCs w:val="22"/>
        </w:rPr>
        <w:t>7</w:t>
      </w:r>
      <w:r w:rsidR="00E23D05" w:rsidRPr="00A32AB2">
        <w:rPr>
          <w:rFonts w:ascii="Garamond" w:hAnsi="Garamond" w:cs="Sylfaen"/>
          <w:sz w:val="22"/>
          <w:szCs w:val="22"/>
        </w:rPr>
        <w:t>% in 2017</w:t>
      </w:r>
      <w:r w:rsidR="00087190">
        <w:rPr>
          <w:rFonts w:ascii="Garamond" w:hAnsi="Garamond" w:cs="Sylfaen"/>
          <w:sz w:val="22"/>
          <w:szCs w:val="22"/>
        </w:rPr>
        <w:t>, 5% in 2018,</w:t>
      </w:r>
      <w:r w:rsidR="00E23D05" w:rsidRPr="00A32AB2">
        <w:rPr>
          <w:rFonts w:ascii="Garamond" w:hAnsi="Garamond" w:cs="Sylfaen"/>
          <w:sz w:val="22"/>
          <w:szCs w:val="22"/>
        </w:rPr>
        <w:t xml:space="preserve"> and nearly </w:t>
      </w:r>
      <w:r w:rsidR="00087190">
        <w:rPr>
          <w:rFonts w:ascii="Garamond" w:hAnsi="Garamond" w:cs="Sylfaen"/>
          <w:sz w:val="22"/>
          <w:szCs w:val="22"/>
        </w:rPr>
        <w:t>6.2</w:t>
      </w:r>
      <w:r w:rsidR="00E23D05" w:rsidRPr="00A32AB2">
        <w:rPr>
          <w:rFonts w:ascii="Garamond" w:hAnsi="Garamond" w:cs="Sylfaen"/>
          <w:sz w:val="22"/>
          <w:szCs w:val="22"/>
        </w:rPr>
        <w:t>% in 201</w:t>
      </w:r>
      <w:r w:rsidR="00087190">
        <w:rPr>
          <w:rFonts w:ascii="Garamond" w:hAnsi="Garamond" w:cs="Sylfaen"/>
          <w:sz w:val="22"/>
          <w:szCs w:val="22"/>
        </w:rPr>
        <w:t>9</w:t>
      </w:r>
      <w:r w:rsidR="00E23D05" w:rsidRPr="00A32AB2">
        <w:rPr>
          <w:rFonts w:ascii="Garamond" w:hAnsi="Garamond" w:cs="Sylfaen"/>
          <w:sz w:val="22"/>
          <w:szCs w:val="22"/>
        </w:rPr>
        <w:t>.</w:t>
      </w:r>
    </w:p>
    <w:p w14:paraId="7EEE59A8" w14:textId="77777777" w:rsidR="00E23D05" w:rsidRPr="00A32AB2" w:rsidRDefault="00E23D05" w:rsidP="00B117C8">
      <w:pPr>
        <w:spacing w:line="360" w:lineRule="auto"/>
        <w:jc w:val="both"/>
        <w:rPr>
          <w:rFonts w:ascii="Garamond" w:hAnsi="Garamond" w:cs="Sylfaen"/>
          <w:sz w:val="22"/>
          <w:szCs w:val="22"/>
        </w:rPr>
      </w:pPr>
    </w:p>
    <w:p w14:paraId="18F2762C" w14:textId="77777777" w:rsidR="00127D3C" w:rsidRPr="00A32AB2" w:rsidRDefault="009F264E" w:rsidP="00B117C8">
      <w:pPr>
        <w:spacing w:line="360" w:lineRule="auto"/>
        <w:jc w:val="both"/>
        <w:rPr>
          <w:rFonts w:ascii="Garamond" w:hAnsi="Garamond" w:cs="Sylfaen"/>
          <w:sz w:val="22"/>
          <w:szCs w:val="22"/>
        </w:rPr>
      </w:pPr>
      <w:r>
        <w:rPr>
          <w:rFonts w:ascii="Garamond" w:hAnsi="Garamond"/>
          <w:sz w:val="22"/>
          <w:szCs w:val="22"/>
        </w:rPr>
        <w:t>A</w:t>
      </w:r>
      <w:r w:rsidR="003A0906">
        <w:rPr>
          <w:rFonts w:ascii="Garamond" w:hAnsi="Garamond"/>
          <w:sz w:val="22"/>
          <w:szCs w:val="22"/>
        </w:rPr>
        <w:t xml:space="preserve"> s</w:t>
      </w:r>
      <w:r w:rsidR="006251FD" w:rsidRPr="00A32AB2">
        <w:rPr>
          <w:rFonts w:ascii="Garamond" w:hAnsi="Garamond"/>
          <w:sz w:val="22"/>
          <w:szCs w:val="22"/>
        </w:rPr>
        <w:t>low</w:t>
      </w:r>
      <w:r w:rsidR="003A0906">
        <w:rPr>
          <w:rFonts w:ascii="Garamond" w:hAnsi="Garamond"/>
          <w:sz w:val="22"/>
          <w:szCs w:val="22"/>
        </w:rPr>
        <w:t xml:space="preserve">ing </w:t>
      </w:r>
      <w:r w:rsidR="006251FD" w:rsidRPr="00A32AB2">
        <w:rPr>
          <w:rFonts w:ascii="Garamond" w:hAnsi="Garamond"/>
          <w:sz w:val="22"/>
          <w:szCs w:val="22"/>
        </w:rPr>
        <w:t xml:space="preserve">in </w:t>
      </w:r>
      <w:r w:rsidR="003A0906">
        <w:rPr>
          <w:rFonts w:ascii="Garamond" w:hAnsi="Garamond"/>
          <w:sz w:val="22"/>
          <w:szCs w:val="22"/>
        </w:rPr>
        <w:t xml:space="preserve">the </w:t>
      </w:r>
      <w:r w:rsidR="006251FD" w:rsidRPr="00A32AB2">
        <w:rPr>
          <w:rFonts w:ascii="Garamond" w:hAnsi="Garamond"/>
          <w:sz w:val="22"/>
          <w:szCs w:val="22"/>
        </w:rPr>
        <w:t>public sector wage</w:t>
      </w:r>
      <w:r w:rsidR="003A0906">
        <w:rPr>
          <w:rFonts w:ascii="Garamond" w:hAnsi="Garamond"/>
          <w:sz w:val="22"/>
          <w:szCs w:val="22"/>
        </w:rPr>
        <w:t xml:space="preserve"> growth since </w:t>
      </w:r>
      <w:r w:rsidR="003A0906" w:rsidRPr="00A32AB2">
        <w:rPr>
          <w:rFonts w:ascii="Garamond" w:hAnsi="Garamond"/>
          <w:sz w:val="22"/>
          <w:szCs w:val="22"/>
        </w:rPr>
        <w:t>October 2015</w:t>
      </w:r>
      <w:r>
        <w:rPr>
          <w:rFonts w:ascii="Garamond" w:hAnsi="Garamond"/>
          <w:sz w:val="22"/>
          <w:szCs w:val="22"/>
        </w:rPr>
        <w:t xml:space="preserve"> </w:t>
      </w:r>
      <w:r w:rsidR="001D7CB5" w:rsidRPr="00A32AB2">
        <w:rPr>
          <w:rFonts w:ascii="Garamond" w:hAnsi="Garamond"/>
          <w:sz w:val="22"/>
          <w:szCs w:val="22"/>
        </w:rPr>
        <w:t xml:space="preserve">persisted and even deepened </w:t>
      </w:r>
      <w:r>
        <w:rPr>
          <w:rFonts w:ascii="Garamond" w:hAnsi="Garamond"/>
          <w:sz w:val="22"/>
          <w:szCs w:val="22"/>
        </w:rPr>
        <w:t xml:space="preserve">in </w:t>
      </w:r>
      <w:r w:rsidR="001D7CB5" w:rsidRPr="00A32AB2">
        <w:rPr>
          <w:rFonts w:ascii="Garamond" w:hAnsi="Garamond"/>
          <w:sz w:val="22"/>
          <w:szCs w:val="22"/>
        </w:rPr>
        <w:t>2016</w:t>
      </w:r>
      <w:r>
        <w:rPr>
          <w:rFonts w:ascii="Garamond" w:hAnsi="Garamond"/>
          <w:sz w:val="22"/>
          <w:szCs w:val="22"/>
        </w:rPr>
        <w:t>.</w:t>
      </w:r>
      <w:r w:rsidR="001D7CB5" w:rsidRPr="00A32AB2">
        <w:rPr>
          <w:rFonts w:ascii="Garamond" w:hAnsi="Garamond"/>
          <w:sz w:val="22"/>
          <w:szCs w:val="22"/>
        </w:rPr>
        <w:t xml:space="preserve"> </w:t>
      </w:r>
      <w:r w:rsidRPr="009F264E">
        <w:rPr>
          <w:rFonts w:ascii="Garamond" w:hAnsi="Garamond"/>
          <w:sz w:val="22"/>
          <w:szCs w:val="22"/>
        </w:rPr>
        <w:t>As a result</w:t>
      </w:r>
      <w:r w:rsidRPr="00C869F4">
        <w:rPr>
          <w:rFonts w:ascii="Garamond" w:hAnsi="Garamond"/>
          <w:color w:val="FF0000"/>
          <w:sz w:val="22"/>
          <w:szCs w:val="22"/>
        </w:rPr>
        <w:t>,</w:t>
      </w:r>
      <w:r w:rsidR="00054E5F" w:rsidRPr="00C869F4">
        <w:rPr>
          <w:rFonts w:ascii="Garamond" w:hAnsi="Garamond"/>
          <w:color w:val="FF0000"/>
          <w:sz w:val="22"/>
          <w:szCs w:val="22"/>
        </w:rPr>
        <w:t xml:space="preserve"> in 2016</w:t>
      </w:r>
      <w:r w:rsidRPr="00C869F4">
        <w:rPr>
          <w:rFonts w:ascii="Garamond" w:hAnsi="Garamond"/>
          <w:color w:val="FF0000"/>
          <w:sz w:val="22"/>
          <w:szCs w:val="22"/>
        </w:rPr>
        <w:t xml:space="preserve"> </w:t>
      </w:r>
      <w:r w:rsidRPr="009F264E">
        <w:rPr>
          <w:rFonts w:ascii="Garamond" w:hAnsi="Garamond"/>
          <w:sz w:val="22"/>
          <w:szCs w:val="22"/>
        </w:rPr>
        <w:t xml:space="preserve">the </w:t>
      </w:r>
      <w:r w:rsidRPr="009F264E">
        <w:rPr>
          <w:rFonts w:ascii="Garamond" w:hAnsi="Garamond"/>
          <w:b/>
          <w:sz w:val="22"/>
          <w:szCs w:val="22"/>
        </w:rPr>
        <w:t>public sector</w:t>
      </w:r>
      <w:r w:rsidRPr="009F264E">
        <w:rPr>
          <w:rFonts w:ascii="Garamond" w:hAnsi="Garamond"/>
          <w:sz w:val="22"/>
          <w:szCs w:val="22"/>
        </w:rPr>
        <w:t xml:space="preserve"> </w:t>
      </w:r>
      <w:r>
        <w:rPr>
          <w:rFonts w:ascii="Garamond" w:hAnsi="Garamond"/>
          <w:sz w:val="22"/>
          <w:szCs w:val="22"/>
        </w:rPr>
        <w:t xml:space="preserve">will face a </w:t>
      </w:r>
      <w:r w:rsidRPr="009F264E">
        <w:rPr>
          <w:rFonts w:ascii="Garamond" w:hAnsi="Garamond"/>
          <w:sz w:val="22"/>
          <w:szCs w:val="22"/>
        </w:rPr>
        <w:t>0.3% decline in average nominal wage</w:t>
      </w:r>
      <w:r>
        <w:rPr>
          <w:rFonts w:ascii="Garamond" w:hAnsi="Garamond"/>
          <w:sz w:val="22"/>
          <w:szCs w:val="22"/>
        </w:rPr>
        <w:t xml:space="preserve"> in relation to t</w:t>
      </w:r>
      <w:r w:rsidRPr="009F264E">
        <w:rPr>
          <w:rFonts w:ascii="Garamond" w:hAnsi="Garamond"/>
          <w:sz w:val="22"/>
          <w:szCs w:val="22"/>
        </w:rPr>
        <w:t>he</w:t>
      </w:r>
      <w:r>
        <w:rPr>
          <w:rFonts w:ascii="Garamond" w:hAnsi="Garamond"/>
          <w:sz w:val="22"/>
          <w:szCs w:val="22"/>
        </w:rPr>
        <w:t xml:space="preserve"> 2015 </w:t>
      </w:r>
      <w:r w:rsidRPr="009F264E">
        <w:rPr>
          <w:rFonts w:ascii="Garamond" w:hAnsi="Garamond"/>
          <w:sz w:val="22"/>
          <w:szCs w:val="22"/>
        </w:rPr>
        <w:t>high base</w:t>
      </w:r>
      <w:r w:rsidR="001D7CB5" w:rsidRPr="00A32AB2">
        <w:rPr>
          <w:rFonts w:ascii="Garamond" w:hAnsi="Garamond"/>
          <w:sz w:val="22"/>
          <w:szCs w:val="22"/>
        </w:rPr>
        <w:t xml:space="preserve">. </w:t>
      </w:r>
      <w:r>
        <w:rPr>
          <w:rFonts w:ascii="Garamond" w:hAnsi="Garamond"/>
          <w:sz w:val="22"/>
          <w:szCs w:val="22"/>
        </w:rPr>
        <w:t xml:space="preserve">On the premise of a more streamlined public administration policy adopted by the Government, the </w:t>
      </w:r>
      <w:r w:rsidR="00EA242F" w:rsidRPr="00A32AB2">
        <w:rPr>
          <w:rFonts w:ascii="Garamond" w:hAnsi="Garamond"/>
          <w:sz w:val="22"/>
          <w:szCs w:val="22"/>
        </w:rPr>
        <w:t xml:space="preserve">public </w:t>
      </w:r>
      <w:r w:rsidR="00B517E0" w:rsidRPr="00A32AB2">
        <w:rPr>
          <w:rFonts w:ascii="Garamond" w:hAnsi="Garamond"/>
          <w:sz w:val="22"/>
          <w:szCs w:val="22"/>
        </w:rPr>
        <w:t xml:space="preserve">sector </w:t>
      </w:r>
      <w:r w:rsidR="00EA242F" w:rsidRPr="00A32AB2">
        <w:rPr>
          <w:rFonts w:ascii="Garamond" w:hAnsi="Garamond"/>
          <w:sz w:val="22"/>
          <w:szCs w:val="22"/>
        </w:rPr>
        <w:t>wage</w:t>
      </w:r>
      <w:r w:rsidR="00B517E0" w:rsidRPr="00A32AB2">
        <w:rPr>
          <w:rFonts w:ascii="Garamond" w:hAnsi="Garamond"/>
          <w:sz w:val="22"/>
          <w:szCs w:val="22"/>
        </w:rPr>
        <w:t xml:space="preserve"> </w:t>
      </w:r>
      <w:r>
        <w:rPr>
          <w:rFonts w:ascii="Garamond" w:hAnsi="Garamond"/>
          <w:sz w:val="22"/>
          <w:szCs w:val="22"/>
        </w:rPr>
        <w:t>is expected to grow a moderate 0.4% in</w:t>
      </w:r>
      <w:r w:rsidR="00B517E0" w:rsidRPr="00A32AB2">
        <w:rPr>
          <w:rFonts w:ascii="Garamond" w:hAnsi="Garamond"/>
          <w:sz w:val="22"/>
          <w:szCs w:val="22"/>
        </w:rPr>
        <w:t xml:space="preserve"> 2017</w:t>
      </w:r>
      <w:r w:rsidR="00CE5743">
        <w:rPr>
          <w:rFonts w:ascii="Garamond" w:hAnsi="Garamond"/>
          <w:sz w:val="22"/>
          <w:szCs w:val="22"/>
        </w:rPr>
        <w:t>.</w:t>
      </w:r>
      <w:r w:rsidR="00B517E0" w:rsidRPr="00A32AB2">
        <w:rPr>
          <w:rFonts w:ascii="Garamond" w:hAnsi="Garamond"/>
          <w:sz w:val="22"/>
          <w:szCs w:val="22"/>
        </w:rPr>
        <w:t xml:space="preserve"> </w:t>
      </w:r>
      <w:r w:rsidR="00EA27A3">
        <w:rPr>
          <w:rFonts w:ascii="Garamond" w:hAnsi="Garamond"/>
          <w:sz w:val="22"/>
          <w:szCs w:val="22"/>
        </w:rPr>
        <w:t xml:space="preserve">The private </w:t>
      </w:r>
      <w:r w:rsidR="00EA27A3" w:rsidRPr="00A32AB2">
        <w:rPr>
          <w:rFonts w:ascii="Garamond" w:hAnsi="Garamond"/>
          <w:sz w:val="22"/>
          <w:szCs w:val="22"/>
        </w:rPr>
        <w:t>sector wage</w:t>
      </w:r>
      <w:r w:rsidR="00EA27A3">
        <w:rPr>
          <w:rFonts w:ascii="Garamond" w:hAnsi="Garamond"/>
          <w:sz w:val="22"/>
          <w:szCs w:val="22"/>
        </w:rPr>
        <w:t xml:space="preserve"> growth</w:t>
      </w:r>
      <w:r w:rsidR="00EA27A3" w:rsidRPr="00A32AB2">
        <w:rPr>
          <w:rFonts w:ascii="Garamond" w:hAnsi="Garamond"/>
          <w:sz w:val="22"/>
          <w:szCs w:val="22"/>
        </w:rPr>
        <w:t xml:space="preserve"> </w:t>
      </w:r>
      <w:r w:rsidR="00EA27A3">
        <w:rPr>
          <w:rFonts w:ascii="Garamond" w:hAnsi="Garamond"/>
          <w:sz w:val="22"/>
          <w:szCs w:val="22"/>
        </w:rPr>
        <w:t xml:space="preserve">in 2018-2019 </w:t>
      </w:r>
      <w:r w:rsidR="00EA27A3" w:rsidRPr="00A32AB2">
        <w:rPr>
          <w:rFonts w:ascii="Garamond" w:hAnsi="Garamond"/>
          <w:sz w:val="22"/>
          <w:szCs w:val="22"/>
        </w:rPr>
        <w:t>will</w:t>
      </w:r>
      <w:r w:rsidR="00EA27A3">
        <w:rPr>
          <w:rFonts w:ascii="Garamond" w:hAnsi="Garamond"/>
          <w:sz w:val="22"/>
          <w:szCs w:val="22"/>
        </w:rPr>
        <w:t xml:space="preserve">, together with </w:t>
      </w:r>
      <w:r w:rsidR="00EA27A3" w:rsidRPr="00A32AB2">
        <w:rPr>
          <w:rFonts w:ascii="Garamond" w:hAnsi="Garamond"/>
          <w:sz w:val="22"/>
          <w:szCs w:val="22"/>
        </w:rPr>
        <w:t>inter-branch competition in the labor market for private and public sector</w:t>
      </w:r>
      <w:r w:rsidR="00EA27A3">
        <w:rPr>
          <w:rFonts w:ascii="Garamond" w:hAnsi="Garamond"/>
          <w:sz w:val="22"/>
          <w:szCs w:val="22"/>
        </w:rPr>
        <w:t xml:space="preserve">s, lead the public sector </w:t>
      </w:r>
      <w:r w:rsidR="00EA27A3" w:rsidRPr="00A32AB2">
        <w:rPr>
          <w:rFonts w:ascii="Garamond" w:hAnsi="Garamond"/>
          <w:sz w:val="22"/>
          <w:szCs w:val="22"/>
        </w:rPr>
        <w:t>wage</w:t>
      </w:r>
      <w:r w:rsidR="00EA27A3">
        <w:rPr>
          <w:rFonts w:ascii="Garamond" w:hAnsi="Garamond"/>
          <w:sz w:val="22"/>
          <w:szCs w:val="22"/>
        </w:rPr>
        <w:t>s to grow by 2.3% in 2018 and 4% in 2019</w:t>
      </w:r>
      <w:r w:rsidR="00E23D05" w:rsidRPr="00A32AB2">
        <w:rPr>
          <w:rFonts w:ascii="Garamond" w:hAnsi="Garamond"/>
          <w:sz w:val="22"/>
          <w:szCs w:val="22"/>
        </w:rPr>
        <w:t>.</w:t>
      </w:r>
      <w:r w:rsidR="00E23D05" w:rsidRPr="00A32AB2">
        <w:rPr>
          <w:rFonts w:ascii="Garamond" w:hAnsi="Garamond" w:cs="Sylfaen"/>
          <w:sz w:val="22"/>
          <w:szCs w:val="22"/>
        </w:rPr>
        <w:t xml:space="preserve">                        </w:t>
      </w:r>
    </w:p>
    <w:p w14:paraId="28AC3E71" w14:textId="77777777" w:rsidR="002A0B0B" w:rsidRPr="00A9096B" w:rsidRDefault="002A0B0B" w:rsidP="00B117C8">
      <w:pPr>
        <w:spacing w:line="360" w:lineRule="auto"/>
        <w:jc w:val="both"/>
        <w:rPr>
          <w:rFonts w:ascii="Garamond" w:hAnsi="Garamond" w:cs="Sylfaen"/>
          <w:sz w:val="22"/>
          <w:szCs w:val="22"/>
        </w:rPr>
      </w:pPr>
    </w:p>
    <w:p w14:paraId="72E44153" w14:textId="77777777" w:rsidR="00A9096B" w:rsidRDefault="00A9096B" w:rsidP="00B117C8">
      <w:pPr>
        <w:spacing w:line="360" w:lineRule="auto"/>
        <w:jc w:val="both"/>
        <w:rPr>
          <w:rFonts w:ascii="Garamond" w:hAnsi="Garamond" w:cs="Sylfaen"/>
          <w:sz w:val="22"/>
          <w:szCs w:val="22"/>
        </w:rPr>
      </w:pPr>
      <w:r w:rsidRPr="00A9096B">
        <w:rPr>
          <w:rFonts w:ascii="Garamond" w:hAnsi="Garamond" w:cs="Sylfaen"/>
          <w:sz w:val="22"/>
          <w:szCs w:val="22"/>
        </w:rPr>
        <w:t>On</w:t>
      </w:r>
      <w:r>
        <w:rPr>
          <w:rFonts w:ascii="Garamond" w:hAnsi="Garamond" w:cs="Sylfaen"/>
          <w:sz w:val="22"/>
          <w:szCs w:val="22"/>
        </w:rPr>
        <w:t xml:space="preserve"> the back of the aforementioned developments, the </w:t>
      </w:r>
      <w:r w:rsidRPr="00A9096B">
        <w:rPr>
          <w:rFonts w:ascii="Garamond" w:hAnsi="Garamond" w:cs="Sylfaen"/>
          <w:b/>
          <w:sz w:val="22"/>
          <w:szCs w:val="22"/>
        </w:rPr>
        <w:t>average nominal wage growth in 2016 is expected around 2%; it will persist over 2017 and speed up to 5% in 2019.</w:t>
      </w:r>
      <w:r>
        <w:rPr>
          <w:rFonts w:ascii="Garamond" w:hAnsi="Garamond" w:cs="Sylfaen"/>
          <w:sz w:val="22"/>
          <w:szCs w:val="22"/>
        </w:rPr>
        <w:t xml:space="preserve"> </w:t>
      </w:r>
    </w:p>
    <w:p w14:paraId="39AB09E9" w14:textId="77777777" w:rsidR="00A9096B" w:rsidRDefault="00A9096B" w:rsidP="00B117C8">
      <w:pPr>
        <w:spacing w:line="360" w:lineRule="auto"/>
        <w:jc w:val="both"/>
        <w:rPr>
          <w:rFonts w:ascii="Garamond" w:hAnsi="Garamond" w:cs="Sylfaen"/>
          <w:sz w:val="22"/>
          <w:szCs w:val="22"/>
        </w:rPr>
      </w:pPr>
    </w:p>
    <w:p w14:paraId="71A7F3C0" w14:textId="77777777" w:rsidR="002A0B0B" w:rsidRPr="00A32AB2" w:rsidRDefault="00A9096B" w:rsidP="00B117C8">
      <w:pPr>
        <w:spacing w:line="360" w:lineRule="auto"/>
        <w:jc w:val="both"/>
        <w:rPr>
          <w:rFonts w:ascii="Garamond" w:hAnsi="Garamond"/>
          <w:sz w:val="22"/>
          <w:szCs w:val="22"/>
        </w:rPr>
      </w:pPr>
      <w:r>
        <w:rPr>
          <w:rFonts w:ascii="Garamond" w:hAnsi="Garamond" w:cs="Sylfaen"/>
          <w:b/>
          <w:sz w:val="22"/>
          <w:szCs w:val="22"/>
        </w:rPr>
        <w:t>I</w:t>
      </w:r>
      <w:r w:rsidRPr="00A9096B">
        <w:rPr>
          <w:rFonts w:ascii="Garamond" w:hAnsi="Garamond" w:cs="Sylfaen"/>
          <w:b/>
          <w:sz w:val="22"/>
          <w:szCs w:val="22"/>
        </w:rPr>
        <w:t xml:space="preserve">n 2016 the unemployment rate </w:t>
      </w:r>
      <w:r w:rsidR="002A0B0B" w:rsidRPr="00A9096B">
        <w:rPr>
          <w:rFonts w:ascii="Garamond" w:hAnsi="Garamond" w:cs="Sylfaen"/>
          <w:b/>
          <w:sz w:val="22"/>
          <w:szCs w:val="22"/>
        </w:rPr>
        <w:t xml:space="preserve">is expected </w:t>
      </w:r>
      <w:r w:rsidR="005D4A2B" w:rsidRPr="00A9096B">
        <w:rPr>
          <w:rFonts w:ascii="Garamond" w:hAnsi="Garamond" w:cs="Sylfaen"/>
          <w:b/>
          <w:sz w:val="22"/>
          <w:szCs w:val="22"/>
        </w:rPr>
        <w:t xml:space="preserve">at </w:t>
      </w:r>
      <w:r w:rsidR="002A0B0B" w:rsidRPr="00A9096B">
        <w:rPr>
          <w:rFonts w:ascii="Garamond" w:hAnsi="Garamond" w:cs="Sylfaen"/>
          <w:b/>
          <w:sz w:val="22"/>
          <w:szCs w:val="22"/>
        </w:rPr>
        <w:t>1</w:t>
      </w:r>
      <w:r>
        <w:rPr>
          <w:rFonts w:ascii="Garamond" w:hAnsi="Garamond" w:cs="Sylfaen"/>
          <w:b/>
          <w:sz w:val="22"/>
          <w:szCs w:val="22"/>
        </w:rPr>
        <w:t>8</w:t>
      </w:r>
      <w:r w:rsidR="002A0B0B" w:rsidRPr="00A9096B">
        <w:rPr>
          <w:rFonts w:ascii="Garamond" w:hAnsi="Garamond" w:cs="Sylfaen"/>
          <w:b/>
          <w:sz w:val="22"/>
          <w:szCs w:val="22"/>
        </w:rPr>
        <w:t>.</w:t>
      </w:r>
      <w:r>
        <w:rPr>
          <w:rFonts w:ascii="Garamond" w:hAnsi="Garamond" w:cs="Sylfaen"/>
          <w:b/>
          <w:sz w:val="22"/>
          <w:szCs w:val="22"/>
        </w:rPr>
        <w:t>1</w:t>
      </w:r>
      <w:r w:rsidR="002A0B0B" w:rsidRPr="00A9096B">
        <w:rPr>
          <w:rFonts w:ascii="Garamond" w:hAnsi="Garamond" w:cs="Sylfaen"/>
          <w:b/>
          <w:sz w:val="22"/>
          <w:szCs w:val="22"/>
        </w:rPr>
        <w:t>%</w:t>
      </w:r>
      <w:r w:rsidR="005D4A2B" w:rsidRPr="00A9096B">
        <w:rPr>
          <w:rFonts w:ascii="Garamond" w:hAnsi="Garamond" w:cs="Sylfaen"/>
          <w:b/>
          <w:sz w:val="22"/>
          <w:szCs w:val="22"/>
        </w:rPr>
        <w:t xml:space="preserve"> on average</w:t>
      </w:r>
      <w:r w:rsidR="002A0B0B" w:rsidRPr="00F40311">
        <w:rPr>
          <w:rFonts w:ascii="Garamond" w:hAnsi="Garamond" w:cs="Sylfaen"/>
          <w:b/>
          <w:sz w:val="22"/>
          <w:szCs w:val="22"/>
        </w:rPr>
        <w:t xml:space="preserve">, which is </w:t>
      </w:r>
      <w:r w:rsidR="00F40311" w:rsidRPr="00F40311">
        <w:rPr>
          <w:rFonts w:ascii="Garamond" w:hAnsi="Garamond" w:cs="Sylfaen"/>
          <w:b/>
          <w:sz w:val="22"/>
          <w:szCs w:val="22"/>
        </w:rPr>
        <w:t>somewhat</w:t>
      </w:r>
      <w:r w:rsidRPr="00F40311">
        <w:rPr>
          <w:rFonts w:ascii="Garamond" w:hAnsi="Garamond" w:cs="Sylfaen"/>
          <w:b/>
          <w:sz w:val="22"/>
          <w:szCs w:val="22"/>
        </w:rPr>
        <w:t xml:space="preserve"> </w:t>
      </w:r>
      <w:r w:rsidR="00F40311" w:rsidRPr="00F40311">
        <w:rPr>
          <w:rFonts w:ascii="Garamond" w:hAnsi="Garamond" w:cs="Sylfaen"/>
          <w:b/>
          <w:sz w:val="22"/>
          <w:szCs w:val="22"/>
        </w:rPr>
        <w:t xml:space="preserve">higher from the </w:t>
      </w:r>
      <w:r w:rsidR="002A0B0B" w:rsidRPr="00F40311">
        <w:rPr>
          <w:rFonts w:ascii="Garamond" w:hAnsi="Garamond" w:cs="Sylfaen"/>
          <w:b/>
          <w:sz w:val="22"/>
          <w:szCs w:val="22"/>
        </w:rPr>
        <w:t>previous forecasts</w:t>
      </w:r>
      <w:r w:rsidR="009B3BFF" w:rsidRPr="00F40311">
        <w:rPr>
          <w:rFonts w:ascii="Garamond" w:hAnsi="Garamond" w:cs="Sylfaen"/>
          <w:sz w:val="22"/>
          <w:szCs w:val="22"/>
        </w:rPr>
        <w:t>.</w:t>
      </w:r>
      <w:r w:rsidR="009B3BFF" w:rsidRPr="00A32AB2">
        <w:rPr>
          <w:rFonts w:ascii="Garamond" w:hAnsi="Garamond" w:cs="Sylfaen"/>
          <w:sz w:val="22"/>
          <w:szCs w:val="22"/>
        </w:rPr>
        <w:t xml:space="preserve"> </w:t>
      </w:r>
      <w:r w:rsidR="004346DE">
        <w:rPr>
          <w:rFonts w:ascii="Garamond" w:hAnsi="Garamond" w:cs="Sylfaen"/>
          <w:sz w:val="22"/>
          <w:szCs w:val="22"/>
        </w:rPr>
        <w:t xml:space="preserve">In 2016 </w:t>
      </w:r>
      <w:r w:rsidR="002A0B0B" w:rsidRPr="00A32AB2">
        <w:rPr>
          <w:rFonts w:ascii="Garamond" w:hAnsi="Garamond" w:cs="Sylfaen"/>
          <w:sz w:val="22"/>
          <w:szCs w:val="22"/>
        </w:rPr>
        <w:t xml:space="preserve">the unemployment rate will </w:t>
      </w:r>
      <w:r w:rsidR="00C06588" w:rsidRPr="00A32AB2">
        <w:rPr>
          <w:rFonts w:ascii="Garamond" w:hAnsi="Garamond" w:cs="Sylfaen"/>
          <w:sz w:val="22"/>
          <w:szCs w:val="22"/>
        </w:rPr>
        <w:t xml:space="preserve">reduce </w:t>
      </w:r>
      <w:r w:rsidR="004346DE">
        <w:rPr>
          <w:rFonts w:ascii="Garamond" w:hAnsi="Garamond" w:cs="Sylfaen"/>
          <w:sz w:val="22"/>
          <w:szCs w:val="22"/>
        </w:rPr>
        <w:t xml:space="preserve">in relation to 2015 but to a lesser extent than it was predicted, </w:t>
      </w:r>
      <w:r w:rsidR="004346DE" w:rsidRPr="004346DE">
        <w:rPr>
          <w:rFonts w:ascii="Garamond" w:hAnsi="Garamond" w:cs="Sylfaen"/>
          <w:sz w:val="22"/>
          <w:szCs w:val="22"/>
        </w:rPr>
        <w:t>due to lower-than-expected economic activity.</w:t>
      </w:r>
      <w:r w:rsidR="004346DE">
        <w:rPr>
          <w:rFonts w:ascii="Garamond" w:hAnsi="Garamond" w:cs="Sylfaen"/>
          <w:sz w:val="22"/>
          <w:szCs w:val="22"/>
        </w:rPr>
        <w:t xml:space="preserve"> </w:t>
      </w:r>
      <w:r w:rsidR="00F929C6">
        <w:rPr>
          <w:rFonts w:ascii="Garamond" w:hAnsi="Garamond" w:cs="Sylfaen"/>
          <w:sz w:val="22"/>
          <w:szCs w:val="22"/>
        </w:rPr>
        <w:t>The</w:t>
      </w:r>
      <w:r w:rsidR="002A0B0B" w:rsidRPr="00A32AB2">
        <w:rPr>
          <w:rFonts w:ascii="Garamond" w:hAnsi="Garamond" w:cs="Sylfaen"/>
          <w:sz w:val="22"/>
          <w:szCs w:val="22"/>
        </w:rPr>
        <w:t xml:space="preserve"> productivity growth </w:t>
      </w:r>
      <w:r w:rsidR="00F929C6">
        <w:rPr>
          <w:rFonts w:ascii="Garamond" w:hAnsi="Garamond" w:cs="Sylfaen"/>
          <w:sz w:val="22"/>
          <w:szCs w:val="22"/>
        </w:rPr>
        <w:t xml:space="preserve">rate </w:t>
      </w:r>
      <w:r w:rsidR="00771723">
        <w:rPr>
          <w:rFonts w:ascii="Garamond" w:hAnsi="Garamond" w:cs="Sylfaen"/>
          <w:sz w:val="22"/>
          <w:szCs w:val="22"/>
        </w:rPr>
        <w:t xml:space="preserve">which came after a downward revision of the figure of </w:t>
      </w:r>
      <w:r w:rsidR="00771723" w:rsidRPr="00771723">
        <w:rPr>
          <w:rFonts w:ascii="Garamond" w:hAnsi="Garamond" w:cs="Sylfaen"/>
          <w:sz w:val="22"/>
          <w:szCs w:val="22"/>
        </w:rPr>
        <w:t xml:space="preserve">economically active population </w:t>
      </w:r>
      <w:r w:rsidR="00771723">
        <w:rPr>
          <w:rFonts w:ascii="Garamond" w:hAnsi="Garamond" w:cs="Sylfaen"/>
          <w:sz w:val="22"/>
          <w:szCs w:val="22"/>
        </w:rPr>
        <w:t xml:space="preserve">by the National Statistics Service of </w:t>
      </w:r>
      <w:r w:rsidR="00771723">
        <w:rPr>
          <w:rFonts w:ascii="Garamond" w:hAnsi="Garamond" w:cs="Sylfaen"/>
          <w:sz w:val="22"/>
          <w:szCs w:val="22"/>
        </w:rPr>
        <w:lastRenderedPageBreak/>
        <w:t xml:space="preserve">Armenia was running high in the first half of 2016, and although it started slowing down in the third quarter, the effect of productivity will linger on the unemployment rate during 2017. As a result, </w:t>
      </w:r>
      <w:r w:rsidR="002A0B0B" w:rsidRPr="00A32AB2">
        <w:rPr>
          <w:rFonts w:ascii="Garamond" w:hAnsi="Garamond" w:cs="Sylfaen"/>
          <w:sz w:val="22"/>
          <w:szCs w:val="22"/>
        </w:rPr>
        <w:t xml:space="preserve">the unemployment rate </w:t>
      </w:r>
      <w:r w:rsidR="00771723">
        <w:rPr>
          <w:rFonts w:ascii="Garamond" w:hAnsi="Garamond" w:cs="Sylfaen"/>
          <w:sz w:val="22"/>
          <w:szCs w:val="22"/>
        </w:rPr>
        <w:t xml:space="preserve">will amount to nearly 18.3% in </w:t>
      </w:r>
      <w:r w:rsidR="002A0B0B" w:rsidRPr="00A32AB2">
        <w:rPr>
          <w:rFonts w:ascii="Garamond" w:hAnsi="Garamond" w:cs="Sylfaen"/>
          <w:sz w:val="22"/>
          <w:szCs w:val="22"/>
        </w:rPr>
        <w:t xml:space="preserve">2017. </w:t>
      </w:r>
      <w:r w:rsidR="008C5362" w:rsidRPr="008C5362">
        <w:rPr>
          <w:rFonts w:ascii="Garamond" w:hAnsi="Garamond" w:cs="Sylfaen"/>
          <w:sz w:val="22"/>
          <w:szCs w:val="22"/>
        </w:rPr>
        <w:t xml:space="preserve">Given the slowdown in productivity growth and the acceleration of economic growth in </w:t>
      </w:r>
      <w:r w:rsidR="008C5362">
        <w:rPr>
          <w:rFonts w:ascii="Garamond" w:hAnsi="Garamond" w:cs="Sylfaen"/>
          <w:sz w:val="22"/>
          <w:szCs w:val="22"/>
        </w:rPr>
        <w:t xml:space="preserve">the forecast horizon, </w:t>
      </w:r>
      <w:r w:rsidR="008C5362" w:rsidRPr="008C5362">
        <w:rPr>
          <w:rFonts w:ascii="Garamond" w:hAnsi="Garamond" w:cs="Sylfaen"/>
          <w:sz w:val="22"/>
          <w:szCs w:val="22"/>
        </w:rPr>
        <w:t xml:space="preserve">the unemployment rate </w:t>
      </w:r>
      <w:r w:rsidR="008C5362">
        <w:rPr>
          <w:rFonts w:ascii="Garamond" w:hAnsi="Garamond" w:cs="Sylfaen"/>
          <w:sz w:val="22"/>
          <w:szCs w:val="22"/>
        </w:rPr>
        <w:t xml:space="preserve">in </w:t>
      </w:r>
      <w:r w:rsidR="008C5362" w:rsidRPr="008C5362">
        <w:rPr>
          <w:rFonts w:ascii="Garamond" w:hAnsi="Garamond" w:cs="Sylfaen"/>
          <w:sz w:val="22"/>
          <w:szCs w:val="22"/>
        </w:rPr>
        <w:t xml:space="preserve">2018-2019 will fall by around 0.2-0.4% </w:t>
      </w:r>
      <w:r w:rsidR="008C5362">
        <w:rPr>
          <w:rFonts w:ascii="Garamond" w:hAnsi="Garamond" w:cs="Sylfaen"/>
          <w:sz w:val="22"/>
          <w:szCs w:val="22"/>
        </w:rPr>
        <w:t xml:space="preserve">annually. Note that up until the first half of 2018 </w:t>
      </w:r>
      <w:r w:rsidR="002A0B0B" w:rsidRPr="00A32AB2">
        <w:rPr>
          <w:rFonts w:ascii="Garamond" w:hAnsi="Garamond"/>
          <w:sz w:val="22"/>
          <w:szCs w:val="22"/>
        </w:rPr>
        <w:t>the unemployment rate will be above its equilibrium, reflecting the negative GDP gap and deflationary pressures it will have created. By the end of the forecast horizon the unemployment</w:t>
      </w:r>
      <w:r w:rsidR="00054E5F">
        <w:rPr>
          <w:rFonts w:ascii="Garamond" w:hAnsi="Garamond"/>
          <w:sz w:val="22"/>
          <w:szCs w:val="22"/>
        </w:rPr>
        <w:t xml:space="preserve"> </w:t>
      </w:r>
      <w:r w:rsidR="00054E5F" w:rsidRPr="00C869F4">
        <w:rPr>
          <w:rFonts w:ascii="Garamond" w:hAnsi="Garamond"/>
          <w:color w:val="FF0000"/>
          <w:sz w:val="22"/>
          <w:szCs w:val="22"/>
        </w:rPr>
        <w:t>rate</w:t>
      </w:r>
      <w:r w:rsidR="002A0B0B" w:rsidRPr="00A32AB2">
        <w:rPr>
          <w:rFonts w:ascii="Garamond" w:hAnsi="Garamond"/>
          <w:sz w:val="22"/>
          <w:szCs w:val="22"/>
        </w:rPr>
        <w:t xml:space="preserve"> will approach its </w:t>
      </w:r>
      <w:r w:rsidR="008C5362">
        <w:rPr>
          <w:rFonts w:ascii="Garamond" w:hAnsi="Garamond"/>
          <w:sz w:val="22"/>
          <w:szCs w:val="22"/>
        </w:rPr>
        <w:t xml:space="preserve">medium term </w:t>
      </w:r>
      <w:r w:rsidR="002A0B0B" w:rsidRPr="00A32AB2">
        <w:rPr>
          <w:rFonts w:ascii="Garamond" w:hAnsi="Garamond"/>
          <w:sz w:val="22"/>
          <w:szCs w:val="22"/>
        </w:rPr>
        <w:t>equilibrium.</w:t>
      </w:r>
      <w:r w:rsidR="00E23D05" w:rsidRPr="00A32AB2">
        <w:rPr>
          <w:rFonts w:ascii="Garamond" w:hAnsi="Garamond"/>
          <w:sz w:val="22"/>
          <w:szCs w:val="22"/>
        </w:rPr>
        <w:t xml:space="preserve">                                     </w:t>
      </w:r>
    </w:p>
    <w:p w14:paraId="533F1139" w14:textId="77777777" w:rsidR="003C2ED0" w:rsidRPr="00A32AB2" w:rsidRDefault="003C2ED0" w:rsidP="00B117C8">
      <w:pPr>
        <w:spacing w:line="360" w:lineRule="auto"/>
        <w:jc w:val="both"/>
        <w:rPr>
          <w:rFonts w:ascii="Garamond" w:hAnsi="Garamond"/>
          <w:sz w:val="22"/>
          <w:szCs w:val="22"/>
        </w:rPr>
      </w:pPr>
    </w:p>
    <w:p w14:paraId="358496F1" w14:textId="77777777" w:rsidR="003C2ED0" w:rsidRPr="00A32AB2" w:rsidRDefault="00E26826" w:rsidP="00B117C8">
      <w:pPr>
        <w:spacing w:line="360" w:lineRule="auto"/>
        <w:jc w:val="both"/>
        <w:rPr>
          <w:rFonts w:ascii="Garamond" w:hAnsi="Garamond" w:cs="Sylfaen"/>
          <w:sz w:val="22"/>
          <w:szCs w:val="22"/>
        </w:rPr>
      </w:pPr>
      <w:r>
        <w:rPr>
          <w:rFonts w:ascii="Garamond" w:hAnsi="Garamond" w:cs="Sylfaen"/>
          <w:sz w:val="22"/>
          <w:szCs w:val="22"/>
        </w:rPr>
        <w:t xml:space="preserve">As a result of the </w:t>
      </w:r>
      <w:r w:rsidR="003C2ED0" w:rsidRPr="00A32AB2">
        <w:rPr>
          <w:rFonts w:ascii="Garamond" w:hAnsi="Garamond" w:cs="Sylfaen"/>
          <w:sz w:val="22"/>
          <w:szCs w:val="22"/>
        </w:rPr>
        <w:t>developments</w:t>
      </w:r>
      <w:r>
        <w:rPr>
          <w:rFonts w:ascii="Garamond" w:hAnsi="Garamond" w:cs="Sylfaen"/>
          <w:sz w:val="22"/>
          <w:szCs w:val="22"/>
        </w:rPr>
        <w:t xml:space="preserve"> mentioned above</w:t>
      </w:r>
      <w:r w:rsidR="003C2ED0" w:rsidRPr="00A32AB2">
        <w:rPr>
          <w:rFonts w:ascii="Garamond" w:hAnsi="Garamond" w:cs="Sylfaen"/>
          <w:sz w:val="22"/>
          <w:szCs w:val="22"/>
        </w:rPr>
        <w:t xml:space="preserve">, the productivity growth </w:t>
      </w:r>
      <w:r>
        <w:rPr>
          <w:rFonts w:ascii="Garamond" w:hAnsi="Garamond" w:cs="Sylfaen"/>
          <w:sz w:val="22"/>
          <w:szCs w:val="22"/>
        </w:rPr>
        <w:t xml:space="preserve">in the latter half of 2016 </w:t>
      </w:r>
      <w:r w:rsidR="003C2ED0" w:rsidRPr="00A32AB2">
        <w:rPr>
          <w:rFonts w:ascii="Garamond" w:hAnsi="Garamond" w:cs="Sylfaen"/>
          <w:sz w:val="22"/>
          <w:szCs w:val="22"/>
        </w:rPr>
        <w:t>will out</w:t>
      </w:r>
      <w:r>
        <w:rPr>
          <w:rFonts w:ascii="Garamond" w:hAnsi="Garamond" w:cs="Sylfaen"/>
          <w:sz w:val="22"/>
          <w:szCs w:val="22"/>
        </w:rPr>
        <w:t>pace</w:t>
      </w:r>
      <w:r w:rsidR="003C2ED0" w:rsidRPr="00A32AB2">
        <w:rPr>
          <w:rFonts w:ascii="Garamond" w:hAnsi="Garamond" w:cs="Sylfaen"/>
          <w:sz w:val="22"/>
          <w:szCs w:val="22"/>
        </w:rPr>
        <w:t xml:space="preserve"> </w:t>
      </w:r>
      <w:r>
        <w:rPr>
          <w:rFonts w:ascii="Garamond" w:hAnsi="Garamond" w:cs="Sylfaen"/>
          <w:sz w:val="22"/>
          <w:szCs w:val="22"/>
        </w:rPr>
        <w:t>the wage growth</w:t>
      </w:r>
      <w:r w:rsidR="003C2ED0" w:rsidRPr="00A32AB2">
        <w:rPr>
          <w:rFonts w:ascii="Garamond" w:hAnsi="Garamond" w:cs="Sylfaen"/>
          <w:sz w:val="22"/>
          <w:szCs w:val="22"/>
        </w:rPr>
        <w:t xml:space="preserve"> and leave some 0.</w:t>
      </w:r>
      <w:r>
        <w:rPr>
          <w:rFonts w:ascii="Garamond" w:hAnsi="Garamond" w:cs="Sylfaen"/>
          <w:sz w:val="22"/>
          <w:szCs w:val="22"/>
        </w:rPr>
        <w:t>4</w:t>
      </w:r>
      <w:r w:rsidR="003C2ED0" w:rsidRPr="00A32AB2">
        <w:rPr>
          <w:rFonts w:ascii="Garamond" w:hAnsi="Garamond" w:cs="Sylfaen"/>
          <w:sz w:val="22"/>
          <w:szCs w:val="22"/>
        </w:rPr>
        <w:t>-0.</w:t>
      </w:r>
      <w:r>
        <w:rPr>
          <w:rFonts w:ascii="Garamond" w:hAnsi="Garamond" w:cs="Sylfaen"/>
          <w:sz w:val="22"/>
          <w:szCs w:val="22"/>
        </w:rPr>
        <w:t>6</w:t>
      </w:r>
      <w:r w:rsidR="003C2ED0" w:rsidRPr="00A32AB2">
        <w:rPr>
          <w:rFonts w:ascii="Garamond" w:eastAsia="Calibri" w:hAnsi="Garamond"/>
          <w:sz w:val="22"/>
          <w:szCs w:val="22"/>
        </w:rPr>
        <w:t xml:space="preserve">% of deflationary </w:t>
      </w:r>
      <w:r w:rsidR="004A3B8E" w:rsidRPr="00A32AB2">
        <w:rPr>
          <w:rFonts w:ascii="Garamond" w:eastAsia="Calibri" w:hAnsi="Garamond"/>
          <w:sz w:val="22"/>
          <w:szCs w:val="22"/>
        </w:rPr>
        <w:t xml:space="preserve">pressures in the </w:t>
      </w:r>
      <w:r w:rsidR="003C2ED0" w:rsidRPr="00A32AB2">
        <w:rPr>
          <w:rFonts w:ascii="Garamond" w:eastAsia="Calibri" w:hAnsi="Garamond"/>
          <w:sz w:val="22"/>
          <w:szCs w:val="22"/>
        </w:rPr>
        <w:t xml:space="preserve">consumer </w:t>
      </w:r>
      <w:r w:rsidR="004A3B8E" w:rsidRPr="00A32AB2">
        <w:rPr>
          <w:rFonts w:ascii="Garamond" w:eastAsia="Calibri" w:hAnsi="Garamond"/>
          <w:sz w:val="22"/>
          <w:szCs w:val="22"/>
        </w:rPr>
        <w:t>market</w:t>
      </w:r>
      <w:r w:rsidR="003C2ED0" w:rsidRPr="00A32AB2">
        <w:rPr>
          <w:rFonts w:ascii="Garamond" w:eastAsia="Calibri" w:hAnsi="Garamond"/>
          <w:sz w:val="22"/>
          <w:szCs w:val="22"/>
        </w:rPr>
        <w:t xml:space="preserve">. </w:t>
      </w:r>
      <w:r>
        <w:rPr>
          <w:rFonts w:ascii="Garamond" w:eastAsia="Calibri" w:hAnsi="Garamond"/>
          <w:sz w:val="22"/>
          <w:szCs w:val="22"/>
        </w:rPr>
        <w:t>The de</w:t>
      </w:r>
      <w:r w:rsidRPr="00E26826">
        <w:rPr>
          <w:rFonts w:ascii="Garamond" w:eastAsia="Calibri" w:hAnsi="Garamond"/>
          <w:sz w:val="22"/>
          <w:szCs w:val="22"/>
        </w:rPr>
        <w:t xml:space="preserve">flationary pressures will </w:t>
      </w:r>
      <w:r>
        <w:rPr>
          <w:rFonts w:ascii="Garamond" w:eastAsia="Calibri" w:hAnsi="Garamond"/>
          <w:sz w:val="22"/>
          <w:szCs w:val="22"/>
        </w:rPr>
        <w:t xml:space="preserve">persist over the first half of 2017 </w:t>
      </w:r>
      <w:r w:rsidRPr="00E26826">
        <w:rPr>
          <w:rFonts w:ascii="Garamond" w:eastAsia="Calibri" w:hAnsi="Garamond"/>
          <w:sz w:val="22"/>
          <w:szCs w:val="22"/>
        </w:rPr>
        <w:t>at 0.2-0.3%</w:t>
      </w:r>
      <w:r>
        <w:rPr>
          <w:rFonts w:ascii="Garamond" w:eastAsia="Calibri" w:hAnsi="Garamond"/>
          <w:sz w:val="22"/>
          <w:szCs w:val="22"/>
        </w:rPr>
        <w:t xml:space="preserve">. </w:t>
      </w:r>
      <w:r w:rsidR="003C2ED0" w:rsidRPr="00A32AB2">
        <w:rPr>
          <w:rFonts w:ascii="Garamond" w:eastAsia="Calibri" w:hAnsi="Garamond"/>
          <w:sz w:val="22"/>
          <w:szCs w:val="22"/>
        </w:rPr>
        <w:t>I</w:t>
      </w:r>
      <w:r w:rsidR="003C2ED0" w:rsidRPr="00A32AB2">
        <w:rPr>
          <w:rFonts w:ascii="Garamond" w:hAnsi="Garamond" w:cs="Sylfaen"/>
          <w:sz w:val="22"/>
          <w:szCs w:val="22"/>
        </w:rPr>
        <w:t xml:space="preserve">n the </w:t>
      </w:r>
      <w:r>
        <w:rPr>
          <w:rFonts w:ascii="Garamond" w:hAnsi="Garamond" w:cs="Sylfaen"/>
          <w:sz w:val="22"/>
          <w:szCs w:val="22"/>
        </w:rPr>
        <w:t>forecast horizon</w:t>
      </w:r>
      <w:r w:rsidR="003C2ED0" w:rsidRPr="00A32AB2">
        <w:rPr>
          <w:rFonts w:ascii="Garamond" w:hAnsi="Garamond" w:cs="Sylfaen"/>
          <w:sz w:val="22"/>
          <w:szCs w:val="22"/>
        </w:rPr>
        <w:t xml:space="preserve"> the labor market’s impact on the inflation is estimated to be neutral.</w:t>
      </w:r>
    </w:p>
    <w:p w14:paraId="3A9F7038" w14:textId="77777777" w:rsidR="00D810B0" w:rsidRPr="00A32AB2" w:rsidRDefault="00D810B0" w:rsidP="00B117C8">
      <w:pPr>
        <w:spacing w:line="360" w:lineRule="auto"/>
        <w:jc w:val="both"/>
        <w:rPr>
          <w:rFonts w:ascii="Garamond" w:hAnsi="Garamond" w:cs="Sylfaen"/>
          <w:sz w:val="22"/>
          <w:szCs w:val="22"/>
        </w:rPr>
      </w:pPr>
    </w:p>
    <w:p w14:paraId="11A0F7ED" w14:textId="77777777" w:rsidR="00D810B0" w:rsidRPr="00A32AB2" w:rsidRDefault="00D810B0" w:rsidP="00B117C8">
      <w:pPr>
        <w:spacing w:line="360" w:lineRule="auto"/>
        <w:jc w:val="both"/>
        <w:rPr>
          <w:rFonts w:ascii="Garamond" w:hAnsi="Garamond" w:cs="Sylfaen"/>
          <w:b/>
          <w:sz w:val="22"/>
          <w:szCs w:val="22"/>
        </w:rPr>
      </w:pPr>
      <w:r w:rsidRPr="00A32AB2">
        <w:rPr>
          <w:rFonts w:ascii="Garamond" w:hAnsi="Garamond" w:cs="Sylfaen"/>
          <w:b/>
          <w:sz w:val="22"/>
          <w:szCs w:val="22"/>
        </w:rPr>
        <w:t>Aggregate demand</w:t>
      </w:r>
      <w:r w:rsidR="00E26826">
        <w:rPr>
          <w:rStyle w:val="FootnoteReference"/>
          <w:rFonts w:ascii="Garamond" w:hAnsi="Garamond" w:cs="Sylfaen"/>
          <w:b/>
          <w:sz w:val="22"/>
          <w:szCs w:val="22"/>
        </w:rPr>
        <w:footnoteReference w:customMarkFollows="1" w:id="8"/>
        <w:t>8</w:t>
      </w:r>
    </w:p>
    <w:p w14:paraId="675401EE" w14:textId="77777777" w:rsidR="00D810B0" w:rsidRPr="00A32AB2" w:rsidRDefault="006B5AED" w:rsidP="00B117C8">
      <w:pPr>
        <w:spacing w:line="360" w:lineRule="auto"/>
        <w:jc w:val="both"/>
        <w:rPr>
          <w:rFonts w:ascii="Garamond" w:hAnsi="Garamond" w:cs="Sylfaen"/>
          <w:b/>
          <w:iCs/>
          <w:sz w:val="22"/>
          <w:szCs w:val="22"/>
        </w:rPr>
      </w:pPr>
      <w:r>
        <w:rPr>
          <w:rFonts w:ascii="Garamond" w:hAnsi="Garamond" w:cs="Sylfaen"/>
          <w:b/>
          <w:iCs/>
          <w:sz w:val="22"/>
          <w:szCs w:val="22"/>
        </w:rPr>
        <w:t>The</w:t>
      </w:r>
      <w:r w:rsidR="00E26826">
        <w:rPr>
          <w:rFonts w:ascii="Garamond" w:hAnsi="Garamond" w:cs="Sylfaen"/>
          <w:b/>
          <w:iCs/>
          <w:sz w:val="22"/>
          <w:szCs w:val="22"/>
        </w:rPr>
        <w:t xml:space="preserve"> d</w:t>
      </w:r>
      <w:r w:rsidR="007653F3">
        <w:rPr>
          <w:rFonts w:ascii="Garamond" w:hAnsi="Garamond" w:cs="Sylfaen"/>
          <w:b/>
          <w:iCs/>
          <w:sz w:val="22"/>
          <w:szCs w:val="22"/>
        </w:rPr>
        <w:t>eclin</w:t>
      </w:r>
      <w:r w:rsidR="00E26826">
        <w:rPr>
          <w:rFonts w:ascii="Garamond" w:hAnsi="Garamond" w:cs="Sylfaen"/>
          <w:b/>
          <w:iCs/>
          <w:sz w:val="22"/>
          <w:szCs w:val="22"/>
        </w:rPr>
        <w:t>e in</w:t>
      </w:r>
      <w:r w:rsidR="007653F3">
        <w:rPr>
          <w:rFonts w:ascii="Garamond" w:hAnsi="Garamond" w:cs="Sylfaen"/>
          <w:b/>
          <w:iCs/>
          <w:sz w:val="22"/>
          <w:szCs w:val="22"/>
        </w:rPr>
        <w:t xml:space="preserve"> </w:t>
      </w:r>
      <w:r w:rsidR="00D810B0" w:rsidRPr="00A32AB2">
        <w:rPr>
          <w:rFonts w:ascii="Garamond" w:hAnsi="Garamond" w:cs="Sylfaen"/>
          <w:b/>
          <w:iCs/>
          <w:sz w:val="22"/>
          <w:szCs w:val="22"/>
        </w:rPr>
        <w:t>remittances from Russia</w:t>
      </w:r>
      <w:r w:rsidR="005E4964" w:rsidRPr="00A32AB2">
        <w:rPr>
          <w:rFonts w:ascii="Garamond" w:hAnsi="Garamond" w:cs="Sylfaen"/>
          <w:b/>
          <w:iCs/>
          <w:sz w:val="22"/>
          <w:szCs w:val="22"/>
        </w:rPr>
        <w:t>, a principal trade partner,</w:t>
      </w:r>
      <w:r w:rsidR="00D810B0" w:rsidRPr="00A32AB2">
        <w:rPr>
          <w:rFonts w:ascii="Garamond" w:hAnsi="Garamond" w:cs="Sylfaen"/>
          <w:b/>
          <w:iCs/>
          <w:sz w:val="22"/>
          <w:szCs w:val="22"/>
        </w:rPr>
        <w:t xml:space="preserve"> will probably continue in 2016</w:t>
      </w:r>
      <w:r>
        <w:rPr>
          <w:rFonts w:ascii="Garamond" w:hAnsi="Garamond" w:cs="Sylfaen"/>
          <w:b/>
          <w:iCs/>
          <w:sz w:val="22"/>
          <w:szCs w:val="22"/>
        </w:rPr>
        <w:t xml:space="preserve"> but to a lesser extent </w:t>
      </w:r>
      <w:r w:rsidR="00D810B0" w:rsidRPr="00A32AB2">
        <w:rPr>
          <w:rFonts w:ascii="Garamond" w:hAnsi="Garamond" w:cs="Sylfaen"/>
          <w:b/>
          <w:iCs/>
          <w:sz w:val="22"/>
          <w:szCs w:val="22"/>
        </w:rPr>
        <w:t xml:space="preserve">compared </w:t>
      </w:r>
      <w:r w:rsidR="00A83C67">
        <w:rPr>
          <w:rFonts w:ascii="Garamond" w:hAnsi="Garamond" w:cs="Sylfaen"/>
          <w:b/>
          <w:iCs/>
          <w:sz w:val="22"/>
          <w:szCs w:val="22"/>
        </w:rPr>
        <w:t xml:space="preserve">to </w:t>
      </w:r>
      <w:r>
        <w:rPr>
          <w:rFonts w:ascii="Garamond" w:hAnsi="Garamond" w:cs="Sylfaen"/>
          <w:b/>
          <w:iCs/>
          <w:sz w:val="22"/>
          <w:szCs w:val="22"/>
        </w:rPr>
        <w:t xml:space="preserve">the respective trend </w:t>
      </w:r>
      <w:r w:rsidR="00D810B0" w:rsidRPr="00A32AB2">
        <w:rPr>
          <w:rFonts w:ascii="Garamond" w:hAnsi="Garamond" w:cs="Sylfaen"/>
          <w:b/>
          <w:iCs/>
          <w:sz w:val="22"/>
          <w:szCs w:val="22"/>
        </w:rPr>
        <w:t>reported in 2015</w:t>
      </w:r>
      <w:r w:rsidR="006E5077">
        <w:rPr>
          <w:rFonts w:ascii="Garamond" w:hAnsi="Garamond" w:cs="Sylfaen"/>
          <w:b/>
          <w:iCs/>
          <w:sz w:val="22"/>
          <w:szCs w:val="22"/>
        </w:rPr>
        <w:t>,</w:t>
      </w:r>
      <w:r w:rsidR="00D27583" w:rsidRPr="00A32AB2">
        <w:rPr>
          <w:rFonts w:ascii="Garamond" w:hAnsi="Garamond" w:cs="Sylfaen"/>
          <w:b/>
          <w:iCs/>
          <w:sz w:val="22"/>
          <w:szCs w:val="22"/>
        </w:rPr>
        <w:t xml:space="preserve"> and </w:t>
      </w:r>
      <w:r w:rsidR="006E5077">
        <w:rPr>
          <w:rFonts w:ascii="Garamond" w:hAnsi="Garamond" w:cs="Sylfaen"/>
          <w:b/>
          <w:iCs/>
          <w:sz w:val="22"/>
          <w:szCs w:val="22"/>
        </w:rPr>
        <w:t xml:space="preserve">it </w:t>
      </w:r>
      <w:r w:rsidR="00D27583" w:rsidRPr="00A32AB2">
        <w:rPr>
          <w:rFonts w:ascii="Garamond" w:hAnsi="Garamond" w:cs="Sylfaen"/>
          <w:b/>
          <w:iCs/>
          <w:sz w:val="22"/>
          <w:szCs w:val="22"/>
        </w:rPr>
        <w:t>will amount to 6-8%</w:t>
      </w:r>
      <w:r w:rsidR="00D810B0" w:rsidRPr="00A32AB2">
        <w:rPr>
          <w:rFonts w:ascii="Garamond" w:hAnsi="Garamond" w:cs="Sylfaen"/>
          <w:b/>
          <w:iCs/>
          <w:sz w:val="22"/>
          <w:szCs w:val="22"/>
        </w:rPr>
        <w:t xml:space="preserve">. </w:t>
      </w:r>
      <w:r w:rsidR="0066543D" w:rsidRPr="00A32AB2">
        <w:rPr>
          <w:rFonts w:ascii="Garamond" w:hAnsi="Garamond" w:cs="Sylfaen"/>
          <w:b/>
          <w:iCs/>
          <w:sz w:val="22"/>
          <w:szCs w:val="22"/>
        </w:rPr>
        <w:t xml:space="preserve">The expansionary monetary policy </w:t>
      </w:r>
      <w:r w:rsidR="006E5077">
        <w:rPr>
          <w:rFonts w:ascii="Garamond" w:hAnsi="Garamond" w:cs="Sylfaen"/>
          <w:b/>
          <w:iCs/>
          <w:sz w:val="22"/>
          <w:szCs w:val="22"/>
        </w:rPr>
        <w:t>conducted</w:t>
      </w:r>
      <w:r w:rsidR="0066543D" w:rsidRPr="00A32AB2">
        <w:rPr>
          <w:rFonts w:ascii="Garamond" w:hAnsi="Garamond" w:cs="Sylfaen"/>
          <w:b/>
          <w:iCs/>
          <w:sz w:val="22"/>
          <w:szCs w:val="22"/>
        </w:rPr>
        <w:t xml:space="preserve"> in 2015-2016, a </w:t>
      </w:r>
      <w:r w:rsidR="006E5077">
        <w:rPr>
          <w:rFonts w:ascii="Garamond" w:hAnsi="Garamond" w:cs="Sylfaen"/>
          <w:b/>
          <w:iCs/>
          <w:sz w:val="22"/>
          <w:szCs w:val="22"/>
        </w:rPr>
        <w:t xml:space="preserve">deflationary </w:t>
      </w:r>
      <w:r w:rsidR="0066543D" w:rsidRPr="00A32AB2">
        <w:rPr>
          <w:rFonts w:ascii="Garamond" w:hAnsi="Garamond" w:cs="Sylfaen"/>
          <w:b/>
          <w:iCs/>
          <w:sz w:val="22"/>
          <w:szCs w:val="22"/>
        </w:rPr>
        <w:t xml:space="preserve">environment in the </w:t>
      </w:r>
      <w:r w:rsidR="006E5077">
        <w:rPr>
          <w:rFonts w:ascii="Garamond" w:hAnsi="Garamond" w:cs="Sylfaen"/>
          <w:b/>
          <w:iCs/>
          <w:sz w:val="22"/>
          <w:szCs w:val="22"/>
        </w:rPr>
        <w:t xml:space="preserve">domestic </w:t>
      </w:r>
      <w:r w:rsidR="0066543D" w:rsidRPr="00A32AB2">
        <w:rPr>
          <w:rFonts w:ascii="Garamond" w:hAnsi="Garamond" w:cs="Sylfaen"/>
          <w:b/>
          <w:iCs/>
          <w:sz w:val="22"/>
          <w:szCs w:val="22"/>
        </w:rPr>
        <w:t xml:space="preserve">economy and </w:t>
      </w:r>
      <w:r w:rsidR="006E5077">
        <w:rPr>
          <w:rFonts w:ascii="Garamond" w:hAnsi="Garamond" w:cs="Sylfaen"/>
          <w:b/>
          <w:iCs/>
          <w:sz w:val="22"/>
          <w:szCs w:val="22"/>
        </w:rPr>
        <w:t xml:space="preserve">a </w:t>
      </w:r>
      <w:r w:rsidR="0066543D" w:rsidRPr="00A32AB2">
        <w:rPr>
          <w:rFonts w:ascii="Garamond" w:hAnsi="Garamond" w:cs="Sylfaen"/>
          <w:b/>
          <w:iCs/>
          <w:sz w:val="22"/>
          <w:szCs w:val="22"/>
        </w:rPr>
        <w:t xml:space="preserve">large budget deficit </w:t>
      </w:r>
      <w:r w:rsidR="006E5077">
        <w:rPr>
          <w:rFonts w:ascii="Garamond" w:hAnsi="Garamond" w:cs="Sylfaen"/>
          <w:b/>
          <w:iCs/>
          <w:sz w:val="22"/>
          <w:szCs w:val="22"/>
        </w:rPr>
        <w:t>in the same period of time</w:t>
      </w:r>
      <w:r w:rsidR="0066543D" w:rsidRPr="00A32AB2">
        <w:rPr>
          <w:rFonts w:ascii="Garamond" w:hAnsi="Garamond" w:cs="Sylfaen"/>
          <w:b/>
          <w:iCs/>
          <w:sz w:val="22"/>
          <w:szCs w:val="22"/>
        </w:rPr>
        <w:t xml:space="preserve"> will significantly soften the negative impact of private remittances on domestic demand in 2016. The rise in disposable income in the economy in 2016 will be driven by positive influence </w:t>
      </w:r>
      <w:r w:rsidR="00C82894" w:rsidRPr="00A32AB2">
        <w:rPr>
          <w:rFonts w:ascii="Garamond" w:hAnsi="Garamond" w:cs="Sylfaen"/>
          <w:b/>
          <w:iCs/>
          <w:sz w:val="22"/>
          <w:szCs w:val="22"/>
        </w:rPr>
        <w:t>from the</w:t>
      </w:r>
      <w:r w:rsidR="0066543D" w:rsidRPr="00A32AB2">
        <w:rPr>
          <w:rFonts w:ascii="Garamond" w:hAnsi="Garamond" w:cs="Sylfaen"/>
          <w:b/>
          <w:iCs/>
          <w:sz w:val="22"/>
          <w:szCs w:val="22"/>
        </w:rPr>
        <w:t xml:space="preserve"> growth </w:t>
      </w:r>
      <w:r w:rsidR="00C82894" w:rsidRPr="00A32AB2">
        <w:rPr>
          <w:rFonts w:ascii="Garamond" w:hAnsi="Garamond" w:cs="Sylfaen"/>
          <w:b/>
          <w:iCs/>
          <w:sz w:val="22"/>
          <w:szCs w:val="22"/>
        </w:rPr>
        <w:t xml:space="preserve">in the tradable sector. </w:t>
      </w:r>
      <w:r w:rsidR="0066543D" w:rsidRPr="00A32AB2">
        <w:rPr>
          <w:rFonts w:ascii="Garamond" w:hAnsi="Garamond" w:cs="Sylfaen"/>
          <w:b/>
          <w:iCs/>
          <w:sz w:val="22"/>
          <w:szCs w:val="22"/>
        </w:rPr>
        <w:t xml:space="preserve">As a result, </w:t>
      </w:r>
      <w:r w:rsidR="002405A7">
        <w:rPr>
          <w:rFonts w:ascii="Garamond" w:hAnsi="Garamond" w:cs="Sylfaen"/>
          <w:b/>
          <w:iCs/>
          <w:sz w:val="22"/>
          <w:szCs w:val="22"/>
        </w:rPr>
        <w:t xml:space="preserve">after a decline in 2015, </w:t>
      </w:r>
      <w:r w:rsidR="00C82894" w:rsidRPr="00A32AB2">
        <w:rPr>
          <w:rFonts w:ascii="Garamond" w:hAnsi="Garamond" w:cs="Sylfaen"/>
          <w:b/>
          <w:iCs/>
          <w:sz w:val="22"/>
          <w:szCs w:val="22"/>
        </w:rPr>
        <w:t xml:space="preserve">the </w:t>
      </w:r>
      <w:r w:rsidR="0066543D" w:rsidRPr="00A32AB2">
        <w:rPr>
          <w:rFonts w:ascii="Garamond" w:hAnsi="Garamond" w:cs="Sylfaen"/>
          <w:b/>
          <w:iCs/>
          <w:sz w:val="22"/>
          <w:szCs w:val="22"/>
        </w:rPr>
        <w:t>domestic demand</w:t>
      </w:r>
      <w:r w:rsidR="002405A7">
        <w:rPr>
          <w:rFonts w:ascii="Garamond" w:hAnsi="Garamond" w:cs="Sylfaen"/>
          <w:b/>
          <w:iCs/>
          <w:sz w:val="22"/>
          <w:szCs w:val="22"/>
        </w:rPr>
        <w:t xml:space="preserve"> </w:t>
      </w:r>
      <w:r w:rsidR="00727D5A" w:rsidRPr="00A32AB2">
        <w:rPr>
          <w:rFonts w:ascii="Garamond" w:hAnsi="Garamond" w:cs="Sylfaen"/>
          <w:b/>
          <w:iCs/>
          <w:sz w:val="22"/>
          <w:szCs w:val="22"/>
        </w:rPr>
        <w:t xml:space="preserve">is expected to </w:t>
      </w:r>
      <w:r w:rsidR="00C82894" w:rsidRPr="00A32AB2">
        <w:rPr>
          <w:rFonts w:ascii="Garamond" w:hAnsi="Garamond" w:cs="Sylfaen"/>
          <w:b/>
          <w:iCs/>
          <w:sz w:val="22"/>
          <w:szCs w:val="22"/>
        </w:rPr>
        <w:t>gradually bounce back in 2016</w:t>
      </w:r>
      <w:r w:rsidR="002405A7">
        <w:rPr>
          <w:rFonts w:ascii="Garamond" w:hAnsi="Garamond" w:cs="Sylfaen"/>
          <w:b/>
          <w:iCs/>
          <w:sz w:val="22"/>
          <w:szCs w:val="22"/>
        </w:rPr>
        <w:t xml:space="preserve"> </w:t>
      </w:r>
      <w:r w:rsidR="00C21F9D">
        <w:rPr>
          <w:rFonts w:ascii="Garamond" w:hAnsi="Garamond" w:cs="Sylfaen"/>
          <w:b/>
          <w:iCs/>
          <w:sz w:val="22"/>
          <w:szCs w:val="22"/>
        </w:rPr>
        <w:t>yet</w:t>
      </w:r>
      <w:r w:rsidR="002405A7">
        <w:rPr>
          <w:rFonts w:ascii="Garamond" w:hAnsi="Garamond" w:cs="Sylfaen"/>
          <w:b/>
          <w:iCs/>
          <w:sz w:val="22"/>
          <w:szCs w:val="22"/>
        </w:rPr>
        <w:t xml:space="preserve"> it </w:t>
      </w:r>
      <w:r w:rsidR="0066543D" w:rsidRPr="00A32AB2">
        <w:rPr>
          <w:rFonts w:ascii="Garamond" w:hAnsi="Garamond" w:cs="Sylfaen"/>
          <w:b/>
          <w:iCs/>
          <w:sz w:val="22"/>
          <w:szCs w:val="22"/>
        </w:rPr>
        <w:t>will still be below the equilibrium.</w:t>
      </w:r>
    </w:p>
    <w:p w14:paraId="1CDB0891" w14:textId="77777777" w:rsidR="002712F3" w:rsidRPr="00A32AB2" w:rsidRDefault="002712F3" w:rsidP="00B117C8">
      <w:pPr>
        <w:spacing w:line="360" w:lineRule="auto"/>
        <w:jc w:val="both"/>
        <w:rPr>
          <w:rFonts w:ascii="Garamond" w:hAnsi="Garamond" w:cs="Sylfaen"/>
          <w:b/>
          <w:iCs/>
          <w:sz w:val="22"/>
          <w:szCs w:val="22"/>
        </w:rPr>
      </w:pPr>
    </w:p>
    <w:p w14:paraId="19E454E1" w14:textId="77777777" w:rsidR="002712F3" w:rsidRPr="00A32AB2" w:rsidRDefault="002712F3" w:rsidP="00B117C8">
      <w:pPr>
        <w:spacing w:line="360" w:lineRule="auto"/>
        <w:jc w:val="both"/>
        <w:rPr>
          <w:rFonts w:ascii="Garamond" w:hAnsi="Garamond"/>
          <w:b/>
          <w:sz w:val="22"/>
          <w:szCs w:val="22"/>
        </w:rPr>
      </w:pPr>
      <w:r w:rsidRPr="00A32AB2">
        <w:rPr>
          <w:rFonts w:ascii="Garamond" w:hAnsi="Garamond"/>
          <w:b/>
          <w:sz w:val="22"/>
          <w:szCs w:val="22"/>
        </w:rPr>
        <w:t xml:space="preserve">The domestic demand will </w:t>
      </w:r>
      <w:r w:rsidR="00D12E95" w:rsidRPr="00A32AB2">
        <w:rPr>
          <w:rFonts w:ascii="Garamond" w:hAnsi="Garamond"/>
          <w:b/>
          <w:sz w:val="22"/>
          <w:szCs w:val="22"/>
        </w:rPr>
        <w:t xml:space="preserve">continue </w:t>
      </w:r>
      <w:r w:rsidRPr="00A32AB2">
        <w:rPr>
          <w:rFonts w:ascii="Garamond" w:hAnsi="Garamond"/>
          <w:b/>
          <w:sz w:val="22"/>
          <w:szCs w:val="22"/>
        </w:rPr>
        <w:t xml:space="preserve">growing </w:t>
      </w:r>
      <w:r w:rsidR="008A728A">
        <w:rPr>
          <w:rFonts w:ascii="Garamond" w:hAnsi="Garamond"/>
          <w:b/>
          <w:sz w:val="22"/>
          <w:szCs w:val="22"/>
        </w:rPr>
        <w:t>to g</w:t>
      </w:r>
      <w:r w:rsidRPr="00A32AB2">
        <w:rPr>
          <w:rFonts w:ascii="Garamond" w:hAnsi="Garamond"/>
          <w:b/>
          <w:sz w:val="22"/>
          <w:szCs w:val="22"/>
        </w:rPr>
        <w:t>et closer</w:t>
      </w:r>
      <w:r w:rsidR="008A728A">
        <w:rPr>
          <w:rFonts w:ascii="Garamond" w:hAnsi="Garamond"/>
          <w:b/>
          <w:sz w:val="22"/>
          <w:szCs w:val="22"/>
        </w:rPr>
        <w:t xml:space="preserve"> to its equilibrium in 2017-2019</w:t>
      </w:r>
      <w:r w:rsidRPr="00A32AB2">
        <w:rPr>
          <w:rFonts w:ascii="Garamond" w:hAnsi="Garamond"/>
          <w:b/>
          <w:sz w:val="22"/>
          <w:szCs w:val="22"/>
        </w:rPr>
        <w:t xml:space="preserve"> as economic activity revives in partner countries to Armenia a</w:t>
      </w:r>
      <w:r w:rsidR="008A728A">
        <w:rPr>
          <w:rFonts w:ascii="Garamond" w:hAnsi="Garamond"/>
          <w:b/>
          <w:sz w:val="22"/>
          <w:szCs w:val="22"/>
        </w:rPr>
        <w:t>nd</w:t>
      </w:r>
      <w:r w:rsidRPr="00A32AB2">
        <w:rPr>
          <w:rFonts w:ascii="Garamond" w:hAnsi="Garamond"/>
          <w:b/>
          <w:sz w:val="22"/>
          <w:szCs w:val="22"/>
        </w:rPr>
        <w:t xml:space="preserve"> the lagged impact of the expansionary monetary policy in the Armenian economy persists.</w:t>
      </w:r>
    </w:p>
    <w:p w14:paraId="67990A09" w14:textId="77777777" w:rsidR="004A18CF" w:rsidRPr="00A32AB2" w:rsidRDefault="004A18CF" w:rsidP="00B117C8">
      <w:pPr>
        <w:spacing w:line="360" w:lineRule="auto"/>
        <w:jc w:val="both"/>
        <w:rPr>
          <w:rFonts w:ascii="Garamond" w:hAnsi="Garamond"/>
          <w:b/>
          <w:sz w:val="22"/>
          <w:szCs w:val="22"/>
        </w:rPr>
      </w:pPr>
    </w:p>
    <w:p w14:paraId="7522F45A" w14:textId="77777777" w:rsidR="004A18CF" w:rsidRPr="00A32AB2" w:rsidRDefault="004A18CF" w:rsidP="00B117C8">
      <w:pPr>
        <w:spacing w:line="360" w:lineRule="auto"/>
        <w:jc w:val="both"/>
        <w:rPr>
          <w:rFonts w:ascii="Garamond" w:hAnsi="Garamond" w:cs="Sylfaen"/>
          <w:b/>
          <w:iCs/>
          <w:sz w:val="22"/>
          <w:szCs w:val="22"/>
        </w:rPr>
      </w:pPr>
      <w:r w:rsidRPr="00A32AB2">
        <w:rPr>
          <w:rFonts w:ascii="Garamond" w:hAnsi="Garamond" w:cs="Sylfaen"/>
          <w:b/>
          <w:iCs/>
          <w:sz w:val="22"/>
          <w:szCs w:val="22"/>
        </w:rPr>
        <w:t xml:space="preserve">Though </w:t>
      </w:r>
      <w:r w:rsidR="008A728A">
        <w:rPr>
          <w:rFonts w:ascii="Garamond" w:hAnsi="Garamond" w:cs="Sylfaen"/>
          <w:b/>
          <w:iCs/>
          <w:sz w:val="22"/>
          <w:szCs w:val="22"/>
        </w:rPr>
        <w:t xml:space="preserve">a slower-growing </w:t>
      </w:r>
      <w:r w:rsidRPr="00A32AB2">
        <w:rPr>
          <w:rFonts w:ascii="Garamond" w:hAnsi="Garamond" w:cs="Sylfaen"/>
          <w:b/>
          <w:iCs/>
          <w:sz w:val="22"/>
          <w:szCs w:val="22"/>
        </w:rPr>
        <w:t xml:space="preserve">domestic demand will negatively affect the economic growth </w:t>
      </w:r>
      <w:r w:rsidR="00223AAF">
        <w:rPr>
          <w:rFonts w:ascii="Garamond" w:hAnsi="Garamond" w:cs="Sylfaen"/>
          <w:b/>
          <w:iCs/>
          <w:sz w:val="22"/>
          <w:szCs w:val="22"/>
        </w:rPr>
        <w:t>in</w:t>
      </w:r>
      <w:r w:rsidRPr="00A32AB2">
        <w:rPr>
          <w:rFonts w:ascii="Garamond" w:hAnsi="Garamond" w:cs="Sylfaen"/>
          <w:b/>
          <w:iCs/>
          <w:sz w:val="22"/>
          <w:szCs w:val="22"/>
        </w:rPr>
        <w:t xml:space="preserve"> the forecast horizon, it will however </w:t>
      </w:r>
      <w:r w:rsidR="00223AAF">
        <w:rPr>
          <w:rFonts w:ascii="Garamond" w:hAnsi="Garamond" w:cs="Sylfaen"/>
          <w:b/>
          <w:iCs/>
          <w:sz w:val="22"/>
          <w:szCs w:val="22"/>
        </w:rPr>
        <w:t xml:space="preserve">help to </w:t>
      </w:r>
      <w:r w:rsidRPr="00A32AB2">
        <w:rPr>
          <w:rFonts w:ascii="Garamond" w:hAnsi="Garamond" w:cs="Sylfaen"/>
          <w:b/>
          <w:iCs/>
          <w:sz w:val="22"/>
          <w:szCs w:val="22"/>
        </w:rPr>
        <w:t>eliminat</w:t>
      </w:r>
      <w:r w:rsidR="00223AAF">
        <w:rPr>
          <w:rFonts w:ascii="Garamond" w:hAnsi="Garamond" w:cs="Sylfaen"/>
          <w:b/>
          <w:iCs/>
          <w:sz w:val="22"/>
          <w:szCs w:val="22"/>
        </w:rPr>
        <w:t>e the</w:t>
      </w:r>
      <w:r w:rsidRPr="00A32AB2">
        <w:rPr>
          <w:rFonts w:ascii="Garamond" w:hAnsi="Garamond" w:cs="Sylfaen"/>
          <w:b/>
          <w:iCs/>
          <w:sz w:val="22"/>
          <w:szCs w:val="22"/>
        </w:rPr>
        <w:t xml:space="preserve"> imbalances – particularly the </w:t>
      </w:r>
      <w:r w:rsidR="00AC37B4" w:rsidRPr="00A32AB2">
        <w:rPr>
          <w:rFonts w:ascii="Garamond" w:hAnsi="Garamond" w:cs="Sylfaen"/>
          <w:b/>
          <w:iCs/>
          <w:sz w:val="22"/>
          <w:szCs w:val="22"/>
        </w:rPr>
        <w:t>decreasing</w:t>
      </w:r>
      <w:r w:rsidRPr="00A32AB2">
        <w:rPr>
          <w:rFonts w:ascii="Garamond" w:hAnsi="Garamond" w:cs="Sylfaen"/>
          <w:b/>
          <w:iCs/>
          <w:sz w:val="22"/>
          <w:szCs w:val="22"/>
        </w:rPr>
        <w:t xml:space="preserve"> of the negative gap between savings and investments – observable in the domestic economy in recent years. This boosts up competitiveness of the Armenian economy, strengthens the macroeconomic stability and provides for long-term, sustainable investment and economic growth p</w:t>
      </w:r>
      <w:r w:rsidR="009C6B91" w:rsidRPr="00A32AB2">
        <w:rPr>
          <w:rFonts w:ascii="Garamond" w:hAnsi="Garamond" w:cs="Sylfaen"/>
          <w:b/>
          <w:iCs/>
          <w:sz w:val="22"/>
          <w:szCs w:val="22"/>
        </w:rPr>
        <w:t>rospects</w:t>
      </w:r>
      <w:r w:rsidRPr="00A32AB2">
        <w:rPr>
          <w:rFonts w:ascii="Garamond" w:hAnsi="Garamond" w:cs="Sylfaen"/>
          <w:b/>
          <w:iCs/>
          <w:sz w:val="22"/>
          <w:szCs w:val="22"/>
        </w:rPr>
        <w:t>.</w:t>
      </w:r>
    </w:p>
    <w:p w14:paraId="59050EEA" w14:textId="77777777" w:rsidR="00CC235C" w:rsidRPr="00A32AB2" w:rsidRDefault="00CC235C" w:rsidP="00B117C8">
      <w:pPr>
        <w:spacing w:line="360" w:lineRule="auto"/>
        <w:jc w:val="both"/>
        <w:rPr>
          <w:rFonts w:ascii="Garamond" w:hAnsi="Garamond" w:cs="Sylfaen"/>
          <w:b/>
          <w:iCs/>
          <w:sz w:val="22"/>
          <w:szCs w:val="22"/>
        </w:rPr>
      </w:pPr>
    </w:p>
    <w:p w14:paraId="321A0857" w14:textId="77777777" w:rsidR="007E4AEC" w:rsidRPr="00A32AB2" w:rsidRDefault="00DB53EF" w:rsidP="00B117C8">
      <w:pPr>
        <w:spacing w:line="360" w:lineRule="auto"/>
        <w:jc w:val="both"/>
        <w:rPr>
          <w:rFonts w:ascii="Garamond" w:hAnsi="Garamond" w:cs="Sylfaen"/>
          <w:b/>
          <w:iCs/>
          <w:sz w:val="22"/>
          <w:szCs w:val="22"/>
        </w:rPr>
      </w:pPr>
      <w:r w:rsidRPr="00A32AB2">
        <w:rPr>
          <w:rFonts w:ascii="Garamond" w:hAnsi="Garamond" w:cs="Sylfaen"/>
          <w:b/>
          <w:iCs/>
          <w:sz w:val="22"/>
          <w:szCs w:val="22"/>
        </w:rPr>
        <w:t xml:space="preserve">The domestic </w:t>
      </w:r>
      <w:r w:rsidR="00CC235C" w:rsidRPr="00A32AB2">
        <w:rPr>
          <w:rFonts w:ascii="Garamond" w:hAnsi="Garamond" w:cs="Sylfaen"/>
          <w:b/>
          <w:iCs/>
          <w:sz w:val="22"/>
          <w:szCs w:val="22"/>
        </w:rPr>
        <w:t xml:space="preserve">economic growth in 2016 will further be achieved by contributing to net exports. </w:t>
      </w:r>
      <w:r w:rsidRPr="00A32AB2">
        <w:rPr>
          <w:rFonts w:ascii="Garamond" w:hAnsi="Garamond" w:cs="Sylfaen"/>
          <w:b/>
          <w:iCs/>
          <w:sz w:val="22"/>
          <w:szCs w:val="22"/>
        </w:rPr>
        <w:t>I</w:t>
      </w:r>
      <w:r w:rsidR="00CC235C" w:rsidRPr="00A32AB2">
        <w:rPr>
          <w:rFonts w:ascii="Garamond" w:hAnsi="Garamond" w:cs="Sylfaen"/>
          <w:b/>
          <w:iCs/>
          <w:sz w:val="22"/>
          <w:szCs w:val="22"/>
        </w:rPr>
        <w:t xml:space="preserve">mproved competitiveness </w:t>
      </w:r>
      <w:r w:rsidRPr="00A32AB2">
        <w:rPr>
          <w:rFonts w:ascii="Garamond" w:hAnsi="Garamond" w:cs="Sylfaen"/>
          <w:b/>
          <w:iCs/>
          <w:sz w:val="22"/>
          <w:szCs w:val="22"/>
        </w:rPr>
        <w:t xml:space="preserve">in recent years </w:t>
      </w:r>
      <w:r w:rsidR="00CC235C" w:rsidRPr="00A32AB2">
        <w:rPr>
          <w:rFonts w:ascii="Garamond" w:hAnsi="Garamond" w:cs="Sylfaen"/>
          <w:b/>
          <w:iCs/>
          <w:sz w:val="22"/>
          <w:szCs w:val="22"/>
        </w:rPr>
        <w:t xml:space="preserve">determined rapid </w:t>
      </w:r>
      <w:r w:rsidR="00F028AC" w:rsidRPr="00A32AB2">
        <w:rPr>
          <w:rFonts w:ascii="Garamond" w:hAnsi="Garamond" w:cs="Sylfaen"/>
          <w:b/>
          <w:iCs/>
          <w:sz w:val="22"/>
          <w:szCs w:val="22"/>
        </w:rPr>
        <w:t xml:space="preserve">rates in </w:t>
      </w:r>
      <w:r w:rsidR="00CC235C" w:rsidRPr="00A32AB2">
        <w:rPr>
          <w:rFonts w:ascii="Garamond" w:hAnsi="Garamond" w:cs="Sylfaen"/>
          <w:b/>
          <w:iCs/>
          <w:sz w:val="22"/>
          <w:szCs w:val="22"/>
        </w:rPr>
        <w:t xml:space="preserve">productivity growth in </w:t>
      </w:r>
      <w:r w:rsidRPr="00A32AB2">
        <w:rPr>
          <w:rFonts w:ascii="Garamond" w:hAnsi="Garamond" w:cs="Sylfaen"/>
          <w:b/>
          <w:iCs/>
          <w:sz w:val="22"/>
          <w:szCs w:val="22"/>
        </w:rPr>
        <w:t xml:space="preserve">the </w:t>
      </w:r>
      <w:r w:rsidR="00CC235C" w:rsidRPr="00A32AB2">
        <w:rPr>
          <w:rFonts w:ascii="Garamond" w:hAnsi="Garamond" w:cs="Sylfaen"/>
          <w:b/>
          <w:iCs/>
          <w:sz w:val="22"/>
          <w:szCs w:val="22"/>
        </w:rPr>
        <w:t xml:space="preserve">tradable sector of the Armenian economy, </w:t>
      </w:r>
      <w:r w:rsidRPr="00A32AB2">
        <w:rPr>
          <w:rFonts w:ascii="Garamond" w:hAnsi="Garamond" w:cs="Sylfaen"/>
          <w:b/>
          <w:iCs/>
          <w:sz w:val="22"/>
          <w:szCs w:val="22"/>
        </w:rPr>
        <w:t>which will</w:t>
      </w:r>
      <w:r w:rsidR="00F028AC" w:rsidRPr="00A32AB2">
        <w:rPr>
          <w:rFonts w:ascii="Garamond" w:hAnsi="Garamond" w:cs="Sylfaen"/>
          <w:b/>
          <w:iCs/>
          <w:sz w:val="22"/>
          <w:szCs w:val="22"/>
        </w:rPr>
        <w:t xml:space="preserve">, in turn, </w:t>
      </w:r>
      <w:r w:rsidRPr="00A32AB2">
        <w:rPr>
          <w:rFonts w:ascii="Garamond" w:hAnsi="Garamond" w:cs="Sylfaen"/>
          <w:b/>
          <w:iCs/>
          <w:sz w:val="22"/>
          <w:szCs w:val="22"/>
        </w:rPr>
        <w:t xml:space="preserve">secure </w:t>
      </w:r>
      <w:r w:rsidR="00CC235C" w:rsidRPr="00A32AB2">
        <w:rPr>
          <w:rFonts w:ascii="Garamond" w:hAnsi="Garamond" w:cs="Sylfaen"/>
          <w:b/>
          <w:iCs/>
          <w:sz w:val="22"/>
          <w:szCs w:val="22"/>
        </w:rPr>
        <w:t>growth</w:t>
      </w:r>
      <w:r w:rsidR="00F028AC" w:rsidRPr="00A32AB2">
        <w:rPr>
          <w:rFonts w:ascii="Garamond" w:hAnsi="Garamond" w:cs="Sylfaen"/>
          <w:b/>
          <w:iCs/>
          <w:sz w:val="22"/>
          <w:szCs w:val="22"/>
        </w:rPr>
        <w:t>s</w:t>
      </w:r>
      <w:r w:rsidR="00CC235C" w:rsidRPr="00A32AB2">
        <w:rPr>
          <w:rFonts w:ascii="Garamond" w:hAnsi="Garamond" w:cs="Sylfaen"/>
          <w:b/>
          <w:iCs/>
          <w:sz w:val="22"/>
          <w:szCs w:val="22"/>
        </w:rPr>
        <w:t xml:space="preserve"> in agriculture</w:t>
      </w:r>
      <w:r w:rsidR="00223AAF">
        <w:rPr>
          <w:rFonts w:ascii="Garamond" w:hAnsi="Garamond" w:cs="Sylfaen"/>
          <w:b/>
          <w:iCs/>
          <w:sz w:val="22"/>
          <w:szCs w:val="22"/>
        </w:rPr>
        <w:t xml:space="preserve"> </w:t>
      </w:r>
      <w:r w:rsidR="00CC235C" w:rsidRPr="00A32AB2">
        <w:rPr>
          <w:rFonts w:ascii="Garamond" w:hAnsi="Garamond" w:cs="Sylfaen"/>
          <w:b/>
          <w:iCs/>
          <w:sz w:val="22"/>
          <w:szCs w:val="22"/>
        </w:rPr>
        <w:t xml:space="preserve">and services sectors </w:t>
      </w:r>
      <w:r w:rsidR="00F028AC" w:rsidRPr="00A32AB2">
        <w:rPr>
          <w:rFonts w:ascii="Garamond" w:hAnsi="Garamond" w:cs="Sylfaen"/>
          <w:b/>
          <w:iCs/>
          <w:sz w:val="22"/>
          <w:szCs w:val="22"/>
        </w:rPr>
        <w:t>in</w:t>
      </w:r>
      <w:r w:rsidR="00CC235C" w:rsidRPr="00A32AB2">
        <w:rPr>
          <w:rFonts w:ascii="Garamond" w:hAnsi="Garamond" w:cs="Sylfaen"/>
          <w:b/>
          <w:iCs/>
          <w:sz w:val="22"/>
          <w:szCs w:val="22"/>
        </w:rPr>
        <w:t xml:space="preserve"> 201</w:t>
      </w:r>
      <w:r w:rsidR="00F028AC" w:rsidRPr="00A32AB2">
        <w:rPr>
          <w:rFonts w:ascii="Garamond" w:hAnsi="Garamond" w:cs="Sylfaen"/>
          <w:b/>
          <w:iCs/>
          <w:sz w:val="22"/>
          <w:szCs w:val="22"/>
        </w:rPr>
        <w:t>6</w:t>
      </w:r>
      <w:r w:rsidR="00CC235C" w:rsidRPr="00A32AB2">
        <w:rPr>
          <w:rFonts w:ascii="Garamond" w:hAnsi="Garamond" w:cs="Sylfaen"/>
          <w:b/>
          <w:iCs/>
          <w:sz w:val="22"/>
          <w:szCs w:val="22"/>
        </w:rPr>
        <w:t>. Given th</w:t>
      </w:r>
      <w:r w:rsidR="00223AAF">
        <w:rPr>
          <w:rFonts w:ascii="Garamond" w:hAnsi="Garamond" w:cs="Sylfaen"/>
          <w:b/>
          <w:iCs/>
          <w:sz w:val="22"/>
          <w:szCs w:val="22"/>
        </w:rPr>
        <w:t>at th</w:t>
      </w:r>
      <w:r w:rsidR="00CC235C" w:rsidRPr="00A32AB2">
        <w:rPr>
          <w:rFonts w:ascii="Garamond" w:hAnsi="Garamond" w:cs="Sylfaen"/>
          <w:b/>
          <w:iCs/>
          <w:sz w:val="22"/>
          <w:szCs w:val="22"/>
        </w:rPr>
        <w:t xml:space="preserve">e global demand expands and investments in </w:t>
      </w:r>
      <w:r w:rsidR="00BC0952" w:rsidRPr="00A32AB2">
        <w:rPr>
          <w:rFonts w:ascii="Garamond" w:hAnsi="Garamond" w:cs="Sylfaen"/>
          <w:b/>
          <w:iCs/>
          <w:sz w:val="22"/>
          <w:szCs w:val="22"/>
        </w:rPr>
        <w:t xml:space="preserve">the </w:t>
      </w:r>
      <w:r w:rsidR="00CC235C" w:rsidRPr="00A32AB2">
        <w:rPr>
          <w:rFonts w:ascii="Garamond" w:hAnsi="Garamond" w:cs="Sylfaen"/>
          <w:b/>
          <w:iCs/>
          <w:sz w:val="22"/>
          <w:szCs w:val="22"/>
        </w:rPr>
        <w:t>tradable sector increase in 201</w:t>
      </w:r>
      <w:r w:rsidR="007E4AEC" w:rsidRPr="00A32AB2">
        <w:rPr>
          <w:rFonts w:ascii="Garamond" w:hAnsi="Garamond" w:cs="Sylfaen"/>
          <w:b/>
          <w:iCs/>
          <w:sz w:val="22"/>
          <w:szCs w:val="22"/>
        </w:rPr>
        <w:t>7</w:t>
      </w:r>
      <w:r w:rsidR="00F42198" w:rsidRPr="00A32AB2">
        <w:rPr>
          <w:rFonts w:ascii="Garamond" w:hAnsi="Garamond" w:cs="Sylfaen"/>
          <w:b/>
          <w:iCs/>
          <w:sz w:val="22"/>
          <w:szCs w:val="22"/>
        </w:rPr>
        <w:t>–</w:t>
      </w:r>
      <w:r w:rsidR="00CC235C" w:rsidRPr="00A32AB2">
        <w:rPr>
          <w:rFonts w:ascii="Garamond" w:hAnsi="Garamond" w:cs="Sylfaen"/>
          <w:b/>
          <w:iCs/>
          <w:sz w:val="22"/>
          <w:szCs w:val="22"/>
        </w:rPr>
        <w:t xml:space="preserve">2018, net exports will continue to largely contribute to the economic growth. </w:t>
      </w:r>
      <w:r w:rsidR="007E4AEC" w:rsidRPr="00A32AB2">
        <w:rPr>
          <w:rFonts w:ascii="Garamond" w:hAnsi="Garamond" w:cs="Sylfaen"/>
          <w:b/>
          <w:iCs/>
          <w:sz w:val="22"/>
          <w:szCs w:val="22"/>
        </w:rPr>
        <w:t xml:space="preserve">Furthermore, </w:t>
      </w:r>
      <w:r w:rsidR="007E4AEC" w:rsidRPr="00A32AB2">
        <w:rPr>
          <w:rFonts w:ascii="Garamond" w:eastAsia="Calibri" w:hAnsi="Garamond" w:cs="Sylfaen"/>
          <w:b/>
          <w:sz w:val="22"/>
          <w:szCs w:val="22"/>
        </w:rPr>
        <w:t xml:space="preserve">investments will prove highly effective, if they are funded </w:t>
      </w:r>
      <w:r w:rsidR="00AE6881" w:rsidRPr="00A32AB2">
        <w:rPr>
          <w:rFonts w:ascii="Garamond" w:eastAsia="Calibri" w:hAnsi="Garamond" w:cs="Sylfaen"/>
          <w:b/>
          <w:sz w:val="22"/>
          <w:szCs w:val="22"/>
        </w:rPr>
        <w:t xml:space="preserve">from </w:t>
      </w:r>
      <w:r w:rsidR="007E4AEC" w:rsidRPr="00A32AB2">
        <w:rPr>
          <w:rFonts w:ascii="Garamond" w:eastAsia="Calibri" w:hAnsi="Garamond" w:cs="Sylfaen"/>
          <w:b/>
          <w:sz w:val="22"/>
          <w:szCs w:val="22"/>
        </w:rPr>
        <w:t xml:space="preserve">domestic savings rather than </w:t>
      </w:r>
      <w:r w:rsidR="00AE6881" w:rsidRPr="00A32AB2">
        <w:rPr>
          <w:rFonts w:ascii="Garamond" w:eastAsia="Calibri" w:hAnsi="Garamond" w:cs="Sylfaen"/>
          <w:b/>
          <w:sz w:val="22"/>
          <w:szCs w:val="22"/>
        </w:rPr>
        <w:t xml:space="preserve">through </w:t>
      </w:r>
      <w:r w:rsidR="007E4AEC" w:rsidRPr="00A32AB2">
        <w:rPr>
          <w:rFonts w:ascii="Garamond" w:eastAsia="Calibri" w:hAnsi="Garamond" w:cs="Sylfaen"/>
          <w:b/>
          <w:sz w:val="22"/>
          <w:szCs w:val="22"/>
        </w:rPr>
        <w:t>foreign debt instruments, or if they come as foreign direct investment</w:t>
      </w:r>
      <w:r w:rsidR="00F42198" w:rsidRPr="00A32AB2">
        <w:rPr>
          <w:rFonts w:ascii="Garamond" w:eastAsia="Calibri" w:hAnsi="Garamond" w:cs="Sylfaen"/>
          <w:b/>
          <w:sz w:val="22"/>
          <w:szCs w:val="22"/>
        </w:rPr>
        <w:t>, since financing through loans increases companies’ susceptibility to risk</w:t>
      </w:r>
      <w:r w:rsidR="007E4AEC" w:rsidRPr="00A32AB2">
        <w:rPr>
          <w:rFonts w:ascii="Garamond" w:eastAsia="Calibri" w:hAnsi="Garamond" w:cs="Sylfaen"/>
          <w:sz w:val="22"/>
          <w:szCs w:val="22"/>
        </w:rPr>
        <w:t>.</w:t>
      </w:r>
    </w:p>
    <w:p w14:paraId="2BBEC993" w14:textId="77777777" w:rsidR="007E4AEC" w:rsidRPr="00A32AB2" w:rsidRDefault="007E4AEC" w:rsidP="00B117C8">
      <w:pPr>
        <w:spacing w:line="360" w:lineRule="auto"/>
        <w:jc w:val="both"/>
        <w:rPr>
          <w:rFonts w:ascii="Garamond" w:hAnsi="Garamond" w:cs="Sylfaen"/>
          <w:b/>
          <w:iCs/>
          <w:sz w:val="22"/>
          <w:szCs w:val="22"/>
        </w:rPr>
      </w:pPr>
    </w:p>
    <w:p w14:paraId="5147C951" w14:textId="77777777" w:rsidR="004F349B" w:rsidRPr="00A32AB2" w:rsidRDefault="00CC235C" w:rsidP="00B117C8">
      <w:pPr>
        <w:spacing w:line="360" w:lineRule="auto"/>
        <w:jc w:val="both"/>
        <w:rPr>
          <w:rFonts w:ascii="Garamond" w:hAnsi="Garamond" w:cs="Sylfaen"/>
          <w:b/>
          <w:iCs/>
          <w:sz w:val="22"/>
          <w:szCs w:val="22"/>
        </w:rPr>
      </w:pPr>
      <w:r w:rsidRPr="00A32AB2">
        <w:rPr>
          <w:rFonts w:ascii="Garamond" w:hAnsi="Garamond" w:cs="Sylfaen"/>
          <w:b/>
          <w:iCs/>
          <w:sz w:val="22"/>
          <w:szCs w:val="22"/>
        </w:rPr>
        <w:t>In the forecast horizon, revenues generated in the tradable sector will, in turn, serve a</w:t>
      </w:r>
      <w:r w:rsidR="008911F9" w:rsidRPr="00A32AB2">
        <w:rPr>
          <w:rFonts w:ascii="Garamond" w:hAnsi="Garamond" w:cs="Sylfaen"/>
          <w:b/>
          <w:iCs/>
          <w:sz w:val="22"/>
          <w:szCs w:val="22"/>
        </w:rPr>
        <w:t>nother</w:t>
      </w:r>
      <w:r w:rsidRPr="00A32AB2">
        <w:rPr>
          <w:rFonts w:ascii="Garamond" w:hAnsi="Garamond" w:cs="Sylfaen"/>
          <w:b/>
          <w:iCs/>
          <w:sz w:val="22"/>
          <w:szCs w:val="22"/>
        </w:rPr>
        <w:t xml:space="preserve"> source to finance gross private expenditures and will </w:t>
      </w:r>
      <w:r w:rsidR="008911F9" w:rsidRPr="00A32AB2">
        <w:rPr>
          <w:rFonts w:ascii="Garamond" w:hAnsi="Garamond" w:cs="Sylfaen"/>
          <w:b/>
          <w:iCs/>
          <w:sz w:val="22"/>
          <w:szCs w:val="22"/>
        </w:rPr>
        <w:t>bolster</w:t>
      </w:r>
      <w:r w:rsidRPr="00A32AB2">
        <w:rPr>
          <w:rFonts w:ascii="Garamond" w:hAnsi="Garamond" w:cs="Sylfaen"/>
          <w:b/>
          <w:iCs/>
          <w:sz w:val="22"/>
          <w:szCs w:val="22"/>
        </w:rPr>
        <w:t xml:space="preserve"> the recovery of domestic demand and economic growth on the whole.</w:t>
      </w:r>
    </w:p>
    <w:p w14:paraId="4A031C1D" w14:textId="77777777" w:rsidR="004F349B" w:rsidRPr="00A32AB2" w:rsidRDefault="004F349B" w:rsidP="00B117C8">
      <w:pPr>
        <w:spacing w:line="360" w:lineRule="auto"/>
        <w:jc w:val="both"/>
        <w:rPr>
          <w:rFonts w:ascii="Garamond" w:hAnsi="Garamond" w:cs="Sylfaen"/>
          <w:b/>
          <w:iCs/>
          <w:sz w:val="22"/>
          <w:szCs w:val="22"/>
        </w:rPr>
      </w:pPr>
    </w:p>
    <w:p w14:paraId="745A6FC1" w14:textId="77777777" w:rsidR="00F458E9" w:rsidRPr="00A32AB2" w:rsidRDefault="00F458E9" w:rsidP="00B117C8">
      <w:pPr>
        <w:spacing w:line="360" w:lineRule="auto"/>
        <w:jc w:val="both"/>
        <w:rPr>
          <w:rFonts w:ascii="Garamond" w:hAnsi="Garamond" w:cs="Sylfaen"/>
          <w:b/>
          <w:iCs/>
          <w:sz w:val="22"/>
          <w:szCs w:val="22"/>
        </w:rPr>
      </w:pPr>
      <w:r w:rsidRPr="00A32AB2">
        <w:rPr>
          <w:rFonts w:ascii="Garamond" w:hAnsi="Garamond" w:cs="Sylfaen"/>
          <w:b/>
          <w:iCs/>
          <w:sz w:val="22"/>
          <w:szCs w:val="22"/>
        </w:rPr>
        <w:t>Private sector spending</w:t>
      </w:r>
    </w:p>
    <w:p w14:paraId="4C7E3C8B" w14:textId="77777777" w:rsidR="00F458E9" w:rsidRPr="00A32AB2" w:rsidRDefault="009738A0" w:rsidP="00B117C8">
      <w:pPr>
        <w:spacing w:line="360" w:lineRule="auto"/>
        <w:jc w:val="both"/>
        <w:rPr>
          <w:rFonts w:ascii="Garamond" w:hAnsi="Garamond"/>
          <w:sz w:val="22"/>
          <w:szCs w:val="22"/>
        </w:rPr>
      </w:pPr>
      <w:r w:rsidRPr="00A32AB2">
        <w:rPr>
          <w:rFonts w:ascii="Garamond" w:hAnsi="Garamond"/>
          <w:sz w:val="22"/>
          <w:szCs w:val="22"/>
        </w:rPr>
        <w:t xml:space="preserve">An anticipated </w:t>
      </w:r>
      <w:r w:rsidR="004F349B" w:rsidRPr="00A32AB2">
        <w:rPr>
          <w:rFonts w:ascii="Garamond" w:hAnsi="Garamond"/>
          <w:sz w:val="22"/>
          <w:szCs w:val="22"/>
        </w:rPr>
        <w:t xml:space="preserve">shrinkage in </w:t>
      </w:r>
      <w:r w:rsidR="004F349B" w:rsidRPr="00A32AB2">
        <w:rPr>
          <w:rFonts w:ascii="Garamond" w:hAnsi="Garamond" w:cs="Sylfaen"/>
          <w:sz w:val="22"/>
          <w:szCs w:val="22"/>
        </w:rPr>
        <w:t>private transfers</w:t>
      </w:r>
      <w:r w:rsidR="004F349B" w:rsidRPr="00A32AB2">
        <w:rPr>
          <w:rFonts w:ascii="Garamond" w:hAnsi="Garamond"/>
          <w:sz w:val="22"/>
          <w:szCs w:val="22"/>
        </w:rPr>
        <w:t xml:space="preserve"> from Russia</w:t>
      </w:r>
      <w:r w:rsidR="00F36833" w:rsidRPr="00A32AB2">
        <w:rPr>
          <w:rFonts w:ascii="Garamond" w:hAnsi="Garamond"/>
          <w:sz w:val="22"/>
          <w:szCs w:val="22"/>
          <w:lang w:val="hy-AM"/>
        </w:rPr>
        <w:t xml:space="preserve"> </w:t>
      </w:r>
      <w:r w:rsidR="004F349B" w:rsidRPr="00A32AB2">
        <w:rPr>
          <w:rFonts w:ascii="Garamond" w:hAnsi="Garamond" w:cs="Sylfaen"/>
          <w:sz w:val="22"/>
          <w:szCs w:val="22"/>
        </w:rPr>
        <w:t>will negatively affect household incomes</w:t>
      </w:r>
      <w:r w:rsidR="00490CF9">
        <w:rPr>
          <w:rFonts w:ascii="Garamond" w:hAnsi="Garamond" w:cs="Sylfaen"/>
          <w:sz w:val="22"/>
          <w:szCs w:val="22"/>
        </w:rPr>
        <w:t xml:space="preserve"> in 2016</w:t>
      </w:r>
      <w:r w:rsidR="004F349B" w:rsidRPr="00A32AB2">
        <w:rPr>
          <w:rFonts w:ascii="Garamond" w:hAnsi="Garamond" w:cs="Sylfaen"/>
          <w:sz w:val="22"/>
          <w:szCs w:val="22"/>
        </w:rPr>
        <w:t xml:space="preserve">. </w:t>
      </w:r>
      <w:r w:rsidRPr="00A32AB2">
        <w:rPr>
          <w:rFonts w:ascii="Garamond" w:hAnsi="Garamond" w:cs="Sylfaen"/>
          <w:sz w:val="22"/>
          <w:szCs w:val="22"/>
        </w:rPr>
        <w:t>The</w:t>
      </w:r>
      <w:r w:rsidR="00490CF9">
        <w:rPr>
          <w:rFonts w:ascii="Garamond" w:hAnsi="Garamond" w:cs="Sylfaen"/>
          <w:sz w:val="22"/>
          <w:szCs w:val="22"/>
        </w:rPr>
        <w:t>re is</w:t>
      </w:r>
      <w:r w:rsidRPr="00A32AB2">
        <w:rPr>
          <w:rFonts w:ascii="Garamond" w:hAnsi="Garamond" w:cs="Sylfaen"/>
          <w:sz w:val="22"/>
          <w:szCs w:val="22"/>
        </w:rPr>
        <w:t xml:space="preserve"> expectation, </w:t>
      </w:r>
      <w:r w:rsidR="004F349B" w:rsidRPr="00A32AB2">
        <w:rPr>
          <w:rFonts w:ascii="Garamond" w:hAnsi="Garamond" w:cs="Sylfaen"/>
          <w:sz w:val="22"/>
          <w:szCs w:val="22"/>
        </w:rPr>
        <w:t>however</w:t>
      </w:r>
      <w:r w:rsidR="00CE52D9" w:rsidRPr="00A32AB2">
        <w:rPr>
          <w:rFonts w:ascii="Garamond" w:hAnsi="Garamond" w:cs="Sylfaen"/>
          <w:sz w:val="22"/>
          <w:szCs w:val="22"/>
        </w:rPr>
        <w:t>,</w:t>
      </w:r>
      <w:r w:rsidR="004F349B" w:rsidRPr="00A32AB2">
        <w:rPr>
          <w:rFonts w:ascii="Garamond" w:hAnsi="Garamond" w:cs="Sylfaen"/>
          <w:sz w:val="22"/>
          <w:szCs w:val="22"/>
        </w:rPr>
        <w:t xml:space="preserve"> that </w:t>
      </w:r>
      <w:r w:rsidR="004F349B" w:rsidRPr="00A32AB2">
        <w:rPr>
          <w:rFonts w:ascii="Garamond" w:hAnsi="Garamond"/>
          <w:sz w:val="22"/>
          <w:szCs w:val="22"/>
        </w:rPr>
        <w:t xml:space="preserve">final consumption expenditures of households will grow in 2016 by </w:t>
      </w:r>
      <w:r w:rsidR="00490CF9">
        <w:rPr>
          <w:rFonts w:ascii="Garamond" w:hAnsi="Garamond"/>
          <w:sz w:val="22"/>
          <w:szCs w:val="22"/>
        </w:rPr>
        <w:t>roughly 0</w:t>
      </w:r>
      <w:r w:rsidR="002D68FD" w:rsidRPr="00A32AB2">
        <w:rPr>
          <w:rFonts w:ascii="Garamond" w:hAnsi="Garamond"/>
          <w:sz w:val="22"/>
          <w:szCs w:val="22"/>
        </w:rPr>
        <w:t>.</w:t>
      </w:r>
      <w:r w:rsidR="00490CF9">
        <w:rPr>
          <w:rFonts w:ascii="Garamond" w:hAnsi="Garamond"/>
          <w:sz w:val="22"/>
          <w:szCs w:val="22"/>
        </w:rPr>
        <w:t>8</w:t>
      </w:r>
      <w:r w:rsidR="004F349B" w:rsidRPr="00A32AB2">
        <w:rPr>
          <w:rFonts w:ascii="Garamond" w:hAnsi="Garamond"/>
          <w:sz w:val="22"/>
          <w:szCs w:val="22"/>
        </w:rPr>
        <w:t>%</w:t>
      </w:r>
      <w:r w:rsidR="00423538">
        <w:rPr>
          <w:rFonts w:ascii="Garamond" w:hAnsi="Garamond"/>
          <w:sz w:val="22"/>
          <w:szCs w:val="22"/>
        </w:rPr>
        <w:t xml:space="preserve">, </w:t>
      </w:r>
      <w:r w:rsidR="00423538" w:rsidRPr="00423538">
        <w:rPr>
          <w:rFonts w:ascii="Garamond" w:hAnsi="Garamond"/>
          <w:sz w:val="22"/>
          <w:szCs w:val="22"/>
        </w:rPr>
        <w:t xml:space="preserve">which is slightly lower compared to previous forecasts </w:t>
      </w:r>
      <w:r w:rsidR="00423538">
        <w:rPr>
          <w:rFonts w:ascii="Garamond" w:hAnsi="Garamond"/>
          <w:sz w:val="22"/>
          <w:szCs w:val="22"/>
        </w:rPr>
        <w:t xml:space="preserve">as the third quarter saw smaller-than-expected </w:t>
      </w:r>
      <w:r w:rsidR="00423538" w:rsidRPr="00423538">
        <w:rPr>
          <w:rFonts w:ascii="Garamond" w:hAnsi="Garamond"/>
          <w:sz w:val="22"/>
          <w:szCs w:val="22"/>
        </w:rPr>
        <w:t xml:space="preserve">trade </w:t>
      </w:r>
      <w:r w:rsidR="00423538">
        <w:rPr>
          <w:rFonts w:ascii="Garamond" w:hAnsi="Garamond"/>
          <w:sz w:val="22"/>
          <w:szCs w:val="22"/>
        </w:rPr>
        <w:t xml:space="preserve">volumes. An anticipated </w:t>
      </w:r>
      <w:r w:rsidR="00843AF7">
        <w:rPr>
          <w:rFonts w:ascii="Garamond" w:hAnsi="Garamond"/>
          <w:sz w:val="22"/>
          <w:szCs w:val="22"/>
        </w:rPr>
        <w:t xml:space="preserve">increase in private spending during the year </w:t>
      </w:r>
      <w:r w:rsidR="00CE52D9" w:rsidRPr="00A32AB2">
        <w:rPr>
          <w:rFonts w:ascii="Garamond" w:hAnsi="Garamond"/>
          <w:sz w:val="22"/>
          <w:szCs w:val="22"/>
        </w:rPr>
        <w:t xml:space="preserve">will be underpinned by </w:t>
      </w:r>
      <w:r w:rsidR="004F349B" w:rsidRPr="00A32AB2">
        <w:rPr>
          <w:rFonts w:ascii="Garamond" w:hAnsi="Garamond"/>
          <w:sz w:val="22"/>
          <w:szCs w:val="22"/>
        </w:rPr>
        <w:t>expansionary monetary policy</w:t>
      </w:r>
      <w:r w:rsidR="00CE52D9" w:rsidRPr="00A32AB2">
        <w:rPr>
          <w:rFonts w:ascii="Garamond" w:hAnsi="Garamond"/>
          <w:sz w:val="22"/>
          <w:szCs w:val="22"/>
        </w:rPr>
        <w:t xml:space="preserve"> implementation since 2015</w:t>
      </w:r>
      <w:r w:rsidR="004F349B" w:rsidRPr="00A32AB2">
        <w:rPr>
          <w:rFonts w:ascii="Garamond" w:hAnsi="Garamond"/>
          <w:sz w:val="22"/>
          <w:szCs w:val="22"/>
        </w:rPr>
        <w:t xml:space="preserve">, </w:t>
      </w:r>
      <w:r w:rsidR="00CE52D9" w:rsidRPr="00A32AB2">
        <w:rPr>
          <w:rFonts w:ascii="Garamond" w:hAnsi="Garamond"/>
          <w:sz w:val="22"/>
          <w:szCs w:val="22"/>
        </w:rPr>
        <w:t>expansionary impact of the fiscal policy</w:t>
      </w:r>
      <w:r w:rsidR="002D68FD" w:rsidRPr="00A32AB2">
        <w:rPr>
          <w:rFonts w:ascii="Garamond" w:hAnsi="Garamond"/>
          <w:sz w:val="22"/>
          <w:szCs w:val="22"/>
        </w:rPr>
        <w:t xml:space="preserve"> </w:t>
      </w:r>
      <w:r w:rsidR="00843AF7">
        <w:rPr>
          <w:rFonts w:ascii="Garamond" w:hAnsi="Garamond"/>
          <w:sz w:val="22"/>
          <w:szCs w:val="22"/>
        </w:rPr>
        <w:t>conducted in 2015-</w:t>
      </w:r>
      <w:r w:rsidR="00CE52D9" w:rsidRPr="00A32AB2">
        <w:rPr>
          <w:rFonts w:ascii="Garamond" w:hAnsi="Garamond"/>
          <w:sz w:val="22"/>
          <w:szCs w:val="22"/>
        </w:rPr>
        <w:t xml:space="preserve">2016, </w:t>
      </w:r>
      <w:r w:rsidR="000D20D6" w:rsidRPr="00A32AB2">
        <w:rPr>
          <w:rFonts w:ascii="Garamond" w:hAnsi="Garamond"/>
          <w:sz w:val="22"/>
          <w:szCs w:val="22"/>
        </w:rPr>
        <w:t xml:space="preserve">a </w:t>
      </w:r>
      <w:r w:rsidR="000A60FF">
        <w:rPr>
          <w:rFonts w:ascii="Garamond" w:hAnsi="Garamond"/>
          <w:sz w:val="22"/>
          <w:szCs w:val="22"/>
        </w:rPr>
        <w:t xml:space="preserve">deflationary </w:t>
      </w:r>
      <w:r w:rsidR="00CE52D9" w:rsidRPr="00A32AB2">
        <w:rPr>
          <w:rFonts w:ascii="Garamond" w:hAnsi="Garamond"/>
          <w:sz w:val="22"/>
          <w:szCs w:val="22"/>
        </w:rPr>
        <w:t>environment in the economy, as well as positive i</w:t>
      </w:r>
      <w:r w:rsidR="009A5A72" w:rsidRPr="00A32AB2">
        <w:rPr>
          <w:rFonts w:ascii="Garamond" w:hAnsi="Garamond"/>
          <w:sz w:val="22"/>
          <w:szCs w:val="22"/>
        </w:rPr>
        <w:t xml:space="preserve">nfluences the economic growth </w:t>
      </w:r>
      <w:r w:rsidR="000A60FF">
        <w:rPr>
          <w:rFonts w:ascii="Garamond" w:hAnsi="Garamond"/>
          <w:sz w:val="22"/>
          <w:szCs w:val="22"/>
        </w:rPr>
        <w:t>brings to</w:t>
      </w:r>
      <w:r w:rsidR="00CE52D9" w:rsidRPr="00A32AB2">
        <w:rPr>
          <w:rFonts w:ascii="Garamond" w:hAnsi="Garamond"/>
          <w:sz w:val="22"/>
          <w:szCs w:val="22"/>
        </w:rPr>
        <w:t xml:space="preserve"> disposable income</w:t>
      </w:r>
      <w:r w:rsidR="009A5A72" w:rsidRPr="00A32AB2">
        <w:rPr>
          <w:rFonts w:ascii="Garamond" w:hAnsi="Garamond"/>
          <w:sz w:val="22"/>
          <w:szCs w:val="22"/>
        </w:rPr>
        <w:t xml:space="preserve"> by contributing to </w:t>
      </w:r>
      <w:r w:rsidR="00CE52D9" w:rsidRPr="00A32AB2">
        <w:rPr>
          <w:rFonts w:ascii="Garamond" w:hAnsi="Garamond"/>
          <w:sz w:val="22"/>
          <w:szCs w:val="22"/>
        </w:rPr>
        <w:t xml:space="preserve">net exports. Despite </w:t>
      </w:r>
      <w:r w:rsidR="009A5A72" w:rsidRPr="00A32AB2">
        <w:rPr>
          <w:rFonts w:ascii="Garamond" w:hAnsi="Garamond"/>
          <w:sz w:val="22"/>
          <w:szCs w:val="22"/>
        </w:rPr>
        <w:t xml:space="preserve">an </w:t>
      </w:r>
      <w:r w:rsidR="00CE52D9" w:rsidRPr="00A32AB2">
        <w:rPr>
          <w:rFonts w:ascii="Garamond" w:hAnsi="Garamond"/>
          <w:sz w:val="22"/>
          <w:szCs w:val="22"/>
        </w:rPr>
        <w:t xml:space="preserve">expected private consumption growth in 2016, </w:t>
      </w:r>
      <w:r w:rsidR="00C70FB2" w:rsidRPr="00A32AB2">
        <w:rPr>
          <w:rFonts w:ascii="Garamond" w:hAnsi="Garamond"/>
          <w:sz w:val="22"/>
          <w:szCs w:val="22"/>
        </w:rPr>
        <w:t xml:space="preserve">estimates suggest that </w:t>
      </w:r>
      <w:r w:rsidR="009A5A72" w:rsidRPr="00A32AB2">
        <w:rPr>
          <w:rFonts w:ascii="Garamond" w:hAnsi="Garamond"/>
          <w:sz w:val="22"/>
          <w:szCs w:val="22"/>
        </w:rPr>
        <w:t xml:space="preserve">it </w:t>
      </w:r>
      <w:r w:rsidR="000A60FF">
        <w:rPr>
          <w:rFonts w:ascii="Garamond" w:hAnsi="Garamond"/>
          <w:sz w:val="22"/>
          <w:szCs w:val="22"/>
        </w:rPr>
        <w:t xml:space="preserve">will </w:t>
      </w:r>
      <w:r w:rsidR="00CE52D9" w:rsidRPr="00A32AB2">
        <w:rPr>
          <w:rFonts w:ascii="Garamond" w:hAnsi="Garamond"/>
          <w:sz w:val="22"/>
          <w:szCs w:val="22"/>
        </w:rPr>
        <w:t xml:space="preserve">still </w:t>
      </w:r>
      <w:r w:rsidR="000A60FF">
        <w:rPr>
          <w:rFonts w:ascii="Garamond" w:hAnsi="Garamond"/>
          <w:sz w:val="22"/>
          <w:szCs w:val="22"/>
        </w:rPr>
        <w:t xml:space="preserve">be </w:t>
      </w:r>
      <w:r w:rsidR="00CE52D9" w:rsidRPr="00A32AB2">
        <w:rPr>
          <w:rFonts w:ascii="Garamond" w:hAnsi="Garamond"/>
          <w:sz w:val="22"/>
          <w:szCs w:val="22"/>
        </w:rPr>
        <w:t>below</w:t>
      </w:r>
      <w:r w:rsidR="009A5A72" w:rsidRPr="00A32AB2">
        <w:rPr>
          <w:rFonts w:ascii="Garamond" w:hAnsi="Garamond"/>
          <w:sz w:val="22"/>
          <w:szCs w:val="22"/>
        </w:rPr>
        <w:t xml:space="preserve"> the </w:t>
      </w:r>
      <w:r w:rsidR="00CE52D9" w:rsidRPr="00A32AB2">
        <w:rPr>
          <w:rFonts w:ascii="Garamond" w:hAnsi="Garamond"/>
          <w:sz w:val="22"/>
          <w:szCs w:val="22"/>
        </w:rPr>
        <w:t>equilibrium</w:t>
      </w:r>
      <w:r w:rsidR="004F349B" w:rsidRPr="00A32AB2">
        <w:rPr>
          <w:rFonts w:ascii="Garamond" w:hAnsi="Garamond"/>
          <w:sz w:val="22"/>
          <w:szCs w:val="22"/>
        </w:rPr>
        <w:t>.</w:t>
      </w:r>
      <w:r w:rsidR="00B56FA0">
        <w:rPr>
          <w:rFonts w:ascii="Garamond" w:hAnsi="Garamond"/>
          <w:sz w:val="22"/>
          <w:szCs w:val="22"/>
        </w:rPr>
        <w:t xml:space="preserve"> </w:t>
      </w:r>
    </w:p>
    <w:p w14:paraId="21E57D09" w14:textId="77777777" w:rsidR="0000246A" w:rsidRPr="00B56FA0" w:rsidRDefault="0000246A" w:rsidP="00B117C8">
      <w:pPr>
        <w:spacing w:line="360" w:lineRule="auto"/>
        <w:jc w:val="both"/>
        <w:rPr>
          <w:rFonts w:ascii="GHEA Grapalat" w:hAnsi="GHEA Grapalat"/>
          <w:b/>
          <w:i/>
          <w:sz w:val="14"/>
          <w:szCs w:val="14"/>
        </w:rPr>
      </w:pPr>
    </w:p>
    <w:p w14:paraId="7BFA8241" w14:textId="77777777" w:rsidR="00992786" w:rsidRDefault="002664BE" w:rsidP="00B117C8">
      <w:pPr>
        <w:spacing w:line="360" w:lineRule="auto"/>
        <w:jc w:val="both"/>
        <w:rPr>
          <w:rFonts w:ascii="Garamond" w:hAnsi="Garamond" w:cs="Sylfaen"/>
          <w:sz w:val="22"/>
          <w:szCs w:val="22"/>
        </w:rPr>
      </w:pPr>
      <w:r w:rsidRPr="00A32AB2">
        <w:rPr>
          <w:rFonts w:ascii="Garamond" w:hAnsi="Garamond" w:cs="Sylfaen"/>
          <w:sz w:val="22"/>
          <w:szCs w:val="22"/>
        </w:rPr>
        <w:t>W</w:t>
      </w:r>
      <w:r w:rsidR="0000246A" w:rsidRPr="00A32AB2">
        <w:rPr>
          <w:rFonts w:ascii="Garamond" w:hAnsi="Garamond" w:cs="Sylfaen"/>
          <w:sz w:val="22"/>
          <w:szCs w:val="22"/>
        </w:rPr>
        <w:t>eak investment activity persisting in non-tradable sectors of the economy will adversely affect private investment in 2016. On the other hand, a relatively high investment activity in the tradable sector of the economy is possible thanks to an increase in relative competitiveness of the sector. These developments</w:t>
      </w:r>
      <w:r w:rsidR="00833EDB">
        <w:rPr>
          <w:rFonts w:ascii="Garamond" w:hAnsi="Garamond" w:cs="Sylfaen"/>
          <w:sz w:val="22"/>
          <w:szCs w:val="22"/>
        </w:rPr>
        <w:t xml:space="preserve"> </w:t>
      </w:r>
      <w:r w:rsidR="0000246A" w:rsidRPr="00A32AB2">
        <w:rPr>
          <w:rFonts w:ascii="Garamond" w:hAnsi="Garamond" w:cs="Sylfaen"/>
          <w:sz w:val="22"/>
          <w:szCs w:val="22"/>
        </w:rPr>
        <w:t xml:space="preserve">denote that </w:t>
      </w:r>
      <w:r w:rsidR="007748E0" w:rsidRPr="00A32AB2">
        <w:rPr>
          <w:rFonts w:ascii="Garamond" w:hAnsi="Garamond" w:cs="Sylfaen"/>
          <w:sz w:val="22"/>
          <w:szCs w:val="22"/>
        </w:rPr>
        <w:t xml:space="preserve">gross </w:t>
      </w:r>
      <w:r w:rsidR="0000246A" w:rsidRPr="00A32AB2">
        <w:rPr>
          <w:rFonts w:ascii="Garamond" w:hAnsi="Garamond" w:cs="Sylfaen"/>
          <w:sz w:val="22"/>
          <w:szCs w:val="22"/>
        </w:rPr>
        <w:t xml:space="preserve">private investment in the economy in 2016 will </w:t>
      </w:r>
      <w:r w:rsidR="00833EDB">
        <w:rPr>
          <w:rFonts w:ascii="Garamond" w:hAnsi="Garamond" w:cs="Sylfaen"/>
          <w:sz w:val="22"/>
          <w:szCs w:val="22"/>
        </w:rPr>
        <w:t xml:space="preserve">shrink by </w:t>
      </w:r>
      <w:r w:rsidR="007748E0" w:rsidRPr="00A32AB2">
        <w:rPr>
          <w:rFonts w:ascii="Garamond" w:hAnsi="Garamond" w:cs="Sylfaen"/>
          <w:sz w:val="22"/>
          <w:szCs w:val="22"/>
        </w:rPr>
        <w:t xml:space="preserve">about </w:t>
      </w:r>
      <w:r w:rsidR="00833EDB">
        <w:rPr>
          <w:rFonts w:ascii="Garamond" w:hAnsi="Garamond" w:cs="Sylfaen"/>
          <w:sz w:val="22"/>
          <w:szCs w:val="22"/>
        </w:rPr>
        <w:t>3.5</w:t>
      </w:r>
      <w:r w:rsidR="007748E0" w:rsidRPr="00A32AB2">
        <w:rPr>
          <w:rFonts w:ascii="Garamond" w:hAnsi="Garamond" w:cs="Sylfaen"/>
          <w:sz w:val="22"/>
          <w:szCs w:val="22"/>
        </w:rPr>
        <w:t>%</w:t>
      </w:r>
      <w:r w:rsidRPr="00A32AB2">
        <w:rPr>
          <w:rFonts w:ascii="Garamond" w:hAnsi="Garamond" w:cs="Sylfaen"/>
          <w:sz w:val="22"/>
          <w:szCs w:val="22"/>
        </w:rPr>
        <w:t xml:space="preserve">, which is </w:t>
      </w:r>
      <w:r w:rsidR="00992786">
        <w:rPr>
          <w:rFonts w:ascii="Garamond" w:hAnsi="Garamond" w:cs="Sylfaen"/>
          <w:sz w:val="22"/>
          <w:szCs w:val="22"/>
        </w:rPr>
        <w:t xml:space="preserve">smaller </w:t>
      </w:r>
      <w:r w:rsidRPr="00A32AB2">
        <w:rPr>
          <w:rFonts w:ascii="Garamond" w:hAnsi="Garamond" w:cs="Sylfaen"/>
          <w:sz w:val="22"/>
          <w:szCs w:val="22"/>
        </w:rPr>
        <w:t xml:space="preserve">from </w:t>
      </w:r>
      <w:r w:rsidR="00992786">
        <w:rPr>
          <w:rFonts w:ascii="Garamond" w:hAnsi="Garamond" w:cs="Sylfaen"/>
          <w:sz w:val="22"/>
          <w:szCs w:val="22"/>
        </w:rPr>
        <w:t xml:space="preserve">the </w:t>
      </w:r>
      <w:r w:rsidRPr="00A32AB2">
        <w:rPr>
          <w:rFonts w:ascii="Garamond" w:hAnsi="Garamond" w:cs="Sylfaen"/>
          <w:sz w:val="22"/>
          <w:szCs w:val="22"/>
        </w:rPr>
        <w:t>previous projection</w:t>
      </w:r>
      <w:r w:rsidR="00992786">
        <w:rPr>
          <w:rFonts w:ascii="Garamond" w:hAnsi="Garamond" w:cs="Sylfaen"/>
          <w:sz w:val="22"/>
          <w:szCs w:val="22"/>
        </w:rPr>
        <w:t xml:space="preserve">, </w:t>
      </w:r>
      <w:r w:rsidR="00992786" w:rsidRPr="00992786">
        <w:rPr>
          <w:rFonts w:ascii="Garamond" w:hAnsi="Garamond" w:cs="Sylfaen"/>
          <w:sz w:val="22"/>
          <w:szCs w:val="22"/>
        </w:rPr>
        <w:t>due to lower than expected economic acti</w:t>
      </w:r>
      <w:r w:rsidR="00992786">
        <w:rPr>
          <w:rFonts w:ascii="Garamond" w:hAnsi="Garamond" w:cs="Sylfaen"/>
          <w:sz w:val="22"/>
          <w:szCs w:val="22"/>
        </w:rPr>
        <w:t>vity in the construction sector</w:t>
      </w:r>
      <w:r w:rsidRPr="00A32AB2">
        <w:rPr>
          <w:rFonts w:ascii="Garamond" w:hAnsi="Garamond" w:cs="Sylfaen"/>
          <w:sz w:val="22"/>
          <w:szCs w:val="22"/>
        </w:rPr>
        <w:t>.</w:t>
      </w:r>
    </w:p>
    <w:p w14:paraId="5463FC76" w14:textId="77777777" w:rsidR="005A5A7D" w:rsidRPr="00992786" w:rsidRDefault="005A5A7D" w:rsidP="00B117C8">
      <w:pPr>
        <w:spacing w:line="360" w:lineRule="auto"/>
        <w:jc w:val="both"/>
        <w:rPr>
          <w:rFonts w:ascii="GHEA Grapalat" w:hAnsi="GHEA Grapalat" w:cs="Sylfaen"/>
          <w:b/>
          <w:i/>
          <w:sz w:val="14"/>
          <w:szCs w:val="14"/>
        </w:rPr>
      </w:pPr>
    </w:p>
    <w:p w14:paraId="1AD916A8" w14:textId="3AB31CD7" w:rsidR="006D4423" w:rsidRPr="00A32AB2" w:rsidRDefault="005A5A7D" w:rsidP="00B117C8">
      <w:pPr>
        <w:spacing w:line="360" w:lineRule="auto"/>
        <w:jc w:val="both"/>
        <w:rPr>
          <w:rFonts w:ascii="Garamond" w:hAnsi="Garamond" w:cs="Sylfaen"/>
          <w:sz w:val="22"/>
          <w:szCs w:val="22"/>
        </w:rPr>
      </w:pPr>
      <w:r w:rsidRPr="00A32AB2">
        <w:rPr>
          <w:rFonts w:ascii="Garamond" w:hAnsi="Garamond" w:cs="Sylfaen"/>
          <w:sz w:val="22"/>
          <w:szCs w:val="22"/>
        </w:rPr>
        <w:t xml:space="preserve">Considerable </w:t>
      </w:r>
      <w:r w:rsidR="004F346B" w:rsidRPr="00A32AB2">
        <w:rPr>
          <w:rFonts w:ascii="Garamond" w:hAnsi="Garamond" w:cs="Sylfaen"/>
          <w:sz w:val="22"/>
          <w:szCs w:val="22"/>
        </w:rPr>
        <w:t>easing o</w:t>
      </w:r>
      <w:r w:rsidR="009B57DB" w:rsidRPr="00A32AB2">
        <w:rPr>
          <w:rFonts w:ascii="Garamond" w:hAnsi="Garamond" w:cs="Sylfaen"/>
          <w:sz w:val="22"/>
          <w:szCs w:val="22"/>
        </w:rPr>
        <w:t>f monetary conditions in 2015-2016 a</w:t>
      </w:r>
      <w:r w:rsidR="004F346B" w:rsidRPr="00A32AB2">
        <w:rPr>
          <w:rFonts w:ascii="Garamond" w:hAnsi="Garamond" w:cs="Sylfaen"/>
          <w:sz w:val="22"/>
          <w:szCs w:val="22"/>
        </w:rPr>
        <w:t xml:space="preserve">nd </w:t>
      </w:r>
      <w:r w:rsidRPr="00A32AB2">
        <w:rPr>
          <w:rFonts w:ascii="Garamond" w:hAnsi="Garamond" w:cs="Sylfaen"/>
          <w:sz w:val="22"/>
          <w:szCs w:val="22"/>
        </w:rPr>
        <w:t xml:space="preserve">growing budget deficit </w:t>
      </w:r>
      <w:r w:rsidR="004F346B" w:rsidRPr="00A32AB2">
        <w:rPr>
          <w:rFonts w:ascii="Garamond" w:hAnsi="Garamond" w:cs="Sylfaen"/>
          <w:sz w:val="22"/>
          <w:szCs w:val="22"/>
        </w:rPr>
        <w:t xml:space="preserve">are among the factors which not only </w:t>
      </w:r>
      <w:r w:rsidRPr="00A32AB2">
        <w:rPr>
          <w:rFonts w:ascii="Garamond" w:hAnsi="Garamond" w:cs="Sylfaen"/>
          <w:sz w:val="22"/>
          <w:szCs w:val="22"/>
        </w:rPr>
        <w:t>soften</w:t>
      </w:r>
      <w:r w:rsidR="009B57DB" w:rsidRPr="00A32AB2">
        <w:rPr>
          <w:rFonts w:ascii="Garamond" w:hAnsi="Garamond" w:cs="Sylfaen"/>
          <w:sz w:val="22"/>
          <w:szCs w:val="22"/>
        </w:rPr>
        <w:t>ed</w:t>
      </w:r>
      <w:r w:rsidRPr="00A32AB2">
        <w:rPr>
          <w:rFonts w:ascii="Garamond" w:hAnsi="Garamond" w:cs="Sylfaen"/>
          <w:sz w:val="22"/>
          <w:szCs w:val="22"/>
        </w:rPr>
        <w:t xml:space="preserve"> the</w:t>
      </w:r>
      <w:r w:rsidR="009B57DB" w:rsidRPr="00A32AB2">
        <w:rPr>
          <w:rFonts w:ascii="Garamond" w:hAnsi="Garamond" w:cs="Sylfaen"/>
          <w:sz w:val="22"/>
          <w:szCs w:val="22"/>
        </w:rPr>
        <w:t xml:space="preserve"> negative</w:t>
      </w:r>
      <w:r w:rsidR="00F36833" w:rsidRPr="00A32AB2">
        <w:rPr>
          <w:rFonts w:ascii="Garamond" w:hAnsi="Garamond" w:cs="Sylfaen"/>
          <w:sz w:val="22"/>
          <w:szCs w:val="22"/>
          <w:lang w:val="hy-AM"/>
        </w:rPr>
        <w:t xml:space="preserve"> </w:t>
      </w:r>
      <w:r w:rsidR="009B57DB" w:rsidRPr="00A32AB2">
        <w:rPr>
          <w:rFonts w:ascii="Garamond" w:hAnsi="Garamond" w:cs="Sylfaen"/>
          <w:sz w:val="22"/>
          <w:szCs w:val="22"/>
        </w:rPr>
        <w:t xml:space="preserve">impact of </w:t>
      </w:r>
      <w:r w:rsidRPr="00A32AB2">
        <w:rPr>
          <w:rFonts w:ascii="Garamond" w:hAnsi="Garamond" w:cs="Sylfaen"/>
          <w:sz w:val="22"/>
          <w:szCs w:val="22"/>
        </w:rPr>
        <w:t xml:space="preserve">decline in private </w:t>
      </w:r>
      <w:r w:rsidR="009B57DB" w:rsidRPr="00A32AB2">
        <w:rPr>
          <w:rFonts w:ascii="Garamond" w:hAnsi="Garamond" w:cs="Sylfaen"/>
          <w:sz w:val="22"/>
          <w:szCs w:val="22"/>
        </w:rPr>
        <w:t xml:space="preserve">transfers from Russia on private </w:t>
      </w:r>
      <w:r w:rsidRPr="00A32AB2">
        <w:rPr>
          <w:rFonts w:ascii="Garamond" w:hAnsi="Garamond" w:cs="Sylfaen"/>
          <w:sz w:val="22"/>
          <w:szCs w:val="22"/>
        </w:rPr>
        <w:t xml:space="preserve">consumption and investment in 2016, </w:t>
      </w:r>
      <w:r w:rsidR="00484009" w:rsidRPr="00A32AB2">
        <w:rPr>
          <w:rFonts w:ascii="Garamond" w:hAnsi="Garamond" w:cs="Sylfaen"/>
          <w:sz w:val="22"/>
          <w:szCs w:val="22"/>
        </w:rPr>
        <w:t xml:space="preserve">but are expected to </w:t>
      </w:r>
      <w:r w:rsidRPr="00A32AB2">
        <w:rPr>
          <w:rFonts w:ascii="Garamond" w:hAnsi="Garamond" w:cs="Sylfaen"/>
          <w:sz w:val="22"/>
          <w:szCs w:val="22"/>
        </w:rPr>
        <w:t>stimulate their growth in 2017-2018. It should be mentioned, however, that fiscal policy</w:t>
      </w:r>
      <w:r w:rsidR="00363061" w:rsidRPr="00A32AB2">
        <w:rPr>
          <w:rFonts w:ascii="Garamond" w:hAnsi="Garamond" w:cs="Sylfaen"/>
          <w:sz w:val="22"/>
          <w:szCs w:val="22"/>
        </w:rPr>
        <w:t xml:space="preserve">’s expansionary </w:t>
      </w:r>
      <w:r w:rsidRPr="00A32AB2">
        <w:rPr>
          <w:rFonts w:ascii="Garamond" w:hAnsi="Garamond" w:cs="Sylfaen"/>
          <w:sz w:val="22"/>
          <w:szCs w:val="22"/>
        </w:rPr>
        <w:t>impact on aggregate demand</w:t>
      </w:r>
      <w:r w:rsidR="00363061" w:rsidRPr="00A32AB2">
        <w:rPr>
          <w:rFonts w:ascii="Garamond" w:hAnsi="Garamond" w:cs="Sylfaen"/>
          <w:sz w:val="22"/>
          <w:szCs w:val="22"/>
        </w:rPr>
        <w:t xml:space="preserve"> will weaken starting from the </w:t>
      </w:r>
      <w:r w:rsidR="00992786">
        <w:rPr>
          <w:rFonts w:ascii="Garamond" w:hAnsi="Garamond" w:cs="Sylfaen"/>
          <w:sz w:val="22"/>
          <w:szCs w:val="22"/>
        </w:rPr>
        <w:t xml:space="preserve">first quarter </w:t>
      </w:r>
      <w:r w:rsidR="00363061" w:rsidRPr="00A32AB2">
        <w:rPr>
          <w:rFonts w:ascii="Garamond" w:hAnsi="Garamond" w:cs="Sylfaen"/>
          <w:sz w:val="22"/>
          <w:szCs w:val="22"/>
        </w:rPr>
        <w:t>of 201</w:t>
      </w:r>
      <w:r w:rsidR="00992786">
        <w:rPr>
          <w:rFonts w:ascii="Garamond" w:hAnsi="Garamond" w:cs="Sylfaen"/>
          <w:sz w:val="22"/>
          <w:szCs w:val="22"/>
        </w:rPr>
        <w:t>7</w:t>
      </w:r>
      <w:r w:rsidR="0056430E">
        <w:rPr>
          <w:rFonts w:ascii="Garamond" w:hAnsi="Garamond" w:cs="Sylfaen"/>
          <w:sz w:val="22"/>
          <w:szCs w:val="22"/>
        </w:rPr>
        <w:t>. This pin</w:t>
      </w:r>
      <w:r w:rsidR="004F2476">
        <w:rPr>
          <w:rFonts w:ascii="Garamond" w:hAnsi="Garamond" w:cs="Sylfaen"/>
          <w:sz w:val="22"/>
          <w:szCs w:val="22"/>
        </w:rPr>
        <w:t xml:space="preserve">points </w:t>
      </w:r>
      <w:r w:rsidR="0056430E">
        <w:rPr>
          <w:rFonts w:ascii="Garamond" w:hAnsi="Garamond" w:cs="Sylfaen"/>
          <w:sz w:val="22"/>
          <w:szCs w:val="22"/>
        </w:rPr>
        <w:t xml:space="preserve">the consistent budget deficit cutting </w:t>
      </w:r>
      <w:r w:rsidR="006D4423" w:rsidRPr="00A32AB2">
        <w:rPr>
          <w:rFonts w:ascii="Garamond" w:hAnsi="Garamond" w:cs="Sylfaen"/>
          <w:sz w:val="22"/>
          <w:szCs w:val="22"/>
        </w:rPr>
        <w:t xml:space="preserve">in view of maintaining the </w:t>
      </w:r>
      <w:r w:rsidR="006D4423" w:rsidRPr="00A32AB2">
        <w:rPr>
          <w:rFonts w:ascii="Garamond" w:hAnsi="Garamond" w:cs="Sylfaen"/>
          <w:sz w:val="22"/>
          <w:szCs w:val="22"/>
        </w:rPr>
        <w:lastRenderedPageBreak/>
        <w:t>sustainability of public debt</w:t>
      </w:r>
      <w:r w:rsidR="0056430E">
        <w:rPr>
          <w:rFonts w:ascii="Garamond" w:hAnsi="Garamond" w:cs="Sylfaen"/>
          <w:sz w:val="22"/>
          <w:szCs w:val="22"/>
        </w:rPr>
        <w:t xml:space="preserve"> in the medium run. </w:t>
      </w:r>
      <w:r w:rsidR="00073136" w:rsidRPr="00A32AB2">
        <w:rPr>
          <w:rFonts w:ascii="Garamond" w:hAnsi="Garamond" w:cs="Sylfaen"/>
          <w:sz w:val="22"/>
          <w:szCs w:val="22"/>
        </w:rPr>
        <w:t>The increase of household incomes, which will be a result of improved economic environment in trade partner countries a</w:t>
      </w:r>
      <w:r w:rsidR="00433B8F" w:rsidRPr="00A32AB2">
        <w:rPr>
          <w:rFonts w:ascii="Garamond" w:hAnsi="Garamond" w:cs="Sylfaen"/>
          <w:sz w:val="22"/>
          <w:szCs w:val="22"/>
        </w:rPr>
        <w:t>nd</w:t>
      </w:r>
      <w:r w:rsidR="00073136" w:rsidRPr="00A32AB2">
        <w:rPr>
          <w:rFonts w:ascii="Garamond" w:hAnsi="Garamond" w:cs="Sylfaen"/>
          <w:sz w:val="22"/>
          <w:szCs w:val="22"/>
        </w:rPr>
        <w:t xml:space="preserve"> </w:t>
      </w:r>
      <w:r w:rsidR="009E68A2">
        <w:rPr>
          <w:rFonts w:ascii="Garamond" w:hAnsi="Garamond" w:cs="Sylfaen"/>
          <w:sz w:val="22"/>
          <w:szCs w:val="22"/>
        </w:rPr>
        <w:t xml:space="preserve">continued growth in </w:t>
      </w:r>
      <w:r w:rsidR="00073136" w:rsidRPr="00A32AB2">
        <w:rPr>
          <w:rFonts w:ascii="Garamond" w:hAnsi="Garamond" w:cs="Sylfaen"/>
          <w:sz w:val="22"/>
          <w:szCs w:val="22"/>
        </w:rPr>
        <w:t xml:space="preserve">exports, will </w:t>
      </w:r>
      <w:r w:rsidR="00433B8F" w:rsidRPr="00A32AB2">
        <w:rPr>
          <w:rFonts w:ascii="Garamond" w:hAnsi="Garamond" w:cs="Sylfaen"/>
          <w:sz w:val="22"/>
          <w:szCs w:val="22"/>
        </w:rPr>
        <w:t xml:space="preserve">also </w:t>
      </w:r>
      <w:r w:rsidR="00073136" w:rsidRPr="00A32AB2">
        <w:rPr>
          <w:rFonts w:ascii="Garamond" w:hAnsi="Garamond" w:cs="Sylfaen"/>
          <w:sz w:val="22"/>
          <w:szCs w:val="22"/>
        </w:rPr>
        <w:t>help the private sector demand to rebound. It is expected that private consumption will grow by 1.</w:t>
      </w:r>
      <w:r w:rsidR="009E68A2">
        <w:rPr>
          <w:rFonts w:ascii="Garamond" w:hAnsi="Garamond" w:cs="Sylfaen"/>
          <w:sz w:val="22"/>
          <w:szCs w:val="22"/>
        </w:rPr>
        <w:t>1</w:t>
      </w:r>
      <w:r w:rsidR="00073136" w:rsidRPr="00A32AB2">
        <w:rPr>
          <w:rFonts w:ascii="Garamond" w:hAnsi="Garamond" w:cs="Sylfaen"/>
          <w:sz w:val="22"/>
          <w:szCs w:val="22"/>
        </w:rPr>
        <w:t>-</w:t>
      </w:r>
      <w:r w:rsidR="009E68A2">
        <w:rPr>
          <w:rFonts w:ascii="Garamond" w:hAnsi="Garamond" w:cs="Sylfaen"/>
          <w:sz w:val="22"/>
          <w:szCs w:val="22"/>
        </w:rPr>
        <w:t>1</w:t>
      </w:r>
      <w:r w:rsidR="00073136" w:rsidRPr="00A32AB2">
        <w:rPr>
          <w:rFonts w:ascii="Garamond" w:hAnsi="Garamond" w:cs="Sylfaen"/>
          <w:sz w:val="22"/>
          <w:szCs w:val="22"/>
        </w:rPr>
        <w:t>.</w:t>
      </w:r>
      <w:r w:rsidR="009E68A2">
        <w:rPr>
          <w:rFonts w:ascii="Garamond" w:hAnsi="Garamond" w:cs="Sylfaen"/>
          <w:sz w:val="22"/>
          <w:szCs w:val="22"/>
        </w:rPr>
        <w:t>5</w:t>
      </w:r>
      <w:r w:rsidR="00073136" w:rsidRPr="00A32AB2">
        <w:rPr>
          <w:rFonts w:ascii="Garamond" w:hAnsi="Garamond" w:cs="Sylfaen"/>
          <w:sz w:val="22"/>
          <w:szCs w:val="22"/>
        </w:rPr>
        <w:t>% in 2017 and</w:t>
      </w:r>
      <w:r w:rsidR="00667D96">
        <w:rPr>
          <w:rFonts w:ascii="Garamond" w:hAnsi="Garamond" w:cs="Sylfaen"/>
          <w:sz w:val="22"/>
          <w:szCs w:val="22"/>
        </w:rPr>
        <w:t xml:space="preserve"> </w:t>
      </w:r>
      <w:r w:rsidR="00073136" w:rsidRPr="00A32AB2">
        <w:rPr>
          <w:rFonts w:ascii="Garamond" w:hAnsi="Garamond" w:cs="Sylfaen"/>
          <w:sz w:val="22"/>
          <w:szCs w:val="22"/>
        </w:rPr>
        <w:t>2.</w:t>
      </w:r>
      <w:r w:rsidR="009E68A2">
        <w:rPr>
          <w:rFonts w:ascii="Garamond" w:hAnsi="Garamond" w:cs="Sylfaen"/>
          <w:sz w:val="22"/>
          <w:szCs w:val="22"/>
        </w:rPr>
        <w:t>4</w:t>
      </w:r>
      <w:r w:rsidR="00073136" w:rsidRPr="00A32AB2">
        <w:rPr>
          <w:rFonts w:ascii="Garamond" w:hAnsi="Garamond" w:cs="Sylfaen"/>
          <w:sz w:val="22"/>
          <w:szCs w:val="22"/>
        </w:rPr>
        <w:t>-2.</w:t>
      </w:r>
      <w:r w:rsidR="009E68A2">
        <w:rPr>
          <w:rFonts w:ascii="Garamond" w:hAnsi="Garamond" w:cs="Sylfaen"/>
          <w:sz w:val="22"/>
          <w:szCs w:val="22"/>
        </w:rPr>
        <w:t>9</w:t>
      </w:r>
      <w:r w:rsidR="00073136" w:rsidRPr="00A32AB2">
        <w:rPr>
          <w:rFonts w:ascii="Garamond" w:hAnsi="Garamond" w:cs="Sylfaen"/>
          <w:sz w:val="22"/>
          <w:szCs w:val="22"/>
        </w:rPr>
        <w:t xml:space="preserve">% in </w:t>
      </w:r>
      <w:r w:rsidR="009E68A2">
        <w:rPr>
          <w:rFonts w:ascii="Garamond" w:hAnsi="Garamond" w:cs="Sylfaen"/>
          <w:sz w:val="22"/>
          <w:szCs w:val="22"/>
        </w:rPr>
        <w:t>the</w:t>
      </w:r>
      <w:r w:rsidR="00667D96">
        <w:rPr>
          <w:rFonts w:ascii="Garamond" w:hAnsi="Garamond" w:cs="Sylfaen"/>
          <w:sz w:val="22"/>
          <w:szCs w:val="22"/>
        </w:rPr>
        <w:t xml:space="preserve"> end of</w:t>
      </w:r>
      <w:r w:rsidR="009E68A2">
        <w:rPr>
          <w:rFonts w:ascii="Garamond" w:hAnsi="Garamond" w:cs="Sylfaen"/>
          <w:sz w:val="22"/>
          <w:szCs w:val="22"/>
        </w:rPr>
        <w:t xml:space="preserve"> forecast horizon</w:t>
      </w:r>
      <w:r w:rsidR="00073136" w:rsidRPr="00A32AB2">
        <w:rPr>
          <w:rFonts w:ascii="Garamond" w:hAnsi="Garamond" w:cs="Sylfaen"/>
          <w:sz w:val="22"/>
          <w:szCs w:val="22"/>
        </w:rPr>
        <w:t>.</w:t>
      </w:r>
    </w:p>
    <w:p w14:paraId="1546F211" w14:textId="77777777" w:rsidR="00607E10" w:rsidRPr="00A32AB2" w:rsidRDefault="00607E10" w:rsidP="00B117C8">
      <w:pPr>
        <w:spacing w:line="360" w:lineRule="auto"/>
        <w:jc w:val="both"/>
        <w:rPr>
          <w:rFonts w:ascii="Garamond" w:hAnsi="Garamond" w:cs="Sylfaen"/>
          <w:sz w:val="22"/>
          <w:szCs w:val="22"/>
        </w:rPr>
      </w:pPr>
    </w:p>
    <w:p w14:paraId="5DC13125" w14:textId="04663D6D" w:rsidR="00607E10" w:rsidRPr="00A32AB2" w:rsidRDefault="003A7A94" w:rsidP="00B117C8">
      <w:pPr>
        <w:spacing w:line="360" w:lineRule="auto"/>
        <w:jc w:val="both"/>
        <w:rPr>
          <w:rFonts w:ascii="Garamond" w:hAnsi="Garamond" w:cs="Sylfaen"/>
          <w:sz w:val="22"/>
          <w:szCs w:val="22"/>
        </w:rPr>
      </w:pPr>
      <w:r w:rsidRPr="00A32AB2">
        <w:rPr>
          <w:rFonts w:ascii="Garamond" w:hAnsi="Garamond" w:cs="Sylfaen"/>
          <w:sz w:val="22"/>
          <w:szCs w:val="22"/>
        </w:rPr>
        <w:t>Given the incentives described above</w:t>
      </w:r>
      <w:r w:rsidR="00667D96">
        <w:rPr>
          <w:rFonts w:ascii="Garamond" w:hAnsi="Garamond" w:cs="Sylfaen"/>
          <w:sz w:val="22"/>
          <w:szCs w:val="22"/>
        </w:rPr>
        <w:t xml:space="preserve"> the</w:t>
      </w:r>
      <w:r w:rsidRPr="00A32AB2">
        <w:rPr>
          <w:rFonts w:ascii="Garamond" w:hAnsi="Garamond" w:cs="Sylfaen"/>
          <w:sz w:val="22"/>
          <w:szCs w:val="22"/>
        </w:rPr>
        <w:t xml:space="preserve"> work, p</w:t>
      </w:r>
      <w:r w:rsidR="00607E10" w:rsidRPr="00A32AB2">
        <w:rPr>
          <w:rFonts w:ascii="Garamond" w:hAnsi="Garamond" w:cs="Sylfaen"/>
          <w:sz w:val="22"/>
          <w:szCs w:val="22"/>
        </w:rPr>
        <w:t xml:space="preserve">rivate investment </w:t>
      </w:r>
      <w:r w:rsidRPr="00A32AB2">
        <w:rPr>
          <w:rFonts w:ascii="Garamond" w:hAnsi="Garamond" w:cs="Sylfaen"/>
          <w:sz w:val="22"/>
          <w:szCs w:val="22"/>
        </w:rPr>
        <w:t xml:space="preserve">is predicted to </w:t>
      </w:r>
      <w:r w:rsidR="00607E10" w:rsidRPr="00A32AB2">
        <w:rPr>
          <w:rFonts w:ascii="Garamond" w:hAnsi="Garamond" w:cs="Sylfaen"/>
          <w:sz w:val="22"/>
          <w:szCs w:val="22"/>
        </w:rPr>
        <w:t xml:space="preserve">grow by </w:t>
      </w:r>
      <w:r w:rsidR="008F3FB7">
        <w:rPr>
          <w:rFonts w:ascii="Garamond" w:hAnsi="Garamond" w:cs="Sylfaen"/>
          <w:sz w:val="22"/>
          <w:szCs w:val="22"/>
        </w:rPr>
        <w:t>around 2</w:t>
      </w:r>
      <w:r w:rsidR="00607E10" w:rsidRPr="00A32AB2">
        <w:rPr>
          <w:rFonts w:ascii="Garamond" w:hAnsi="Garamond" w:cs="Sylfaen"/>
          <w:sz w:val="22"/>
          <w:szCs w:val="22"/>
        </w:rPr>
        <w:t xml:space="preserve">% in 2017. </w:t>
      </w:r>
      <w:r w:rsidR="00EA31C1" w:rsidRPr="00A32AB2">
        <w:rPr>
          <w:rFonts w:ascii="Garamond" w:hAnsi="Garamond" w:cs="Sylfaen"/>
          <w:sz w:val="22"/>
          <w:szCs w:val="22"/>
        </w:rPr>
        <w:t xml:space="preserve">Expanding of capacities </w:t>
      </w:r>
      <w:r w:rsidR="00607E10" w:rsidRPr="00A32AB2">
        <w:rPr>
          <w:rFonts w:ascii="Garamond" w:hAnsi="Garamond" w:cs="Sylfaen"/>
          <w:sz w:val="22"/>
          <w:szCs w:val="22"/>
        </w:rPr>
        <w:t xml:space="preserve">in the tradable sector and continued structural reforms in the domestic economy will </w:t>
      </w:r>
      <w:r w:rsidR="009B5348" w:rsidRPr="00A32AB2">
        <w:rPr>
          <w:rFonts w:ascii="Garamond" w:hAnsi="Garamond" w:cs="Sylfaen"/>
          <w:sz w:val="22"/>
          <w:szCs w:val="22"/>
        </w:rPr>
        <w:t xml:space="preserve">also </w:t>
      </w:r>
      <w:r w:rsidR="008F3FB7">
        <w:rPr>
          <w:rFonts w:ascii="Garamond" w:hAnsi="Garamond" w:cs="Sylfaen"/>
          <w:sz w:val="22"/>
          <w:szCs w:val="22"/>
        </w:rPr>
        <w:t xml:space="preserve">promote </w:t>
      </w:r>
      <w:r w:rsidR="00EA31C1" w:rsidRPr="00A32AB2">
        <w:rPr>
          <w:rFonts w:ascii="Garamond" w:hAnsi="Garamond" w:cs="Sylfaen"/>
          <w:sz w:val="22"/>
          <w:szCs w:val="22"/>
        </w:rPr>
        <w:t xml:space="preserve">a moderate growth in </w:t>
      </w:r>
      <w:r w:rsidR="00607E10" w:rsidRPr="00A32AB2">
        <w:rPr>
          <w:rFonts w:ascii="Garamond" w:hAnsi="Garamond" w:cs="Sylfaen"/>
          <w:sz w:val="22"/>
          <w:szCs w:val="22"/>
        </w:rPr>
        <w:t>investment.</w:t>
      </w:r>
      <w:r w:rsidR="00F36833" w:rsidRPr="00A32AB2">
        <w:rPr>
          <w:rFonts w:ascii="Garamond" w:hAnsi="Garamond" w:cs="Sylfaen"/>
          <w:sz w:val="22"/>
          <w:szCs w:val="22"/>
          <w:lang w:val="hy-AM"/>
        </w:rPr>
        <w:t xml:space="preserve"> </w:t>
      </w:r>
      <w:r w:rsidR="00EA31C1" w:rsidRPr="00A32AB2">
        <w:rPr>
          <w:rFonts w:ascii="Garamond" w:hAnsi="Garamond" w:cs="Sylfaen"/>
          <w:sz w:val="22"/>
          <w:szCs w:val="22"/>
        </w:rPr>
        <w:t>On the back of these developments, a non-tradable sector of the economy – construction and trade sectors in particular – may anticipate a slowly re</w:t>
      </w:r>
      <w:r w:rsidR="008F3FB7">
        <w:rPr>
          <w:rFonts w:ascii="Garamond" w:hAnsi="Garamond" w:cs="Sylfaen"/>
          <w:sz w:val="22"/>
          <w:szCs w:val="22"/>
        </w:rPr>
        <w:t xml:space="preserve">bounding </w:t>
      </w:r>
      <w:r w:rsidR="00EA31C1" w:rsidRPr="00A32AB2">
        <w:rPr>
          <w:rFonts w:ascii="Garamond" w:hAnsi="Garamond" w:cs="Sylfaen"/>
          <w:sz w:val="22"/>
          <w:szCs w:val="22"/>
        </w:rPr>
        <w:t>investment activity in 201</w:t>
      </w:r>
      <w:r w:rsidR="008F3FB7">
        <w:rPr>
          <w:rFonts w:ascii="Garamond" w:hAnsi="Garamond" w:cs="Sylfaen"/>
          <w:sz w:val="22"/>
          <w:szCs w:val="22"/>
        </w:rPr>
        <w:t>8</w:t>
      </w:r>
      <w:r w:rsidR="00EA31C1" w:rsidRPr="00A32AB2">
        <w:rPr>
          <w:rFonts w:ascii="Garamond" w:hAnsi="Garamond" w:cs="Sylfaen"/>
          <w:sz w:val="22"/>
          <w:szCs w:val="22"/>
        </w:rPr>
        <w:t>-201</w:t>
      </w:r>
      <w:r w:rsidR="008F3FB7">
        <w:rPr>
          <w:rFonts w:ascii="Garamond" w:hAnsi="Garamond" w:cs="Sylfaen"/>
          <w:sz w:val="22"/>
          <w:szCs w:val="22"/>
        </w:rPr>
        <w:t>9</w:t>
      </w:r>
      <w:r w:rsidR="00EA31C1" w:rsidRPr="00A32AB2">
        <w:rPr>
          <w:rFonts w:ascii="Garamond" w:hAnsi="Garamond" w:cs="Sylfaen"/>
          <w:sz w:val="22"/>
          <w:szCs w:val="22"/>
        </w:rPr>
        <w:t>, but the growth there is expected to be smaller than in the tradable sector.</w:t>
      </w:r>
      <w:r w:rsidR="008F3FB7">
        <w:rPr>
          <w:rFonts w:ascii="Garamond" w:hAnsi="Garamond" w:cs="Sylfaen"/>
          <w:sz w:val="22"/>
          <w:szCs w:val="22"/>
        </w:rPr>
        <w:t xml:space="preserve"> </w:t>
      </w:r>
      <w:r w:rsidR="008F3FB7" w:rsidRPr="008F3FB7">
        <w:rPr>
          <w:rFonts w:ascii="Garamond" w:hAnsi="Garamond" w:cs="Sylfaen"/>
          <w:sz w:val="22"/>
          <w:szCs w:val="22"/>
        </w:rPr>
        <w:t xml:space="preserve">As a result, </w:t>
      </w:r>
      <w:r w:rsidR="00844E51">
        <w:rPr>
          <w:rFonts w:ascii="Garamond" w:hAnsi="Garamond" w:cs="Sylfaen"/>
          <w:sz w:val="22"/>
          <w:szCs w:val="22"/>
        </w:rPr>
        <w:t xml:space="preserve">the growth of private investment </w:t>
      </w:r>
      <w:r w:rsidR="00667D96">
        <w:rPr>
          <w:rFonts w:ascii="Garamond" w:hAnsi="Garamond" w:cs="Sylfaen"/>
          <w:sz w:val="22"/>
          <w:szCs w:val="22"/>
        </w:rPr>
        <w:t xml:space="preserve">in </w:t>
      </w:r>
      <w:r w:rsidR="008F3FB7" w:rsidRPr="008F3FB7">
        <w:rPr>
          <w:rFonts w:ascii="Garamond" w:hAnsi="Garamond" w:cs="Sylfaen"/>
          <w:sz w:val="22"/>
          <w:szCs w:val="22"/>
        </w:rPr>
        <w:t>2018</w:t>
      </w:r>
      <w:r w:rsidR="00844E51">
        <w:rPr>
          <w:rFonts w:ascii="Garamond" w:hAnsi="Garamond" w:cs="Sylfaen"/>
          <w:sz w:val="22"/>
          <w:szCs w:val="22"/>
        </w:rPr>
        <w:t xml:space="preserve"> and </w:t>
      </w:r>
      <w:r w:rsidR="008F3FB7" w:rsidRPr="008F3FB7">
        <w:rPr>
          <w:rFonts w:ascii="Garamond" w:hAnsi="Garamond" w:cs="Sylfaen"/>
          <w:sz w:val="22"/>
          <w:szCs w:val="22"/>
        </w:rPr>
        <w:t>2019 is forecast at 3.4-3.8% and 4.0-4.5%</w:t>
      </w:r>
      <w:r w:rsidR="00844E51">
        <w:rPr>
          <w:rFonts w:ascii="Garamond" w:hAnsi="Garamond" w:cs="Sylfaen"/>
          <w:sz w:val="22"/>
          <w:szCs w:val="22"/>
        </w:rPr>
        <w:t>,</w:t>
      </w:r>
      <w:r w:rsidR="008F3FB7" w:rsidRPr="008F3FB7">
        <w:rPr>
          <w:rFonts w:ascii="Garamond" w:hAnsi="Garamond" w:cs="Sylfaen"/>
          <w:sz w:val="22"/>
          <w:szCs w:val="22"/>
        </w:rPr>
        <w:t xml:space="preserve"> respectively.</w:t>
      </w:r>
    </w:p>
    <w:p w14:paraId="57873068" w14:textId="77777777" w:rsidR="00064FDD" w:rsidRPr="00A32AB2" w:rsidRDefault="00064FDD" w:rsidP="00B117C8">
      <w:pPr>
        <w:spacing w:line="360" w:lineRule="auto"/>
        <w:jc w:val="both"/>
        <w:rPr>
          <w:rFonts w:ascii="Garamond" w:hAnsi="Garamond" w:cs="Sylfaen"/>
          <w:sz w:val="22"/>
          <w:szCs w:val="22"/>
        </w:rPr>
      </w:pPr>
    </w:p>
    <w:p w14:paraId="7858E90F" w14:textId="77777777" w:rsidR="00064FDD" w:rsidRPr="00A32AB2" w:rsidRDefault="00064FDD" w:rsidP="00B117C8">
      <w:pPr>
        <w:spacing w:line="360" w:lineRule="auto"/>
        <w:jc w:val="both"/>
        <w:rPr>
          <w:rFonts w:ascii="Garamond" w:hAnsi="Garamond" w:cs="Sylfaen"/>
          <w:sz w:val="22"/>
          <w:szCs w:val="22"/>
        </w:rPr>
      </w:pPr>
      <w:r w:rsidRPr="00A32AB2">
        <w:rPr>
          <w:rFonts w:ascii="Garamond" w:hAnsi="Garamond"/>
          <w:sz w:val="22"/>
          <w:szCs w:val="22"/>
        </w:rPr>
        <w:t xml:space="preserve">In view of the aforementioned developments with private consumption and investment, in 2016 private sector expenditures will </w:t>
      </w:r>
      <w:r w:rsidR="003A2219">
        <w:rPr>
          <w:rFonts w:ascii="Garamond" w:hAnsi="Garamond"/>
          <w:sz w:val="22"/>
          <w:szCs w:val="22"/>
        </w:rPr>
        <w:t>remain unchanged</w:t>
      </w:r>
      <w:r w:rsidR="00EC7736">
        <w:rPr>
          <w:rFonts w:ascii="Garamond" w:hAnsi="Garamond"/>
          <w:sz w:val="22"/>
          <w:szCs w:val="22"/>
        </w:rPr>
        <w:t xml:space="preserve"> in relation to 2015</w:t>
      </w:r>
      <w:r w:rsidR="003A2219">
        <w:rPr>
          <w:rFonts w:ascii="Garamond" w:hAnsi="Garamond"/>
          <w:sz w:val="22"/>
          <w:szCs w:val="22"/>
        </w:rPr>
        <w:t>.</w:t>
      </w:r>
      <w:r w:rsidR="00EC0192" w:rsidRPr="00A32AB2">
        <w:rPr>
          <w:rFonts w:ascii="Garamond" w:hAnsi="Garamond"/>
          <w:sz w:val="22"/>
          <w:szCs w:val="22"/>
        </w:rPr>
        <w:t xml:space="preserve"> </w:t>
      </w:r>
      <w:r w:rsidRPr="00A32AB2">
        <w:rPr>
          <w:rFonts w:ascii="Garamond" w:hAnsi="Garamond"/>
          <w:sz w:val="22"/>
          <w:szCs w:val="22"/>
        </w:rPr>
        <w:t>Starting from 2017, private spending will grow faster</w:t>
      </w:r>
      <w:r w:rsidR="00EC7736">
        <w:rPr>
          <w:rFonts w:ascii="Garamond" w:hAnsi="Garamond"/>
          <w:sz w:val="22"/>
          <w:szCs w:val="22"/>
        </w:rPr>
        <w:t>, in the range of 1</w:t>
      </w:r>
      <w:r w:rsidRPr="00A32AB2">
        <w:rPr>
          <w:rFonts w:ascii="Garamond" w:hAnsi="Garamond" w:cs="Sylfaen"/>
          <w:sz w:val="22"/>
          <w:szCs w:val="22"/>
        </w:rPr>
        <w:t>.</w:t>
      </w:r>
      <w:r w:rsidR="00B93ECF" w:rsidRPr="00A32AB2">
        <w:rPr>
          <w:rFonts w:ascii="Garamond" w:hAnsi="Garamond" w:cs="Sylfaen"/>
          <w:sz w:val="22"/>
          <w:szCs w:val="22"/>
        </w:rPr>
        <w:t>2</w:t>
      </w:r>
      <w:r w:rsidRPr="00A32AB2">
        <w:rPr>
          <w:rFonts w:ascii="Garamond" w:hAnsi="Garamond" w:cs="Sylfaen"/>
          <w:sz w:val="22"/>
          <w:szCs w:val="22"/>
        </w:rPr>
        <w:t>-</w:t>
      </w:r>
      <w:r w:rsidR="00EC7736">
        <w:rPr>
          <w:rFonts w:ascii="Garamond" w:hAnsi="Garamond" w:cs="Sylfaen"/>
          <w:sz w:val="22"/>
          <w:szCs w:val="22"/>
        </w:rPr>
        <w:t>1</w:t>
      </w:r>
      <w:r w:rsidRPr="00A32AB2">
        <w:rPr>
          <w:rFonts w:ascii="Garamond" w:hAnsi="Garamond" w:cs="Sylfaen"/>
          <w:sz w:val="22"/>
          <w:szCs w:val="22"/>
        </w:rPr>
        <w:t>.</w:t>
      </w:r>
      <w:r w:rsidR="00B93ECF" w:rsidRPr="00A32AB2">
        <w:rPr>
          <w:rFonts w:ascii="Garamond" w:hAnsi="Garamond" w:cs="Sylfaen"/>
          <w:sz w:val="22"/>
          <w:szCs w:val="22"/>
        </w:rPr>
        <w:t>6</w:t>
      </w:r>
      <w:r w:rsidRPr="00A32AB2">
        <w:rPr>
          <w:rFonts w:ascii="Garamond" w:hAnsi="Garamond" w:cs="Sylfaen"/>
          <w:sz w:val="22"/>
          <w:szCs w:val="22"/>
        </w:rPr>
        <w:t>%,</w:t>
      </w:r>
      <w:r w:rsidRPr="00A32AB2">
        <w:rPr>
          <w:rFonts w:ascii="Garamond" w:hAnsi="Garamond"/>
          <w:sz w:val="22"/>
          <w:szCs w:val="22"/>
        </w:rPr>
        <w:t xml:space="preserve"> and at the end of the forecast horizon it will stabilize </w:t>
      </w:r>
      <w:r w:rsidR="00EC7736">
        <w:rPr>
          <w:rFonts w:ascii="Garamond" w:hAnsi="Garamond"/>
          <w:sz w:val="22"/>
          <w:szCs w:val="22"/>
        </w:rPr>
        <w:t xml:space="preserve">within </w:t>
      </w:r>
      <w:r w:rsidRPr="00A32AB2">
        <w:rPr>
          <w:rFonts w:ascii="Garamond" w:hAnsi="Garamond" w:cs="Sylfaen"/>
          <w:sz w:val="22"/>
          <w:szCs w:val="22"/>
        </w:rPr>
        <w:t>2.</w:t>
      </w:r>
      <w:r w:rsidR="00EC7736">
        <w:rPr>
          <w:rFonts w:ascii="Garamond" w:hAnsi="Garamond" w:cs="Sylfaen"/>
          <w:sz w:val="22"/>
          <w:szCs w:val="22"/>
        </w:rPr>
        <w:t>6</w:t>
      </w:r>
      <w:r w:rsidRPr="00A32AB2">
        <w:rPr>
          <w:rFonts w:ascii="Garamond" w:hAnsi="Garamond" w:cs="Sylfaen"/>
          <w:sz w:val="22"/>
          <w:szCs w:val="22"/>
        </w:rPr>
        <w:t>-3.</w:t>
      </w:r>
      <w:r w:rsidR="00EC7736">
        <w:rPr>
          <w:rFonts w:ascii="Garamond" w:hAnsi="Garamond" w:cs="Sylfaen"/>
          <w:sz w:val="22"/>
          <w:szCs w:val="22"/>
        </w:rPr>
        <w:t>0</w:t>
      </w:r>
      <w:r w:rsidRPr="00A32AB2">
        <w:rPr>
          <w:rFonts w:ascii="Garamond" w:hAnsi="Garamond" w:cs="Sylfaen"/>
          <w:sz w:val="22"/>
          <w:szCs w:val="22"/>
        </w:rPr>
        <w:t xml:space="preserve">%. In the outcome, </w:t>
      </w:r>
      <w:r w:rsidRPr="00A32AB2">
        <w:rPr>
          <w:rFonts w:ascii="Garamond" w:hAnsi="Garamond"/>
          <w:sz w:val="22"/>
          <w:szCs w:val="22"/>
        </w:rPr>
        <w:t>private spending gap for the period 2016-2017 is estimated to be negative</w:t>
      </w:r>
      <w:r w:rsidRPr="00A32AB2">
        <w:rPr>
          <w:rFonts w:ascii="Garamond" w:hAnsi="Garamond" w:cs="Sylfaen"/>
          <w:sz w:val="22"/>
          <w:szCs w:val="22"/>
        </w:rPr>
        <w:t xml:space="preserve"> although the level of private spending is set to rebound gradually in the forecast horizon.</w:t>
      </w:r>
    </w:p>
    <w:p w14:paraId="05F1D824" w14:textId="77777777" w:rsidR="00197AEE" w:rsidRPr="00A32AB2" w:rsidRDefault="00197AEE" w:rsidP="00B117C8">
      <w:pPr>
        <w:spacing w:line="360" w:lineRule="auto"/>
        <w:jc w:val="both"/>
        <w:rPr>
          <w:rFonts w:ascii="Garamond" w:hAnsi="Garamond" w:cs="Sylfaen"/>
          <w:sz w:val="22"/>
          <w:szCs w:val="22"/>
        </w:rPr>
      </w:pPr>
    </w:p>
    <w:p w14:paraId="29FDA1F0" w14:textId="77777777" w:rsidR="00197AEE" w:rsidRPr="00A32AB2" w:rsidRDefault="00CE346D" w:rsidP="00B117C8">
      <w:pPr>
        <w:spacing w:line="360" w:lineRule="auto"/>
        <w:jc w:val="both"/>
        <w:rPr>
          <w:rFonts w:ascii="Garamond" w:hAnsi="Garamond"/>
          <w:sz w:val="22"/>
          <w:szCs w:val="22"/>
        </w:rPr>
      </w:pPr>
      <w:r w:rsidRPr="00A32AB2">
        <w:rPr>
          <w:rFonts w:ascii="Garamond" w:hAnsi="Garamond" w:cs="Sylfaen"/>
          <w:sz w:val="22"/>
          <w:szCs w:val="22"/>
        </w:rPr>
        <w:t xml:space="preserve">The </w:t>
      </w:r>
      <w:r w:rsidR="00197AEE" w:rsidRPr="00A32AB2">
        <w:rPr>
          <w:rFonts w:ascii="Garamond" w:hAnsi="Garamond" w:cs="Sylfaen"/>
          <w:sz w:val="22"/>
          <w:szCs w:val="22"/>
        </w:rPr>
        <w:t xml:space="preserve">fiscal and monetary stimulus </w:t>
      </w:r>
      <w:r w:rsidRPr="00A32AB2">
        <w:rPr>
          <w:rFonts w:ascii="Garamond" w:hAnsi="Garamond" w:cs="Sylfaen"/>
          <w:sz w:val="22"/>
          <w:szCs w:val="22"/>
        </w:rPr>
        <w:t xml:space="preserve">provided </w:t>
      </w:r>
      <w:r w:rsidR="00197AEE" w:rsidRPr="00A32AB2">
        <w:rPr>
          <w:rFonts w:ascii="Garamond" w:hAnsi="Garamond" w:cs="Sylfaen"/>
          <w:sz w:val="22"/>
          <w:szCs w:val="22"/>
        </w:rPr>
        <w:t xml:space="preserve">to the economy, resurging investment activity in the domestic economy in 2015-2016, </w:t>
      </w:r>
      <w:r w:rsidR="00197AEE" w:rsidRPr="00A32AB2">
        <w:rPr>
          <w:rFonts w:ascii="Garamond" w:hAnsi="Garamond"/>
          <w:sz w:val="22"/>
          <w:szCs w:val="22"/>
        </w:rPr>
        <w:t>as well as acceleration of economic growth in partner countries to Armenia will gradually reduce the negative private spending gap and help this imbalance phase out at the end of 2017.</w:t>
      </w:r>
      <w:r w:rsidR="00E837D8" w:rsidRPr="00A32AB2">
        <w:rPr>
          <w:rFonts w:ascii="Garamond" w:hAnsi="Garamond"/>
          <w:sz w:val="22"/>
          <w:szCs w:val="22"/>
        </w:rPr>
        <w:t xml:space="preserve"> </w:t>
      </w:r>
      <w:r w:rsidR="00FD37D2">
        <w:rPr>
          <w:rFonts w:ascii="Garamond" w:hAnsi="Garamond"/>
          <w:sz w:val="22"/>
          <w:szCs w:val="22"/>
        </w:rPr>
        <w:t>In the span of the first quarter of 2</w:t>
      </w:r>
      <w:r w:rsidR="007F57CF" w:rsidRPr="00A32AB2">
        <w:rPr>
          <w:rFonts w:ascii="Garamond" w:hAnsi="Garamond"/>
          <w:sz w:val="22"/>
          <w:szCs w:val="22"/>
        </w:rPr>
        <w:t>01</w:t>
      </w:r>
      <w:r w:rsidR="00FD37D2">
        <w:rPr>
          <w:rFonts w:ascii="Garamond" w:hAnsi="Garamond"/>
          <w:sz w:val="22"/>
          <w:szCs w:val="22"/>
        </w:rPr>
        <w:t>8</w:t>
      </w:r>
      <w:r w:rsidR="007F57CF" w:rsidRPr="00A32AB2">
        <w:rPr>
          <w:rFonts w:ascii="Garamond" w:hAnsi="Garamond"/>
          <w:sz w:val="22"/>
          <w:szCs w:val="22"/>
        </w:rPr>
        <w:t xml:space="preserve"> </w:t>
      </w:r>
      <w:r w:rsidR="00530CE8" w:rsidRPr="00A32AB2">
        <w:rPr>
          <w:rFonts w:ascii="Garamond" w:hAnsi="Garamond"/>
          <w:sz w:val="22"/>
          <w:szCs w:val="22"/>
        </w:rPr>
        <w:t>to</w:t>
      </w:r>
      <w:r w:rsidR="007F57CF" w:rsidRPr="00A32AB2">
        <w:rPr>
          <w:rFonts w:ascii="Garamond" w:hAnsi="Garamond"/>
          <w:sz w:val="22"/>
          <w:szCs w:val="22"/>
        </w:rPr>
        <w:t xml:space="preserve"> the end of the forecast horizon, the private spending gap is estimated to be positive.</w:t>
      </w:r>
    </w:p>
    <w:p w14:paraId="023A4B42" w14:textId="77777777" w:rsidR="00530CE8" w:rsidRPr="00A32AB2" w:rsidRDefault="00530CE8" w:rsidP="00B117C8">
      <w:pPr>
        <w:spacing w:line="360" w:lineRule="auto"/>
        <w:jc w:val="both"/>
        <w:rPr>
          <w:rFonts w:ascii="Garamond" w:hAnsi="Garamond"/>
          <w:sz w:val="22"/>
          <w:szCs w:val="22"/>
        </w:rPr>
      </w:pPr>
    </w:p>
    <w:p w14:paraId="1165D901" w14:textId="77777777" w:rsidR="00530CE8" w:rsidRPr="00A32AB2" w:rsidRDefault="00530CE8" w:rsidP="00B117C8">
      <w:pPr>
        <w:spacing w:line="360" w:lineRule="auto"/>
        <w:jc w:val="both"/>
        <w:rPr>
          <w:rFonts w:ascii="Garamond" w:hAnsi="Garamond"/>
          <w:sz w:val="22"/>
          <w:szCs w:val="22"/>
        </w:rPr>
      </w:pPr>
      <w:r w:rsidRPr="00A32AB2">
        <w:rPr>
          <w:rFonts w:ascii="Garamond" w:hAnsi="Garamond"/>
          <w:sz w:val="22"/>
          <w:szCs w:val="22"/>
        </w:rPr>
        <w:t xml:space="preserve">From the </w:t>
      </w:r>
      <w:r w:rsidR="00872C35">
        <w:rPr>
          <w:rFonts w:ascii="Garamond" w:hAnsi="Garamond"/>
          <w:sz w:val="22"/>
          <w:szCs w:val="22"/>
        </w:rPr>
        <w:t>end-</w:t>
      </w:r>
      <w:r w:rsidRPr="00A32AB2">
        <w:rPr>
          <w:rFonts w:ascii="Garamond" w:hAnsi="Garamond"/>
          <w:sz w:val="22"/>
          <w:szCs w:val="22"/>
        </w:rPr>
        <w:t xml:space="preserve">2016 to the </w:t>
      </w:r>
      <w:r w:rsidR="00872C35">
        <w:rPr>
          <w:rFonts w:ascii="Garamond" w:hAnsi="Garamond"/>
          <w:sz w:val="22"/>
          <w:szCs w:val="22"/>
        </w:rPr>
        <w:t>start-</w:t>
      </w:r>
      <w:r w:rsidRPr="00A32AB2">
        <w:rPr>
          <w:rFonts w:ascii="Garamond" w:hAnsi="Garamond"/>
          <w:sz w:val="22"/>
          <w:szCs w:val="22"/>
        </w:rPr>
        <w:t>201</w:t>
      </w:r>
      <w:r w:rsidR="00872C35">
        <w:rPr>
          <w:rFonts w:ascii="Garamond" w:hAnsi="Garamond"/>
          <w:sz w:val="22"/>
          <w:szCs w:val="22"/>
        </w:rPr>
        <w:t>8</w:t>
      </w:r>
      <w:r w:rsidRPr="00A32AB2">
        <w:rPr>
          <w:rFonts w:ascii="Garamond" w:hAnsi="Garamond"/>
          <w:sz w:val="22"/>
          <w:szCs w:val="22"/>
        </w:rPr>
        <w:t xml:space="preserve">, the </w:t>
      </w:r>
      <w:r w:rsidRPr="00A32AB2">
        <w:rPr>
          <w:rFonts w:ascii="Garamond" w:hAnsi="Garamond"/>
          <w:b/>
          <w:sz w:val="22"/>
          <w:szCs w:val="22"/>
        </w:rPr>
        <w:t>private spending will create an average 0.</w:t>
      </w:r>
      <w:r w:rsidR="00872C35">
        <w:rPr>
          <w:rFonts w:ascii="Garamond" w:hAnsi="Garamond"/>
          <w:b/>
          <w:sz w:val="22"/>
          <w:szCs w:val="22"/>
        </w:rPr>
        <w:t>8</w:t>
      </w:r>
      <w:r w:rsidRPr="00A32AB2">
        <w:rPr>
          <w:rFonts w:ascii="Garamond" w:hAnsi="Garamond"/>
          <w:b/>
          <w:sz w:val="22"/>
          <w:szCs w:val="22"/>
        </w:rPr>
        <w:t>-</w:t>
      </w:r>
      <w:r w:rsidR="00872C35">
        <w:rPr>
          <w:rFonts w:ascii="Garamond" w:hAnsi="Garamond"/>
          <w:b/>
          <w:sz w:val="22"/>
          <w:szCs w:val="22"/>
        </w:rPr>
        <w:t>1</w:t>
      </w:r>
      <w:r w:rsidRPr="00A32AB2">
        <w:rPr>
          <w:rFonts w:ascii="Garamond" w:hAnsi="Garamond"/>
          <w:b/>
          <w:sz w:val="22"/>
          <w:szCs w:val="22"/>
        </w:rPr>
        <w:t>.</w:t>
      </w:r>
      <w:r w:rsidR="00872C35">
        <w:rPr>
          <w:rFonts w:ascii="Garamond" w:hAnsi="Garamond"/>
          <w:b/>
          <w:sz w:val="22"/>
          <w:szCs w:val="22"/>
        </w:rPr>
        <w:t>0</w:t>
      </w:r>
      <w:r w:rsidRPr="00A32AB2">
        <w:rPr>
          <w:rFonts w:ascii="Garamond" w:hAnsi="Garamond"/>
          <w:b/>
          <w:sz w:val="22"/>
          <w:szCs w:val="22"/>
        </w:rPr>
        <w:t xml:space="preserve"> pp of contractionary impact on the inflation</w:t>
      </w:r>
      <w:r w:rsidRPr="00A32AB2">
        <w:rPr>
          <w:rFonts w:ascii="Garamond" w:hAnsi="Garamond"/>
          <w:sz w:val="22"/>
          <w:szCs w:val="22"/>
        </w:rPr>
        <w:t xml:space="preserve">. </w:t>
      </w:r>
      <w:r w:rsidR="00E00977" w:rsidRPr="00A32AB2">
        <w:rPr>
          <w:rFonts w:ascii="Garamond" w:hAnsi="Garamond"/>
          <w:sz w:val="22"/>
          <w:szCs w:val="22"/>
        </w:rPr>
        <w:t xml:space="preserve">As domestic demand recovers thanks to an expansionary monetary policy, the abovementioned deflationary pressures will gradually vanish. </w:t>
      </w:r>
      <w:r w:rsidRPr="00A32AB2">
        <w:rPr>
          <w:rFonts w:ascii="Garamond" w:hAnsi="Garamond"/>
          <w:sz w:val="22"/>
          <w:szCs w:val="22"/>
        </w:rPr>
        <w:t xml:space="preserve">From the </w:t>
      </w:r>
      <w:r w:rsidR="00872C35">
        <w:rPr>
          <w:rFonts w:ascii="Garamond" w:hAnsi="Garamond"/>
          <w:sz w:val="22"/>
          <w:szCs w:val="22"/>
        </w:rPr>
        <w:t xml:space="preserve">second quarter of </w:t>
      </w:r>
      <w:r w:rsidRPr="00A32AB2">
        <w:rPr>
          <w:rFonts w:ascii="Garamond" w:hAnsi="Garamond"/>
          <w:sz w:val="22"/>
          <w:szCs w:val="22"/>
        </w:rPr>
        <w:t>201</w:t>
      </w:r>
      <w:r w:rsidR="00872C35">
        <w:rPr>
          <w:rFonts w:ascii="Garamond" w:hAnsi="Garamond"/>
          <w:sz w:val="22"/>
          <w:szCs w:val="22"/>
        </w:rPr>
        <w:t>8</w:t>
      </w:r>
      <w:r w:rsidRPr="00A32AB2">
        <w:rPr>
          <w:rFonts w:ascii="Garamond" w:hAnsi="Garamond"/>
          <w:sz w:val="22"/>
          <w:szCs w:val="22"/>
        </w:rPr>
        <w:t xml:space="preserve"> </w:t>
      </w:r>
      <w:r w:rsidR="00E00977" w:rsidRPr="00A32AB2">
        <w:rPr>
          <w:rFonts w:ascii="Garamond" w:hAnsi="Garamond"/>
          <w:sz w:val="22"/>
          <w:szCs w:val="22"/>
        </w:rPr>
        <w:t xml:space="preserve">to </w:t>
      </w:r>
      <w:r w:rsidRPr="00A32AB2">
        <w:rPr>
          <w:rFonts w:ascii="Garamond" w:hAnsi="Garamond"/>
          <w:sz w:val="22"/>
          <w:szCs w:val="22"/>
        </w:rPr>
        <w:t xml:space="preserve">the end of the forecast horizon, the </w:t>
      </w:r>
      <w:r w:rsidR="00E00977" w:rsidRPr="00A32AB2">
        <w:rPr>
          <w:rFonts w:ascii="Garamond" w:hAnsi="Garamond"/>
          <w:sz w:val="22"/>
          <w:szCs w:val="22"/>
        </w:rPr>
        <w:t xml:space="preserve">impact of </w:t>
      </w:r>
      <w:r w:rsidRPr="00A32AB2">
        <w:rPr>
          <w:rFonts w:ascii="Garamond" w:hAnsi="Garamond"/>
          <w:sz w:val="22"/>
          <w:szCs w:val="22"/>
        </w:rPr>
        <w:t xml:space="preserve">private spending will </w:t>
      </w:r>
      <w:r w:rsidR="00E00977" w:rsidRPr="00A32AB2">
        <w:rPr>
          <w:rFonts w:ascii="Garamond" w:hAnsi="Garamond"/>
          <w:sz w:val="22"/>
          <w:szCs w:val="22"/>
        </w:rPr>
        <w:t xml:space="preserve">be </w:t>
      </w:r>
      <w:r w:rsidR="00E837D8" w:rsidRPr="00A32AB2">
        <w:rPr>
          <w:rFonts w:ascii="Garamond" w:hAnsi="Garamond"/>
          <w:sz w:val="22"/>
          <w:szCs w:val="22"/>
        </w:rPr>
        <w:t>0</w:t>
      </w:r>
      <w:r w:rsidR="00E00977" w:rsidRPr="00A32AB2">
        <w:rPr>
          <w:rFonts w:ascii="Garamond" w:hAnsi="Garamond"/>
          <w:sz w:val="22"/>
          <w:szCs w:val="22"/>
        </w:rPr>
        <w:t>.</w:t>
      </w:r>
      <w:r w:rsidR="00872C35">
        <w:rPr>
          <w:rFonts w:ascii="Garamond" w:hAnsi="Garamond"/>
          <w:sz w:val="22"/>
          <w:szCs w:val="22"/>
        </w:rPr>
        <w:t>9</w:t>
      </w:r>
      <w:r w:rsidR="00E00977" w:rsidRPr="00A32AB2">
        <w:rPr>
          <w:rFonts w:ascii="Garamond" w:hAnsi="Garamond"/>
          <w:sz w:val="22"/>
          <w:szCs w:val="22"/>
        </w:rPr>
        <w:t>-</w:t>
      </w:r>
      <w:r w:rsidR="00872C35">
        <w:rPr>
          <w:rFonts w:ascii="Garamond" w:hAnsi="Garamond"/>
          <w:sz w:val="22"/>
          <w:szCs w:val="22"/>
        </w:rPr>
        <w:t>1</w:t>
      </w:r>
      <w:r w:rsidR="00E00977" w:rsidRPr="00A32AB2">
        <w:rPr>
          <w:rFonts w:ascii="Garamond" w:hAnsi="Garamond"/>
          <w:sz w:val="22"/>
          <w:szCs w:val="22"/>
        </w:rPr>
        <w:t>.</w:t>
      </w:r>
      <w:r w:rsidR="00872C35">
        <w:rPr>
          <w:rFonts w:ascii="Garamond" w:hAnsi="Garamond"/>
          <w:sz w:val="22"/>
          <w:szCs w:val="22"/>
        </w:rPr>
        <w:t>1</w:t>
      </w:r>
      <w:r w:rsidR="00E00977" w:rsidRPr="00A32AB2">
        <w:rPr>
          <w:rFonts w:ascii="Garamond" w:hAnsi="Garamond"/>
          <w:sz w:val="22"/>
          <w:szCs w:val="22"/>
        </w:rPr>
        <w:t xml:space="preserve"> pp </w:t>
      </w:r>
      <w:r w:rsidRPr="00A32AB2">
        <w:rPr>
          <w:rFonts w:ascii="Garamond" w:hAnsi="Garamond"/>
          <w:sz w:val="22"/>
          <w:szCs w:val="22"/>
        </w:rPr>
        <w:t>inflation</w:t>
      </w:r>
      <w:r w:rsidR="00AE0B4A" w:rsidRPr="00A32AB2">
        <w:rPr>
          <w:rFonts w:ascii="Garamond" w:hAnsi="Garamond"/>
          <w:sz w:val="22"/>
          <w:szCs w:val="22"/>
        </w:rPr>
        <w:t>ary</w:t>
      </w:r>
      <w:r w:rsidRPr="00A32AB2">
        <w:rPr>
          <w:rFonts w:ascii="Garamond" w:hAnsi="Garamond"/>
          <w:sz w:val="22"/>
          <w:szCs w:val="22"/>
        </w:rPr>
        <w:t>.</w:t>
      </w:r>
    </w:p>
    <w:p w14:paraId="0B42AD6C" w14:textId="77777777" w:rsidR="00B237AC" w:rsidRPr="00A32AB2" w:rsidRDefault="00B237AC" w:rsidP="00B117C8">
      <w:pPr>
        <w:spacing w:line="360" w:lineRule="auto"/>
        <w:jc w:val="both"/>
        <w:rPr>
          <w:rFonts w:ascii="Garamond" w:hAnsi="Garamond"/>
          <w:sz w:val="22"/>
          <w:szCs w:val="22"/>
        </w:rPr>
      </w:pPr>
    </w:p>
    <w:p w14:paraId="1803B93E" w14:textId="77777777" w:rsidR="00B237AC" w:rsidRPr="00A32AB2" w:rsidRDefault="00B237AC" w:rsidP="00B117C8">
      <w:pPr>
        <w:spacing w:line="360" w:lineRule="auto"/>
        <w:jc w:val="both"/>
        <w:rPr>
          <w:rFonts w:ascii="Garamond" w:hAnsi="Garamond"/>
          <w:b/>
          <w:sz w:val="22"/>
          <w:szCs w:val="22"/>
        </w:rPr>
      </w:pPr>
      <w:r w:rsidRPr="00A32AB2">
        <w:rPr>
          <w:rFonts w:ascii="Garamond" w:hAnsi="Garamond"/>
          <w:b/>
          <w:sz w:val="22"/>
          <w:szCs w:val="22"/>
        </w:rPr>
        <w:t>Current account</w:t>
      </w:r>
    </w:p>
    <w:p w14:paraId="61E62B0E" w14:textId="614F1F7D" w:rsidR="003078C9" w:rsidRPr="00A32AB2" w:rsidRDefault="00A067FA" w:rsidP="00B117C8">
      <w:pPr>
        <w:spacing w:line="360" w:lineRule="auto"/>
        <w:jc w:val="both"/>
        <w:rPr>
          <w:rFonts w:ascii="Garamond" w:hAnsi="Garamond"/>
          <w:iCs/>
          <w:color w:val="000000"/>
          <w:sz w:val="22"/>
          <w:szCs w:val="22"/>
        </w:rPr>
      </w:pPr>
      <w:r>
        <w:rPr>
          <w:rFonts w:ascii="Garamond" w:hAnsi="Garamond"/>
          <w:iCs/>
          <w:color w:val="000000"/>
          <w:sz w:val="22"/>
          <w:szCs w:val="22"/>
        </w:rPr>
        <w:t>The 2016 current account deficit-to-</w:t>
      </w:r>
      <w:r w:rsidRPr="00A067FA">
        <w:rPr>
          <w:rFonts w:ascii="Garamond" w:hAnsi="Garamond"/>
          <w:iCs/>
          <w:color w:val="000000"/>
          <w:sz w:val="22"/>
          <w:szCs w:val="22"/>
        </w:rPr>
        <w:t xml:space="preserve">GDP </w:t>
      </w:r>
      <w:r>
        <w:rPr>
          <w:rFonts w:ascii="Garamond" w:hAnsi="Garamond"/>
          <w:iCs/>
          <w:color w:val="000000"/>
          <w:sz w:val="22"/>
          <w:szCs w:val="22"/>
        </w:rPr>
        <w:t xml:space="preserve">ratio will remain within </w:t>
      </w:r>
      <w:r w:rsidRPr="00A067FA">
        <w:rPr>
          <w:rFonts w:ascii="Garamond" w:hAnsi="Garamond"/>
          <w:iCs/>
          <w:color w:val="000000"/>
          <w:sz w:val="22"/>
          <w:szCs w:val="22"/>
        </w:rPr>
        <w:t>2.0-3.0%</w:t>
      </w:r>
      <w:r>
        <w:rPr>
          <w:rFonts w:ascii="Garamond" w:hAnsi="Garamond"/>
          <w:iCs/>
          <w:color w:val="000000"/>
          <w:sz w:val="22"/>
          <w:szCs w:val="22"/>
        </w:rPr>
        <w:t>, the same in relation to the previous forecast</w:t>
      </w:r>
      <w:r w:rsidRPr="00A067FA">
        <w:rPr>
          <w:rFonts w:ascii="Garamond" w:hAnsi="Garamond"/>
          <w:iCs/>
          <w:color w:val="000000"/>
          <w:sz w:val="22"/>
          <w:szCs w:val="22"/>
        </w:rPr>
        <w:t>.</w:t>
      </w:r>
      <w:r>
        <w:rPr>
          <w:rFonts w:ascii="Garamond" w:hAnsi="Garamond"/>
          <w:iCs/>
          <w:color w:val="000000"/>
          <w:sz w:val="22"/>
          <w:szCs w:val="22"/>
        </w:rPr>
        <w:t xml:space="preserve"> </w:t>
      </w:r>
      <w:r w:rsidR="00AD780C" w:rsidRPr="00A32AB2">
        <w:rPr>
          <w:rFonts w:ascii="Garamond" w:hAnsi="Garamond"/>
          <w:iCs/>
          <w:color w:val="000000"/>
          <w:sz w:val="22"/>
          <w:szCs w:val="22"/>
        </w:rPr>
        <w:t xml:space="preserve">With a persistently </w:t>
      </w:r>
      <w:r w:rsidR="00965C3E" w:rsidRPr="00A32AB2">
        <w:rPr>
          <w:rFonts w:ascii="Garamond" w:hAnsi="Garamond"/>
          <w:iCs/>
          <w:color w:val="000000"/>
          <w:sz w:val="22"/>
          <w:szCs w:val="22"/>
        </w:rPr>
        <w:t>weak demand in the global economy</w:t>
      </w:r>
      <w:r w:rsidR="00AD780C" w:rsidRPr="00A32AB2">
        <w:rPr>
          <w:rFonts w:ascii="Garamond" w:hAnsi="Garamond"/>
          <w:iCs/>
          <w:color w:val="000000"/>
          <w:sz w:val="22"/>
          <w:szCs w:val="22"/>
        </w:rPr>
        <w:t>,</w:t>
      </w:r>
      <w:r w:rsidR="00965C3E" w:rsidRPr="00A32AB2">
        <w:rPr>
          <w:rFonts w:ascii="Garamond" w:hAnsi="Garamond"/>
          <w:iCs/>
          <w:color w:val="000000"/>
          <w:sz w:val="22"/>
          <w:szCs w:val="22"/>
        </w:rPr>
        <w:t xml:space="preserve"> </w:t>
      </w:r>
      <w:r w:rsidR="00AD780C" w:rsidRPr="00A32AB2">
        <w:rPr>
          <w:rFonts w:ascii="Garamond" w:hAnsi="Garamond"/>
          <w:iCs/>
          <w:color w:val="000000"/>
          <w:sz w:val="22"/>
          <w:szCs w:val="22"/>
        </w:rPr>
        <w:t>p</w:t>
      </w:r>
      <w:r w:rsidR="00965C3E" w:rsidRPr="00A32AB2">
        <w:rPr>
          <w:rFonts w:ascii="Garamond" w:hAnsi="Garamond"/>
          <w:iCs/>
          <w:color w:val="000000"/>
          <w:sz w:val="22"/>
          <w:szCs w:val="22"/>
        </w:rPr>
        <w:t xml:space="preserve">ositive developments </w:t>
      </w:r>
      <w:r w:rsidR="00AD780C" w:rsidRPr="00A32AB2">
        <w:rPr>
          <w:rFonts w:ascii="Garamond" w:hAnsi="Garamond"/>
          <w:iCs/>
          <w:color w:val="000000"/>
          <w:sz w:val="22"/>
          <w:szCs w:val="22"/>
        </w:rPr>
        <w:t>for export</w:t>
      </w:r>
      <w:r w:rsidR="00D26F61" w:rsidRPr="00A32AB2">
        <w:rPr>
          <w:rFonts w:ascii="Garamond" w:hAnsi="Garamond"/>
          <w:iCs/>
          <w:color w:val="000000"/>
          <w:sz w:val="22"/>
          <w:szCs w:val="22"/>
        </w:rPr>
        <w:t>s</w:t>
      </w:r>
      <w:r w:rsidR="00AD780C" w:rsidRPr="00A32AB2">
        <w:rPr>
          <w:rFonts w:ascii="Garamond" w:hAnsi="Garamond"/>
          <w:iCs/>
          <w:color w:val="000000"/>
          <w:sz w:val="22"/>
          <w:szCs w:val="22"/>
        </w:rPr>
        <w:t xml:space="preserve"> </w:t>
      </w:r>
      <w:r w:rsidR="00965C3E" w:rsidRPr="00A32AB2">
        <w:rPr>
          <w:rFonts w:ascii="Garamond" w:hAnsi="Garamond"/>
          <w:iCs/>
          <w:color w:val="000000"/>
          <w:sz w:val="22"/>
          <w:szCs w:val="22"/>
        </w:rPr>
        <w:t xml:space="preserve">continued </w:t>
      </w:r>
      <w:r>
        <w:rPr>
          <w:rFonts w:ascii="Garamond" w:hAnsi="Garamond"/>
          <w:iCs/>
          <w:color w:val="000000"/>
          <w:sz w:val="22"/>
          <w:szCs w:val="22"/>
        </w:rPr>
        <w:t xml:space="preserve">in the third quarter of 2016, although at somewhat a slower pace. </w:t>
      </w:r>
      <w:r w:rsidR="00AD780C" w:rsidRPr="00EC2B0F">
        <w:rPr>
          <w:rFonts w:ascii="Garamond" w:hAnsi="Garamond"/>
          <w:iCs/>
          <w:color w:val="000000"/>
          <w:sz w:val="22"/>
          <w:szCs w:val="22"/>
        </w:rPr>
        <w:t>The growth wa</w:t>
      </w:r>
      <w:r w:rsidR="00965C3E" w:rsidRPr="00EC2B0F">
        <w:rPr>
          <w:rFonts w:ascii="Garamond" w:hAnsi="Garamond"/>
          <w:iCs/>
          <w:color w:val="000000"/>
          <w:sz w:val="22"/>
          <w:szCs w:val="22"/>
        </w:rPr>
        <w:t xml:space="preserve">s </w:t>
      </w:r>
      <w:proofErr w:type="spellStart"/>
      <w:r w:rsidR="00AD780C" w:rsidRPr="00EC2B0F">
        <w:rPr>
          <w:rFonts w:ascii="Garamond" w:hAnsi="Garamond"/>
          <w:iCs/>
          <w:color w:val="000000"/>
          <w:sz w:val="22"/>
          <w:szCs w:val="22"/>
        </w:rPr>
        <w:t>fuelled</w:t>
      </w:r>
      <w:proofErr w:type="spellEnd"/>
      <w:r w:rsidR="00AD780C" w:rsidRPr="00EC2B0F">
        <w:rPr>
          <w:rFonts w:ascii="Garamond" w:hAnsi="Garamond"/>
          <w:iCs/>
          <w:color w:val="000000"/>
          <w:sz w:val="22"/>
          <w:szCs w:val="22"/>
        </w:rPr>
        <w:t xml:space="preserve"> </w:t>
      </w:r>
      <w:r w:rsidR="00EC2B0F">
        <w:rPr>
          <w:rFonts w:ascii="Garamond" w:hAnsi="Garamond"/>
          <w:iCs/>
          <w:color w:val="000000"/>
          <w:sz w:val="22"/>
          <w:szCs w:val="22"/>
        </w:rPr>
        <w:t xml:space="preserve">largely by </w:t>
      </w:r>
      <w:r w:rsidR="00AD780C" w:rsidRPr="00EC2B0F">
        <w:rPr>
          <w:rFonts w:ascii="Garamond" w:hAnsi="Garamond"/>
          <w:iCs/>
          <w:color w:val="000000"/>
          <w:sz w:val="22"/>
          <w:szCs w:val="22"/>
        </w:rPr>
        <w:t>high growth in item</w:t>
      </w:r>
      <w:r w:rsidR="00EC2B0F">
        <w:rPr>
          <w:rFonts w:ascii="Garamond" w:hAnsi="Garamond"/>
          <w:iCs/>
          <w:color w:val="000000"/>
          <w:sz w:val="22"/>
          <w:szCs w:val="22"/>
        </w:rPr>
        <w:t xml:space="preserve"> </w:t>
      </w:r>
      <w:r w:rsidR="00AD780C" w:rsidRPr="00EC2B0F">
        <w:rPr>
          <w:rFonts w:ascii="Garamond" w:hAnsi="Garamond"/>
          <w:iCs/>
          <w:color w:val="000000"/>
          <w:sz w:val="22"/>
          <w:szCs w:val="22"/>
        </w:rPr>
        <w:t>“</w:t>
      </w:r>
      <w:r w:rsidR="00965C3E" w:rsidRPr="00EC2B0F">
        <w:rPr>
          <w:rFonts w:ascii="Garamond" w:hAnsi="Garamond"/>
          <w:iCs/>
          <w:color w:val="000000"/>
          <w:sz w:val="22"/>
          <w:szCs w:val="22"/>
        </w:rPr>
        <w:t>Precious stones and metals and articles thereof</w:t>
      </w:r>
      <w:r w:rsidR="00AD780C" w:rsidRPr="00EC2B0F">
        <w:rPr>
          <w:rFonts w:ascii="Garamond" w:hAnsi="Garamond"/>
          <w:iCs/>
          <w:color w:val="000000"/>
          <w:sz w:val="22"/>
          <w:szCs w:val="22"/>
        </w:rPr>
        <w:t>”</w:t>
      </w:r>
      <w:r w:rsidR="00EC2B0F">
        <w:rPr>
          <w:rFonts w:ascii="Garamond" w:hAnsi="Garamond"/>
          <w:iCs/>
          <w:color w:val="000000"/>
          <w:sz w:val="22"/>
          <w:szCs w:val="22"/>
        </w:rPr>
        <w:t>.</w:t>
      </w:r>
      <w:r w:rsidR="00AD780C" w:rsidRPr="00EC2B0F">
        <w:rPr>
          <w:rFonts w:ascii="Garamond" w:hAnsi="Garamond"/>
          <w:iCs/>
          <w:color w:val="000000"/>
          <w:sz w:val="22"/>
          <w:szCs w:val="22"/>
        </w:rPr>
        <w:t xml:space="preserve"> </w:t>
      </w:r>
      <w:r w:rsidR="00EC2B0F">
        <w:rPr>
          <w:rFonts w:ascii="Garamond" w:hAnsi="Garamond"/>
          <w:iCs/>
          <w:color w:val="000000"/>
          <w:sz w:val="22"/>
          <w:szCs w:val="22"/>
        </w:rPr>
        <w:t xml:space="preserve">Export of </w:t>
      </w:r>
      <w:r w:rsidR="00EC2B0F" w:rsidRPr="00EC2B0F">
        <w:rPr>
          <w:rFonts w:ascii="Garamond" w:hAnsi="Garamond"/>
          <w:iCs/>
          <w:color w:val="000000"/>
          <w:sz w:val="22"/>
          <w:szCs w:val="22"/>
        </w:rPr>
        <w:t xml:space="preserve">brandy and </w:t>
      </w:r>
      <w:r w:rsidR="00EC2B0F">
        <w:rPr>
          <w:rFonts w:ascii="Garamond" w:hAnsi="Garamond"/>
          <w:iCs/>
          <w:color w:val="000000"/>
          <w:sz w:val="22"/>
          <w:szCs w:val="22"/>
        </w:rPr>
        <w:t>t</w:t>
      </w:r>
      <w:r w:rsidR="00EC2B0F" w:rsidRPr="00EC2B0F">
        <w:rPr>
          <w:rFonts w:ascii="Garamond" w:hAnsi="Garamond"/>
          <w:iCs/>
          <w:color w:val="000000"/>
          <w:sz w:val="22"/>
          <w:szCs w:val="22"/>
        </w:rPr>
        <w:t>obacco</w:t>
      </w:r>
      <w:r w:rsidR="00EC2B0F">
        <w:rPr>
          <w:rFonts w:ascii="Garamond" w:hAnsi="Garamond"/>
          <w:iCs/>
          <w:color w:val="000000"/>
          <w:sz w:val="22"/>
          <w:szCs w:val="22"/>
        </w:rPr>
        <w:t xml:space="preserve"> as </w:t>
      </w:r>
      <w:r w:rsidR="00EC2B0F">
        <w:rPr>
          <w:rFonts w:ascii="Garamond" w:hAnsi="Garamond"/>
          <w:iCs/>
          <w:color w:val="000000"/>
          <w:sz w:val="22"/>
          <w:szCs w:val="22"/>
        </w:rPr>
        <w:lastRenderedPageBreak/>
        <w:t xml:space="preserve">well as commodities continued growing. Given these </w:t>
      </w:r>
      <w:r w:rsidR="00EC2B0F" w:rsidRPr="00EC2B0F">
        <w:rPr>
          <w:rFonts w:ascii="Garamond" w:hAnsi="Garamond"/>
          <w:iCs/>
          <w:color w:val="000000"/>
          <w:sz w:val="22"/>
          <w:szCs w:val="22"/>
        </w:rPr>
        <w:t>development</w:t>
      </w:r>
      <w:r w:rsidR="00EC2B0F">
        <w:rPr>
          <w:rFonts w:ascii="Garamond" w:hAnsi="Garamond"/>
          <w:iCs/>
          <w:color w:val="000000"/>
          <w:sz w:val="22"/>
          <w:szCs w:val="22"/>
        </w:rPr>
        <w:t xml:space="preserve">s persist </w:t>
      </w:r>
      <w:r w:rsidR="00D15808">
        <w:rPr>
          <w:rFonts w:ascii="Garamond" w:hAnsi="Garamond"/>
          <w:iCs/>
          <w:color w:val="000000"/>
          <w:sz w:val="22"/>
          <w:szCs w:val="22"/>
        </w:rPr>
        <w:t xml:space="preserve">in the </w:t>
      </w:r>
      <w:r w:rsidR="00EC2B0F" w:rsidRPr="00EC2B0F">
        <w:rPr>
          <w:rFonts w:ascii="Garamond" w:hAnsi="Garamond"/>
          <w:iCs/>
          <w:color w:val="000000"/>
          <w:sz w:val="22"/>
          <w:szCs w:val="22"/>
        </w:rPr>
        <w:t>tradable sector</w:t>
      </w:r>
      <w:r w:rsidR="00D15808">
        <w:rPr>
          <w:rFonts w:ascii="Garamond" w:hAnsi="Garamond"/>
          <w:iCs/>
          <w:color w:val="000000"/>
          <w:sz w:val="22"/>
          <w:szCs w:val="22"/>
        </w:rPr>
        <w:t xml:space="preserve"> over 2016</w:t>
      </w:r>
      <w:r w:rsidR="00EC2B0F" w:rsidRPr="00EC2B0F">
        <w:rPr>
          <w:rFonts w:ascii="Garamond" w:hAnsi="Garamond"/>
          <w:iCs/>
          <w:color w:val="000000"/>
          <w:sz w:val="22"/>
          <w:szCs w:val="22"/>
        </w:rPr>
        <w:t>,</w:t>
      </w:r>
      <w:r w:rsidR="00D15808">
        <w:rPr>
          <w:rFonts w:ascii="Garamond" w:hAnsi="Garamond"/>
          <w:iCs/>
          <w:color w:val="000000"/>
          <w:sz w:val="22"/>
          <w:szCs w:val="22"/>
        </w:rPr>
        <w:t xml:space="preserve"> the</w:t>
      </w:r>
      <w:r w:rsidR="00EC2B0F" w:rsidRPr="00EC2B0F">
        <w:rPr>
          <w:rFonts w:ascii="Garamond" w:hAnsi="Garamond"/>
          <w:iCs/>
          <w:color w:val="000000"/>
          <w:sz w:val="22"/>
          <w:szCs w:val="22"/>
        </w:rPr>
        <w:t xml:space="preserve"> real growth of export of goods and services in 2016</w:t>
      </w:r>
      <w:r w:rsidR="00D15808">
        <w:rPr>
          <w:rFonts w:ascii="Garamond" w:hAnsi="Garamond"/>
          <w:iCs/>
          <w:color w:val="000000"/>
          <w:sz w:val="22"/>
          <w:szCs w:val="22"/>
        </w:rPr>
        <w:t xml:space="preserve"> is</w:t>
      </w:r>
      <w:r w:rsidR="00EC2B0F" w:rsidRPr="00EC2B0F">
        <w:rPr>
          <w:rFonts w:ascii="Garamond" w:hAnsi="Garamond"/>
          <w:iCs/>
          <w:color w:val="000000"/>
          <w:sz w:val="22"/>
          <w:szCs w:val="22"/>
        </w:rPr>
        <w:t xml:space="preserve"> estimated </w:t>
      </w:r>
      <w:r w:rsidR="00D15808">
        <w:rPr>
          <w:rFonts w:ascii="Garamond" w:hAnsi="Garamond"/>
          <w:iCs/>
          <w:color w:val="000000"/>
          <w:sz w:val="22"/>
          <w:szCs w:val="22"/>
        </w:rPr>
        <w:t xml:space="preserve">to be around 14.0%. </w:t>
      </w:r>
      <w:r w:rsidR="00965C3E" w:rsidRPr="00EC2B0F">
        <w:rPr>
          <w:rFonts w:ascii="Garamond" w:hAnsi="Garamond"/>
          <w:iCs/>
          <w:color w:val="000000"/>
          <w:sz w:val="22"/>
          <w:szCs w:val="22"/>
        </w:rPr>
        <w:t xml:space="preserve">As for imports, </w:t>
      </w:r>
      <w:r w:rsidR="00D15808">
        <w:rPr>
          <w:rFonts w:ascii="Garamond" w:hAnsi="Garamond"/>
          <w:iCs/>
          <w:color w:val="000000"/>
          <w:sz w:val="22"/>
          <w:szCs w:val="22"/>
        </w:rPr>
        <w:t>t</w:t>
      </w:r>
      <w:r w:rsidR="00D15808" w:rsidRPr="00D15808">
        <w:rPr>
          <w:rFonts w:ascii="Garamond" w:hAnsi="Garamond"/>
          <w:iCs/>
          <w:color w:val="000000"/>
          <w:sz w:val="22"/>
          <w:szCs w:val="22"/>
        </w:rPr>
        <w:t>he</w:t>
      </w:r>
      <w:r w:rsidR="00D15808">
        <w:rPr>
          <w:rFonts w:ascii="Garamond" w:hAnsi="Garamond"/>
          <w:iCs/>
          <w:color w:val="000000"/>
          <w:sz w:val="22"/>
          <w:szCs w:val="22"/>
        </w:rPr>
        <w:t xml:space="preserve"> </w:t>
      </w:r>
      <w:r w:rsidR="00D15808" w:rsidRPr="00D15808">
        <w:rPr>
          <w:rFonts w:ascii="Garamond" w:hAnsi="Garamond"/>
          <w:iCs/>
          <w:color w:val="000000"/>
          <w:sz w:val="22"/>
          <w:szCs w:val="22"/>
        </w:rPr>
        <w:t>growth in the third quarter</w:t>
      </w:r>
      <w:r w:rsidR="00D15808">
        <w:rPr>
          <w:rFonts w:ascii="Garamond" w:hAnsi="Garamond"/>
          <w:iCs/>
          <w:color w:val="000000"/>
          <w:sz w:val="22"/>
          <w:szCs w:val="22"/>
        </w:rPr>
        <w:t xml:space="preserve"> of 2016 was driven</w:t>
      </w:r>
      <w:r w:rsidR="00D15808" w:rsidRPr="00D15808">
        <w:rPr>
          <w:rFonts w:ascii="Garamond" w:hAnsi="Garamond"/>
          <w:iCs/>
          <w:color w:val="000000"/>
          <w:sz w:val="22"/>
          <w:szCs w:val="22"/>
        </w:rPr>
        <w:t xml:space="preserve"> mainly </w:t>
      </w:r>
      <w:r w:rsidR="00D15808">
        <w:rPr>
          <w:rFonts w:ascii="Garamond" w:hAnsi="Garamond"/>
          <w:iCs/>
          <w:color w:val="000000"/>
          <w:sz w:val="22"/>
          <w:szCs w:val="22"/>
        </w:rPr>
        <w:t xml:space="preserve">by increased </w:t>
      </w:r>
      <w:r w:rsidR="00D15808" w:rsidRPr="00D15808">
        <w:rPr>
          <w:rFonts w:ascii="Garamond" w:hAnsi="Garamond"/>
          <w:iCs/>
          <w:color w:val="000000"/>
          <w:sz w:val="22"/>
          <w:szCs w:val="22"/>
        </w:rPr>
        <w:t>import of in</w:t>
      </w:r>
      <w:r w:rsidR="00D15808">
        <w:rPr>
          <w:rFonts w:ascii="Garamond" w:hAnsi="Garamond"/>
          <w:iCs/>
          <w:color w:val="000000"/>
          <w:sz w:val="22"/>
          <w:szCs w:val="22"/>
        </w:rPr>
        <w:t>termediate goods</w:t>
      </w:r>
      <w:r w:rsidR="00D15808" w:rsidRPr="00D15808">
        <w:rPr>
          <w:rFonts w:ascii="Garamond" w:hAnsi="Garamond"/>
          <w:iCs/>
          <w:color w:val="000000"/>
          <w:sz w:val="22"/>
          <w:szCs w:val="22"/>
        </w:rPr>
        <w:t>.</w:t>
      </w:r>
      <w:r w:rsidR="00D15808">
        <w:rPr>
          <w:rFonts w:ascii="Garamond" w:hAnsi="Garamond"/>
          <w:iCs/>
          <w:color w:val="000000"/>
          <w:sz w:val="22"/>
          <w:szCs w:val="22"/>
        </w:rPr>
        <w:t xml:space="preserve"> The item “</w:t>
      </w:r>
      <w:r w:rsidR="00D15808" w:rsidRPr="00D15808">
        <w:rPr>
          <w:rFonts w:ascii="Garamond" w:hAnsi="Garamond"/>
          <w:iCs/>
          <w:color w:val="000000"/>
          <w:sz w:val="22"/>
          <w:szCs w:val="22"/>
        </w:rPr>
        <w:t>Pr</w:t>
      </w:r>
      <w:r w:rsidR="00D15808">
        <w:rPr>
          <w:rFonts w:ascii="Garamond" w:hAnsi="Garamond"/>
          <w:iCs/>
          <w:color w:val="000000"/>
          <w:sz w:val="22"/>
          <w:szCs w:val="22"/>
        </w:rPr>
        <w:t>oducts of pre</w:t>
      </w:r>
      <w:r w:rsidR="00D15808" w:rsidRPr="00D15808">
        <w:rPr>
          <w:rFonts w:ascii="Garamond" w:hAnsi="Garamond"/>
          <w:iCs/>
          <w:color w:val="000000"/>
          <w:sz w:val="22"/>
          <w:szCs w:val="22"/>
        </w:rPr>
        <w:t>pared food</w:t>
      </w:r>
      <w:r w:rsidR="00D15808">
        <w:rPr>
          <w:rFonts w:ascii="Garamond" w:hAnsi="Garamond"/>
          <w:iCs/>
          <w:color w:val="000000"/>
          <w:sz w:val="22"/>
          <w:szCs w:val="22"/>
        </w:rPr>
        <w:t xml:space="preserve">” also contributed to the import growth positively. In case </w:t>
      </w:r>
      <w:proofErr w:type="gramStart"/>
      <w:r w:rsidR="00D15808">
        <w:rPr>
          <w:rFonts w:ascii="Garamond" w:hAnsi="Garamond"/>
          <w:iCs/>
          <w:color w:val="000000"/>
          <w:sz w:val="22"/>
          <w:szCs w:val="22"/>
        </w:rPr>
        <w:t>such  dynamics</w:t>
      </w:r>
      <w:proofErr w:type="gramEnd"/>
      <w:r w:rsidR="00C7610B">
        <w:rPr>
          <w:rFonts w:ascii="Garamond" w:hAnsi="Garamond"/>
          <w:iCs/>
          <w:color w:val="000000"/>
          <w:sz w:val="22"/>
          <w:szCs w:val="22"/>
        </w:rPr>
        <w:t xml:space="preserve"> is maintained, there will be a </w:t>
      </w:r>
      <w:r w:rsidR="00C7610B" w:rsidRPr="00C7610B">
        <w:rPr>
          <w:rFonts w:ascii="Garamond" w:hAnsi="Garamond"/>
          <w:iCs/>
          <w:color w:val="000000"/>
          <w:sz w:val="22"/>
          <w:szCs w:val="22"/>
        </w:rPr>
        <w:t xml:space="preserve">zero </w:t>
      </w:r>
      <w:r w:rsidR="00C7610B">
        <w:rPr>
          <w:rFonts w:ascii="Garamond" w:hAnsi="Garamond"/>
          <w:iCs/>
          <w:color w:val="000000"/>
          <w:sz w:val="22"/>
          <w:szCs w:val="22"/>
        </w:rPr>
        <w:t xml:space="preserve">real </w:t>
      </w:r>
      <w:r w:rsidR="00C7610B" w:rsidRPr="00C7610B">
        <w:rPr>
          <w:rFonts w:ascii="Garamond" w:hAnsi="Garamond"/>
          <w:iCs/>
          <w:color w:val="000000"/>
          <w:sz w:val="22"/>
          <w:szCs w:val="22"/>
        </w:rPr>
        <w:t>growth in import of goods and services</w:t>
      </w:r>
      <w:r w:rsidR="00C7610B">
        <w:rPr>
          <w:rFonts w:ascii="Garamond" w:hAnsi="Garamond"/>
          <w:iCs/>
          <w:color w:val="000000"/>
          <w:sz w:val="22"/>
          <w:szCs w:val="22"/>
        </w:rPr>
        <w:t xml:space="preserve"> for 2016</w:t>
      </w:r>
      <w:r w:rsidR="00C7610B" w:rsidRPr="00C7610B">
        <w:rPr>
          <w:rFonts w:ascii="Garamond" w:hAnsi="Garamond"/>
          <w:iCs/>
          <w:color w:val="000000"/>
          <w:sz w:val="22"/>
          <w:szCs w:val="22"/>
        </w:rPr>
        <w:t>.</w:t>
      </w:r>
      <w:r w:rsidR="00D15808">
        <w:rPr>
          <w:rFonts w:ascii="Garamond" w:hAnsi="Garamond"/>
          <w:iCs/>
          <w:color w:val="000000"/>
          <w:sz w:val="22"/>
          <w:szCs w:val="22"/>
        </w:rPr>
        <w:t xml:space="preserve"> </w:t>
      </w:r>
    </w:p>
    <w:p w14:paraId="560EA661" w14:textId="77777777" w:rsidR="00D26F61" w:rsidRPr="00A32AB2" w:rsidRDefault="00D26F61" w:rsidP="00B117C8">
      <w:pPr>
        <w:spacing w:line="360" w:lineRule="auto"/>
        <w:jc w:val="both"/>
        <w:rPr>
          <w:rFonts w:ascii="Garamond" w:hAnsi="Garamond"/>
          <w:iCs/>
          <w:color w:val="000000"/>
          <w:sz w:val="22"/>
          <w:szCs w:val="22"/>
        </w:rPr>
      </w:pPr>
    </w:p>
    <w:p w14:paraId="0B11BF78" w14:textId="77777777" w:rsidR="00021FED" w:rsidRDefault="00DD675A" w:rsidP="00B117C8">
      <w:pPr>
        <w:spacing w:line="360" w:lineRule="auto"/>
        <w:jc w:val="both"/>
        <w:rPr>
          <w:rFonts w:ascii="Garamond" w:hAnsi="Garamond"/>
          <w:iCs/>
          <w:color w:val="000000"/>
          <w:sz w:val="22"/>
          <w:szCs w:val="22"/>
        </w:rPr>
      </w:pPr>
      <w:r w:rsidRPr="00A32AB2">
        <w:rPr>
          <w:rFonts w:ascii="Garamond" w:hAnsi="Garamond"/>
          <w:iCs/>
          <w:color w:val="000000"/>
          <w:sz w:val="22"/>
          <w:szCs w:val="22"/>
        </w:rPr>
        <w:t xml:space="preserve">The </w:t>
      </w:r>
      <w:r w:rsidR="00021FED">
        <w:rPr>
          <w:rFonts w:ascii="Garamond" w:hAnsi="Garamond"/>
          <w:iCs/>
          <w:color w:val="000000"/>
          <w:sz w:val="22"/>
          <w:szCs w:val="22"/>
        </w:rPr>
        <w:t xml:space="preserve">developments with </w:t>
      </w:r>
      <w:r w:rsidR="0037593B" w:rsidRPr="00A32AB2">
        <w:rPr>
          <w:rFonts w:ascii="Garamond" w:hAnsi="Garamond"/>
          <w:iCs/>
          <w:color w:val="000000"/>
          <w:sz w:val="22"/>
          <w:szCs w:val="22"/>
        </w:rPr>
        <w:t xml:space="preserve">remittances </w:t>
      </w:r>
      <w:r w:rsidR="00021FED">
        <w:rPr>
          <w:rFonts w:ascii="Garamond" w:hAnsi="Garamond"/>
          <w:iCs/>
          <w:color w:val="000000"/>
          <w:sz w:val="22"/>
          <w:szCs w:val="22"/>
        </w:rPr>
        <w:t>are in line with the forecasts,</w:t>
      </w:r>
      <w:r w:rsidR="0037593B" w:rsidRPr="00A32AB2">
        <w:rPr>
          <w:rFonts w:ascii="Garamond" w:hAnsi="Garamond"/>
          <w:iCs/>
          <w:color w:val="000000"/>
          <w:sz w:val="22"/>
          <w:szCs w:val="22"/>
        </w:rPr>
        <w:t xml:space="preserve"> which means that the narrowing of net inflow of remittances will be in the range of 6.0-8.0%</w:t>
      </w:r>
      <w:r w:rsidR="00021FED">
        <w:rPr>
          <w:rFonts w:ascii="Garamond" w:hAnsi="Garamond"/>
          <w:iCs/>
          <w:color w:val="000000"/>
          <w:sz w:val="22"/>
          <w:szCs w:val="22"/>
        </w:rPr>
        <w:t xml:space="preserve"> for 2016.</w:t>
      </w:r>
    </w:p>
    <w:p w14:paraId="42EB051B" w14:textId="77777777" w:rsidR="00021FED" w:rsidRDefault="00021FED" w:rsidP="00B117C8">
      <w:pPr>
        <w:spacing w:line="360" w:lineRule="auto"/>
        <w:jc w:val="both"/>
        <w:rPr>
          <w:rFonts w:ascii="Garamond" w:hAnsi="Garamond"/>
          <w:iCs/>
          <w:color w:val="000000"/>
          <w:sz w:val="22"/>
          <w:szCs w:val="22"/>
        </w:rPr>
      </w:pPr>
    </w:p>
    <w:p w14:paraId="4D2FC495" w14:textId="77777777" w:rsidR="00DD675A" w:rsidRPr="00A32AB2" w:rsidRDefault="009E2E4A" w:rsidP="00B117C8">
      <w:pPr>
        <w:spacing w:line="360" w:lineRule="auto"/>
        <w:jc w:val="both"/>
        <w:rPr>
          <w:rFonts w:ascii="Garamond" w:hAnsi="Garamond"/>
          <w:iCs/>
          <w:color w:val="000000"/>
          <w:sz w:val="22"/>
          <w:szCs w:val="22"/>
        </w:rPr>
      </w:pPr>
      <w:r>
        <w:rPr>
          <w:rFonts w:ascii="Garamond" w:hAnsi="Garamond"/>
          <w:iCs/>
          <w:color w:val="000000"/>
          <w:sz w:val="22"/>
          <w:szCs w:val="22"/>
        </w:rPr>
        <w:t>In 2017, w</w:t>
      </w:r>
      <w:r w:rsidR="00021FED" w:rsidRPr="00021FED">
        <w:rPr>
          <w:rFonts w:ascii="Garamond" w:hAnsi="Garamond"/>
          <w:iCs/>
          <w:color w:val="000000"/>
          <w:sz w:val="22"/>
          <w:szCs w:val="22"/>
        </w:rPr>
        <w:t xml:space="preserve">eak global demand, </w:t>
      </w:r>
      <w:r>
        <w:rPr>
          <w:rFonts w:ascii="Garamond" w:hAnsi="Garamond"/>
          <w:iCs/>
          <w:color w:val="000000"/>
          <w:sz w:val="22"/>
          <w:szCs w:val="22"/>
        </w:rPr>
        <w:t xml:space="preserve">international metal prices </w:t>
      </w:r>
      <w:r w:rsidR="00021FED">
        <w:rPr>
          <w:rFonts w:ascii="Garamond" w:hAnsi="Garamond"/>
          <w:iCs/>
          <w:color w:val="000000"/>
          <w:sz w:val="22"/>
          <w:szCs w:val="22"/>
        </w:rPr>
        <w:t xml:space="preserve">persistently </w:t>
      </w:r>
      <w:r>
        <w:rPr>
          <w:rFonts w:ascii="Garamond" w:hAnsi="Garamond"/>
          <w:iCs/>
          <w:color w:val="000000"/>
          <w:sz w:val="22"/>
          <w:szCs w:val="22"/>
        </w:rPr>
        <w:t xml:space="preserve">at </w:t>
      </w:r>
      <w:r w:rsidR="00021FED" w:rsidRPr="00021FED">
        <w:rPr>
          <w:rFonts w:ascii="Garamond" w:hAnsi="Garamond"/>
          <w:iCs/>
          <w:color w:val="000000"/>
          <w:sz w:val="22"/>
          <w:szCs w:val="22"/>
        </w:rPr>
        <w:t xml:space="preserve">low </w:t>
      </w:r>
      <w:r>
        <w:rPr>
          <w:rFonts w:ascii="Garamond" w:hAnsi="Garamond"/>
          <w:iCs/>
          <w:color w:val="000000"/>
          <w:sz w:val="22"/>
          <w:szCs w:val="22"/>
        </w:rPr>
        <w:t xml:space="preserve">levels </w:t>
      </w:r>
      <w:r w:rsidR="00021FED" w:rsidRPr="00021FED">
        <w:rPr>
          <w:rFonts w:ascii="Garamond" w:hAnsi="Garamond"/>
          <w:iCs/>
          <w:color w:val="000000"/>
          <w:sz w:val="22"/>
          <w:szCs w:val="22"/>
        </w:rPr>
        <w:t xml:space="preserve">and </w:t>
      </w:r>
      <w:r>
        <w:rPr>
          <w:rFonts w:ascii="Garamond" w:hAnsi="Garamond"/>
          <w:iCs/>
          <w:color w:val="000000"/>
          <w:sz w:val="22"/>
          <w:szCs w:val="22"/>
        </w:rPr>
        <w:t xml:space="preserve">slackening of high </w:t>
      </w:r>
      <w:r w:rsidR="00021FED" w:rsidRPr="00021FED">
        <w:rPr>
          <w:rFonts w:ascii="Garamond" w:hAnsi="Garamond"/>
          <w:iCs/>
          <w:color w:val="000000"/>
          <w:sz w:val="22"/>
          <w:szCs w:val="22"/>
        </w:rPr>
        <w:t xml:space="preserve">growth rates </w:t>
      </w:r>
      <w:r>
        <w:rPr>
          <w:rFonts w:ascii="Garamond" w:hAnsi="Garamond"/>
          <w:iCs/>
          <w:color w:val="000000"/>
          <w:sz w:val="22"/>
          <w:szCs w:val="22"/>
        </w:rPr>
        <w:t>in</w:t>
      </w:r>
      <w:r w:rsidR="00021FED" w:rsidRPr="00021FED">
        <w:rPr>
          <w:rFonts w:ascii="Garamond" w:hAnsi="Garamond"/>
          <w:iCs/>
          <w:color w:val="000000"/>
          <w:sz w:val="22"/>
          <w:szCs w:val="22"/>
        </w:rPr>
        <w:t xml:space="preserve"> industry will lead to a slowdown in export growth of goods and services, which is forecast to</w:t>
      </w:r>
      <w:r>
        <w:rPr>
          <w:rFonts w:ascii="Garamond" w:hAnsi="Garamond"/>
          <w:iCs/>
          <w:color w:val="000000"/>
          <w:sz w:val="22"/>
          <w:szCs w:val="22"/>
        </w:rPr>
        <w:t xml:space="preserve"> be in the range of</w:t>
      </w:r>
      <w:r w:rsidR="00021FED" w:rsidRPr="00021FED">
        <w:rPr>
          <w:rFonts w:ascii="Garamond" w:hAnsi="Garamond"/>
          <w:iCs/>
          <w:color w:val="000000"/>
          <w:sz w:val="22"/>
          <w:szCs w:val="22"/>
        </w:rPr>
        <w:t xml:space="preserve"> 4.0-6.0%. The growth of import of goods and services</w:t>
      </w:r>
      <w:r w:rsidR="0048633B">
        <w:rPr>
          <w:rFonts w:ascii="Garamond" w:hAnsi="Garamond"/>
          <w:iCs/>
          <w:color w:val="000000"/>
          <w:sz w:val="22"/>
          <w:szCs w:val="22"/>
        </w:rPr>
        <w:t xml:space="preserve"> will remain </w:t>
      </w:r>
      <w:r w:rsidR="0048633B" w:rsidRPr="00021FED">
        <w:rPr>
          <w:rFonts w:ascii="Garamond" w:hAnsi="Garamond"/>
          <w:iCs/>
          <w:color w:val="000000"/>
          <w:sz w:val="22"/>
          <w:szCs w:val="22"/>
        </w:rPr>
        <w:t>low, 0-2.0%</w:t>
      </w:r>
      <w:r w:rsidR="0048633B">
        <w:rPr>
          <w:rFonts w:ascii="Garamond" w:hAnsi="Garamond"/>
          <w:iCs/>
          <w:color w:val="000000"/>
          <w:sz w:val="22"/>
          <w:szCs w:val="22"/>
        </w:rPr>
        <w:t xml:space="preserve">, under persisting </w:t>
      </w:r>
      <w:r w:rsidR="00021FED" w:rsidRPr="00021FED">
        <w:rPr>
          <w:rFonts w:ascii="Garamond" w:hAnsi="Garamond"/>
          <w:iCs/>
          <w:color w:val="000000"/>
          <w:sz w:val="22"/>
          <w:szCs w:val="22"/>
        </w:rPr>
        <w:t>weak domestic demand.</w:t>
      </w:r>
      <w:r w:rsidR="0037593B" w:rsidRPr="00A32AB2">
        <w:rPr>
          <w:rFonts w:ascii="Garamond" w:hAnsi="Garamond"/>
          <w:iCs/>
          <w:color w:val="000000"/>
          <w:sz w:val="22"/>
          <w:szCs w:val="22"/>
        </w:rPr>
        <w:t xml:space="preserve"> </w:t>
      </w:r>
    </w:p>
    <w:p w14:paraId="3C9577EC" w14:textId="77777777" w:rsidR="00D76692" w:rsidRPr="00A32AB2" w:rsidRDefault="00D76692" w:rsidP="00B117C8">
      <w:pPr>
        <w:spacing w:line="360" w:lineRule="auto"/>
        <w:jc w:val="both"/>
        <w:rPr>
          <w:rFonts w:ascii="Garamond" w:hAnsi="Garamond"/>
          <w:iCs/>
          <w:color w:val="000000"/>
          <w:sz w:val="22"/>
          <w:szCs w:val="22"/>
        </w:rPr>
      </w:pPr>
    </w:p>
    <w:p w14:paraId="4D2672DF" w14:textId="77777777" w:rsidR="0048633B" w:rsidRDefault="0048633B" w:rsidP="00B117C8">
      <w:pPr>
        <w:spacing w:line="360" w:lineRule="auto"/>
        <w:jc w:val="both"/>
        <w:rPr>
          <w:rFonts w:ascii="Garamond" w:hAnsi="Garamond"/>
          <w:iCs/>
          <w:sz w:val="22"/>
          <w:szCs w:val="22"/>
        </w:rPr>
      </w:pPr>
      <w:r>
        <w:rPr>
          <w:rFonts w:ascii="Garamond" w:hAnsi="Garamond"/>
          <w:iCs/>
          <w:sz w:val="22"/>
          <w:szCs w:val="22"/>
        </w:rPr>
        <w:t xml:space="preserve">The inflow of remittances of individuals </w:t>
      </w:r>
      <w:r w:rsidRPr="0048633B">
        <w:rPr>
          <w:rFonts w:ascii="Garamond" w:hAnsi="Garamond"/>
          <w:iCs/>
          <w:sz w:val="22"/>
          <w:szCs w:val="22"/>
        </w:rPr>
        <w:t>will be restored in 2017</w:t>
      </w:r>
      <w:r>
        <w:rPr>
          <w:rFonts w:ascii="Garamond" w:hAnsi="Garamond"/>
          <w:iCs/>
          <w:sz w:val="22"/>
          <w:szCs w:val="22"/>
        </w:rPr>
        <w:t xml:space="preserve"> a</w:t>
      </w:r>
      <w:r w:rsidR="00656D9F">
        <w:rPr>
          <w:rFonts w:ascii="Garamond" w:hAnsi="Garamond"/>
          <w:iCs/>
          <w:sz w:val="22"/>
          <w:szCs w:val="22"/>
        </w:rPr>
        <w:t xml:space="preserve">fter </w:t>
      </w:r>
      <w:r>
        <w:rPr>
          <w:rFonts w:ascii="Garamond" w:hAnsi="Garamond"/>
          <w:iCs/>
          <w:sz w:val="22"/>
          <w:szCs w:val="22"/>
        </w:rPr>
        <w:t xml:space="preserve">predicted </w:t>
      </w:r>
      <w:r w:rsidRPr="0048633B">
        <w:rPr>
          <w:rFonts w:ascii="Garamond" w:hAnsi="Garamond"/>
          <w:iCs/>
          <w:sz w:val="22"/>
          <w:szCs w:val="22"/>
        </w:rPr>
        <w:t xml:space="preserve">recovery of the Russian economy. In this case, the growth of remittances is forecast to </w:t>
      </w:r>
      <w:r w:rsidR="00656D9F">
        <w:rPr>
          <w:rFonts w:ascii="Garamond" w:hAnsi="Garamond"/>
          <w:iCs/>
          <w:sz w:val="22"/>
          <w:szCs w:val="22"/>
        </w:rPr>
        <w:t xml:space="preserve">be within </w:t>
      </w:r>
      <w:r w:rsidRPr="0048633B">
        <w:rPr>
          <w:rFonts w:ascii="Garamond" w:hAnsi="Garamond"/>
          <w:iCs/>
          <w:sz w:val="22"/>
          <w:szCs w:val="22"/>
        </w:rPr>
        <w:t>4.0-6.0%.</w:t>
      </w:r>
    </w:p>
    <w:p w14:paraId="5711C28E" w14:textId="77777777" w:rsidR="0048633B" w:rsidRDefault="0048633B" w:rsidP="00B117C8">
      <w:pPr>
        <w:spacing w:line="360" w:lineRule="auto"/>
        <w:jc w:val="both"/>
        <w:rPr>
          <w:rFonts w:ascii="Garamond" w:hAnsi="Garamond"/>
          <w:iCs/>
          <w:sz w:val="22"/>
          <w:szCs w:val="22"/>
        </w:rPr>
      </w:pPr>
    </w:p>
    <w:p w14:paraId="5F61B0DA" w14:textId="77777777" w:rsidR="00D76692" w:rsidRPr="00A32AB2" w:rsidRDefault="00CB1B9E" w:rsidP="00B117C8">
      <w:pPr>
        <w:spacing w:line="360" w:lineRule="auto"/>
        <w:jc w:val="both"/>
        <w:rPr>
          <w:rFonts w:ascii="Garamond" w:hAnsi="Garamond"/>
          <w:iCs/>
          <w:sz w:val="22"/>
          <w:szCs w:val="22"/>
        </w:rPr>
      </w:pPr>
      <w:r>
        <w:rPr>
          <w:rFonts w:ascii="Garamond" w:hAnsi="Garamond"/>
          <w:iCs/>
          <w:sz w:val="22"/>
          <w:szCs w:val="22"/>
        </w:rPr>
        <w:t>In view of t</w:t>
      </w:r>
      <w:r w:rsidR="00D76692" w:rsidRPr="00A32AB2">
        <w:rPr>
          <w:rFonts w:ascii="Garamond" w:hAnsi="Garamond"/>
          <w:iCs/>
          <w:sz w:val="22"/>
          <w:szCs w:val="22"/>
        </w:rPr>
        <w:t xml:space="preserve">he </w:t>
      </w:r>
      <w:r>
        <w:rPr>
          <w:rFonts w:ascii="Garamond" w:hAnsi="Garamond"/>
          <w:iCs/>
          <w:sz w:val="22"/>
          <w:szCs w:val="22"/>
        </w:rPr>
        <w:t>forecasts mentioned above, th</w:t>
      </w:r>
      <w:r w:rsidR="00D76692" w:rsidRPr="00A32AB2">
        <w:rPr>
          <w:rFonts w:ascii="Garamond" w:hAnsi="Garamond"/>
          <w:iCs/>
          <w:sz w:val="22"/>
          <w:szCs w:val="22"/>
        </w:rPr>
        <w:t xml:space="preserve">e current account deficit-to-GDP ratio will </w:t>
      </w:r>
      <w:r>
        <w:rPr>
          <w:rFonts w:ascii="Garamond" w:hAnsi="Garamond"/>
          <w:iCs/>
          <w:sz w:val="22"/>
          <w:szCs w:val="22"/>
        </w:rPr>
        <w:t xml:space="preserve">run </w:t>
      </w:r>
      <w:r w:rsidR="00535682" w:rsidRPr="00A32AB2">
        <w:rPr>
          <w:rFonts w:ascii="Garamond" w:hAnsi="Garamond"/>
          <w:iCs/>
          <w:sz w:val="22"/>
          <w:szCs w:val="22"/>
        </w:rPr>
        <w:t xml:space="preserve">in the range of </w:t>
      </w:r>
      <w:r>
        <w:rPr>
          <w:rFonts w:ascii="Garamond" w:hAnsi="Garamond"/>
          <w:iCs/>
          <w:sz w:val="22"/>
          <w:szCs w:val="22"/>
        </w:rPr>
        <w:t>1</w:t>
      </w:r>
      <w:r w:rsidR="00535682" w:rsidRPr="00A32AB2">
        <w:rPr>
          <w:rFonts w:ascii="Garamond" w:hAnsi="Garamond"/>
          <w:iCs/>
          <w:sz w:val="22"/>
          <w:szCs w:val="22"/>
        </w:rPr>
        <w:t>.</w:t>
      </w:r>
      <w:r>
        <w:rPr>
          <w:rFonts w:ascii="Garamond" w:hAnsi="Garamond"/>
          <w:iCs/>
          <w:sz w:val="22"/>
          <w:szCs w:val="22"/>
        </w:rPr>
        <w:t>5</w:t>
      </w:r>
      <w:r w:rsidR="00535682" w:rsidRPr="00A32AB2">
        <w:rPr>
          <w:rFonts w:ascii="Garamond" w:hAnsi="Garamond"/>
          <w:iCs/>
          <w:sz w:val="22"/>
          <w:szCs w:val="22"/>
        </w:rPr>
        <w:t>-</w:t>
      </w:r>
      <w:r>
        <w:rPr>
          <w:rFonts w:ascii="Garamond" w:hAnsi="Garamond"/>
          <w:iCs/>
          <w:sz w:val="22"/>
          <w:szCs w:val="22"/>
        </w:rPr>
        <w:t>2</w:t>
      </w:r>
      <w:r w:rsidR="00535682" w:rsidRPr="00A32AB2">
        <w:rPr>
          <w:rFonts w:ascii="Garamond" w:hAnsi="Garamond"/>
          <w:iCs/>
          <w:sz w:val="22"/>
          <w:szCs w:val="22"/>
        </w:rPr>
        <w:t>.</w:t>
      </w:r>
      <w:r>
        <w:rPr>
          <w:rFonts w:ascii="Garamond" w:hAnsi="Garamond"/>
          <w:iCs/>
          <w:sz w:val="22"/>
          <w:szCs w:val="22"/>
        </w:rPr>
        <w:t>5</w:t>
      </w:r>
      <w:r w:rsidR="00535682" w:rsidRPr="00A32AB2">
        <w:rPr>
          <w:rFonts w:ascii="Garamond" w:hAnsi="Garamond"/>
          <w:iCs/>
          <w:sz w:val="22"/>
          <w:szCs w:val="22"/>
        </w:rPr>
        <w:t xml:space="preserve">% </w:t>
      </w:r>
      <w:r>
        <w:rPr>
          <w:rFonts w:ascii="Garamond" w:hAnsi="Garamond"/>
          <w:iCs/>
          <w:sz w:val="22"/>
          <w:szCs w:val="22"/>
        </w:rPr>
        <w:t>in</w:t>
      </w:r>
      <w:r w:rsidR="00535682" w:rsidRPr="00A32AB2">
        <w:rPr>
          <w:rFonts w:ascii="Garamond" w:hAnsi="Garamond"/>
          <w:iCs/>
          <w:sz w:val="22"/>
          <w:szCs w:val="22"/>
        </w:rPr>
        <w:t xml:space="preserve"> 201</w:t>
      </w:r>
      <w:r>
        <w:rPr>
          <w:rFonts w:ascii="Garamond" w:hAnsi="Garamond"/>
          <w:iCs/>
          <w:sz w:val="22"/>
          <w:szCs w:val="22"/>
        </w:rPr>
        <w:t>7</w:t>
      </w:r>
      <w:r w:rsidR="00D76692" w:rsidRPr="00A32AB2">
        <w:rPr>
          <w:rFonts w:ascii="Garamond" w:hAnsi="Garamond"/>
          <w:iCs/>
          <w:sz w:val="22"/>
          <w:szCs w:val="22"/>
        </w:rPr>
        <w:t xml:space="preserve">. Given </w:t>
      </w:r>
      <w:r w:rsidR="00AB2767">
        <w:rPr>
          <w:rFonts w:ascii="Garamond" w:hAnsi="Garamond"/>
          <w:iCs/>
          <w:sz w:val="22"/>
          <w:szCs w:val="22"/>
        </w:rPr>
        <w:t xml:space="preserve">the </w:t>
      </w:r>
      <w:r w:rsidR="00D76692" w:rsidRPr="00A32AB2">
        <w:rPr>
          <w:rFonts w:ascii="Garamond" w:hAnsi="Garamond"/>
          <w:iCs/>
          <w:sz w:val="22"/>
          <w:szCs w:val="22"/>
        </w:rPr>
        <w:t>domestic demand</w:t>
      </w:r>
      <w:r w:rsidR="00AB2767">
        <w:rPr>
          <w:rFonts w:ascii="Garamond" w:hAnsi="Garamond"/>
          <w:iCs/>
          <w:sz w:val="22"/>
          <w:szCs w:val="22"/>
        </w:rPr>
        <w:t xml:space="preserve"> slowly recovers in</w:t>
      </w:r>
      <w:r w:rsidR="00AB2767" w:rsidRPr="00A32AB2">
        <w:rPr>
          <w:rFonts w:ascii="Garamond" w:hAnsi="Garamond"/>
          <w:iCs/>
          <w:sz w:val="22"/>
          <w:szCs w:val="22"/>
        </w:rPr>
        <w:t xml:space="preserve"> the medium run</w:t>
      </w:r>
      <w:r w:rsidR="00D76692" w:rsidRPr="00A32AB2">
        <w:rPr>
          <w:rFonts w:ascii="Garamond" w:hAnsi="Garamond"/>
          <w:iCs/>
          <w:sz w:val="22"/>
          <w:szCs w:val="22"/>
        </w:rPr>
        <w:t xml:space="preserve">, the current account deficit-to-GDP ratio </w:t>
      </w:r>
      <w:r w:rsidR="00AB2767">
        <w:rPr>
          <w:rFonts w:ascii="Garamond" w:hAnsi="Garamond"/>
          <w:iCs/>
          <w:sz w:val="22"/>
          <w:szCs w:val="22"/>
        </w:rPr>
        <w:t xml:space="preserve">is expected to </w:t>
      </w:r>
      <w:r w:rsidR="00D76692" w:rsidRPr="00A32AB2">
        <w:rPr>
          <w:rFonts w:ascii="Garamond" w:hAnsi="Garamond"/>
          <w:iCs/>
          <w:sz w:val="22"/>
          <w:szCs w:val="22"/>
        </w:rPr>
        <w:t xml:space="preserve">stabilize </w:t>
      </w:r>
      <w:r w:rsidR="00AB2767">
        <w:rPr>
          <w:rFonts w:ascii="Garamond" w:hAnsi="Garamond"/>
          <w:iCs/>
          <w:sz w:val="22"/>
          <w:szCs w:val="22"/>
        </w:rPr>
        <w:t>within 1</w:t>
      </w:r>
      <w:r w:rsidR="00D76692" w:rsidRPr="00A32AB2">
        <w:rPr>
          <w:rFonts w:ascii="Garamond" w:hAnsi="Garamond"/>
          <w:iCs/>
          <w:sz w:val="22"/>
          <w:szCs w:val="22"/>
        </w:rPr>
        <w:t>.0-</w:t>
      </w:r>
      <w:r w:rsidR="00AB2767">
        <w:rPr>
          <w:rFonts w:ascii="Garamond" w:hAnsi="Garamond"/>
          <w:iCs/>
          <w:sz w:val="22"/>
          <w:szCs w:val="22"/>
        </w:rPr>
        <w:t>2</w:t>
      </w:r>
      <w:r w:rsidR="00D76692" w:rsidRPr="00A32AB2">
        <w:rPr>
          <w:rFonts w:ascii="Garamond" w:hAnsi="Garamond"/>
          <w:iCs/>
          <w:sz w:val="22"/>
          <w:szCs w:val="22"/>
        </w:rPr>
        <w:t>.0%.</w:t>
      </w:r>
    </w:p>
    <w:p w14:paraId="41CA9148" w14:textId="77777777" w:rsidR="00FF79BC" w:rsidRPr="00A32AB2" w:rsidRDefault="00FF79BC" w:rsidP="00B117C8">
      <w:pPr>
        <w:spacing w:line="360" w:lineRule="auto"/>
        <w:jc w:val="both"/>
        <w:rPr>
          <w:rFonts w:ascii="Garamond" w:hAnsi="Garamond"/>
          <w:iCs/>
          <w:sz w:val="22"/>
          <w:szCs w:val="22"/>
        </w:rPr>
      </w:pPr>
    </w:p>
    <w:p w14:paraId="13345B30" w14:textId="77777777" w:rsidR="009659DF" w:rsidRDefault="00FF79BC" w:rsidP="00B117C8">
      <w:pPr>
        <w:spacing w:line="360" w:lineRule="auto"/>
        <w:jc w:val="both"/>
        <w:rPr>
          <w:rFonts w:ascii="Garamond" w:hAnsi="Garamond"/>
          <w:bCs/>
          <w:iCs/>
          <w:sz w:val="22"/>
          <w:szCs w:val="22"/>
        </w:rPr>
      </w:pPr>
      <w:r w:rsidRPr="00A32AB2">
        <w:rPr>
          <w:rFonts w:ascii="Garamond" w:hAnsi="Garamond"/>
          <w:bCs/>
          <w:iCs/>
          <w:sz w:val="22"/>
          <w:szCs w:val="22"/>
        </w:rPr>
        <w:t xml:space="preserve">The </w:t>
      </w:r>
      <w:r w:rsidRPr="00A32AB2">
        <w:rPr>
          <w:rFonts w:ascii="Garamond" w:hAnsi="Garamond"/>
          <w:b/>
          <w:bCs/>
          <w:iCs/>
          <w:sz w:val="22"/>
          <w:szCs w:val="22"/>
        </w:rPr>
        <w:t xml:space="preserve">fiscal policy’s </w:t>
      </w:r>
      <w:r w:rsidR="001A2F04">
        <w:rPr>
          <w:rFonts w:ascii="Garamond" w:hAnsi="Garamond"/>
          <w:b/>
          <w:bCs/>
          <w:iCs/>
          <w:sz w:val="22"/>
          <w:szCs w:val="22"/>
        </w:rPr>
        <w:t xml:space="preserve">forecast horizon </w:t>
      </w:r>
      <w:r w:rsidR="001A2F04">
        <w:rPr>
          <w:rFonts w:ascii="Garamond" w:hAnsi="Garamond"/>
          <w:bCs/>
          <w:iCs/>
          <w:sz w:val="22"/>
          <w:szCs w:val="22"/>
        </w:rPr>
        <w:t xml:space="preserve">is based on </w:t>
      </w:r>
      <w:r w:rsidRPr="00A32AB2">
        <w:rPr>
          <w:rFonts w:ascii="Garamond" w:hAnsi="Garamond"/>
          <w:bCs/>
          <w:iCs/>
          <w:sz w:val="22"/>
          <w:szCs w:val="22"/>
        </w:rPr>
        <w:t xml:space="preserve">the </w:t>
      </w:r>
      <w:r w:rsidR="009659DF">
        <w:rPr>
          <w:rFonts w:ascii="Garamond" w:hAnsi="Garamond"/>
          <w:bCs/>
          <w:iCs/>
          <w:sz w:val="22"/>
          <w:szCs w:val="22"/>
        </w:rPr>
        <w:t xml:space="preserve">macroeconomic indicators which underlie </w:t>
      </w:r>
      <w:r w:rsidR="009659DF" w:rsidRPr="00A32AB2">
        <w:rPr>
          <w:rFonts w:ascii="Garamond" w:hAnsi="Garamond" w:cs="Sylfaen"/>
          <w:iCs/>
          <w:color w:val="000000"/>
          <w:sz w:val="22"/>
          <w:szCs w:val="22"/>
        </w:rPr>
        <w:t xml:space="preserve">the </w:t>
      </w:r>
      <w:r w:rsidR="009659DF" w:rsidRPr="00A32AB2">
        <w:rPr>
          <w:rFonts w:ascii="Garamond" w:hAnsi="Garamond"/>
          <w:bCs/>
          <w:iCs/>
          <w:sz w:val="22"/>
          <w:szCs w:val="22"/>
        </w:rPr>
        <w:t>Republic of Armenia “Medium-Term Public Expenditures Program for 2017-2019”</w:t>
      </w:r>
      <w:r w:rsidR="009659DF">
        <w:rPr>
          <w:rFonts w:ascii="Garamond" w:hAnsi="Garamond"/>
          <w:bCs/>
          <w:iCs/>
          <w:sz w:val="22"/>
          <w:szCs w:val="22"/>
        </w:rPr>
        <w:t xml:space="preserve"> and on the draft law on </w:t>
      </w:r>
      <w:r w:rsidRPr="00A32AB2">
        <w:rPr>
          <w:rFonts w:ascii="Garamond" w:hAnsi="Garamond"/>
          <w:bCs/>
          <w:iCs/>
          <w:sz w:val="22"/>
          <w:szCs w:val="22"/>
        </w:rPr>
        <w:t>“State Budget 201</w:t>
      </w:r>
      <w:r w:rsidR="009659DF">
        <w:rPr>
          <w:rFonts w:ascii="Garamond" w:hAnsi="Garamond"/>
          <w:bCs/>
          <w:iCs/>
          <w:sz w:val="22"/>
          <w:szCs w:val="22"/>
        </w:rPr>
        <w:t>7</w:t>
      </w:r>
      <w:r w:rsidRPr="00A32AB2">
        <w:rPr>
          <w:rFonts w:ascii="Garamond" w:hAnsi="Garamond"/>
          <w:bCs/>
          <w:iCs/>
          <w:sz w:val="22"/>
          <w:szCs w:val="22"/>
        </w:rPr>
        <w:t>”</w:t>
      </w:r>
      <w:r w:rsidR="009659DF">
        <w:rPr>
          <w:rFonts w:ascii="Garamond" w:hAnsi="Garamond"/>
          <w:bCs/>
          <w:iCs/>
          <w:sz w:val="22"/>
          <w:szCs w:val="22"/>
        </w:rPr>
        <w:t>.</w:t>
      </w:r>
      <w:r w:rsidR="00AF1697" w:rsidRPr="00A32AB2">
        <w:rPr>
          <w:rFonts w:ascii="Garamond" w:hAnsi="Garamond"/>
          <w:bCs/>
          <w:iCs/>
          <w:sz w:val="22"/>
          <w:szCs w:val="22"/>
        </w:rPr>
        <w:t xml:space="preserve"> </w:t>
      </w:r>
    </w:p>
    <w:p w14:paraId="5A9B06B8" w14:textId="77777777" w:rsidR="009659DF" w:rsidRDefault="009659DF" w:rsidP="00B117C8">
      <w:pPr>
        <w:spacing w:line="360" w:lineRule="auto"/>
        <w:jc w:val="both"/>
        <w:rPr>
          <w:rFonts w:ascii="Garamond" w:hAnsi="Garamond"/>
          <w:bCs/>
          <w:iCs/>
          <w:sz w:val="22"/>
          <w:szCs w:val="22"/>
        </w:rPr>
      </w:pPr>
    </w:p>
    <w:p w14:paraId="085DA939" w14:textId="1BF14FE9" w:rsidR="00CE19EB" w:rsidRPr="00A32AB2" w:rsidRDefault="00CE19EB" w:rsidP="00CE19EB">
      <w:pPr>
        <w:spacing w:line="360" w:lineRule="auto"/>
        <w:jc w:val="both"/>
        <w:rPr>
          <w:rFonts w:ascii="Garamond" w:hAnsi="Garamond"/>
          <w:bCs/>
          <w:iCs/>
          <w:sz w:val="22"/>
          <w:szCs w:val="22"/>
        </w:rPr>
      </w:pPr>
      <w:r>
        <w:rPr>
          <w:rFonts w:ascii="Garamond" w:hAnsi="Garamond" w:cs="Sylfaen"/>
          <w:iCs/>
          <w:color w:val="000000"/>
          <w:sz w:val="22"/>
          <w:szCs w:val="22"/>
        </w:rPr>
        <w:t>For</w:t>
      </w:r>
      <w:r w:rsidR="00D17C48" w:rsidRPr="00A32AB2">
        <w:rPr>
          <w:rFonts w:ascii="Garamond" w:hAnsi="Garamond" w:cs="Sylfaen"/>
          <w:iCs/>
          <w:color w:val="000000"/>
          <w:sz w:val="22"/>
          <w:szCs w:val="22"/>
        </w:rPr>
        <w:t xml:space="preserve"> 2016</w:t>
      </w:r>
      <w:r w:rsidR="00F50850" w:rsidRPr="00A32AB2">
        <w:rPr>
          <w:rFonts w:ascii="Garamond" w:hAnsi="Garamond" w:cs="Sylfaen"/>
          <w:iCs/>
          <w:color w:val="000000"/>
          <w:sz w:val="22"/>
          <w:szCs w:val="22"/>
        </w:rPr>
        <w:t>,</w:t>
      </w:r>
      <w:r w:rsidR="00D3403C" w:rsidRPr="00A32AB2">
        <w:rPr>
          <w:rFonts w:ascii="Garamond" w:hAnsi="Garamond" w:cs="Sylfaen"/>
          <w:iCs/>
          <w:color w:val="000000"/>
          <w:sz w:val="22"/>
          <w:szCs w:val="22"/>
        </w:rPr>
        <w:t xml:space="preserve"> </w:t>
      </w:r>
      <w:r w:rsidR="00D17C48" w:rsidRPr="00A32AB2">
        <w:rPr>
          <w:rFonts w:ascii="Garamond" w:hAnsi="Garamond" w:cs="Sylfaen"/>
          <w:iCs/>
          <w:color w:val="000000"/>
          <w:sz w:val="22"/>
          <w:szCs w:val="22"/>
        </w:rPr>
        <w:t xml:space="preserve">the </w:t>
      </w:r>
      <w:r>
        <w:rPr>
          <w:rFonts w:ascii="Garamond" w:hAnsi="Garamond" w:cs="Sylfaen"/>
          <w:iCs/>
          <w:color w:val="000000"/>
          <w:sz w:val="22"/>
          <w:szCs w:val="22"/>
        </w:rPr>
        <w:t xml:space="preserve">fiscal policy is predicted to </w:t>
      </w:r>
      <w:r w:rsidR="00F50850" w:rsidRPr="00A32AB2">
        <w:rPr>
          <w:rFonts w:ascii="Garamond" w:hAnsi="Garamond" w:cs="Sylfaen"/>
          <w:iCs/>
          <w:color w:val="000000"/>
          <w:sz w:val="22"/>
          <w:szCs w:val="22"/>
        </w:rPr>
        <w:t xml:space="preserve">leave </w:t>
      </w:r>
      <w:r>
        <w:rPr>
          <w:rFonts w:ascii="Garamond" w:hAnsi="Garamond" w:cs="Sylfaen"/>
          <w:iCs/>
          <w:color w:val="000000"/>
          <w:sz w:val="22"/>
          <w:szCs w:val="22"/>
        </w:rPr>
        <w:t xml:space="preserve">0.8 </w:t>
      </w:r>
      <w:r w:rsidR="00D256FE" w:rsidRPr="00A32AB2">
        <w:rPr>
          <w:rFonts w:ascii="Garamond" w:hAnsi="Garamond" w:cs="Sylfaen"/>
          <w:iCs/>
          <w:color w:val="000000"/>
          <w:sz w:val="22"/>
          <w:szCs w:val="22"/>
        </w:rPr>
        <w:t xml:space="preserve">expansionary </w:t>
      </w:r>
      <w:r w:rsidR="00D3403C" w:rsidRPr="00A32AB2">
        <w:rPr>
          <w:rFonts w:ascii="Garamond" w:hAnsi="Garamond" w:cs="Sylfaen"/>
          <w:iCs/>
          <w:color w:val="000000"/>
          <w:sz w:val="22"/>
          <w:szCs w:val="22"/>
        </w:rPr>
        <w:t xml:space="preserve">effect </w:t>
      </w:r>
      <w:r>
        <w:rPr>
          <w:rFonts w:ascii="Garamond" w:hAnsi="Garamond" w:cs="Sylfaen"/>
          <w:iCs/>
          <w:color w:val="000000"/>
          <w:sz w:val="22"/>
          <w:szCs w:val="22"/>
        </w:rPr>
        <w:t xml:space="preserve">on the aggregate demand, unlike the contractionary impact outlined in the previous MP program, which is </w:t>
      </w:r>
      <w:r w:rsidR="00232E26">
        <w:rPr>
          <w:rFonts w:ascii="Garamond" w:hAnsi="Garamond" w:cs="Sylfaen"/>
          <w:iCs/>
          <w:color w:val="000000"/>
          <w:sz w:val="22"/>
          <w:szCs w:val="22"/>
        </w:rPr>
        <w:t xml:space="preserve">attributable to </w:t>
      </w:r>
      <w:r w:rsidR="00232E26" w:rsidRPr="00232E26">
        <w:rPr>
          <w:rFonts w:ascii="Garamond" w:hAnsi="Garamond" w:cs="Sylfaen"/>
          <w:iCs/>
          <w:color w:val="000000"/>
          <w:sz w:val="22"/>
          <w:szCs w:val="22"/>
        </w:rPr>
        <w:t xml:space="preserve">the implementation of </w:t>
      </w:r>
      <w:r w:rsidR="00232E26">
        <w:rPr>
          <w:rFonts w:ascii="Garamond" w:hAnsi="Garamond" w:cs="Sylfaen"/>
          <w:iCs/>
          <w:color w:val="000000"/>
          <w:sz w:val="22"/>
          <w:szCs w:val="22"/>
        </w:rPr>
        <w:t xml:space="preserve">the </w:t>
      </w:r>
      <w:r w:rsidR="00232E26" w:rsidRPr="00232E26">
        <w:rPr>
          <w:rFonts w:ascii="Garamond" w:hAnsi="Garamond" w:cs="Sylfaen"/>
          <w:iCs/>
          <w:color w:val="000000"/>
          <w:sz w:val="22"/>
          <w:szCs w:val="22"/>
        </w:rPr>
        <w:t>polic</w:t>
      </w:r>
      <w:r w:rsidR="00232E26">
        <w:rPr>
          <w:rFonts w:ascii="Garamond" w:hAnsi="Garamond" w:cs="Sylfaen"/>
          <w:iCs/>
          <w:color w:val="000000"/>
          <w:sz w:val="22"/>
          <w:szCs w:val="22"/>
        </w:rPr>
        <w:t>y</w:t>
      </w:r>
      <w:r w:rsidR="00232E26" w:rsidRPr="00232E26">
        <w:rPr>
          <w:rFonts w:ascii="Garamond" w:hAnsi="Garamond" w:cs="Sylfaen"/>
          <w:iCs/>
          <w:color w:val="000000"/>
          <w:sz w:val="22"/>
          <w:szCs w:val="22"/>
        </w:rPr>
        <w:t xml:space="preserve"> aimed at restoring economic growth</w:t>
      </w:r>
      <w:r w:rsidR="00232E26">
        <w:rPr>
          <w:rFonts w:ascii="Garamond" w:hAnsi="Garamond" w:cs="Sylfaen"/>
          <w:iCs/>
          <w:color w:val="000000"/>
          <w:sz w:val="22"/>
          <w:szCs w:val="22"/>
        </w:rPr>
        <w:t xml:space="preserve">, and to the </w:t>
      </w:r>
      <w:r w:rsidR="00232E26" w:rsidRPr="00232E26">
        <w:rPr>
          <w:rFonts w:ascii="Garamond" w:hAnsi="Garamond" w:cs="Sylfaen"/>
          <w:iCs/>
          <w:color w:val="000000"/>
          <w:sz w:val="22"/>
          <w:szCs w:val="22"/>
        </w:rPr>
        <w:t xml:space="preserve">increase in the </w:t>
      </w:r>
      <w:proofErr w:type="gramStart"/>
      <w:r w:rsidR="00232E26" w:rsidRPr="00232E26">
        <w:rPr>
          <w:rFonts w:ascii="Garamond" w:hAnsi="Garamond" w:cs="Sylfaen"/>
          <w:iCs/>
          <w:color w:val="000000"/>
          <w:sz w:val="22"/>
          <w:szCs w:val="22"/>
        </w:rPr>
        <w:t>deficit</w:t>
      </w:r>
      <w:r w:rsidR="00232E26">
        <w:rPr>
          <w:rFonts w:ascii="Garamond" w:hAnsi="Garamond" w:cs="Sylfaen"/>
          <w:iCs/>
          <w:color w:val="000000"/>
          <w:sz w:val="22"/>
          <w:szCs w:val="22"/>
        </w:rPr>
        <w:t>,.</w:t>
      </w:r>
      <w:proofErr w:type="gramEnd"/>
      <w:r w:rsidR="00232E26">
        <w:rPr>
          <w:rFonts w:ascii="Garamond" w:hAnsi="Garamond" w:cs="Sylfaen"/>
          <w:iCs/>
          <w:color w:val="000000"/>
          <w:sz w:val="22"/>
          <w:szCs w:val="22"/>
        </w:rPr>
        <w:t xml:space="preserve"> </w:t>
      </w:r>
      <w:r w:rsidRPr="00A32AB2">
        <w:rPr>
          <w:rFonts w:ascii="Garamond" w:hAnsi="Garamond"/>
          <w:bCs/>
          <w:iCs/>
          <w:sz w:val="22"/>
          <w:szCs w:val="22"/>
        </w:rPr>
        <w:t xml:space="preserve">According to </w:t>
      </w:r>
      <w:r w:rsidR="00232E26">
        <w:rPr>
          <w:rFonts w:ascii="Garamond" w:hAnsi="Garamond"/>
          <w:bCs/>
          <w:iCs/>
          <w:sz w:val="22"/>
          <w:szCs w:val="22"/>
        </w:rPr>
        <w:t xml:space="preserve">the CBA </w:t>
      </w:r>
      <w:r w:rsidRPr="00A32AB2">
        <w:rPr>
          <w:rFonts w:ascii="Garamond" w:hAnsi="Garamond"/>
          <w:bCs/>
          <w:iCs/>
          <w:sz w:val="22"/>
          <w:szCs w:val="22"/>
        </w:rPr>
        <w:t xml:space="preserve">estimates, the deficit-to-GDP ratio </w:t>
      </w:r>
      <w:r w:rsidR="00232E26">
        <w:rPr>
          <w:rFonts w:ascii="Garamond" w:hAnsi="Garamond"/>
          <w:bCs/>
          <w:iCs/>
          <w:sz w:val="22"/>
          <w:szCs w:val="22"/>
        </w:rPr>
        <w:t>is expected at 5.4% (5.9% estimated in the draft law on the state budget</w:t>
      </w:r>
      <w:r w:rsidR="00013DD6">
        <w:rPr>
          <w:rFonts w:ascii="Garamond" w:hAnsi="Garamond"/>
          <w:bCs/>
          <w:iCs/>
          <w:sz w:val="22"/>
          <w:szCs w:val="22"/>
        </w:rPr>
        <w:t xml:space="preserve"> of 2017</w:t>
      </w:r>
      <w:r w:rsidR="00232E26">
        <w:rPr>
          <w:rFonts w:ascii="Garamond" w:hAnsi="Garamond"/>
          <w:bCs/>
          <w:iCs/>
          <w:sz w:val="22"/>
          <w:szCs w:val="22"/>
        </w:rPr>
        <w:t xml:space="preserve">) </w:t>
      </w:r>
      <w:r w:rsidR="00232E26" w:rsidRPr="00232E26">
        <w:rPr>
          <w:rFonts w:ascii="Garamond" w:hAnsi="Garamond"/>
          <w:bCs/>
          <w:iCs/>
          <w:sz w:val="22"/>
          <w:szCs w:val="22"/>
        </w:rPr>
        <w:t>which is 0.6 p</w:t>
      </w:r>
      <w:r w:rsidR="00232E26">
        <w:rPr>
          <w:rFonts w:ascii="Garamond" w:hAnsi="Garamond"/>
          <w:bCs/>
          <w:iCs/>
          <w:sz w:val="22"/>
          <w:szCs w:val="22"/>
        </w:rPr>
        <w:t>p</w:t>
      </w:r>
      <w:r w:rsidR="00232E26" w:rsidRPr="00232E26">
        <w:rPr>
          <w:rFonts w:ascii="Garamond" w:hAnsi="Garamond"/>
          <w:bCs/>
          <w:iCs/>
          <w:sz w:val="22"/>
          <w:szCs w:val="22"/>
        </w:rPr>
        <w:t xml:space="preserve"> higher than the same indicator for 2015 and 1.9 p</w:t>
      </w:r>
      <w:r w:rsidR="00232E26">
        <w:rPr>
          <w:rFonts w:ascii="Garamond" w:hAnsi="Garamond"/>
          <w:bCs/>
          <w:iCs/>
          <w:sz w:val="22"/>
          <w:szCs w:val="22"/>
        </w:rPr>
        <w:t>p higher than the figure</w:t>
      </w:r>
      <w:r w:rsidR="00232E26" w:rsidRPr="00232E26">
        <w:rPr>
          <w:rFonts w:ascii="Garamond" w:hAnsi="Garamond"/>
          <w:bCs/>
          <w:iCs/>
          <w:sz w:val="22"/>
          <w:szCs w:val="22"/>
        </w:rPr>
        <w:t xml:space="preserve"> </w:t>
      </w:r>
      <w:r w:rsidR="00232E26">
        <w:rPr>
          <w:rFonts w:ascii="Garamond" w:hAnsi="Garamond"/>
          <w:bCs/>
          <w:iCs/>
          <w:sz w:val="22"/>
          <w:szCs w:val="22"/>
        </w:rPr>
        <w:t xml:space="preserve">provided for </w:t>
      </w:r>
      <w:r w:rsidR="00232E26" w:rsidRPr="00232E26">
        <w:rPr>
          <w:rFonts w:ascii="Garamond" w:hAnsi="Garamond"/>
          <w:bCs/>
          <w:iCs/>
          <w:sz w:val="22"/>
          <w:szCs w:val="22"/>
        </w:rPr>
        <w:t>in the law.</w:t>
      </w:r>
    </w:p>
    <w:p w14:paraId="0C31A429" w14:textId="77777777" w:rsidR="004258B2" w:rsidRPr="00A32AB2" w:rsidRDefault="004258B2" w:rsidP="00B117C8">
      <w:pPr>
        <w:spacing w:line="360" w:lineRule="auto"/>
        <w:jc w:val="both"/>
        <w:rPr>
          <w:rFonts w:ascii="Garamond" w:hAnsi="Garamond" w:cs="Sylfaen"/>
          <w:iCs/>
          <w:color w:val="000000"/>
          <w:sz w:val="22"/>
          <w:szCs w:val="22"/>
        </w:rPr>
      </w:pPr>
    </w:p>
    <w:p w14:paraId="67737210" w14:textId="77777777" w:rsidR="006104F0" w:rsidRDefault="000B791C" w:rsidP="00B117C8">
      <w:pPr>
        <w:spacing w:line="360" w:lineRule="auto"/>
        <w:jc w:val="both"/>
        <w:rPr>
          <w:rFonts w:ascii="Garamond" w:hAnsi="Garamond" w:cs="Sylfaen"/>
          <w:iCs/>
          <w:color w:val="000000"/>
          <w:sz w:val="22"/>
          <w:szCs w:val="22"/>
        </w:rPr>
      </w:pPr>
      <w:r>
        <w:rPr>
          <w:rFonts w:ascii="Garamond" w:hAnsi="Garamond"/>
          <w:bCs/>
          <w:iCs/>
          <w:sz w:val="22"/>
          <w:szCs w:val="22"/>
        </w:rPr>
        <w:t>For</w:t>
      </w:r>
      <w:r w:rsidR="00232E26" w:rsidRPr="00A32AB2">
        <w:rPr>
          <w:rFonts w:ascii="Garamond" w:hAnsi="Garamond"/>
          <w:bCs/>
          <w:iCs/>
          <w:sz w:val="22"/>
          <w:szCs w:val="22"/>
        </w:rPr>
        <w:t xml:space="preserve"> 2016 the tax-to-GDP ratio </w:t>
      </w:r>
      <w:r>
        <w:rPr>
          <w:rFonts w:ascii="Garamond" w:hAnsi="Garamond"/>
          <w:bCs/>
          <w:iCs/>
          <w:sz w:val="22"/>
          <w:szCs w:val="22"/>
        </w:rPr>
        <w:t xml:space="preserve">is anticipated at 20.8%. This </w:t>
      </w:r>
      <w:r w:rsidRPr="000B791C">
        <w:rPr>
          <w:rFonts w:ascii="Garamond" w:hAnsi="Garamond"/>
          <w:bCs/>
          <w:iCs/>
          <w:sz w:val="22"/>
          <w:szCs w:val="22"/>
        </w:rPr>
        <w:t>is 0.4 p</w:t>
      </w:r>
      <w:r>
        <w:rPr>
          <w:rFonts w:ascii="Garamond" w:hAnsi="Garamond"/>
          <w:bCs/>
          <w:iCs/>
          <w:sz w:val="22"/>
          <w:szCs w:val="22"/>
        </w:rPr>
        <w:t xml:space="preserve">p </w:t>
      </w:r>
      <w:r w:rsidRPr="000B791C">
        <w:rPr>
          <w:rFonts w:ascii="Garamond" w:hAnsi="Garamond"/>
          <w:bCs/>
          <w:iCs/>
          <w:sz w:val="22"/>
          <w:szCs w:val="22"/>
        </w:rPr>
        <w:t xml:space="preserve">lower </w:t>
      </w:r>
      <w:r>
        <w:rPr>
          <w:rFonts w:ascii="Garamond" w:hAnsi="Garamond"/>
          <w:bCs/>
          <w:iCs/>
          <w:sz w:val="22"/>
          <w:szCs w:val="22"/>
        </w:rPr>
        <w:t>from</w:t>
      </w:r>
      <w:r w:rsidRPr="000B791C">
        <w:rPr>
          <w:rFonts w:ascii="Garamond" w:hAnsi="Garamond"/>
          <w:bCs/>
          <w:iCs/>
          <w:sz w:val="22"/>
          <w:szCs w:val="22"/>
        </w:rPr>
        <w:t xml:space="preserve"> </w:t>
      </w:r>
      <w:r>
        <w:rPr>
          <w:rFonts w:ascii="Garamond" w:hAnsi="Garamond"/>
          <w:bCs/>
          <w:iCs/>
          <w:sz w:val="22"/>
          <w:szCs w:val="22"/>
        </w:rPr>
        <w:t xml:space="preserve">the level </w:t>
      </w:r>
      <w:r w:rsidRPr="000B791C">
        <w:rPr>
          <w:rFonts w:ascii="Garamond" w:hAnsi="Garamond"/>
          <w:bCs/>
          <w:iCs/>
          <w:sz w:val="22"/>
          <w:szCs w:val="22"/>
        </w:rPr>
        <w:t>in 2015</w:t>
      </w:r>
      <w:r>
        <w:rPr>
          <w:rFonts w:ascii="Garamond" w:hAnsi="Garamond"/>
          <w:bCs/>
          <w:iCs/>
          <w:sz w:val="22"/>
          <w:szCs w:val="22"/>
        </w:rPr>
        <w:t xml:space="preserve"> and is explained by under-collected taxes due to sluggish </w:t>
      </w:r>
      <w:r w:rsidRPr="000B791C">
        <w:rPr>
          <w:rFonts w:ascii="Garamond" w:hAnsi="Garamond"/>
          <w:bCs/>
          <w:iCs/>
          <w:sz w:val="22"/>
          <w:szCs w:val="22"/>
        </w:rPr>
        <w:t>economic activity</w:t>
      </w:r>
      <w:r w:rsidR="00081238">
        <w:rPr>
          <w:rFonts w:ascii="Garamond" w:hAnsi="Garamond"/>
          <w:bCs/>
          <w:iCs/>
          <w:sz w:val="22"/>
          <w:szCs w:val="22"/>
        </w:rPr>
        <w:t xml:space="preserve">. </w:t>
      </w:r>
      <w:r w:rsidRPr="000B791C">
        <w:rPr>
          <w:rFonts w:ascii="Garamond" w:hAnsi="Garamond"/>
          <w:bCs/>
          <w:iCs/>
          <w:sz w:val="22"/>
          <w:szCs w:val="22"/>
        </w:rPr>
        <w:t xml:space="preserve">As a result, revenues will have </w:t>
      </w:r>
      <w:r w:rsidR="00081238">
        <w:rPr>
          <w:rFonts w:ascii="Garamond" w:hAnsi="Garamond"/>
          <w:bCs/>
          <w:iCs/>
          <w:sz w:val="22"/>
          <w:szCs w:val="22"/>
        </w:rPr>
        <w:t xml:space="preserve">0.5 </w:t>
      </w:r>
      <w:r w:rsidRPr="000B791C">
        <w:rPr>
          <w:rFonts w:ascii="Garamond" w:hAnsi="Garamond"/>
          <w:bCs/>
          <w:iCs/>
          <w:sz w:val="22"/>
          <w:szCs w:val="22"/>
        </w:rPr>
        <w:t>expansionary impact</w:t>
      </w:r>
      <w:r w:rsidR="00232E26" w:rsidRPr="00A32AB2">
        <w:rPr>
          <w:rFonts w:ascii="Garamond" w:hAnsi="Garamond"/>
          <w:bCs/>
          <w:iCs/>
          <w:sz w:val="22"/>
          <w:szCs w:val="22"/>
        </w:rPr>
        <w:t>.</w:t>
      </w:r>
    </w:p>
    <w:p w14:paraId="52EBC05B" w14:textId="77777777" w:rsidR="00232E26" w:rsidRPr="00A32AB2" w:rsidRDefault="00232E26" w:rsidP="00B117C8">
      <w:pPr>
        <w:spacing w:line="360" w:lineRule="auto"/>
        <w:jc w:val="both"/>
        <w:rPr>
          <w:rFonts w:ascii="Garamond" w:hAnsi="Garamond" w:cs="Sylfaen"/>
          <w:iCs/>
          <w:color w:val="000000"/>
          <w:sz w:val="22"/>
          <w:szCs w:val="22"/>
        </w:rPr>
      </w:pPr>
    </w:p>
    <w:p w14:paraId="393F3628" w14:textId="77777777" w:rsidR="007D12F9" w:rsidRDefault="006104F0" w:rsidP="00B117C8">
      <w:pPr>
        <w:spacing w:line="360" w:lineRule="auto"/>
        <w:jc w:val="both"/>
        <w:rPr>
          <w:rFonts w:ascii="Garamond" w:hAnsi="Garamond" w:cs="Sylfaen"/>
          <w:iCs/>
          <w:sz w:val="22"/>
          <w:szCs w:val="22"/>
        </w:rPr>
      </w:pPr>
      <w:r w:rsidRPr="00A32AB2">
        <w:rPr>
          <w:rFonts w:ascii="Garamond" w:hAnsi="Garamond" w:cs="Sylfaen"/>
          <w:b/>
          <w:iCs/>
          <w:sz w:val="22"/>
          <w:szCs w:val="22"/>
        </w:rPr>
        <w:t>In the medium run</w:t>
      </w:r>
      <w:r w:rsidR="00C874A8" w:rsidRPr="00A32AB2">
        <w:rPr>
          <w:rFonts w:ascii="Garamond" w:hAnsi="Garamond" w:cs="Sylfaen"/>
          <w:iCs/>
          <w:sz w:val="22"/>
          <w:szCs w:val="22"/>
        </w:rPr>
        <w:t>,</w:t>
      </w:r>
      <w:r w:rsidRPr="00A32AB2">
        <w:rPr>
          <w:rFonts w:ascii="Garamond" w:hAnsi="Garamond" w:cs="Sylfaen"/>
          <w:b/>
          <w:iCs/>
          <w:sz w:val="22"/>
          <w:szCs w:val="22"/>
        </w:rPr>
        <w:t xml:space="preserve"> </w:t>
      </w:r>
      <w:r w:rsidR="007D12F9" w:rsidRPr="007D12F9">
        <w:rPr>
          <w:rFonts w:ascii="Garamond" w:hAnsi="Garamond" w:cs="Sylfaen"/>
          <w:iCs/>
          <w:sz w:val="22"/>
          <w:szCs w:val="22"/>
        </w:rPr>
        <w:t xml:space="preserve">in </w:t>
      </w:r>
      <w:r w:rsidR="007D12F9">
        <w:rPr>
          <w:rFonts w:ascii="Garamond" w:hAnsi="Garamond" w:cs="Sylfaen"/>
          <w:iCs/>
          <w:sz w:val="22"/>
          <w:szCs w:val="22"/>
        </w:rPr>
        <w:t xml:space="preserve">pursuit of debt sustainability, the </w:t>
      </w:r>
      <w:r w:rsidR="007D12F9" w:rsidRPr="007D12F9">
        <w:rPr>
          <w:rFonts w:ascii="Garamond" w:hAnsi="Garamond" w:cs="Sylfaen"/>
          <w:iCs/>
          <w:sz w:val="22"/>
          <w:szCs w:val="22"/>
        </w:rPr>
        <w:t xml:space="preserve">fiscal policy aims at gradual reduction of the deficit, </w:t>
      </w:r>
      <w:r w:rsidR="007D12F9">
        <w:rPr>
          <w:rFonts w:ascii="Garamond" w:hAnsi="Garamond" w:cs="Sylfaen"/>
          <w:iCs/>
          <w:sz w:val="22"/>
          <w:szCs w:val="22"/>
        </w:rPr>
        <w:t xml:space="preserve">as a result of </w:t>
      </w:r>
      <w:r w:rsidR="007D12F9" w:rsidRPr="007D12F9">
        <w:rPr>
          <w:rFonts w:ascii="Garamond" w:hAnsi="Garamond" w:cs="Sylfaen"/>
          <w:iCs/>
          <w:sz w:val="22"/>
          <w:szCs w:val="22"/>
        </w:rPr>
        <w:t xml:space="preserve">which </w:t>
      </w:r>
      <w:r w:rsidR="007D12F9">
        <w:rPr>
          <w:rFonts w:ascii="Garamond" w:hAnsi="Garamond" w:cs="Sylfaen"/>
          <w:iCs/>
          <w:sz w:val="22"/>
          <w:szCs w:val="22"/>
        </w:rPr>
        <w:t xml:space="preserve">the </w:t>
      </w:r>
      <w:r w:rsidR="007D12F9" w:rsidRPr="007D12F9">
        <w:rPr>
          <w:rFonts w:ascii="Garamond" w:hAnsi="Garamond" w:cs="Sylfaen"/>
          <w:iCs/>
          <w:sz w:val="22"/>
          <w:szCs w:val="22"/>
        </w:rPr>
        <w:t>fiscal policy</w:t>
      </w:r>
      <w:r w:rsidR="007D12F9">
        <w:rPr>
          <w:rFonts w:ascii="Garamond" w:hAnsi="Garamond" w:cs="Sylfaen"/>
          <w:iCs/>
          <w:sz w:val="22"/>
          <w:szCs w:val="22"/>
        </w:rPr>
        <w:t xml:space="preserve">’s impact </w:t>
      </w:r>
      <w:r w:rsidR="007D12F9" w:rsidRPr="007D12F9">
        <w:rPr>
          <w:rFonts w:ascii="Garamond" w:hAnsi="Garamond" w:cs="Sylfaen"/>
          <w:iCs/>
          <w:sz w:val="22"/>
          <w:szCs w:val="22"/>
        </w:rPr>
        <w:t xml:space="preserve">on aggregate demand </w:t>
      </w:r>
      <w:r w:rsidR="007D12F9">
        <w:rPr>
          <w:rFonts w:ascii="Garamond" w:hAnsi="Garamond" w:cs="Sylfaen"/>
          <w:iCs/>
          <w:sz w:val="22"/>
          <w:szCs w:val="22"/>
        </w:rPr>
        <w:t>will first be contractionary then neutral</w:t>
      </w:r>
      <w:r w:rsidR="007D12F9" w:rsidRPr="007D12F9">
        <w:rPr>
          <w:rFonts w:ascii="Garamond" w:hAnsi="Garamond" w:cs="Sylfaen"/>
          <w:iCs/>
          <w:sz w:val="22"/>
          <w:szCs w:val="22"/>
        </w:rPr>
        <w:t>.</w:t>
      </w:r>
      <w:r w:rsidR="007D12F9">
        <w:rPr>
          <w:rFonts w:ascii="Garamond" w:hAnsi="Garamond" w:cs="Sylfaen"/>
          <w:iCs/>
          <w:sz w:val="22"/>
          <w:szCs w:val="22"/>
        </w:rPr>
        <w:t xml:space="preserve"> </w:t>
      </w:r>
    </w:p>
    <w:p w14:paraId="490D60DE" w14:textId="77777777" w:rsidR="007D12F9" w:rsidRDefault="007D12F9" w:rsidP="00B117C8">
      <w:pPr>
        <w:spacing w:line="360" w:lineRule="auto"/>
        <w:jc w:val="both"/>
        <w:rPr>
          <w:rFonts w:ascii="Garamond" w:hAnsi="Garamond" w:cs="Sylfaen"/>
          <w:iCs/>
          <w:sz w:val="22"/>
          <w:szCs w:val="22"/>
        </w:rPr>
      </w:pPr>
    </w:p>
    <w:p w14:paraId="2149F14D" w14:textId="77777777" w:rsidR="000672E1" w:rsidRDefault="000672E1" w:rsidP="00B117C8">
      <w:pPr>
        <w:spacing w:line="360" w:lineRule="auto"/>
        <w:jc w:val="both"/>
        <w:rPr>
          <w:rFonts w:ascii="Garamond" w:hAnsi="Garamond"/>
          <w:bCs/>
          <w:iCs/>
          <w:sz w:val="22"/>
          <w:szCs w:val="22"/>
        </w:rPr>
      </w:pPr>
      <w:r>
        <w:rPr>
          <w:rFonts w:ascii="Garamond" w:hAnsi="Garamond"/>
          <w:bCs/>
          <w:iCs/>
          <w:sz w:val="22"/>
          <w:szCs w:val="22"/>
        </w:rPr>
        <w:t xml:space="preserve">Based on the 2017 indicators of draft law on </w:t>
      </w:r>
      <w:r w:rsidRPr="00A32AB2">
        <w:rPr>
          <w:rFonts w:ascii="Garamond" w:hAnsi="Garamond"/>
          <w:bCs/>
          <w:iCs/>
          <w:sz w:val="22"/>
          <w:szCs w:val="22"/>
        </w:rPr>
        <w:t>“State Budget 201</w:t>
      </w:r>
      <w:r>
        <w:rPr>
          <w:rFonts w:ascii="Garamond" w:hAnsi="Garamond"/>
          <w:bCs/>
          <w:iCs/>
          <w:sz w:val="22"/>
          <w:szCs w:val="22"/>
        </w:rPr>
        <w:t>7</w:t>
      </w:r>
      <w:r w:rsidRPr="00A32AB2">
        <w:rPr>
          <w:rFonts w:ascii="Garamond" w:hAnsi="Garamond"/>
          <w:bCs/>
          <w:iCs/>
          <w:sz w:val="22"/>
          <w:szCs w:val="22"/>
        </w:rPr>
        <w:t>”</w:t>
      </w:r>
      <w:r>
        <w:rPr>
          <w:rFonts w:ascii="Garamond" w:hAnsi="Garamond"/>
          <w:bCs/>
          <w:iCs/>
          <w:sz w:val="22"/>
          <w:szCs w:val="22"/>
        </w:rPr>
        <w:t xml:space="preserve">, the </w:t>
      </w:r>
      <w:r w:rsidRPr="00A32AB2">
        <w:rPr>
          <w:rFonts w:ascii="Garamond" w:hAnsi="Garamond"/>
          <w:bCs/>
          <w:iCs/>
          <w:sz w:val="22"/>
          <w:szCs w:val="22"/>
        </w:rPr>
        <w:t xml:space="preserve">tax-to-GDP ratio </w:t>
      </w:r>
      <w:r>
        <w:rPr>
          <w:rFonts w:ascii="Garamond" w:hAnsi="Garamond"/>
          <w:bCs/>
          <w:iCs/>
          <w:sz w:val="22"/>
          <w:szCs w:val="22"/>
        </w:rPr>
        <w:t>is</w:t>
      </w:r>
      <w:r w:rsidRPr="000672E1">
        <w:rPr>
          <w:rFonts w:ascii="Garamond" w:hAnsi="Garamond"/>
          <w:bCs/>
          <w:iCs/>
          <w:sz w:val="22"/>
          <w:szCs w:val="22"/>
        </w:rPr>
        <w:t xml:space="preserve"> </w:t>
      </w:r>
      <w:r>
        <w:rPr>
          <w:rFonts w:ascii="Garamond" w:hAnsi="Garamond"/>
          <w:bCs/>
          <w:iCs/>
          <w:sz w:val="22"/>
          <w:szCs w:val="22"/>
        </w:rPr>
        <w:t>expected to increase by 0.2 pp and the deficit-</w:t>
      </w:r>
      <w:r w:rsidRPr="00A32AB2">
        <w:rPr>
          <w:rFonts w:ascii="Garamond" w:hAnsi="Garamond"/>
          <w:bCs/>
          <w:iCs/>
          <w:sz w:val="22"/>
          <w:szCs w:val="22"/>
        </w:rPr>
        <w:t xml:space="preserve">to-GDP ratio </w:t>
      </w:r>
      <w:r>
        <w:rPr>
          <w:rFonts w:ascii="Garamond" w:hAnsi="Garamond"/>
          <w:bCs/>
          <w:iCs/>
          <w:sz w:val="22"/>
          <w:szCs w:val="22"/>
        </w:rPr>
        <w:t>to decrease by 2.6 pp in relation to the CBA’s</w:t>
      </w:r>
      <w:r w:rsidRPr="000672E1">
        <w:rPr>
          <w:rFonts w:ascii="Garamond" w:hAnsi="Garamond"/>
          <w:bCs/>
          <w:iCs/>
          <w:sz w:val="22"/>
          <w:szCs w:val="22"/>
        </w:rPr>
        <w:t xml:space="preserve"> </w:t>
      </w:r>
      <w:r>
        <w:rPr>
          <w:rFonts w:ascii="Garamond" w:hAnsi="Garamond"/>
          <w:bCs/>
          <w:iCs/>
          <w:sz w:val="22"/>
          <w:szCs w:val="22"/>
        </w:rPr>
        <w:t xml:space="preserve">2016 </w:t>
      </w:r>
      <w:r w:rsidRPr="000672E1">
        <w:rPr>
          <w:rFonts w:ascii="Garamond" w:hAnsi="Garamond"/>
          <w:bCs/>
          <w:iCs/>
          <w:sz w:val="22"/>
          <w:szCs w:val="22"/>
        </w:rPr>
        <w:t>estimates</w:t>
      </w:r>
      <w:r>
        <w:rPr>
          <w:rFonts w:ascii="Garamond" w:hAnsi="Garamond"/>
          <w:bCs/>
          <w:iCs/>
          <w:sz w:val="22"/>
          <w:szCs w:val="22"/>
        </w:rPr>
        <w:t xml:space="preserve">. The </w:t>
      </w:r>
      <w:r w:rsidRPr="000672E1">
        <w:rPr>
          <w:rFonts w:ascii="Garamond" w:hAnsi="Garamond"/>
          <w:bCs/>
          <w:iCs/>
          <w:sz w:val="22"/>
          <w:szCs w:val="22"/>
        </w:rPr>
        <w:t>fiscal policy</w:t>
      </w:r>
      <w:r>
        <w:rPr>
          <w:rFonts w:ascii="Garamond" w:hAnsi="Garamond"/>
          <w:bCs/>
          <w:iCs/>
          <w:sz w:val="22"/>
          <w:szCs w:val="22"/>
        </w:rPr>
        <w:t>’s impact</w:t>
      </w:r>
      <w:r w:rsidRPr="000672E1">
        <w:rPr>
          <w:rFonts w:ascii="Garamond" w:hAnsi="Garamond"/>
          <w:bCs/>
          <w:iCs/>
          <w:sz w:val="22"/>
          <w:szCs w:val="22"/>
        </w:rPr>
        <w:t xml:space="preserve"> on aggregate demand </w:t>
      </w:r>
      <w:r w:rsidR="00B6486D">
        <w:rPr>
          <w:rFonts w:ascii="Garamond" w:hAnsi="Garamond"/>
          <w:bCs/>
          <w:iCs/>
          <w:sz w:val="22"/>
          <w:szCs w:val="22"/>
        </w:rPr>
        <w:t>is forecast to be 2.8 contractionary</w:t>
      </w:r>
      <w:r w:rsidR="00B6486D" w:rsidRPr="000672E1">
        <w:rPr>
          <w:rFonts w:ascii="Garamond" w:hAnsi="Garamond"/>
          <w:bCs/>
          <w:iCs/>
          <w:sz w:val="22"/>
          <w:szCs w:val="22"/>
        </w:rPr>
        <w:t xml:space="preserve"> </w:t>
      </w:r>
      <w:r w:rsidRPr="000672E1">
        <w:rPr>
          <w:rFonts w:ascii="Garamond" w:hAnsi="Garamond"/>
          <w:bCs/>
          <w:iCs/>
          <w:sz w:val="22"/>
          <w:szCs w:val="22"/>
        </w:rPr>
        <w:t>in 201</w:t>
      </w:r>
      <w:r>
        <w:rPr>
          <w:rFonts w:ascii="Garamond" w:hAnsi="Garamond"/>
          <w:bCs/>
          <w:iCs/>
          <w:sz w:val="22"/>
          <w:szCs w:val="22"/>
        </w:rPr>
        <w:t>7</w:t>
      </w:r>
      <w:r w:rsidRPr="000672E1">
        <w:rPr>
          <w:rFonts w:ascii="Garamond" w:hAnsi="Garamond"/>
          <w:bCs/>
          <w:iCs/>
          <w:sz w:val="22"/>
          <w:szCs w:val="22"/>
        </w:rPr>
        <w:t xml:space="preserve"> due to </w:t>
      </w:r>
      <w:r w:rsidR="00B6486D">
        <w:rPr>
          <w:rFonts w:ascii="Garamond" w:hAnsi="Garamond"/>
          <w:bCs/>
          <w:iCs/>
          <w:sz w:val="22"/>
          <w:szCs w:val="22"/>
        </w:rPr>
        <w:t xml:space="preserve">contractionary effect of revenues (0.5) and of </w:t>
      </w:r>
      <w:r w:rsidRPr="000672E1">
        <w:rPr>
          <w:rFonts w:ascii="Garamond" w:hAnsi="Garamond"/>
          <w:bCs/>
          <w:iCs/>
          <w:sz w:val="22"/>
          <w:szCs w:val="22"/>
        </w:rPr>
        <w:t>expen</w:t>
      </w:r>
      <w:r w:rsidR="00B6486D">
        <w:rPr>
          <w:rFonts w:ascii="Garamond" w:hAnsi="Garamond"/>
          <w:bCs/>
          <w:iCs/>
          <w:sz w:val="22"/>
          <w:szCs w:val="22"/>
        </w:rPr>
        <w:t>ditures (</w:t>
      </w:r>
      <w:r w:rsidRPr="000672E1">
        <w:rPr>
          <w:rFonts w:ascii="Garamond" w:hAnsi="Garamond"/>
          <w:bCs/>
          <w:iCs/>
          <w:sz w:val="22"/>
          <w:szCs w:val="22"/>
        </w:rPr>
        <w:t>2.3</w:t>
      </w:r>
      <w:r w:rsidR="00B6486D">
        <w:rPr>
          <w:rFonts w:ascii="Garamond" w:hAnsi="Garamond"/>
          <w:bCs/>
          <w:iCs/>
          <w:sz w:val="22"/>
          <w:szCs w:val="22"/>
        </w:rPr>
        <w:t>)</w:t>
      </w:r>
      <w:r w:rsidRPr="000672E1">
        <w:rPr>
          <w:rFonts w:ascii="Garamond" w:hAnsi="Garamond"/>
          <w:bCs/>
          <w:iCs/>
          <w:sz w:val="22"/>
          <w:szCs w:val="22"/>
        </w:rPr>
        <w:t>.</w:t>
      </w:r>
    </w:p>
    <w:p w14:paraId="2CBAE9D8" w14:textId="77777777" w:rsidR="000672E1" w:rsidRDefault="000672E1" w:rsidP="00B117C8">
      <w:pPr>
        <w:spacing w:line="360" w:lineRule="auto"/>
        <w:jc w:val="both"/>
        <w:rPr>
          <w:rFonts w:ascii="Garamond" w:hAnsi="Garamond"/>
          <w:bCs/>
          <w:iCs/>
          <w:sz w:val="22"/>
          <w:szCs w:val="22"/>
        </w:rPr>
      </w:pPr>
    </w:p>
    <w:p w14:paraId="19A9D944" w14:textId="77777777" w:rsidR="000672E1" w:rsidRDefault="00B64AED" w:rsidP="00B117C8">
      <w:pPr>
        <w:spacing w:line="360" w:lineRule="auto"/>
        <w:jc w:val="both"/>
        <w:rPr>
          <w:rFonts w:ascii="Garamond" w:hAnsi="Garamond"/>
          <w:bCs/>
          <w:iCs/>
          <w:sz w:val="22"/>
          <w:szCs w:val="22"/>
        </w:rPr>
      </w:pPr>
      <w:r>
        <w:rPr>
          <w:rFonts w:ascii="Garamond" w:hAnsi="Garamond"/>
          <w:bCs/>
          <w:iCs/>
          <w:sz w:val="22"/>
          <w:szCs w:val="22"/>
        </w:rPr>
        <w:t xml:space="preserve">The </w:t>
      </w:r>
      <w:r w:rsidRPr="000672E1">
        <w:rPr>
          <w:rFonts w:ascii="Garamond" w:hAnsi="Garamond"/>
          <w:bCs/>
          <w:iCs/>
          <w:sz w:val="22"/>
          <w:szCs w:val="22"/>
        </w:rPr>
        <w:t>fiscal policy</w:t>
      </w:r>
      <w:r>
        <w:rPr>
          <w:rFonts w:ascii="Garamond" w:hAnsi="Garamond"/>
          <w:bCs/>
          <w:iCs/>
          <w:sz w:val="22"/>
          <w:szCs w:val="22"/>
        </w:rPr>
        <w:t xml:space="preserve">’s impact in the medium-term perspective is </w:t>
      </w:r>
      <w:r w:rsidRPr="00B64AED">
        <w:rPr>
          <w:rFonts w:ascii="Garamond" w:hAnsi="Garamond"/>
          <w:b/>
          <w:bCs/>
          <w:iCs/>
          <w:sz w:val="22"/>
          <w:szCs w:val="22"/>
        </w:rPr>
        <w:t>non-inflationary</w:t>
      </w:r>
      <w:r>
        <w:rPr>
          <w:rFonts w:ascii="Garamond" w:hAnsi="Garamond"/>
          <w:bCs/>
          <w:iCs/>
          <w:sz w:val="22"/>
          <w:szCs w:val="22"/>
        </w:rPr>
        <w:t>.</w:t>
      </w:r>
    </w:p>
    <w:p w14:paraId="2400B85B" w14:textId="77777777" w:rsidR="00B62C86" w:rsidRPr="00A32AB2" w:rsidRDefault="00B62C86" w:rsidP="00B117C8">
      <w:pPr>
        <w:spacing w:line="360" w:lineRule="auto"/>
        <w:jc w:val="both"/>
        <w:rPr>
          <w:rFonts w:ascii="Garamond" w:hAnsi="Garamond" w:cs="Sylfaen"/>
          <w:iCs/>
          <w:color w:val="000000"/>
          <w:sz w:val="22"/>
          <w:szCs w:val="22"/>
        </w:rPr>
      </w:pPr>
    </w:p>
    <w:p w14:paraId="4AAD4CCE" w14:textId="77777777" w:rsidR="00B62C86" w:rsidRPr="00A32AB2" w:rsidRDefault="00B62C86" w:rsidP="00B117C8">
      <w:pPr>
        <w:spacing w:line="360" w:lineRule="auto"/>
        <w:jc w:val="both"/>
        <w:rPr>
          <w:rFonts w:ascii="Garamond" w:hAnsi="Garamond"/>
          <w:b/>
          <w:bCs/>
          <w:iCs/>
          <w:sz w:val="22"/>
          <w:szCs w:val="22"/>
        </w:rPr>
      </w:pPr>
      <w:r w:rsidRPr="00A32AB2">
        <w:rPr>
          <w:rFonts w:ascii="Garamond" w:hAnsi="Garamond" w:cs="Sylfaen"/>
          <w:b/>
          <w:sz w:val="22"/>
          <w:szCs w:val="22"/>
        </w:rPr>
        <w:t xml:space="preserve">Summary: </w:t>
      </w:r>
      <w:r w:rsidRPr="00A32AB2">
        <w:rPr>
          <w:rFonts w:ascii="Garamond" w:hAnsi="Garamond"/>
          <w:b/>
          <w:bCs/>
          <w:iCs/>
          <w:sz w:val="22"/>
          <w:szCs w:val="22"/>
        </w:rPr>
        <w:t xml:space="preserve">from the </w:t>
      </w:r>
      <w:r w:rsidR="00D54899">
        <w:rPr>
          <w:rFonts w:ascii="Garamond" w:hAnsi="Garamond"/>
          <w:b/>
          <w:bCs/>
          <w:iCs/>
          <w:sz w:val="22"/>
          <w:szCs w:val="22"/>
        </w:rPr>
        <w:t>third</w:t>
      </w:r>
      <w:r w:rsidR="00BA5700" w:rsidRPr="00A32AB2">
        <w:rPr>
          <w:rFonts w:ascii="Garamond" w:hAnsi="Garamond"/>
          <w:b/>
          <w:bCs/>
          <w:iCs/>
          <w:sz w:val="22"/>
          <w:szCs w:val="22"/>
        </w:rPr>
        <w:t xml:space="preserve"> </w:t>
      </w:r>
      <w:r w:rsidR="00D54899">
        <w:rPr>
          <w:rFonts w:ascii="Garamond" w:hAnsi="Garamond"/>
          <w:b/>
          <w:bCs/>
          <w:iCs/>
          <w:sz w:val="22"/>
          <w:szCs w:val="22"/>
        </w:rPr>
        <w:t>quarter</w:t>
      </w:r>
      <w:r w:rsidR="00BA5700" w:rsidRPr="00A32AB2">
        <w:rPr>
          <w:rFonts w:ascii="Garamond" w:hAnsi="Garamond"/>
          <w:b/>
          <w:bCs/>
          <w:iCs/>
          <w:sz w:val="22"/>
          <w:szCs w:val="22"/>
        </w:rPr>
        <w:t xml:space="preserve"> </w:t>
      </w:r>
      <w:r w:rsidRPr="00A32AB2">
        <w:rPr>
          <w:rFonts w:ascii="Garamond" w:hAnsi="Garamond"/>
          <w:b/>
          <w:bCs/>
          <w:iCs/>
          <w:sz w:val="22"/>
          <w:szCs w:val="22"/>
        </w:rPr>
        <w:t xml:space="preserve">of 2016 to </w:t>
      </w:r>
      <w:r w:rsidR="00D54899">
        <w:rPr>
          <w:rFonts w:ascii="Garamond" w:hAnsi="Garamond"/>
          <w:b/>
          <w:bCs/>
          <w:iCs/>
          <w:sz w:val="22"/>
          <w:szCs w:val="22"/>
        </w:rPr>
        <w:t xml:space="preserve">the beginning of </w:t>
      </w:r>
      <w:r w:rsidRPr="00A32AB2">
        <w:rPr>
          <w:rFonts w:ascii="Garamond" w:hAnsi="Garamond"/>
          <w:b/>
          <w:bCs/>
          <w:iCs/>
          <w:sz w:val="22"/>
          <w:szCs w:val="22"/>
        </w:rPr>
        <w:t>201</w:t>
      </w:r>
      <w:r w:rsidR="00D54899">
        <w:rPr>
          <w:rFonts w:ascii="Garamond" w:hAnsi="Garamond"/>
          <w:b/>
          <w:bCs/>
          <w:iCs/>
          <w:sz w:val="22"/>
          <w:szCs w:val="22"/>
        </w:rPr>
        <w:t>8</w:t>
      </w:r>
      <w:r w:rsidRPr="00A32AB2">
        <w:rPr>
          <w:rFonts w:ascii="Garamond" w:hAnsi="Garamond"/>
          <w:b/>
          <w:bCs/>
          <w:iCs/>
          <w:sz w:val="22"/>
          <w:szCs w:val="22"/>
        </w:rPr>
        <w:t xml:space="preserve"> the combined impact of the fiscal policy, private demand and labor market on domestic prices will be deflationary, in the range of 1.</w:t>
      </w:r>
      <w:r w:rsidR="00D54899">
        <w:rPr>
          <w:rFonts w:ascii="Garamond" w:hAnsi="Garamond"/>
          <w:b/>
          <w:bCs/>
          <w:iCs/>
          <w:sz w:val="22"/>
          <w:szCs w:val="22"/>
        </w:rPr>
        <w:t>7</w:t>
      </w:r>
      <w:r w:rsidRPr="00A32AB2">
        <w:rPr>
          <w:rFonts w:ascii="Garamond" w:hAnsi="Garamond"/>
          <w:b/>
          <w:bCs/>
          <w:iCs/>
          <w:sz w:val="22"/>
          <w:szCs w:val="22"/>
        </w:rPr>
        <w:t>-1.</w:t>
      </w:r>
      <w:r w:rsidR="00D54899">
        <w:rPr>
          <w:rFonts w:ascii="Garamond" w:hAnsi="Garamond"/>
          <w:b/>
          <w:bCs/>
          <w:iCs/>
          <w:sz w:val="22"/>
          <w:szCs w:val="22"/>
        </w:rPr>
        <w:t>9</w:t>
      </w:r>
      <w:r w:rsidRPr="00A32AB2">
        <w:rPr>
          <w:rFonts w:ascii="Garamond" w:hAnsi="Garamond"/>
          <w:b/>
          <w:bCs/>
          <w:iCs/>
          <w:sz w:val="22"/>
          <w:szCs w:val="22"/>
        </w:rPr>
        <w:t xml:space="preserve"> pp. This will be determined by predominantly deflationary </w:t>
      </w:r>
      <w:r w:rsidR="007845A6">
        <w:rPr>
          <w:rFonts w:ascii="Garamond" w:hAnsi="Garamond"/>
          <w:b/>
          <w:bCs/>
          <w:iCs/>
          <w:sz w:val="22"/>
          <w:szCs w:val="22"/>
        </w:rPr>
        <w:t>pressures</w:t>
      </w:r>
      <w:r w:rsidRPr="00A32AB2">
        <w:rPr>
          <w:rFonts w:ascii="Garamond" w:hAnsi="Garamond"/>
          <w:b/>
          <w:bCs/>
          <w:iCs/>
          <w:sz w:val="22"/>
          <w:szCs w:val="22"/>
        </w:rPr>
        <w:t xml:space="preserve"> </w:t>
      </w:r>
      <w:r w:rsidR="007845A6">
        <w:rPr>
          <w:rFonts w:ascii="Garamond" w:hAnsi="Garamond"/>
          <w:b/>
          <w:bCs/>
          <w:iCs/>
          <w:sz w:val="22"/>
          <w:szCs w:val="22"/>
        </w:rPr>
        <w:t>from</w:t>
      </w:r>
      <w:r w:rsidRPr="00A32AB2">
        <w:rPr>
          <w:rFonts w:ascii="Garamond" w:hAnsi="Garamond"/>
          <w:b/>
          <w:bCs/>
          <w:iCs/>
          <w:sz w:val="22"/>
          <w:szCs w:val="22"/>
        </w:rPr>
        <w:t xml:space="preserve"> private spending amid stabilizing inflation expectations. Also, given the 0.</w:t>
      </w:r>
      <w:r w:rsidR="007845A6">
        <w:rPr>
          <w:rFonts w:ascii="Garamond" w:hAnsi="Garamond"/>
          <w:b/>
          <w:bCs/>
          <w:iCs/>
          <w:sz w:val="22"/>
          <w:szCs w:val="22"/>
        </w:rPr>
        <w:t>3</w:t>
      </w:r>
      <w:r w:rsidRPr="00A32AB2">
        <w:rPr>
          <w:rFonts w:ascii="Garamond" w:hAnsi="Garamond"/>
          <w:b/>
          <w:bCs/>
          <w:iCs/>
          <w:sz w:val="22"/>
          <w:szCs w:val="22"/>
        </w:rPr>
        <w:t>-0.</w:t>
      </w:r>
      <w:r w:rsidR="007845A6">
        <w:rPr>
          <w:rFonts w:ascii="Garamond" w:hAnsi="Garamond"/>
          <w:b/>
          <w:bCs/>
          <w:iCs/>
          <w:sz w:val="22"/>
          <w:szCs w:val="22"/>
        </w:rPr>
        <w:t>5</w:t>
      </w:r>
      <w:r w:rsidRPr="00A32AB2">
        <w:rPr>
          <w:rFonts w:ascii="Garamond" w:hAnsi="Garamond"/>
          <w:b/>
          <w:bCs/>
          <w:iCs/>
          <w:sz w:val="22"/>
          <w:szCs w:val="22"/>
        </w:rPr>
        <w:t xml:space="preserve"> p</w:t>
      </w:r>
      <w:r w:rsidR="00A96CCB" w:rsidRPr="00A32AB2">
        <w:rPr>
          <w:rFonts w:ascii="Garamond" w:hAnsi="Garamond"/>
          <w:b/>
          <w:bCs/>
          <w:iCs/>
          <w:sz w:val="22"/>
          <w:szCs w:val="22"/>
        </w:rPr>
        <w:t>p</w:t>
      </w:r>
      <w:r w:rsidRPr="00A32AB2">
        <w:rPr>
          <w:rFonts w:ascii="Garamond" w:hAnsi="Garamond"/>
          <w:b/>
          <w:bCs/>
          <w:iCs/>
          <w:sz w:val="22"/>
          <w:szCs w:val="22"/>
        </w:rPr>
        <w:t xml:space="preserve"> inflationary impact of net external demand, one may conclude that overall aggregate demand and labor market developments in the above-mentioned period will create an average </w:t>
      </w:r>
      <w:r w:rsidR="007845A6">
        <w:rPr>
          <w:rFonts w:ascii="Garamond" w:hAnsi="Garamond"/>
          <w:b/>
          <w:bCs/>
          <w:iCs/>
          <w:sz w:val="22"/>
          <w:szCs w:val="22"/>
        </w:rPr>
        <w:t>1</w:t>
      </w:r>
      <w:r w:rsidRPr="00A32AB2">
        <w:rPr>
          <w:rFonts w:ascii="Garamond" w:hAnsi="Garamond"/>
          <w:b/>
          <w:bCs/>
          <w:iCs/>
          <w:sz w:val="22"/>
          <w:szCs w:val="22"/>
        </w:rPr>
        <w:t>.</w:t>
      </w:r>
      <w:r w:rsidR="007845A6">
        <w:rPr>
          <w:rFonts w:ascii="Garamond" w:hAnsi="Garamond"/>
          <w:b/>
          <w:bCs/>
          <w:iCs/>
          <w:sz w:val="22"/>
          <w:szCs w:val="22"/>
        </w:rPr>
        <w:t>1</w:t>
      </w:r>
      <w:r w:rsidRPr="00A32AB2">
        <w:rPr>
          <w:rFonts w:ascii="Garamond" w:hAnsi="Garamond"/>
          <w:b/>
          <w:bCs/>
          <w:iCs/>
          <w:sz w:val="22"/>
          <w:szCs w:val="22"/>
        </w:rPr>
        <w:t>-1.</w:t>
      </w:r>
      <w:r w:rsidR="007845A6">
        <w:rPr>
          <w:rFonts w:ascii="Garamond" w:hAnsi="Garamond"/>
          <w:b/>
          <w:bCs/>
          <w:iCs/>
          <w:sz w:val="22"/>
          <w:szCs w:val="22"/>
        </w:rPr>
        <w:t>3</w:t>
      </w:r>
      <w:r w:rsidRPr="00A32AB2">
        <w:rPr>
          <w:rFonts w:ascii="Garamond" w:hAnsi="Garamond"/>
          <w:b/>
          <w:bCs/>
          <w:iCs/>
          <w:sz w:val="22"/>
          <w:szCs w:val="22"/>
        </w:rPr>
        <w:t xml:space="preserve"> pp</w:t>
      </w:r>
      <w:r w:rsidR="00BE7257" w:rsidRPr="00A32AB2">
        <w:rPr>
          <w:rFonts w:ascii="Garamond" w:hAnsi="Garamond"/>
          <w:b/>
          <w:bCs/>
          <w:iCs/>
          <w:sz w:val="22"/>
          <w:szCs w:val="22"/>
          <w:lang w:val="hy-AM"/>
        </w:rPr>
        <w:t xml:space="preserve"> </w:t>
      </w:r>
      <w:r w:rsidR="00C211EC" w:rsidRPr="00A32AB2">
        <w:rPr>
          <w:rFonts w:ascii="Garamond" w:hAnsi="Garamond"/>
          <w:b/>
          <w:bCs/>
          <w:iCs/>
          <w:sz w:val="22"/>
          <w:szCs w:val="22"/>
        </w:rPr>
        <w:t xml:space="preserve">of </w:t>
      </w:r>
      <w:r w:rsidRPr="00A32AB2">
        <w:rPr>
          <w:rFonts w:ascii="Garamond" w:hAnsi="Garamond"/>
          <w:b/>
          <w:bCs/>
          <w:iCs/>
          <w:sz w:val="22"/>
          <w:szCs w:val="22"/>
        </w:rPr>
        <w:t>deflationary pressures in the consumer market.</w:t>
      </w:r>
    </w:p>
    <w:p w14:paraId="75685B31" w14:textId="77777777" w:rsidR="00A70330" w:rsidRPr="00A32AB2" w:rsidRDefault="00A70330" w:rsidP="00B117C8">
      <w:pPr>
        <w:spacing w:line="360" w:lineRule="auto"/>
        <w:jc w:val="both"/>
        <w:rPr>
          <w:rFonts w:ascii="Garamond" w:hAnsi="Garamond"/>
          <w:b/>
          <w:bCs/>
          <w:iCs/>
          <w:sz w:val="22"/>
          <w:szCs w:val="22"/>
        </w:rPr>
      </w:pPr>
    </w:p>
    <w:p w14:paraId="3F7F5745" w14:textId="77777777" w:rsidR="00A70330" w:rsidRPr="00A32AB2" w:rsidRDefault="001D74AC" w:rsidP="001D74AC">
      <w:pPr>
        <w:tabs>
          <w:tab w:val="left" w:pos="5850"/>
        </w:tabs>
        <w:spacing w:line="360" w:lineRule="auto"/>
        <w:jc w:val="both"/>
        <w:rPr>
          <w:rFonts w:ascii="Garamond" w:hAnsi="Garamond"/>
          <w:b/>
          <w:bCs/>
          <w:iCs/>
          <w:sz w:val="22"/>
          <w:szCs w:val="22"/>
        </w:rPr>
      </w:pPr>
      <w:r w:rsidRPr="00A32AB2">
        <w:rPr>
          <w:rFonts w:ascii="Garamond" w:hAnsi="Garamond"/>
          <w:b/>
          <w:bCs/>
          <w:iCs/>
          <w:sz w:val="22"/>
          <w:szCs w:val="22"/>
        </w:rPr>
        <w:t xml:space="preserve">In the above-mentioned period, </w:t>
      </w:r>
      <w:r w:rsidR="007845A6">
        <w:rPr>
          <w:rFonts w:ascii="Garamond" w:hAnsi="Garamond"/>
          <w:b/>
          <w:bCs/>
          <w:iCs/>
          <w:sz w:val="22"/>
          <w:szCs w:val="22"/>
        </w:rPr>
        <w:t xml:space="preserve">the </w:t>
      </w:r>
      <w:r w:rsidR="00202757" w:rsidRPr="00A32AB2">
        <w:rPr>
          <w:rFonts w:ascii="Garamond" w:hAnsi="Garamond"/>
          <w:b/>
          <w:bCs/>
          <w:iCs/>
          <w:sz w:val="22"/>
          <w:szCs w:val="22"/>
        </w:rPr>
        <w:t xml:space="preserve">easing </w:t>
      </w:r>
      <w:r w:rsidR="007845A6">
        <w:rPr>
          <w:rFonts w:ascii="Garamond" w:hAnsi="Garamond"/>
          <w:b/>
          <w:bCs/>
          <w:iCs/>
          <w:sz w:val="22"/>
          <w:szCs w:val="22"/>
        </w:rPr>
        <w:t xml:space="preserve">of </w:t>
      </w:r>
      <w:r w:rsidR="00202757" w:rsidRPr="00A32AB2">
        <w:rPr>
          <w:rFonts w:ascii="Garamond" w:hAnsi="Garamond"/>
          <w:b/>
          <w:bCs/>
          <w:iCs/>
          <w:sz w:val="22"/>
          <w:szCs w:val="22"/>
        </w:rPr>
        <w:t>monetary conditions</w:t>
      </w:r>
      <w:r w:rsidR="007845A6">
        <w:rPr>
          <w:rFonts w:ascii="Garamond" w:hAnsi="Garamond"/>
          <w:b/>
          <w:bCs/>
          <w:iCs/>
          <w:sz w:val="22"/>
          <w:szCs w:val="22"/>
        </w:rPr>
        <w:t xml:space="preserve"> and the lagged impact of fiscal incentives will facilitate the recovery of aggregate demand; in the meanwhile the said deflationary pressures will phase out</w:t>
      </w:r>
      <w:r w:rsidRPr="00A32AB2">
        <w:rPr>
          <w:rFonts w:ascii="Garamond" w:hAnsi="Garamond"/>
          <w:b/>
          <w:bCs/>
          <w:iCs/>
          <w:sz w:val="22"/>
          <w:szCs w:val="22"/>
        </w:rPr>
        <w:t xml:space="preserve"> gradually. </w:t>
      </w:r>
      <w:r w:rsidR="00A70330" w:rsidRPr="00A32AB2">
        <w:rPr>
          <w:rFonts w:ascii="Garamond" w:hAnsi="Garamond"/>
          <w:b/>
          <w:bCs/>
          <w:iCs/>
          <w:sz w:val="22"/>
          <w:szCs w:val="22"/>
        </w:rPr>
        <w:t xml:space="preserve">Starting from the </w:t>
      </w:r>
      <w:r w:rsidR="007845A6">
        <w:rPr>
          <w:rFonts w:ascii="Garamond" w:hAnsi="Garamond"/>
          <w:b/>
          <w:bCs/>
          <w:iCs/>
          <w:sz w:val="22"/>
          <w:szCs w:val="22"/>
        </w:rPr>
        <w:t xml:space="preserve">second quarter </w:t>
      </w:r>
      <w:r w:rsidR="00A70330" w:rsidRPr="00A32AB2">
        <w:rPr>
          <w:rFonts w:ascii="Garamond" w:hAnsi="Garamond"/>
          <w:b/>
          <w:bCs/>
          <w:iCs/>
          <w:sz w:val="22"/>
          <w:szCs w:val="22"/>
        </w:rPr>
        <w:t>of 201</w:t>
      </w:r>
      <w:r w:rsidR="007845A6">
        <w:rPr>
          <w:rFonts w:ascii="Garamond" w:hAnsi="Garamond"/>
          <w:b/>
          <w:bCs/>
          <w:iCs/>
          <w:sz w:val="22"/>
          <w:szCs w:val="22"/>
        </w:rPr>
        <w:t>8</w:t>
      </w:r>
      <w:r w:rsidR="00A70330" w:rsidRPr="00A32AB2">
        <w:rPr>
          <w:rFonts w:ascii="Garamond" w:hAnsi="Garamond"/>
          <w:b/>
          <w:bCs/>
          <w:iCs/>
          <w:sz w:val="22"/>
          <w:szCs w:val="22"/>
        </w:rPr>
        <w:t xml:space="preserve"> up until the e</w:t>
      </w:r>
      <w:r w:rsidRPr="00A32AB2">
        <w:rPr>
          <w:rFonts w:ascii="Garamond" w:hAnsi="Garamond"/>
          <w:b/>
          <w:bCs/>
          <w:iCs/>
          <w:sz w:val="22"/>
          <w:szCs w:val="22"/>
        </w:rPr>
        <w:t xml:space="preserve">nd of the forecast horizon, the </w:t>
      </w:r>
      <w:r w:rsidR="00A70330" w:rsidRPr="00A32AB2">
        <w:rPr>
          <w:rFonts w:ascii="Garamond" w:hAnsi="Garamond"/>
          <w:b/>
          <w:bCs/>
          <w:iCs/>
          <w:sz w:val="22"/>
          <w:szCs w:val="22"/>
        </w:rPr>
        <w:t xml:space="preserve">overall aggregate demand and labor market </w:t>
      </w:r>
      <w:r w:rsidRPr="00A32AB2">
        <w:rPr>
          <w:rFonts w:ascii="Garamond" w:hAnsi="Garamond"/>
          <w:b/>
          <w:bCs/>
          <w:iCs/>
          <w:sz w:val="22"/>
          <w:szCs w:val="22"/>
        </w:rPr>
        <w:t xml:space="preserve">will create </w:t>
      </w:r>
      <w:r w:rsidR="007845A6">
        <w:rPr>
          <w:rFonts w:ascii="Garamond" w:hAnsi="Garamond"/>
          <w:b/>
          <w:bCs/>
          <w:iCs/>
          <w:sz w:val="22"/>
          <w:szCs w:val="22"/>
        </w:rPr>
        <w:t xml:space="preserve">an average </w:t>
      </w:r>
      <w:r w:rsidR="007845A6" w:rsidRPr="00A32AB2">
        <w:rPr>
          <w:rFonts w:ascii="Garamond" w:hAnsi="Garamond"/>
          <w:b/>
          <w:bCs/>
          <w:iCs/>
          <w:sz w:val="22"/>
          <w:szCs w:val="22"/>
        </w:rPr>
        <w:t>1.</w:t>
      </w:r>
      <w:r w:rsidR="007845A6">
        <w:rPr>
          <w:rFonts w:ascii="Garamond" w:hAnsi="Garamond"/>
          <w:b/>
          <w:bCs/>
          <w:iCs/>
          <w:sz w:val="22"/>
          <w:szCs w:val="22"/>
        </w:rPr>
        <w:t>9</w:t>
      </w:r>
      <w:r w:rsidR="007845A6" w:rsidRPr="00A32AB2">
        <w:rPr>
          <w:rFonts w:ascii="Garamond" w:hAnsi="Garamond"/>
          <w:b/>
          <w:bCs/>
          <w:iCs/>
          <w:sz w:val="22"/>
          <w:szCs w:val="22"/>
        </w:rPr>
        <w:t>-</w:t>
      </w:r>
      <w:r w:rsidR="007845A6">
        <w:rPr>
          <w:rFonts w:ascii="Garamond" w:hAnsi="Garamond"/>
          <w:b/>
          <w:bCs/>
          <w:iCs/>
          <w:sz w:val="22"/>
          <w:szCs w:val="22"/>
        </w:rPr>
        <w:t>2</w:t>
      </w:r>
      <w:r w:rsidR="007845A6" w:rsidRPr="00A32AB2">
        <w:rPr>
          <w:rFonts w:ascii="Garamond" w:hAnsi="Garamond"/>
          <w:b/>
          <w:bCs/>
          <w:iCs/>
          <w:sz w:val="22"/>
          <w:szCs w:val="22"/>
        </w:rPr>
        <w:t>.</w:t>
      </w:r>
      <w:r w:rsidR="007845A6">
        <w:rPr>
          <w:rFonts w:ascii="Garamond" w:hAnsi="Garamond"/>
          <w:b/>
          <w:bCs/>
          <w:iCs/>
          <w:sz w:val="22"/>
          <w:szCs w:val="22"/>
        </w:rPr>
        <w:t>1</w:t>
      </w:r>
      <w:r w:rsidR="007845A6" w:rsidRPr="00A32AB2">
        <w:rPr>
          <w:rFonts w:ascii="Garamond" w:hAnsi="Garamond"/>
          <w:b/>
          <w:bCs/>
          <w:iCs/>
          <w:sz w:val="22"/>
          <w:szCs w:val="22"/>
        </w:rPr>
        <w:t xml:space="preserve"> pp </w:t>
      </w:r>
      <w:r w:rsidR="007845A6">
        <w:rPr>
          <w:rFonts w:ascii="Garamond" w:hAnsi="Garamond"/>
          <w:b/>
          <w:bCs/>
          <w:iCs/>
          <w:sz w:val="22"/>
          <w:szCs w:val="22"/>
        </w:rPr>
        <w:t xml:space="preserve">of </w:t>
      </w:r>
      <w:r w:rsidR="00A70330" w:rsidRPr="00A32AB2">
        <w:rPr>
          <w:rFonts w:ascii="Garamond" w:hAnsi="Garamond"/>
          <w:b/>
          <w:bCs/>
          <w:iCs/>
          <w:sz w:val="22"/>
          <w:szCs w:val="22"/>
        </w:rPr>
        <w:t>inflation</w:t>
      </w:r>
      <w:r w:rsidRPr="00A32AB2">
        <w:rPr>
          <w:rFonts w:ascii="Garamond" w:hAnsi="Garamond"/>
          <w:b/>
          <w:bCs/>
          <w:iCs/>
          <w:sz w:val="22"/>
          <w:szCs w:val="22"/>
        </w:rPr>
        <w:t xml:space="preserve">ary </w:t>
      </w:r>
      <w:r w:rsidR="007845A6">
        <w:rPr>
          <w:rFonts w:ascii="Garamond" w:hAnsi="Garamond"/>
          <w:b/>
          <w:bCs/>
          <w:iCs/>
          <w:sz w:val="22"/>
          <w:szCs w:val="22"/>
        </w:rPr>
        <w:t>impact</w:t>
      </w:r>
      <w:r w:rsidR="00A70330" w:rsidRPr="00A32AB2">
        <w:rPr>
          <w:rFonts w:ascii="Garamond" w:hAnsi="Garamond"/>
          <w:b/>
          <w:bCs/>
          <w:iCs/>
          <w:sz w:val="22"/>
          <w:szCs w:val="22"/>
        </w:rPr>
        <w:t>.</w:t>
      </w:r>
    </w:p>
    <w:p w14:paraId="1343BE46" w14:textId="77777777" w:rsidR="00CE2FF3" w:rsidRPr="00A32AB2" w:rsidRDefault="00CE2FF3" w:rsidP="001D74AC">
      <w:pPr>
        <w:tabs>
          <w:tab w:val="left" w:pos="5850"/>
        </w:tabs>
        <w:spacing w:line="360" w:lineRule="auto"/>
        <w:jc w:val="both"/>
        <w:rPr>
          <w:rFonts w:ascii="Garamond" w:hAnsi="Garamond"/>
          <w:b/>
          <w:bCs/>
          <w:iCs/>
          <w:sz w:val="22"/>
          <w:szCs w:val="22"/>
        </w:rPr>
      </w:pPr>
    </w:p>
    <w:p w14:paraId="28E72C7E" w14:textId="77777777" w:rsidR="009B54D7" w:rsidRPr="00A32AB2" w:rsidRDefault="00CE2FF3" w:rsidP="00CE2FF3">
      <w:pPr>
        <w:tabs>
          <w:tab w:val="left" w:pos="5850"/>
        </w:tabs>
        <w:spacing w:line="360" w:lineRule="auto"/>
        <w:jc w:val="both"/>
        <w:rPr>
          <w:rFonts w:ascii="Garamond" w:hAnsi="Garamond"/>
          <w:b/>
          <w:bCs/>
          <w:iCs/>
          <w:sz w:val="22"/>
          <w:szCs w:val="22"/>
        </w:rPr>
      </w:pPr>
      <w:r w:rsidRPr="00A32AB2">
        <w:rPr>
          <w:rFonts w:ascii="Garamond" w:hAnsi="Garamond"/>
          <w:b/>
          <w:bCs/>
          <w:iCs/>
          <w:sz w:val="22"/>
          <w:szCs w:val="22"/>
        </w:rPr>
        <w:t>2.3. Inflation forecasts and monetary policy directions in 3-year forecast horizon</w:t>
      </w:r>
    </w:p>
    <w:p w14:paraId="47A2A5EE" w14:textId="77777777" w:rsidR="00CE2FF3" w:rsidRPr="00A32AB2" w:rsidRDefault="00CE2FF3" w:rsidP="00CE2FF3">
      <w:pPr>
        <w:tabs>
          <w:tab w:val="left" w:pos="5850"/>
        </w:tabs>
        <w:spacing w:line="360" w:lineRule="auto"/>
        <w:jc w:val="both"/>
        <w:rPr>
          <w:rFonts w:ascii="Garamond" w:hAnsi="Garamond"/>
          <w:b/>
          <w:bCs/>
          <w:iCs/>
          <w:sz w:val="22"/>
          <w:szCs w:val="22"/>
        </w:rPr>
      </w:pPr>
    </w:p>
    <w:p w14:paraId="45C4723A" w14:textId="77777777" w:rsidR="00CE2FF3" w:rsidRPr="00A32AB2" w:rsidRDefault="00CD29E8" w:rsidP="00CE2FF3">
      <w:pPr>
        <w:tabs>
          <w:tab w:val="left" w:pos="5850"/>
        </w:tabs>
        <w:spacing w:line="360" w:lineRule="auto"/>
        <w:jc w:val="both"/>
        <w:rPr>
          <w:rFonts w:ascii="Garamond" w:hAnsi="Garamond" w:cs="Sylfaen"/>
          <w:b/>
          <w:color w:val="000000"/>
          <w:sz w:val="22"/>
          <w:szCs w:val="22"/>
        </w:rPr>
      </w:pPr>
      <w:r w:rsidRPr="00A32AB2">
        <w:rPr>
          <w:rFonts w:ascii="Garamond" w:hAnsi="Garamond" w:cs="Sylfaen"/>
          <w:sz w:val="22"/>
          <w:szCs w:val="22"/>
        </w:rPr>
        <w:t xml:space="preserve">With the global demand </w:t>
      </w:r>
      <w:r w:rsidR="00FE773A">
        <w:rPr>
          <w:rFonts w:ascii="Garamond" w:hAnsi="Garamond" w:cs="Sylfaen"/>
          <w:sz w:val="22"/>
          <w:szCs w:val="22"/>
        </w:rPr>
        <w:t>still sluggish</w:t>
      </w:r>
      <w:r w:rsidRPr="00A32AB2">
        <w:rPr>
          <w:rFonts w:ascii="Garamond" w:hAnsi="Garamond" w:cs="Sylfaen"/>
          <w:sz w:val="22"/>
          <w:szCs w:val="22"/>
        </w:rPr>
        <w:t>, the</w:t>
      </w:r>
      <w:r w:rsidR="00FE773A">
        <w:rPr>
          <w:rFonts w:ascii="Garamond" w:hAnsi="Garamond" w:cs="Sylfaen"/>
          <w:sz w:val="22"/>
          <w:szCs w:val="22"/>
        </w:rPr>
        <w:t xml:space="preserve">re was </w:t>
      </w:r>
      <w:r w:rsidRPr="00A32AB2">
        <w:rPr>
          <w:rFonts w:ascii="Garamond" w:hAnsi="Garamond" w:cs="Sylfaen"/>
          <w:b/>
          <w:sz w:val="22"/>
          <w:szCs w:val="22"/>
        </w:rPr>
        <w:t>some acceleration in economic activity in the main partner countries to Armenia</w:t>
      </w:r>
      <w:r w:rsidRPr="00A32AB2">
        <w:rPr>
          <w:rFonts w:ascii="Garamond" w:hAnsi="Garamond" w:cs="Sylfaen"/>
          <w:sz w:val="22"/>
          <w:szCs w:val="22"/>
        </w:rPr>
        <w:t xml:space="preserve"> </w:t>
      </w:r>
      <w:r w:rsidR="00FE773A">
        <w:rPr>
          <w:rFonts w:ascii="Garamond" w:hAnsi="Garamond" w:cs="Sylfaen"/>
          <w:sz w:val="22"/>
          <w:szCs w:val="22"/>
        </w:rPr>
        <w:t xml:space="preserve">in the third quarter of 2016. </w:t>
      </w:r>
      <w:r w:rsidR="008977BC">
        <w:rPr>
          <w:rFonts w:ascii="Garamond" w:hAnsi="Garamond" w:cs="Sylfaen"/>
          <w:sz w:val="22"/>
          <w:szCs w:val="22"/>
        </w:rPr>
        <w:t>I</w:t>
      </w:r>
      <w:r w:rsidR="00AD644C">
        <w:rPr>
          <w:rFonts w:ascii="Garamond" w:hAnsi="Garamond" w:cs="Sylfaen"/>
          <w:sz w:val="22"/>
          <w:szCs w:val="22"/>
        </w:rPr>
        <w:t>n the meantime,</w:t>
      </w:r>
      <w:r w:rsidR="008977BC">
        <w:rPr>
          <w:rFonts w:ascii="Garamond" w:hAnsi="Garamond" w:cs="Sylfaen"/>
          <w:sz w:val="22"/>
          <w:szCs w:val="22"/>
        </w:rPr>
        <w:t xml:space="preserve"> </w:t>
      </w:r>
      <w:r w:rsidR="00AD2484">
        <w:rPr>
          <w:rFonts w:ascii="Garamond" w:hAnsi="Garamond" w:cs="Sylfaen"/>
          <w:b/>
          <w:sz w:val="22"/>
          <w:szCs w:val="22"/>
        </w:rPr>
        <w:t xml:space="preserve">inflation developments </w:t>
      </w:r>
      <w:r w:rsidR="00AD2484">
        <w:rPr>
          <w:rFonts w:ascii="Sylfaen" w:hAnsi="Sylfaen" w:cs="Sylfaen"/>
          <w:b/>
          <w:sz w:val="22"/>
          <w:szCs w:val="22"/>
        </w:rPr>
        <w:t>under</w:t>
      </w:r>
      <w:r w:rsidR="00AD2484">
        <w:rPr>
          <w:rFonts w:ascii="Garamond" w:hAnsi="Garamond" w:cs="Sylfaen"/>
          <w:b/>
          <w:sz w:val="22"/>
          <w:szCs w:val="22"/>
        </w:rPr>
        <w:t xml:space="preserve"> </w:t>
      </w:r>
      <w:r w:rsidR="008977BC">
        <w:rPr>
          <w:rFonts w:ascii="Garamond" w:hAnsi="Garamond" w:cs="Sylfaen"/>
          <w:sz w:val="22"/>
          <w:szCs w:val="22"/>
        </w:rPr>
        <w:t xml:space="preserve">reduced supply factors in the external </w:t>
      </w:r>
      <w:r w:rsidR="00F91EB5">
        <w:rPr>
          <w:rFonts w:ascii="Garamond" w:hAnsi="Garamond" w:cs="Sylfaen"/>
          <w:sz w:val="22"/>
          <w:szCs w:val="22"/>
        </w:rPr>
        <w:t>environment</w:t>
      </w:r>
      <w:r w:rsidR="008977BC">
        <w:rPr>
          <w:rFonts w:ascii="Garamond" w:hAnsi="Garamond" w:cs="Sylfaen"/>
          <w:sz w:val="22"/>
          <w:szCs w:val="22"/>
        </w:rPr>
        <w:t xml:space="preserve"> </w:t>
      </w:r>
      <w:r w:rsidR="00AD644C">
        <w:rPr>
          <w:rFonts w:ascii="Garamond" w:hAnsi="Garamond" w:cs="Sylfaen"/>
          <w:b/>
          <w:sz w:val="22"/>
          <w:szCs w:val="22"/>
        </w:rPr>
        <w:t xml:space="preserve">were mostly </w:t>
      </w:r>
      <w:r w:rsidR="008977BC">
        <w:rPr>
          <w:rFonts w:ascii="Garamond" w:hAnsi="Garamond" w:cs="Sylfaen"/>
          <w:b/>
          <w:sz w:val="22"/>
          <w:szCs w:val="22"/>
        </w:rPr>
        <w:t>consistent with the previous program foreca</w:t>
      </w:r>
      <w:r w:rsidR="008977BC" w:rsidRPr="008977BC">
        <w:rPr>
          <w:rFonts w:ascii="Garamond" w:hAnsi="Garamond" w:cs="Sylfaen"/>
          <w:b/>
          <w:sz w:val="22"/>
          <w:szCs w:val="22"/>
        </w:rPr>
        <w:t>sts</w:t>
      </w:r>
      <w:r w:rsidR="00B04247" w:rsidRPr="008977BC">
        <w:rPr>
          <w:rFonts w:ascii="Garamond" w:hAnsi="Garamond" w:cs="Sylfaen"/>
          <w:b/>
          <w:sz w:val="22"/>
          <w:szCs w:val="22"/>
        </w:rPr>
        <w:t xml:space="preserve">, </w:t>
      </w:r>
      <w:r w:rsidR="00AC2FAF" w:rsidRPr="008977BC">
        <w:rPr>
          <w:rFonts w:ascii="Garamond" w:hAnsi="Garamond" w:cs="Sylfaen"/>
          <w:b/>
          <w:sz w:val="22"/>
          <w:szCs w:val="22"/>
        </w:rPr>
        <w:t xml:space="preserve">although </w:t>
      </w:r>
      <w:r w:rsidR="008977BC" w:rsidRPr="008977BC">
        <w:rPr>
          <w:rFonts w:ascii="Garamond" w:hAnsi="Garamond" w:cs="Sylfaen"/>
          <w:b/>
          <w:sz w:val="22"/>
          <w:szCs w:val="22"/>
        </w:rPr>
        <w:t xml:space="preserve">price inflation in </w:t>
      </w:r>
      <w:r w:rsidR="00AC2FAF" w:rsidRPr="008977BC">
        <w:rPr>
          <w:rFonts w:ascii="Garamond" w:hAnsi="Garamond" w:cs="Sylfaen"/>
          <w:b/>
          <w:sz w:val="22"/>
          <w:szCs w:val="22"/>
        </w:rPr>
        <w:t>respect of a number of food products</w:t>
      </w:r>
      <w:r w:rsidR="008977BC" w:rsidRPr="008977BC">
        <w:rPr>
          <w:rFonts w:ascii="Garamond" w:hAnsi="Garamond" w:cs="Sylfaen"/>
          <w:b/>
          <w:sz w:val="22"/>
          <w:szCs w:val="22"/>
        </w:rPr>
        <w:t xml:space="preserve"> somehow exceeded the expectations</w:t>
      </w:r>
      <w:r w:rsidR="00AC2FAF" w:rsidRPr="008977BC">
        <w:rPr>
          <w:rFonts w:ascii="Garamond" w:hAnsi="Garamond" w:cs="Sylfaen"/>
          <w:b/>
          <w:sz w:val="22"/>
          <w:szCs w:val="22"/>
        </w:rPr>
        <w:t>.</w:t>
      </w:r>
      <w:r w:rsidR="00AC2FAF" w:rsidRPr="00A32AB2">
        <w:rPr>
          <w:rFonts w:ascii="Garamond" w:hAnsi="Garamond" w:cs="Sylfaen"/>
          <w:sz w:val="22"/>
          <w:szCs w:val="22"/>
        </w:rPr>
        <w:t xml:space="preserve"> </w:t>
      </w:r>
    </w:p>
    <w:p w14:paraId="1C5F01F3" w14:textId="77777777" w:rsidR="00DB0661" w:rsidRPr="00A32AB2" w:rsidRDefault="00DB0661" w:rsidP="00CE2FF3">
      <w:pPr>
        <w:tabs>
          <w:tab w:val="left" w:pos="5850"/>
        </w:tabs>
        <w:spacing w:line="360" w:lineRule="auto"/>
        <w:jc w:val="both"/>
        <w:rPr>
          <w:rFonts w:ascii="Garamond" w:hAnsi="Garamond" w:cs="Sylfaen"/>
          <w:b/>
          <w:color w:val="000000"/>
          <w:sz w:val="22"/>
          <w:szCs w:val="22"/>
        </w:rPr>
      </w:pPr>
    </w:p>
    <w:p w14:paraId="03DA89D1" w14:textId="77777777" w:rsidR="00DB0661" w:rsidRPr="00A32AB2" w:rsidRDefault="00DB0661" w:rsidP="00CE2FF3">
      <w:pPr>
        <w:tabs>
          <w:tab w:val="left" w:pos="5850"/>
        </w:tabs>
        <w:spacing w:line="360" w:lineRule="auto"/>
        <w:jc w:val="both"/>
        <w:rPr>
          <w:rFonts w:ascii="Garamond" w:hAnsi="Garamond" w:cs="Sylfaen"/>
          <w:sz w:val="22"/>
          <w:szCs w:val="22"/>
        </w:rPr>
      </w:pPr>
      <w:r w:rsidRPr="00A32AB2">
        <w:rPr>
          <w:rFonts w:ascii="Garamond" w:hAnsi="Garamond"/>
          <w:b/>
          <w:iCs/>
          <w:sz w:val="22"/>
          <w:szCs w:val="22"/>
        </w:rPr>
        <w:t>In the forecast horizon</w:t>
      </w:r>
      <w:r w:rsidRPr="00A32AB2">
        <w:rPr>
          <w:rFonts w:ascii="Garamond" w:hAnsi="Garamond"/>
          <w:iCs/>
          <w:sz w:val="22"/>
          <w:szCs w:val="22"/>
        </w:rPr>
        <w:t xml:space="preserve"> </w:t>
      </w:r>
      <w:r w:rsidRPr="00A32AB2">
        <w:rPr>
          <w:rFonts w:ascii="Garamond" w:hAnsi="Garamond"/>
          <w:b/>
          <w:iCs/>
          <w:sz w:val="22"/>
          <w:szCs w:val="22"/>
        </w:rPr>
        <w:t>global economic growth will continue at a slow pace</w:t>
      </w:r>
      <w:r w:rsidR="00454718" w:rsidRPr="00A32AB2">
        <w:rPr>
          <w:rFonts w:ascii="Garamond" w:hAnsi="Garamond"/>
          <w:iCs/>
          <w:sz w:val="22"/>
          <w:szCs w:val="22"/>
        </w:rPr>
        <w:t>.</w:t>
      </w:r>
      <w:r w:rsidR="00BE7257" w:rsidRPr="00A32AB2">
        <w:rPr>
          <w:rFonts w:ascii="Garamond" w:hAnsi="Garamond"/>
          <w:iCs/>
          <w:sz w:val="22"/>
          <w:szCs w:val="22"/>
          <w:lang w:val="hy-AM"/>
        </w:rPr>
        <w:t xml:space="preserve"> </w:t>
      </w:r>
      <w:r w:rsidR="00454718" w:rsidRPr="00A32AB2">
        <w:rPr>
          <w:rFonts w:ascii="Garamond" w:hAnsi="Garamond"/>
          <w:iCs/>
          <w:sz w:val="22"/>
          <w:szCs w:val="22"/>
        </w:rPr>
        <w:t>W</w:t>
      </w:r>
      <w:r w:rsidRPr="00A32AB2">
        <w:rPr>
          <w:rFonts w:ascii="Garamond" w:hAnsi="Garamond"/>
          <w:iCs/>
          <w:sz w:val="22"/>
          <w:szCs w:val="22"/>
        </w:rPr>
        <w:t xml:space="preserve">hile economic growth </w:t>
      </w:r>
      <w:r w:rsidR="00AD2484">
        <w:rPr>
          <w:rFonts w:ascii="Garamond" w:hAnsi="Garamond"/>
          <w:iCs/>
          <w:sz w:val="22"/>
          <w:szCs w:val="22"/>
        </w:rPr>
        <w:t>is</w:t>
      </w:r>
      <w:r w:rsidR="00454718" w:rsidRPr="00A32AB2">
        <w:rPr>
          <w:rFonts w:ascii="Garamond" w:hAnsi="Garamond"/>
          <w:iCs/>
          <w:sz w:val="22"/>
          <w:szCs w:val="22"/>
        </w:rPr>
        <w:t xml:space="preserve"> predicted to </w:t>
      </w:r>
      <w:r w:rsidR="00C47E98" w:rsidRPr="00A32AB2">
        <w:rPr>
          <w:rFonts w:ascii="Garamond" w:hAnsi="Garamond"/>
          <w:iCs/>
          <w:sz w:val="22"/>
          <w:szCs w:val="22"/>
        </w:rPr>
        <w:t>some</w:t>
      </w:r>
      <w:r w:rsidR="008977BC">
        <w:rPr>
          <w:rFonts w:ascii="Garamond" w:hAnsi="Garamond"/>
          <w:iCs/>
          <w:sz w:val="22"/>
          <w:szCs w:val="22"/>
        </w:rPr>
        <w:t xml:space="preserve">what </w:t>
      </w:r>
      <w:r w:rsidR="00454718" w:rsidRPr="00A32AB2">
        <w:rPr>
          <w:rFonts w:ascii="Garamond" w:hAnsi="Garamond"/>
          <w:iCs/>
          <w:sz w:val="22"/>
          <w:szCs w:val="22"/>
        </w:rPr>
        <w:t xml:space="preserve">accelerate </w:t>
      </w:r>
      <w:r w:rsidRPr="00A32AB2">
        <w:rPr>
          <w:rFonts w:ascii="Garamond" w:hAnsi="Garamond"/>
          <w:iCs/>
          <w:sz w:val="22"/>
          <w:szCs w:val="22"/>
        </w:rPr>
        <w:t>in develop</w:t>
      </w:r>
      <w:r w:rsidR="00C47E98" w:rsidRPr="00A32AB2">
        <w:rPr>
          <w:rFonts w:ascii="Garamond" w:hAnsi="Garamond"/>
          <w:iCs/>
          <w:sz w:val="22"/>
          <w:szCs w:val="22"/>
        </w:rPr>
        <w:t>ing</w:t>
      </w:r>
      <w:r w:rsidRPr="00A32AB2">
        <w:rPr>
          <w:rFonts w:ascii="Garamond" w:hAnsi="Garamond"/>
          <w:iCs/>
          <w:sz w:val="22"/>
          <w:szCs w:val="22"/>
        </w:rPr>
        <w:t xml:space="preserve"> countries, </w:t>
      </w:r>
      <w:r w:rsidR="00AD2484">
        <w:rPr>
          <w:rFonts w:ascii="Garamond" w:hAnsi="Garamond"/>
          <w:iCs/>
          <w:sz w:val="22"/>
          <w:szCs w:val="22"/>
        </w:rPr>
        <w:t xml:space="preserve">it </w:t>
      </w:r>
      <w:r w:rsidRPr="00A32AB2">
        <w:rPr>
          <w:rFonts w:ascii="Garamond" w:hAnsi="Garamond"/>
          <w:iCs/>
          <w:sz w:val="22"/>
          <w:szCs w:val="22"/>
        </w:rPr>
        <w:t xml:space="preserve">will </w:t>
      </w:r>
      <w:r w:rsidR="00C47E98" w:rsidRPr="00A32AB2">
        <w:rPr>
          <w:rFonts w:ascii="Garamond" w:hAnsi="Garamond"/>
          <w:iCs/>
          <w:sz w:val="22"/>
          <w:szCs w:val="22"/>
        </w:rPr>
        <w:t xml:space="preserve">remain sluggish </w:t>
      </w:r>
      <w:r w:rsidRPr="00A32AB2">
        <w:rPr>
          <w:rFonts w:ascii="Garamond" w:hAnsi="Garamond"/>
          <w:iCs/>
          <w:sz w:val="22"/>
          <w:szCs w:val="22"/>
        </w:rPr>
        <w:t>in develop</w:t>
      </w:r>
      <w:r w:rsidR="00C47E98" w:rsidRPr="00A32AB2">
        <w:rPr>
          <w:rFonts w:ascii="Garamond" w:hAnsi="Garamond"/>
          <w:iCs/>
          <w:sz w:val="22"/>
          <w:szCs w:val="22"/>
        </w:rPr>
        <w:t xml:space="preserve">ed </w:t>
      </w:r>
      <w:r w:rsidRPr="00A32AB2">
        <w:rPr>
          <w:rFonts w:ascii="Garamond" w:hAnsi="Garamond"/>
          <w:iCs/>
          <w:sz w:val="22"/>
          <w:szCs w:val="22"/>
        </w:rPr>
        <w:t xml:space="preserve">countries. </w:t>
      </w:r>
      <w:r w:rsidR="008977BC">
        <w:rPr>
          <w:rFonts w:ascii="Garamond" w:hAnsi="Garamond"/>
          <w:iCs/>
          <w:sz w:val="22"/>
          <w:szCs w:val="22"/>
        </w:rPr>
        <w:lastRenderedPageBreak/>
        <w:t>M</w:t>
      </w:r>
      <w:r w:rsidRPr="00A32AB2">
        <w:rPr>
          <w:rFonts w:ascii="Garamond" w:hAnsi="Garamond"/>
          <w:iCs/>
          <w:sz w:val="22"/>
          <w:szCs w:val="22"/>
        </w:rPr>
        <w:t>ean</w:t>
      </w:r>
      <w:r w:rsidR="008977BC">
        <w:rPr>
          <w:rFonts w:ascii="Garamond" w:hAnsi="Garamond"/>
          <w:iCs/>
          <w:sz w:val="22"/>
          <w:szCs w:val="22"/>
        </w:rPr>
        <w:t>while</w:t>
      </w:r>
      <w:r w:rsidRPr="00A32AB2">
        <w:rPr>
          <w:rFonts w:ascii="Garamond" w:hAnsi="Garamond"/>
          <w:iCs/>
          <w:sz w:val="22"/>
          <w:szCs w:val="22"/>
        </w:rPr>
        <w:t xml:space="preserve">, </w:t>
      </w:r>
      <w:r w:rsidR="00AD5403" w:rsidRPr="00A32AB2">
        <w:rPr>
          <w:rFonts w:ascii="Garamond" w:hAnsi="Garamond"/>
          <w:iCs/>
          <w:sz w:val="22"/>
          <w:szCs w:val="22"/>
        </w:rPr>
        <w:t xml:space="preserve">risks and uncertainties about further pace of the global economy, pinpointed in the previous forecast, will </w:t>
      </w:r>
      <w:r w:rsidR="002C49F7">
        <w:rPr>
          <w:rFonts w:ascii="Garamond" w:hAnsi="Garamond"/>
          <w:iCs/>
          <w:sz w:val="22"/>
          <w:szCs w:val="22"/>
        </w:rPr>
        <w:t>most likely persist.</w:t>
      </w:r>
      <w:r w:rsidR="00BE7257" w:rsidRPr="00A32AB2">
        <w:rPr>
          <w:rFonts w:ascii="Garamond" w:hAnsi="Garamond"/>
          <w:iCs/>
          <w:sz w:val="22"/>
          <w:szCs w:val="22"/>
          <w:lang w:val="hy-AM"/>
        </w:rPr>
        <w:t xml:space="preserve"> </w:t>
      </w:r>
    </w:p>
    <w:p w14:paraId="71E5D5CA" w14:textId="77777777" w:rsidR="005341FC" w:rsidRPr="00A32AB2" w:rsidRDefault="005341FC" w:rsidP="00CE2FF3">
      <w:pPr>
        <w:tabs>
          <w:tab w:val="left" w:pos="5850"/>
        </w:tabs>
        <w:spacing w:line="360" w:lineRule="auto"/>
        <w:jc w:val="both"/>
        <w:rPr>
          <w:rFonts w:ascii="Garamond" w:hAnsi="Garamond" w:cs="Sylfaen"/>
          <w:sz w:val="22"/>
          <w:szCs w:val="22"/>
        </w:rPr>
      </w:pPr>
    </w:p>
    <w:p w14:paraId="19478F6F" w14:textId="77777777" w:rsidR="005341FC" w:rsidRPr="00A32AB2" w:rsidRDefault="00D81DBC" w:rsidP="00CE2FF3">
      <w:pPr>
        <w:tabs>
          <w:tab w:val="left" w:pos="5850"/>
        </w:tabs>
        <w:spacing w:line="360" w:lineRule="auto"/>
        <w:jc w:val="both"/>
        <w:rPr>
          <w:rStyle w:val="longtext"/>
          <w:rFonts w:ascii="Garamond" w:hAnsi="Garamond"/>
          <w:color w:val="000000"/>
          <w:sz w:val="22"/>
          <w:szCs w:val="22"/>
          <w:shd w:val="clear" w:color="auto" w:fill="FFFFFF"/>
        </w:rPr>
      </w:pPr>
      <w:r>
        <w:rPr>
          <w:rStyle w:val="longtext"/>
          <w:rFonts w:ascii="Garamond" w:hAnsi="Garamond"/>
          <w:b/>
          <w:color w:val="000000"/>
          <w:sz w:val="22"/>
          <w:szCs w:val="22"/>
          <w:shd w:val="clear" w:color="auto" w:fill="FFFFFF"/>
        </w:rPr>
        <w:t>A weak inflationary environment will be observable in in</w:t>
      </w:r>
      <w:r w:rsidR="003B0DC1" w:rsidRPr="00A32AB2">
        <w:rPr>
          <w:rStyle w:val="longtext"/>
          <w:rFonts w:ascii="Garamond" w:hAnsi="Garamond"/>
          <w:b/>
          <w:color w:val="000000"/>
          <w:sz w:val="22"/>
          <w:szCs w:val="22"/>
          <w:shd w:val="clear" w:color="auto" w:fill="FFFFFF"/>
        </w:rPr>
        <w:t>ternational markets of commodities and food products</w:t>
      </w:r>
      <w:r>
        <w:rPr>
          <w:rStyle w:val="longtext"/>
          <w:rFonts w:ascii="Garamond" w:hAnsi="Garamond"/>
          <w:color w:val="000000"/>
          <w:sz w:val="22"/>
          <w:szCs w:val="22"/>
          <w:shd w:val="clear" w:color="auto" w:fill="FFFFFF"/>
        </w:rPr>
        <w:t xml:space="preserve">, except wheat market, </w:t>
      </w:r>
      <w:r w:rsidR="003B0DC1" w:rsidRPr="00A32AB2">
        <w:rPr>
          <w:rStyle w:val="longtext"/>
          <w:rFonts w:ascii="Garamond" w:hAnsi="Garamond"/>
          <w:color w:val="000000"/>
          <w:sz w:val="22"/>
          <w:szCs w:val="22"/>
          <w:shd w:val="clear" w:color="auto" w:fill="FFFFFF"/>
        </w:rPr>
        <w:t>due to supply factors.</w:t>
      </w:r>
      <w:r w:rsidR="005341FC" w:rsidRPr="00A32AB2">
        <w:rPr>
          <w:rStyle w:val="longtext"/>
          <w:rFonts w:ascii="Garamond" w:hAnsi="Garamond"/>
          <w:color w:val="000000"/>
          <w:sz w:val="22"/>
          <w:szCs w:val="22"/>
          <w:shd w:val="clear" w:color="auto" w:fill="FFFFFF"/>
        </w:rPr>
        <w:t xml:space="preserve"> In</w:t>
      </w:r>
      <w:r w:rsidR="004E5D71" w:rsidRPr="00A32AB2">
        <w:rPr>
          <w:rStyle w:val="longtext"/>
          <w:rFonts w:ascii="Garamond" w:hAnsi="Garamond"/>
          <w:color w:val="000000"/>
          <w:sz w:val="22"/>
          <w:szCs w:val="22"/>
          <w:shd w:val="clear" w:color="auto" w:fill="FFFFFF"/>
        </w:rPr>
        <w:t xml:space="preserve"> the forecast horizon in</w:t>
      </w:r>
      <w:r w:rsidR="005341FC" w:rsidRPr="00A32AB2">
        <w:rPr>
          <w:rStyle w:val="longtext"/>
          <w:rFonts w:ascii="Garamond" w:hAnsi="Garamond"/>
          <w:color w:val="000000"/>
          <w:sz w:val="22"/>
          <w:szCs w:val="22"/>
          <w:shd w:val="clear" w:color="auto" w:fill="FFFFFF"/>
        </w:rPr>
        <w:t xml:space="preserve">ternational prices of commodities and food products </w:t>
      </w:r>
      <w:r w:rsidR="004E5D71" w:rsidRPr="00A32AB2">
        <w:rPr>
          <w:rStyle w:val="longtext"/>
          <w:rFonts w:ascii="Garamond" w:hAnsi="Garamond"/>
          <w:color w:val="000000"/>
          <w:sz w:val="22"/>
          <w:szCs w:val="22"/>
          <w:shd w:val="clear" w:color="auto" w:fill="FFFFFF"/>
        </w:rPr>
        <w:t xml:space="preserve">will trend slowly upward </w:t>
      </w:r>
      <w:r w:rsidR="005341FC" w:rsidRPr="00A32AB2">
        <w:rPr>
          <w:rStyle w:val="longtext"/>
          <w:rFonts w:ascii="Garamond" w:hAnsi="Garamond"/>
          <w:color w:val="000000"/>
          <w:sz w:val="22"/>
          <w:szCs w:val="22"/>
          <w:shd w:val="clear" w:color="auto" w:fill="FFFFFF"/>
        </w:rPr>
        <w:t>as global demand re</w:t>
      </w:r>
      <w:r w:rsidR="004506E9">
        <w:rPr>
          <w:rStyle w:val="longtext"/>
          <w:rFonts w:ascii="Garamond" w:hAnsi="Garamond"/>
          <w:color w:val="000000"/>
          <w:sz w:val="22"/>
          <w:szCs w:val="22"/>
          <w:shd w:val="clear" w:color="auto" w:fill="FFFFFF"/>
        </w:rPr>
        <w:t xml:space="preserve">covers gradually and output </w:t>
      </w:r>
      <w:r w:rsidR="005341FC" w:rsidRPr="00A32AB2">
        <w:rPr>
          <w:rStyle w:val="longtext"/>
          <w:rFonts w:ascii="Garamond" w:hAnsi="Garamond"/>
          <w:color w:val="000000"/>
          <w:sz w:val="22"/>
          <w:szCs w:val="22"/>
          <w:shd w:val="clear" w:color="auto" w:fill="FFFFFF"/>
        </w:rPr>
        <w:t xml:space="preserve">volumes </w:t>
      </w:r>
      <w:r w:rsidR="00AC238F" w:rsidRPr="00A32AB2">
        <w:rPr>
          <w:rStyle w:val="longtext"/>
          <w:rFonts w:ascii="Garamond" w:hAnsi="Garamond"/>
          <w:color w:val="000000"/>
          <w:sz w:val="22"/>
          <w:szCs w:val="22"/>
          <w:shd w:val="clear" w:color="auto" w:fill="FFFFFF"/>
        </w:rPr>
        <w:t>reduce</w:t>
      </w:r>
      <w:r w:rsidR="005341FC" w:rsidRPr="00A32AB2">
        <w:rPr>
          <w:rStyle w:val="longtext"/>
          <w:rFonts w:ascii="Garamond" w:hAnsi="Garamond"/>
          <w:color w:val="000000"/>
          <w:sz w:val="22"/>
          <w:szCs w:val="22"/>
          <w:shd w:val="clear" w:color="auto" w:fill="FFFFFF"/>
        </w:rPr>
        <w:t>.</w:t>
      </w:r>
    </w:p>
    <w:p w14:paraId="69566246" w14:textId="77777777" w:rsidR="00AD742C" w:rsidRPr="00A32AB2" w:rsidRDefault="00AD742C" w:rsidP="00CE2FF3">
      <w:pPr>
        <w:tabs>
          <w:tab w:val="left" w:pos="5850"/>
        </w:tabs>
        <w:spacing w:line="360" w:lineRule="auto"/>
        <w:jc w:val="both"/>
        <w:rPr>
          <w:rStyle w:val="longtext"/>
          <w:rFonts w:ascii="Garamond" w:hAnsi="Garamond"/>
          <w:color w:val="000000"/>
          <w:sz w:val="22"/>
          <w:szCs w:val="22"/>
          <w:shd w:val="clear" w:color="auto" w:fill="FFFFFF"/>
        </w:rPr>
      </w:pPr>
    </w:p>
    <w:p w14:paraId="3205062D" w14:textId="77777777" w:rsidR="00D11F44" w:rsidRPr="00A32AB2" w:rsidRDefault="00C36E7C" w:rsidP="00CE2FF3">
      <w:pPr>
        <w:tabs>
          <w:tab w:val="left" w:pos="5850"/>
        </w:tabs>
        <w:spacing w:line="360" w:lineRule="auto"/>
        <w:jc w:val="both"/>
        <w:rPr>
          <w:rFonts w:ascii="Garamond" w:hAnsi="Garamond" w:cs="Sylfaen"/>
          <w:color w:val="000000"/>
          <w:sz w:val="22"/>
          <w:szCs w:val="22"/>
        </w:rPr>
      </w:pPr>
      <w:r w:rsidRPr="00C36E7C">
        <w:rPr>
          <w:rFonts w:ascii="Garamond" w:hAnsi="Garamond" w:cs="Sylfaen"/>
          <w:b/>
          <w:color w:val="000000"/>
          <w:sz w:val="22"/>
          <w:szCs w:val="22"/>
        </w:rPr>
        <w:t xml:space="preserve">The </w:t>
      </w:r>
      <w:r w:rsidR="00AD742C" w:rsidRPr="00C36E7C">
        <w:rPr>
          <w:rFonts w:ascii="Garamond" w:hAnsi="Garamond" w:cs="Sylfaen"/>
          <w:b/>
          <w:color w:val="000000"/>
          <w:sz w:val="22"/>
          <w:szCs w:val="22"/>
        </w:rPr>
        <w:t>economic growth rate</w:t>
      </w:r>
      <w:r w:rsidRPr="00C36E7C">
        <w:rPr>
          <w:rFonts w:ascii="Garamond" w:hAnsi="Garamond" w:cs="Sylfaen"/>
          <w:b/>
          <w:color w:val="000000"/>
          <w:sz w:val="22"/>
          <w:szCs w:val="22"/>
        </w:rPr>
        <w:t xml:space="preserve"> published as of the first half of 2016 </w:t>
      </w:r>
      <w:r w:rsidR="00234079">
        <w:rPr>
          <w:rFonts w:ascii="Garamond" w:hAnsi="Garamond" w:cs="Sylfaen"/>
          <w:b/>
          <w:color w:val="000000"/>
          <w:sz w:val="22"/>
          <w:szCs w:val="22"/>
        </w:rPr>
        <w:t xml:space="preserve">has been </w:t>
      </w:r>
      <w:r w:rsidRPr="00C36E7C">
        <w:rPr>
          <w:rFonts w:ascii="Garamond" w:hAnsi="Garamond" w:cs="Sylfaen"/>
          <w:b/>
          <w:color w:val="000000"/>
          <w:sz w:val="22"/>
          <w:szCs w:val="22"/>
        </w:rPr>
        <w:t>2.8%</w:t>
      </w:r>
      <w:r w:rsidRPr="00C36E7C">
        <w:rPr>
          <w:rFonts w:ascii="Garamond" w:hAnsi="Garamond" w:cs="Sylfaen"/>
          <w:color w:val="000000"/>
          <w:sz w:val="22"/>
          <w:szCs w:val="22"/>
        </w:rPr>
        <w:t>,</w:t>
      </w:r>
      <w:r>
        <w:rPr>
          <w:rFonts w:ascii="Garamond" w:hAnsi="Garamond" w:cs="Sylfaen"/>
          <w:b/>
          <w:color w:val="000000"/>
          <w:sz w:val="22"/>
          <w:szCs w:val="22"/>
        </w:rPr>
        <w:t xml:space="preserve"> </w:t>
      </w:r>
      <w:r w:rsidRPr="00C36E7C">
        <w:rPr>
          <w:rFonts w:ascii="Garamond" w:hAnsi="Garamond" w:cs="Sylfaen"/>
          <w:color w:val="000000"/>
          <w:sz w:val="22"/>
          <w:szCs w:val="22"/>
        </w:rPr>
        <w:t>which is 1.2 pp smaller from</w:t>
      </w:r>
      <w:r>
        <w:rPr>
          <w:rFonts w:ascii="Garamond" w:hAnsi="Garamond" w:cs="Sylfaen"/>
          <w:color w:val="000000"/>
          <w:sz w:val="22"/>
          <w:szCs w:val="22"/>
        </w:rPr>
        <w:t xml:space="preserve"> the previous CBA estimate</w:t>
      </w:r>
      <w:r w:rsidR="005D7302">
        <w:rPr>
          <w:rFonts w:ascii="Garamond" w:hAnsi="Garamond" w:cs="Sylfaen"/>
          <w:color w:val="000000"/>
          <w:sz w:val="22"/>
          <w:szCs w:val="22"/>
        </w:rPr>
        <w:t>.</w:t>
      </w:r>
      <w:r w:rsidRPr="00C36E7C">
        <w:rPr>
          <w:rFonts w:ascii="Garamond" w:hAnsi="Garamond" w:cs="Sylfaen"/>
          <w:color w:val="000000"/>
          <w:sz w:val="22"/>
          <w:szCs w:val="22"/>
        </w:rPr>
        <w:t xml:space="preserve"> </w:t>
      </w:r>
      <w:r w:rsidR="00234079">
        <w:rPr>
          <w:rFonts w:ascii="Garamond" w:hAnsi="Garamond" w:cs="Sylfaen"/>
          <w:color w:val="000000"/>
          <w:sz w:val="22"/>
          <w:szCs w:val="22"/>
        </w:rPr>
        <w:t>Relat</w:t>
      </w:r>
      <w:r w:rsidR="00234079" w:rsidRPr="00234079">
        <w:rPr>
          <w:rFonts w:ascii="Garamond" w:hAnsi="Garamond" w:cs="Sylfaen"/>
          <w:color w:val="000000"/>
          <w:sz w:val="22"/>
          <w:szCs w:val="22"/>
        </w:rPr>
        <w:t xml:space="preserve">ively high economic growth expectations </w:t>
      </w:r>
      <w:r w:rsidR="00234079">
        <w:rPr>
          <w:rFonts w:ascii="Garamond" w:hAnsi="Garamond" w:cs="Sylfaen"/>
          <w:color w:val="000000"/>
          <w:sz w:val="22"/>
          <w:szCs w:val="22"/>
        </w:rPr>
        <w:t>by the CBA in p</w:t>
      </w:r>
      <w:r w:rsidR="00234079" w:rsidRPr="00234079">
        <w:rPr>
          <w:rFonts w:ascii="Garamond" w:hAnsi="Garamond" w:cs="Sylfaen"/>
          <w:color w:val="000000"/>
          <w:sz w:val="22"/>
          <w:szCs w:val="22"/>
        </w:rPr>
        <w:t xml:space="preserve">revious forecasts </w:t>
      </w:r>
      <w:r w:rsidR="00234079">
        <w:rPr>
          <w:rFonts w:ascii="Garamond" w:hAnsi="Garamond" w:cs="Sylfaen"/>
          <w:color w:val="000000"/>
          <w:sz w:val="22"/>
          <w:szCs w:val="22"/>
        </w:rPr>
        <w:t xml:space="preserve">was </w:t>
      </w:r>
      <w:r w:rsidR="00234079" w:rsidRPr="00234079">
        <w:rPr>
          <w:rFonts w:ascii="Garamond" w:hAnsi="Garamond" w:cs="Sylfaen"/>
          <w:color w:val="000000"/>
          <w:sz w:val="22"/>
          <w:szCs w:val="22"/>
        </w:rPr>
        <w:t xml:space="preserve">due to </w:t>
      </w:r>
      <w:r w:rsidR="00234079">
        <w:rPr>
          <w:rFonts w:ascii="Garamond" w:hAnsi="Garamond" w:cs="Sylfaen"/>
          <w:color w:val="000000"/>
          <w:sz w:val="22"/>
          <w:szCs w:val="22"/>
        </w:rPr>
        <w:t xml:space="preserve">earlier </w:t>
      </w:r>
      <w:r w:rsidR="000B24F7">
        <w:rPr>
          <w:rFonts w:ascii="Garamond" w:hAnsi="Garamond" w:cs="Sylfaen"/>
          <w:color w:val="000000"/>
          <w:sz w:val="22"/>
          <w:szCs w:val="22"/>
        </w:rPr>
        <w:t xml:space="preserve">reported </w:t>
      </w:r>
      <w:r w:rsidR="00234079" w:rsidRPr="00234079">
        <w:rPr>
          <w:rFonts w:ascii="Garamond" w:hAnsi="Garamond" w:cs="Sylfaen"/>
          <w:color w:val="000000"/>
          <w:sz w:val="22"/>
          <w:szCs w:val="22"/>
        </w:rPr>
        <w:t>4.7% growth in economic activity for the first half of the year.</w:t>
      </w:r>
      <w:r w:rsidR="000B24F7">
        <w:rPr>
          <w:rFonts w:ascii="Garamond" w:hAnsi="Garamond" w:cs="Sylfaen"/>
          <w:color w:val="000000"/>
          <w:sz w:val="22"/>
          <w:szCs w:val="22"/>
        </w:rPr>
        <w:t xml:space="preserve"> </w:t>
      </w:r>
      <w:r w:rsidR="00162C9B" w:rsidRPr="00A32AB2">
        <w:rPr>
          <w:rFonts w:ascii="Garamond" w:hAnsi="Garamond" w:cs="Sylfaen"/>
          <w:color w:val="000000"/>
          <w:sz w:val="22"/>
          <w:szCs w:val="22"/>
        </w:rPr>
        <w:t xml:space="preserve">In this case, the economic growth in </w:t>
      </w:r>
      <w:r w:rsidR="000B24F7">
        <w:rPr>
          <w:rFonts w:ascii="Garamond" w:hAnsi="Garamond" w:cs="Sylfaen"/>
          <w:color w:val="000000"/>
          <w:sz w:val="22"/>
          <w:szCs w:val="22"/>
        </w:rPr>
        <w:t xml:space="preserve">January-September is expected below the prediction, </w:t>
      </w:r>
      <w:r w:rsidR="00162C9B" w:rsidRPr="00A32AB2">
        <w:rPr>
          <w:rFonts w:ascii="Garamond" w:hAnsi="Garamond" w:cs="Sylfaen"/>
          <w:color w:val="000000"/>
          <w:sz w:val="22"/>
          <w:szCs w:val="22"/>
        </w:rPr>
        <w:t xml:space="preserve">in the range of </w:t>
      </w:r>
      <w:r w:rsidR="000B24F7">
        <w:rPr>
          <w:rFonts w:ascii="Garamond" w:hAnsi="Garamond" w:cs="Sylfaen"/>
          <w:b/>
          <w:color w:val="000000"/>
          <w:sz w:val="22"/>
          <w:szCs w:val="22"/>
        </w:rPr>
        <w:t>1</w:t>
      </w:r>
      <w:r w:rsidR="00162C9B" w:rsidRPr="00A32AB2">
        <w:rPr>
          <w:rFonts w:ascii="Garamond" w:hAnsi="Garamond" w:cs="Sylfaen"/>
          <w:b/>
          <w:color w:val="000000"/>
          <w:sz w:val="22"/>
          <w:szCs w:val="22"/>
        </w:rPr>
        <w:t>.</w:t>
      </w:r>
      <w:r w:rsidR="000B24F7">
        <w:rPr>
          <w:rFonts w:ascii="Garamond" w:hAnsi="Garamond" w:cs="Sylfaen"/>
          <w:b/>
          <w:color w:val="000000"/>
          <w:sz w:val="22"/>
          <w:szCs w:val="22"/>
        </w:rPr>
        <w:t>3</w:t>
      </w:r>
      <w:r w:rsidR="00162C9B" w:rsidRPr="00A32AB2">
        <w:rPr>
          <w:rFonts w:ascii="Garamond" w:hAnsi="Garamond" w:cs="Sylfaen"/>
          <w:b/>
          <w:color w:val="000000"/>
          <w:sz w:val="22"/>
          <w:szCs w:val="22"/>
        </w:rPr>
        <w:t>-</w:t>
      </w:r>
      <w:r w:rsidR="000B24F7">
        <w:rPr>
          <w:rFonts w:ascii="Garamond" w:hAnsi="Garamond" w:cs="Sylfaen"/>
          <w:b/>
          <w:color w:val="000000"/>
          <w:sz w:val="22"/>
          <w:szCs w:val="22"/>
        </w:rPr>
        <w:t>1</w:t>
      </w:r>
      <w:r w:rsidR="00162C9B" w:rsidRPr="00A32AB2">
        <w:rPr>
          <w:rFonts w:ascii="Garamond" w:hAnsi="Garamond" w:cs="Sylfaen"/>
          <w:b/>
          <w:color w:val="000000"/>
          <w:sz w:val="22"/>
          <w:szCs w:val="22"/>
        </w:rPr>
        <w:t>.</w:t>
      </w:r>
      <w:r w:rsidR="000B24F7">
        <w:rPr>
          <w:rFonts w:ascii="Garamond" w:hAnsi="Garamond" w:cs="Sylfaen"/>
          <w:b/>
          <w:color w:val="000000"/>
          <w:sz w:val="22"/>
          <w:szCs w:val="22"/>
        </w:rPr>
        <w:t>5</w:t>
      </w:r>
      <w:r w:rsidR="00162C9B" w:rsidRPr="00A32AB2">
        <w:rPr>
          <w:rFonts w:ascii="Garamond" w:hAnsi="Garamond" w:cs="Sylfaen"/>
          <w:b/>
          <w:color w:val="000000"/>
          <w:sz w:val="22"/>
          <w:szCs w:val="22"/>
        </w:rPr>
        <w:t>%</w:t>
      </w:r>
      <w:r w:rsidR="00162C9B" w:rsidRPr="00A32AB2">
        <w:rPr>
          <w:rFonts w:ascii="Garamond" w:hAnsi="Garamond" w:cs="Sylfaen"/>
          <w:color w:val="000000"/>
          <w:sz w:val="22"/>
          <w:szCs w:val="22"/>
        </w:rPr>
        <w:t xml:space="preserve">, with industry </w:t>
      </w:r>
      <w:r w:rsidR="000B24F7">
        <w:rPr>
          <w:rFonts w:ascii="Garamond" w:hAnsi="Garamond" w:cs="Sylfaen"/>
          <w:color w:val="000000"/>
          <w:sz w:val="22"/>
          <w:szCs w:val="22"/>
        </w:rPr>
        <w:t xml:space="preserve">and service sectors </w:t>
      </w:r>
      <w:r w:rsidR="00162C9B" w:rsidRPr="00A32AB2">
        <w:rPr>
          <w:rFonts w:ascii="Garamond" w:hAnsi="Garamond" w:cs="Sylfaen"/>
          <w:color w:val="000000"/>
          <w:sz w:val="22"/>
          <w:szCs w:val="22"/>
        </w:rPr>
        <w:t>as the main driving force to the growth.</w:t>
      </w:r>
    </w:p>
    <w:p w14:paraId="05CAB1A9" w14:textId="77777777" w:rsidR="00D11F44" w:rsidRPr="00C36E7C" w:rsidRDefault="00D11F44" w:rsidP="00CE2FF3">
      <w:pPr>
        <w:tabs>
          <w:tab w:val="left" w:pos="5850"/>
        </w:tabs>
        <w:spacing w:line="360" w:lineRule="auto"/>
        <w:jc w:val="both"/>
        <w:rPr>
          <w:rFonts w:ascii="GHEA Grapalat" w:hAnsi="GHEA Grapalat" w:cs="Sylfaen"/>
          <w:b/>
          <w:i/>
          <w:color w:val="000000"/>
          <w:sz w:val="14"/>
          <w:szCs w:val="14"/>
        </w:rPr>
      </w:pPr>
    </w:p>
    <w:p w14:paraId="4C0E548B" w14:textId="77777777" w:rsidR="006D0708" w:rsidRPr="00A32AB2" w:rsidRDefault="00DC501D" w:rsidP="0085120F">
      <w:pPr>
        <w:tabs>
          <w:tab w:val="left" w:pos="5850"/>
        </w:tabs>
        <w:spacing w:line="360" w:lineRule="auto"/>
        <w:jc w:val="both"/>
        <w:rPr>
          <w:rFonts w:ascii="Garamond" w:hAnsi="Garamond"/>
          <w:sz w:val="22"/>
          <w:szCs w:val="22"/>
        </w:rPr>
      </w:pPr>
      <w:r>
        <w:rPr>
          <w:rFonts w:ascii="Garamond" w:hAnsi="Garamond"/>
          <w:sz w:val="22"/>
          <w:szCs w:val="22"/>
        </w:rPr>
        <w:t xml:space="preserve">As the slump </w:t>
      </w:r>
      <w:r w:rsidRPr="00DC501D">
        <w:rPr>
          <w:rFonts w:ascii="Garamond" w:hAnsi="Garamond"/>
          <w:sz w:val="22"/>
          <w:szCs w:val="22"/>
        </w:rPr>
        <w:t>in the Russian economy</w:t>
      </w:r>
      <w:r>
        <w:rPr>
          <w:rFonts w:ascii="Garamond" w:hAnsi="Garamond"/>
          <w:sz w:val="22"/>
          <w:szCs w:val="22"/>
        </w:rPr>
        <w:t xml:space="preserve"> decelerat</w:t>
      </w:r>
      <w:r w:rsidR="00A54CB5">
        <w:rPr>
          <w:rFonts w:ascii="Garamond" w:hAnsi="Garamond"/>
          <w:sz w:val="22"/>
          <w:szCs w:val="22"/>
        </w:rPr>
        <w:t>ed</w:t>
      </w:r>
      <w:r>
        <w:rPr>
          <w:rFonts w:ascii="Garamond" w:hAnsi="Garamond"/>
          <w:sz w:val="22"/>
          <w:szCs w:val="22"/>
        </w:rPr>
        <w:t xml:space="preserve"> and base impact of </w:t>
      </w:r>
      <w:r w:rsidR="00A54CB5">
        <w:rPr>
          <w:rFonts w:ascii="Garamond" w:hAnsi="Garamond"/>
          <w:sz w:val="22"/>
          <w:szCs w:val="22"/>
        </w:rPr>
        <w:t xml:space="preserve">the </w:t>
      </w:r>
      <w:r>
        <w:rPr>
          <w:rFonts w:ascii="Garamond" w:hAnsi="Garamond"/>
          <w:sz w:val="22"/>
          <w:szCs w:val="22"/>
        </w:rPr>
        <w:t xml:space="preserve">ruble </w:t>
      </w:r>
      <w:r w:rsidR="00A54CB5">
        <w:rPr>
          <w:rFonts w:ascii="Garamond" w:hAnsi="Garamond"/>
          <w:sz w:val="22"/>
          <w:szCs w:val="22"/>
        </w:rPr>
        <w:t>exchange rate depreciation vanished</w:t>
      </w:r>
      <w:r w:rsidRPr="00DC501D">
        <w:rPr>
          <w:rFonts w:ascii="Garamond" w:hAnsi="Garamond"/>
          <w:sz w:val="22"/>
          <w:szCs w:val="22"/>
        </w:rPr>
        <w:t>, t</w:t>
      </w:r>
      <w:r w:rsidR="00D11F44" w:rsidRPr="00DC501D">
        <w:rPr>
          <w:rFonts w:ascii="Garamond" w:hAnsi="Garamond"/>
          <w:sz w:val="22"/>
          <w:szCs w:val="22"/>
        </w:rPr>
        <w:t>he</w:t>
      </w:r>
      <w:r w:rsidR="00A54CB5">
        <w:rPr>
          <w:rFonts w:ascii="Garamond" w:hAnsi="Garamond"/>
          <w:sz w:val="22"/>
          <w:szCs w:val="22"/>
        </w:rPr>
        <w:t xml:space="preserve"> decline in</w:t>
      </w:r>
      <w:r w:rsidRPr="00DC501D">
        <w:rPr>
          <w:rFonts w:ascii="Garamond" w:hAnsi="Garamond"/>
          <w:sz w:val="22"/>
          <w:szCs w:val="22"/>
        </w:rPr>
        <w:t xml:space="preserve"> </w:t>
      </w:r>
      <w:r w:rsidR="00D11F44" w:rsidRPr="00DC501D">
        <w:rPr>
          <w:rFonts w:ascii="Garamond" w:hAnsi="Garamond"/>
          <w:b/>
          <w:sz w:val="22"/>
          <w:szCs w:val="22"/>
        </w:rPr>
        <w:t>dollar value of</w:t>
      </w:r>
      <w:r w:rsidR="00BE7257" w:rsidRPr="00AF2F46">
        <w:rPr>
          <w:rFonts w:ascii="Garamond" w:hAnsi="Garamond"/>
          <w:b/>
          <w:sz w:val="22"/>
          <w:szCs w:val="22"/>
          <w:lang w:val="hy-AM"/>
        </w:rPr>
        <w:t xml:space="preserve"> </w:t>
      </w:r>
      <w:r w:rsidR="00D11F44" w:rsidRPr="00AF2F46">
        <w:rPr>
          <w:rFonts w:ascii="Garamond" w:hAnsi="Garamond"/>
          <w:b/>
          <w:sz w:val="22"/>
          <w:szCs w:val="22"/>
        </w:rPr>
        <w:t xml:space="preserve">net inflow of private remittances and seasonal worker pays </w:t>
      </w:r>
      <w:r w:rsidR="00A54CB5" w:rsidRPr="00A54CB5">
        <w:rPr>
          <w:rFonts w:ascii="Garamond" w:hAnsi="Garamond"/>
          <w:sz w:val="22"/>
          <w:szCs w:val="22"/>
        </w:rPr>
        <w:t xml:space="preserve">slowed down </w:t>
      </w:r>
      <w:r>
        <w:rPr>
          <w:rFonts w:ascii="Garamond" w:hAnsi="Garamond"/>
          <w:sz w:val="22"/>
          <w:szCs w:val="22"/>
        </w:rPr>
        <w:t>considerably</w:t>
      </w:r>
      <w:r w:rsidR="00A54CB5">
        <w:rPr>
          <w:rFonts w:ascii="Garamond" w:hAnsi="Garamond"/>
          <w:sz w:val="22"/>
          <w:szCs w:val="22"/>
        </w:rPr>
        <w:t xml:space="preserve"> </w:t>
      </w:r>
      <w:r>
        <w:rPr>
          <w:rFonts w:ascii="Garamond" w:hAnsi="Garamond"/>
          <w:sz w:val="22"/>
          <w:szCs w:val="22"/>
        </w:rPr>
        <w:t xml:space="preserve">in the third quarter of 2016, as was expected, </w:t>
      </w:r>
      <w:r w:rsidR="00073B73" w:rsidRPr="00A32AB2">
        <w:rPr>
          <w:rFonts w:ascii="Garamond" w:hAnsi="Garamond"/>
          <w:sz w:val="22"/>
          <w:szCs w:val="22"/>
        </w:rPr>
        <w:t>amounting to -</w:t>
      </w:r>
      <w:r>
        <w:rPr>
          <w:rFonts w:ascii="Garamond" w:hAnsi="Garamond"/>
          <w:sz w:val="22"/>
          <w:szCs w:val="22"/>
        </w:rPr>
        <w:t>0</w:t>
      </w:r>
      <w:r w:rsidR="004C090B" w:rsidRPr="00A32AB2">
        <w:rPr>
          <w:rFonts w:ascii="Garamond" w:hAnsi="Garamond"/>
          <w:sz w:val="22"/>
          <w:szCs w:val="22"/>
        </w:rPr>
        <w:t>.</w:t>
      </w:r>
      <w:r>
        <w:rPr>
          <w:rFonts w:ascii="Garamond" w:hAnsi="Garamond"/>
          <w:sz w:val="22"/>
          <w:szCs w:val="22"/>
        </w:rPr>
        <w:t>9</w:t>
      </w:r>
      <w:r w:rsidR="004C090B" w:rsidRPr="00A32AB2">
        <w:rPr>
          <w:rFonts w:ascii="Garamond" w:hAnsi="Garamond"/>
          <w:sz w:val="22"/>
          <w:szCs w:val="22"/>
        </w:rPr>
        <w:t xml:space="preserve">% y/y. This </w:t>
      </w:r>
      <w:r w:rsidR="00073B73" w:rsidRPr="00A32AB2">
        <w:rPr>
          <w:rFonts w:ascii="Garamond" w:hAnsi="Garamond"/>
          <w:sz w:val="22"/>
          <w:szCs w:val="22"/>
        </w:rPr>
        <w:t xml:space="preserve">has </w:t>
      </w:r>
      <w:r w:rsidR="004C090B" w:rsidRPr="00A32AB2">
        <w:rPr>
          <w:rFonts w:ascii="Garamond" w:hAnsi="Garamond"/>
          <w:sz w:val="22"/>
          <w:szCs w:val="22"/>
        </w:rPr>
        <w:t xml:space="preserve">contributed to the </w:t>
      </w:r>
      <w:r w:rsidR="00073B73" w:rsidRPr="00A32AB2">
        <w:rPr>
          <w:rFonts w:ascii="Garamond" w:hAnsi="Garamond"/>
          <w:sz w:val="22"/>
          <w:szCs w:val="22"/>
        </w:rPr>
        <w:t xml:space="preserve">further </w:t>
      </w:r>
      <w:r w:rsidR="008B2854" w:rsidRPr="00A32AB2">
        <w:rPr>
          <w:rFonts w:ascii="Garamond" w:hAnsi="Garamond"/>
          <w:sz w:val="22"/>
          <w:szCs w:val="22"/>
        </w:rPr>
        <w:t xml:space="preserve">narrowing </w:t>
      </w:r>
      <w:r w:rsidR="004C090B" w:rsidRPr="00A32AB2">
        <w:rPr>
          <w:rFonts w:ascii="Garamond" w:hAnsi="Garamond"/>
          <w:sz w:val="22"/>
          <w:szCs w:val="22"/>
        </w:rPr>
        <w:t>of the negative gap of real private transfers</w:t>
      </w:r>
      <w:r w:rsidR="006F7E2F">
        <w:rPr>
          <w:rFonts w:ascii="Garamond" w:hAnsi="Garamond"/>
          <w:sz w:val="22"/>
          <w:szCs w:val="22"/>
        </w:rPr>
        <w:t>, which is now within the forecast</w:t>
      </w:r>
      <w:r w:rsidR="004C090B" w:rsidRPr="00A32AB2">
        <w:rPr>
          <w:rFonts w:ascii="Garamond" w:hAnsi="Garamond"/>
          <w:sz w:val="22"/>
          <w:szCs w:val="22"/>
        </w:rPr>
        <w:t>.</w:t>
      </w:r>
      <w:r w:rsidR="008050A1" w:rsidRPr="00A32AB2">
        <w:rPr>
          <w:rFonts w:ascii="Garamond" w:hAnsi="Garamond"/>
          <w:sz w:val="22"/>
          <w:szCs w:val="22"/>
        </w:rPr>
        <w:t xml:space="preserve"> </w:t>
      </w:r>
      <w:r w:rsidR="006F7E2F">
        <w:rPr>
          <w:rFonts w:ascii="Garamond" w:hAnsi="Garamond"/>
          <w:sz w:val="22"/>
          <w:szCs w:val="22"/>
        </w:rPr>
        <w:t xml:space="preserve">With </w:t>
      </w:r>
      <w:r w:rsidR="006D0708" w:rsidRPr="00A32AB2">
        <w:rPr>
          <w:rFonts w:ascii="Garamond" w:hAnsi="Garamond"/>
          <w:sz w:val="22"/>
          <w:szCs w:val="22"/>
        </w:rPr>
        <w:t>private transfers</w:t>
      </w:r>
      <w:r w:rsidR="006F7E2F">
        <w:rPr>
          <w:rFonts w:ascii="Garamond" w:hAnsi="Garamond"/>
          <w:sz w:val="22"/>
          <w:szCs w:val="22"/>
        </w:rPr>
        <w:t xml:space="preserve"> declining at a slower rate and lending growth accelerating</w:t>
      </w:r>
      <w:r w:rsidR="006D0708" w:rsidRPr="00A32AB2">
        <w:rPr>
          <w:rFonts w:ascii="Garamond" w:hAnsi="Garamond" w:cs="Sylfaen"/>
          <w:color w:val="000000"/>
          <w:sz w:val="22"/>
          <w:szCs w:val="22"/>
        </w:rPr>
        <w:t xml:space="preserve">, </w:t>
      </w:r>
      <w:r w:rsidR="006F7E2F">
        <w:rPr>
          <w:rFonts w:ascii="Garamond" w:hAnsi="Garamond" w:cs="Sylfaen"/>
          <w:color w:val="000000"/>
          <w:sz w:val="22"/>
          <w:szCs w:val="22"/>
        </w:rPr>
        <w:t xml:space="preserve">the </w:t>
      </w:r>
      <w:r w:rsidR="006F7E2F" w:rsidRPr="00A32AB2">
        <w:rPr>
          <w:rFonts w:ascii="Garamond" w:hAnsi="Garamond"/>
          <w:sz w:val="22"/>
          <w:szCs w:val="22"/>
        </w:rPr>
        <w:t>private consumption</w:t>
      </w:r>
      <w:r w:rsidR="006F7E2F">
        <w:rPr>
          <w:rFonts w:ascii="Garamond" w:hAnsi="Garamond" w:cs="Sylfaen"/>
          <w:color w:val="000000"/>
          <w:sz w:val="22"/>
          <w:szCs w:val="22"/>
        </w:rPr>
        <w:t xml:space="preserve"> growth rates </w:t>
      </w:r>
      <w:r w:rsidR="006F7E2F">
        <w:rPr>
          <w:rFonts w:ascii="Garamond" w:hAnsi="Garamond"/>
          <w:sz w:val="22"/>
          <w:szCs w:val="22"/>
        </w:rPr>
        <w:t>rebounded in the third</w:t>
      </w:r>
      <w:r w:rsidR="00222C21">
        <w:rPr>
          <w:rFonts w:ascii="Garamond" w:hAnsi="Garamond"/>
          <w:sz w:val="22"/>
          <w:szCs w:val="22"/>
        </w:rPr>
        <w:t xml:space="preserve"> quarter of 2016; these </w:t>
      </w:r>
      <w:r w:rsidR="006F7E2F">
        <w:rPr>
          <w:rFonts w:ascii="Garamond" w:hAnsi="Garamond"/>
          <w:sz w:val="22"/>
          <w:szCs w:val="22"/>
        </w:rPr>
        <w:t>lagg</w:t>
      </w:r>
      <w:r w:rsidR="00222C21">
        <w:rPr>
          <w:rFonts w:ascii="Garamond" w:hAnsi="Garamond"/>
          <w:sz w:val="22"/>
          <w:szCs w:val="22"/>
        </w:rPr>
        <w:t>ed</w:t>
      </w:r>
      <w:r w:rsidR="006F7E2F">
        <w:rPr>
          <w:rFonts w:ascii="Garamond" w:hAnsi="Garamond"/>
          <w:sz w:val="22"/>
          <w:szCs w:val="22"/>
        </w:rPr>
        <w:t xml:space="preserve"> behind the forecast, however</w:t>
      </w:r>
      <w:r w:rsidR="00222C21">
        <w:rPr>
          <w:rFonts w:ascii="Garamond" w:hAnsi="Garamond"/>
          <w:sz w:val="22"/>
          <w:szCs w:val="22"/>
        </w:rPr>
        <w:t>, as the quarter saw lower-than-</w:t>
      </w:r>
      <w:r w:rsidR="00222C21" w:rsidRPr="00222C21">
        <w:rPr>
          <w:rFonts w:ascii="Garamond" w:hAnsi="Garamond"/>
          <w:sz w:val="22"/>
          <w:szCs w:val="22"/>
        </w:rPr>
        <w:t>expected trade turnover and economic growth</w:t>
      </w:r>
      <w:r w:rsidR="00222C21">
        <w:rPr>
          <w:rFonts w:ascii="Garamond" w:hAnsi="Garamond"/>
          <w:sz w:val="22"/>
          <w:szCs w:val="22"/>
        </w:rPr>
        <w:t xml:space="preserve"> rates</w:t>
      </w:r>
      <w:r w:rsidR="006F7E2F">
        <w:rPr>
          <w:rFonts w:ascii="Garamond" w:hAnsi="Garamond"/>
          <w:sz w:val="22"/>
          <w:szCs w:val="22"/>
        </w:rPr>
        <w:t xml:space="preserve">. </w:t>
      </w:r>
      <w:r w:rsidR="005B0FF8" w:rsidRPr="00A32AB2">
        <w:rPr>
          <w:rFonts w:ascii="Garamond" w:hAnsi="Garamond"/>
          <w:sz w:val="22"/>
          <w:szCs w:val="22"/>
        </w:rPr>
        <w:t xml:space="preserve">In the meantime, investment activity has been </w:t>
      </w:r>
      <w:r w:rsidR="00667C70">
        <w:rPr>
          <w:rFonts w:ascii="Garamond" w:hAnsi="Garamond"/>
          <w:sz w:val="22"/>
          <w:szCs w:val="22"/>
        </w:rPr>
        <w:t xml:space="preserve">much </w:t>
      </w:r>
      <w:r w:rsidR="005B0FF8" w:rsidRPr="00A32AB2">
        <w:rPr>
          <w:rFonts w:ascii="Garamond" w:hAnsi="Garamond"/>
          <w:sz w:val="22"/>
          <w:szCs w:val="22"/>
        </w:rPr>
        <w:t>weak</w:t>
      </w:r>
      <w:r w:rsidR="00667C70">
        <w:rPr>
          <w:rFonts w:ascii="Garamond" w:hAnsi="Garamond"/>
          <w:sz w:val="22"/>
          <w:szCs w:val="22"/>
        </w:rPr>
        <w:t>er than</w:t>
      </w:r>
      <w:r w:rsidR="005B0FF8" w:rsidRPr="00A32AB2">
        <w:rPr>
          <w:rFonts w:ascii="Garamond" w:hAnsi="Garamond"/>
          <w:sz w:val="22"/>
          <w:szCs w:val="22"/>
        </w:rPr>
        <w:t xml:space="preserve"> anticipated, </w:t>
      </w:r>
      <w:r w:rsidR="00667C70">
        <w:rPr>
          <w:rFonts w:ascii="Garamond" w:hAnsi="Garamond"/>
          <w:sz w:val="22"/>
          <w:szCs w:val="22"/>
        </w:rPr>
        <w:t xml:space="preserve">primarily reflecting even a greater decline </w:t>
      </w:r>
      <w:r w:rsidR="005B0FF8" w:rsidRPr="00A32AB2">
        <w:rPr>
          <w:rFonts w:ascii="Garamond" w:hAnsi="Garamond"/>
          <w:sz w:val="22"/>
          <w:szCs w:val="22"/>
        </w:rPr>
        <w:t xml:space="preserve">in </w:t>
      </w:r>
      <w:r w:rsidR="00667C70">
        <w:rPr>
          <w:rFonts w:ascii="Garamond" w:hAnsi="Garamond"/>
          <w:sz w:val="22"/>
          <w:szCs w:val="22"/>
        </w:rPr>
        <w:t>construction</w:t>
      </w:r>
      <w:r w:rsidR="006A66DE">
        <w:rPr>
          <w:rFonts w:ascii="Garamond" w:hAnsi="Garamond"/>
          <w:sz w:val="22"/>
          <w:szCs w:val="22"/>
        </w:rPr>
        <w:t>.</w:t>
      </w:r>
      <w:r w:rsidR="00667C70">
        <w:rPr>
          <w:rFonts w:ascii="Garamond" w:hAnsi="Garamond"/>
          <w:sz w:val="22"/>
          <w:szCs w:val="22"/>
        </w:rPr>
        <w:t xml:space="preserve"> </w:t>
      </w:r>
      <w:r w:rsidR="006A66DE">
        <w:rPr>
          <w:rFonts w:ascii="Garamond" w:hAnsi="Garamond"/>
          <w:sz w:val="22"/>
          <w:szCs w:val="22"/>
        </w:rPr>
        <w:t xml:space="preserve">This </w:t>
      </w:r>
      <w:r w:rsidR="00322300">
        <w:rPr>
          <w:rFonts w:ascii="Garamond" w:hAnsi="Garamond"/>
          <w:sz w:val="22"/>
          <w:szCs w:val="22"/>
        </w:rPr>
        <w:t>prompted</w:t>
      </w:r>
      <w:r w:rsidR="006A66DE">
        <w:rPr>
          <w:rFonts w:ascii="Garamond" w:hAnsi="Garamond"/>
          <w:sz w:val="22"/>
          <w:szCs w:val="22"/>
        </w:rPr>
        <w:t xml:space="preserve"> the</w:t>
      </w:r>
      <w:r w:rsidR="005B0FF8" w:rsidRPr="00A32AB2">
        <w:rPr>
          <w:rFonts w:ascii="Garamond" w:hAnsi="Garamond"/>
          <w:sz w:val="22"/>
          <w:szCs w:val="22"/>
        </w:rPr>
        <w:t xml:space="preserve"> private spending and domestic demand </w:t>
      </w:r>
      <w:r w:rsidR="00322300">
        <w:rPr>
          <w:rFonts w:ascii="Garamond" w:hAnsi="Garamond"/>
          <w:sz w:val="22"/>
          <w:szCs w:val="22"/>
        </w:rPr>
        <w:t xml:space="preserve">to </w:t>
      </w:r>
      <w:r w:rsidR="005B0FF8" w:rsidRPr="00A32AB2">
        <w:rPr>
          <w:rFonts w:ascii="Garamond" w:hAnsi="Garamond"/>
          <w:sz w:val="22"/>
          <w:szCs w:val="22"/>
        </w:rPr>
        <w:t>recover</w:t>
      </w:r>
      <w:r w:rsidR="00322300">
        <w:rPr>
          <w:rFonts w:ascii="Garamond" w:hAnsi="Garamond"/>
          <w:sz w:val="22"/>
          <w:szCs w:val="22"/>
        </w:rPr>
        <w:t xml:space="preserve"> </w:t>
      </w:r>
      <w:r w:rsidR="005B0FF8" w:rsidRPr="00A32AB2">
        <w:rPr>
          <w:rFonts w:ascii="Garamond" w:hAnsi="Garamond"/>
          <w:sz w:val="22"/>
          <w:szCs w:val="22"/>
        </w:rPr>
        <w:t xml:space="preserve">at a </w:t>
      </w:r>
      <w:r w:rsidR="006A66DE">
        <w:rPr>
          <w:rFonts w:ascii="Garamond" w:hAnsi="Garamond"/>
          <w:sz w:val="22"/>
          <w:szCs w:val="22"/>
        </w:rPr>
        <w:t xml:space="preserve">slower pace </w:t>
      </w:r>
      <w:r w:rsidR="005B0FF8" w:rsidRPr="00A32AB2">
        <w:rPr>
          <w:rFonts w:ascii="Garamond" w:hAnsi="Garamond"/>
          <w:sz w:val="22"/>
          <w:szCs w:val="22"/>
        </w:rPr>
        <w:t xml:space="preserve">than expected. </w:t>
      </w:r>
      <w:r w:rsidR="004F776B" w:rsidRPr="004F776B">
        <w:rPr>
          <w:rFonts w:ascii="Garamond" w:hAnsi="Garamond"/>
          <w:sz w:val="22"/>
          <w:szCs w:val="22"/>
        </w:rPr>
        <w:t xml:space="preserve">At the same time, </w:t>
      </w:r>
      <w:r w:rsidR="004F776B">
        <w:rPr>
          <w:rFonts w:ascii="Garamond" w:hAnsi="Garamond"/>
          <w:sz w:val="22"/>
          <w:szCs w:val="22"/>
        </w:rPr>
        <w:t xml:space="preserve">expansionary monetary and fiscal policy implementation in </w:t>
      </w:r>
      <w:r w:rsidR="004F776B" w:rsidRPr="004F776B">
        <w:rPr>
          <w:rFonts w:ascii="Garamond" w:hAnsi="Garamond"/>
          <w:sz w:val="22"/>
          <w:szCs w:val="22"/>
        </w:rPr>
        <w:t>2015-2016</w:t>
      </w:r>
      <w:r w:rsidR="004F776B">
        <w:rPr>
          <w:rFonts w:ascii="Garamond" w:hAnsi="Garamond"/>
          <w:sz w:val="22"/>
          <w:szCs w:val="22"/>
        </w:rPr>
        <w:t xml:space="preserve"> as well as </w:t>
      </w:r>
      <w:r w:rsidR="004F776B" w:rsidRPr="004F776B">
        <w:rPr>
          <w:rFonts w:ascii="Garamond" w:hAnsi="Garamond"/>
          <w:sz w:val="22"/>
          <w:szCs w:val="22"/>
        </w:rPr>
        <w:t xml:space="preserve">low inflation environment in the economy </w:t>
      </w:r>
      <w:r w:rsidR="004F776B">
        <w:rPr>
          <w:rFonts w:ascii="Garamond" w:hAnsi="Garamond"/>
          <w:sz w:val="22"/>
          <w:szCs w:val="22"/>
        </w:rPr>
        <w:t xml:space="preserve">have largely facilitated </w:t>
      </w:r>
      <w:r w:rsidR="004F776B" w:rsidRPr="004F776B">
        <w:rPr>
          <w:rFonts w:ascii="Garamond" w:hAnsi="Garamond"/>
          <w:sz w:val="22"/>
          <w:szCs w:val="22"/>
        </w:rPr>
        <w:t>the recovery of domestic demand</w:t>
      </w:r>
      <w:r w:rsidR="004F776B">
        <w:rPr>
          <w:rFonts w:ascii="Garamond" w:hAnsi="Garamond"/>
          <w:sz w:val="22"/>
          <w:szCs w:val="22"/>
        </w:rPr>
        <w:t>.</w:t>
      </w:r>
      <w:r w:rsidR="004F776B" w:rsidRPr="004F776B">
        <w:rPr>
          <w:rFonts w:ascii="Garamond" w:hAnsi="Garamond"/>
          <w:sz w:val="22"/>
          <w:szCs w:val="22"/>
        </w:rPr>
        <w:t xml:space="preserve"> Note also that net external demand </w:t>
      </w:r>
      <w:r w:rsidR="00322300">
        <w:rPr>
          <w:rFonts w:ascii="Garamond" w:hAnsi="Garamond"/>
          <w:sz w:val="22"/>
          <w:szCs w:val="22"/>
        </w:rPr>
        <w:t xml:space="preserve">carried on improving in the third quarter. This progress was underpinned by strong growth of export in real terms amid a low </w:t>
      </w:r>
      <w:r w:rsidR="004F776B" w:rsidRPr="004F776B">
        <w:rPr>
          <w:rFonts w:ascii="Garamond" w:hAnsi="Garamond"/>
          <w:sz w:val="22"/>
          <w:szCs w:val="22"/>
        </w:rPr>
        <w:t>real growth of import of goods and services</w:t>
      </w:r>
      <w:r w:rsidR="00322300">
        <w:rPr>
          <w:rFonts w:ascii="Garamond" w:hAnsi="Garamond"/>
          <w:sz w:val="22"/>
          <w:szCs w:val="22"/>
        </w:rPr>
        <w:t>.</w:t>
      </w:r>
      <w:r w:rsidR="0099631A" w:rsidRPr="00A32AB2">
        <w:rPr>
          <w:rFonts w:ascii="Garamond" w:hAnsi="Garamond"/>
          <w:sz w:val="22"/>
          <w:szCs w:val="22"/>
        </w:rPr>
        <w:t xml:space="preserve"> </w:t>
      </w:r>
    </w:p>
    <w:p w14:paraId="5CCE4285" w14:textId="77777777" w:rsidR="002C6CE2" w:rsidRPr="00A32AB2" w:rsidRDefault="002C6CE2" w:rsidP="0085120F">
      <w:pPr>
        <w:tabs>
          <w:tab w:val="left" w:pos="5850"/>
        </w:tabs>
        <w:spacing w:line="360" w:lineRule="auto"/>
        <w:jc w:val="both"/>
        <w:rPr>
          <w:rFonts w:ascii="Garamond" w:hAnsi="Garamond" w:cs="Sylfaen"/>
          <w:color w:val="000000"/>
          <w:sz w:val="22"/>
          <w:szCs w:val="22"/>
        </w:rPr>
      </w:pPr>
    </w:p>
    <w:p w14:paraId="6FDAC2FA" w14:textId="77777777" w:rsidR="000A2C22" w:rsidRPr="00A32AB2" w:rsidRDefault="00015474" w:rsidP="0085120F">
      <w:pPr>
        <w:tabs>
          <w:tab w:val="left" w:pos="5850"/>
        </w:tabs>
        <w:spacing w:line="360" w:lineRule="auto"/>
        <w:jc w:val="both"/>
        <w:rPr>
          <w:rFonts w:ascii="Garamond" w:hAnsi="Garamond" w:cs="Sylfaen"/>
          <w:color w:val="000000"/>
          <w:sz w:val="22"/>
          <w:szCs w:val="22"/>
        </w:rPr>
      </w:pPr>
      <w:r w:rsidRPr="00A32AB2">
        <w:rPr>
          <w:rFonts w:ascii="Garamond" w:hAnsi="Garamond" w:cs="Sylfaen"/>
          <w:color w:val="000000"/>
          <w:sz w:val="22"/>
          <w:szCs w:val="22"/>
        </w:rPr>
        <w:t>As a result of the</w:t>
      </w:r>
      <w:r w:rsidR="00BA697A">
        <w:rPr>
          <w:rFonts w:ascii="Garamond" w:hAnsi="Garamond" w:cs="Sylfaen"/>
          <w:color w:val="000000"/>
          <w:sz w:val="22"/>
          <w:szCs w:val="22"/>
        </w:rPr>
        <w:t xml:space="preserve"> aforementioned </w:t>
      </w:r>
      <w:r w:rsidRPr="00A32AB2">
        <w:rPr>
          <w:rFonts w:ascii="Garamond" w:hAnsi="Garamond" w:cs="Sylfaen"/>
          <w:color w:val="000000"/>
          <w:sz w:val="22"/>
          <w:szCs w:val="22"/>
        </w:rPr>
        <w:t>developments</w:t>
      </w:r>
      <w:r w:rsidRPr="00A32AB2">
        <w:rPr>
          <w:rFonts w:ascii="Garamond" w:hAnsi="Garamond" w:cs="Sylfaen"/>
          <w:b/>
          <w:color w:val="000000"/>
          <w:sz w:val="22"/>
          <w:szCs w:val="22"/>
        </w:rPr>
        <w:t xml:space="preserve"> th</w:t>
      </w:r>
      <w:r w:rsidR="00BA697A">
        <w:rPr>
          <w:rFonts w:ascii="Garamond" w:hAnsi="Garamond" w:cs="Sylfaen"/>
          <w:b/>
          <w:color w:val="000000"/>
          <w:sz w:val="22"/>
          <w:szCs w:val="22"/>
        </w:rPr>
        <w:t xml:space="preserve">is </w:t>
      </w:r>
      <w:r w:rsidRPr="00A32AB2">
        <w:rPr>
          <w:rFonts w:ascii="Garamond" w:hAnsi="Garamond" w:cs="Sylfaen"/>
          <w:b/>
          <w:color w:val="000000"/>
          <w:sz w:val="22"/>
          <w:szCs w:val="22"/>
        </w:rPr>
        <w:t xml:space="preserve">quarter’s negative GDP gap has </w:t>
      </w:r>
      <w:r w:rsidR="00322300">
        <w:rPr>
          <w:rFonts w:ascii="Garamond" w:hAnsi="Garamond" w:cs="Sylfaen"/>
          <w:b/>
          <w:color w:val="000000"/>
          <w:sz w:val="22"/>
          <w:szCs w:val="22"/>
        </w:rPr>
        <w:t xml:space="preserve">broadened </w:t>
      </w:r>
      <w:r w:rsidRPr="00A32AB2">
        <w:rPr>
          <w:rFonts w:ascii="Garamond" w:hAnsi="Garamond" w:cs="Sylfaen"/>
          <w:b/>
          <w:color w:val="000000"/>
          <w:sz w:val="22"/>
          <w:szCs w:val="22"/>
        </w:rPr>
        <w:t xml:space="preserve">in comparison with the </w:t>
      </w:r>
      <w:r w:rsidR="00BA697A">
        <w:rPr>
          <w:rFonts w:ascii="Garamond" w:hAnsi="Garamond" w:cs="Sylfaen"/>
          <w:b/>
          <w:color w:val="000000"/>
          <w:sz w:val="22"/>
          <w:szCs w:val="22"/>
        </w:rPr>
        <w:t>second</w:t>
      </w:r>
      <w:r w:rsidRPr="00A32AB2">
        <w:rPr>
          <w:rFonts w:ascii="Garamond" w:hAnsi="Garamond" w:cs="Sylfaen"/>
          <w:b/>
          <w:color w:val="000000"/>
          <w:sz w:val="22"/>
          <w:szCs w:val="22"/>
        </w:rPr>
        <w:t xml:space="preserve"> quarter</w:t>
      </w:r>
      <w:r w:rsidR="00244247" w:rsidRPr="00A32AB2">
        <w:rPr>
          <w:rFonts w:ascii="Garamond" w:hAnsi="Garamond" w:cs="Sylfaen"/>
          <w:b/>
          <w:color w:val="000000"/>
          <w:sz w:val="22"/>
          <w:szCs w:val="22"/>
        </w:rPr>
        <w:t xml:space="preserve"> and is estimated </w:t>
      </w:r>
      <w:r w:rsidR="00BA697A">
        <w:rPr>
          <w:rFonts w:ascii="Garamond" w:hAnsi="Garamond" w:cs="Sylfaen"/>
          <w:b/>
          <w:color w:val="000000"/>
          <w:sz w:val="22"/>
          <w:szCs w:val="22"/>
        </w:rPr>
        <w:t xml:space="preserve">more </w:t>
      </w:r>
      <w:r w:rsidR="00244247" w:rsidRPr="00A32AB2">
        <w:rPr>
          <w:rFonts w:ascii="Garamond" w:hAnsi="Garamond" w:cs="Sylfaen"/>
          <w:b/>
          <w:color w:val="000000"/>
          <w:sz w:val="22"/>
          <w:szCs w:val="22"/>
        </w:rPr>
        <w:t>negative than expected.</w:t>
      </w:r>
      <w:r w:rsidR="00BE7257" w:rsidRPr="00A32AB2">
        <w:rPr>
          <w:rFonts w:ascii="Garamond" w:hAnsi="Garamond" w:cs="Sylfaen"/>
          <w:color w:val="000000"/>
          <w:sz w:val="22"/>
          <w:szCs w:val="22"/>
          <w:lang w:val="hy-AM"/>
        </w:rPr>
        <w:t xml:space="preserve"> </w:t>
      </w:r>
      <w:r w:rsidR="00BA697A">
        <w:rPr>
          <w:rFonts w:ascii="Garamond" w:hAnsi="Garamond" w:cs="Sylfaen"/>
          <w:color w:val="000000"/>
          <w:sz w:val="22"/>
          <w:szCs w:val="22"/>
        </w:rPr>
        <w:t xml:space="preserve">In this circumstance, </w:t>
      </w:r>
      <w:r w:rsidR="00153D45" w:rsidRPr="00A32AB2">
        <w:rPr>
          <w:rFonts w:ascii="Garamond" w:hAnsi="Garamond" w:cs="Sylfaen"/>
          <w:color w:val="000000"/>
          <w:sz w:val="22"/>
          <w:szCs w:val="22"/>
        </w:rPr>
        <w:t xml:space="preserve">the </w:t>
      </w:r>
      <w:r w:rsidR="00153D45" w:rsidRPr="00A32AB2">
        <w:rPr>
          <w:rFonts w:ascii="Garamond" w:hAnsi="Garamond" w:cs="Sylfaen"/>
          <w:b/>
          <w:color w:val="000000"/>
          <w:sz w:val="22"/>
          <w:szCs w:val="22"/>
        </w:rPr>
        <w:t xml:space="preserve">core inflation rate fell </w:t>
      </w:r>
      <w:r w:rsidR="004150BC" w:rsidRPr="00A32AB2">
        <w:rPr>
          <w:rFonts w:ascii="Garamond" w:hAnsi="Garamond" w:cs="Sylfaen"/>
          <w:b/>
          <w:color w:val="000000"/>
          <w:sz w:val="22"/>
          <w:szCs w:val="22"/>
        </w:rPr>
        <w:t xml:space="preserve">somewhat </w:t>
      </w:r>
      <w:r w:rsidR="005152A6" w:rsidRPr="00A32AB2">
        <w:rPr>
          <w:rFonts w:ascii="Garamond" w:hAnsi="Garamond" w:cs="Sylfaen"/>
          <w:b/>
          <w:color w:val="000000"/>
          <w:sz w:val="22"/>
          <w:szCs w:val="22"/>
        </w:rPr>
        <w:t xml:space="preserve">faster during the quarter </w:t>
      </w:r>
      <w:r w:rsidR="00153D45" w:rsidRPr="00A32AB2">
        <w:rPr>
          <w:rFonts w:ascii="Garamond" w:hAnsi="Garamond" w:cs="Sylfaen"/>
          <w:b/>
          <w:color w:val="000000"/>
          <w:sz w:val="22"/>
          <w:szCs w:val="22"/>
        </w:rPr>
        <w:t>than expected</w:t>
      </w:r>
      <w:r w:rsidR="00153D45" w:rsidRPr="00A32AB2">
        <w:rPr>
          <w:rFonts w:ascii="Garamond" w:hAnsi="Garamond" w:cs="Sylfaen"/>
          <w:color w:val="000000"/>
          <w:sz w:val="22"/>
          <w:szCs w:val="22"/>
        </w:rPr>
        <w:t xml:space="preserve">, </w:t>
      </w:r>
      <w:r w:rsidR="00BA697A">
        <w:rPr>
          <w:rFonts w:ascii="Garamond" w:hAnsi="Garamond" w:cs="Sylfaen"/>
          <w:color w:val="000000"/>
          <w:sz w:val="22"/>
          <w:szCs w:val="22"/>
        </w:rPr>
        <w:t xml:space="preserve">and </w:t>
      </w:r>
      <w:r w:rsidR="004150BC" w:rsidRPr="00A32AB2">
        <w:rPr>
          <w:rFonts w:ascii="Garamond" w:hAnsi="Garamond" w:cs="Sylfaen"/>
          <w:color w:val="000000"/>
          <w:sz w:val="22"/>
          <w:szCs w:val="22"/>
        </w:rPr>
        <w:t xml:space="preserve">the 12-month indicator </w:t>
      </w:r>
      <w:r w:rsidR="00BA697A">
        <w:rPr>
          <w:rFonts w:ascii="Garamond" w:hAnsi="Garamond" w:cs="Sylfaen"/>
          <w:color w:val="000000"/>
          <w:sz w:val="22"/>
          <w:szCs w:val="22"/>
        </w:rPr>
        <w:t xml:space="preserve">reached </w:t>
      </w:r>
      <w:r w:rsidR="00153D45" w:rsidRPr="00A32AB2">
        <w:rPr>
          <w:rFonts w:ascii="Garamond" w:hAnsi="Garamond" w:cs="Sylfaen"/>
          <w:b/>
          <w:color w:val="000000"/>
          <w:sz w:val="22"/>
          <w:szCs w:val="22"/>
        </w:rPr>
        <w:t>-</w:t>
      </w:r>
      <w:r w:rsidR="00BA697A">
        <w:rPr>
          <w:rFonts w:ascii="Garamond" w:hAnsi="Garamond" w:cs="Sylfaen"/>
          <w:b/>
          <w:color w:val="000000"/>
          <w:sz w:val="22"/>
          <w:szCs w:val="22"/>
        </w:rPr>
        <w:t>2</w:t>
      </w:r>
      <w:r w:rsidR="00153D45" w:rsidRPr="00A32AB2">
        <w:rPr>
          <w:rFonts w:ascii="Garamond" w:hAnsi="Garamond" w:cs="Sylfaen"/>
          <w:b/>
          <w:color w:val="000000"/>
          <w:sz w:val="22"/>
          <w:szCs w:val="22"/>
        </w:rPr>
        <w:t>.</w:t>
      </w:r>
      <w:r w:rsidR="00BA697A">
        <w:rPr>
          <w:rFonts w:ascii="Garamond" w:hAnsi="Garamond" w:cs="Sylfaen"/>
          <w:b/>
          <w:color w:val="000000"/>
          <w:sz w:val="22"/>
          <w:szCs w:val="22"/>
        </w:rPr>
        <w:t>2</w:t>
      </w:r>
      <w:r w:rsidR="00153D45" w:rsidRPr="00A32AB2">
        <w:rPr>
          <w:rFonts w:ascii="Garamond" w:hAnsi="Garamond" w:cs="Sylfaen"/>
          <w:b/>
          <w:color w:val="000000"/>
          <w:sz w:val="22"/>
          <w:szCs w:val="22"/>
        </w:rPr>
        <w:t>%</w:t>
      </w:r>
      <w:r w:rsidR="00153D45" w:rsidRPr="00A32AB2">
        <w:rPr>
          <w:rFonts w:ascii="Garamond" w:hAnsi="Garamond" w:cs="Sylfaen"/>
          <w:color w:val="000000"/>
          <w:sz w:val="22"/>
          <w:szCs w:val="22"/>
        </w:rPr>
        <w:t xml:space="preserve"> in </w:t>
      </w:r>
      <w:r w:rsidR="004150BC" w:rsidRPr="00A32AB2">
        <w:rPr>
          <w:rFonts w:ascii="Garamond" w:hAnsi="Garamond" w:cs="Sylfaen"/>
          <w:color w:val="000000"/>
          <w:sz w:val="22"/>
          <w:szCs w:val="22"/>
        </w:rPr>
        <w:t xml:space="preserve">late </w:t>
      </w:r>
      <w:r w:rsidR="00BA697A">
        <w:rPr>
          <w:rFonts w:ascii="Garamond" w:hAnsi="Garamond" w:cs="Sylfaen"/>
          <w:color w:val="000000"/>
          <w:sz w:val="22"/>
          <w:szCs w:val="22"/>
        </w:rPr>
        <w:t>September</w:t>
      </w:r>
      <w:r w:rsidR="00153D45" w:rsidRPr="00A32AB2">
        <w:rPr>
          <w:rFonts w:ascii="Garamond" w:hAnsi="Garamond" w:cs="Sylfaen"/>
          <w:color w:val="000000"/>
          <w:sz w:val="22"/>
          <w:szCs w:val="22"/>
        </w:rPr>
        <w:t xml:space="preserve">. </w:t>
      </w:r>
      <w:r w:rsidR="00AE3586">
        <w:rPr>
          <w:rFonts w:ascii="Garamond" w:hAnsi="Garamond" w:cs="Sylfaen"/>
          <w:color w:val="000000"/>
          <w:sz w:val="22"/>
          <w:szCs w:val="22"/>
        </w:rPr>
        <w:t>In the outcome, a deflationary environment persisted over the third quarter</w:t>
      </w:r>
      <w:r w:rsidR="00EB790F">
        <w:rPr>
          <w:rFonts w:ascii="Garamond" w:hAnsi="Garamond" w:cs="Sylfaen"/>
          <w:color w:val="000000"/>
          <w:sz w:val="22"/>
          <w:szCs w:val="22"/>
        </w:rPr>
        <w:t xml:space="preserve"> and</w:t>
      </w:r>
      <w:r w:rsidR="00AE3586">
        <w:rPr>
          <w:rFonts w:ascii="Garamond" w:hAnsi="Garamond" w:cs="Sylfaen"/>
          <w:color w:val="000000"/>
          <w:sz w:val="22"/>
          <w:szCs w:val="22"/>
        </w:rPr>
        <w:t xml:space="preserve"> was in line with the forecast indicator, in which case </w:t>
      </w:r>
      <w:r w:rsidR="0058366E" w:rsidRPr="00A32AB2">
        <w:rPr>
          <w:rFonts w:ascii="Garamond" w:hAnsi="Garamond" w:cs="Sylfaen"/>
          <w:color w:val="000000"/>
          <w:sz w:val="22"/>
          <w:szCs w:val="22"/>
        </w:rPr>
        <w:t xml:space="preserve">the </w:t>
      </w:r>
      <w:r w:rsidR="0058366E" w:rsidRPr="00A32AB2">
        <w:rPr>
          <w:rFonts w:ascii="Garamond" w:hAnsi="Garamond" w:cs="Sylfaen"/>
          <w:b/>
          <w:color w:val="000000"/>
          <w:sz w:val="22"/>
          <w:szCs w:val="22"/>
        </w:rPr>
        <w:t>12-month deflation rate</w:t>
      </w:r>
      <w:r w:rsidR="00AE3586">
        <w:rPr>
          <w:rFonts w:ascii="Garamond" w:hAnsi="Garamond" w:cs="Sylfaen"/>
          <w:color w:val="000000"/>
          <w:sz w:val="22"/>
          <w:szCs w:val="22"/>
        </w:rPr>
        <w:t xml:space="preserve"> amounted to </w:t>
      </w:r>
      <w:r w:rsidR="0058366E" w:rsidRPr="00A32AB2">
        <w:rPr>
          <w:rFonts w:ascii="Garamond" w:hAnsi="Garamond" w:cs="Sylfaen"/>
          <w:b/>
          <w:color w:val="000000"/>
          <w:sz w:val="22"/>
          <w:szCs w:val="22"/>
        </w:rPr>
        <w:t>1.</w:t>
      </w:r>
      <w:r w:rsidR="00EB790F">
        <w:rPr>
          <w:rFonts w:ascii="Garamond" w:hAnsi="Garamond" w:cs="Sylfaen"/>
          <w:b/>
          <w:color w:val="000000"/>
          <w:sz w:val="22"/>
          <w:szCs w:val="22"/>
        </w:rPr>
        <w:t>9</w:t>
      </w:r>
      <w:r w:rsidR="0058366E" w:rsidRPr="00A32AB2">
        <w:rPr>
          <w:rFonts w:ascii="Garamond" w:hAnsi="Garamond" w:cs="Sylfaen"/>
          <w:b/>
          <w:color w:val="000000"/>
          <w:sz w:val="22"/>
          <w:szCs w:val="22"/>
        </w:rPr>
        <w:t>%</w:t>
      </w:r>
      <w:r w:rsidR="0058366E" w:rsidRPr="00A32AB2">
        <w:rPr>
          <w:rFonts w:ascii="Garamond" w:hAnsi="Garamond" w:cs="Sylfaen"/>
          <w:color w:val="000000"/>
          <w:sz w:val="22"/>
          <w:szCs w:val="22"/>
        </w:rPr>
        <w:t xml:space="preserve"> </w:t>
      </w:r>
      <w:r w:rsidR="00EB790F">
        <w:rPr>
          <w:rFonts w:ascii="Garamond" w:hAnsi="Garamond" w:cs="Sylfaen"/>
          <w:color w:val="000000"/>
          <w:sz w:val="22"/>
          <w:szCs w:val="22"/>
        </w:rPr>
        <w:t>at the end of September</w:t>
      </w:r>
      <w:r w:rsidR="0058366E" w:rsidRPr="00A32AB2">
        <w:rPr>
          <w:rFonts w:ascii="Garamond" w:hAnsi="Garamond" w:cs="Sylfaen"/>
          <w:color w:val="000000"/>
          <w:sz w:val="22"/>
          <w:szCs w:val="22"/>
        </w:rPr>
        <w:t xml:space="preserve">. </w:t>
      </w:r>
    </w:p>
    <w:p w14:paraId="3676E8C8" w14:textId="77777777" w:rsidR="000A2C22" w:rsidRPr="00A32AB2" w:rsidRDefault="000A2C22" w:rsidP="0085120F">
      <w:pPr>
        <w:tabs>
          <w:tab w:val="left" w:pos="5850"/>
        </w:tabs>
        <w:spacing w:line="360" w:lineRule="auto"/>
        <w:jc w:val="both"/>
        <w:rPr>
          <w:rFonts w:ascii="Garamond" w:hAnsi="Garamond" w:cs="Sylfaen"/>
          <w:color w:val="000000"/>
          <w:sz w:val="22"/>
          <w:szCs w:val="22"/>
        </w:rPr>
      </w:pPr>
    </w:p>
    <w:p w14:paraId="0ACD1328" w14:textId="77777777" w:rsidR="000A2C22" w:rsidRPr="00A32AB2" w:rsidRDefault="004303E9" w:rsidP="0085120F">
      <w:pPr>
        <w:tabs>
          <w:tab w:val="left" w:pos="5850"/>
        </w:tabs>
        <w:spacing w:line="360" w:lineRule="auto"/>
        <w:jc w:val="both"/>
        <w:rPr>
          <w:rFonts w:ascii="Garamond" w:hAnsi="Garamond" w:cs="Sylfaen"/>
          <w:color w:val="000000"/>
          <w:sz w:val="22"/>
          <w:szCs w:val="22"/>
        </w:rPr>
      </w:pPr>
      <w:r w:rsidRPr="00A32AB2">
        <w:rPr>
          <w:rFonts w:ascii="Garamond" w:hAnsi="Garamond" w:cs="Sylfaen"/>
          <w:color w:val="000000"/>
          <w:sz w:val="22"/>
          <w:szCs w:val="22"/>
        </w:rPr>
        <w:lastRenderedPageBreak/>
        <w:t>In view of</w:t>
      </w:r>
      <w:r w:rsidR="0035146E" w:rsidRPr="00A32AB2">
        <w:rPr>
          <w:rFonts w:ascii="Garamond" w:hAnsi="Garamond" w:cs="Sylfaen"/>
          <w:color w:val="000000"/>
          <w:sz w:val="22"/>
          <w:szCs w:val="22"/>
        </w:rPr>
        <w:t xml:space="preserve"> the </w:t>
      </w:r>
      <w:r w:rsidRPr="00A32AB2">
        <w:rPr>
          <w:rFonts w:ascii="Garamond" w:hAnsi="Garamond" w:cs="Sylfaen"/>
          <w:color w:val="000000"/>
          <w:sz w:val="22"/>
          <w:szCs w:val="22"/>
        </w:rPr>
        <w:t>inflation environment</w:t>
      </w:r>
      <w:r w:rsidR="00E8152B">
        <w:rPr>
          <w:rFonts w:ascii="Garamond" w:hAnsi="Garamond" w:cs="Sylfaen"/>
          <w:color w:val="000000"/>
          <w:sz w:val="22"/>
          <w:szCs w:val="22"/>
        </w:rPr>
        <w:t>,</w:t>
      </w:r>
      <w:r w:rsidRPr="00A32AB2">
        <w:rPr>
          <w:rFonts w:ascii="Garamond" w:hAnsi="Garamond" w:cs="Sylfaen"/>
          <w:color w:val="000000"/>
          <w:sz w:val="22"/>
          <w:szCs w:val="22"/>
        </w:rPr>
        <w:t xml:space="preserve"> </w:t>
      </w:r>
      <w:r w:rsidR="0035146E" w:rsidRPr="00A32AB2">
        <w:rPr>
          <w:rFonts w:ascii="Garamond" w:hAnsi="Garamond" w:cs="Sylfaen"/>
          <w:color w:val="000000"/>
          <w:sz w:val="22"/>
          <w:szCs w:val="22"/>
        </w:rPr>
        <w:t xml:space="preserve">low at the time and </w:t>
      </w:r>
      <w:r w:rsidR="002C6D47" w:rsidRPr="00A32AB2">
        <w:rPr>
          <w:rFonts w:ascii="Garamond" w:hAnsi="Garamond" w:cs="Sylfaen"/>
          <w:color w:val="000000"/>
          <w:sz w:val="22"/>
          <w:szCs w:val="22"/>
        </w:rPr>
        <w:t>expected to remain such in an upcoming period</w:t>
      </w:r>
      <w:r w:rsidR="0035146E" w:rsidRPr="00A32AB2">
        <w:rPr>
          <w:rFonts w:ascii="Garamond" w:hAnsi="Garamond" w:cs="Sylfaen"/>
          <w:color w:val="000000"/>
          <w:sz w:val="22"/>
          <w:szCs w:val="22"/>
        </w:rPr>
        <w:t>,</w:t>
      </w:r>
      <w:r w:rsidRPr="00A32AB2">
        <w:rPr>
          <w:rFonts w:ascii="Garamond" w:hAnsi="Garamond" w:cs="Sylfaen"/>
          <w:color w:val="000000"/>
          <w:sz w:val="22"/>
          <w:szCs w:val="22"/>
        </w:rPr>
        <w:t xml:space="preserve"> </w:t>
      </w:r>
      <w:r w:rsidR="00EB790F" w:rsidRPr="00EB790F">
        <w:rPr>
          <w:rFonts w:ascii="Garamond" w:hAnsi="Garamond" w:cs="Sylfaen"/>
          <w:color w:val="000000"/>
          <w:sz w:val="22"/>
          <w:szCs w:val="22"/>
        </w:rPr>
        <w:t>a significant decline in inflation expectations</w:t>
      </w:r>
      <w:r w:rsidR="00EB790F">
        <w:rPr>
          <w:rFonts w:ascii="Garamond" w:hAnsi="Garamond" w:cs="Sylfaen"/>
          <w:color w:val="000000"/>
          <w:sz w:val="22"/>
          <w:szCs w:val="22"/>
        </w:rPr>
        <w:t xml:space="preserve"> and more risks to </w:t>
      </w:r>
      <w:r w:rsidR="00EB790F" w:rsidRPr="00EB790F">
        <w:rPr>
          <w:rFonts w:ascii="Garamond" w:hAnsi="Garamond" w:cs="Sylfaen"/>
          <w:color w:val="000000"/>
          <w:sz w:val="22"/>
          <w:szCs w:val="22"/>
        </w:rPr>
        <w:t xml:space="preserve">deflation due to </w:t>
      </w:r>
      <w:r w:rsidR="00EB790F">
        <w:rPr>
          <w:rFonts w:ascii="Garamond" w:hAnsi="Garamond" w:cs="Sylfaen"/>
          <w:color w:val="000000"/>
          <w:sz w:val="22"/>
          <w:szCs w:val="22"/>
        </w:rPr>
        <w:t>weak</w:t>
      </w:r>
      <w:r w:rsidR="00EB790F" w:rsidRPr="00EB790F">
        <w:rPr>
          <w:rFonts w:ascii="Garamond" w:hAnsi="Garamond" w:cs="Sylfaen"/>
          <w:color w:val="000000"/>
          <w:sz w:val="22"/>
          <w:szCs w:val="22"/>
        </w:rPr>
        <w:t xml:space="preserve"> demand</w:t>
      </w:r>
      <w:r w:rsidR="002C6D47" w:rsidRPr="00A32AB2">
        <w:rPr>
          <w:rFonts w:ascii="Garamond" w:hAnsi="Garamond" w:cs="Sylfaen"/>
          <w:color w:val="000000"/>
          <w:sz w:val="22"/>
          <w:szCs w:val="22"/>
        </w:rPr>
        <w:t>,</w:t>
      </w:r>
      <w:r w:rsidRPr="00A32AB2">
        <w:rPr>
          <w:rFonts w:ascii="Garamond" w:hAnsi="Garamond" w:cs="Sylfaen"/>
          <w:color w:val="000000"/>
          <w:sz w:val="22"/>
          <w:szCs w:val="22"/>
        </w:rPr>
        <w:t xml:space="preserve"> </w:t>
      </w:r>
      <w:r w:rsidR="00E57CFA" w:rsidRPr="00A32AB2">
        <w:rPr>
          <w:rFonts w:ascii="Garamond" w:hAnsi="Garamond" w:cs="Sylfaen"/>
          <w:color w:val="000000"/>
          <w:sz w:val="22"/>
          <w:szCs w:val="22"/>
        </w:rPr>
        <w:t xml:space="preserve">the </w:t>
      </w:r>
      <w:r w:rsidR="00E57CFA" w:rsidRPr="00A32AB2">
        <w:rPr>
          <w:rFonts w:ascii="Garamond" w:hAnsi="Garamond" w:cs="Sylfaen"/>
          <w:b/>
          <w:color w:val="000000"/>
          <w:sz w:val="22"/>
          <w:szCs w:val="22"/>
        </w:rPr>
        <w:t xml:space="preserve">CBA </w:t>
      </w:r>
      <w:r w:rsidR="002C6D47" w:rsidRPr="00A32AB2">
        <w:rPr>
          <w:rFonts w:ascii="Garamond" w:hAnsi="Garamond" w:cs="Sylfaen"/>
          <w:b/>
          <w:color w:val="000000"/>
          <w:sz w:val="22"/>
          <w:szCs w:val="22"/>
        </w:rPr>
        <w:t xml:space="preserve">kept on </w:t>
      </w:r>
      <w:r w:rsidR="007B0C01">
        <w:rPr>
          <w:rFonts w:ascii="Garamond" w:hAnsi="Garamond" w:cs="Sylfaen"/>
          <w:b/>
          <w:color w:val="000000"/>
          <w:sz w:val="22"/>
          <w:szCs w:val="22"/>
        </w:rPr>
        <w:t xml:space="preserve">loosening </w:t>
      </w:r>
      <w:r w:rsidR="002C6D47" w:rsidRPr="00A32AB2">
        <w:rPr>
          <w:rFonts w:ascii="Garamond" w:hAnsi="Garamond" w:cs="Sylfaen"/>
          <w:b/>
          <w:color w:val="000000"/>
          <w:sz w:val="22"/>
          <w:szCs w:val="22"/>
        </w:rPr>
        <w:t>m</w:t>
      </w:r>
      <w:r w:rsidR="00E57CFA" w:rsidRPr="00A32AB2">
        <w:rPr>
          <w:rFonts w:ascii="Garamond" w:hAnsi="Garamond" w:cs="Sylfaen"/>
          <w:b/>
          <w:color w:val="000000"/>
          <w:sz w:val="22"/>
          <w:szCs w:val="22"/>
        </w:rPr>
        <w:t>onetary conditions</w:t>
      </w:r>
      <w:r w:rsidR="005F6DF3" w:rsidRPr="00A32AB2">
        <w:rPr>
          <w:rFonts w:ascii="Garamond" w:hAnsi="Garamond" w:cs="Sylfaen"/>
          <w:b/>
          <w:color w:val="000000"/>
          <w:sz w:val="22"/>
          <w:szCs w:val="22"/>
        </w:rPr>
        <w:t xml:space="preserve"> in the </w:t>
      </w:r>
      <w:r w:rsidR="00EB790F">
        <w:rPr>
          <w:rFonts w:ascii="Garamond" w:hAnsi="Garamond" w:cs="Sylfaen"/>
          <w:b/>
          <w:color w:val="000000"/>
          <w:sz w:val="22"/>
          <w:szCs w:val="22"/>
        </w:rPr>
        <w:t>thir</w:t>
      </w:r>
      <w:r w:rsidR="002C6D47" w:rsidRPr="00A32AB2">
        <w:rPr>
          <w:rFonts w:ascii="Garamond" w:hAnsi="Garamond" w:cs="Sylfaen"/>
          <w:b/>
          <w:color w:val="000000"/>
          <w:sz w:val="22"/>
          <w:szCs w:val="22"/>
        </w:rPr>
        <w:t xml:space="preserve">d </w:t>
      </w:r>
      <w:r w:rsidR="005F6DF3" w:rsidRPr="00A32AB2">
        <w:rPr>
          <w:rFonts w:ascii="Garamond" w:hAnsi="Garamond" w:cs="Sylfaen"/>
          <w:b/>
          <w:color w:val="000000"/>
          <w:sz w:val="22"/>
          <w:szCs w:val="22"/>
        </w:rPr>
        <w:t xml:space="preserve">quarter </w:t>
      </w:r>
      <w:r w:rsidR="002C6D47" w:rsidRPr="00A32AB2">
        <w:rPr>
          <w:rFonts w:ascii="Garamond" w:hAnsi="Garamond" w:cs="Sylfaen"/>
          <w:b/>
          <w:color w:val="000000"/>
          <w:sz w:val="22"/>
          <w:szCs w:val="22"/>
        </w:rPr>
        <w:t xml:space="preserve">by cutting </w:t>
      </w:r>
      <w:r w:rsidR="000A2C22" w:rsidRPr="00A32AB2">
        <w:rPr>
          <w:rFonts w:ascii="Garamond" w:hAnsi="Garamond" w:cs="Sylfaen"/>
          <w:b/>
          <w:color w:val="000000"/>
          <w:sz w:val="22"/>
          <w:szCs w:val="22"/>
        </w:rPr>
        <w:t xml:space="preserve">the refinancing rate </w:t>
      </w:r>
      <w:r w:rsidR="0035146E" w:rsidRPr="00A32AB2">
        <w:rPr>
          <w:rFonts w:ascii="Garamond" w:hAnsi="Garamond" w:cs="Sylfaen"/>
          <w:color w:val="000000"/>
          <w:sz w:val="22"/>
          <w:szCs w:val="22"/>
        </w:rPr>
        <w:t xml:space="preserve">in </w:t>
      </w:r>
      <w:r w:rsidR="00EB790F">
        <w:rPr>
          <w:rFonts w:ascii="Garamond" w:hAnsi="Garamond" w:cs="Sylfaen"/>
          <w:color w:val="000000"/>
          <w:sz w:val="22"/>
          <w:szCs w:val="22"/>
        </w:rPr>
        <w:t>August</w:t>
      </w:r>
      <w:r w:rsidR="0035146E" w:rsidRPr="00A32AB2">
        <w:rPr>
          <w:rFonts w:ascii="Garamond" w:hAnsi="Garamond" w:cs="Sylfaen"/>
          <w:color w:val="000000"/>
          <w:sz w:val="22"/>
          <w:szCs w:val="22"/>
        </w:rPr>
        <w:t xml:space="preserve"> and </w:t>
      </w:r>
      <w:r w:rsidR="00EB790F">
        <w:rPr>
          <w:rFonts w:ascii="Garamond" w:hAnsi="Garamond" w:cs="Sylfaen"/>
          <w:color w:val="000000"/>
          <w:sz w:val="22"/>
          <w:szCs w:val="22"/>
        </w:rPr>
        <w:t>September</w:t>
      </w:r>
      <w:r w:rsidR="0035146E" w:rsidRPr="00A32AB2">
        <w:rPr>
          <w:rFonts w:ascii="Garamond" w:hAnsi="Garamond" w:cs="Sylfaen"/>
          <w:color w:val="000000"/>
          <w:sz w:val="22"/>
          <w:szCs w:val="22"/>
        </w:rPr>
        <w:t xml:space="preserve"> </w:t>
      </w:r>
      <w:r w:rsidR="0035146E" w:rsidRPr="00A32AB2">
        <w:rPr>
          <w:rFonts w:ascii="Garamond" w:hAnsi="Garamond" w:cs="Sylfaen"/>
          <w:b/>
          <w:color w:val="000000"/>
          <w:sz w:val="22"/>
          <w:szCs w:val="22"/>
        </w:rPr>
        <w:t xml:space="preserve">for </w:t>
      </w:r>
      <w:r w:rsidR="002C6D47" w:rsidRPr="00A32AB2">
        <w:rPr>
          <w:rFonts w:ascii="Garamond" w:hAnsi="Garamond" w:cs="Sylfaen"/>
          <w:b/>
          <w:color w:val="000000"/>
          <w:sz w:val="22"/>
          <w:szCs w:val="22"/>
        </w:rPr>
        <w:t xml:space="preserve">a total of </w:t>
      </w:r>
      <w:r w:rsidR="000A2C22" w:rsidRPr="00A32AB2">
        <w:rPr>
          <w:rFonts w:ascii="Garamond" w:hAnsi="Garamond" w:cs="Sylfaen"/>
          <w:b/>
          <w:color w:val="000000"/>
          <w:sz w:val="22"/>
          <w:szCs w:val="22"/>
        </w:rPr>
        <w:t>0.</w:t>
      </w:r>
      <w:r w:rsidR="002C6D47" w:rsidRPr="00A32AB2">
        <w:rPr>
          <w:rFonts w:ascii="Garamond" w:hAnsi="Garamond" w:cs="Sylfaen"/>
          <w:b/>
          <w:color w:val="000000"/>
          <w:sz w:val="22"/>
          <w:szCs w:val="22"/>
        </w:rPr>
        <w:t>7</w:t>
      </w:r>
      <w:r w:rsidR="000A2C22" w:rsidRPr="00A32AB2">
        <w:rPr>
          <w:rFonts w:ascii="Garamond" w:hAnsi="Garamond" w:cs="Sylfaen"/>
          <w:b/>
          <w:color w:val="000000"/>
          <w:sz w:val="22"/>
          <w:szCs w:val="22"/>
        </w:rPr>
        <w:t>5 p</w:t>
      </w:r>
      <w:r w:rsidR="005F6DF3" w:rsidRPr="00A32AB2">
        <w:rPr>
          <w:rFonts w:ascii="Garamond" w:hAnsi="Garamond" w:cs="Sylfaen"/>
          <w:b/>
          <w:color w:val="000000"/>
          <w:sz w:val="22"/>
          <w:szCs w:val="22"/>
        </w:rPr>
        <w:t>p</w:t>
      </w:r>
      <w:r w:rsidR="0035146E" w:rsidRPr="00A32AB2">
        <w:rPr>
          <w:rFonts w:ascii="Garamond" w:hAnsi="Garamond" w:cs="Sylfaen"/>
          <w:b/>
          <w:color w:val="000000"/>
          <w:sz w:val="22"/>
          <w:szCs w:val="22"/>
        </w:rPr>
        <w:t xml:space="preserve"> to </w:t>
      </w:r>
      <w:r w:rsidR="00EB790F">
        <w:rPr>
          <w:rFonts w:ascii="Garamond" w:hAnsi="Garamond" w:cs="Sylfaen"/>
          <w:b/>
          <w:color w:val="000000"/>
          <w:sz w:val="22"/>
          <w:szCs w:val="22"/>
        </w:rPr>
        <w:t>6</w:t>
      </w:r>
      <w:r w:rsidR="000A2C22" w:rsidRPr="00A32AB2">
        <w:rPr>
          <w:rFonts w:ascii="Garamond" w:hAnsi="Garamond" w:cs="Sylfaen"/>
          <w:b/>
          <w:color w:val="000000"/>
          <w:sz w:val="22"/>
          <w:szCs w:val="22"/>
        </w:rPr>
        <w:t>.</w:t>
      </w:r>
      <w:r w:rsidR="00EB790F">
        <w:rPr>
          <w:rFonts w:ascii="Garamond" w:hAnsi="Garamond" w:cs="Sylfaen"/>
          <w:b/>
          <w:color w:val="000000"/>
          <w:sz w:val="22"/>
          <w:szCs w:val="22"/>
        </w:rPr>
        <w:t>7</w:t>
      </w:r>
      <w:r w:rsidR="000A2C22" w:rsidRPr="00A32AB2">
        <w:rPr>
          <w:rFonts w:ascii="Garamond" w:hAnsi="Garamond" w:cs="Sylfaen"/>
          <w:b/>
          <w:color w:val="000000"/>
          <w:sz w:val="22"/>
          <w:szCs w:val="22"/>
        </w:rPr>
        <w:t>5%</w:t>
      </w:r>
      <w:r w:rsidR="002C6D47" w:rsidRPr="00425B30">
        <w:rPr>
          <w:rFonts w:ascii="Garamond" w:hAnsi="Garamond" w:cs="Sylfaen"/>
          <w:b/>
          <w:color w:val="000000"/>
          <w:sz w:val="22"/>
          <w:szCs w:val="22"/>
        </w:rPr>
        <w:t xml:space="preserve"> in late </w:t>
      </w:r>
      <w:r w:rsidR="00EB790F" w:rsidRPr="00425B30">
        <w:rPr>
          <w:rFonts w:ascii="Garamond" w:hAnsi="Garamond" w:cs="Sylfaen"/>
          <w:b/>
          <w:color w:val="000000"/>
          <w:sz w:val="22"/>
          <w:szCs w:val="22"/>
        </w:rPr>
        <w:t>September</w:t>
      </w:r>
      <w:r w:rsidR="002C6D47" w:rsidRPr="00425B30">
        <w:rPr>
          <w:rFonts w:ascii="Garamond" w:hAnsi="Garamond" w:cs="Sylfaen"/>
          <w:b/>
          <w:color w:val="000000"/>
          <w:sz w:val="22"/>
          <w:szCs w:val="22"/>
        </w:rPr>
        <w:t>.</w:t>
      </w:r>
      <w:r w:rsidR="000A2C22" w:rsidRPr="00425B30">
        <w:rPr>
          <w:rFonts w:ascii="Garamond" w:hAnsi="Garamond" w:cs="Sylfaen"/>
          <w:b/>
          <w:color w:val="000000"/>
          <w:sz w:val="22"/>
          <w:szCs w:val="22"/>
        </w:rPr>
        <w:t xml:space="preserve"> </w:t>
      </w:r>
      <w:r w:rsidR="00B70240" w:rsidRPr="00B70240">
        <w:rPr>
          <w:rFonts w:ascii="Garamond" w:hAnsi="Garamond" w:cs="Sylfaen"/>
          <w:color w:val="000000"/>
          <w:sz w:val="22"/>
          <w:szCs w:val="22"/>
        </w:rPr>
        <w:t xml:space="preserve">Both </w:t>
      </w:r>
      <w:r w:rsidR="00B70240">
        <w:rPr>
          <w:rFonts w:ascii="Garamond" w:hAnsi="Garamond" w:cs="Sylfaen"/>
          <w:color w:val="000000"/>
          <w:sz w:val="22"/>
          <w:szCs w:val="22"/>
        </w:rPr>
        <w:t xml:space="preserve">short and long-term </w:t>
      </w:r>
      <w:r w:rsidR="00082416">
        <w:rPr>
          <w:rFonts w:ascii="Garamond" w:hAnsi="Garamond" w:cs="Sylfaen"/>
          <w:color w:val="000000"/>
          <w:sz w:val="22"/>
          <w:szCs w:val="22"/>
        </w:rPr>
        <w:t xml:space="preserve">interest rates in </w:t>
      </w:r>
      <w:r w:rsidR="00B70240">
        <w:rPr>
          <w:rFonts w:ascii="Garamond" w:hAnsi="Garamond" w:cs="Sylfaen"/>
          <w:color w:val="000000"/>
          <w:sz w:val="22"/>
          <w:szCs w:val="22"/>
        </w:rPr>
        <w:t xml:space="preserve">the financial market </w:t>
      </w:r>
      <w:r w:rsidR="00082416">
        <w:rPr>
          <w:rFonts w:ascii="Garamond" w:hAnsi="Garamond" w:cs="Sylfaen"/>
          <w:color w:val="000000"/>
          <w:sz w:val="22"/>
          <w:szCs w:val="22"/>
        </w:rPr>
        <w:t>have reacted to a c</w:t>
      </w:r>
      <w:r w:rsidR="00394A76" w:rsidRPr="00B70240">
        <w:rPr>
          <w:rFonts w:ascii="Garamond" w:hAnsi="Garamond" w:cs="Sylfaen"/>
          <w:color w:val="000000"/>
          <w:sz w:val="22"/>
          <w:szCs w:val="22"/>
        </w:rPr>
        <w:t>onsistent monet</w:t>
      </w:r>
      <w:r w:rsidR="00082416">
        <w:rPr>
          <w:rFonts w:ascii="Garamond" w:hAnsi="Garamond" w:cs="Sylfaen"/>
          <w:color w:val="000000"/>
          <w:sz w:val="22"/>
          <w:szCs w:val="22"/>
        </w:rPr>
        <w:t xml:space="preserve">ary policy conducted by the CBA, while reduced </w:t>
      </w:r>
      <w:r w:rsidR="00394A76" w:rsidRPr="00B70240">
        <w:rPr>
          <w:rFonts w:ascii="Garamond" w:hAnsi="Garamond" w:cs="Sylfaen"/>
          <w:color w:val="000000"/>
          <w:sz w:val="22"/>
          <w:szCs w:val="22"/>
        </w:rPr>
        <w:t>inflation expectations</w:t>
      </w:r>
      <w:r w:rsidR="00082416">
        <w:rPr>
          <w:rFonts w:ascii="Garamond" w:hAnsi="Garamond" w:cs="Sylfaen"/>
          <w:color w:val="000000"/>
          <w:sz w:val="22"/>
          <w:szCs w:val="22"/>
        </w:rPr>
        <w:t xml:space="preserve"> helped </w:t>
      </w:r>
      <w:r w:rsidR="00364A36" w:rsidRPr="00B70240">
        <w:rPr>
          <w:rFonts w:ascii="Garamond" w:hAnsi="Garamond" w:cs="Sylfaen"/>
          <w:color w:val="000000"/>
          <w:sz w:val="22"/>
          <w:szCs w:val="22"/>
        </w:rPr>
        <w:t>private consumption and domestic dem</w:t>
      </w:r>
      <w:r w:rsidR="00364A36" w:rsidRPr="00A32AB2">
        <w:rPr>
          <w:rFonts w:ascii="Garamond" w:hAnsi="Garamond" w:cs="Sylfaen"/>
          <w:color w:val="000000"/>
          <w:sz w:val="22"/>
          <w:szCs w:val="22"/>
        </w:rPr>
        <w:t xml:space="preserve">and </w:t>
      </w:r>
      <w:r w:rsidR="0041099B" w:rsidRPr="00A32AB2">
        <w:rPr>
          <w:rFonts w:ascii="Garamond" w:hAnsi="Garamond" w:cs="Sylfaen"/>
          <w:color w:val="000000"/>
          <w:sz w:val="22"/>
          <w:szCs w:val="22"/>
        </w:rPr>
        <w:t>to recover gradually</w:t>
      </w:r>
      <w:r w:rsidR="00394A76" w:rsidRPr="00A32AB2">
        <w:rPr>
          <w:rFonts w:ascii="Garamond" w:hAnsi="Garamond" w:cs="Sylfaen"/>
          <w:color w:val="000000"/>
          <w:sz w:val="22"/>
          <w:szCs w:val="22"/>
        </w:rPr>
        <w:t>.</w:t>
      </w:r>
    </w:p>
    <w:p w14:paraId="7864987B" w14:textId="77777777" w:rsidR="0072219E" w:rsidRPr="00A32AB2" w:rsidRDefault="0072219E" w:rsidP="0085120F">
      <w:pPr>
        <w:tabs>
          <w:tab w:val="left" w:pos="5850"/>
        </w:tabs>
        <w:spacing w:line="360" w:lineRule="auto"/>
        <w:jc w:val="both"/>
        <w:rPr>
          <w:rFonts w:ascii="Garamond" w:hAnsi="Garamond" w:cs="Sylfaen"/>
          <w:color w:val="000000"/>
          <w:sz w:val="22"/>
          <w:szCs w:val="22"/>
        </w:rPr>
      </w:pPr>
    </w:p>
    <w:p w14:paraId="463A944E" w14:textId="77777777" w:rsidR="0072219E" w:rsidRPr="00A32AB2" w:rsidRDefault="008D1D08" w:rsidP="0085120F">
      <w:pPr>
        <w:tabs>
          <w:tab w:val="left" w:pos="5850"/>
        </w:tabs>
        <w:spacing w:line="360" w:lineRule="auto"/>
        <w:jc w:val="both"/>
        <w:rPr>
          <w:rFonts w:ascii="Garamond" w:hAnsi="Garamond"/>
          <w:sz w:val="22"/>
          <w:szCs w:val="22"/>
        </w:rPr>
      </w:pPr>
      <w:r w:rsidRPr="008D1D08">
        <w:rPr>
          <w:rFonts w:ascii="Garamond" w:hAnsi="Garamond" w:cs="Times Armenian"/>
          <w:b/>
          <w:iCs/>
          <w:sz w:val="22"/>
          <w:szCs w:val="22"/>
        </w:rPr>
        <w:t>Macroeconomic forecasts by the CBA</w:t>
      </w:r>
      <w:r>
        <w:rPr>
          <w:rFonts w:ascii="Garamond" w:hAnsi="Garamond" w:cs="Times Armenian"/>
          <w:b/>
          <w:iCs/>
          <w:sz w:val="22"/>
          <w:szCs w:val="22"/>
        </w:rPr>
        <w:t>:</w:t>
      </w:r>
      <w:r>
        <w:rPr>
          <w:rFonts w:ascii="Garamond" w:hAnsi="Garamond" w:cs="Times Armenian"/>
          <w:iCs/>
          <w:sz w:val="22"/>
          <w:szCs w:val="22"/>
        </w:rPr>
        <w:t xml:space="preserve"> t</w:t>
      </w:r>
      <w:r w:rsidR="00251CAF" w:rsidRPr="00A32AB2">
        <w:rPr>
          <w:rFonts w:ascii="Garamond" w:hAnsi="Garamond" w:cs="Times Armenian"/>
          <w:iCs/>
          <w:sz w:val="22"/>
          <w:szCs w:val="22"/>
        </w:rPr>
        <w:t xml:space="preserve">he </w:t>
      </w:r>
      <w:r w:rsidR="00082416">
        <w:rPr>
          <w:rFonts w:ascii="Garamond" w:hAnsi="Garamond" w:cs="Times Armenian"/>
          <w:iCs/>
          <w:sz w:val="22"/>
          <w:szCs w:val="22"/>
        </w:rPr>
        <w:t>e</w:t>
      </w:r>
      <w:r w:rsidR="00251CAF" w:rsidRPr="00A32AB2">
        <w:rPr>
          <w:rFonts w:ascii="Garamond" w:hAnsi="Garamond" w:cs="Times Armenian"/>
          <w:iCs/>
          <w:sz w:val="22"/>
          <w:szCs w:val="22"/>
        </w:rPr>
        <w:t xml:space="preserve">conomic growth </w:t>
      </w:r>
      <w:r w:rsidR="00082416">
        <w:rPr>
          <w:rFonts w:ascii="Garamond" w:hAnsi="Garamond" w:cs="Times Armenian"/>
          <w:iCs/>
          <w:sz w:val="22"/>
          <w:szCs w:val="22"/>
        </w:rPr>
        <w:t>forecasts were revised considerably downward</w:t>
      </w:r>
      <w:r>
        <w:rPr>
          <w:rFonts w:ascii="Garamond" w:hAnsi="Garamond" w:cs="Times Armenian"/>
          <w:iCs/>
          <w:sz w:val="22"/>
          <w:szCs w:val="22"/>
        </w:rPr>
        <w:t>,</w:t>
      </w:r>
      <w:r w:rsidR="00082416">
        <w:rPr>
          <w:rFonts w:ascii="Garamond" w:hAnsi="Garamond" w:cs="Times Armenian"/>
          <w:iCs/>
          <w:sz w:val="22"/>
          <w:szCs w:val="22"/>
        </w:rPr>
        <w:t xml:space="preserve"> taking into account </w:t>
      </w:r>
      <w:r>
        <w:rPr>
          <w:rFonts w:ascii="Garamond" w:hAnsi="Garamond" w:cs="Times Armenian"/>
          <w:iCs/>
          <w:sz w:val="22"/>
          <w:szCs w:val="22"/>
        </w:rPr>
        <w:t xml:space="preserve">a </w:t>
      </w:r>
      <w:r w:rsidR="00082416">
        <w:rPr>
          <w:rFonts w:ascii="Garamond" w:hAnsi="Garamond" w:cs="Times Armenian"/>
          <w:iCs/>
          <w:sz w:val="22"/>
          <w:szCs w:val="22"/>
        </w:rPr>
        <w:t>slow</w:t>
      </w:r>
      <w:r>
        <w:rPr>
          <w:rFonts w:ascii="Garamond" w:hAnsi="Garamond" w:cs="Times Armenian"/>
          <w:iCs/>
          <w:sz w:val="22"/>
          <w:szCs w:val="22"/>
        </w:rPr>
        <w:t>er</w:t>
      </w:r>
      <w:r w:rsidR="00082416">
        <w:rPr>
          <w:rFonts w:ascii="Garamond" w:hAnsi="Garamond" w:cs="Times Armenian"/>
          <w:iCs/>
          <w:sz w:val="22"/>
          <w:szCs w:val="22"/>
        </w:rPr>
        <w:t xml:space="preserve"> </w:t>
      </w:r>
      <w:r w:rsidR="00082416" w:rsidRPr="00082416">
        <w:rPr>
          <w:rFonts w:ascii="Garamond" w:hAnsi="Garamond" w:cs="Times Armenian"/>
          <w:iCs/>
          <w:sz w:val="22"/>
          <w:szCs w:val="22"/>
        </w:rPr>
        <w:t xml:space="preserve">economic growth in the first half of the year, </w:t>
      </w:r>
      <w:r>
        <w:rPr>
          <w:rFonts w:ascii="Garamond" w:hAnsi="Garamond" w:cs="Times Armenian"/>
          <w:iCs/>
          <w:sz w:val="22"/>
          <w:szCs w:val="22"/>
        </w:rPr>
        <w:t xml:space="preserve">and </w:t>
      </w:r>
      <w:r w:rsidR="00082416" w:rsidRPr="00082416">
        <w:rPr>
          <w:rFonts w:ascii="Garamond" w:hAnsi="Garamond" w:cs="Times Armenian"/>
          <w:iCs/>
          <w:sz w:val="22"/>
          <w:szCs w:val="22"/>
        </w:rPr>
        <w:t>the macroeconomic developments</w:t>
      </w:r>
      <w:r>
        <w:rPr>
          <w:rFonts w:ascii="Garamond" w:hAnsi="Garamond" w:cs="Times Armenian"/>
          <w:iCs/>
          <w:sz w:val="22"/>
          <w:szCs w:val="22"/>
        </w:rPr>
        <w:t>. As a result, t</w:t>
      </w:r>
      <w:r w:rsidR="00251CAF" w:rsidRPr="00A32AB2">
        <w:rPr>
          <w:rFonts w:ascii="Garamond" w:hAnsi="Garamond" w:cs="Times Armenian"/>
          <w:iCs/>
          <w:sz w:val="22"/>
          <w:szCs w:val="22"/>
        </w:rPr>
        <w:t xml:space="preserve">he </w:t>
      </w:r>
      <w:r w:rsidR="00251CAF" w:rsidRPr="00A32AB2">
        <w:rPr>
          <w:rFonts w:ascii="Garamond" w:hAnsi="Garamond" w:cs="Times Armenian"/>
          <w:b/>
          <w:iCs/>
          <w:sz w:val="22"/>
          <w:szCs w:val="22"/>
        </w:rPr>
        <w:t>e</w:t>
      </w:r>
      <w:r w:rsidR="0072219E" w:rsidRPr="00A32AB2">
        <w:rPr>
          <w:rFonts w:ascii="Garamond" w:hAnsi="Garamond" w:cs="Times Armenian"/>
          <w:b/>
          <w:iCs/>
          <w:sz w:val="22"/>
          <w:szCs w:val="22"/>
        </w:rPr>
        <w:t xml:space="preserve">conomic growth in 2016 is expected in the range of </w:t>
      </w:r>
      <w:r>
        <w:rPr>
          <w:rFonts w:ascii="Garamond" w:hAnsi="Garamond"/>
          <w:b/>
          <w:sz w:val="22"/>
          <w:szCs w:val="22"/>
        </w:rPr>
        <w:t>1</w:t>
      </w:r>
      <w:r w:rsidR="0072219E" w:rsidRPr="00A32AB2">
        <w:rPr>
          <w:rFonts w:ascii="Garamond" w:hAnsi="Garamond"/>
          <w:b/>
          <w:sz w:val="22"/>
          <w:szCs w:val="22"/>
        </w:rPr>
        <w:t>.</w:t>
      </w:r>
      <w:r>
        <w:rPr>
          <w:rFonts w:ascii="Garamond" w:hAnsi="Garamond"/>
          <w:b/>
          <w:sz w:val="22"/>
          <w:szCs w:val="22"/>
        </w:rPr>
        <w:t>3</w:t>
      </w:r>
      <w:r w:rsidR="0072219E" w:rsidRPr="00A32AB2">
        <w:rPr>
          <w:rFonts w:ascii="Garamond" w:hAnsi="Garamond"/>
          <w:b/>
          <w:sz w:val="22"/>
          <w:szCs w:val="22"/>
        </w:rPr>
        <w:t>-</w:t>
      </w:r>
      <w:r>
        <w:rPr>
          <w:rFonts w:ascii="Garamond" w:hAnsi="Garamond"/>
          <w:b/>
          <w:sz w:val="22"/>
          <w:szCs w:val="22"/>
        </w:rPr>
        <w:t>1</w:t>
      </w:r>
      <w:r w:rsidR="0072219E" w:rsidRPr="00A32AB2">
        <w:rPr>
          <w:rFonts w:ascii="Garamond" w:hAnsi="Garamond"/>
          <w:b/>
          <w:sz w:val="22"/>
          <w:szCs w:val="22"/>
        </w:rPr>
        <w:t>.</w:t>
      </w:r>
      <w:r>
        <w:rPr>
          <w:rFonts w:ascii="Garamond" w:hAnsi="Garamond"/>
          <w:b/>
          <w:sz w:val="22"/>
          <w:szCs w:val="22"/>
        </w:rPr>
        <w:t>8</w:t>
      </w:r>
      <w:r w:rsidR="0072219E" w:rsidRPr="00A32AB2">
        <w:rPr>
          <w:rFonts w:ascii="Garamond" w:hAnsi="Garamond"/>
          <w:b/>
          <w:sz w:val="22"/>
          <w:szCs w:val="22"/>
        </w:rPr>
        <w:t>%</w:t>
      </w:r>
      <w:r w:rsidR="0072219E" w:rsidRPr="00A32AB2">
        <w:rPr>
          <w:rFonts w:ascii="Garamond" w:hAnsi="Garamond"/>
          <w:sz w:val="22"/>
          <w:szCs w:val="22"/>
        </w:rPr>
        <w:t xml:space="preserve">, </w:t>
      </w:r>
      <w:r w:rsidR="00847264" w:rsidRPr="00A32AB2">
        <w:rPr>
          <w:rFonts w:ascii="Garamond" w:hAnsi="Garamond"/>
          <w:sz w:val="22"/>
          <w:szCs w:val="22"/>
        </w:rPr>
        <w:t>with the tradable sector</w:t>
      </w:r>
      <w:r w:rsidR="00293B44" w:rsidRPr="00A32AB2">
        <w:rPr>
          <w:rFonts w:ascii="Garamond" w:hAnsi="Garamond"/>
          <w:sz w:val="22"/>
          <w:szCs w:val="22"/>
        </w:rPr>
        <w:t xml:space="preserve"> (</w:t>
      </w:r>
      <w:r w:rsidR="00847264" w:rsidRPr="00A32AB2">
        <w:rPr>
          <w:rFonts w:ascii="Garamond" w:hAnsi="Garamond"/>
          <w:sz w:val="22"/>
          <w:szCs w:val="22"/>
        </w:rPr>
        <w:t>particularly mining and services</w:t>
      </w:r>
      <w:r w:rsidR="00293B44" w:rsidRPr="00A32AB2">
        <w:rPr>
          <w:rFonts w:ascii="Garamond" w:hAnsi="Garamond"/>
          <w:sz w:val="22"/>
          <w:szCs w:val="22"/>
        </w:rPr>
        <w:t>)</w:t>
      </w:r>
      <w:r w:rsidR="00847264" w:rsidRPr="00A32AB2">
        <w:rPr>
          <w:rFonts w:ascii="Garamond" w:hAnsi="Garamond"/>
          <w:sz w:val="22"/>
          <w:szCs w:val="22"/>
        </w:rPr>
        <w:t xml:space="preserve"> </w:t>
      </w:r>
      <w:r w:rsidR="00293B44" w:rsidRPr="00A32AB2">
        <w:rPr>
          <w:rFonts w:ascii="Garamond" w:hAnsi="Garamond"/>
          <w:sz w:val="22"/>
          <w:szCs w:val="22"/>
        </w:rPr>
        <w:t>as the main driver</w:t>
      </w:r>
      <w:r w:rsidR="009A2E19" w:rsidRPr="00A32AB2">
        <w:rPr>
          <w:rFonts w:ascii="Garamond" w:hAnsi="Garamond"/>
          <w:sz w:val="22"/>
          <w:szCs w:val="22"/>
        </w:rPr>
        <w:t xml:space="preserve"> to growth</w:t>
      </w:r>
      <w:r w:rsidR="00251CAF" w:rsidRPr="00A32AB2">
        <w:rPr>
          <w:rFonts w:ascii="Garamond" w:hAnsi="Garamond"/>
          <w:sz w:val="22"/>
          <w:szCs w:val="22"/>
        </w:rPr>
        <w:t>.</w:t>
      </w:r>
      <w:r w:rsidR="009A2E19" w:rsidRPr="00A32AB2">
        <w:rPr>
          <w:rFonts w:ascii="Garamond" w:hAnsi="Garamond"/>
          <w:sz w:val="22"/>
          <w:szCs w:val="22"/>
        </w:rPr>
        <w:t xml:space="preserve"> </w:t>
      </w:r>
    </w:p>
    <w:p w14:paraId="50584449" w14:textId="77777777" w:rsidR="00CF2EC9" w:rsidRPr="00A32AB2" w:rsidRDefault="00CF2EC9" w:rsidP="0085120F">
      <w:pPr>
        <w:tabs>
          <w:tab w:val="left" w:pos="5850"/>
        </w:tabs>
        <w:spacing w:line="360" w:lineRule="auto"/>
        <w:jc w:val="both"/>
        <w:rPr>
          <w:rFonts w:ascii="Garamond" w:hAnsi="Garamond"/>
          <w:sz w:val="22"/>
          <w:szCs w:val="22"/>
        </w:rPr>
      </w:pPr>
    </w:p>
    <w:p w14:paraId="65407717" w14:textId="77777777" w:rsidR="008C028D" w:rsidRDefault="00CF2EC9" w:rsidP="0085120F">
      <w:pPr>
        <w:tabs>
          <w:tab w:val="left" w:pos="5850"/>
        </w:tabs>
        <w:spacing w:line="360" w:lineRule="auto"/>
        <w:jc w:val="both"/>
        <w:rPr>
          <w:rFonts w:ascii="Garamond" w:hAnsi="Garamond" w:cs="Sylfaen"/>
          <w:color w:val="000000"/>
          <w:sz w:val="22"/>
          <w:szCs w:val="22"/>
        </w:rPr>
      </w:pPr>
      <w:r w:rsidRPr="00A32AB2">
        <w:rPr>
          <w:rFonts w:ascii="Garamond" w:hAnsi="Garamond" w:cs="Sylfaen"/>
          <w:color w:val="000000"/>
          <w:sz w:val="22"/>
          <w:szCs w:val="22"/>
        </w:rPr>
        <w:t xml:space="preserve">In consideration of </w:t>
      </w:r>
      <w:r w:rsidR="003C2EB6">
        <w:rPr>
          <w:rFonts w:ascii="Garamond" w:hAnsi="Garamond" w:cs="Sylfaen"/>
          <w:color w:val="000000"/>
          <w:sz w:val="22"/>
          <w:szCs w:val="22"/>
        </w:rPr>
        <w:t xml:space="preserve">a slower </w:t>
      </w:r>
      <w:r w:rsidRPr="00A32AB2">
        <w:rPr>
          <w:rFonts w:ascii="Garamond" w:hAnsi="Garamond" w:cs="Sylfaen"/>
          <w:color w:val="000000"/>
          <w:sz w:val="22"/>
          <w:szCs w:val="22"/>
        </w:rPr>
        <w:t xml:space="preserve">decline of the Russian economy and </w:t>
      </w:r>
      <w:r w:rsidRPr="00A32AB2">
        <w:rPr>
          <w:rFonts w:ascii="Garamond" w:hAnsi="Garamond"/>
          <w:iCs/>
          <w:color w:val="000000"/>
          <w:sz w:val="22"/>
          <w:szCs w:val="22"/>
        </w:rPr>
        <w:t xml:space="preserve">vanishing </w:t>
      </w:r>
      <w:r w:rsidR="00DD628C">
        <w:rPr>
          <w:rFonts w:ascii="Garamond" w:hAnsi="Garamond"/>
          <w:iCs/>
          <w:color w:val="000000"/>
          <w:sz w:val="22"/>
          <w:szCs w:val="22"/>
        </w:rPr>
        <w:t xml:space="preserve">impact </w:t>
      </w:r>
      <w:r w:rsidRPr="00A32AB2">
        <w:rPr>
          <w:rFonts w:ascii="Garamond" w:hAnsi="Garamond"/>
          <w:iCs/>
          <w:color w:val="000000"/>
          <w:sz w:val="22"/>
          <w:szCs w:val="22"/>
        </w:rPr>
        <w:t xml:space="preserve">of the ruble exchange rate depreciation against the U.S. dollar, the </w:t>
      </w:r>
      <w:r w:rsidRPr="00A32AB2">
        <w:rPr>
          <w:rFonts w:ascii="Garamond" w:hAnsi="Garamond"/>
          <w:b/>
          <w:iCs/>
          <w:color w:val="000000"/>
          <w:sz w:val="22"/>
          <w:szCs w:val="22"/>
        </w:rPr>
        <w:t>dollar value of net inflow of remittances</w:t>
      </w:r>
      <w:r w:rsidR="003562CE" w:rsidRPr="00A32AB2">
        <w:rPr>
          <w:rFonts w:ascii="Garamond" w:hAnsi="Garamond"/>
          <w:b/>
          <w:iCs/>
          <w:color w:val="000000"/>
          <w:sz w:val="22"/>
          <w:szCs w:val="22"/>
        </w:rPr>
        <w:t xml:space="preserve"> will reduce at a </w:t>
      </w:r>
      <w:r w:rsidR="003C2EB6">
        <w:rPr>
          <w:rFonts w:ascii="Garamond" w:hAnsi="Garamond"/>
          <w:b/>
          <w:iCs/>
          <w:color w:val="000000"/>
          <w:sz w:val="22"/>
          <w:szCs w:val="22"/>
        </w:rPr>
        <w:t>lesser speed</w:t>
      </w:r>
      <w:r w:rsidR="00BE7257" w:rsidRPr="00A32AB2">
        <w:rPr>
          <w:rFonts w:ascii="Garamond" w:hAnsi="Garamond"/>
          <w:b/>
          <w:iCs/>
          <w:color w:val="000000"/>
          <w:sz w:val="22"/>
          <w:szCs w:val="22"/>
          <w:lang w:val="hy-AM"/>
        </w:rPr>
        <w:t xml:space="preserve"> </w:t>
      </w:r>
      <w:r w:rsidR="003562CE" w:rsidRPr="00A32AB2">
        <w:rPr>
          <w:rFonts w:ascii="Garamond" w:hAnsi="Garamond"/>
          <w:iCs/>
          <w:color w:val="000000"/>
          <w:sz w:val="22"/>
          <w:szCs w:val="22"/>
        </w:rPr>
        <w:t xml:space="preserve">in 2016, generally in line with previous forecasts. </w:t>
      </w:r>
      <w:r w:rsidR="00857EA9">
        <w:rPr>
          <w:rFonts w:ascii="Garamond" w:hAnsi="Garamond" w:cs="Sylfaen"/>
          <w:color w:val="000000"/>
          <w:sz w:val="22"/>
          <w:szCs w:val="22"/>
        </w:rPr>
        <w:t xml:space="preserve">In </w:t>
      </w:r>
      <w:r w:rsidR="00794D69" w:rsidRPr="00A32AB2">
        <w:rPr>
          <w:rFonts w:ascii="Garamond" w:hAnsi="Garamond" w:cs="Sylfaen"/>
          <w:color w:val="000000"/>
          <w:sz w:val="22"/>
          <w:szCs w:val="22"/>
        </w:rPr>
        <w:t xml:space="preserve">a </w:t>
      </w:r>
      <w:r w:rsidR="00857EA9">
        <w:rPr>
          <w:rFonts w:ascii="Garamond" w:hAnsi="Garamond" w:cs="Sylfaen"/>
          <w:color w:val="000000"/>
          <w:sz w:val="22"/>
          <w:szCs w:val="22"/>
        </w:rPr>
        <w:t xml:space="preserve">low </w:t>
      </w:r>
      <w:r w:rsidR="001F25A9" w:rsidRPr="00A32AB2">
        <w:rPr>
          <w:rFonts w:ascii="Garamond" w:hAnsi="Garamond" w:cs="Sylfaen"/>
          <w:color w:val="000000"/>
          <w:sz w:val="22"/>
          <w:szCs w:val="22"/>
        </w:rPr>
        <w:t>inflation</w:t>
      </w:r>
      <w:r w:rsidR="00857EA9">
        <w:rPr>
          <w:rFonts w:ascii="Garamond" w:hAnsi="Garamond" w:cs="Sylfaen"/>
          <w:color w:val="000000"/>
          <w:sz w:val="22"/>
          <w:szCs w:val="22"/>
        </w:rPr>
        <w:t>ary</w:t>
      </w:r>
      <w:r w:rsidR="001F25A9" w:rsidRPr="00A32AB2">
        <w:rPr>
          <w:rFonts w:ascii="Garamond" w:hAnsi="Garamond" w:cs="Sylfaen"/>
          <w:color w:val="000000"/>
          <w:sz w:val="22"/>
          <w:szCs w:val="22"/>
        </w:rPr>
        <w:t xml:space="preserve"> environment, </w:t>
      </w:r>
      <w:r w:rsidR="00857EA9">
        <w:rPr>
          <w:rFonts w:ascii="Garamond" w:hAnsi="Garamond" w:cs="Sylfaen"/>
          <w:color w:val="000000"/>
          <w:sz w:val="22"/>
          <w:szCs w:val="22"/>
        </w:rPr>
        <w:t xml:space="preserve">the </w:t>
      </w:r>
      <w:r w:rsidRPr="00A32AB2">
        <w:rPr>
          <w:rFonts w:ascii="Garamond" w:hAnsi="Garamond" w:cs="Sylfaen"/>
          <w:color w:val="000000"/>
          <w:sz w:val="22"/>
          <w:szCs w:val="22"/>
        </w:rPr>
        <w:t xml:space="preserve">private spending </w:t>
      </w:r>
      <w:r w:rsidR="00857EA9">
        <w:rPr>
          <w:rFonts w:ascii="Garamond" w:hAnsi="Garamond" w:cs="Sylfaen"/>
          <w:color w:val="000000"/>
          <w:sz w:val="22"/>
          <w:szCs w:val="22"/>
        </w:rPr>
        <w:t xml:space="preserve">in 2016 </w:t>
      </w:r>
      <w:r w:rsidR="00794D69" w:rsidRPr="00A32AB2">
        <w:rPr>
          <w:rFonts w:ascii="Garamond" w:hAnsi="Garamond" w:cs="Sylfaen"/>
          <w:color w:val="000000"/>
          <w:sz w:val="22"/>
          <w:szCs w:val="22"/>
        </w:rPr>
        <w:t>will re</w:t>
      </w:r>
      <w:r w:rsidR="00857EA9">
        <w:rPr>
          <w:rFonts w:ascii="Garamond" w:hAnsi="Garamond" w:cs="Sylfaen"/>
          <w:color w:val="000000"/>
          <w:sz w:val="22"/>
          <w:szCs w:val="22"/>
        </w:rPr>
        <w:t>store to a certain extent</w:t>
      </w:r>
      <w:r w:rsidR="00857EA9" w:rsidRPr="00857EA9">
        <w:t xml:space="preserve"> </w:t>
      </w:r>
      <w:r w:rsidR="00857EA9" w:rsidRPr="00857EA9">
        <w:rPr>
          <w:rFonts w:ascii="Garamond" w:hAnsi="Garamond" w:cs="Sylfaen"/>
          <w:color w:val="000000"/>
          <w:sz w:val="22"/>
          <w:szCs w:val="22"/>
        </w:rPr>
        <w:t xml:space="preserve">but </w:t>
      </w:r>
      <w:r w:rsidR="00857EA9">
        <w:rPr>
          <w:rFonts w:ascii="Garamond" w:hAnsi="Garamond" w:cs="Sylfaen"/>
          <w:color w:val="000000"/>
          <w:sz w:val="22"/>
          <w:szCs w:val="22"/>
        </w:rPr>
        <w:t xml:space="preserve">run below the previous forecasts however, due to a </w:t>
      </w:r>
      <w:r w:rsidR="00857EA9" w:rsidRPr="00857EA9">
        <w:rPr>
          <w:rFonts w:ascii="Garamond" w:hAnsi="Garamond" w:cs="Sylfaen"/>
          <w:color w:val="000000"/>
          <w:sz w:val="22"/>
          <w:szCs w:val="22"/>
        </w:rPr>
        <w:t>lower</w:t>
      </w:r>
      <w:r w:rsidR="00857EA9">
        <w:rPr>
          <w:rFonts w:ascii="Garamond" w:hAnsi="Garamond" w:cs="Sylfaen"/>
          <w:color w:val="000000"/>
          <w:sz w:val="22"/>
          <w:szCs w:val="22"/>
        </w:rPr>
        <w:t>-than-</w:t>
      </w:r>
      <w:r w:rsidR="00857EA9" w:rsidRPr="00857EA9">
        <w:rPr>
          <w:rFonts w:ascii="Garamond" w:hAnsi="Garamond" w:cs="Sylfaen"/>
          <w:color w:val="000000"/>
          <w:sz w:val="22"/>
          <w:szCs w:val="22"/>
        </w:rPr>
        <w:t>expected growth in the volume of trade turnover and weak economic activity.</w:t>
      </w:r>
      <w:r w:rsidR="00857EA9">
        <w:rPr>
          <w:rFonts w:ascii="Garamond" w:hAnsi="Garamond" w:cs="Sylfaen"/>
          <w:color w:val="000000"/>
          <w:sz w:val="22"/>
          <w:szCs w:val="22"/>
        </w:rPr>
        <w:t xml:space="preserve"> </w:t>
      </w:r>
      <w:r w:rsidR="00794D69" w:rsidRPr="00A32AB2">
        <w:rPr>
          <w:rFonts w:ascii="Garamond" w:hAnsi="Garamond" w:cs="Sylfaen"/>
          <w:color w:val="000000"/>
          <w:sz w:val="22"/>
          <w:szCs w:val="22"/>
        </w:rPr>
        <w:t xml:space="preserve">Moreover, </w:t>
      </w:r>
      <w:r w:rsidR="006E21E2">
        <w:rPr>
          <w:rFonts w:ascii="Garamond" w:hAnsi="Garamond" w:cs="Sylfaen"/>
          <w:color w:val="000000"/>
          <w:sz w:val="22"/>
          <w:szCs w:val="22"/>
        </w:rPr>
        <w:t>i</w:t>
      </w:r>
      <w:r w:rsidR="006E21E2" w:rsidRPr="006E21E2">
        <w:rPr>
          <w:rFonts w:ascii="Garamond" w:hAnsi="Garamond" w:cs="Sylfaen"/>
          <w:color w:val="000000"/>
          <w:sz w:val="22"/>
          <w:szCs w:val="22"/>
        </w:rPr>
        <w:t xml:space="preserve">nvestment activity will </w:t>
      </w:r>
      <w:r w:rsidR="006E21E2">
        <w:rPr>
          <w:rFonts w:ascii="Garamond" w:hAnsi="Garamond" w:cs="Sylfaen"/>
          <w:color w:val="000000"/>
          <w:sz w:val="22"/>
          <w:szCs w:val="22"/>
        </w:rPr>
        <w:t xml:space="preserve">remain slackened in which case </w:t>
      </w:r>
      <w:r w:rsidR="006E21E2" w:rsidRPr="006E21E2">
        <w:rPr>
          <w:rFonts w:ascii="Garamond" w:hAnsi="Garamond" w:cs="Sylfaen"/>
          <w:color w:val="000000"/>
          <w:sz w:val="22"/>
          <w:szCs w:val="22"/>
        </w:rPr>
        <w:t xml:space="preserve">private investment </w:t>
      </w:r>
      <w:r w:rsidR="006E21E2">
        <w:rPr>
          <w:rFonts w:ascii="Garamond" w:hAnsi="Garamond" w:cs="Sylfaen"/>
          <w:color w:val="000000"/>
          <w:sz w:val="22"/>
          <w:szCs w:val="22"/>
        </w:rPr>
        <w:t xml:space="preserve">will </w:t>
      </w:r>
      <w:r w:rsidR="006E21E2" w:rsidRPr="006E21E2">
        <w:rPr>
          <w:rFonts w:ascii="Garamond" w:hAnsi="Garamond" w:cs="Sylfaen"/>
          <w:color w:val="000000"/>
          <w:sz w:val="22"/>
          <w:szCs w:val="22"/>
        </w:rPr>
        <w:t>decrease by 3.5%</w:t>
      </w:r>
      <w:r w:rsidR="006E21E2">
        <w:rPr>
          <w:rFonts w:ascii="Garamond" w:hAnsi="Garamond" w:cs="Sylfaen"/>
          <w:color w:val="000000"/>
          <w:sz w:val="22"/>
          <w:szCs w:val="22"/>
        </w:rPr>
        <w:t xml:space="preserve"> against a prediction of increase in 2106</w:t>
      </w:r>
      <w:r w:rsidR="006E21E2" w:rsidRPr="006E21E2">
        <w:rPr>
          <w:rFonts w:ascii="Garamond" w:hAnsi="Garamond" w:cs="Sylfaen"/>
          <w:color w:val="000000"/>
          <w:sz w:val="22"/>
          <w:szCs w:val="22"/>
        </w:rPr>
        <w:t>, due to lower than expected activity in the construction sector.</w:t>
      </w:r>
      <w:r w:rsidR="006E21E2">
        <w:rPr>
          <w:rFonts w:ascii="Garamond" w:hAnsi="Garamond" w:cs="Sylfaen"/>
          <w:color w:val="000000"/>
          <w:sz w:val="22"/>
          <w:szCs w:val="22"/>
        </w:rPr>
        <w:t xml:space="preserve"> It is therefore estimated that the </w:t>
      </w:r>
      <w:r w:rsidR="00794D69" w:rsidRPr="00A32AB2">
        <w:rPr>
          <w:rFonts w:ascii="Garamond" w:hAnsi="Garamond" w:cs="Sylfaen"/>
          <w:color w:val="000000"/>
          <w:sz w:val="22"/>
          <w:szCs w:val="22"/>
        </w:rPr>
        <w:t>domestic demand</w:t>
      </w:r>
      <w:r w:rsidR="006E21E2">
        <w:rPr>
          <w:rFonts w:ascii="Garamond" w:hAnsi="Garamond" w:cs="Sylfaen"/>
          <w:color w:val="000000"/>
          <w:sz w:val="22"/>
          <w:szCs w:val="22"/>
        </w:rPr>
        <w:t xml:space="preserve"> will come in weaker compared to a previous forecast and</w:t>
      </w:r>
      <w:r w:rsidR="00BE23D0" w:rsidRPr="00A32AB2">
        <w:rPr>
          <w:rFonts w:ascii="Garamond" w:hAnsi="Garamond" w:cs="Sylfaen"/>
          <w:color w:val="000000"/>
          <w:sz w:val="22"/>
          <w:szCs w:val="22"/>
        </w:rPr>
        <w:t>,</w:t>
      </w:r>
      <w:r w:rsidR="00794D69" w:rsidRPr="00A32AB2">
        <w:rPr>
          <w:rFonts w:ascii="Garamond" w:hAnsi="Garamond" w:cs="Sylfaen"/>
          <w:color w:val="000000"/>
          <w:sz w:val="22"/>
          <w:szCs w:val="22"/>
        </w:rPr>
        <w:t xml:space="preserve"> </w:t>
      </w:r>
      <w:r w:rsidR="006E21E2">
        <w:rPr>
          <w:rFonts w:ascii="Garamond" w:hAnsi="Garamond" w:cs="Sylfaen"/>
          <w:color w:val="000000"/>
          <w:sz w:val="22"/>
          <w:szCs w:val="22"/>
        </w:rPr>
        <w:t>albeit set to recove</w:t>
      </w:r>
      <w:r w:rsidR="00976E2E">
        <w:rPr>
          <w:rFonts w:ascii="Garamond" w:hAnsi="Garamond" w:cs="Sylfaen"/>
          <w:color w:val="000000"/>
          <w:sz w:val="22"/>
          <w:szCs w:val="22"/>
        </w:rPr>
        <w:t xml:space="preserve">r to some extent in 2016 after a reported contraction in 2015, it will </w:t>
      </w:r>
      <w:r w:rsidR="0012594D" w:rsidRPr="00A32AB2">
        <w:rPr>
          <w:rFonts w:ascii="Garamond" w:hAnsi="Garamond" w:cs="Sylfaen"/>
          <w:color w:val="000000"/>
          <w:sz w:val="22"/>
          <w:szCs w:val="22"/>
        </w:rPr>
        <w:t xml:space="preserve">still </w:t>
      </w:r>
      <w:r w:rsidR="00BE23D0" w:rsidRPr="00A32AB2">
        <w:rPr>
          <w:rFonts w:ascii="Garamond" w:hAnsi="Garamond" w:cs="Sylfaen"/>
          <w:color w:val="000000"/>
          <w:sz w:val="22"/>
          <w:szCs w:val="22"/>
        </w:rPr>
        <w:t>run</w:t>
      </w:r>
      <w:r w:rsidR="0012594D" w:rsidRPr="00A32AB2">
        <w:rPr>
          <w:rFonts w:ascii="Garamond" w:hAnsi="Garamond" w:cs="Sylfaen"/>
          <w:color w:val="000000"/>
          <w:sz w:val="22"/>
          <w:szCs w:val="22"/>
        </w:rPr>
        <w:t xml:space="preserve"> </w:t>
      </w:r>
      <w:r w:rsidR="00794D69" w:rsidRPr="00A32AB2">
        <w:rPr>
          <w:rFonts w:ascii="Garamond" w:hAnsi="Garamond" w:cs="Sylfaen"/>
          <w:color w:val="000000"/>
          <w:sz w:val="22"/>
          <w:szCs w:val="22"/>
        </w:rPr>
        <w:t xml:space="preserve">below </w:t>
      </w:r>
      <w:r w:rsidR="00BE23D0" w:rsidRPr="00A32AB2">
        <w:rPr>
          <w:rFonts w:ascii="Garamond" w:hAnsi="Garamond" w:cs="Sylfaen"/>
          <w:color w:val="000000"/>
          <w:sz w:val="22"/>
          <w:szCs w:val="22"/>
        </w:rPr>
        <w:t xml:space="preserve">its </w:t>
      </w:r>
      <w:r w:rsidR="00794D69" w:rsidRPr="00A32AB2">
        <w:rPr>
          <w:rFonts w:ascii="Garamond" w:hAnsi="Garamond" w:cs="Sylfaen"/>
          <w:color w:val="000000"/>
          <w:sz w:val="22"/>
          <w:szCs w:val="22"/>
        </w:rPr>
        <w:t>equilibrium</w:t>
      </w:r>
      <w:r w:rsidR="00BE23D0" w:rsidRPr="00A32AB2">
        <w:rPr>
          <w:rFonts w:ascii="Garamond" w:hAnsi="Garamond" w:cs="Sylfaen"/>
          <w:color w:val="000000"/>
          <w:sz w:val="22"/>
          <w:szCs w:val="22"/>
        </w:rPr>
        <w:t>.</w:t>
      </w:r>
      <w:r w:rsidR="008C028D">
        <w:rPr>
          <w:rFonts w:ascii="Garamond" w:hAnsi="Garamond" w:cs="Sylfaen"/>
          <w:color w:val="000000"/>
          <w:sz w:val="22"/>
          <w:szCs w:val="22"/>
        </w:rPr>
        <w:t xml:space="preserve"> </w:t>
      </w:r>
      <w:r w:rsidR="00A753F4" w:rsidRPr="00A32AB2">
        <w:rPr>
          <w:rFonts w:ascii="Garamond" w:hAnsi="Garamond" w:cs="Sylfaen"/>
          <w:color w:val="000000"/>
          <w:sz w:val="22"/>
          <w:szCs w:val="22"/>
        </w:rPr>
        <w:t>C</w:t>
      </w:r>
      <w:r w:rsidRPr="00A32AB2">
        <w:rPr>
          <w:rFonts w:ascii="Garamond" w:eastAsia="Calibri" w:hAnsi="Garamond" w:cs="Sylfaen"/>
          <w:color w:val="000000"/>
          <w:sz w:val="22"/>
          <w:szCs w:val="22"/>
        </w:rPr>
        <w:t>onsiderabl</w:t>
      </w:r>
      <w:r w:rsidR="00A753F4" w:rsidRPr="00A32AB2">
        <w:rPr>
          <w:rFonts w:ascii="Garamond" w:eastAsia="Calibri" w:hAnsi="Garamond" w:cs="Sylfaen"/>
          <w:color w:val="000000"/>
          <w:sz w:val="22"/>
          <w:szCs w:val="22"/>
        </w:rPr>
        <w:t>e easing of</w:t>
      </w:r>
      <w:r w:rsidRPr="00A32AB2">
        <w:rPr>
          <w:rFonts w:ascii="Garamond" w:eastAsia="Calibri" w:hAnsi="Garamond" w:cs="Sylfaen"/>
          <w:color w:val="000000"/>
          <w:sz w:val="22"/>
          <w:szCs w:val="22"/>
        </w:rPr>
        <w:t xml:space="preserve"> monetary conditions</w:t>
      </w:r>
      <w:r w:rsidR="00A753F4" w:rsidRPr="00A32AB2">
        <w:rPr>
          <w:rFonts w:ascii="Garamond" w:eastAsia="Calibri" w:hAnsi="Garamond" w:cs="Sylfaen"/>
          <w:color w:val="000000"/>
          <w:sz w:val="22"/>
          <w:szCs w:val="22"/>
        </w:rPr>
        <w:t>,</w:t>
      </w:r>
      <w:r w:rsidR="00BE7257" w:rsidRPr="00A32AB2">
        <w:rPr>
          <w:rFonts w:ascii="Garamond" w:eastAsia="Calibri" w:hAnsi="Garamond" w:cs="Sylfaen"/>
          <w:color w:val="000000"/>
          <w:sz w:val="22"/>
          <w:szCs w:val="22"/>
          <w:lang w:val="hy-AM"/>
        </w:rPr>
        <w:t xml:space="preserve"> </w:t>
      </w:r>
      <w:r w:rsidR="00A753F4" w:rsidRPr="00A32AB2">
        <w:rPr>
          <w:rFonts w:ascii="Garamond" w:eastAsia="Calibri" w:hAnsi="Garamond" w:cs="Sylfaen"/>
          <w:color w:val="000000"/>
          <w:sz w:val="22"/>
          <w:szCs w:val="22"/>
        </w:rPr>
        <w:t xml:space="preserve">expanding of budget deficit and a low inflation environment </w:t>
      </w:r>
      <w:r w:rsidR="0075154D" w:rsidRPr="00A32AB2">
        <w:rPr>
          <w:rFonts w:ascii="Garamond" w:eastAsia="Calibri" w:hAnsi="Garamond" w:cs="Sylfaen"/>
          <w:color w:val="000000"/>
          <w:sz w:val="22"/>
          <w:szCs w:val="22"/>
        </w:rPr>
        <w:t>in 2015-2016</w:t>
      </w:r>
      <w:r w:rsidR="00794D69" w:rsidRPr="00A32AB2">
        <w:rPr>
          <w:rFonts w:ascii="Garamond" w:eastAsia="Calibri" w:hAnsi="Garamond" w:cs="Sylfaen"/>
          <w:color w:val="000000"/>
          <w:sz w:val="22"/>
          <w:szCs w:val="22"/>
        </w:rPr>
        <w:t xml:space="preserve"> </w:t>
      </w:r>
      <w:r w:rsidRPr="00A32AB2">
        <w:rPr>
          <w:rFonts w:ascii="Garamond" w:eastAsia="Calibri" w:hAnsi="Garamond" w:cs="Sylfaen"/>
          <w:color w:val="000000"/>
          <w:sz w:val="22"/>
          <w:szCs w:val="22"/>
        </w:rPr>
        <w:t xml:space="preserve">will somewhat </w:t>
      </w:r>
      <w:r w:rsidR="0075154D" w:rsidRPr="00A32AB2">
        <w:rPr>
          <w:rFonts w:ascii="Garamond" w:eastAsia="Calibri" w:hAnsi="Garamond" w:cs="Sylfaen"/>
          <w:color w:val="000000"/>
          <w:sz w:val="22"/>
          <w:szCs w:val="22"/>
        </w:rPr>
        <w:t xml:space="preserve">facilitate </w:t>
      </w:r>
      <w:r w:rsidRPr="00A32AB2">
        <w:rPr>
          <w:rFonts w:ascii="Garamond" w:eastAsia="Calibri" w:hAnsi="Garamond" w:cs="Sylfaen"/>
          <w:color w:val="000000"/>
          <w:sz w:val="22"/>
          <w:szCs w:val="22"/>
        </w:rPr>
        <w:t xml:space="preserve">the </w:t>
      </w:r>
      <w:r w:rsidR="0075154D" w:rsidRPr="00A32AB2">
        <w:rPr>
          <w:rFonts w:ascii="Garamond" w:eastAsia="Calibri" w:hAnsi="Garamond" w:cs="Sylfaen"/>
          <w:color w:val="000000"/>
          <w:sz w:val="22"/>
          <w:szCs w:val="22"/>
        </w:rPr>
        <w:t xml:space="preserve">recovery of domestic demand in </w:t>
      </w:r>
      <w:r w:rsidRPr="00A32AB2">
        <w:rPr>
          <w:rFonts w:ascii="Garamond" w:hAnsi="Garamond" w:cs="Sylfaen"/>
          <w:color w:val="000000"/>
          <w:sz w:val="22"/>
          <w:szCs w:val="22"/>
        </w:rPr>
        <w:t xml:space="preserve">2016. </w:t>
      </w:r>
    </w:p>
    <w:p w14:paraId="75258DA3" w14:textId="77777777" w:rsidR="008C028D" w:rsidRDefault="008C028D" w:rsidP="0085120F">
      <w:pPr>
        <w:tabs>
          <w:tab w:val="left" w:pos="5850"/>
        </w:tabs>
        <w:spacing w:line="360" w:lineRule="auto"/>
        <w:jc w:val="both"/>
        <w:rPr>
          <w:rFonts w:ascii="Garamond" w:hAnsi="Garamond" w:cs="Sylfaen"/>
          <w:color w:val="000000"/>
          <w:sz w:val="22"/>
          <w:szCs w:val="22"/>
        </w:rPr>
      </w:pPr>
    </w:p>
    <w:p w14:paraId="3CB78FB7" w14:textId="77777777" w:rsidR="00CF2EC9" w:rsidRPr="00A32AB2" w:rsidRDefault="00CE1134" w:rsidP="0085120F">
      <w:pPr>
        <w:tabs>
          <w:tab w:val="left" w:pos="5850"/>
        </w:tabs>
        <w:spacing w:line="360" w:lineRule="auto"/>
        <w:jc w:val="both"/>
        <w:rPr>
          <w:rFonts w:ascii="Garamond" w:hAnsi="Garamond" w:cs="Sylfaen"/>
          <w:color w:val="000000"/>
          <w:sz w:val="22"/>
          <w:szCs w:val="22"/>
        </w:rPr>
      </w:pPr>
      <w:r>
        <w:rPr>
          <w:rFonts w:ascii="Garamond" w:hAnsi="Garamond" w:cs="Sylfaen"/>
          <w:color w:val="000000"/>
          <w:sz w:val="22"/>
          <w:szCs w:val="22"/>
        </w:rPr>
        <w:t xml:space="preserve">As </w:t>
      </w:r>
      <w:r w:rsidR="008C028D">
        <w:rPr>
          <w:rFonts w:ascii="Garamond" w:hAnsi="Garamond" w:cs="Sylfaen"/>
          <w:color w:val="000000"/>
          <w:sz w:val="22"/>
          <w:szCs w:val="22"/>
        </w:rPr>
        <w:t xml:space="preserve">Armenia’s external demand bounces back and </w:t>
      </w:r>
      <w:r w:rsidR="00CF2EC9" w:rsidRPr="00A32AB2">
        <w:rPr>
          <w:rFonts w:ascii="Garamond" w:hAnsi="Garamond" w:cs="Sylfaen"/>
          <w:color w:val="000000"/>
          <w:sz w:val="22"/>
          <w:szCs w:val="22"/>
        </w:rPr>
        <w:t>productivity in the tradable sector</w:t>
      </w:r>
      <w:r w:rsidR="00F3762E" w:rsidRPr="00A32AB2">
        <w:rPr>
          <w:rFonts w:ascii="Garamond" w:hAnsi="Garamond" w:cs="Sylfaen"/>
          <w:color w:val="000000"/>
          <w:sz w:val="22"/>
          <w:szCs w:val="22"/>
        </w:rPr>
        <w:t xml:space="preserve"> </w:t>
      </w:r>
      <w:r>
        <w:rPr>
          <w:rFonts w:ascii="Garamond" w:hAnsi="Garamond" w:cs="Sylfaen"/>
          <w:color w:val="000000"/>
          <w:sz w:val="22"/>
          <w:szCs w:val="22"/>
        </w:rPr>
        <w:t xml:space="preserve">continues growing, </w:t>
      </w:r>
      <w:r w:rsidR="008C028D">
        <w:rPr>
          <w:rFonts w:ascii="Garamond" w:hAnsi="Garamond" w:cs="Sylfaen"/>
          <w:color w:val="000000"/>
          <w:sz w:val="22"/>
          <w:szCs w:val="22"/>
        </w:rPr>
        <w:t xml:space="preserve">net </w:t>
      </w:r>
      <w:r w:rsidR="00CF2EC9" w:rsidRPr="00A32AB2">
        <w:rPr>
          <w:rFonts w:ascii="Garamond" w:hAnsi="Garamond" w:cs="Sylfaen"/>
          <w:color w:val="000000"/>
          <w:sz w:val="22"/>
          <w:szCs w:val="22"/>
        </w:rPr>
        <w:t xml:space="preserve">external demand </w:t>
      </w:r>
      <w:r w:rsidR="0060157B">
        <w:rPr>
          <w:rFonts w:ascii="Garamond" w:hAnsi="Garamond" w:cs="Sylfaen"/>
          <w:color w:val="000000"/>
          <w:sz w:val="22"/>
          <w:szCs w:val="22"/>
        </w:rPr>
        <w:t>may</w:t>
      </w:r>
      <w:r w:rsidR="008C028D">
        <w:rPr>
          <w:rFonts w:ascii="Garamond" w:hAnsi="Garamond" w:cs="Sylfaen"/>
          <w:color w:val="000000"/>
          <w:sz w:val="22"/>
          <w:szCs w:val="22"/>
        </w:rPr>
        <w:t xml:space="preserve"> </w:t>
      </w:r>
      <w:r w:rsidR="00F3762E" w:rsidRPr="00A32AB2">
        <w:rPr>
          <w:rFonts w:ascii="Garamond" w:hAnsi="Garamond" w:cs="Sylfaen"/>
          <w:color w:val="000000"/>
          <w:sz w:val="22"/>
          <w:szCs w:val="22"/>
        </w:rPr>
        <w:t>i</w:t>
      </w:r>
      <w:r w:rsidR="00CF2EC9" w:rsidRPr="00A32AB2">
        <w:rPr>
          <w:rFonts w:ascii="Garamond" w:hAnsi="Garamond" w:cs="Sylfaen"/>
          <w:color w:val="000000"/>
          <w:sz w:val="22"/>
          <w:szCs w:val="22"/>
        </w:rPr>
        <w:t>mprove</w:t>
      </w:r>
      <w:r w:rsidR="008C028D">
        <w:rPr>
          <w:rFonts w:ascii="Garamond" w:hAnsi="Garamond" w:cs="Sylfaen"/>
          <w:color w:val="000000"/>
          <w:sz w:val="22"/>
          <w:szCs w:val="22"/>
        </w:rPr>
        <w:t xml:space="preserve"> </w:t>
      </w:r>
      <w:r w:rsidR="00F3762E" w:rsidRPr="00A32AB2">
        <w:rPr>
          <w:rFonts w:ascii="Garamond" w:hAnsi="Garamond" w:cs="Sylfaen"/>
          <w:color w:val="000000"/>
          <w:sz w:val="22"/>
          <w:szCs w:val="22"/>
        </w:rPr>
        <w:t xml:space="preserve">in </w:t>
      </w:r>
      <w:r w:rsidR="00C005EF" w:rsidRPr="00A32AB2">
        <w:rPr>
          <w:rFonts w:ascii="Garamond" w:hAnsi="Garamond" w:cs="Sylfaen"/>
          <w:color w:val="000000"/>
          <w:sz w:val="22"/>
          <w:szCs w:val="22"/>
        </w:rPr>
        <w:t>2016</w:t>
      </w:r>
      <w:r w:rsidR="007E3F00" w:rsidRPr="00A32AB2">
        <w:rPr>
          <w:rFonts w:ascii="Garamond" w:hAnsi="Garamond" w:cs="Sylfaen"/>
          <w:color w:val="000000"/>
          <w:sz w:val="22"/>
          <w:szCs w:val="22"/>
        </w:rPr>
        <w:t xml:space="preserve">. This </w:t>
      </w:r>
      <w:r>
        <w:rPr>
          <w:rFonts w:ascii="Garamond" w:hAnsi="Garamond" w:cs="Sylfaen"/>
          <w:color w:val="000000"/>
          <w:sz w:val="22"/>
          <w:szCs w:val="22"/>
        </w:rPr>
        <w:t xml:space="preserve">advancement will be conditional on </w:t>
      </w:r>
      <w:r w:rsidR="00EB1BBB" w:rsidRPr="00A32AB2">
        <w:rPr>
          <w:rFonts w:ascii="Garamond" w:hAnsi="Garamond" w:cs="Sylfaen"/>
          <w:color w:val="000000"/>
          <w:sz w:val="22"/>
          <w:szCs w:val="22"/>
        </w:rPr>
        <w:t>s</w:t>
      </w:r>
      <w:r w:rsidR="0034270F" w:rsidRPr="00A32AB2">
        <w:rPr>
          <w:rFonts w:ascii="Garamond" w:hAnsi="Garamond" w:cs="Sylfaen"/>
          <w:color w:val="000000"/>
          <w:sz w:val="22"/>
          <w:szCs w:val="22"/>
        </w:rPr>
        <w:t xml:space="preserve">trong </w:t>
      </w:r>
      <w:r w:rsidR="007E3F00" w:rsidRPr="00A32AB2">
        <w:rPr>
          <w:rFonts w:ascii="Garamond" w:hAnsi="Garamond" w:cs="Sylfaen"/>
          <w:color w:val="000000"/>
          <w:sz w:val="22"/>
          <w:szCs w:val="22"/>
        </w:rPr>
        <w:t>growth rates of real export</w:t>
      </w:r>
      <w:r>
        <w:rPr>
          <w:rFonts w:ascii="Garamond" w:hAnsi="Garamond" w:cs="Sylfaen"/>
          <w:color w:val="000000"/>
          <w:sz w:val="22"/>
          <w:szCs w:val="22"/>
        </w:rPr>
        <w:t xml:space="preserve"> under</w:t>
      </w:r>
      <w:r w:rsidR="00EB1BBB" w:rsidRPr="00A32AB2">
        <w:rPr>
          <w:rFonts w:ascii="Garamond" w:hAnsi="Garamond" w:cs="Sylfaen"/>
          <w:color w:val="000000"/>
          <w:sz w:val="22"/>
          <w:szCs w:val="22"/>
        </w:rPr>
        <w:t xml:space="preserve"> </w:t>
      </w:r>
      <w:r w:rsidR="007E3F00" w:rsidRPr="00A32AB2">
        <w:rPr>
          <w:rFonts w:ascii="Garamond" w:hAnsi="Garamond" w:cs="Sylfaen"/>
          <w:color w:val="000000"/>
          <w:sz w:val="22"/>
          <w:szCs w:val="22"/>
        </w:rPr>
        <w:t xml:space="preserve">zero growth </w:t>
      </w:r>
      <w:r w:rsidR="002F35D6">
        <w:rPr>
          <w:rFonts w:ascii="Garamond" w:hAnsi="Garamond" w:cs="Sylfaen"/>
          <w:color w:val="000000"/>
          <w:sz w:val="22"/>
          <w:szCs w:val="22"/>
        </w:rPr>
        <w:t xml:space="preserve">in real volumes of </w:t>
      </w:r>
      <w:r w:rsidR="00EB1BBB" w:rsidRPr="00A32AB2">
        <w:rPr>
          <w:rFonts w:ascii="Garamond" w:hAnsi="Garamond" w:cs="Sylfaen"/>
          <w:color w:val="000000"/>
          <w:sz w:val="22"/>
          <w:szCs w:val="22"/>
        </w:rPr>
        <w:t>import</w:t>
      </w:r>
      <w:r w:rsidR="002F35D6">
        <w:rPr>
          <w:rFonts w:ascii="Garamond" w:hAnsi="Garamond" w:cs="Sylfaen"/>
          <w:color w:val="000000"/>
          <w:sz w:val="22"/>
          <w:szCs w:val="22"/>
        </w:rPr>
        <w:t xml:space="preserve"> of goods and services. </w:t>
      </w:r>
      <w:r w:rsidR="00EB1BBB" w:rsidRPr="001256B7">
        <w:rPr>
          <w:rFonts w:ascii="Garamond" w:hAnsi="Garamond" w:cs="Sylfaen"/>
          <w:color w:val="000000"/>
          <w:sz w:val="22"/>
          <w:szCs w:val="22"/>
        </w:rPr>
        <w:t>However, with a projected decline in remittances in 2016, the current account deficit</w:t>
      </w:r>
      <w:r w:rsidR="001256B7">
        <w:rPr>
          <w:rFonts w:ascii="Garamond" w:hAnsi="Garamond" w:cs="Sylfaen"/>
          <w:color w:val="000000"/>
          <w:sz w:val="22"/>
          <w:szCs w:val="22"/>
        </w:rPr>
        <w:t>-to-</w:t>
      </w:r>
      <w:r w:rsidR="00EB1BBB" w:rsidRPr="001256B7">
        <w:rPr>
          <w:rFonts w:ascii="Garamond" w:hAnsi="Garamond" w:cs="Sylfaen"/>
          <w:color w:val="000000"/>
          <w:sz w:val="22"/>
          <w:szCs w:val="22"/>
        </w:rPr>
        <w:t xml:space="preserve">GDP </w:t>
      </w:r>
      <w:r w:rsidR="001256B7">
        <w:rPr>
          <w:rFonts w:ascii="Garamond" w:hAnsi="Garamond" w:cs="Sylfaen"/>
          <w:color w:val="000000"/>
          <w:sz w:val="22"/>
          <w:szCs w:val="22"/>
        </w:rPr>
        <w:t xml:space="preserve">ratio </w:t>
      </w:r>
      <w:r w:rsidR="00EB1BBB" w:rsidRPr="001256B7">
        <w:rPr>
          <w:rFonts w:ascii="Garamond" w:hAnsi="Garamond" w:cs="Sylfaen"/>
          <w:color w:val="000000"/>
          <w:sz w:val="22"/>
          <w:szCs w:val="22"/>
        </w:rPr>
        <w:t xml:space="preserve">will </w:t>
      </w:r>
      <w:r w:rsidR="001256B7">
        <w:rPr>
          <w:rFonts w:ascii="Garamond" w:hAnsi="Garamond" w:cs="Sylfaen"/>
          <w:color w:val="000000"/>
          <w:sz w:val="22"/>
          <w:szCs w:val="22"/>
        </w:rPr>
        <w:t>not change against previous prediction, running</w:t>
      </w:r>
      <w:r w:rsidR="00EB1BBB" w:rsidRPr="001256B7">
        <w:rPr>
          <w:rFonts w:ascii="Garamond" w:hAnsi="Garamond" w:cs="Sylfaen"/>
          <w:color w:val="000000"/>
          <w:sz w:val="22"/>
          <w:szCs w:val="22"/>
        </w:rPr>
        <w:t xml:space="preserve"> </w:t>
      </w:r>
      <w:r w:rsidR="001256B7">
        <w:rPr>
          <w:rFonts w:ascii="Garamond" w:hAnsi="Garamond" w:cs="Sylfaen"/>
          <w:color w:val="000000"/>
          <w:sz w:val="22"/>
          <w:szCs w:val="22"/>
        </w:rPr>
        <w:t xml:space="preserve">within </w:t>
      </w:r>
      <w:r w:rsidR="00EB1BBB" w:rsidRPr="001256B7">
        <w:rPr>
          <w:rFonts w:ascii="Garamond" w:hAnsi="Garamond" w:cs="Sylfaen"/>
          <w:color w:val="000000"/>
          <w:sz w:val="22"/>
          <w:szCs w:val="22"/>
        </w:rPr>
        <w:t>2</w:t>
      </w:r>
      <w:r w:rsidR="001256B7">
        <w:rPr>
          <w:rFonts w:ascii="Garamond" w:hAnsi="Garamond" w:cs="Sylfaen"/>
          <w:color w:val="000000"/>
          <w:sz w:val="22"/>
          <w:szCs w:val="22"/>
        </w:rPr>
        <w:t>.0</w:t>
      </w:r>
      <w:r w:rsidR="00EB1BBB" w:rsidRPr="001256B7">
        <w:rPr>
          <w:rFonts w:ascii="Garamond" w:hAnsi="Garamond" w:cs="Sylfaen"/>
          <w:color w:val="000000"/>
          <w:sz w:val="22"/>
          <w:szCs w:val="22"/>
        </w:rPr>
        <w:t>-3</w:t>
      </w:r>
      <w:r w:rsidR="001256B7">
        <w:rPr>
          <w:rFonts w:ascii="Garamond" w:hAnsi="Garamond" w:cs="Sylfaen"/>
          <w:color w:val="000000"/>
          <w:sz w:val="22"/>
          <w:szCs w:val="22"/>
        </w:rPr>
        <w:t>.0</w:t>
      </w:r>
      <w:r w:rsidR="00EB1BBB" w:rsidRPr="001256B7">
        <w:rPr>
          <w:rFonts w:ascii="Garamond" w:hAnsi="Garamond" w:cs="Sylfaen"/>
          <w:color w:val="000000"/>
          <w:sz w:val="22"/>
          <w:szCs w:val="22"/>
        </w:rPr>
        <w:t>%.</w:t>
      </w:r>
      <w:r w:rsidR="00BE7257" w:rsidRPr="001256B7">
        <w:rPr>
          <w:rFonts w:ascii="Garamond" w:hAnsi="Garamond" w:cs="Sylfaen"/>
          <w:color w:val="000000"/>
          <w:sz w:val="22"/>
          <w:szCs w:val="22"/>
          <w:lang w:val="hy-AM"/>
        </w:rPr>
        <w:t xml:space="preserve"> </w:t>
      </w:r>
      <w:r w:rsidR="00043B62" w:rsidRPr="001256B7">
        <w:rPr>
          <w:rFonts w:ascii="Garamond" w:hAnsi="Garamond" w:cs="Sylfaen"/>
          <w:color w:val="000000"/>
          <w:sz w:val="22"/>
          <w:szCs w:val="22"/>
        </w:rPr>
        <w:t>As a result of these developments,</w:t>
      </w:r>
      <w:r w:rsidR="00BE7257" w:rsidRPr="001256B7">
        <w:rPr>
          <w:rFonts w:ascii="Garamond" w:hAnsi="Garamond" w:cs="Sylfaen"/>
          <w:color w:val="000000"/>
          <w:sz w:val="22"/>
          <w:szCs w:val="22"/>
          <w:lang w:val="hy-AM"/>
        </w:rPr>
        <w:t xml:space="preserve"> </w:t>
      </w:r>
      <w:r w:rsidR="00043B62" w:rsidRPr="001256B7">
        <w:rPr>
          <w:rFonts w:ascii="Garamond" w:hAnsi="Garamond" w:cs="Sylfaen"/>
          <w:color w:val="000000"/>
          <w:sz w:val="22"/>
          <w:szCs w:val="22"/>
        </w:rPr>
        <w:t>t</w:t>
      </w:r>
      <w:r w:rsidR="00CF2EC9" w:rsidRPr="001256B7">
        <w:rPr>
          <w:rFonts w:ascii="Garamond" w:hAnsi="Garamond" w:cs="Sylfaen"/>
          <w:color w:val="000000"/>
          <w:sz w:val="22"/>
          <w:szCs w:val="22"/>
        </w:rPr>
        <w:t>he GDP gap</w:t>
      </w:r>
      <w:r w:rsidR="00043B62" w:rsidRPr="001256B7">
        <w:rPr>
          <w:rFonts w:ascii="Garamond" w:hAnsi="Garamond" w:cs="Sylfaen"/>
          <w:color w:val="000000"/>
          <w:sz w:val="22"/>
          <w:szCs w:val="22"/>
        </w:rPr>
        <w:t>, still</w:t>
      </w:r>
      <w:r w:rsidR="00043B62" w:rsidRPr="00A32AB2">
        <w:rPr>
          <w:rFonts w:ascii="Garamond" w:hAnsi="Garamond" w:cs="Sylfaen"/>
          <w:color w:val="000000"/>
          <w:sz w:val="22"/>
          <w:szCs w:val="22"/>
        </w:rPr>
        <w:t xml:space="preserve"> negative </w:t>
      </w:r>
      <w:r w:rsidR="001256B7">
        <w:rPr>
          <w:rFonts w:ascii="Garamond" w:hAnsi="Garamond" w:cs="Sylfaen"/>
          <w:color w:val="000000"/>
          <w:sz w:val="22"/>
          <w:szCs w:val="22"/>
        </w:rPr>
        <w:t>in the third quarter,</w:t>
      </w:r>
      <w:r w:rsidR="00043B62" w:rsidRPr="00A32AB2">
        <w:rPr>
          <w:rFonts w:ascii="Garamond" w:hAnsi="Garamond" w:cs="Sylfaen"/>
          <w:color w:val="000000"/>
          <w:sz w:val="22"/>
          <w:szCs w:val="22"/>
        </w:rPr>
        <w:t xml:space="preserve"> </w:t>
      </w:r>
      <w:r w:rsidR="00CF2EC9" w:rsidRPr="00A32AB2">
        <w:rPr>
          <w:rFonts w:ascii="Garamond" w:hAnsi="Garamond" w:cs="Sylfaen"/>
          <w:color w:val="000000"/>
          <w:sz w:val="22"/>
          <w:szCs w:val="22"/>
        </w:rPr>
        <w:t xml:space="preserve">will </w:t>
      </w:r>
      <w:r w:rsidR="001256B7">
        <w:rPr>
          <w:rFonts w:ascii="Garamond" w:hAnsi="Garamond" w:cs="Sylfaen"/>
          <w:color w:val="000000"/>
          <w:sz w:val="22"/>
          <w:szCs w:val="22"/>
        </w:rPr>
        <w:t xml:space="preserve">somehow reduce by the end of </w:t>
      </w:r>
      <w:r w:rsidR="00043B62" w:rsidRPr="00A32AB2">
        <w:rPr>
          <w:rFonts w:ascii="Garamond" w:hAnsi="Garamond" w:cs="Sylfaen"/>
          <w:color w:val="000000"/>
          <w:sz w:val="22"/>
          <w:szCs w:val="22"/>
        </w:rPr>
        <w:t>2016</w:t>
      </w:r>
      <w:r w:rsidR="00CF2EC9" w:rsidRPr="00A32AB2">
        <w:rPr>
          <w:rFonts w:ascii="Garamond" w:hAnsi="Garamond" w:cs="Sylfaen"/>
          <w:color w:val="000000"/>
          <w:sz w:val="22"/>
          <w:szCs w:val="22"/>
        </w:rPr>
        <w:t>.</w:t>
      </w:r>
    </w:p>
    <w:p w14:paraId="69112FBA" w14:textId="77777777" w:rsidR="00597C08" w:rsidRPr="00A32AB2" w:rsidRDefault="00597C08" w:rsidP="0085120F">
      <w:pPr>
        <w:tabs>
          <w:tab w:val="left" w:pos="5850"/>
        </w:tabs>
        <w:spacing w:line="360" w:lineRule="auto"/>
        <w:jc w:val="both"/>
        <w:rPr>
          <w:rFonts w:ascii="Garamond" w:hAnsi="Garamond" w:cs="Sylfaen"/>
          <w:color w:val="000000"/>
          <w:sz w:val="22"/>
          <w:szCs w:val="22"/>
        </w:rPr>
      </w:pPr>
    </w:p>
    <w:p w14:paraId="5360E104" w14:textId="77777777" w:rsidR="00597C08" w:rsidRPr="00B90835" w:rsidRDefault="007177CF" w:rsidP="0085120F">
      <w:pPr>
        <w:tabs>
          <w:tab w:val="left" w:pos="5850"/>
        </w:tabs>
        <w:spacing w:line="360" w:lineRule="auto"/>
        <w:jc w:val="both"/>
        <w:rPr>
          <w:rFonts w:ascii="Garamond" w:eastAsia="Calibri" w:hAnsi="Garamond" w:cs="Sylfaen"/>
          <w:sz w:val="22"/>
          <w:szCs w:val="22"/>
        </w:rPr>
      </w:pPr>
      <w:r w:rsidRPr="00A32AB2">
        <w:rPr>
          <w:rFonts w:ascii="Garamond" w:hAnsi="Garamond"/>
          <w:sz w:val="22"/>
          <w:szCs w:val="22"/>
        </w:rPr>
        <w:t>The p</w:t>
      </w:r>
      <w:r w:rsidR="00597C08" w:rsidRPr="00A32AB2">
        <w:rPr>
          <w:rFonts w:ascii="Garamond" w:hAnsi="Garamond"/>
          <w:sz w:val="22"/>
          <w:szCs w:val="22"/>
        </w:rPr>
        <w:t xml:space="preserve">rediction of the period </w:t>
      </w:r>
      <w:r w:rsidR="00597C08" w:rsidRPr="00A32AB2">
        <w:rPr>
          <w:rFonts w:ascii="Garamond" w:hAnsi="Garamond" w:cs="Times Armenian"/>
          <w:b/>
          <w:iCs/>
          <w:sz w:val="22"/>
          <w:szCs w:val="22"/>
        </w:rPr>
        <w:t>2017-2019</w:t>
      </w:r>
      <w:r w:rsidR="00597C08" w:rsidRPr="00A32AB2">
        <w:rPr>
          <w:rFonts w:ascii="Garamond" w:hAnsi="Garamond" w:cs="Times Armenian"/>
          <w:iCs/>
          <w:sz w:val="22"/>
          <w:szCs w:val="22"/>
        </w:rPr>
        <w:t xml:space="preserve"> </w:t>
      </w:r>
      <w:r w:rsidRPr="00A32AB2">
        <w:rPr>
          <w:rFonts w:ascii="Garamond" w:hAnsi="Garamond" w:cs="Times Armenian"/>
          <w:iCs/>
          <w:sz w:val="22"/>
          <w:szCs w:val="22"/>
        </w:rPr>
        <w:t xml:space="preserve">is that </w:t>
      </w:r>
      <w:r w:rsidR="009942D1">
        <w:rPr>
          <w:rFonts w:ascii="Garamond" w:hAnsi="Garamond" w:cs="Times Armenian"/>
          <w:iCs/>
          <w:sz w:val="22"/>
          <w:szCs w:val="22"/>
        </w:rPr>
        <w:t xml:space="preserve">loosened </w:t>
      </w:r>
      <w:r w:rsidR="00444E23">
        <w:rPr>
          <w:rFonts w:ascii="Garamond" w:hAnsi="Garamond" w:cs="Times Armenian"/>
          <w:iCs/>
          <w:sz w:val="22"/>
          <w:szCs w:val="22"/>
        </w:rPr>
        <w:t xml:space="preserve">monetary conditions </w:t>
      </w:r>
      <w:r w:rsidR="009942D1">
        <w:rPr>
          <w:rFonts w:ascii="Garamond" w:hAnsi="Garamond" w:cs="Times Armenian"/>
          <w:iCs/>
          <w:sz w:val="22"/>
          <w:szCs w:val="22"/>
        </w:rPr>
        <w:t xml:space="preserve">will help the domestic demand </w:t>
      </w:r>
      <w:r w:rsidR="00597C08" w:rsidRPr="00A32AB2">
        <w:rPr>
          <w:rFonts w:ascii="Garamond" w:hAnsi="Garamond" w:cs="Times Armenian"/>
          <w:iCs/>
          <w:sz w:val="22"/>
          <w:szCs w:val="22"/>
        </w:rPr>
        <w:t xml:space="preserve">rebound gradually amid improving external economic environment, recovering growth rates in private remittances and implementation of a number of projects by the Government </w:t>
      </w:r>
      <w:r w:rsidR="00444E23">
        <w:rPr>
          <w:rFonts w:ascii="Garamond" w:hAnsi="Garamond" w:cs="Times Armenian"/>
          <w:iCs/>
          <w:sz w:val="22"/>
          <w:szCs w:val="22"/>
        </w:rPr>
        <w:t xml:space="preserve">of Armenia </w:t>
      </w:r>
      <w:r w:rsidR="00597C08" w:rsidRPr="00A32AB2">
        <w:rPr>
          <w:rFonts w:ascii="Garamond" w:hAnsi="Garamond" w:cs="Times Armenian"/>
          <w:iCs/>
          <w:sz w:val="22"/>
          <w:szCs w:val="22"/>
        </w:rPr>
        <w:t xml:space="preserve">to promote the tradable sector. </w:t>
      </w:r>
      <w:r w:rsidR="00D970C2" w:rsidRPr="00A32AB2">
        <w:rPr>
          <w:rFonts w:ascii="Garamond" w:hAnsi="Garamond" w:cs="Times Armenian"/>
          <w:iCs/>
          <w:sz w:val="22"/>
          <w:szCs w:val="22"/>
        </w:rPr>
        <w:t>In the meantime</w:t>
      </w:r>
      <w:r w:rsidR="00347C30" w:rsidRPr="00A32AB2">
        <w:rPr>
          <w:rFonts w:ascii="Garamond" w:hAnsi="Garamond" w:cs="Times Armenian"/>
          <w:iCs/>
          <w:sz w:val="22"/>
          <w:szCs w:val="22"/>
        </w:rPr>
        <w:t>, external demand will continue fostering the economic growth.</w:t>
      </w:r>
      <w:r w:rsidR="00BE7257" w:rsidRPr="00A32AB2">
        <w:rPr>
          <w:rFonts w:ascii="Garamond" w:hAnsi="Garamond" w:cs="Times Armenian"/>
          <w:iCs/>
          <w:sz w:val="22"/>
          <w:szCs w:val="22"/>
          <w:lang w:val="hy-AM"/>
        </w:rPr>
        <w:t xml:space="preserve"> </w:t>
      </w:r>
      <w:r w:rsidR="009942D1">
        <w:rPr>
          <w:rFonts w:ascii="Garamond" w:hAnsi="Garamond" w:cs="Times Armenian"/>
          <w:iCs/>
          <w:sz w:val="22"/>
          <w:szCs w:val="22"/>
        </w:rPr>
        <w:t xml:space="preserve">This will lead </w:t>
      </w:r>
      <w:r w:rsidR="009942D1">
        <w:rPr>
          <w:rFonts w:ascii="Garamond" w:hAnsi="Garamond" w:cs="Times Armenian"/>
          <w:iCs/>
          <w:sz w:val="22"/>
          <w:szCs w:val="22"/>
        </w:rPr>
        <w:lastRenderedPageBreak/>
        <w:t>the</w:t>
      </w:r>
      <w:r w:rsidR="00D970C2" w:rsidRPr="00A32AB2">
        <w:rPr>
          <w:rFonts w:ascii="Garamond" w:hAnsi="Garamond" w:cs="Times Armenian"/>
          <w:iCs/>
          <w:sz w:val="22"/>
          <w:szCs w:val="22"/>
        </w:rPr>
        <w:t xml:space="preserve"> </w:t>
      </w:r>
      <w:r w:rsidR="00597C08" w:rsidRPr="00A32AB2">
        <w:rPr>
          <w:rFonts w:ascii="Garamond" w:hAnsi="Garamond" w:cs="Times Armenian"/>
          <w:iCs/>
          <w:sz w:val="22"/>
          <w:szCs w:val="22"/>
        </w:rPr>
        <w:t>GDP gap</w:t>
      </w:r>
      <w:r w:rsidR="00657889">
        <w:rPr>
          <w:rFonts w:ascii="Garamond" w:hAnsi="Garamond" w:cs="Times Armenian"/>
          <w:iCs/>
          <w:sz w:val="22"/>
          <w:szCs w:val="22"/>
        </w:rPr>
        <w:t>, still negative,</w:t>
      </w:r>
      <w:r w:rsidR="00597C08" w:rsidRPr="00A32AB2">
        <w:rPr>
          <w:rFonts w:ascii="Garamond" w:hAnsi="Garamond" w:cs="Times Armenian"/>
          <w:iCs/>
          <w:sz w:val="22"/>
          <w:szCs w:val="22"/>
        </w:rPr>
        <w:t xml:space="preserve"> </w:t>
      </w:r>
      <w:r w:rsidR="009942D1">
        <w:rPr>
          <w:rFonts w:ascii="Garamond" w:hAnsi="Garamond" w:cs="Times Armenian"/>
          <w:iCs/>
          <w:sz w:val="22"/>
          <w:szCs w:val="22"/>
        </w:rPr>
        <w:t>to reduce further in 2017</w:t>
      </w:r>
      <w:r w:rsidR="00657889">
        <w:rPr>
          <w:rFonts w:ascii="Garamond" w:hAnsi="Garamond" w:cs="Times Armenian"/>
          <w:iCs/>
          <w:sz w:val="22"/>
          <w:szCs w:val="22"/>
        </w:rPr>
        <w:t>,</w:t>
      </w:r>
      <w:r w:rsidR="00603367" w:rsidRPr="00A32AB2">
        <w:rPr>
          <w:rFonts w:ascii="Garamond" w:hAnsi="Garamond" w:cs="Times Armenian"/>
          <w:iCs/>
          <w:sz w:val="22"/>
          <w:szCs w:val="22"/>
        </w:rPr>
        <w:t xml:space="preserve"> </w:t>
      </w:r>
      <w:r w:rsidR="00657889">
        <w:rPr>
          <w:rFonts w:ascii="Garamond" w:hAnsi="Garamond" w:cs="Times Armenian"/>
          <w:iCs/>
          <w:sz w:val="22"/>
          <w:szCs w:val="22"/>
        </w:rPr>
        <w:t xml:space="preserve">as the fiscal policy’s expansionary impact on the domestic demand is predicted to weaken starting from </w:t>
      </w:r>
      <w:r w:rsidR="00657889" w:rsidRPr="00657889">
        <w:rPr>
          <w:rFonts w:ascii="Garamond" w:hAnsi="Garamond" w:cs="Times Armenian"/>
          <w:iCs/>
          <w:sz w:val="22"/>
          <w:szCs w:val="22"/>
        </w:rPr>
        <w:t>the first quarter of 2017.</w:t>
      </w:r>
      <w:r w:rsidR="00657889">
        <w:rPr>
          <w:rFonts w:ascii="Garamond" w:hAnsi="Garamond" w:cs="Times Armenian"/>
          <w:iCs/>
          <w:sz w:val="22"/>
          <w:szCs w:val="22"/>
        </w:rPr>
        <w:t xml:space="preserve"> </w:t>
      </w:r>
      <w:r w:rsidR="00AD778E">
        <w:rPr>
          <w:rFonts w:ascii="Garamond" w:hAnsi="Garamond" w:cs="Times Armenian"/>
          <w:iCs/>
          <w:sz w:val="22"/>
          <w:szCs w:val="22"/>
        </w:rPr>
        <w:t xml:space="preserve">According to </w:t>
      </w:r>
      <w:r w:rsidR="00597C08" w:rsidRPr="00A32AB2">
        <w:rPr>
          <w:rFonts w:ascii="Garamond" w:hAnsi="Garamond"/>
          <w:bCs/>
          <w:iCs/>
          <w:color w:val="000000"/>
          <w:sz w:val="22"/>
          <w:szCs w:val="22"/>
        </w:rPr>
        <w:t>expect</w:t>
      </w:r>
      <w:r w:rsidR="00E842D6">
        <w:rPr>
          <w:rFonts w:ascii="Garamond" w:hAnsi="Garamond"/>
          <w:bCs/>
          <w:iCs/>
          <w:color w:val="000000"/>
          <w:sz w:val="22"/>
          <w:szCs w:val="22"/>
        </w:rPr>
        <w:t xml:space="preserve">ation, </w:t>
      </w:r>
      <w:r w:rsidR="00E842D6">
        <w:rPr>
          <w:rFonts w:ascii="Garamond" w:hAnsi="Garamond"/>
          <w:b/>
          <w:bCs/>
          <w:iCs/>
          <w:color w:val="000000"/>
          <w:sz w:val="22"/>
          <w:szCs w:val="22"/>
        </w:rPr>
        <w:t xml:space="preserve">starting from 2017, the </w:t>
      </w:r>
      <w:r w:rsidR="00597C08" w:rsidRPr="00A32AB2">
        <w:rPr>
          <w:rFonts w:ascii="Garamond" w:hAnsi="Garamond"/>
          <w:b/>
          <w:bCs/>
          <w:iCs/>
          <w:color w:val="000000"/>
          <w:sz w:val="22"/>
          <w:szCs w:val="22"/>
        </w:rPr>
        <w:t xml:space="preserve">economic growth </w:t>
      </w:r>
      <w:r w:rsidR="00E842D6">
        <w:rPr>
          <w:rFonts w:ascii="Garamond" w:hAnsi="Garamond"/>
          <w:b/>
          <w:bCs/>
          <w:iCs/>
          <w:color w:val="000000"/>
          <w:sz w:val="22"/>
          <w:szCs w:val="22"/>
        </w:rPr>
        <w:t xml:space="preserve">rates </w:t>
      </w:r>
      <w:r w:rsidR="00597C08" w:rsidRPr="00A32AB2">
        <w:rPr>
          <w:rFonts w:ascii="Garamond" w:hAnsi="Garamond"/>
          <w:b/>
          <w:bCs/>
          <w:iCs/>
          <w:color w:val="000000"/>
          <w:sz w:val="22"/>
          <w:szCs w:val="22"/>
        </w:rPr>
        <w:t xml:space="preserve">will </w:t>
      </w:r>
      <w:r w:rsidR="00E842D6">
        <w:rPr>
          <w:rFonts w:ascii="Garamond" w:hAnsi="Garamond"/>
          <w:b/>
          <w:bCs/>
          <w:iCs/>
          <w:color w:val="000000"/>
          <w:sz w:val="22"/>
          <w:szCs w:val="22"/>
        </w:rPr>
        <w:t xml:space="preserve">somewhat </w:t>
      </w:r>
      <w:r w:rsidR="00E44D7B" w:rsidRPr="00A32AB2">
        <w:rPr>
          <w:rFonts w:ascii="Garamond" w:hAnsi="Garamond"/>
          <w:b/>
          <w:bCs/>
          <w:iCs/>
          <w:color w:val="000000"/>
          <w:sz w:val="22"/>
          <w:szCs w:val="22"/>
        </w:rPr>
        <w:t xml:space="preserve">accelerate </w:t>
      </w:r>
      <w:r w:rsidR="00E842D6">
        <w:rPr>
          <w:rFonts w:ascii="Garamond" w:hAnsi="Garamond"/>
          <w:b/>
          <w:bCs/>
          <w:iCs/>
          <w:color w:val="000000"/>
          <w:sz w:val="22"/>
          <w:szCs w:val="22"/>
        </w:rPr>
        <w:t xml:space="preserve">to be </w:t>
      </w:r>
      <w:r w:rsidR="00E44D7B" w:rsidRPr="00A32AB2">
        <w:rPr>
          <w:rFonts w:ascii="Garamond" w:hAnsi="Garamond"/>
          <w:b/>
          <w:bCs/>
          <w:iCs/>
          <w:color w:val="000000"/>
          <w:sz w:val="22"/>
          <w:szCs w:val="22"/>
        </w:rPr>
        <w:t xml:space="preserve">within </w:t>
      </w:r>
      <w:r w:rsidR="00E842D6">
        <w:rPr>
          <w:rFonts w:ascii="Garamond" w:hAnsi="Garamond"/>
          <w:b/>
          <w:bCs/>
          <w:iCs/>
          <w:color w:val="000000"/>
          <w:sz w:val="22"/>
          <w:szCs w:val="22"/>
        </w:rPr>
        <w:t>2</w:t>
      </w:r>
      <w:r w:rsidR="00597C08" w:rsidRPr="00A32AB2">
        <w:rPr>
          <w:rFonts w:ascii="Garamond" w:hAnsi="Garamond"/>
          <w:b/>
          <w:bCs/>
          <w:iCs/>
          <w:color w:val="000000"/>
          <w:sz w:val="22"/>
          <w:szCs w:val="22"/>
        </w:rPr>
        <w:t>.</w:t>
      </w:r>
      <w:r w:rsidR="00E842D6">
        <w:rPr>
          <w:rFonts w:ascii="Garamond" w:hAnsi="Garamond"/>
          <w:b/>
          <w:bCs/>
          <w:iCs/>
          <w:color w:val="000000"/>
          <w:sz w:val="22"/>
          <w:szCs w:val="22"/>
        </w:rPr>
        <w:t>8</w:t>
      </w:r>
      <w:r w:rsidR="00597C08" w:rsidRPr="00A32AB2">
        <w:rPr>
          <w:rFonts w:ascii="Garamond" w:hAnsi="Garamond"/>
          <w:b/>
          <w:bCs/>
          <w:iCs/>
          <w:color w:val="000000"/>
          <w:sz w:val="22"/>
          <w:szCs w:val="22"/>
        </w:rPr>
        <w:t>-4.</w:t>
      </w:r>
      <w:r w:rsidR="00E842D6">
        <w:rPr>
          <w:rFonts w:ascii="Garamond" w:hAnsi="Garamond"/>
          <w:b/>
          <w:bCs/>
          <w:iCs/>
          <w:color w:val="000000"/>
          <w:sz w:val="22"/>
          <w:szCs w:val="22"/>
        </w:rPr>
        <w:t>3</w:t>
      </w:r>
      <w:r w:rsidR="00597C08" w:rsidRPr="00A32AB2">
        <w:rPr>
          <w:rFonts w:ascii="Garamond" w:hAnsi="Garamond"/>
          <w:b/>
          <w:bCs/>
          <w:iCs/>
          <w:color w:val="000000"/>
          <w:sz w:val="22"/>
          <w:szCs w:val="22"/>
        </w:rPr>
        <w:t>%</w:t>
      </w:r>
      <w:r w:rsidR="00E842D6">
        <w:rPr>
          <w:rFonts w:ascii="Garamond" w:hAnsi="Garamond"/>
          <w:b/>
          <w:bCs/>
          <w:iCs/>
          <w:color w:val="000000"/>
          <w:sz w:val="22"/>
          <w:szCs w:val="22"/>
        </w:rPr>
        <w:t xml:space="preserve"> at the end of the forecast horizon</w:t>
      </w:r>
      <w:r w:rsidR="00D970C2" w:rsidRPr="00A32AB2">
        <w:rPr>
          <w:rFonts w:ascii="Garamond" w:hAnsi="Garamond"/>
          <w:bCs/>
          <w:iCs/>
          <w:color w:val="000000"/>
          <w:sz w:val="22"/>
          <w:szCs w:val="22"/>
        </w:rPr>
        <w:t>. This w</w:t>
      </w:r>
      <w:r w:rsidR="00597C08" w:rsidRPr="00A32AB2">
        <w:rPr>
          <w:rFonts w:ascii="Garamond" w:hAnsi="Garamond"/>
          <w:bCs/>
          <w:iCs/>
          <w:color w:val="000000"/>
          <w:sz w:val="22"/>
          <w:szCs w:val="22"/>
        </w:rPr>
        <w:t xml:space="preserve">ill be </w:t>
      </w:r>
      <w:r w:rsidR="00B07D8A">
        <w:rPr>
          <w:rFonts w:ascii="Garamond" w:hAnsi="Garamond"/>
          <w:bCs/>
          <w:iCs/>
          <w:color w:val="000000"/>
          <w:sz w:val="22"/>
          <w:szCs w:val="22"/>
        </w:rPr>
        <w:t xml:space="preserve">primarily </w:t>
      </w:r>
      <w:r w:rsidR="00597C08" w:rsidRPr="00A32AB2">
        <w:rPr>
          <w:rFonts w:ascii="Garamond" w:hAnsi="Garamond"/>
          <w:bCs/>
          <w:iCs/>
          <w:color w:val="000000"/>
          <w:sz w:val="22"/>
          <w:szCs w:val="22"/>
        </w:rPr>
        <w:t>driven by the tradable sector</w:t>
      </w:r>
      <w:r w:rsidR="003C05E3" w:rsidRPr="00A32AB2">
        <w:rPr>
          <w:rFonts w:ascii="Garamond" w:hAnsi="Garamond"/>
          <w:bCs/>
          <w:iCs/>
          <w:color w:val="000000"/>
          <w:sz w:val="22"/>
          <w:szCs w:val="22"/>
        </w:rPr>
        <w:t xml:space="preserve"> </w:t>
      </w:r>
      <w:r w:rsidR="005171CE" w:rsidRPr="00B07D8A">
        <w:rPr>
          <w:rFonts w:ascii="Garamond" w:hAnsi="Garamond"/>
          <w:b/>
          <w:bCs/>
          <w:iCs/>
          <w:color w:val="000000"/>
          <w:sz w:val="22"/>
          <w:szCs w:val="22"/>
        </w:rPr>
        <w:t>as Armenia’s competitiveness rises in an</w:t>
      </w:r>
      <w:r w:rsidR="005171CE" w:rsidRPr="00B07D8A">
        <w:rPr>
          <w:rFonts w:ascii="Garamond" w:hAnsi="Garamond"/>
          <w:b/>
          <w:sz w:val="22"/>
          <w:szCs w:val="22"/>
        </w:rPr>
        <w:t xml:space="preserve"> inflation environment which is lower compared with trade partner countries</w:t>
      </w:r>
      <w:r w:rsidR="005171CE" w:rsidRPr="005171CE">
        <w:rPr>
          <w:rFonts w:ascii="Garamond" w:hAnsi="Garamond"/>
          <w:sz w:val="22"/>
          <w:szCs w:val="22"/>
        </w:rPr>
        <w:t xml:space="preserve">. </w:t>
      </w:r>
      <w:r w:rsidR="00597C08" w:rsidRPr="005171CE">
        <w:rPr>
          <w:rFonts w:ascii="Garamond" w:eastAsia="Calibri" w:hAnsi="Garamond" w:cs="Sylfaen"/>
          <w:sz w:val="22"/>
          <w:szCs w:val="22"/>
        </w:rPr>
        <w:t>The economic gr</w:t>
      </w:r>
      <w:r w:rsidR="00597C08" w:rsidRPr="00B90835">
        <w:rPr>
          <w:rFonts w:ascii="Garamond" w:eastAsia="Calibri" w:hAnsi="Garamond" w:cs="Sylfaen"/>
          <w:sz w:val="22"/>
          <w:szCs w:val="22"/>
        </w:rPr>
        <w:t>owth forecasts, nevertheless, greatly depend on investments in the private sector, the scale, directions and effectiveness of the projects carried out by the Government</w:t>
      </w:r>
      <w:r w:rsidR="003100A4">
        <w:rPr>
          <w:rFonts w:ascii="Garamond" w:eastAsia="Calibri" w:hAnsi="Garamond" w:cs="Sylfaen"/>
          <w:sz w:val="22"/>
          <w:szCs w:val="22"/>
        </w:rPr>
        <w:t xml:space="preserve"> of Armenia</w:t>
      </w:r>
      <w:r w:rsidR="003B7483" w:rsidRPr="00B90835">
        <w:rPr>
          <w:rFonts w:ascii="Garamond" w:eastAsia="Calibri" w:hAnsi="Garamond" w:cs="Sylfaen"/>
          <w:sz w:val="22"/>
          <w:szCs w:val="22"/>
        </w:rPr>
        <w:t>,</w:t>
      </w:r>
      <w:r w:rsidR="00597C08" w:rsidRPr="00B90835">
        <w:rPr>
          <w:rFonts w:ascii="Garamond" w:eastAsia="Calibri" w:hAnsi="Garamond" w:cs="Sylfaen"/>
          <w:sz w:val="22"/>
          <w:szCs w:val="22"/>
        </w:rPr>
        <w:t xml:space="preserve"> as well as on how the developments in the external sector will unfold.</w:t>
      </w:r>
    </w:p>
    <w:p w14:paraId="46A52640" w14:textId="77777777" w:rsidR="003B7483" w:rsidRPr="00B90835" w:rsidRDefault="003B7483" w:rsidP="0085120F">
      <w:pPr>
        <w:tabs>
          <w:tab w:val="left" w:pos="5850"/>
        </w:tabs>
        <w:spacing w:line="360" w:lineRule="auto"/>
        <w:jc w:val="both"/>
        <w:rPr>
          <w:rFonts w:ascii="GHEA Grapalat" w:eastAsia="Calibri" w:hAnsi="GHEA Grapalat" w:cs="Sylfaen"/>
          <w:sz w:val="22"/>
          <w:szCs w:val="22"/>
        </w:rPr>
      </w:pPr>
    </w:p>
    <w:p w14:paraId="48B9503F" w14:textId="77777777" w:rsidR="003B7483" w:rsidRPr="00A32AB2" w:rsidRDefault="003100A4" w:rsidP="0085120F">
      <w:pPr>
        <w:tabs>
          <w:tab w:val="left" w:pos="5850"/>
        </w:tabs>
        <w:spacing w:line="360" w:lineRule="auto"/>
        <w:jc w:val="both"/>
        <w:rPr>
          <w:rFonts w:ascii="Garamond" w:hAnsi="Garamond"/>
          <w:sz w:val="22"/>
          <w:szCs w:val="22"/>
        </w:rPr>
      </w:pPr>
      <w:r>
        <w:rPr>
          <w:rFonts w:ascii="Garamond" w:hAnsi="Garamond"/>
          <w:b/>
          <w:sz w:val="22"/>
          <w:szCs w:val="22"/>
        </w:rPr>
        <w:t xml:space="preserve">The end-year forecast of the </w:t>
      </w:r>
      <w:r w:rsidR="003B7483" w:rsidRPr="00B90835">
        <w:rPr>
          <w:rFonts w:ascii="Garamond" w:hAnsi="Garamond"/>
          <w:b/>
          <w:sz w:val="22"/>
          <w:szCs w:val="22"/>
        </w:rPr>
        <w:t xml:space="preserve">inflation </w:t>
      </w:r>
      <w:r>
        <w:rPr>
          <w:rFonts w:ascii="Garamond" w:hAnsi="Garamond"/>
          <w:b/>
          <w:sz w:val="22"/>
          <w:szCs w:val="22"/>
        </w:rPr>
        <w:t xml:space="preserve">rate </w:t>
      </w:r>
      <w:r>
        <w:rPr>
          <w:rFonts w:ascii="Garamond" w:hAnsi="Garamond"/>
          <w:sz w:val="22"/>
          <w:szCs w:val="22"/>
        </w:rPr>
        <w:t xml:space="preserve">was </w:t>
      </w:r>
      <w:r w:rsidR="003B7483" w:rsidRPr="00B90835">
        <w:rPr>
          <w:rFonts w:ascii="Garamond" w:hAnsi="Garamond"/>
          <w:sz w:val="22"/>
          <w:szCs w:val="22"/>
        </w:rPr>
        <w:t>re</w:t>
      </w:r>
      <w:r>
        <w:rPr>
          <w:rFonts w:ascii="Garamond" w:hAnsi="Garamond"/>
          <w:sz w:val="22"/>
          <w:szCs w:val="22"/>
        </w:rPr>
        <w:t>vised downside relative to</w:t>
      </w:r>
      <w:r w:rsidR="003B7483" w:rsidRPr="00B90835">
        <w:rPr>
          <w:rFonts w:ascii="Garamond" w:hAnsi="Garamond"/>
          <w:sz w:val="22"/>
          <w:szCs w:val="22"/>
        </w:rPr>
        <w:t xml:space="preserve"> the </w:t>
      </w:r>
      <w:r w:rsidR="00FA2775">
        <w:rPr>
          <w:rFonts w:ascii="Garamond" w:hAnsi="Garamond"/>
          <w:sz w:val="22"/>
          <w:szCs w:val="22"/>
        </w:rPr>
        <w:t xml:space="preserve">estimation in the </w:t>
      </w:r>
      <w:r w:rsidR="003B7483" w:rsidRPr="00B90835">
        <w:rPr>
          <w:rFonts w:ascii="Garamond" w:hAnsi="Garamond"/>
          <w:sz w:val="22"/>
          <w:szCs w:val="22"/>
        </w:rPr>
        <w:t xml:space="preserve">previous program, </w:t>
      </w:r>
      <w:r w:rsidR="00FA2775" w:rsidRPr="00FA2775">
        <w:rPr>
          <w:rFonts w:ascii="Garamond" w:hAnsi="Garamond"/>
          <w:sz w:val="22"/>
          <w:szCs w:val="22"/>
        </w:rPr>
        <w:t xml:space="preserve">mainly due to the </w:t>
      </w:r>
      <w:r w:rsidR="00FA2775">
        <w:rPr>
          <w:rFonts w:ascii="Garamond" w:hAnsi="Garamond"/>
          <w:sz w:val="22"/>
          <w:szCs w:val="22"/>
        </w:rPr>
        <w:t xml:space="preserve">adjusted </w:t>
      </w:r>
      <w:r w:rsidR="00FA2775" w:rsidRPr="00FA2775">
        <w:rPr>
          <w:rFonts w:ascii="Garamond" w:hAnsi="Garamond"/>
          <w:sz w:val="22"/>
          <w:szCs w:val="22"/>
        </w:rPr>
        <w:t xml:space="preserve">forecasts of </w:t>
      </w:r>
      <w:r w:rsidR="00FA2775">
        <w:rPr>
          <w:rFonts w:ascii="Garamond" w:hAnsi="Garamond"/>
          <w:sz w:val="22"/>
          <w:szCs w:val="22"/>
        </w:rPr>
        <w:t xml:space="preserve">the core inflation rate under a persisting </w:t>
      </w:r>
      <w:r w:rsidR="00FA2775" w:rsidRPr="00FA2775">
        <w:rPr>
          <w:rFonts w:ascii="Garamond" w:hAnsi="Garamond"/>
          <w:sz w:val="22"/>
          <w:szCs w:val="22"/>
        </w:rPr>
        <w:t>negative GDP gap</w:t>
      </w:r>
      <w:r w:rsidR="00FA2775">
        <w:rPr>
          <w:rFonts w:ascii="Garamond" w:hAnsi="Garamond"/>
          <w:sz w:val="22"/>
          <w:szCs w:val="22"/>
        </w:rPr>
        <w:t xml:space="preserve"> and to </w:t>
      </w:r>
      <w:r w:rsidR="00FA2775" w:rsidRPr="00FA2775">
        <w:rPr>
          <w:rFonts w:ascii="Garamond" w:hAnsi="Garamond"/>
          <w:sz w:val="22"/>
          <w:szCs w:val="22"/>
        </w:rPr>
        <w:t>actual inflation</w:t>
      </w:r>
      <w:r w:rsidR="00FA2775">
        <w:rPr>
          <w:rFonts w:ascii="Garamond" w:hAnsi="Garamond"/>
          <w:sz w:val="22"/>
          <w:szCs w:val="22"/>
        </w:rPr>
        <w:t>ary</w:t>
      </w:r>
      <w:r w:rsidR="00FA2775" w:rsidRPr="00FA2775">
        <w:rPr>
          <w:rFonts w:ascii="Garamond" w:hAnsi="Garamond"/>
          <w:sz w:val="22"/>
          <w:szCs w:val="22"/>
        </w:rPr>
        <w:t xml:space="preserve"> developments in the third quarter of this year.</w:t>
      </w:r>
      <w:r w:rsidR="00FA2775">
        <w:rPr>
          <w:rFonts w:ascii="Garamond" w:hAnsi="Garamond"/>
          <w:sz w:val="22"/>
          <w:szCs w:val="22"/>
        </w:rPr>
        <w:t xml:space="preserve"> </w:t>
      </w:r>
      <w:r w:rsidR="00777C96">
        <w:rPr>
          <w:rFonts w:ascii="Garamond" w:hAnsi="Garamond"/>
          <w:sz w:val="22"/>
          <w:szCs w:val="22"/>
        </w:rPr>
        <w:t xml:space="preserve">Nonetheless, estimations suggest that the deflationary environment will mitigate significantly at the end of the year. </w:t>
      </w:r>
      <w:r w:rsidR="003B7483" w:rsidRPr="00A32AB2">
        <w:rPr>
          <w:rFonts w:ascii="Garamond" w:hAnsi="Garamond"/>
          <w:sz w:val="22"/>
          <w:szCs w:val="22"/>
        </w:rPr>
        <w:t>The</w:t>
      </w:r>
      <w:r w:rsidR="00777C96">
        <w:rPr>
          <w:rFonts w:ascii="Garamond" w:hAnsi="Garamond"/>
          <w:sz w:val="22"/>
          <w:szCs w:val="22"/>
        </w:rPr>
        <w:t xml:space="preserve"> inflation forecasts for the first quarter of 2017 considered an expected drop in </w:t>
      </w:r>
      <w:r w:rsidR="00777C96" w:rsidRPr="00777C96">
        <w:rPr>
          <w:rFonts w:ascii="Garamond" w:hAnsi="Garamond"/>
          <w:sz w:val="22"/>
          <w:szCs w:val="22"/>
        </w:rPr>
        <w:t xml:space="preserve">natural gas </w:t>
      </w:r>
      <w:r w:rsidR="00777C96">
        <w:rPr>
          <w:rFonts w:ascii="Garamond" w:hAnsi="Garamond"/>
          <w:sz w:val="22"/>
          <w:szCs w:val="22"/>
        </w:rPr>
        <w:t>tariff</w:t>
      </w:r>
      <w:r w:rsidR="00777C96">
        <w:rPr>
          <w:rStyle w:val="FootnoteReference"/>
          <w:rFonts w:ascii="Garamond" w:hAnsi="Garamond"/>
          <w:sz w:val="22"/>
          <w:szCs w:val="22"/>
        </w:rPr>
        <w:footnoteReference w:customMarkFollows="1" w:id="9"/>
        <w:t>10</w:t>
      </w:r>
      <w:r w:rsidR="00777C96">
        <w:rPr>
          <w:rFonts w:ascii="Garamond" w:hAnsi="Garamond"/>
          <w:sz w:val="22"/>
          <w:szCs w:val="22"/>
        </w:rPr>
        <w:t xml:space="preserve"> </w:t>
      </w:r>
      <w:r w:rsidR="00777C96" w:rsidRPr="00777C96">
        <w:rPr>
          <w:rFonts w:ascii="Garamond" w:hAnsi="Garamond"/>
          <w:sz w:val="22"/>
          <w:szCs w:val="22"/>
        </w:rPr>
        <w:t xml:space="preserve">for households and </w:t>
      </w:r>
      <w:r w:rsidR="00777C96">
        <w:rPr>
          <w:rFonts w:ascii="Garamond" w:hAnsi="Garamond"/>
          <w:sz w:val="22"/>
          <w:szCs w:val="22"/>
        </w:rPr>
        <w:t xml:space="preserve">major </w:t>
      </w:r>
      <w:r w:rsidR="00777C96" w:rsidRPr="00777C96">
        <w:rPr>
          <w:rFonts w:ascii="Garamond" w:hAnsi="Garamond"/>
          <w:sz w:val="22"/>
          <w:szCs w:val="22"/>
        </w:rPr>
        <w:t xml:space="preserve">consumers </w:t>
      </w:r>
      <w:r w:rsidR="00777C96">
        <w:rPr>
          <w:rFonts w:ascii="Garamond" w:hAnsi="Garamond"/>
          <w:sz w:val="22"/>
          <w:szCs w:val="22"/>
        </w:rPr>
        <w:t xml:space="preserve">for the same period of time, </w:t>
      </w:r>
      <w:r w:rsidR="00902642">
        <w:rPr>
          <w:rFonts w:ascii="Garamond" w:hAnsi="Garamond"/>
          <w:sz w:val="22"/>
          <w:szCs w:val="22"/>
        </w:rPr>
        <w:t>t</w:t>
      </w:r>
      <w:r w:rsidR="00902642" w:rsidRPr="00902642">
        <w:rPr>
          <w:rFonts w:ascii="Garamond" w:hAnsi="Garamond"/>
          <w:sz w:val="22"/>
          <w:szCs w:val="22"/>
        </w:rPr>
        <w:t xml:space="preserve">he </w:t>
      </w:r>
      <w:r w:rsidR="00087B4E">
        <w:rPr>
          <w:rFonts w:ascii="Garamond" w:hAnsi="Garamond"/>
          <w:sz w:val="22"/>
          <w:szCs w:val="22"/>
        </w:rPr>
        <w:t xml:space="preserve">combined effect </w:t>
      </w:r>
      <w:r w:rsidR="00902642">
        <w:rPr>
          <w:rFonts w:ascii="Garamond" w:hAnsi="Garamond"/>
          <w:sz w:val="22"/>
          <w:szCs w:val="22"/>
        </w:rPr>
        <w:t xml:space="preserve">of which </w:t>
      </w:r>
      <w:r w:rsidR="00902642" w:rsidRPr="00902642">
        <w:rPr>
          <w:rFonts w:ascii="Garamond" w:hAnsi="Garamond"/>
          <w:sz w:val="22"/>
          <w:szCs w:val="22"/>
        </w:rPr>
        <w:t xml:space="preserve">on </w:t>
      </w:r>
      <w:r w:rsidR="00902642">
        <w:rPr>
          <w:rFonts w:ascii="Garamond" w:hAnsi="Garamond"/>
          <w:sz w:val="22"/>
          <w:szCs w:val="22"/>
        </w:rPr>
        <w:t xml:space="preserve">inflation has been </w:t>
      </w:r>
      <w:r w:rsidR="00902642" w:rsidRPr="00902642">
        <w:rPr>
          <w:rFonts w:ascii="Garamond" w:hAnsi="Garamond"/>
          <w:sz w:val="22"/>
          <w:szCs w:val="22"/>
        </w:rPr>
        <w:t xml:space="preserve">estimated </w:t>
      </w:r>
      <w:r w:rsidR="00902642">
        <w:rPr>
          <w:rFonts w:ascii="Garamond" w:hAnsi="Garamond"/>
          <w:sz w:val="22"/>
          <w:szCs w:val="22"/>
        </w:rPr>
        <w:t xml:space="preserve">by the CBA to be </w:t>
      </w:r>
      <w:r w:rsidR="00902642" w:rsidRPr="00902642">
        <w:rPr>
          <w:rFonts w:ascii="Garamond" w:hAnsi="Garamond"/>
          <w:sz w:val="22"/>
          <w:szCs w:val="22"/>
        </w:rPr>
        <w:t>around -0.54 pp (direct impact</w:t>
      </w:r>
      <w:r w:rsidR="00902642">
        <w:rPr>
          <w:rFonts w:ascii="Garamond" w:hAnsi="Garamond"/>
          <w:sz w:val="22"/>
          <w:szCs w:val="22"/>
        </w:rPr>
        <w:t>:</w:t>
      </w:r>
      <w:r w:rsidR="00902642" w:rsidRPr="00902642">
        <w:rPr>
          <w:rFonts w:ascii="Garamond" w:hAnsi="Garamond"/>
          <w:sz w:val="22"/>
          <w:szCs w:val="22"/>
        </w:rPr>
        <w:t xml:space="preserve"> -0.32 p</w:t>
      </w:r>
      <w:r w:rsidR="00902642">
        <w:rPr>
          <w:rFonts w:ascii="Garamond" w:hAnsi="Garamond"/>
          <w:sz w:val="22"/>
          <w:szCs w:val="22"/>
        </w:rPr>
        <w:t>p</w:t>
      </w:r>
      <w:r w:rsidR="00902642" w:rsidRPr="00902642">
        <w:rPr>
          <w:rFonts w:ascii="Garamond" w:hAnsi="Garamond"/>
          <w:sz w:val="22"/>
          <w:szCs w:val="22"/>
        </w:rPr>
        <w:t>).</w:t>
      </w:r>
      <w:r w:rsidR="00902642">
        <w:rPr>
          <w:rFonts w:ascii="Garamond" w:hAnsi="Garamond"/>
          <w:sz w:val="22"/>
          <w:szCs w:val="22"/>
        </w:rPr>
        <w:t xml:space="preserve"> </w:t>
      </w:r>
      <w:r w:rsidR="003B7483" w:rsidRPr="00A32AB2">
        <w:rPr>
          <w:rFonts w:ascii="Garamond" w:hAnsi="Garamond"/>
          <w:sz w:val="22"/>
          <w:szCs w:val="22"/>
        </w:rPr>
        <w:t xml:space="preserve">In view </w:t>
      </w:r>
      <w:r w:rsidR="00E60CAE">
        <w:rPr>
          <w:rFonts w:ascii="Garamond" w:hAnsi="Garamond"/>
          <w:sz w:val="22"/>
          <w:szCs w:val="22"/>
        </w:rPr>
        <w:t xml:space="preserve">of </w:t>
      </w:r>
      <w:r w:rsidR="003B7483" w:rsidRPr="00A32AB2">
        <w:rPr>
          <w:rFonts w:ascii="Garamond" w:hAnsi="Garamond"/>
          <w:sz w:val="22"/>
          <w:szCs w:val="22"/>
        </w:rPr>
        <w:t xml:space="preserve">the above developments, the CBA estimates that the deflationary environment will </w:t>
      </w:r>
      <w:r w:rsidR="005F742B">
        <w:rPr>
          <w:rFonts w:ascii="Garamond" w:hAnsi="Garamond"/>
          <w:sz w:val="22"/>
          <w:szCs w:val="22"/>
        </w:rPr>
        <w:t xml:space="preserve">gradually phase out </w:t>
      </w:r>
      <w:r w:rsidR="003B7483" w:rsidRPr="00A32AB2">
        <w:rPr>
          <w:rFonts w:ascii="Garamond" w:hAnsi="Garamond"/>
          <w:sz w:val="22"/>
          <w:szCs w:val="22"/>
        </w:rPr>
        <w:t xml:space="preserve">in the </w:t>
      </w:r>
      <w:r w:rsidR="005F742B">
        <w:rPr>
          <w:rFonts w:ascii="Garamond" w:hAnsi="Garamond"/>
          <w:sz w:val="22"/>
          <w:szCs w:val="22"/>
        </w:rPr>
        <w:t xml:space="preserve">first months of 2017. In </w:t>
      </w:r>
      <w:r w:rsidR="003B7483" w:rsidRPr="00A32AB2">
        <w:rPr>
          <w:rFonts w:ascii="Garamond" w:hAnsi="Garamond"/>
          <w:sz w:val="22"/>
          <w:szCs w:val="22"/>
        </w:rPr>
        <w:t>the forecast horizon, the 12-month inflation rate will return to the target.</w:t>
      </w:r>
    </w:p>
    <w:p w14:paraId="0848696A" w14:textId="77777777" w:rsidR="002D5CC6" w:rsidRPr="009709BC" w:rsidRDefault="002D5CC6" w:rsidP="0085120F">
      <w:pPr>
        <w:tabs>
          <w:tab w:val="left" w:pos="5850"/>
        </w:tabs>
        <w:spacing w:line="360" w:lineRule="auto"/>
        <w:jc w:val="both"/>
        <w:rPr>
          <w:rFonts w:ascii="Garamond" w:eastAsia="Calibri" w:hAnsi="Garamond" w:cs="Sylfaen"/>
          <w:b/>
          <w:sz w:val="22"/>
          <w:szCs w:val="22"/>
        </w:rPr>
      </w:pPr>
    </w:p>
    <w:p w14:paraId="5D00C9E5" w14:textId="77777777" w:rsidR="00322BA3" w:rsidRPr="00A32AB2" w:rsidRDefault="00CB1AD5" w:rsidP="00322BA3">
      <w:pPr>
        <w:spacing w:line="360" w:lineRule="auto"/>
        <w:jc w:val="both"/>
        <w:rPr>
          <w:rFonts w:ascii="Garamond" w:hAnsi="Garamond"/>
          <w:sz w:val="22"/>
          <w:szCs w:val="22"/>
        </w:rPr>
      </w:pPr>
      <w:r w:rsidRPr="00CB1AD5">
        <w:rPr>
          <w:rFonts w:ascii="Garamond" w:hAnsi="Garamond"/>
          <w:sz w:val="22"/>
          <w:szCs w:val="22"/>
        </w:rPr>
        <w:t xml:space="preserve">The CBA </w:t>
      </w:r>
      <w:r>
        <w:rPr>
          <w:rFonts w:ascii="Garamond" w:hAnsi="Garamond"/>
          <w:sz w:val="22"/>
          <w:szCs w:val="22"/>
        </w:rPr>
        <w:t xml:space="preserve">reckons that risks to deflation are to persist in the </w:t>
      </w:r>
      <w:r w:rsidRPr="00CB1AD5">
        <w:rPr>
          <w:rFonts w:ascii="Garamond" w:hAnsi="Garamond"/>
          <w:sz w:val="22"/>
          <w:szCs w:val="22"/>
        </w:rPr>
        <w:t>medium</w:t>
      </w:r>
      <w:r>
        <w:rPr>
          <w:rFonts w:ascii="Garamond" w:hAnsi="Garamond"/>
          <w:sz w:val="22"/>
          <w:szCs w:val="22"/>
        </w:rPr>
        <w:t xml:space="preserve"> run, with the 2017 fiscal policy factor now added to such risks. </w:t>
      </w:r>
      <w:r w:rsidR="00322BA3" w:rsidRPr="00A32AB2">
        <w:rPr>
          <w:rFonts w:ascii="Garamond" w:hAnsi="Garamond"/>
          <w:b/>
          <w:sz w:val="22"/>
          <w:szCs w:val="22"/>
        </w:rPr>
        <w:t xml:space="preserve">The CBA considers that </w:t>
      </w:r>
      <w:r>
        <w:rPr>
          <w:rFonts w:ascii="Garamond" w:hAnsi="Garamond"/>
          <w:b/>
          <w:sz w:val="22"/>
          <w:szCs w:val="22"/>
        </w:rPr>
        <w:t xml:space="preserve">certain </w:t>
      </w:r>
      <w:r w:rsidR="00322BA3" w:rsidRPr="00A32AB2">
        <w:rPr>
          <w:rFonts w:ascii="Garamond" w:hAnsi="Garamond"/>
          <w:b/>
          <w:sz w:val="22"/>
          <w:szCs w:val="22"/>
        </w:rPr>
        <w:t xml:space="preserve">easing </w:t>
      </w:r>
      <w:r w:rsidR="002667B0" w:rsidRPr="00A32AB2">
        <w:rPr>
          <w:rFonts w:ascii="Garamond" w:hAnsi="Garamond"/>
          <w:b/>
          <w:sz w:val="22"/>
          <w:szCs w:val="22"/>
        </w:rPr>
        <w:t xml:space="preserve">of </w:t>
      </w:r>
      <w:r w:rsidR="00322BA3" w:rsidRPr="00A32AB2">
        <w:rPr>
          <w:rFonts w:ascii="Garamond" w:hAnsi="Garamond"/>
          <w:b/>
          <w:sz w:val="22"/>
          <w:szCs w:val="22"/>
        </w:rPr>
        <w:t>monetary conditions</w:t>
      </w:r>
      <w:r w:rsidR="002667B0" w:rsidRPr="00A32AB2">
        <w:rPr>
          <w:rFonts w:ascii="Garamond" w:hAnsi="Garamond"/>
          <w:b/>
          <w:sz w:val="22"/>
          <w:szCs w:val="22"/>
        </w:rPr>
        <w:t xml:space="preserve"> </w:t>
      </w:r>
      <w:r w:rsidR="00322BA3" w:rsidRPr="00A32AB2">
        <w:rPr>
          <w:rFonts w:ascii="Garamond" w:hAnsi="Garamond"/>
          <w:b/>
          <w:sz w:val="22"/>
          <w:szCs w:val="22"/>
        </w:rPr>
        <w:t xml:space="preserve">in the </w:t>
      </w:r>
      <w:r>
        <w:rPr>
          <w:rFonts w:ascii="Garamond" w:hAnsi="Garamond"/>
          <w:b/>
          <w:sz w:val="22"/>
          <w:szCs w:val="22"/>
        </w:rPr>
        <w:t xml:space="preserve">fourth </w:t>
      </w:r>
      <w:r w:rsidR="00322BA3" w:rsidRPr="00A32AB2">
        <w:rPr>
          <w:rFonts w:ascii="Garamond" w:hAnsi="Garamond"/>
          <w:b/>
          <w:sz w:val="22"/>
          <w:szCs w:val="22"/>
        </w:rPr>
        <w:t xml:space="preserve">quarter of 2016 is </w:t>
      </w:r>
      <w:r>
        <w:rPr>
          <w:rFonts w:ascii="Garamond" w:hAnsi="Garamond"/>
          <w:b/>
          <w:sz w:val="22"/>
          <w:szCs w:val="22"/>
        </w:rPr>
        <w:t>appropriate</w:t>
      </w:r>
      <w:r w:rsidR="00322BA3" w:rsidRPr="00A32AB2">
        <w:rPr>
          <w:rFonts w:ascii="Garamond" w:hAnsi="Garamond"/>
          <w:sz w:val="22"/>
          <w:szCs w:val="22"/>
        </w:rPr>
        <w:t xml:space="preserve">. </w:t>
      </w:r>
    </w:p>
    <w:p w14:paraId="024E2D7D" w14:textId="77777777" w:rsidR="00322BA3" w:rsidRPr="00B31431" w:rsidRDefault="00322BA3" w:rsidP="00322BA3">
      <w:pPr>
        <w:spacing w:line="360" w:lineRule="auto"/>
        <w:jc w:val="both"/>
        <w:rPr>
          <w:rFonts w:ascii="Garamond" w:hAnsi="Garamond"/>
          <w:sz w:val="22"/>
          <w:szCs w:val="22"/>
        </w:rPr>
      </w:pPr>
    </w:p>
    <w:p w14:paraId="0C33B8FB" w14:textId="77777777" w:rsidR="003B7412" w:rsidRDefault="00E57266" w:rsidP="00347AC8">
      <w:pPr>
        <w:spacing w:line="360" w:lineRule="auto"/>
        <w:jc w:val="both"/>
        <w:rPr>
          <w:rFonts w:ascii="Garamond" w:hAnsi="Garamond" w:cs="GHEA Grapalat"/>
          <w:sz w:val="22"/>
          <w:szCs w:val="22"/>
        </w:rPr>
      </w:pPr>
      <w:r w:rsidRPr="005218A5">
        <w:rPr>
          <w:rFonts w:ascii="Garamond" w:hAnsi="Garamond"/>
          <w:b/>
          <w:sz w:val="22"/>
          <w:szCs w:val="22"/>
        </w:rPr>
        <w:t>Risks that inflation will deviate from the</w:t>
      </w:r>
      <w:r w:rsidRPr="005218A5">
        <w:rPr>
          <w:rFonts w:ascii="Garamond" w:hAnsi="Garamond"/>
          <w:b/>
          <w:sz w:val="22"/>
          <w:szCs w:val="22"/>
          <w:lang w:val="hy-AM"/>
        </w:rPr>
        <w:t xml:space="preserve"> </w:t>
      </w:r>
      <w:r w:rsidRPr="005218A5">
        <w:rPr>
          <w:rFonts w:ascii="Garamond" w:hAnsi="Garamond"/>
          <w:b/>
          <w:sz w:val="22"/>
          <w:szCs w:val="22"/>
        </w:rPr>
        <w:t>projected value</w:t>
      </w:r>
      <w:r w:rsidRPr="005218A5">
        <w:rPr>
          <w:rFonts w:ascii="Garamond" w:hAnsi="Garamond"/>
          <w:b/>
          <w:sz w:val="22"/>
          <w:szCs w:val="22"/>
          <w:lang w:val="hy-AM"/>
        </w:rPr>
        <w:t xml:space="preserve"> </w:t>
      </w:r>
      <w:r w:rsidRPr="005218A5">
        <w:rPr>
          <w:rFonts w:ascii="Garamond" w:hAnsi="Garamond"/>
          <w:b/>
          <w:sz w:val="22"/>
          <w:szCs w:val="22"/>
        </w:rPr>
        <w:t xml:space="preserve">are estimated to be downward in </w:t>
      </w:r>
      <w:r w:rsidR="005218A5">
        <w:rPr>
          <w:rFonts w:ascii="Garamond" w:hAnsi="Garamond"/>
          <w:b/>
          <w:sz w:val="22"/>
          <w:szCs w:val="22"/>
        </w:rPr>
        <w:t xml:space="preserve">both </w:t>
      </w:r>
      <w:r w:rsidRPr="005218A5">
        <w:rPr>
          <w:rFonts w:ascii="Garamond" w:hAnsi="Garamond"/>
          <w:b/>
          <w:sz w:val="22"/>
          <w:szCs w:val="22"/>
        </w:rPr>
        <w:t>short</w:t>
      </w:r>
      <w:r w:rsidR="005218A5">
        <w:rPr>
          <w:rFonts w:ascii="Garamond" w:hAnsi="Garamond"/>
          <w:b/>
          <w:sz w:val="22"/>
          <w:szCs w:val="22"/>
        </w:rPr>
        <w:t xml:space="preserve"> and medium term</w:t>
      </w:r>
      <w:r w:rsidRPr="00A32AB2">
        <w:rPr>
          <w:rFonts w:ascii="Garamond" w:hAnsi="Garamond"/>
          <w:sz w:val="22"/>
          <w:szCs w:val="22"/>
        </w:rPr>
        <w:t>.</w:t>
      </w:r>
      <w:r w:rsidRPr="00A32AB2">
        <w:rPr>
          <w:rFonts w:ascii="Garamond" w:hAnsi="Garamond"/>
          <w:sz w:val="22"/>
          <w:szCs w:val="22"/>
          <w:lang w:val="hy-AM"/>
        </w:rPr>
        <w:t xml:space="preserve"> </w:t>
      </w:r>
      <w:r w:rsidRPr="005218A5">
        <w:rPr>
          <w:rFonts w:ascii="Garamond" w:hAnsi="Garamond"/>
          <w:b/>
          <w:color w:val="000000"/>
          <w:sz w:val="22"/>
          <w:szCs w:val="22"/>
        </w:rPr>
        <w:t xml:space="preserve">Risks deriving from </w:t>
      </w:r>
      <w:r w:rsidR="005218A5" w:rsidRPr="005218A5">
        <w:rPr>
          <w:rFonts w:ascii="Garamond" w:hAnsi="Garamond"/>
          <w:b/>
          <w:color w:val="000000"/>
          <w:sz w:val="22"/>
          <w:szCs w:val="22"/>
        </w:rPr>
        <w:t xml:space="preserve">the </w:t>
      </w:r>
      <w:r w:rsidRPr="005218A5">
        <w:rPr>
          <w:rFonts w:ascii="Garamond" w:hAnsi="Garamond"/>
          <w:b/>
          <w:color w:val="000000"/>
          <w:sz w:val="22"/>
          <w:szCs w:val="22"/>
        </w:rPr>
        <w:t xml:space="preserve">external </w:t>
      </w:r>
      <w:r w:rsidR="005218A5" w:rsidRPr="005218A5">
        <w:rPr>
          <w:rFonts w:ascii="Garamond" w:hAnsi="Garamond"/>
          <w:b/>
          <w:color w:val="000000"/>
          <w:sz w:val="22"/>
          <w:szCs w:val="22"/>
        </w:rPr>
        <w:t>sector are somehow inflation-pertinent</w:t>
      </w:r>
      <w:r w:rsidR="005218A5">
        <w:rPr>
          <w:rFonts w:ascii="Garamond" w:hAnsi="Garamond"/>
          <w:color w:val="000000"/>
          <w:sz w:val="22"/>
          <w:szCs w:val="22"/>
        </w:rPr>
        <w:t xml:space="preserve"> </w:t>
      </w:r>
      <w:r w:rsidRPr="00A32AB2">
        <w:rPr>
          <w:rFonts w:ascii="Garamond" w:hAnsi="Garamond"/>
          <w:color w:val="000000"/>
          <w:sz w:val="22"/>
          <w:szCs w:val="22"/>
        </w:rPr>
        <w:t>and</w:t>
      </w:r>
      <w:r w:rsidR="005218A5">
        <w:rPr>
          <w:rFonts w:ascii="Garamond" w:hAnsi="Garamond"/>
          <w:color w:val="000000"/>
          <w:sz w:val="22"/>
          <w:szCs w:val="22"/>
        </w:rPr>
        <w:t xml:space="preserve"> are, i</w:t>
      </w:r>
      <w:r w:rsidRPr="00A32AB2">
        <w:rPr>
          <w:rFonts w:ascii="Garamond" w:hAnsi="Garamond" w:cs="Sylfaen"/>
          <w:color w:val="000000"/>
          <w:sz w:val="22"/>
          <w:szCs w:val="22"/>
        </w:rPr>
        <w:t>n particular, related to</w:t>
      </w:r>
      <w:r w:rsidRPr="00A32AB2">
        <w:rPr>
          <w:rFonts w:ascii="Garamond" w:hAnsi="Garamond" w:cs="Sylfaen"/>
          <w:color w:val="000000"/>
          <w:sz w:val="22"/>
          <w:szCs w:val="22"/>
          <w:lang w:val="hy-AM"/>
        </w:rPr>
        <w:t xml:space="preserve"> </w:t>
      </w:r>
      <w:r w:rsidRPr="00A32AB2">
        <w:rPr>
          <w:rFonts w:ascii="Garamond" w:hAnsi="Garamond"/>
          <w:sz w:val="22"/>
          <w:szCs w:val="22"/>
        </w:rPr>
        <w:t xml:space="preserve">capital outflows from developing countries and, consequently, volatilities in financial markets, the processes in the European Union, a likely slowdown of global economic growth resulting from </w:t>
      </w:r>
      <w:r w:rsidR="00CE1E50" w:rsidRPr="00A32AB2">
        <w:rPr>
          <w:rFonts w:ascii="Garamond" w:hAnsi="Garamond"/>
          <w:sz w:val="22"/>
          <w:szCs w:val="22"/>
        </w:rPr>
        <w:t>re</w:t>
      </w:r>
      <w:r w:rsidRPr="00A32AB2">
        <w:rPr>
          <w:rFonts w:ascii="Garamond" w:hAnsi="Garamond"/>
          <w:sz w:val="22"/>
          <w:szCs w:val="22"/>
        </w:rPr>
        <w:t>structur</w:t>
      </w:r>
      <w:r w:rsidR="00CE1E50" w:rsidRPr="00A32AB2">
        <w:rPr>
          <w:rFonts w:ascii="Garamond" w:hAnsi="Garamond"/>
          <w:sz w:val="22"/>
          <w:szCs w:val="22"/>
        </w:rPr>
        <w:t xml:space="preserve">ing of </w:t>
      </w:r>
      <w:r w:rsidRPr="00A32AB2">
        <w:rPr>
          <w:rFonts w:ascii="Garamond" w:hAnsi="Garamond"/>
          <w:sz w:val="22"/>
          <w:szCs w:val="22"/>
        </w:rPr>
        <w:t xml:space="preserve">the Chinese economy as well as risks related to developments in international prices of raw materials and food products. </w:t>
      </w:r>
      <w:r w:rsidRPr="00A32AB2">
        <w:rPr>
          <w:rFonts w:ascii="Garamond" w:hAnsi="Garamond"/>
          <w:b/>
          <w:sz w:val="22"/>
          <w:szCs w:val="22"/>
        </w:rPr>
        <w:t>Risks deriving from the domestic sector</w:t>
      </w:r>
      <w:r w:rsidRPr="00A32AB2">
        <w:rPr>
          <w:rFonts w:ascii="Garamond" w:hAnsi="Garamond"/>
          <w:sz w:val="22"/>
          <w:szCs w:val="22"/>
        </w:rPr>
        <w:t xml:space="preserve"> </w:t>
      </w:r>
      <w:r w:rsidRPr="005218A5">
        <w:rPr>
          <w:rFonts w:ascii="Garamond" w:hAnsi="Garamond"/>
          <w:b/>
          <w:sz w:val="22"/>
          <w:szCs w:val="22"/>
        </w:rPr>
        <w:t>are</w:t>
      </w:r>
      <w:r w:rsidR="005218A5" w:rsidRPr="005218A5">
        <w:rPr>
          <w:rFonts w:ascii="Garamond" w:hAnsi="Garamond"/>
          <w:b/>
          <w:sz w:val="22"/>
          <w:szCs w:val="22"/>
        </w:rPr>
        <w:t xml:space="preserve"> deflationary</w:t>
      </w:r>
      <w:r w:rsidR="003B7412">
        <w:rPr>
          <w:rFonts w:ascii="Garamond" w:hAnsi="Garamond"/>
          <w:sz w:val="22"/>
          <w:szCs w:val="22"/>
        </w:rPr>
        <w:t xml:space="preserve">, with the </w:t>
      </w:r>
      <w:r w:rsidR="003B7412" w:rsidRPr="009464FC">
        <w:rPr>
          <w:rFonts w:ascii="Garamond" w:hAnsi="Garamond"/>
          <w:sz w:val="22"/>
          <w:szCs w:val="22"/>
        </w:rPr>
        <w:t>2017</w:t>
      </w:r>
      <w:r w:rsidR="003B7412">
        <w:rPr>
          <w:rFonts w:ascii="Garamond" w:hAnsi="Garamond"/>
          <w:sz w:val="22"/>
          <w:szCs w:val="22"/>
        </w:rPr>
        <w:t xml:space="preserve"> </w:t>
      </w:r>
      <w:r w:rsidR="003B7412" w:rsidRPr="009464FC">
        <w:rPr>
          <w:rFonts w:ascii="Garamond" w:hAnsi="Garamond"/>
          <w:sz w:val="22"/>
          <w:szCs w:val="22"/>
        </w:rPr>
        <w:t>fiscal policy factor</w:t>
      </w:r>
      <w:r w:rsidR="003B7412">
        <w:rPr>
          <w:rFonts w:ascii="Garamond" w:hAnsi="Garamond"/>
          <w:sz w:val="22"/>
          <w:szCs w:val="22"/>
        </w:rPr>
        <w:t xml:space="preserve"> and possible reduction of electricity tariff in the first quarter the same year now added to the existing ones. Risks outlined in the previous forecast carry on and </w:t>
      </w:r>
      <w:r w:rsidR="003B7412" w:rsidRPr="00A32AB2">
        <w:rPr>
          <w:rFonts w:ascii="Garamond" w:hAnsi="Garamond"/>
          <w:sz w:val="22"/>
          <w:szCs w:val="22"/>
        </w:rPr>
        <w:t>are</w:t>
      </w:r>
      <w:r w:rsidR="003B7412" w:rsidRPr="00A32AB2">
        <w:rPr>
          <w:rFonts w:ascii="Garamond" w:hAnsi="Garamond"/>
          <w:sz w:val="22"/>
          <w:szCs w:val="22"/>
          <w:lang w:val="hy-AM"/>
        </w:rPr>
        <w:t xml:space="preserve"> </w:t>
      </w:r>
      <w:r w:rsidR="003B7412" w:rsidRPr="00A32AB2">
        <w:rPr>
          <w:rFonts w:ascii="Garamond" w:hAnsi="Garamond"/>
          <w:color w:val="000000"/>
          <w:sz w:val="22"/>
          <w:szCs w:val="22"/>
        </w:rPr>
        <w:t xml:space="preserve">associated with the extent to which </w:t>
      </w:r>
      <w:r w:rsidR="003B7412" w:rsidRPr="00A32AB2">
        <w:rPr>
          <w:rFonts w:ascii="Garamond" w:hAnsi="Garamond"/>
          <w:sz w:val="22"/>
          <w:szCs w:val="22"/>
        </w:rPr>
        <w:lastRenderedPageBreak/>
        <w:t>external environment’s deflationary impact will spill over to the domestic prices,</w:t>
      </w:r>
      <w:r w:rsidR="003B7412" w:rsidRPr="00A32AB2">
        <w:rPr>
          <w:rFonts w:ascii="Garamond" w:hAnsi="Garamond"/>
          <w:sz w:val="22"/>
          <w:szCs w:val="22"/>
          <w:lang w:val="hy-AM"/>
        </w:rPr>
        <w:t xml:space="preserve"> </w:t>
      </w:r>
      <w:r w:rsidR="003B7412" w:rsidRPr="00A32AB2">
        <w:rPr>
          <w:rFonts w:ascii="Garamond" w:hAnsi="Garamond"/>
          <w:color w:val="000000"/>
          <w:sz w:val="22"/>
          <w:szCs w:val="22"/>
        </w:rPr>
        <w:t xml:space="preserve">developments in agriculture, a sector greatly depending on weather conditions, the pace at which domestic demand and private investments will recover, as well as </w:t>
      </w:r>
      <w:r w:rsidR="003B7412">
        <w:rPr>
          <w:rFonts w:ascii="Garamond" w:hAnsi="Garamond"/>
          <w:color w:val="000000"/>
          <w:sz w:val="22"/>
          <w:szCs w:val="22"/>
        </w:rPr>
        <w:t xml:space="preserve">the </w:t>
      </w:r>
      <w:r w:rsidR="003B7412" w:rsidRPr="00A32AB2">
        <w:rPr>
          <w:rFonts w:ascii="Garamond" w:hAnsi="Garamond"/>
          <w:color w:val="000000"/>
          <w:sz w:val="22"/>
          <w:szCs w:val="22"/>
        </w:rPr>
        <w:t>Government-led structural reforms.</w:t>
      </w:r>
      <w:r w:rsidR="003B7412" w:rsidRPr="00A32AB2">
        <w:rPr>
          <w:rFonts w:ascii="Garamond" w:hAnsi="Garamond" w:cs="GHEA Grapalat"/>
          <w:sz w:val="22"/>
          <w:szCs w:val="22"/>
        </w:rPr>
        <w:t xml:space="preserve"> </w:t>
      </w:r>
    </w:p>
    <w:p w14:paraId="374C1AE0" w14:textId="77777777" w:rsidR="003B7412" w:rsidRDefault="003B7412" w:rsidP="00347AC8">
      <w:pPr>
        <w:spacing w:line="360" w:lineRule="auto"/>
        <w:jc w:val="both"/>
        <w:rPr>
          <w:rFonts w:ascii="Garamond" w:hAnsi="Garamond" w:cs="GHEA Grapalat"/>
          <w:sz w:val="22"/>
          <w:szCs w:val="22"/>
        </w:rPr>
      </w:pPr>
    </w:p>
    <w:p w14:paraId="7DAFDBDA" w14:textId="77777777" w:rsidR="00322BA3" w:rsidRPr="00A32AB2" w:rsidRDefault="003B7412" w:rsidP="00347AC8">
      <w:pPr>
        <w:spacing w:line="360" w:lineRule="auto"/>
        <w:jc w:val="both"/>
        <w:rPr>
          <w:rFonts w:ascii="Garamond" w:hAnsi="Garamond"/>
          <w:sz w:val="22"/>
          <w:szCs w:val="22"/>
        </w:rPr>
      </w:pPr>
      <w:r w:rsidRPr="00A32AB2">
        <w:rPr>
          <w:rFonts w:ascii="Garamond" w:hAnsi="Garamond"/>
          <w:sz w:val="22"/>
          <w:szCs w:val="22"/>
        </w:rPr>
        <w:t>If the aforementioned risks materialize, the CBA will react accordingly by maintaining the inflation target in the medium run.</w:t>
      </w:r>
      <w:r>
        <w:rPr>
          <w:rFonts w:ascii="Garamond" w:hAnsi="Garamond"/>
          <w:sz w:val="22"/>
          <w:szCs w:val="22"/>
        </w:rPr>
        <w:t xml:space="preserve"> </w:t>
      </w:r>
    </w:p>
    <w:p w14:paraId="5E923EF7" w14:textId="77777777" w:rsidR="00721072" w:rsidRPr="00A32AB2" w:rsidRDefault="00721072" w:rsidP="00347AC8">
      <w:pPr>
        <w:spacing w:line="360" w:lineRule="auto"/>
        <w:jc w:val="both"/>
        <w:rPr>
          <w:rFonts w:ascii="Garamond" w:hAnsi="Garamond"/>
          <w:sz w:val="22"/>
          <w:szCs w:val="22"/>
        </w:rPr>
      </w:pPr>
    </w:p>
    <w:p w14:paraId="2B8684D7" w14:textId="77777777" w:rsidR="00721072" w:rsidRPr="00A32AB2" w:rsidRDefault="00721072" w:rsidP="00721072">
      <w:pPr>
        <w:spacing w:line="360" w:lineRule="auto"/>
        <w:jc w:val="both"/>
        <w:rPr>
          <w:rFonts w:ascii="Garamond" w:hAnsi="Garamond"/>
          <w:b/>
          <w:sz w:val="22"/>
          <w:szCs w:val="22"/>
        </w:rPr>
      </w:pPr>
      <w:r w:rsidRPr="00A32AB2">
        <w:rPr>
          <w:rFonts w:ascii="Garamond" w:hAnsi="Garamond"/>
          <w:b/>
          <w:sz w:val="22"/>
          <w:szCs w:val="22"/>
        </w:rPr>
        <w:t>3. Actual developments in Q</w:t>
      </w:r>
      <w:r w:rsidR="003B7412">
        <w:rPr>
          <w:rFonts w:ascii="Garamond" w:hAnsi="Garamond"/>
          <w:b/>
          <w:sz w:val="22"/>
          <w:szCs w:val="22"/>
        </w:rPr>
        <w:t>3</w:t>
      </w:r>
      <w:r w:rsidRPr="00A32AB2">
        <w:rPr>
          <w:rFonts w:ascii="Garamond" w:hAnsi="Garamond"/>
          <w:b/>
          <w:sz w:val="22"/>
          <w:szCs w:val="22"/>
        </w:rPr>
        <w:t>, 2016</w:t>
      </w:r>
    </w:p>
    <w:p w14:paraId="62A2F04A" w14:textId="77777777" w:rsidR="00721072" w:rsidRPr="00A32AB2" w:rsidRDefault="00721072" w:rsidP="00721072">
      <w:pPr>
        <w:spacing w:line="360" w:lineRule="auto"/>
        <w:jc w:val="both"/>
        <w:rPr>
          <w:rFonts w:ascii="Garamond" w:hAnsi="Garamond"/>
          <w:b/>
          <w:sz w:val="22"/>
          <w:szCs w:val="22"/>
        </w:rPr>
      </w:pPr>
      <w:r w:rsidRPr="00A32AB2">
        <w:rPr>
          <w:rFonts w:ascii="Garamond" w:hAnsi="Garamond"/>
          <w:b/>
          <w:sz w:val="22"/>
          <w:szCs w:val="22"/>
        </w:rPr>
        <w:t>3.1. Inflation</w:t>
      </w:r>
    </w:p>
    <w:p w14:paraId="1FE92BF7" w14:textId="77777777" w:rsidR="00B57C33" w:rsidRPr="00A32AB2" w:rsidRDefault="00B57C33" w:rsidP="00721072">
      <w:pPr>
        <w:spacing w:line="360" w:lineRule="auto"/>
        <w:jc w:val="both"/>
        <w:rPr>
          <w:rFonts w:ascii="Garamond" w:hAnsi="Garamond"/>
          <w:b/>
          <w:sz w:val="22"/>
          <w:szCs w:val="22"/>
        </w:rPr>
      </w:pPr>
      <w:r w:rsidRPr="00A32AB2">
        <w:rPr>
          <w:rFonts w:ascii="Garamond" w:hAnsi="Garamond"/>
          <w:b/>
          <w:sz w:val="22"/>
          <w:szCs w:val="22"/>
        </w:rPr>
        <w:t xml:space="preserve">3.1.1. Actual inflation and fulfilment of the inflation target </w:t>
      </w:r>
    </w:p>
    <w:p w14:paraId="4F48577B" w14:textId="77777777" w:rsidR="00B57C33" w:rsidRPr="00A32AB2" w:rsidRDefault="00B57C33" w:rsidP="00721072">
      <w:pPr>
        <w:spacing w:line="360" w:lineRule="auto"/>
        <w:jc w:val="both"/>
        <w:rPr>
          <w:rFonts w:ascii="Garamond" w:hAnsi="Garamond"/>
          <w:b/>
          <w:sz w:val="22"/>
          <w:szCs w:val="22"/>
        </w:rPr>
      </w:pPr>
    </w:p>
    <w:p w14:paraId="2550DEBB" w14:textId="77777777" w:rsidR="00462227" w:rsidRDefault="00512D47" w:rsidP="00FF3CD9">
      <w:pPr>
        <w:spacing w:line="360" w:lineRule="auto"/>
        <w:jc w:val="both"/>
        <w:rPr>
          <w:rFonts w:ascii="Garamond" w:hAnsi="Garamond" w:cs="Sylfaen"/>
          <w:bCs/>
          <w:iCs/>
          <w:color w:val="000000"/>
          <w:sz w:val="22"/>
          <w:szCs w:val="22"/>
        </w:rPr>
      </w:pPr>
      <w:r>
        <w:rPr>
          <w:rFonts w:ascii="Garamond" w:hAnsi="Garamond" w:cs="GHEA Grapalat"/>
          <w:sz w:val="22"/>
          <w:szCs w:val="22"/>
        </w:rPr>
        <w:t xml:space="preserve">There was </w:t>
      </w:r>
      <w:r w:rsidRPr="00512D47">
        <w:rPr>
          <w:rFonts w:ascii="Garamond" w:hAnsi="Garamond" w:cs="GHEA Grapalat"/>
          <w:b/>
          <w:sz w:val="22"/>
          <w:szCs w:val="22"/>
        </w:rPr>
        <w:t>2.7%</w:t>
      </w:r>
      <w:r w:rsidRPr="00A32AB2">
        <w:rPr>
          <w:rFonts w:ascii="Garamond" w:hAnsi="Garamond" w:cs="GHEA Grapalat"/>
          <w:sz w:val="22"/>
          <w:szCs w:val="22"/>
        </w:rPr>
        <w:t xml:space="preserve"> deflation in the </w:t>
      </w:r>
      <w:r>
        <w:rPr>
          <w:rFonts w:ascii="Garamond" w:hAnsi="Garamond" w:cs="GHEA Grapalat"/>
          <w:sz w:val="22"/>
          <w:szCs w:val="22"/>
        </w:rPr>
        <w:t xml:space="preserve">third </w:t>
      </w:r>
      <w:r w:rsidRPr="00A32AB2">
        <w:rPr>
          <w:rFonts w:ascii="Garamond" w:hAnsi="Garamond" w:cs="GHEA Grapalat"/>
          <w:sz w:val="22"/>
          <w:szCs w:val="22"/>
        </w:rPr>
        <w:t>quarter of 2016</w:t>
      </w:r>
      <w:r w:rsidR="002E14BA">
        <w:rPr>
          <w:rFonts w:ascii="Garamond" w:hAnsi="Garamond" w:cs="GHEA Grapalat"/>
          <w:sz w:val="22"/>
          <w:szCs w:val="22"/>
        </w:rPr>
        <w:t>. This was driven</w:t>
      </w:r>
      <w:r>
        <w:rPr>
          <w:rFonts w:ascii="Garamond" w:hAnsi="Garamond" w:cs="GHEA Grapalat"/>
          <w:sz w:val="22"/>
          <w:szCs w:val="22"/>
        </w:rPr>
        <w:t xml:space="preserve">, as it was expected, by </w:t>
      </w:r>
      <w:r w:rsidR="002E14BA">
        <w:rPr>
          <w:rFonts w:ascii="Garamond" w:hAnsi="Garamond" w:cs="GHEA Grapalat"/>
          <w:sz w:val="22"/>
          <w:szCs w:val="22"/>
        </w:rPr>
        <w:t xml:space="preserve">seasonal decrease in food prices, with </w:t>
      </w:r>
      <w:r>
        <w:rPr>
          <w:rFonts w:ascii="Garamond" w:hAnsi="Garamond" w:cs="GHEA Grapalat"/>
          <w:sz w:val="22"/>
          <w:szCs w:val="22"/>
        </w:rPr>
        <w:t xml:space="preserve">fruit and vegetable </w:t>
      </w:r>
      <w:r w:rsidRPr="00A32AB2">
        <w:rPr>
          <w:rFonts w:ascii="Garamond" w:hAnsi="Garamond" w:cs="Sylfaen"/>
          <w:bCs/>
          <w:iCs/>
          <w:color w:val="000000"/>
          <w:sz w:val="22"/>
          <w:szCs w:val="22"/>
        </w:rPr>
        <w:t>prices</w:t>
      </w:r>
      <w:r>
        <w:rPr>
          <w:rFonts w:ascii="Garamond" w:hAnsi="Garamond" w:cs="Sylfaen"/>
          <w:bCs/>
          <w:iCs/>
          <w:color w:val="000000"/>
          <w:sz w:val="22"/>
          <w:szCs w:val="22"/>
        </w:rPr>
        <w:t xml:space="preserve"> ha</w:t>
      </w:r>
      <w:r w:rsidR="002E14BA">
        <w:rPr>
          <w:rFonts w:ascii="Garamond" w:hAnsi="Garamond" w:cs="Sylfaen"/>
          <w:bCs/>
          <w:iCs/>
          <w:color w:val="000000"/>
          <w:sz w:val="22"/>
          <w:szCs w:val="22"/>
        </w:rPr>
        <w:t xml:space="preserve">ving </w:t>
      </w:r>
      <w:r>
        <w:rPr>
          <w:rFonts w:ascii="Garamond" w:hAnsi="Garamond" w:cs="Sylfaen"/>
          <w:bCs/>
          <w:iCs/>
          <w:color w:val="000000"/>
          <w:sz w:val="22"/>
          <w:szCs w:val="22"/>
        </w:rPr>
        <w:t xml:space="preserve">fallen by </w:t>
      </w:r>
      <w:r w:rsidR="002E14BA">
        <w:rPr>
          <w:rFonts w:ascii="Garamond" w:hAnsi="Garamond" w:cs="Sylfaen"/>
          <w:bCs/>
          <w:iCs/>
          <w:color w:val="000000"/>
          <w:sz w:val="22"/>
          <w:szCs w:val="22"/>
        </w:rPr>
        <w:t>22</w:t>
      </w:r>
      <w:r w:rsidRPr="00A32AB2">
        <w:rPr>
          <w:rFonts w:ascii="Garamond" w:hAnsi="Garamond" w:cs="Sylfaen"/>
          <w:bCs/>
          <w:iCs/>
          <w:color w:val="000000"/>
          <w:sz w:val="22"/>
          <w:szCs w:val="22"/>
        </w:rPr>
        <w:t xml:space="preserve">.8% and </w:t>
      </w:r>
      <w:r w:rsidR="002E14BA">
        <w:rPr>
          <w:rFonts w:ascii="Garamond" w:hAnsi="Garamond" w:cs="Sylfaen"/>
          <w:bCs/>
          <w:iCs/>
          <w:color w:val="000000"/>
          <w:sz w:val="22"/>
          <w:szCs w:val="22"/>
        </w:rPr>
        <w:t>31</w:t>
      </w:r>
      <w:r w:rsidRPr="00A32AB2">
        <w:rPr>
          <w:rFonts w:ascii="Garamond" w:hAnsi="Garamond" w:cs="Sylfaen"/>
          <w:bCs/>
          <w:iCs/>
          <w:color w:val="000000"/>
          <w:sz w:val="22"/>
          <w:szCs w:val="22"/>
        </w:rPr>
        <w:t>.</w:t>
      </w:r>
      <w:r w:rsidR="002E14BA">
        <w:rPr>
          <w:rFonts w:ascii="Garamond" w:hAnsi="Garamond" w:cs="Sylfaen"/>
          <w:bCs/>
          <w:iCs/>
          <w:color w:val="000000"/>
          <w:sz w:val="22"/>
          <w:szCs w:val="22"/>
        </w:rPr>
        <w:t>1</w:t>
      </w:r>
      <w:r w:rsidRPr="00A32AB2">
        <w:rPr>
          <w:rFonts w:ascii="Garamond" w:hAnsi="Garamond" w:cs="Sylfaen"/>
          <w:bCs/>
          <w:iCs/>
          <w:color w:val="000000"/>
          <w:sz w:val="22"/>
          <w:szCs w:val="22"/>
        </w:rPr>
        <w:t>%, respectively</w:t>
      </w:r>
      <w:r w:rsidR="002E14BA">
        <w:rPr>
          <w:rFonts w:ascii="Garamond" w:hAnsi="Garamond" w:cs="Sylfaen"/>
          <w:bCs/>
          <w:iCs/>
          <w:color w:val="000000"/>
          <w:sz w:val="22"/>
          <w:szCs w:val="22"/>
        </w:rPr>
        <w:t xml:space="preserve"> (contribution to the quarter’s deflation: 2.3 pp)</w:t>
      </w:r>
      <w:r w:rsidRPr="00A32AB2">
        <w:rPr>
          <w:rFonts w:ascii="Garamond" w:hAnsi="Garamond" w:cs="Sylfaen"/>
          <w:bCs/>
          <w:iCs/>
          <w:color w:val="000000"/>
          <w:sz w:val="22"/>
          <w:szCs w:val="22"/>
        </w:rPr>
        <w:t>.</w:t>
      </w:r>
      <w:r w:rsidR="002E14BA">
        <w:rPr>
          <w:rFonts w:ascii="Garamond" w:hAnsi="Garamond" w:cs="Sylfaen"/>
          <w:bCs/>
          <w:iCs/>
          <w:color w:val="000000"/>
          <w:sz w:val="22"/>
          <w:szCs w:val="22"/>
        </w:rPr>
        <w:t xml:space="preserve"> In the time of relatively stab</w:t>
      </w:r>
      <w:r w:rsidR="00102D2B">
        <w:rPr>
          <w:rFonts w:ascii="Garamond" w:hAnsi="Garamond" w:cs="Sylfaen"/>
          <w:bCs/>
          <w:iCs/>
          <w:color w:val="000000"/>
          <w:sz w:val="22"/>
          <w:szCs w:val="22"/>
        </w:rPr>
        <w:t xml:space="preserve">ility in </w:t>
      </w:r>
      <w:r w:rsidR="002E14BA">
        <w:rPr>
          <w:rFonts w:ascii="Garamond" w:hAnsi="Garamond" w:cs="Sylfaen"/>
          <w:bCs/>
          <w:iCs/>
          <w:color w:val="000000"/>
          <w:sz w:val="22"/>
          <w:szCs w:val="22"/>
        </w:rPr>
        <w:t xml:space="preserve">world </w:t>
      </w:r>
      <w:r w:rsidR="00291537" w:rsidRPr="00A32AB2">
        <w:rPr>
          <w:rFonts w:ascii="Garamond" w:hAnsi="Garamond" w:cs="Sylfaen"/>
          <w:bCs/>
          <w:iCs/>
          <w:color w:val="000000"/>
          <w:sz w:val="22"/>
          <w:szCs w:val="22"/>
        </w:rPr>
        <w:t>commodity markets</w:t>
      </w:r>
      <w:r w:rsidR="002E14BA">
        <w:rPr>
          <w:rFonts w:ascii="Garamond" w:hAnsi="Garamond" w:cs="Sylfaen"/>
          <w:bCs/>
          <w:iCs/>
          <w:color w:val="000000"/>
          <w:sz w:val="22"/>
          <w:szCs w:val="22"/>
        </w:rPr>
        <w:t xml:space="preserve"> and the GDP gap </w:t>
      </w:r>
      <w:r w:rsidR="00102D2B">
        <w:rPr>
          <w:rFonts w:ascii="Garamond" w:hAnsi="Garamond" w:cs="Sylfaen"/>
          <w:bCs/>
          <w:iCs/>
          <w:color w:val="000000"/>
          <w:sz w:val="22"/>
          <w:szCs w:val="22"/>
        </w:rPr>
        <w:t xml:space="preserve">running </w:t>
      </w:r>
      <w:r w:rsidR="002E14BA">
        <w:rPr>
          <w:rFonts w:ascii="Garamond" w:hAnsi="Garamond" w:cs="Sylfaen"/>
          <w:bCs/>
          <w:iCs/>
          <w:color w:val="000000"/>
          <w:sz w:val="22"/>
          <w:szCs w:val="22"/>
        </w:rPr>
        <w:t>far broader from the</w:t>
      </w:r>
      <w:r w:rsidR="00966537">
        <w:rPr>
          <w:rFonts w:ascii="Garamond" w:hAnsi="Garamond" w:cs="Sylfaen"/>
          <w:bCs/>
          <w:iCs/>
          <w:color w:val="000000"/>
          <w:sz w:val="22"/>
          <w:szCs w:val="22"/>
        </w:rPr>
        <w:t xml:space="preserve"> estima</w:t>
      </w:r>
      <w:r w:rsidR="002E14BA">
        <w:rPr>
          <w:rFonts w:ascii="Garamond" w:hAnsi="Garamond" w:cs="Sylfaen"/>
          <w:bCs/>
          <w:iCs/>
          <w:color w:val="000000"/>
          <w:sz w:val="22"/>
          <w:szCs w:val="22"/>
        </w:rPr>
        <w:t xml:space="preserve">tion, </w:t>
      </w:r>
      <w:r w:rsidR="00966537" w:rsidRPr="00A32AB2">
        <w:rPr>
          <w:rFonts w:ascii="Garamond" w:hAnsi="Garamond" w:cs="Sylfaen"/>
          <w:bCs/>
          <w:iCs/>
          <w:color w:val="000000"/>
          <w:sz w:val="22"/>
          <w:szCs w:val="22"/>
        </w:rPr>
        <w:t xml:space="preserve">the </w:t>
      </w:r>
      <w:r w:rsidR="00966537" w:rsidRPr="00966537">
        <w:rPr>
          <w:rFonts w:ascii="Garamond" w:hAnsi="Garamond" w:cs="Sylfaen"/>
          <w:b/>
          <w:bCs/>
          <w:iCs/>
          <w:color w:val="000000"/>
          <w:sz w:val="22"/>
          <w:szCs w:val="22"/>
        </w:rPr>
        <w:t xml:space="preserve">core inflation rate declined </w:t>
      </w:r>
      <w:r w:rsidR="00102D2B">
        <w:rPr>
          <w:rFonts w:ascii="Garamond" w:hAnsi="Garamond" w:cs="Sylfaen"/>
          <w:b/>
          <w:bCs/>
          <w:iCs/>
          <w:color w:val="000000"/>
          <w:sz w:val="22"/>
          <w:szCs w:val="22"/>
        </w:rPr>
        <w:t xml:space="preserve">slightly </w:t>
      </w:r>
      <w:r w:rsidR="00966537" w:rsidRPr="00966537">
        <w:rPr>
          <w:rFonts w:ascii="Garamond" w:hAnsi="Garamond" w:cs="Sylfaen"/>
          <w:b/>
          <w:bCs/>
          <w:iCs/>
          <w:color w:val="000000"/>
          <w:sz w:val="22"/>
          <w:szCs w:val="22"/>
        </w:rPr>
        <w:t>faster than expected to 0.8% in the third quarter</w:t>
      </w:r>
      <w:r w:rsidR="00966537">
        <w:rPr>
          <w:rFonts w:ascii="Garamond" w:hAnsi="Garamond" w:cs="Sylfaen"/>
          <w:bCs/>
          <w:iCs/>
          <w:color w:val="000000"/>
          <w:sz w:val="22"/>
          <w:szCs w:val="22"/>
        </w:rPr>
        <w:t xml:space="preserve">, while the </w:t>
      </w:r>
      <w:r w:rsidR="00102D2B" w:rsidRPr="00102D2B">
        <w:rPr>
          <w:rFonts w:ascii="Garamond" w:hAnsi="Garamond" w:cs="Sylfaen"/>
          <w:bCs/>
          <w:iCs/>
          <w:color w:val="000000"/>
          <w:sz w:val="22"/>
          <w:szCs w:val="22"/>
        </w:rPr>
        <w:t>12-month rate</w:t>
      </w:r>
      <w:r w:rsidR="00966537" w:rsidRPr="00102D2B">
        <w:rPr>
          <w:rFonts w:ascii="Garamond" w:hAnsi="Garamond" w:cs="Sylfaen"/>
          <w:bCs/>
          <w:iCs/>
          <w:color w:val="000000"/>
          <w:sz w:val="22"/>
          <w:szCs w:val="22"/>
        </w:rPr>
        <w:t xml:space="preserve"> reach</w:t>
      </w:r>
      <w:r w:rsidR="00102D2B">
        <w:rPr>
          <w:rFonts w:ascii="Garamond" w:hAnsi="Garamond" w:cs="Sylfaen"/>
          <w:bCs/>
          <w:iCs/>
          <w:color w:val="000000"/>
          <w:sz w:val="22"/>
          <w:szCs w:val="22"/>
        </w:rPr>
        <w:t>ed -2</w:t>
      </w:r>
      <w:r w:rsidR="00966537" w:rsidRPr="00102D2B">
        <w:rPr>
          <w:rFonts w:ascii="Garamond" w:hAnsi="Garamond" w:cs="Sylfaen"/>
          <w:bCs/>
          <w:iCs/>
          <w:color w:val="000000"/>
          <w:sz w:val="22"/>
          <w:szCs w:val="22"/>
        </w:rPr>
        <w:t>.</w:t>
      </w:r>
      <w:r w:rsidR="00102D2B">
        <w:rPr>
          <w:rFonts w:ascii="Garamond" w:hAnsi="Garamond" w:cs="Sylfaen"/>
          <w:bCs/>
          <w:iCs/>
          <w:color w:val="000000"/>
          <w:sz w:val="22"/>
          <w:szCs w:val="22"/>
        </w:rPr>
        <w:t>2</w:t>
      </w:r>
      <w:r w:rsidR="00966537" w:rsidRPr="00102D2B">
        <w:rPr>
          <w:rFonts w:ascii="Garamond" w:hAnsi="Garamond" w:cs="Sylfaen"/>
          <w:bCs/>
          <w:iCs/>
          <w:color w:val="000000"/>
          <w:sz w:val="22"/>
          <w:szCs w:val="22"/>
        </w:rPr>
        <w:t>%</w:t>
      </w:r>
      <w:r w:rsidR="00102D2B">
        <w:rPr>
          <w:rFonts w:ascii="Garamond" w:hAnsi="Garamond" w:cs="Sylfaen"/>
          <w:bCs/>
          <w:iCs/>
          <w:color w:val="000000"/>
          <w:sz w:val="22"/>
          <w:szCs w:val="22"/>
        </w:rPr>
        <w:t xml:space="preserve"> in late September. The latter was</w:t>
      </w:r>
      <w:r w:rsidR="00102D2B" w:rsidRPr="00102D2B">
        <w:rPr>
          <w:rFonts w:ascii="Garamond" w:hAnsi="Garamond" w:cs="Sylfaen"/>
          <w:bCs/>
          <w:iCs/>
          <w:color w:val="000000"/>
          <w:sz w:val="22"/>
          <w:szCs w:val="22"/>
        </w:rPr>
        <w:t xml:space="preserve"> mainly due to </w:t>
      </w:r>
      <w:r w:rsidR="00102D2B">
        <w:rPr>
          <w:rFonts w:ascii="Garamond" w:hAnsi="Garamond" w:cs="Sylfaen"/>
          <w:bCs/>
          <w:iCs/>
          <w:color w:val="000000"/>
          <w:sz w:val="22"/>
          <w:szCs w:val="22"/>
        </w:rPr>
        <w:t>lower-than-</w:t>
      </w:r>
      <w:r w:rsidR="00102D2B" w:rsidRPr="00102D2B">
        <w:rPr>
          <w:rFonts w:ascii="Garamond" w:hAnsi="Garamond" w:cs="Sylfaen"/>
          <w:bCs/>
          <w:iCs/>
          <w:color w:val="000000"/>
          <w:sz w:val="22"/>
          <w:szCs w:val="22"/>
        </w:rPr>
        <w:t xml:space="preserve">expected </w:t>
      </w:r>
      <w:r w:rsidR="00102D2B">
        <w:rPr>
          <w:rFonts w:ascii="Garamond" w:hAnsi="Garamond" w:cs="Sylfaen"/>
          <w:bCs/>
          <w:iCs/>
          <w:color w:val="000000"/>
          <w:sz w:val="22"/>
          <w:szCs w:val="22"/>
        </w:rPr>
        <w:t xml:space="preserve">rise in domestic food prices, </w:t>
      </w:r>
      <w:r w:rsidR="00102D2B" w:rsidRPr="00102D2B">
        <w:rPr>
          <w:rFonts w:ascii="Garamond" w:hAnsi="Garamond" w:cs="Sylfaen"/>
          <w:bCs/>
          <w:iCs/>
          <w:color w:val="000000"/>
          <w:sz w:val="22"/>
          <w:szCs w:val="22"/>
        </w:rPr>
        <w:t xml:space="preserve">dairy and meat </w:t>
      </w:r>
      <w:r w:rsidR="00102D2B">
        <w:rPr>
          <w:rFonts w:ascii="Garamond" w:hAnsi="Garamond" w:cs="Sylfaen"/>
          <w:bCs/>
          <w:iCs/>
          <w:color w:val="000000"/>
          <w:sz w:val="22"/>
          <w:szCs w:val="22"/>
        </w:rPr>
        <w:t>products in particular, and in fee</w:t>
      </w:r>
      <w:r w:rsidR="00102D2B" w:rsidRPr="00102D2B">
        <w:rPr>
          <w:rFonts w:ascii="Garamond" w:hAnsi="Garamond" w:cs="Sylfaen"/>
          <w:bCs/>
          <w:iCs/>
          <w:color w:val="000000"/>
          <w:sz w:val="22"/>
          <w:szCs w:val="22"/>
        </w:rPr>
        <w:t>s</w:t>
      </w:r>
      <w:r w:rsidR="00102D2B">
        <w:rPr>
          <w:rFonts w:ascii="Garamond" w:hAnsi="Garamond" w:cs="Sylfaen"/>
          <w:bCs/>
          <w:iCs/>
          <w:color w:val="000000"/>
          <w:sz w:val="22"/>
          <w:szCs w:val="22"/>
        </w:rPr>
        <w:t xml:space="preserve"> of </w:t>
      </w:r>
      <w:r w:rsidR="00102D2B" w:rsidRPr="00102D2B">
        <w:rPr>
          <w:rFonts w:ascii="Garamond" w:hAnsi="Garamond" w:cs="Sylfaen"/>
          <w:bCs/>
          <w:iCs/>
          <w:color w:val="000000"/>
          <w:sz w:val="22"/>
          <w:szCs w:val="22"/>
        </w:rPr>
        <w:t>unregulated services</w:t>
      </w:r>
      <w:r w:rsidR="00102D2B">
        <w:rPr>
          <w:rFonts w:ascii="Garamond" w:hAnsi="Garamond" w:cs="Sylfaen"/>
          <w:bCs/>
          <w:iCs/>
          <w:color w:val="000000"/>
          <w:sz w:val="22"/>
          <w:szCs w:val="22"/>
        </w:rPr>
        <w:t xml:space="preserve"> (</w:t>
      </w:r>
      <w:r w:rsidR="00102D2B" w:rsidRPr="00102D2B">
        <w:rPr>
          <w:rFonts w:ascii="Garamond" w:hAnsi="Garamond" w:cs="Sylfaen"/>
          <w:bCs/>
          <w:iCs/>
          <w:color w:val="000000"/>
          <w:sz w:val="22"/>
          <w:szCs w:val="22"/>
        </w:rPr>
        <w:t>air transport</w:t>
      </w:r>
      <w:r w:rsidR="00102D2B">
        <w:rPr>
          <w:rFonts w:ascii="Garamond" w:hAnsi="Garamond" w:cs="Sylfaen"/>
          <w:bCs/>
          <w:iCs/>
          <w:color w:val="000000"/>
          <w:sz w:val="22"/>
          <w:szCs w:val="22"/>
        </w:rPr>
        <w:t xml:space="preserve">, </w:t>
      </w:r>
      <w:r w:rsidR="00462227">
        <w:rPr>
          <w:rFonts w:ascii="Garamond" w:hAnsi="Garamond" w:cs="Sylfaen"/>
          <w:bCs/>
          <w:iCs/>
          <w:color w:val="000000"/>
          <w:sz w:val="22"/>
          <w:szCs w:val="22"/>
        </w:rPr>
        <w:t xml:space="preserve">-15.0% </w:t>
      </w:r>
      <w:r w:rsidR="00102D2B">
        <w:rPr>
          <w:rFonts w:ascii="Garamond" w:hAnsi="Garamond" w:cs="Sylfaen"/>
          <w:bCs/>
          <w:iCs/>
          <w:color w:val="000000"/>
          <w:sz w:val="22"/>
          <w:szCs w:val="22"/>
        </w:rPr>
        <w:t xml:space="preserve">q/q), </w:t>
      </w:r>
      <w:r w:rsidR="00462227">
        <w:rPr>
          <w:rFonts w:ascii="Garamond" w:hAnsi="Garamond" w:cs="Sylfaen"/>
          <w:bCs/>
          <w:iCs/>
          <w:color w:val="000000"/>
          <w:sz w:val="22"/>
          <w:szCs w:val="22"/>
        </w:rPr>
        <w:t>(</w:t>
      </w:r>
      <w:r w:rsidR="00102D2B" w:rsidRPr="00102D2B">
        <w:rPr>
          <w:rFonts w:ascii="Garamond" w:hAnsi="Garamond" w:cs="Sylfaen"/>
          <w:bCs/>
          <w:iCs/>
          <w:color w:val="000000"/>
          <w:sz w:val="22"/>
          <w:szCs w:val="22"/>
        </w:rPr>
        <w:t>health care</w:t>
      </w:r>
      <w:r w:rsidR="00462227">
        <w:rPr>
          <w:rFonts w:ascii="Garamond" w:hAnsi="Garamond" w:cs="Sylfaen"/>
          <w:bCs/>
          <w:iCs/>
          <w:color w:val="000000"/>
          <w:sz w:val="22"/>
          <w:szCs w:val="22"/>
        </w:rPr>
        <w:t>,</w:t>
      </w:r>
      <w:r w:rsidR="00102D2B" w:rsidRPr="00102D2B">
        <w:rPr>
          <w:rFonts w:ascii="Garamond" w:hAnsi="Garamond" w:cs="Sylfaen"/>
          <w:bCs/>
          <w:iCs/>
          <w:color w:val="000000"/>
          <w:sz w:val="22"/>
          <w:szCs w:val="22"/>
        </w:rPr>
        <w:t xml:space="preserve"> 0.3%</w:t>
      </w:r>
      <w:r w:rsidR="00462227">
        <w:rPr>
          <w:rFonts w:ascii="Garamond" w:hAnsi="Garamond" w:cs="Sylfaen"/>
          <w:bCs/>
          <w:iCs/>
          <w:color w:val="000000"/>
          <w:sz w:val="22"/>
          <w:szCs w:val="22"/>
        </w:rPr>
        <w:t xml:space="preserve"> q/q</w:t>
      </w:r>
      <w:r w:rsidR="00102D2B" w:rsidRPr="00102D2B">
        <w:rPr>
          <w:rFonts w:ascii="Garamond" w:hAnsi="Garamond" w:cs="Sylfaen"/>
          <w:bCs/>
          <w:iCs/>
          <w:color w:val="000000"/>
          <w:sz w:val="22"/>
          <w:szCs w:val="22"/>
        </w:rPr>
        <w:t xml:space="preserve">) and </w:t>
      </w:r>
      <w:r w:rsidR="00462227">
        <w:rPr>
          <w:rFonts w:ascii="Garamond" w:hAnsi="Garamond" w:cs="Sylfaen"/>
          <w:bCs/>
          <w:iCs/>
          <w:color w:val="000000"/>
          <w:sz w:val="22"/>
          <w:szCs w:val="22"/>
        </w:rPr>
        <w:t>(public catering</w:t>
      </w:r>
      <w:r w:rsidR="00102D2B" w:rsidRPr="00102D2B">
        <w:rPr>
          <w:rFonts w:ascii="Garamond" w:hAnsi="Garamond" w:cs="Sylfaen"/>
          <w:bCs/>
          <w:iCs/>
          <w:color w:val="000000"/>
          <w:sz w:val="22"/>
          <w:szCs w:val="22"/>
        </w:rPr>
        <w:t>, 0.1%</w:t>
      </w:r>
      <w:r w:rsidR="00462227">
        <w:rPr>
          <w:rFonts w:ascii="Garamond" w:hAnsi="Garamond" w:cs="Sylfaen"/>
          <w:bCs/>
          <w:iCs/>
          <w:color w:val="000000"/>
          <w:sz w:val="22"/>
          <w:szCs w:val="22"/>
        </w:rPr>
        <w:t xml:space="preserve"> q/q</w:t>
      </w:r>
      <w:r w:rsidR="00102D2B" w:rsidRPr="00102D2B">
        <w:rPr>
          <w:rFonts w:ascii="Garamond" w:hAnsi="Garamond" w:cs="Sylfaen"/>
          <w:bCs/>
          <w:iCs/>
          <w:color w:val="000000"/>
          <w:sz w:val="22"/>
          <w:szCs w:val="22"/>
        </w:rPr>
        <w:t>)</w:t>
      </w:r>
      <w:r w:rsidR="00462227">
        <w:rPr>
          <w:rFonts w:ascii="Garamond" w:hAnsi="Garamond" w:cs="Sylfaen"/>
          <w:bCs/>
          <w:iCs/>
          <w:color w:val="000000"/>
          <w:sz w:val="22"/>
          <w:szCs w:val="22"/>
        </w:rPr>
        <w:t xml:space="preserve">. </w:t>
      </w:r>
      <w:r w:rsidR="00462227" w:rsidRPr="00462227">
        <w:rPr>
          <w:rFonts w:ascii="Garamond" w:hAnsi="Garamond" w:cs="Sylfaen"/>
          <w:bCs/>
          <w:iCs/>
          <w:color w:val="000000"/>
          <w:sz w:val="22"/>
          <w:szCs w:val="22"/>
        </w:rPr>
        <w:t>In addition, non-food price</w:t>
      </w:r>
      <w:r w:rsidR="00462227">
        <w:rPr>
          <w:rFonts w:ascii="Garamond" w:hAnsi="Garamond" w:cs="Sylfaen"/>
          <w:bCs/>
          <w:iCs/>
          <w:color w:val="000000"/>
          <w:sz w:val="22"/>
          <w:szCs w:val="22"/>
        </w:rPr>
        <w:t xml:space="preserve"> deflation </w:t>
      </w:r>
      <w:r w:rsidR="00462227" w:rsidRPr="00462227">
        <w:rPr>
          <w:rFonts w:ascii="Garamond" w:hAnsi="Garamond" w:cs="Sylfaen"/>
          <w:bCs/>
          <w:iCs/>
          <w:color w:val="000000"/>
          <w:sz w:val="22"/>
          <w:szCs w:val="22"/>
        </w:rPr>
        <w:t>w</w:t>
      </w:r>
      <w:r w:rsidR="00462227">
        <w:rPr>
          <w:rFonts w:ascii="Garamond" w:hAnsi="Garamond" w:cs="Sylfaen"/>
          <w:bCs/>
          <w:iCs/>
          <w:color w:val="000000"/>
          <w:sz w:val="22"/>
          <w:szCs w:val="22"/>
        </w:rPr>
        <w:t xml:space="preserve">as </w:t>
      </w:r>
      <w:r w:rsidR="00462227" w:rsidRPr="00462227">
        <w:rPr>
          <w:rFonts w:ascii="Garamond" w:hAnsi="Garamond" w:cs="Sylfaen"/>
          <w:bCs/>
          <w:iCs/>
          <w:color w:val="000000"/>
          <w:sz w:val="22"/>
          <w:szCs w:val="22"/>
        </w:rPr>
        <w:t xml:space="preserve">in line with forecasts, </w:t>
      </w:r>
      <w:r w:rsidR="00462227">
        <w:rPr>
          <w:rFonts w:ascii="Garamond" w:hAnsi="Garamond" w:cs="Sylfaen"/>
          <w:bCs/>
          <w:iCs/>
          <w:color w:val="000000"/>
          <w:sz w:val="22"/>
          <w:szCs w:val="22"/>
        </w:rPr>
        <w:t xml:space="preserve">making </w:t>
      </w:r>
      <w:r w:rsidR="00462227" w:rsidRPr="00462227">
        <w:rPr>
          <w:rFonts w:ascii="Garamond" w:hAnsi="Garamond" w:cs="Sylfaen"/>
          <w:bCs/>
          <w:iCs/>
          <w:color w:val="000000"/>
          <w:sz w:val="22"/>
          <w:szCs w:val="22"/>
        </w:rPr>
        <w:t xml:space="preserve">up 1.4% </w:t>
      </w:r>
      <w:r w:rsidR="00462227">
        <w:rPr>
          <w:rFonts w:ascii="Garamond" w:hAnsi="Garamond" w:cs="Sylfaen"/>
          <w:bCs/>
          <w:iCs/>
          <w:color w:val="000000"/>
          <w:sz w:val="22"/>
          <w:szCs w:val="22"/>
        </w:rPr>
        <w:t>in the quarter. It wa</w:t>
      </w:r>
      <w:r w:rsidR="00462227" w:rsidRPr="00462227">
        <w:rPr>
          <w:rFonts w:ascii="Garamond" w:hAnsi="Garamond" w:cs="Sylfaen"/>
          <w:bCs/>
          <w:iCs/>
          <w:color w:val="000000"/>
          <w:sz w:val="22"/>
          <w:szCs w:val="22"/>
        </w:rPr>
        <w:t xml:space="preserve">s </w:t>
      </w:r>
      <w:r w:rsidR="00462227">
        <w:rPr>
          <w:rFonts w:ascii="Garamond" w:hAnsi="Garamond" w:cs="Sylfaen"/>
          <w:bCs/>
          <w:iCs/>
          <w:color w:val="000000"/>
          <w:sz w:val="22"/>
          <w:szCs w:val="22"/>
        </w:rPr>
        <w:t xml:space="preserve">mainly driven by a decrease in prices of </w:t>
      </w:r>
      <w:r w:rsidR="00462227" w:rsidRPr="00462227">
        <w:rPr>
          <w:rFonts w:ascii="Garamond" w:hAnsi="Garamond" w:cs="Sylfaen"/>
          <w:bCs/>
          <w:iCs/>
          <w:color w:val="000000"/>
          <w:sz w:val="22"/>
          <w:szCs w:val="22"/>
        </w:rPr>
        <w:t>import goods, particularly clothing and textiles, medicines, detergents and cosmetics.</w:t>
      </w:r>
      <w:r w:rsidR="00102D2B" w:rsidRPr="00102D2B">
        <w:rPr>
          <w:rFonts w:ascii="Garamond" w:hAnsi="Garamond" w:cs="Sylfaen"/>
          <w:bCs/>
          <w:iCs/>
          <w:color w:val="000000"/>
          <w:sz w:val="22"/>
          <w:szCs w:val="22"/>
        </w:rPr>
        <w:t xml:space="preserve"> </w:t>
      </w:r>
    </w:p>
    <w:p w14:paraId="2A7D65A1" w14:textId="77777777" w:rsidR="00A46093" w:rsidRDefault="00A46093" w:rsidP="00FF3CD9">
      <w:pPr>
        <w:spacing w:line="360" w:lineRule="auto"/>
        <w:jc w:val="both"/>
        <w:rPr>
          <w:rFonts w:ascii="Garamond" w:hAnsi="Garamond" w:cs="Sylfaen"/>
          <w:bCs/>
          <w:iCs/>
          <w:color w:val="000000"/>
          <w:sz w:val="22"/>
          <w:szCs w:val="22"/>
        </w:rPr>
      </w:pPr>
    </w:p>
    <w:p w14:paraId="27B0A616" w14:textId="77777777" w:rsidR="00A46093" w:rsidRDefault="00A46093" w:rsidP="00FF3CD9">
      <w:pPr>
        <w:spacing w:line="360" w:lineRule="auto"/>
        <w:jc w:val="both"/>
        <w:rPr>
          <w:rFonts w:ascii="Garamond" w:hAnsi="Garamond" w:cs="Sylfaen"/>
          <w:bCs/>
          <w:iCs/>
          <w:color w:val="000000"/>
          <w:sz w:val="22"/>
          <w:szCs w:val="22"/>
        </w:rPr>
      </w:pPr>
      <w:r>
        <w:rPr>
          <w:rFonts w:ascii="Garamond" w:hAnsi="Garamond" w:cs="Sylfaen"/>
          <w:bCs/>
          <w:iCs/>
          <w:color w:val="000000"/>
          <w:sz w:val="22"/>
          <w:szCs w:val="22"/>
        </w:rPr>
        <w:t>T</w:t>
      </w:r>
      <w:r w:rsidRPr="00A46093">
        <w:rPr>
          <w:rFonts w:ascii="Garamond" w:hAnsi="Garamond" w:cs="Sylfaen"/>
          <w:bCs/>
          <w:iCs/>
          <w:color w:val="000000"/>
          <w:sz w:val="22"/>
          <w:szCs w:val="22"/>
        </w:rPr>
        <w:t>he third quarter</w:t>
      </w:r>
      <w:r>
        <w:rPr>
          <w:rFonts w:ascii="Garamond" w:hAnsi="Garamond" w:cs="Sylfaen"/>
          <w:bCs/>
          <w:iCs/>
          <w:color w:val="000000"/>
          <w:sz w:val="22"/>
          <w:szCs w:val="22"/>
        </w:rPr>
        <w:t xml:space="preserve">’s deflation, as was estimated, was </w:t>
      </w:r>
      <w:r w:rsidR="001A5F83">
        <w:rPr>
          <w:rFonts w:ascii="Garamond" w:hAnsi="Garamond" w:cs="Sylfaen"/>
          <w:bCs/>
          <w:iCs/>
          <w:color w:val="000000"/>
          <w:sz w:val="22"/>
          <w:szCs w:val="22"/>
        </w:rPr>
        <w:t xml:space="preserve">determined </w:t>
      </w:r>
      <w:r w:rsidRPr="00A46093">
        <w:rPr>
          <w:rFonts w:ascii="Garamond" w:hAnsi="Garamond" w:cs="Sylfaen"/>
          <w:bCs/>
          <w:iCs/>
          <w:color w:val="000000"/>
          <w:sz w:val="22"/>
          <w:szCs w:val="22"/>
        </w:rPr>
        <w:t xml:space="preserve">to some extent </w:t>
      </w:r>
      <w:r>
        <w:rPr>
          <w:rFonts w:ascii="Garamond" w:hAnsi="Garamond" w:cs="Sylfaen"/>
          <w:bCs/>
          <w:iCs/>
          <w:color w:val="000000"/>
          <w:sz w:val="22"/>
          <w:szCs w:val="22"/>
        </w:rPr>
        <w:t xml:space="preserve">by a drop in </w:t>
      </w:r>
      <w:r w:rsidRPr="00A46093">
        <w:rPr>
          <w:rFonts w:ascii="Garamond" w:hAnsi="Garamond" w:cs="Sylfaen"/>
          <w:bCs/>
          <w:iCs/>
          <w:color w:val="000000"/>
          <w:sz w:val="22"/>
          <w:szCs w:val="22"/>
        </w:rPr>
        <w:t xml:space="preserve">tariffs </w:t>
      </w:r>
      <w:r>
        <w:rPr>
          <w:rFonts w:ascii="Garamond" w:hAnsi="Garamond" w:cs="Sylfaen"/>
          <w:bCs/>
          <w:iCs/>
          <w:color w:val="000000"/>
          <w:sz w:val="22"/>
          <w:szCs w:val="22"/>
        </w:rPr>
        <w:t xml:space="preserve">of </w:t>
      </w:r>
      <w:r w:rsidRPr="00A46093">
        <w:rPr>
          <w:rFonts w:ascii="Garamond" w:hAnsi="Garamond" w:cs="Sylfaen"/>
          <w:bCs/>
          <w:iCs/>
          <w:color w:val="000000"/>
          <w:sz w:val="22"/>
          <w:szCs w:val="22"/>
        </w:rPr>
        <w:t xml:space="preserve">regulated services, due to 6.0% decrease in natural gas price (contribution to </w:t>
      </w:r>
      <w:r>
        <w:rPr>
          <w:rFonts w:ascii="Garamond" w:hAnsi="Garamond" w:cs="Sylfaen"/>
          <w:bCs/>
          <w:iCs/>
          <w:color w:val="000000"/>
          <w:sz w:val="22"/>
          <w:szCs w:val="22"/>
        </w:rPr>
        <w:t>headline</w:t>
      </w:r>
      <w:r w:rsidRPr="00A46093">
        <w:rPr>
          <w:rFonts w:ascii="Garamond" w:hAnsi="Garamond" w:cs="Sylfaen"/>
          <w:bCs/>
          <w:iCs/>
          <w:color w:val="000000"/>
          <w:sz w:val="22"/>
          <w:szCs w:val="22"/>
        </w:rPr>
        <w:t xml:space="preserve"> inflation</w:t>
      </w:r>
      <w:r>
        <w:rPr>
          <w:rFonts w:ascii="Garamond" w:hAnsi="Garamond" w:cs="Sylfaen"/>
          <w:bCs/>
          <w:iCs/>
          <w:color w:val="000000"/>
          <w:sz w:val="22"/>
          <w:szCs w:val="22"/>
        </w:rPr>
        <w:t>:</w:t>
      </w:r>
      <w:r w:rsidRPr="00A46093">
        <w:rPr>
          <w:rFonts w:ascii="Garamond" w:hAnsi="Garamond" w:cs="Sylfaen"/>
          <w:bCs/>
          <w:iCs/>
          <w:color w:val="000000"/>
          <w:sz w:val="22"/>
          <w:szCs w:val="22"/>
        </w:rPr>
        <w:t xml:space="preserve"> -0.36 p</w:t>
      </w:r>
      <w:r>
        <w:rPr>
          <w:rFonts w:ascii="Garamond" w:hAnsi="Garamond" w:cs="Sylfaen"/>
          <w:bCs/>
          <w:iCs/>
          <w:color w:val="000000"/>
          <w:sz w:val="22"/>
          <w:szCs w:val="22"/>
        </w:rPr>
        <w:t>p</w:t>
      </w:r>
      <w:r w:rsidRPr="00A46093">
        <w:rPr>
          <w:rFonts w:ascii="Garamond" w:hAnsi="Garamond" w:cs="Sylfaen"/>
          <w:bCs/>
          <w:iCs/>
          <w:color w:val="000000"/>
          <w:sz w:val="22"/>
          <w:szCs w:val="22"/>
        </w:rPr>
        <w:t xml:space="preserve">), which </w:t>
      </w:r>
      <w:r>
        <w:rPr>
          <w:rFonts w:ascii="Garamond" w:hAnsi="Garamond" w:cs="Sylfaen"/>
          <w:bCs/>
          <w:iCs/>
          <w:color w:val="000000"/>
          <w:sz w:val="22"/>
          <w:szCs w:val="22"/>
        </w:rPr>
        <w:t xml:space="preserve">had been </w:t>
      </w:r>
      <w:r w:rsidRPr="00A46093">
        <w:rPr>
          <w:rFonts w:ascii="Garamond" w:hAnsi="Garamond" w:cs="Sylfaen"/>
          <w:bCs/>
          <w:iCs/>
          <w:color w:val="000000"/>
          <w:sz w:val="22"/>
          <w:szCs w:val="22"/>
        </w:rPr>
        <w:t xml:space="preserve">partly </w:t>
      </w:r>
      <w:r>
        <w:rPr>
          <w:rFonts w:ascii="Garamond" w:hAnsi="Garamond" w:cs="Sylfaen"/>
          <w:bCs/>
          <w:iCs/>
          <w:color w:val="000000"/>
          <w:sz w:val="22"/>
          <w:szCs w:val="22"/>
        </w:rPr>
        <w:t xml:space="preserve">offset by </w:t>
      </w:r>
      <w:r w:rsidRPr="00A46093">
        <w:rPr>
          <w:rFonts w:ascii="Garamond" w:hAnsi="Garamond" w:cs="Sylfaen"/>
          <w:bCs/>
          <w:iCs/>
          <w:color w:val="000000"/>
          <w:sz w:val="22"/>
          <w:szCs w:val="22"/>
        </w:rPr>
        <w:t xml:space="preserve">4.3% increase in the electricity price (contribution to </w:t>
      </w:r>
      <w:r>
        <w:rPr>
          <w:rFonts w:ascii="Garamond" w:hAnsi="Garamond" w:cs="Sylfaen"/>
          <w:bCs/>
          <w:iCs/>
          <w:color w:val="000000"/>
          <w:sz w:val="22"/>
          <w:szCs w:val="22"/>
        </w:rPr>
        <w:t>headline</w:t>
      </w:r>
      <w:r w:rsidRPr="00A46093">
        <w:rPr>
          <w:rFonts w:ascii="Garamond" w:hAnsi="Garamond" w:cs="Sylfaen"/>
          <w:bCs/>
          <w:iCs/>
          <w:color w:val="000000"/>
          <w:sz w:val="22"/>
          <w:szCs w:val="22"/>
        </w:rPr>
        <w:t xml:space="preserve"> inflation</w:t>
      </w:r>
      <w:r>
        <w:rPr>
          <w:rFonts w:ascii="Garamond" w:hAnsi="Garamond" w:cs="Sylfaen"/>
          <w:bCs/>
          <w:iCs/>
          <w:color w:val="000000"/>
          <w:sz w:val="22"/>
          <w:szCs w:val="22"/>
        </w:rPr>
        <w:t>:</w:t>
      </w:r>
      <w:r w:rsidRPr="00A46093">
        <w:rPr>
          <w:rFonts w:ascii="Garamond" w:hAnsi="Garamond" w:cs="Sylfaen"/>
          <w:bCs/>
          <w:iCs/>
          <w:color w:val="000000"/>
          <w:sz w:val="22"/>
          <w:szCs w:val="22"/>
        </w:rPr>
        <w:t xml:space="preserve"> 0.28 p</w:t>
      </w:r>
      <w:r>
        <w:rPr>
          <w:rFonts w:ascii="Garamond" w:hAnsi="Garamond" w:cs="Sylfaen"/>
          <w:bCs/>
          <w:iCs/>
          <w:color w:val="000000"/>
          <w:sz w:val="22"/>
          <w:szCs w:val="22"/>
        </w:rPr>
        <w:t>p</w:t>
      </w:r>
      <w:r w:rsidRPr="00A46093">
        <w:rPr>
          <w:rFonts w:ascii="Garamond" w:hAnsi="Garamond" w:cs="Sylfaen"/>
          <w:bCs/>
          <w:iCs/>
          <w:color w:val="000000"/>
          <w:sz w:val="22"/>
          <w:szCs w:val="22"/>
        </w:rPr>
        <w:t>).</w:t>
      </w:r>
    </w:p>
    <w:p w14:paraId="3EE0503E" w14:textId="77777777" w:rsidR="001A5F83" w:rsidRDefault="001A5F83" w:rsidP="00FF3CD9">
      <w:pPr>
        <w:spacing w:line="360" w:lineRule="auto"/>
        <w:jc w:val="both"/>
        <w:rPr>
          <w:rFonts w:ascii="Garamond" w:hAnsi="Garamond" w:cs="Sylfaen"/>
          <w:bCs/>
          <w:iCs/>
          <w:color w:val="000000"/>
          <w:sz w:val="22"/>
          <w:szCs w:val="22"/>
        </w:rPr>
      </w:pPr>
    </w:p>
    <w:p w14:paraId="3E73217B" w14:textId="77777777" w:rsidR="001A5F83" w:rsidRDefault="001A5F83" w:rsidP="00FF3CD9">
      <w:pPr>
        <w:spacing w:line="360" w:lineRule="auto"/>
        <w:jc w:val="both"/>
        <w:rPr>
          <w:rFonts w:ascii="Garamond" w:hAnsi="Garamond" w:cs="Sylfaen"/>
          <w:bCs/>
          <w:iCs/>
          <w:color w:val="000000"/>
          <w:sz w:val="22"/>
          <w:szCs w:val="22"/>
        </w:rPr>
      </w:pPr>
      <w:r>
        <w:rPr>
          <w:rFonts w:ascii="Garamond" w:hAnsi="Garamond" w:cs="Sylfaen"/>
          <w:bCs/>
          <w:iCs/>
          <w:color w:val="000000"/>
          <w:sz w:val="22"/>
          <w:szCs w:val="22"/>
        </w:rPr>
        <w:t xml:space="preserve">Triggered by the </w:t>
      </w:r>
      <w:r w:rsidRPr="001A5F83">
        <w:rPr>
          <w:rFonts w:ascii="Garamond" w:hAnsi="Garamond" w:cs="Sylfaen"/>
          <w:bCs/>
          <w:iCs/>
          <w:color w:val="000000"/>
          <w:sz w:val="22"/>
          <w:szCs w:val="22"/>
        </w:rPr>
        <w:t>developments</w:t>
      </w:r>
      <w:r>
        <w:rPr>
          <w:rFonts w:ascii="Garamond" w:hAnsi="Garamond" w:cs="Sylfaen"/>
          <w:bCs/>
          <w:iCs/>
          <w:color w:val="000000"/>
          <w:sz w:val="22"/>
          <w:szCs w:val="22"/>
        </w:rPr>
        <w:t xml:space="preserve"> mentioned above,</w:t>
      </w:r>
      <w:r w:rsidRPr="001A5F83">
        <w:rPr>
          <w:rFonts w:ascii="Garamond" w:hAnsi="Garamond" w:cs="Sylfaen"/>
          <w:bCs/>
          <w:iCs/>
          <w:color w:val="000000"/>
          <w:sz w:val="22"/>
          <w:szCs w:val="22"/>
        </w:rPr>
        <w:t xml:space="preserve"> </w:t>
      </w:r>
      <w:r>
        <w:rPr>
          <w:rFonts w:ascii="Garamond" w:hAnsi="Garamond" w:cs="Sylfaen"/>
          <w:bCs/>
          <w:iCs/>
          <w:color w:val="000000"/>
          <w:sz w:val="22"/>
          <w:szCs w:val="22"/>
        </w:rPr>
        <w:t xml:space="preserve">the </w:t>
      </w:r>
      <w:r w:rsidRPr="001A5F83">
        <w:rPr>
          <w:rFonts w:ascii="Garamond" w:hAnsi="Garamond" w:cs="Sylfaen"/>
          <w:bCs/>
          <w:iCs/>
          <w:color w:val="000000"/>
          <w:sz w:val="22"/>
          <w:szCs w:val="22"/>
        </w:rPr>
        <w:t xml:space="preserve">deflationary environment </w:t>
      </w:r>
      <w:r>
        <w:rPr>
          <w:rFonts w:ascii="Garamond" w:hAnsi="Garamond" w:cs="Sylfaen"/>
          <w:bCs/>
          <w:iCs/>
          <w:color w:val="000000"/>
          <w:sz w:val="22"/>
          <w:szCs w:val="22"/>
        </w:rPr>
        <w:t xml:space="preserve">persisted over </w:t>
      </w:r>
      <w:r w:rsidRPr="001A5F83">
        <w:rPr>
          <w:rFonts w:ascii="Garamond" w:hAnsi="Garamond" w:cs="Sylfaen"/>
          <w:bCs/>
          <w:iCs/>
          <w:color w:val="000000"/>
          <w:sz w:val="22"/>
          <w:szCs w:val="22"/>
        </w:rPr>
        <w:t>the third quarter</w:t>
      </w:r>
      <w:r w:rsidR="00892532">
        <w:rPr>
          <w:rFonts w:ascii="Garamond" w:hAnsi="Garamond" w:cs="Sylfaen"/>
          <w:bCs/>
          <w:iCs/>
          <w:color w:val="000000"/>
          <w:sz w:val="22"/>
          <w:szCs w:val="22"/>
        </w:rPr>
        <w:t xml:space="preserve"> of 2016</w:t>
      </w:r>
      <w:r>
        <w:rPr>
          <w:rFonts w:ascii="Garamond" w:hAnsi="Garamond" w:cs="Sylfaen"/>
          <w:bCs/>
          <w:iCs/>
          <w:color w:val="000000"/>
          <w:sz w:val="22"/>
          <w:szCs w:val="22"/>
        </w:rPr>
        <w:t xml:space="preserve">, under which </w:t>
      </w:r>
      <w:r w:rsidRPr="001A5F83">
        <w:rPr>
          <w:rFonts w:ascii="Garamond" w:hAnsi="Garamond" w:cs="Sylfaen"/>
          <w:bCs/>
          <w:iCs/>
          <w:color w:val="000000"/>
          <w:sz w:val="22"/>
          <w:szCs w:val="22"/>
        </w:rPr>
        <w:t xml:space="preserve">the </w:t>
      </w:r>
      <w:r w:rsidRPr="001A5F83">
        <w:rPr>
          <w:rFonts w:ascii="Garamond" w:hAnsi="Garamond" w:cs="Sylfaen"/>
          <w:b/>
          <w:bCs/>
          <w:iCs/>
          <w:color w:val="000000"/>
          <w:sz w:val="22"/>
          <w:szCs w:val="22"/>
        </w:rPr>
        <w:t>12-month deflation rate amounted to 1.9% in September</w:t>
      </w:r>
      <w:r w:rsidRPr="001A5F83">
        <w:rPr>
          <w:rFonts w:ascii="Garamond" w:hAnsi="Garamond" w:cs="Sylfaen"/>
          <w:bCs/>
          <w:iCs/>
          <w:color w:val="000000"/>
          <w:sz w:val="22"/>
          <w:szCs w:val="22"/>
        </w:rPr>
        <w:t>, quite close to the pr</w:t>
      </w:r>
      <w:r>
        <w:rPr>
          <w:rFonts w:ascii="Garamond" w:hAnsi="Garamond" w:cs="Sylfaen"/>
          <w:bCs/>
          <w:iCs/>
          <w:color w:val="000000"/>
          <w:sz w:val="22"/>
          <w:szCs w:val="22"/>
        </w:rPr>
        <w:t>ojected value</w:t>
      </w:r>
      <w:r w:rsidRPr="001A5F83">
        <w:rPr>
          <w:rFonts w:ascii="Garamond" w:hAnsi="Garamond" w:cs="Sylfaen"/>
          <w:bCs/>
          <w:iCs/>
          <w:color w:val="000000"/>
          <w:sz w:val="22"/>
          <w:szCs w:val="22"/>
        </w:rPr>
        <w:t>.</w:t>
      </w:r>
    </w:p>
    <w:p w14:paraId="61D8460C" w14:textId="77777777" w:rsidR="00462227" w:rsidRDefault="00462227" w:rsidP="00FF3CD9">
      <w:pPr>
        <w:spacing w:line="360" w:lineRule="auto"/>
        <w:jc w:val="both"/>
        <w:rPr>
          <w:rFonts w:ascii="Garamond" w:hAnsi="Garamond" w:cs="Sylfaen"/>
          <w:bCs/>
          <w:iCs/>
          <w:color w:val="000000"/>
          <w:sz w:val="22"/>
          <w:szCs w:val="22"/>
        </w:rPr>
      </w:pPr>
    </w:p>
    <w:p w14:paraId="41041672" w14:textId="77777777" w:rsidR="00CD3666" w:rsidRPr="00A32AB2" w:rsidRDefault="00E70FBB" w:rsidP="00FF3CD9">
      <w:pPr>
        <w:spacing w:line="360" w:lineRule="auto"/>
        <w:jc w:val="both"/>
        <w:rPr>
          <w:rFonts w:ascii="Garamond" w:hAnsi="Garamond" w:cs="Sylfaen"/>
          <w:sz w:val="22"/>
          <w:szCs w:val="22"/>
        </w:rPr>
      </w:pPr>
      <w:r w:rsidRPr="00A32AB2">
        <w:rPr>
          <w:rFonts w:ascii="Garamond" w:hAnsi="Garamond" w:cs="Sylfaen"/>
          <w:sz w:val="22"/>
          <w:szCs w:val="22"/>
        </w:rPr>
        <w:t>For</w:t>
      </w:r>
      <w:r w:rsidR="00046C53" w:rsidRPr="00A32AB2">
        <w:rPr>
          <w:rFonts w:ascii="Garamond" w:hAnsi="Garamond" w:cs="Sylfaen"/>
          <w:sz w:val="22"/>
          <w:szCs w:val="22"/>
        </w:rPr>
        <w:t xml:space="preserve"> the previous one-year horizon</w:t>
      </w:r>
      <w:r w:rsidRPr="00A32AB2">
        <w:rPr>
          <w:rFonts w:ascii="Garamond" w:hAnsi="Garamond" w:cs="Sylfaen"/>
          <w:sz w:val="22"/>
          <w:szCs w:val="22"/>
        </w:rPr>
        <w:t xml:space="preserve"> </w:t>
      </w:r>
      <w:r w:rsidR="00E60CAE">
        <w:rPr>
          <w:rFonts w:ascii="Garamond" w:hAnsi="Garamond" w:cs="Sylfaen"/>
          <w:sz w:val="22"/>
          <w:szCs w:val="22"/>
        </w:rPr>
        <w:t xml:space="preserve">which </w:t>
      </w:r>
      <w:r w:rsidR="000C4B1B" w:rsidRPr="00A32AB2">
        <w:rPr>
          <w:rFonts w:ascii="Garamond" w:hAnsi="Garamond" w:cs="Sylfaen"/>
          <w:sz w:val="22"/>
          <w:szCs w:val="22"/>
        </w:rPr>
        <w:t>tak</w:t>
      </w:r>
      <w:r w:rsidR="00E60CAE">
        <w:rPr>
          <w:rFonts w:ascii="Garamond" w:hAnsi="Garamond" w:cs="Sylfaen"/>
          <w:sz w:val="22"/>
          <w:szCs w:val="22"/>
        </w:rPr>
        <w:t>es</w:t>
      </w:r>
      <w:r w:rsidR="000C4B1B" w:rsidRPr="00A32AB2">
        <w:rPr>
          <w:rFonts w:ascii="Garamond" w:hAnsi="Garamond" w:cs="Sylfaen"/>
          <w:sz w:val="22"/>
          <w:szCs w:val="22"/>
        </w:rPr>
        <w:t xml:space="preserve"> a timespan </w:t>
      </w:r>
      <w:r w:rsidR="00EE150F" w:rsidRPr="00A32AB2">
        <w:rPr>
          <w:rFonts w:ascii="Garamond" w:hAnsi="Garamond" w:cs="Sylfaen"/>
          <w:sz w:val="22"/>
          <w:szCs w:val="22"/>
        </w:rPr>
        <w:t xml:space="preserve">between </w:t>
      </w:r>
      <w:r w:rsidR="00262ABF">
        <w:rPr>
          <w:rFonts w:ascii="Garamond" w:hAnsi="Garamond" w:cs="Sylfaen"/>
          <w:sz w:val="22"/>
          <w:szCs w:val="22"/>
        </w:rPr>
        <w:t xml:space="preserve">the fourth quarters of </w:t>
      </w:r>
      <w:r w:rsidRPr="00A32AB2">
        <w:rPr>
          <w:rFonts w:ascii="Garamond" w:hAnsi="Garamond" w:cs="Sylfaen"/>
          <w:sz w:val="22"/>
          <w:szCs w:val="22"/>
        </w:rPr>
        <w:t xml:space="preserve">2015 </w:t>
      </w:r>
      <w:r w:rsidR="00EE150F" w:rsidRPr="00A32AB2">
        <w:rPr>
          <w:rFonts w:ascii="Garamond" w:hAnsi="Garamond" w:cs="Sylfaen"/>
          <w:sz w:val="22"/>
          <w:szCs w:val="22"/>
        </w:rPr>
        <w:t xml:space="preserve">and </w:t>
      </w:r>
      <w:r w:rsidRPr="00A32AB2">
        <w:rPr>
          <w:rFonts w:ascii="Garamond" w:hAnsi="Garamond" w:cs="Sylfaen"/>
          <w:sz w:val="22"/>
          <w:szCs w:val="22"/>
        </w:rPr>
        <w:t xml:space="preserve">2016, </w:t>
      </w:r>
      <w:r w:rsidR="00262ABF">
        <w:rPr>
          <w:rFonts w:ascii="Garamond" w:hAnsi="Garamond" w:cs="Sylfaen"/>
          <w:sz w:val="22"/>
          <w:szCs w:val="22"/>
        </w:rPr>
        <w:t>low</w:t>
      </w:r>
      <w:r w:rsidRPr="00A32AB2">
        <w:rPr>
          <w:rFonts w:ascii="Garamond" w:hAnsi="Garamond" w:cs="Sylfaen"/>
          <w:sz w:val="22"/>
          <w:szCs w:val="22"/>
        </w:rPr>
        <w:t xml:space="preserve"> inflation environment was forecast to </w:t>
      </w:r>
      <w:r w:rsidR="00262ABF">
        <w:rPr>
          <w:rFonts w:ascii="Garamond" w:hAnsi="Garamond" w:cs="Sylfaen"/>
          <w:sz w:val="22"/>
          <w:szCs w:val="22"/>
        </w:rPr>
        <w:t xml:space="preserve">persist, with the 12-month inflation rate to drift around a lower bound of the confidence band. </w:t>
      </w:r>
      <w:r w:rsidR="00CD3390">
        <w:rPr>
          <w:rFonts w:ascii="Garamond" w:hAnsi="Garamond" w:cs="Sylfaen"/>
          <w:sz w:val="22"/>
          <w:szCs w:val="22"/>
        </w:rPr>
        <w:t xml:space="preserve">Furthermore, inflation expectations were to </w:t>
      </w:r>
      <w:r w:rsidRPr="00A32AB2">
        <w:rPr>
          <w:rFonts w:ascii="Garamond" w:hAnsi="Garamond" w:cs="Sylfaen"/>
          <w:sz w:val="22"/>
          <w:szCs w:val="22"/>
        </w:rPr>
        <w:t>diminish gradually</w:t>
      </w:r>
      <w:r w:rsidR="00CD3390">
        <w:rPr>
          <w:rFonts w:ascii="Garamond" w:hAnsi="Garamond" w:cs="Sylfaen"/>
          <w:sz w:val="22"/>
          <w:szCs w:val="22"/>
        </w:rPr>
        <w:t xml:space="preserve"> by the time</w:t>
      </w:r>
      <w:r w:rsidR="00EE150F" w:rsidRPr="00A32AB2">
        <w:rPr>
          <w:rFonts w:ascii="Garamond" w:hAnsi="Garamond" w:cs="Sylfaen"/>
          <w:sz w:val="22"/>
          <w:szCs w:val="22"/>
        </w:rPr>
        <w:t xml:space="preserve">, as </w:t>
      </w:r>
      <w:r w:rsidR="00CD3390">
        <w:rPr>
          <w:rFonts w:ascii="Garamond" w:hAnsi="Garamond" w:cs="Sylfaen"/>
          <w:sz w:val="22"/>
          <w:szCs w:val="22"/>
        </w:rPr>
        <w:t>they would for the c</w:t>
      </w:r>
      <w:r w:rsidR="00CD3390" w:rsidRPr="00CD3390">
        <w:rPr>
          <w:rFonts w:ascii="Garamond" w:hAnsi="Garamond" w:cs="Sylfaen"/>
          <w:sz w:val="22"/>
          <w:szCs w:val="22"/>
        </w:rPr>
        <w:t>ore inflation</w:t>
      </w:r>
      <w:r w:rsidR="00CD3390">
        <w:rPr>
          <w:rFonts w:ascii="Garamond" w:hAnsi="Garamond" w:cs="Sylfaen"/>
          <w:sz w:val="22"/>
          <w:szCs w:val="22"/>
        </w:rPr>
        <w:t xml:space="preserve">. </w:t>
      </w:r>
      <w:r w:rsidR="00F30B77">
        <w:rPr>
          <w:rFonts w:ascii="Garamond" w:hAnsi="Garamond" w:cs="Sylfaen"/>
          <w:sz w:val="22"/>
          <w:szCs w:val="22"/>
        </w:rPr>
        <w:t>T</w:t>
      </w:r>
      <w:r w:rsidR="00CD3390" w:rsidRPr="00A32AB2">
        <w:rPr>
          <w:rFonts w:ascii="Garamond" w:hAnsi="Garamond" w:cs="Sylfaen"/>
          <w:sz w:val="22"/>
          <w:szCs w:val="22"/>
        </w:rPr>
        <w:t xml:space="preserve">he CBA </w:t>
      </w:r>
      <w:r w:rsidR="00CD3390">
        <w:rPr>
          <w:rFonts w:ascii="Garamond" w:hAnsi="Garamond" w:cs="Sylfaen"/>
          <w:sz w:val="22"/>
          <w:szCs w:val="22"/>
        </w:rPr>
        <w:t xml:space="preserve">was </w:t>
      </w:r>
      <w:r w:rsidR="00CD3390" w:rsidRPr="00A32AB2">
        <w:rPr>
          <w:rFonts w:ascii="Garamond" w:hAnsi="Garamond" w:cs="Sylfaen"/>
          <w:sz w:val="22"/>
          <w:szCs w:val="22"/>
        </w:rPr>
        <w:t>consider</w:t>
      </w:r>
      <w:r w:rsidR="00CD3390">
        <w:rPr>
          <w:rFonts w:ascii="Garamond" w:hAnsi="Garamond" w:cs="Sylfaen"/>
          <w:sz w:val="22"/>
          <w:szCs w:val="22"/>
        </w:rPr>
        <w:t xml:space="preserve">ing </w:t>
      </w:r>
      <w:r w:rsidR="00CD3390" w:rsidRPr="00F30B77">
        <w:rPr>
          <w:rFonts w:ascii="Garamond" w:hAnsi="Garamond" w:cs="Sylfaen"/>
          <w:b/>
          <w:sz w:val="22"/>
          <w:szCs w:val="22"/>
        </w:rPr>
        <w:t xml:space="preserve">to </w:t>
      </w:r>
      <w:r w:rsidR="00AC743D">
        <w:rPr>
          <w:rFonts w:ascii="Garamond" w:hAnsi="Garamond" w:cs="Sylfaen"/>
          <w:b/>
          <w:sz w:val="22"/>
          <w:szCs w:val="22"/>
        </w:rPr>
        <w:t>further</w:t>
      </w:r>
      <w:r w:rsidR="00F30B77">
        <w:rPr>
          <w:rFonts w:ascii="Garamond" w:hAnsi="Garamond" w:cs="Sylfaen"/>
          <w:sz w:val="22"/>
          <w:szCs w:val="22"/>
        </w:rPr>
        <w:t xml:space="preserve"> </w:t>
      </w:r>
      <w:r w:rsidR="00CD3390" w:rsidRPr="00A32AB2">
        <w:rPr>
          <w:rFonts w:ascii="Garamond" w:hAnsi="Garamond" w:cs="Sylfaen"/>
          <w:b/>
          <w:sz w:val="22"/>
          <w:szCs w:val="22"/>
        </w:rPr>
        <w:t>eas</w:t>
      </w:r>
      <w:r w:rsidR="00AC743D">
        <w:rPr>
          <w:rFonts w:ascii="Garamond" w:hAnsi="Garamond" w:cs="Sylfaen"/>
          <w:b/>
          <w:sz w:val="22"/>
          <w:szCs w:val="22"/>
        </w:rPr>
        <w:t xml:space="preserve">e </w:t>
      </w:r>
      <w:r w:rsidR="00CD3390" w:rsidRPr="00A32AB2">
        <w:rPr>
          <w:rFonts w:ascii="Garamond" w:hAnsi="Garamond" w:cs="Sylfaen"/>
          <w:b/>
          <w:sz w:val="22"/>
          <w:szCs w:val="22"/>
        </w:rPr>
        <w:t>monetary conditions</w:t>
      </w:r>
      <w:r w:rsidR="00CD3390" w:rsidRPr="00A32AB2">
        <w:rPr>
          <w:rFonts w:ascii="Garamond" w:hAnsi="Garamond" w:cs="Sylfaen"/>
          <w:sz w:val="22"/>
          <w:szCs w:val="22"/>
        </w:rPr>
        <w:t xml:space="preserve"> </w:t>
      </w:r>
      <w:r w:rsidR="00CD3390" w:rsidRPr="00F30B77">
        <w:rPr>
          <w:rFonts w:ascii="Garamond" w:hAnsi="Garamond" w:cs="Sylfaen"/>
          <w:b/>
          <w:sz w:val="22"/>
          <w:szCs w:val="22"/>
        </w:rPr>
        <w:t xml:space="preserve">in the </w:t>
      </w:r>
      <w:r w:rsidR="00F30B77" w:rsidRPr="00F30B77">
        <w:rPr>
          <w:rFonts w:ascii="Garamond" w:hAnsi="Garamond" w:cs="Sylfaen"/>
          <w:b/>
          <w:sz w:val="22"/>
          <w:szCs w:val="22"/>
        </w:rPr>
        <w:t xml:space="preserve">fourth </w:t>
      </w:r>
      <w:r w:rsidR="00F30B77" w:rsidRPr="00F30B77">
        <w:rPr>
          <w:rFonts w:ascii="Garamond" w:hAnsi="Garamond" w:cs="Sylfaen"/>
          <w:b/>
          <w:sz w:val="22"/>
          <w:szCs w:val="22"/>
        </w:rPr>
        <w:lastRenderedPageBreak/>
        <w:t xml:space="preserve">quarter </w:t>
      </w:r>
      <w:r w:rsidR="00CD3390" w:rsidRPr="00F30B77">
        <w:rPr>
          <w:rFonts w:ascii="Garamond" w:hAnsi="Garamond" w:cs="Sylfaen"/>
          <w:b/>
          <w:sz w:val="22"/>
          <w:szCs w:val="22"/>
        </w:rPr>
        <w:t>of 201</w:t>
      </w:r>
      <w:r w:rsidR="00F30B77" w:rsidRPr="00F30B77">
        <w:rPr>
          <w:rFonts w:ascii="Garamond" w:hAnsi="Garamond" w:cs="Sylfaen"/>
          <w:b/>
          <w:sz w:val="22"/>
          <w:szCs w:val="22"/>
        </w:rPr>
        <w:t>6</w:t>
      </w:r>
      <w:r w:rsidR="00CD3390" w:rsidRPr="00A32AB2">
        <w:rPr>
          <w:rFonts w:ascii="Garamond" w:hAnsi="Garamond" w:cs="Sylfaen"/>
          <w:sz w:val="22"/>
          <w:szCs w:val="22"/>
        </w:rPr>
        <w:t xml:space="preserve"> which</w:t>
      </w:r>
      <w:r w:rsidR="00F30B77">
        <w:rPr>
          <w:rFonts w:ascii="Garamond" w:hAnsi="Garamond" w:cs="Sylfaen"/>
          <w:sz w:val="22"/>
          <w:szCs w:val="22"/>
        </w:rPr>
        <w:t xml:space="preserve">, coupled with monetary conditions loosened earlier the year and an expansionary fiscal policy, </w:t>
      </w:r>
      <w:r w:rsidR="00CD3390" w:rsidRPr="00A32AB2">
        <w:rPr>
          <w:rFonts w:ascii="Garamond" w:hAnsi="Garamond" w:cs="Sylfaen"/>
          <w:sz w:val="22"/>
          <w:szCs w:val="22"/>
        </w:rPr>
        <w:t xml:space="preserve">would </w:t>
      </w:r>
      <w:r w:rsidR="00F30B77">
        <w:rPr>
          <w:rFonts w:ascii="Garamond" w:hAnsi="Garamond" w:cs="Sylfaen"/>
          <w:sz w:val="22"/>
          <w:szCs w:val="22"/>
        </w:rPr>
        <w:t xml:space="preserve">prompt the aggregate demand to expand and inflation to stabilize around </w:t>
      </w:r>
      <w:r w:rsidR="00CD3390" w:rsidRPr="00A32AB2">
        <w:rPr>
          <w:rFonts w:ascii="Garamond" w:hAnsi="Garamond" w:cs="Sylfaen"/>
          <w:sz w:val="22"/>
          <w:szCs w:val="22"/>
        </w:rPr>
        <w:t>th</w:t>
      </w:r>
      <w:r w:rsidR="00CD3390" w:rsidRPr="00F30B77">
        <w:rPr>
          <w:rFonts w:ascii="Garamond" w:hAnsi="Garamond" w:cs="Sylfaen"/>
          <w:sz w:val="22"/>
          <w:szCs w:val="22"/>
        </w:rPr>
        <w:t>e target in the forecast horizon.</w:t>
      </w:r>
      <w:r w:rsidR="00CD3666" w:rsidRPr="00A32AB2">
        <w:rPr>
          <w:rFonts w:ascii="Garamond" w:hAnsi="Garamond" w:cs="Sylfaen"/>
          <w:sz w:val="22"/>
          <w:szCs w:val="22"/>
        </w:rPr>
        <w:t xml:space="preserve"> </w:t>
      </w:r>
    </w:p>
    <w:p w14:paraId="54DDF652" w14:textId="77777777" w:rsidR="00CD3666" w:rsidRPr="00A32AB2" w:rsidRDefault="00CD3666" w:rsidP="00FF3CD9">
      <w:pPr>
        <w:spacing w:line="360" w:lineRule="auto"/>
        <w:jc w:val="both"/>
        <w:rPr>
          <w:rFonts w:ascii="Garamond" w:hAnsi="Garamond" w:cs="Sylfaen"/>
          <w:sz w:val="22"/>
          <w:szCs w:val="22"/>
        </w:rPr>
      </w:pPr>
    </w:p>
    <w:p w14:paraId="623F78A3" w14:textId="77777777" w:rsidR="006D0D1C" w:rsidRDefault="00B91BD5" w:rsidP="00FF3CD9">
      <w:pPr>
        <w:spacing w:line="360" w:lineRule="auto"/>
        <w:jc w:val="both"/>
        <w:rPr>
          <w:rFonts w:ascii="Garamond" w:hAnsi="Garamond"/>
          <w:sz w:val="22"/>
          <w:szCs w:val="22"/>
        </w:rPr>
      </w:pPr>
      <w:r w:rsidRPr="00A32AB2">
        <w:rPr>
          <w:rFonts w:ascii="Garamond" w:hAnsi="Garamond"/>
          <w:sz w:val="22"/>
          <w:szCs w:val="22"/>
        </w:rPr>
        <w:t>A</w:t>
      </w:r>
      <w:r w:rsidR="00053725">
        <w:rPr>
          <w:rFonts w:ascii="Garamond" w:hAnsi="Garamond"/>
          <w:sz w:val="22"/>
          <w:szCs w:val="22"/>
        </w:rPr>
        <w:t>s a</w:t>
      </w:r>
      <w:r w:rsidRPr="00A32AB2">
        <w:rPr>
          <w:rFonts w:ascii="Garamond" w:hAnsi="Garamond"/>
          <w:sz w:val="22"/>
          <w:szCs w:val="22"/>
        </w:rPr>
        <w:t xml:space="preserve">ctual developments </w:t>
      </w:r>
      <w:r w:rsidR="00053725">
        <w:rPr>
          <w:rFonts w:ascii="Garamond" w:hAnsi="Garamond"/>
          <w:sz w:val="22"/>
          <w:szCs w:val="22"/>
        </w:rPr>
        <w:t xml:space="preserve">showed, </w:t>
      </w:r>
      <w:r w:rsidR="00053725" w:rsidRPr="00AC743D">
        <w:rPr>
          <w:rFonts w:ascii="Garamond" w:hAnsi="Garamond"/>
          <w:b/>
          <w:sz w:val="22"/>
          <w:szCs w:val="22"/>
        </w:rPr>
        <w:t>in the fourth quarter of 2015</w:t>
      </w:r>
      <w:r w:rsidR="00053725">
        <w:rPr>
          <w:rFonts w:ascii="Garamond" w:hAnsi="Garamond"/>
          <w:b/>
          <w:sz w:val="22"/>
          <w:szCs w:val="22"/>
        </w:rPr>
        <w:t xml:space="preserve"> </w:t>
      </w:r>
      <w:r w:rsidRPr="00053725">
        <w:rPr>
          <w:rFonts w:ascii="Garamond" w:hAnsi="Garamond"/>
          <w:b/>
          <w:sz w:val="22"/>
          <w:szCs w:val="22"/>
        </w:rPr>
        <w:t>the</w:t>
      </w:r>
      <w:r w:rsidRPr="00A32AB2">
        <w:rPr>
          <w:rFonts w:ascii="Garamond" w:hAnsi="Garamond"/>
          <w:sz w:val="22"/>
          <w:szCs w:val="22"/>
        </w:rPr>
        <w:t xml:space="preserve"> </w:t>
      </w:r>
      <w:r w:rsidR="000D1448" w:rsidRPr="00AC743D">
        <w:rPr>
          <w:rFonts w:ascii="Garamond" w:hAnsi="Garamond"/>
          <w:b/>
          <w:sz w:val="22"/>
          <w:szCs w:val="22"/>
        </w:rPr>
        <w:t xml:space="preserve">inflation environment </w:t>
      </w:r>
      <w:r w:rsidR="00AC743D" w:rsidRPr="00AC743D">
        <w:rPr>
          <w:rFonts w:ascii="Garamond" w:hAnsi="Garamond"/>
          <w:b/>
          <w:sz w:val="22"/>
          <w:szCs w:val="22"/>
        </w:rPr>
        <w:t>continue</w:t>
      </w:r>
      <w:r w:rsidR="00053725">
        <w:rPr>
          <w:rFonts w:ascii="Garamond" w:hAnsi="Garamond"/>
          <w:b/>
          <w:sz w:val="22"/>
          <w:szCs w:val="22"/>
        </w:rPr>
        <w:t>d</w:t>
      </w:r>
      <w:r w:rsidR="00AC743D" w:rsidRPr="00AC743D">
        <w:rPr>
          <w:rFonts w:ascii="Garamond" w:hAnsi="Garamond"/>
          <w:b/>
          <w:sz w:val="22"/>
          <w:szCs w:val="22"/>
        </w:rPr>
        <w:t xml:space="preserve"> </w:t>
      </w:r>
      <w:r w:rsidRPr="00290AB8">
        <w:rPr>
          <w:rFonts w:ascii="Garamond" w:hAnsi="Garamond"/>
          <w:b/>
          <w:sz w:val="22"/>
          <w:szCs w:val="22"/>
        </w:rPr>
        <w:t>soften</w:t>
      </w:r>
      <w:r w:rsidR="00AC743D" w:rsidRPr="00290AB8">
        <w:rPr>
          <w:rFonts w:ascii="Garamond" w:hAnsi="Garamond"/>
          <w:b/>
          <w:sz w:val="22"/>
          <w:szCs w:val="22"/>
        </w:rPr>
        <w:t>ing</w:t>
      </w:r>
      <w:r w:rsidR="00053725" w:rsidRPr="00290AB8">
        <w:rPr>
          <w:rFonts w:ascii="Garamond" w:hAnsi="Garamond"/>
          <w:sz w:val="22"/>
          <w:szCs w:val="22"/>
        </w:rPr>
        <w:t>,</w:t>
      </w:r>
      <w:r w:rsidR="00053725" w:rsidRPr="00290AB8">
        <w:rPr>
          <w:rFonts w:ascii="Garamond" w:hAnsi="Garamond"/>
          <w:b/>
          <w:sz w:val="22"/>
          <w:szCs w:val="22"/>
        </w:rPr>
        <w:t xml:space="preserve"> </w:t>
      </w:r>
      <w:r w:rsidR="00053725" w:rsidRPr="00290AB8">
        <w:rPr>
          <w:rFonts w:ascii="Garamond" w:hAnsi="Garamond"/>
          <w:sz w:val="22"/>
          <w:szCs w:val="22"/>
        </w:rPr>
        <w:t>at a rapider-than-expected pace, though</w:t>
      </w:r>
      <w:r w:rsidR="006460AE" w:rsidRPr="00290AB8">
        <w:rPr>
          <w:rFonts w:ascii="Garamond" w:hAnsi="Garamond"/>
          <w:sz w:val="22"/>
          <w:szCs w:val="22"/>
        </w:rPr>
        <w:t xml:space="preserve">. </w:t>
      </w:r>
      <w:r w:rsidR="00290AB8">
        <w:rPr>
          <w:rFonts w:ascii="Garamond" w:hAnsi="Garamond"/>
          <w:sz w:val="22"/>
          <w:szCs w:val="22"/>
        </w:rPr>
        <w:t xml:space="preserve">This was determined by even more falling of prices of agricultural products at the time when the agriculture sector reported relatively strong growth rates and </w:t>
      </w:r>
      <w:r w:rsidR="006D0D1C">
        <w:rPr>
          <w:rFonts w:ascii="Garamond" w:hAnsi="Garamond"/>
          <w:sz w:val="22"/>
          <w:szCs w:val="22"/>
        </w:rPr>
        <w:t>because of some influence from continued decline in external sector prices on domestic prices. The</w:t>
      </w:r>
      <w:r w:rsidR="00CD78BA">
        <w:rPr>
          <w:rFonts w:ascii="Garamond" w:hAnsi="Garamond"/>
          <w:sz w:val="22"/>
          <w:szCs w:val="22"/>
        </w:rPr>
        <w:t xml:space="preserve"> fourth quarter saw only </w:t>
      </w:r>
      <w:r w:rsidR="006D0D1C">
        <w:rPr>
          <w:rFonts w:ascii="Garamond" w:hAnsi="Garamond"/>
          <w:sz w:val="22"/>
          <w:szCs w:val="22"/>
        </w:rPr>
        <w:t xml:space="preserve">1.9% inflation </w:t>
      </w:r>
      <w:r w:rsidR="00CD78BA">
        <w:rPr>
          <w:rFonts w:ascii="Garamond" w:hAnsi="Garamond"/>
          <w:sz w:val="22"/>
          <w:szCs w:val="22"/>
        </w:rPr>
        <w:t xml:space="preserve">compared to </w:t>
      </w:r>
      <w:r w:rsidR="006D0D1C">
        <w:rPr>
          <w:rFonts w:ascii="Garamond" w:hAnsi="Garamond"/>
          <w:sz w:val="22"/>
          <w:szCs w:val="22"/>
        </w:rPr>
        <w:t xml:space="preserve">5.4% </w:t>
      </w:r>
      <w:r w:rsidR="00CD78BA">
        <w:rPr>
          <w:rFonts w:ascii="Garamond" w:hAnsi="Garamond"/>
          <w:sz w:val="22"/>
          <w:szCs w:val="22"/>
        </w:rPr>
        <w:t xml:space="preserve">reported </w:t>
      </w:r>
      <w:r w:rsidR="006D0D1C">
        <w:rPr>
          <w:rFonts w:ascii="Garamond" w:hAnsi="Garamond"/>
          <w:sz w:val="22"/>
          <w:szCs w:val="22"/>
        </w:rPr>
        <w:t xml:space="preserve">in the same reference period last year, </w:t>
      </w:r>
      <w:r w:rsidR="00EF2B48" w:rsidRPr="00A32AB2">
        <w:rPr>
          <w:rFonts w:ascii="Garamond" w:hAnsi="Garamond"/>
          <w:sz w:val="22"/>
          <w:szCs w:val="22"/>
        </w:rPr>
        <w:t>in which ca</w:t>
      </w:r>
      <w:r w:rsidR="00284EE4" w:rsidRPr="00A32AB2">
        <w:rPr>
          <w:rFonts w:ascii="Garamond" w:hAnsi="Garamond"/>
          <w:sz w:val="22"/>
          <w:szCs w:val="22"/>
        </w:rPr>
        <w:t>s</w:t>
      </w:r>
      <w:r w:rsidR="00EF2B48" w:rsidRPr="00A32AB2">
        <w:rPr>
          <w:rFonts w:ascii="Garamond" w:hAnsi="Garamond"/>
          <w:sz w:val="22"/>
          <w:szCs w:val="22"/>
        </w:rPr>
        <w:t>e</w:t>
      </w:r>
      <w:r w:rsidR="00284EE4" w:rsidRPr="00A32AB2">
        <w:rPr>
          <w:rFonts w:ascii="Garamond" w:hAnsi="Garamond"/>
          <w:sz w:val="22"/>
          <w:szCs w:val="22"/>
        </w:rPr>
        <w:t xml:space="preserve"> the </w:t>
      </w:r>
      <w:r w:rsidR="00284EE4" w:rsidRPr="00A32AB2">
        <w:rPr>
          <w:rFonts w:ascii="Garamond" w:hAnsi="Garamond"/>
          <w:b/>
          <w:sz w:val="22"/>
          <w:szCs w:val="22"/>
        </w:rPr>
        <w:t>12-month inflation</w:t>
      </w:r>
      <w:r w:rsidR="00EF2B48" w:rsidRPr="00A32AB2">
        <w:rPr>
          <w:rFonts w:ascii="Garamond" w:hAnsi="Garamond"/>
          <w:b/>
          <w:sz w:val="22"/>
          <w:szCs w:val="22"/>
        </w:rPr>
        <w:t xml:space="preserve"> rate</w:t>
      </w:r>
      <w:r w:rsidR="00284EE4" w:rsidRPr="00A32AB2">
        <w:rPr>
          <w:rFonts w:ascii="Garamond" w:hAnsi="Garamond"/>
          <w:sz w:val="22"/>
          <w:szCs w:val="22"/>
        </w:rPr>
        <w:t xml:space="preserve"> </w:t>
      </w:r>
      <w:r w:rsidR="006D0D1C">
        <w:rPr>
          <w:rFonts w:ascii="Garamond" w:hAnsi="Garamond"/>
          <w:sz w:val="22"/>
          <w:szCs w:val="22"/>
        </w:rPr>
        <w:t xml:space="preserve">took a negative value of </w:t>
      </w:r>
      <w:r w:rsidR="006D0D1C" w:rsidRPr="006D0D1C">
        <w:rPr>
          <w:rFonts w:ascii="Garamond" w:hAnsi="Garamond"/>
          <w:b/>
          <w:sz w:val="22"/>
          <w:szCs w:val="22"/>
        </w:rPr>
        <w:t>-</w:t>
      </w:r>
      <w:r w:rsidR="006D0D1C">
        <w:rPr>
          <w:rFonts w:ascii="Garamond" w:hAnsi="Garamond"/>
          <w:b/>
          <w:sz w:val="22"/>
          <w:szCs w:val="22"/>
        </w:rPr>
        <w:t>0</w:t>
      </w:r>
      <w:r w:rsidR="00284EE4" w:rsidRPr="00A32AB2">
        <w:rPr>
          <w:rFonts w:ascii="Garamond" w:hAnsi="Garamond"/>
          <w:b/>
          <w:sz w:val="22"/>
          <w:szCs w:val="22"/>
        </w:rPr>
        <w:t>.</w:t>
      </w:r>
      <w:r w:rsidR="006D0D1C">
        <w:rPr>
          <w:rFonts w:ascii="Garamond" w:hAnsi="Garamond"/>
          <w:b/>
          <w:sz w:val="22"/>
          <w:szCs w:val="22"/>
        </w:rPr>
        <w:t>1</w:t>
      </w:r>
      <w:r w:rsidR="00284EE4" w:rsidRPr="00A32AB2">
        <w:rPr>
          <w:rFonts w:ascii="Garamond" w:hAnsi="Garamond"/>
          <w:b/>
          <w:sz w:val="22"/>
          <w:szCs w:val="22"/>
        </w:rPr>
        <w:t>%</w:t>
      </w:r>
      <w:r w:rsidR="00284EE4" w:rsidRPr="00A32AB2">
        <w:rPr>
          <w:rFonts w:ascii="Garamond" w:hAnsi="Garamond"/>
          <w:sz w:val="22"/>
          <w:szCs w:val="22"/>
        </w:rPr>
        <w:t xml:space="preserve"> </w:t>
      </w:r>
      <w:r w:rsidR="00EF2B48" w:rsidRPr="00A32AB2">
        <w:rPr>
          <w:rFonts w:ascii="Garamond" w:hAnsi="Garamond"/>
          <w:sz w:val="22"/>
          <w:szCs w:val="22"/>
        </w:rPr>
        <w:t xml:space="preserve">at the end of </w:t>
      </w:r>
      <w:r w:rsidR="006D0D1C">
        <w:rPr>
          <w:rFonts w:ascii="Garamond" w:hAnsi="Garamond"/>
          <w:sz w:val="22"/>
          <w:szCs w:val="22"/>
        </w:rPr>
        <w:t xml:space="preserve">the year. </w:t>
      </w:r>
    </w:p>
    <w:p w14:paraId="3803DEAE" w14:textId="77777777" w:rsidR="00186A58" w:rsidRPr="00A32AB2" w:rsidRDefault="00186A58" w:rsidP="00FF3CD9">
      <w:pPr>
        <w:spacing w:line="360" w:lineRule="auto"/>
        <w:jc w:val="both"/>
        <w:rPr>
          <w:rFonts w:ascii="Garamond" w:hAnsi="Garamond"/>
          <w:sz w:val="22"/>
          <w:szCs w:val="22"/>
        </w:rPr>
      </w:pPr>
    </w:p>
    <w:p w14:paraId="07828E68" w14:textId="77777777" w:rsidR="00C27AF7" w:rsidRPr="00A32AB2" w:rsidRDefault="00C27AF7" w:rsidP="00FF3CD9">
      <w:pPr>
        <w:spacing w:line="360" w:lineRule="auto"/>
        <w:jc w:val="both"/>
        <w:rPr>
          <w:rFonts w:ascii="Garamond" w:hAnsi="Garamond"/>
          <w:sz w:val="22"/>
          <w:szCs w:val="22"/>
        </w:rPr>
      </w:pPr>
      <w:r w:rsidRPr="00A32AB2">
        <w:rPr>
          <w:rFonts w:ascii="Garamond" w:hAnsi="Garamond" w:cs="GHEA Grapalat"/>
          <w:sz w:val="22"/>
          <w:szCs w:val="22"/>
        </w:rPr>
        <w:t xml:space="preserve">In view of </w:t>
      </w:r>
      <w:r w:rsidR="00E1750E" w:rsidRPr="00A32AB2">
        <w:rPr>
          <w:rFonts w:ascii="Garamond" w:hAnsi="Garamond" w:cs="GHEA Grapalat"/>
          <w:sz w:val="22"/>
          <w:szCs w:val="22"/>
        </w:rPr>
        <w:t xml:space="preserve">such inflation </w:t>
      </w:r>
      <w:r w:rsidRPr="00A32AB2">
        <w:rPr>
          <w:rFonts w:ascii="Garamond" w:hAnsi="Garamond" w:cs="GHEA Grapalat"/>
          <w:sz w:val="22"/>
          <w:szCs w:val="22"/>
        </w:rPr>
        <w:t xml:space="preserve">developments, the CBA notably eased monetary conditions in November-December </w:t>
      </w:r>
      <w:r w:rsidRPr="00CD78BA">
        <w:rPr>
          <w:rFonts w:ascii="Garamond" w:hAnsi="Garamond" w:cs="GHEA Grapalat"/>
          <w:b/>
          <w:sz w:val="22"/>
          <w:szCs w:val="22"/>
        </w:rPr>
        <w:t>by reducing the refinancing rate by 1.5 pp to 8.75%</w:t>
      </w:r>
      <w:r w:rsidR="00E1750E" w:rsidRPr="00CD78BA">
        <w:rPr>
          <w:rFonts w:ascii="Garamond" w:hAnsi="Garamond" w:cs="GHEA Grapalat"/>
          <w:b/>
          <w:sz w:val="22"/>
          <w:szCs w:val="22"/>
        </w:rPr>
        <w:t xml:space="preserve"> </w:t>
      </w:r>
      <w:r w:rsidRPr="00CD78BA">
        <w:rPr>
          <w:rFonts w:ascii="Garamond" w:hAnsi="Garamond" w:cs="GHEA Grapalat"/>
          <w:b/>
          <w:sz w:val="22"/>
          <w:szCs w:val="22"/>
        </w:rPr>
        <w:t>at the end of December.</w:t>
      </w:r>
      <w:r w:rsidRPr="00A32AB2">
        <w:rPr>
          <w:rFonts w:ascii="Garamond" w:hAnsi="Garamond" w:cs="GHEA Grapalat"/>
          <w:sz w:val="22"/>
          <w:szCs w:val="22"/>
        </w:rPr>
        <w:t xml:space="preserve"> It was estimated that </w:t>
      </w:r>
      <w:r w:rsidRPr="00A32AB2">
        <w:rPr>
          <w:rFonts w:ascii="Garamond" w:hAnsi="Garamond"/>
          <w:sz w:val="22"/>
          <w:szCs w:val="22"/>
        </w:rPr>
        <w:t xml:space="preserve">inflationary risks arisen from the previous year-end had been largely overcome, and </w:t>
      </w:r>
      <w:r w:rsidR="0066332E" w:rsidRPr="00A32AB2">
        <w:rPr>
          <w:rFonts w:ascii="Garamond" w:hAnsi="Garamond"/>
          <w:sz w:val="22"/>
          <w:szCs w:val="22"/>
        </w:rPr>
        <w:t xml:space="preserve">abrupt </w:t>
      </w:r>
      <w:r w:rsidRPr="00A32AB2">
        <w:rPr>
          <w:rFonts w:ascii="Garamond" w:hAnsi="Garamond"/>
          <w:sz w:val="22"/>
          <w:szCs w:val="22"/>
        </w:rPr>
        <w:t>easing of monetary conditions made it possible to return to the normal situation that existed before November of 2014.</w:t>
      </w:r>
    </w:p>
    <w:p w14:paraId="369DF36A" w14:textId="77777777" w:rsidR="00DF25A9" w:rsidRPr="00A32AB2" w:rsidRDefault="00DF25A9" w:rsidP="00FF3CD9">
      <w:pPr>
        <w:spacing w:line="360" w:lineRule="auto"/>
        <w:jc w:val="both"/>
        <w:rPr>
          <w:rFonts w:ascii="Garamond" w:hAnsi="Garamond"/>
          <w:sz w:val="22"/>
          <w:szCs w:val="22"/>
        </w:rPr>
      </w:pPr>
    </w:p>
    <w:p w14:paraId="648FF5DC" w14:textId="77777777" w:rsidR="00DF25A9" w:rsidRPr="00A32AB2" w:rsidRDefault="004F4927" w:rsidP="00FF3CD9">
      <w:pPr>
        <w:spacing w:line="360" w:lineRule="auto"/>
        <w:jc w:val="both"/>
        <w:rPr>
          <w:rFonts w:ascii="Garamond" w:hAnsi="Garamond"/>
          <w:sz w:val="22"/>
          <w:szCs w:val="22"/>
        </w:rPr>
      </w:pPr>
      <w:r w:rsidRPr="00A32AB2">
        <w:rPr>
          <w:rFonts w:ascii="Garamond" w:hAnsi="Garamond"/>
          <w:sz w:val="22"/>
          <w:szCs w:val="22"/>
        </w:rPr>
        <w:t>T</w:t>
      </w:r>
      <w:r w:rsidR="003B5819">
        <w:rPr>
          <w:rFonts w:ascii="Garamond" w:hAnsi="Garamond"/>
          <w:sz w:val="22"/>
          <w:szCs w:val="22"/>
        </w:rPr>
        <w:t xml:space="preserve">he deflationary environment </w:t>
      </w:r>
      <w:r w:rsidR="000C7D93">
        <w:rPr>
          <w:rFonts w:ascii="Garamond" w:hAnsi="Garamond"/>
          <w:sz w:val="22"/>
          <w:szCs w:val="22"/>
        </w:rPr>
        <w:t xml:space="preserve">intensified </w:t>
      </w:r>
      <w:r w:rsidR="003B5819" w:rsidRPr="00A32AB2">
        <w:rPr>
          <w:rFonts w:ascii="Garamond" w:hAnsi="Garamond"/>
          <w:b/>
          <w:sz w:val="22"/>
          <w:szCs w:val="22"/>
        </w:rPr>
        <w:t>in the first quarter of 2016</w:t>
      </w:r>
      <w:r w:rsidR="003B5819" w:rsidRPr="003B5819">
        <w:rPr>
          <w:rFonts w:ascii="Garamond" w:hAnsi="Garamond"/>
          <w:sz w:val="22"/>
          <w:szCs w:val="22"/>
        </w:rPr>
        <w:t>, as was anticipated,</w:t>
      </w:r>
      <w:r w:rsidR="003B5819">
        <w:rPr>
          <w:rFonts w:ascii="Garamond" w:hAnsi="Garamond"/>
          <w:b/>
          <w:sz w:val="22"/>
          <w:szCs w:val="22"/>
        </w:rPr>
        <w:t xml:space="preserve"> </w:t>
      </w:r>
      <w:r w:rsidR="003B5819" w:rsidRPr="00A32AB2">
        <w:rPr>
          <w:rFonts w:ascii="Garamond" w:hAnsi="Garamond"/>
          <w:sz w:val="22"/>
          <w:szCs w:val="22"/>
        </w:rPr>
        <w:t>and their</w:t>
      </w:r>
      <w:r w:rsidR="003B5819">
        <w:rPr>
          <w:rFonts w:ascii="Garamond" w:hAnsi="Garamond"/>
          <w:sz w:val="22"/>
          <w:szCs w:val="22"/>
        </w:rPr>
        <w:t xml:space="preserve"> influence </w:t>
      </w:r>
      <w:r w:rsidR="003B5819" w:rsidRPr="00A32AB2">
        <w:rPr>
          <w:rFonts w:ascii="Garamond" w:hAnsi="Garamond"/>
          <w:sz w:val="22"/>
          <w:szCs w:val="22"/>
        </w:rPr>
        <w:t>persisted</w:t>
      </w:r>
      <w:r w:rsidR="003B5819">
        <w:rPr>
          <w:rFonts w:ascii="Garamond" w:hAnsi="Garamond"/>
          <w:sz w:val="22"/>
          <w:szCs w:val="22"/>
        </w:rPr>
        <w:t xml:space="preserve"> over the next two quarters</w:t>
      </w:r>
      <w:r w:rsidR="003B5819" w:rsidRPr="00A32AB2">
        <w:rPr>
          <w:rFonts w:ascii="Garamond" w:hAnsi="Garamond"/>
          <w:sz w:val="22"/>
          <w:szCs w:val="22"/>
        </w:rPr>
        <w:t>.</w:t>
      </w:r>
      <w:r w:rsidR="003B5819">
        <w:rPr>
          <w:rFonts w:ascii="Garamond" w:hAnsi="Garamond"/>
          <w:sz w:val="22"/>
          <w:szCs w:val="22"/>
        </w:rPr>
        <w:t xml:space="preserve"> This </w:t>
      </w:r>
      <w:r w:rsidR="000C7D93">
        <w:rPr>
          <w:rFonts w:ascii="Garamond" w:hAnsi="Garamond"/>
          <w:sz w:val="22"/>
          <w:szCs w:val="22"/>
        </w:rPr>
        <w:t xml:space="preserve">was </w:t>
      </w:r>
      <w:r w:rsidR="003B5819">
        <w:rPr>
          <w:rFonts w:ascii="Garamond" w:hAnsi="Garamond"/>
          <w:sz w:val="22"/>
          <w:szCs w:val="22"/>
        </w:rPr>
        <w:t>largely attributable to deflationary patterns</w:t>
      </w:r>
      <w:r w:rsidR="00DF25A9" w:rsidRPr="00A32AB2">
        <w:rPr>
          <w:rFonts w:ascii="Garamond" w:hAnsi="Garamond"/>
          <w:sz w:val="22"/>
          <w:szCs w:val="22"/>
        </w:rPr>
        <w:t xml:space="preserve"> in international commodity markets</w:t>
      </w:r>
      <w:r w:rsidR="00695318">
        <w:rPr>
          <w:rFonts w:ascii="Garamond" w:hAnsi="Garamond"/>
          <w:sz w:val="22"/>
          <w:szCs w:val="22"/>
        </w:rPr>
        <w:t>,</w:t>
      </w:r>
      <w:r w:rsidR="00DF25A9" w:rsidRPr="00A32AB2">
        <w:rPr>
          <w:rFonts w:ascii="Garamond" w:hAnsi="Garamond"/>
          <w:sz w:val="22"/>
          <w:szCs w:val="22"/>
        </w:rPr>
        <w:t xml:space="preserve"> </w:t>
      </w:r>
      <w:r w:rsidR="00695318">
        <w:rPr>
          <w:rFonts w:ascii="Garamond" w:hAnsi="Garamond"/>
          <w:sz w:val="22"/>
          <w:szCs w:val="22"/>
        </w:rPr>
        <w:t xml:space="preserve">with </w:t>
      </w:r>
      <w:r w:rsidR="000C7D93">
        <w:rPr>
          <w:rFonts w:ascii="Garamond" w:hAnsi="Garamond"/>
          <w:sz w:val="22"/>
          <w:szCs w:val="22"/>
        </w:rPr>
        <w:t xml:space="preserve">their impact spilled over to the domestic prices, </w:t>
      </w:r>
      <w:r w:rsidR="003B5819" w:rsidRPr="003B5819">
        <w:rPr>
          <w:rFonts w:ascii="Garamond" w:hAnsi="Garamond"/>
          <w:sz w:val="22"/>
          <w:szCs w:val="22"/>
        </w:rPr>
        <w:t>weak domestic demand</w:t>
      </w:r>
      <w:r w:rsidR="000C7D93">
        <w:rPr>
          <w:rFonts w:ascii="Garamond" w:hAnsi="Garamond"/>
          <w:sz w:val="22"/>
          <w:szCs w:val="22"/>
        </w:rPr>
        <w:t xml:space="preserve"> as well as lower food </w:t>
      </w:r>
      <w:r w:rsidRPr="00A32AB2">
        <w:rPr>
          <w:rFonts w:ascii="Garamond" w:hAnsi="Garamond"/>
          <w:sz w:val="22"/>
          <w:szCs w:val="22"/>
        </w:rPr>
        <w:t xml:space="preserve">prices </w:t>
      </w:r>
      <w:r w:rsidR="002871A6" w:rsidRPr="00A32AB2">
        <w:rPr>
          <w:rFonts w:ascii="Garamond" w:hAnsi="Garamond"/>
          <w:sz w:val="22"/>
          <w:szCs w:val="22"/>
        </w:rPr>
        <w:t xml:space="preserve">in relation to the same reference period last year thanks to strong growth in agriculture sector. </w:t>
      </w:r>
      <w:r w:rsidR="00DF25A9" w:rsidRPr="00A32AB2">
        <w:rPr>
          <w:rFonts w:ascii="Garamond" w:hAnsi="Garamond"/>
          <w:sz w:val="22"/>
          <w:szCs w:val="22"/>
        </w:rPr>
        <w:t xml:space="preserve">As a result, </w:t>
      </w:r>
      <w:r w:rsidR="00695318">
        <w:rPr>
          <w:rFonts w:ascii="Garamond" w:hAnsi="Garamond"/>
          <w:sz w:val="22"/>
          <w:szCs w:val="22"/>
        </w:rPr>
        <w:t xml:space="preserve">there was a mere </w:t>
      </w:r>
      <w:r w:rsidR="00284736" w:rsidRPr="00A32AB2">
        <w:rPr>
          <w:rFonts w:ascii="Garamond" w:hAnsi="Garamond"/>
          <w:sz w:val="22"/>
          <w:szCs w:val="22"/>
        </w:rPr>
        <w:t>0.</w:t>
      </w:r>
      <w:r w:rsidR="00F0285E">
        <w:rPr>
          <w:rFonts w:ascii="Garamond" w:hAnsi="Garamond"/>
          <w:sz w:val="22"/>
          <w:szCs w:val="22"/>
        </w:rPr>
        <w:t>5</w:t>
      </w:r>
      <w:r w:rsidR="00284736" w:rsidRPr="00A32AB2">
        <w:rPr>
          <w:rFonts w:ascii="Garamond" w:hAnsi="Garamond"/>
          <w:sz w:val="22"/>
          <w:szCs w:val="22"/>
        </w:rPr>
        <w:t xml:space="preserve">% </w:t>
      </w:r>
      <w:r w:rsidR="00695318">
        <w:rPr>
          <w:rFonts w:ascii="Garamond" w:hAnsi="Garamond"/>
          <w:sz w:val="22"/>
          <w:szCs w:val="22"/>
        </w:rPr>
        <w:t xml:space="preserve">of deflation </w:t>
      </w:r>
      <w:r w:rsidR="00284736" w:rsidRPr="00A32AB2">
        <w:rPr>
          <w:rFonts w:ascii="Garamond" w:hAnsi="Garamond"/>
          <w:sz w:val="22"/>
          <w:szCs w:val="22"/>
        </w:rPr>
        <w:t xml:space="preserve">in the first </w:t>
      </w:r>
      <w:r w:rsidR="00F0285E">
        <w:rPr>
          <w:rFonts w:ascii="Garamond" w:hAnsi="Garamond"/>
          <w:sz w:val="22"/>
          <w:szCs w:val="22"/>
        </w:rPr>
        <w:t xml:space="preserve">five months of </w:t>
      </w:r>
      <w:r w:rsidR="00695318">
        <w:rPr>
          <w:rFonts w:ascii="Garamond" w:hAnsi="Garamond"/>
          <w:sz w:val="22"/>
          <w:szCs w:val="22"/>
        </w:rPr>
        <w:t>2016</w:t>
      </w:r>
      <w:r w:rsidR="002A11DD" w:rsidRPr="00A32AB2">
        <w:rPr>
          <w:rFonts w:ascii="Garamond" w:hAnsi="Garamond"/>
          <w:sz w:val="22"/>
          <w:szCs w:val="22"/>
          <w:lang w:val="hy-AM"/>
        </w:rPr>
        <w:t xml:space="preserve"> </w:t>
      </w:r>
      <w:r w:rsidR="00284736" w:rsidRPr="00A32AB2">
        <w:rPr>
          <w:rFonts w:ascii="Garamond" w:hAnsi="Garamond"/>
          <w:sz w:val="22"/>
          <w:szCs w:val="22"/>
        </w:rPr>
        <w:t xml:space="preserve">compared to </w:t>
      </w:r>
      <w:r w:rsidR="00F0285E">
        <w:rPr>
          <w:rFonts w:ascii="Garamond" w:hAnsi="Garamond"/>
          <w:sz w:val="22"/>
          <w:szCs w:val="22"/>
        </w:rPr>
        <w:t>1.5</w:t>
      </w:r>
      <w:r w:rsidR="00284736" w:rsidRPr="00A32AB2">
        <w:rPr>
          <w:rFonts w:ascii="Garamond" w:hAnsi="Garamond"/>
          <w:sz w:val="22"/>
          <w:szCs w:val="22"/>
        </w:rPr>
        <w:t>%</w:t>
      </w:r>
      <w:r w:rsidR="00695318">
        <w:rPr>
          <w:rFonts w:ascii="Garamond" w:hAnsi="Garamond"/>
          <w:sz w:val="22"/>
          <w:szCs w:val="22"/>
        </w:rPr>
        <w:t xml:space="preserve"> of inflation</w:t>
      </w:r>
      <w:r w:rsidR="00F0285E">
        <w:rPr>
          <w:rFonts w:ascii="Garamond" w:hAnsi="Garamond"/>
          <w:sz w:val="22"/>
          <w:szCs w:val="22"/>
        </w:rPr>
        <w:t xml:space="preserve"> </w:t>
      </w:r>
      <w:r w:rsidR="00284736" w:rsidRPr="00A32AB2">
        <w:rPr>
          <w:rFonts w:ascii="Garamond" w:hAnsi="Garamond"/>
          <w:sz w:val="22"/>
          <w:szCs w:val="22"/>
        </w:rPr>
        <w:t xml:space="preserve">reported </w:t>
      </w:r>
      <w:r w:rsidR="00695318">
        <w:rPr>
          <w:rFonts w:ascii="Garamond" w:hAnsi="Garamond"/>
          <w:sz w:val="22"/>
          <w:szCs w:val="22"/>
        </w:rPr>
        <w:t>for the same reference period last year</w:t>
      </w:r>
      <w:r w:rsidR="00EE7CBE" w:rsidRPr="00A32AB2">
        <w:rPr>
          <w:rFonts w:ascii="Garamond" w:hAnsi="Garamond"/>
          <w:sz w:val="22"/>
          <w:szCs w:val="22"/>
        </w:rPr>
        <w:t xml:space="preserve">, </w:t>
      </w:r>
      <w:r w:rsidR="00695318">
        <w:rPr>
          <w:rFonts w:ascii="Garamond" w:hAnsi="Garamond"/>
          <w:sz w:val="22"/>
          <w:szCs w:val="22"/>
        </w:rPr>
        <w:t xml:space="preserve">leaving </w:t>
      </w:r>
      <w:r w:rsidR="00DF25A9" w:rsidRPr="00A32AB2">
        <w:rPr>
          <w:rFonts w:ascii="Garamond" w:hAnsi="Garamond"/>
          <w:sz w:val="22"/>
          <w:szCs w:val="22"/>
        </w:rPr>
        <w:t xml:space="preserve">the 12-month inflation </w:t>
      </w:r>
      <w:r w:rsidR="00FB5853" w:rsidRPr="00A32AB2">
        <w:rPr>
          <w:rFonts w:ascii="Garamond" w:hAnsi="Garamond"/>
          <w:sz w:val="22"/>
          <w:szCs w:val="22"/>
        </w:rPr>
        <w:t xml:space="preserve">rate </w:t>
      </w:r>
      <w:r w:rsidR="00695318">
        <w:rPr>
          <w:rFonts w:ascii="Garamond" w:hAnsi="Garamond"/>
          <w:sz w:val="22"/>
          <w:szCs w:val="22"/>
        </w:rPr>
        <w:t>to reduce by 2.0 pp to</w:t>
      </w:r>
      <w:r w:rsidR="00DF25A9" w:rsidRPr="00A32AB2">
        <w:rPr>
          <w:rFonts w:ascii="Garamond" w:hAnsi="Garamond"/>
          <w:sz w:val="22"/>
          <w:szCs w:val="22"/>
        </w:rPr>
        <w:t xml:space="preserve"> -2.</w:t>
      </w:r>
      <w:r w:rsidR="00695318">
        <w:rPr>
          <w:rFonts w:ascii="Garamond" w:hAnsi="Garamond"/>
          <w:sz w:val="22"/>
          <w:szCs w:val="22"/>
        </w:rPr>
        <w:t>1</w:t>
      </w:r>
      <w:r w:rsidR="00DF25A9" w:rsidRPr="00A32AB2">
        <w:rPr>
          <w:rFonts w:ascii="Garamond" w:hAnsi="Garamond"/>
          <w:sz w:val="22"/>
          <w:szCs w:val="22"/>
        </w:rPr>
        <w:t xml:space="preserve">% </w:t>
      </w:r>
      <w:r w:rsidR="00FB5853" w:rsidRPr="00A32AB2">
        <w:rPr>
          <w:rFonts w:ascii="Garamond" w:hAnsi="Garamond"/>
          <w:sz w:val="22"/>
          <w:szCs w:val="22"/>
        </w:rPr>
        <w:t xml:space="preserve">in </w:t>
      </w:r>
      <w:r w:rsidR="00305DB7" w:rsidRPr="00A32AB2">
        <w:rPr>
          <w:rFonts w:ascii="Garamond" w:hAnsi="Garamond"/>
          <w:sz w:val="22"/>
          <w:szCs w:val="22"/>
        </w:rPr>
        <w:t xml:space="preserve">late </w:t>
      </w:r>
      <w:r w:rsidR="00FB5853" w:rsidRPr="00A32AB2">
        <w:rPr>
          <w:rFonts w:ascii="Garamond" w:hAnsi="Garamond"/>
          <w:sz w:val="22"/>
          <w:szCs w:val="22"/>
        </w:rPr>
        <w:t>Ma</w:t>
      </w:r>
      <w:r w:rsidR="00695318">
        <w:rPr>
          <w:rFonts w:ascii="Garamond" w:hAnsi="Garamond"/>
          <w:sz w:val="22"/>
          <w:szCs w:val="22"/>
        </w:rPr>
        <w:t>y</w:t>
      </w:r>
      <w:r w:rsidR="00FB5853" w:rsidRPr="00A32AB2">
        <w:rPr>
          <w:rFonts w:ascii="Garamond" w:hAnsi="Garamond"/>
          <w:sz w:val="22"/>
          <w:szCs w:val="22"/>
        </w:rPr>
        <w:t xml:space="preserve"> </w:t>
      </w:r>
      <w:r w:rsidR="00DF25A9" w:rsidRPr="00A32AB2">
        <w:rPr>
          <w:rFonts w:ascii="Garamond" w:hAnsi="Garamond"/>
          <w:sz w:val="22"/>
          <w:szCs w:val="22"/>
        </w:rPr>
        <w:t xml:space="preserve">(contribution of </w:t>
      </w:r>
      <w:r w:rsidR="00FB5853" w:rsidRPr="00A32AB2">
        <w:rPr>
          <w:rFonts w:ascii="Garamond" w:hAnsi="Garamond"/>
          <w:sz w:val="22"/>
          <w:szCs w:val="22"/>
        </w:rPr>
        <w:t xml:space="preserve">decreased </w:t>
      </w:r>
      <w:r w:rsidR="00DF25A9" w:rsidRPr="00A32AB2">
        <w:rPr>
          <w:rFonts w:ascii="Garamond" w:hAnsi="Garamond"/>
          <w:sz w:val="22"/>
          <w:szCs w:val="22"/>
        </w:rPr>
        <w:t xml:space="preserve">food prices </w:t>
      </w:r>
      <w:r w:rsidR="00FB5853" w:rsidRPr="00A32AB2">
        <w:rPr>
          <w:rFonts w:ascii="Garamond" w:hAnsi="Garamond"/>
          <w:sz w:val="22"/>
          <w:szCs w:val="22"/>
        </w:rPr>
        <w:t>to headline de</w:t>
      </w:r>
      <w:r w:rsidR="00DF25A9" w:rsidRPr="00A32AB2">
        <w:rPr>
          <w:rFonts w:ascii="Garamond" w:hAnsi="Garamond"/>
          <w:sz w:val="22"/>
          <w:szCs w:val="22"/>
        </w:rPr>
        <w:t>flation</w:t>
      </w:r>
      <w:r w:rsidR="00FB5853" w:rsidRPr="00A32AB2">
        <w:rPr>
          <w:rFonts w:ascii="Garamond" w:hAnsi="Garamond"/>
          <w:sz w:val="22"/>
          <w:szCs w:val="22"/>
        </w:rPr>
        <w:t>:</w:t>
      </w:r>
      <w:r w:rsidR="00DF25A9" w:rsidRPr="00A32AB2">
        <w:rPr>
          <w:rFonts w:ascii="Garamond" w:hAnsi="Garamond"/>
          <w:sz w:val="22"/>
          <w:szCs w:val="22"/>
        </w:rPr>
        <w:t xml:space="preserve"> </w:t>
      </w:r>
      <w:r w:rsidR="00695318">
        <w:rPr>
          <w:rFonts w:ascii="Garamond" w:hAnsi="Garamond"/>
          <w:sz w:val="22"/>
          <w:szCs w:val="22"/>
        </w:rPr>
        <w:t>1</w:t>
      </w:r>
      <w:r w:rsidR="00DF25A9" w:rsidRPr="00A32AB2">
        <w:rPr>
          <w:rFonts w:ascii="Garamond" w:hAnsi="Garamond"/>
          <w:sz w:val="22"/>
          <w:szCs w:val="22"/>
        </w:rPr>
        <w:t>.</w:t>
      </w:r>
      <w:r w:rsidR="00695318">
        <w:rPr>
          <w:rFonts w:ascii="Garamond" w:hAnsi="Garamond"/>
          <w:sz w:val="22"/>
          <w:szCs w:val="22"/>
        </w:rPr>
        <w:t>8</w:t>
      </w:r>
      <w:r w:rsidR="00DF25A9" w:rsidRPr="00A32AB2">
        <w:rPr>
          <w:rFonts w:ascii="Garamond" w:hAnsi="Garamond"/>
          <w:sz w:val="22"/>
          <w:szCs w:val="22"/>
        </w:rPr>
        <w:t xml:space="preserve"> p</w:t>
      </w:r>
      <w:r w:rsidR="00FB5853" w:rsidRPr="00A32AB2">
        <w:rPr>
          <w:rFonts w:ascii="Garamond" w:hAnsi="Garamond"/>
          <w:sz w:val="22"/>
          <w:szCs w:val="22"/>
        </w:rPr>
        <w:t>p</w:t>
      </w:r>
      <w:r w:rsidR="00DF25A9" w:rsidRPr="00A32AB2">
        <w:rPr>
          <w:rFonts w:ascii="Garamond" w:hAnsi="Garamond"/>
          <w:sz w:val="22"/>
          <w:szCs w:val="22"/>
        </w:rPr>
        <w:t>).</w:t>
      </w:r>
      <w:r w:rsidR="00695318">
        <w:rPr>
          <w:rFonts w:ascii="Garamond" w:hAnsi="Garamond"/>
          <w:sz w:val="22"/>
          <w:szCs w:val="22"/>
        </w:rPr>
        <w:t xml:space="preserve"> </w:t>
      </w:r>
      <w:r w:rsidR="00305723">
        <w:rPr>
          <w:rFonts w:ascii="Garamond" w:hAnsi="Garamond"/>
          <w:sz w:val="22"/>
          <w:szCs w:val="22"/>
        </w:rPr>
        <w:t xml:space="preserve">Then, the deflation in </w:t>
      </w:r>
      <w:r w:rsidR="00696E1F" w:rsidRPr="00305723">
        <w:rPr>
          <w:rFonts w:ascii="Garamond" w:hAnsi="Garamond"/>
          <w:sz w:val="22"/>
          <w:szCs w:val="22"/>
        </w:rPr>
        <w:t xml:space="preserve">June-September </w:t>
      </w:r>
      <w:r w:rsidR="00305723">
        <w:rPr>
          <w:rFonts w:ascii="Garamond" w:hAnsi="Garamond"/>
          <w:sz w:val="22"/>
          <w:szCs w:val="22"/>
        </w:rPr>
        <w:t xml:space="preserve">was </w:t>
      </w:r>
      <w:r w:rsidR="00696E1F" w:rsidRPr="00305723">
        <w:rPr>
          <w:rFonts w:ascii="Garamond" w:hAnsi="Garamond"/>
          <w:sz w:val="22"/>
          <w:szCs w:val="22"/>
        </w:rPr>
        <w:t>3.2%</w:t>
      </w:r>
      <w:r w:rsidR="00305723">
        <w:rPr>
          <w:rFonts w:ascii="Garamond" w:hAnsi="Garamond"/>
          <w:sz w:val="22"/>
          <w:szCs w:val="22"/>
        </w:rPr>
        <w:t xml:space="preserve"> against that of 3</w:t>
      </w:r>
      <w:r w:rsidR="00696E1F" w:rsidRPr="00305723">
        <w:rPr>
          <w:rFonts w:ascii="Garamond" w:hAnsi="Garamond"/>
          <w:sz w:val="22"/>
          <w:szCs w:val="22"/>
        </w:rPr>
        <w:t xml:space="preserve">.4% </w:t>
      </w:r>
      <w:r w:rsidR="00305723">
        <w:rPr>
          <w:rFonts w:ascii="Garamond" w:hAnsi="Garamond"/>
          <w:sz w:val="22"/>
          <w:szCs w:val="22"/>
        </w:rPr>
        <w:t xml:space="preserve">reported </w:t>
      </w:r>
      <w:r w:rsidR="00696E1F" w:rsidRPr="00305723">
        <w:rPr>
          <w:rFonts w:ascii="Garamond" w:hAnsi="Garamond"/>
          <w:sz w:val="22"/>
          <w:szCs w:val="22"/>
        </w:rPr>
        <w:t xml:space="preserve">in the same </w:t>
      </w:r>
      <w:r w:rsidR="00305723">
        <w:rPr>
          <w:rFonts w:ascii="Garamond" w:hAnsi="Garamond"/>
          <w:sz w:val="22"/>
          <w:szCs w:val="22"/>
        </w:rPr>
        <w:t xml:space="preserve">reference </w:t>
      </w:r>
      <w:r w:rsidR="00696E1F" w:rsidRPr="00305723">
        <w:rPr>
          <w:rFonts w:ascii="Garamond" w:hAnsi="Garamond"/>
          <w:sz w:val="22"/>
          <w:szCs w:val="22"/>
        </w:rPr>
        <w:t xml:space="preserve">period last year, while the 12-month inflation rate remained virtually unchanged, amounting to -1.9% </w:t>
      </w:r>
      <w:r w:rsidR="00305723">
        <w:rPr>
          <w:rFonts w:ascii="Garamond" w:hAnsi="Garamond"/>
          <w:sz w:val="22"/>
          <w:szCs w:val="22"/>
        </w:rPr>
        <w:t xml:space="preserve">at the end of </w:t>
      </w:r>
      <w:r w:rsidR="00696E1F" w:rsidRPr="00305723">
        <w:rPr>
          <w:rFonts w:ascii="Garamond" w:hAnsi="Garamond"/>
          <w:sz w:val="22"/>
          <w:szCs w:val="22"/>
        </w:rPr>
        <w:t>September.</w:t>
      </w:r>
    </w:p>
    <w:p w14:paraId="01D7D649" w14:textId="77777777" w:rsidR="005C4780" w:rsidRPr="00A32AB2" w:rsidRDefault="005C4780" w:rsidP="00FF3CD9">
      <w:pPr>
        <w:spacing w:line="360" w:lineRule="auto"/>
        <w:jc w:val="both"/>
        <w:rPr>
          <w:rFonts w:ascii="Garamond" w:hAnsi="Garamond"/>
          <w:sz w:val="22"/>
          <w:szCs w:val="22"/>
        </w:rPr>
      </w:pPr>
    </w:p>
    <w:p w14:paraId="50446E6F" w14:textId="77777777" w:rsidR="006D4540" w:rsidRDefault="00155C05" w:rsidP="00FF3CD9">
      <w:pPr>
        <w:spacing w:line="360" w:lineRule="auto"/>
        <w:jc w:val="both"/>
        <w:rPr>
          <w:rFonts w:ascii="Garamond" w:hAnsi="Garamond" w:cs="Sylfaen"/>
          <w:color w:val="000000"/>
          <w:sz w:val="22"/>
          <w:szCs w:val="22"/>
        </w:rPr>
      </w:pPr>
      <w:r>
        <w:rPr>
          <w:rFonts w:ascii="Garamond" w:hAnsi="Garamond" w:cs="Sylfaen"/>
          <w:color w:val="000000"/>
          <w:sz w:val="22"/>
          <w:szCs w:val="22"/>
        </w:rPr>
        <w:t xml:space="preserve">The CBA carried on implementing </w:t>
      </w:r>
      <w:r w:rsidR="002128F2">
        <w:rPr>
          <w:rFonts w:ascii="Garamond" w:hAnsi="Garamond" w:cs="Sylfaen"/>
          <w:color w:val="000000"/>
          <w:sz w:val="22"/>
          <w:szCs w:val="22"/>
        </w:rPr>
        <w:t xml:space="preserve">an expansionary monetary policy over the first nine months of the year, in consideration of the inflation developments. </w:t>
      </w:r>
      <w:r w:rsidR="00ED0008">
        <w:rPr>
          <w:rFonts w:ascii="Garamond" w:hAnsi="Garamond" w:cs="Sylfaen"/>
          <w:color w:val="000000"/>
          <w:sz w:val="22"/>
          <w:szCs w:val="22"/>
        </w:rPr>
        <w:t>Reckoning that an</w:t>
      </w:r>
      <w:r w:rsidR="00DF25A9" w:rsidRPr="00A32AB2">
        <w:rPr>
          <w:rFonts w:ascii="Garamond" w:hAnsi="Garamond" w:cs="Sylfaen"/>
          <w:color w:val="000000"/>
          <w:sz w:val="22"/>
          <w:szCs w:val="22"/>
        </w:rPr>
        <w:t xml:space="preserve"> abrupt easing of monetary conditions at the end of the previous year</w:t>
      </w:r>
      <w:r w:rsidR="008C7485" w:rsidRPr="00A32AB2">
        <w:rPr>
          <w:rFonts w:ascii="Garamond" w:hAnsi="Garamond" w:cs="Sylfaen"/>
          <w:color w:val="000000"/>
          <w:sz w:val="22"/>
          <w:szCs w:val="22"/>
        </w:rPr>
        <w:t xml:space="preserve"> was </w:t>
      </w:r>
      <w:r w:rsidR="00AB58B1" w:rsidRPr="00A32AB2">
        <w:rPr>
          <w:rFonts w:ascii="Garamond" w:hAnsi="Garamond" w:cs="Sylfaen"/>
          <w:color w:val="000000"/>
          <w:sz w:val="22"/>
          <w:szCs w:val="22"/>
        </w:rPr>
        <w:t xml:space="preserve">quite enough </w:t>
      </w:r>
      <w:r w:rsidR="008C7485" w:rsidRPr="00A32AB2">
        <w:rPr>
          <w:rFonts w:ascii="Garamond" w:hAnsi="Garamond" w:cs="Sylfaen"/>
          <w:color w:val="000000"/>
          <w:sz w:val="22"/>
          <w:szCs w:val="22"/>
        </w:rPr>
        <w:t>to neutralize the deflationary pressures during the year</w:t>
      </w:r>
      <w:r w:rsidR="002128F2">
        <w:rPr>
          <w:rFonts w:ascii="Garamond" w:hAnsi="Garamond" w:cs="Sylfaen"/>
          <w:color w:val="000000"/>
          <w:sz w:val="22"/>
          <w:szCs w:val="22"/>
        </w:rPr>
        <w:t xml:space="preserve"> and that </w:t>
      </w:r>
      <w:r w:rsidR="002128F2" w:rsidRPr="008F049B">
        <w:rPr>
          <w:rFonts w:ascii="Garamond" w:hAnsi="Garamond" w:cs="Sylfaen"/>
          <w:b/>
          <w:color w:val="000000"/>
          <w:sz w:val="22"/>
          <w:szCs w:val="22"/>
        </w:rPr>
        <w:t>gradual</w:t>
      </w:r>
      <w:r w:rsidR="002128F2">
        <w:rPr>
          <w:rFonts w:ascii="Garamond" w:hAnsi="Garamond" w:cs="Sylfaen"/>
          <w:color w:val="000000"/>
          <w:sz w:val="22"/>
          <w:szCs w:val="22"/>
        </w:rPr>
        <w:t xml:space="preserve"> easing of monetary conditions at the time was most relevant</w:t>
      </w:r>
      <w:r w:rsidR="008F049B">
        <w:rPr>
          <w:rFonts w:ascii="Garamond" w:hAnsi="Garamond" w:cs="Sylfaen"/>
          <w:color w:val="000000"/>
          <w:sz w:val="22"/>
          <w:szCs w:val="22"/>
        </w:rPr>
        <w:t xml:space="preserve">, the CBA </w:t>
      </w:r>
      <w:r w:rsidR="008C7485" w:rsidRPr="00A32AB2">
        <w:rPr>
          <w:rFonts w:ascii="Garamond" w:hAnsi="Garamond" w:cs="Sylfaen"/>
          <w:color w:val="000000"/>
          <w:sz w:val="22"/>
          <w:szCs w:val="22"/>
        </w:rPr>
        <w:t>cut</w:t>
      </w:r>
      <w:r w:rsidR="008F049B">
        <w:rPr>
          <w:rFonts w:ascii="Garamond" w:hAnsi="Garamond" w:cs="Sylfaen"/>
          <w:color w:val="000000"/>
          <w:sz w:val="22"/>
          <w:szCs w:val="22"/>
        </w:rPr>
        <w:t xml:space="preserve"> </w:t>
      </w:r>
      <w:r w:rsidR="00DF25A9" w:rsidRPr="00A32AB2">
        <w:rPr>
          <w:rFonts w:ascii="Garamond" w:hAnsi="Garamond" w:cs="Sylfaen"/>
          <w:color w:val="000000"/>
          <w:sz w:val="22"/>
          <w:szCs w:val="22"/>
        </w:rPr>
        <w:t xml:space="preserve">the refinancing rate </w:t>
      </w:r>
      <w:r w:rsidR="00ED0008">
        <w:rPr>
          <w:rFonts w:ascii="Garamond" w:hAnsi="Garamond" w:cs="Sylfaen"/>
          <w:color w:val="000000"/>
          <w:sz w:val="22"/>
          <w:szCs w:val="22"/>
        </w:rPr>
        <w:t xml:space="preserve">by </w:t>
      </w:r>
      <w:r w:rsidR="008C7485" w:rsidRPr="00A32AB2">
        <w:rPr>
          <w:rFonts w:ascii="Garamond" w:hAnsi="Garamond" w:cs="Sylfaen"/>
          <w:color w:val="000000"/>
          <w:sz w:val="22"/>
          <w:szCs w:val="22"/>
        </w:rPr>
        <w:t xml:space="preserve">0.25 pp </w:t>
      </w:r>
      <w:r w:rsidR="00ED0008">
        <w:rPr>
          <w:rFonts w:ascii="Garamond" w:hAnsi="Garamond" w:cs="Sylfaen"/>
          <w:color w:val="000000"/>
          <w:sz w:val="22"/>
          <w:szCs w:val="22"/>
        </w:rPr>
        <w:t>each month</w:t>
      </w:r>
      <w:r w:rsidR="00A94297">
        <w:rPr>
          <w:rFonts w:ascii="Garamond" w:hAnsi="Garamond" w:cs="Sylfaen"/>
          <w:color w:val="000000"/>
          <w:sz w:val="22"/>
          <w:szCs w:val="22"/>
        </w:rPr>
        <w:t>.</w:t>
      </w:r>
      <w:r w:rsidR="00ED0008">
        <w:rPr>
          <w:rFonts w:ascii="Garamond" w:hAnsi="Garamond" w:cs="Sylfaen"/>
          <w:color w:val="000000"/>
          <w:sz w:val="22"/>
          <w:szCs w:val="22"/>
        </w:rPr>
        <w:t xml:space="preserve"> </w:t>
      </w:r>
      <w:r w:rsidR="00AB58B1" w:rsidRPr="00A32AB2">
        <w:rPr>
          <w:rFonts w:ascii="Garamond" w:hAnsi="Garamond" w:cs="Sylfaen"/>
          <w:color w:val="000000"/>
          <w:sz w:val="22"/>
          <w:szCs w:val="22"/>
        </w:rPr>
        <w:t>Ma</w:t>
      </w:r>
      <w:r w:rsidR="00ED0008">
        <w:rPr>
          <w:rFonts w:ascii="Garamond" w:hAnsi="Garamond" w:cs="Sylfaen"/>
          <w:color w:val="000000"/>
          <w:sz w:val="22"/>
          <w:szCs w:val="22"/>
        </w:rPr>
        <w:t>y and September when the policy rate was lowered by 0.5 pp each time</w:t>
      </w:r>
      <w:r w:rsidR="00A94297">
        <w:rPr>
          <w:rFonts w:ascii="Garamond" w:hAnsi="Garamond" w:cs="Sylfaen"/>
          <w:color w:val="000000"/>
          <w:sz w:val="22"/>
          <w:szCs w:val="22"/>
        </w:rPr>
        <w:t xml:space="preserve"> were exceptions supported by considerable reduction in </w:t>
      </w:r>
      <w:r w:rsidR="006D4540" w:rsidRPr="00A94297">
        <w:rPr>
          <w:rFonts w:ascii="Garamond" w:hAnsi="Garamond" w:cs="Sylfaen"/>
          <w:color w:val="000000"/>
          <w:sz w:val="22"/>
          <w:szCs w:val="22"/>
        </w:rPr>
        <w:t>inflation expectations</w:t>
      </w:r>
      <w:r w:rsidR="006D4540">
        <w:rPr>
          <w:rFonts w:ascii="Garamond" w:hAnsi="Garamond" w:cs="Sylfaen"/>
          <w:color w:val="000000"/>
          <w:sz w:val="22"/>
          <w:szCs w:val="22"/>
        </w:rPr>
        <w:t xml:space="preserve"> as a result of consistent monetary policy by the CBA and </w:t>
      </w:r>
      <w:r w:rsidR="00A94297" w:rsidRPr="00A94297">
        <w:rPr>
          <w:rFonts w:ascii="Garamond" w:hAnsi="Garamond" w:cs="Sylfaen"/>
          <w:color w:val="000000"/>
          <w:sz w:val="22"/>
          <w:szCs w:val="22"/>
        </w:rPr>
        <w:t xml:space="preserve">expected </w:t>
      </w:r>
      <w:r w:rsidR="006D4540">
        <w:rPr>
          <w:rFonts w:ascii="Garamond" w:hAnsi="Garamond" w:cs="Sylfaen"/>
          <w:color w:val="000000"/>
          <w:sz w:val="22"/>
          <w:szCs w:val="22"/>
        </w:rPr>
        <w:t xml:space="preserve">falling of </w:t>
      </w:r>
      <w:r w:rsidR="00A94297" w:rsidRPr="00A94297">
        <w:rPr>
          <w:rFonts w:ascii="Garamond" w:hAnsi="Garamond" w:cs="Sylfaen"/>
          <w:color w:val="000000"/>
          <w:sz w:val="22"/>
          <w:szCs w:val="22"/>
        </w:rPr>
        <w:t>natural gas price</w:t>
      </w:r>
      <w:r w:rsidR="006D4540">
        <w:rPr>
          <w:rFonts w:ascii="Garamond" w:hAnsi="Garamond" w:cs="Sylfaen"/>
          <w:color w:val="000000"/>
          <w:sz w:val="22"/>
          <w:szCs w:val="22"/>
        </w:rPr>
        <w:t xml:space="preserve"> since the second half of the year on the one hand, </w:t>
      </w:r>
      <w:r w:rsidR="006D4540">
        <w:rPr>
          <w:rFonts w:ascii="Garamond" w:hAnsi="Garamond" w:cs="Sylfaen"/>
          <w:color w:val="000000"/>
          <w:sz w:val="22"/>
          <w:szCs w:val="22"/>
        </w:rPr>
        <w:lastRenderedPageBreak/>
        <w:t>and deteriorating of economic growth outlook since the third quarter and inflationary risks increasing due to a sluggish demand, on the other.</w:t>
      </w:r>
    </w:p>
    <w:p w14:paraId="6C4D6FD7" w14:textId="77777777" w:rsidR="006D4540" w:rsidRDefault="006D4540" w:rsidP="00FF3CD9">
      <w:pPr>
        <w:spacing w:line="360" w:lineRule="auto"/>
        <w:jc w:val="both"/>
        <w:rPr>
          <w:rFonts w:ascii="Garamond" w:hAnsi="Garamond" w:cs="Sylfaen"/>
          <w:color w:val="000000"/>
          <w:sz w:val="22"/>
          <w:szCs w:val="22"/>
        </w:rPr>
      </w:pPr>
    </w:p>
    <w:p w14:paraId="71C881F0" w14:textId="77777777" w:rsidR="00ED0008" w:rsidRDefault="006D4540" w:rsidP="00FF3CD9">
      <w:pPr>
        <w:spacing w:line="360" w:lineRule="auto"/>
        <w:jc w:val="both"/>
        <w:rPr>
          <w:rFonts w:ascii="Garamond" w:hAnsi="Garamond" w:cs="GHEA Grapalat"/>
          <w:sz w:val="22"/>
          <w:szCs w:val="22"/>
        </w:rPr>
      </w:pPr>
      <w:r>
        <w:rPr>
          <w:rFonts w:ascii="Garamond" w:hAnsi="Garamond" w:cs="GHEA Grapalat"/>
          <w:sz w:val="22"/>
          <w:szCs w:val="22"/>
        </w:rPr>
        <w:t xml:space="preserve">Over the last nine months the </w:t>
      </w:r>
      <w:r w:rsidRPr="006D4540">
        <w:rPr>
          <w:rFonts w:ascii="Garamond" w:hAnsi="Garamond" w:cs="GHEA Grapalat"/>
          <w:sz w:val="22"/>
          <w:szCs w:val="22"/>
        </w:rPr>
        <w:t xml:space="preserve">refinancing rate was lowered </w:t>
      </w:r>
      <w:r>
        <w:rPr>
          <w:rFonts w:ascii="Garamond" w:hAnsi="Garamond" w:cs="GHEA Grapalat"/>
          <w:sz w:val="22"/>
          <w:szCs w:val="22"/>
        </w:rPr>
        <w:t xml:space="preserve">a total of </w:t>
      </w:r>
      <w:r w:rsidRPr="006D4540">
        <w:rPr>
          <w:rFonts w:ascii="Garamond" w:hAnsi="Garamond" w:cs="GHEA Grapalat"/>
          <w:sz w:val="22"/>
          <w:szCs w:val="22"/>
        </w:rPr>
        <w:t xml:space="preserve">2.0 percentage points </w:t>
      </w:r>
      <w:r w:rsidR="00DB55C0">
        <w:rPr>
          <w:rFonts w:ascii="Garamond" w:hAnsi="Garamond" w:cs="GHEA Grapalat"/>
          <w:sz w:val="22"/>
          <w:szCs w:val="22"/>
        </w:rPr>
        <w:t xml:space="preserve">to </w:t>
      </w:r>
      <w:r w:rsidRPr="00DB55C0">
        <w:rPr>
          <w:rFonts w:ascii="Garamond" w:hAnsi="Garamond" w:cs="GHEA Grapalat"/>
          <w:b/>
          <w:sz w:val="22"/>
          <w:szCs w:val="22"/>
        </w:rPr>
        <w:t>6.75%</w:t>
      </w:r>
      <w:r w:rsidRPr="006D4540">
        <w:rPr>
          <w:rFonts w:ascii="Garamond" w:hAnsi="Garamond" w:cs="GHEA Grapalat"/>
          <w:sz w:val="22"/>
          <w:szCs w:val="22"/>
        </w:rPr>
        <w:t xml:space="preserve"> in </w:t>
      </w:r>
      <w:r w:rsidR="00DB55C0">
        <w:rPr>
          <w:rFonts w:ascii="Garamond" w:hAnsi="Garamond" w:cs="GHEA Grapalat"/>
          <w:sz w:val="22"/>
          <w:szCs w:val="22"/>
        </w:rPr>
        <w:t xml:space="preserve">late </w:t>
      </w:r>
      <w:r w:rsidRPr="006D4540">
        <w:rPr>
          <w:rFonts w:ascii="Garamond" w:hAnsi="Garamond" w:cs="GHEA Grapalat"/>
          <w:sz w:val="22"/>
          <w:szCs w:val="22"/>
        </w:rPr>
        <w:t xml:space="preserve">September. </w:t>
      </w:r>
      <w:r w:rsidR="00DB55C0">
        <w:rPr>
          <w:rFonts w:ascii="Garamond" w:hAnsi="Garamond" w:cs="GHEA Grapalat"/>
          <w:sz w:val="22"/>
          <w:szCs w:val="22"/>
        </w:rPr>
        <w:t xml:space="preserve">The </w:t>
      </w:r>
      <w:r w:rsidRPr="006D4540">
        <w:rPr>
          <w:rFonts w:ascii="Garamond" w:hAnsi="Garamond" w:cs="GHEA Grapalat"/>
          <w:sz w:val="22"/>
          <w:szCs w:val="22"/>
        </w:rPr>
        <w:t xml:space="preserve">transmission </w:t>
      </w:r>
      <w:r w:rsidR="00DB55C0">
        <w:rPr>
          <w:rFonts w:ascii="Garamond" w:hAnsi="Garamond" w:cs="GHEA Grapalat"/>
          <w:sz w:val="22"/>
          <w:szCs w:val="22"/>
        </w:rPr>
        <w:t xml:space="preserve">mechanism was highly effective in that time as market rates notably reduced in line with the falling of the </w:t>
      </w:r>
      <w:r w:rsidRPr="006D4540">
        <w:rPr>
          <w:rFonts w:ascii="Garamond" w:hAnsi="Garamond" w:cs="GHEA Grapalat"/>
          <w:sz w:val="22"/>
          <w:szCs w:val="22"/>
        </w:rPr>
        <w:t>policy rate</w:t>
      </w:r>
      <w:r w:rsidR="00DB55C0">
        <w:rPr>
          <w:rFonts w:ascii="Garamond" w:hAnsi="Garamond" w:cs="GHEA Grapalat"/>
          <w:sz w:val="22"/>
          <w:szCs w:val="22"/>
        </w:rPr>
        <w:t xml:space="preserve">, while the </w:t>
      </w:r>
      <w:r w:rsidRPr="006D4540">
        <w:rPr>
          <w:rFonts w:ascii="Garamond" w:hAnsi="Garamond" w:cs="GHEA Grapalat"/>
          <w:sz w:val="22"/>
          <w:szCs w:val="22"/>
        </w:rPr>
        <w:t xml:space="preserve">government bond yield </w:t>
      </w:r>
      <w:r w:rsidR="00DB55C0">
        <w:rPr>
          <w:rFonts w:ascii="Garamond" w:hAnsi="Garamond" w:cs="GHEA Grapalat"/>
          <w:sz w:val="22"/>
          <w:szCs w:val="22"/>
        </w:rPr>
        <w:t xml:space="preserve">sloped down </w:t>
      </w:r>
      <w:r w:rsidRPr="006D4540">
        <w:rPr>
          <w:rFonts w:ascii="Garamond" w:hAnsi="Garamond" w:cs="GHEA Grapalat"/>
          <w:sz w:val="22"/>
          <w:szCs w:val="22"/>
        </w:rPr>
        <w:t>all along</w:t>
      </w:r>
      <w:r w:rsidR="00DB55C0">
        <w:rPr>
          <w:rFonts w:ascii="Garamond" w:hAnsi="Garamond" w:cs="GHEA Grapalat"/>
          <w:sz w:val="22"/>
          <w:szCs w:val="22"/>
        </w:rPr>
        <w:t xml:space="preserve"> the curve. </w:t>
      </w:r>
    </w:p>
    <w:p w14:paraId="342DD7B0" w14:textId="77777777" w:rsidR="00DB55C0" w:rsidRDefault="00DB55C0" w:rsidP="00FF3CD9">
      <w:pPr>
        <w:spacing w:line="360" w:lineRule="auto"/>
        <w:jc w:val="both"/>
        <w:rPr>
          <w:rFonts w:ascii="Garamond" w:hAnsi="Garamond" w:cs="Sylfaen"/>
          <w:color w:val="000000"/>
          <w:sz w:val="22"/>
          <w:szCs w:val="22"/>
        </w:rPr>
      </w:pPr>
    </w:p>
    <w:p w14:paraId="5DB84C62" w14:textId="77777777" w:rsidR="00B01C5D" w:rsidRPr="00A32AB2" w:rsidRDefault="00B01C5D" w:rsidP="00FF3CD9">
      <w:pPr>
        <w:spacing w:line="360" w:lineRule="auto"/>
        <w:jc w:val="both"/>
        <w:rPr>
          <w:rFonts w:ascii="Garamond" w:hAnsi="Garamond" w:cs="Sylfaen"/>
          <w:b/>
          <w:color w:val="000000"/>
          <w:sz w:val="22"/>
          <w:szCs w:val="22"/>
        </w:rPr>
      </w:pPr>
      <w:r w:rsidRPr="00A32AB2">
        <w:rPr>
          <w:rFonts w:ascii="Garamond" w:hAnsi="Garamond" w:cs="Sylfaen"/>
          <w:b/>
          <w:color w:val="000000"/>
          <w:sz w:val="22"/>
          <w:szCs w:val="22"/>
        </w:rPr>
        <w:t xml:space="preserve">3.1.2. </w:t>
      </w:r>
      <w:r w:rsidR="00FF7337" w:rsidRPr="00A32AB2">
        <w:rPr>
          <w:rFonts w:ascii="Garamond" w:hAnsi="Garamond" w:cs="Sylfaen"/>
          <w:b/>
          <w:color w:val="000000"/>
          <w:sz w:val="22"/>
          <w:szCs w:val="22"/>
        </w:rPr>
        <w:t>Import prices and producer prices</w:t>
      </w:r>
    </w:p>
    <w:p w14:paraId="02573674" w14:textId="77777777" w:rsidR="00FF7337" w:rsidRPr="00A32AB2" w:rsidRDefault="00FF7337" w:rsidP="00FF3CD9">
      <w:pPr>
        <w:spacing w:line="360" w:lineRule="auto"/>
        <w:jc w:val="both"/>
        <w:rPr>
          <w:rFonts w:ascii="Garamond" w:hAnsi="Garamond" w:cs="Sylfaen"/>
          <w:b/>
          <w:color w:val="000000"/>
          <w:sz w:val="22"/>
          <w:szCs w:val="22"/>
        </w:rPr>
      </w:pPr>
    </w:p>
    <w:p w14:paraId="66D0B45D" w14:textId="77777777" w:rsidR="00714C05" w:rsidRPr="00A32AB2" w:rsidRDefault="00FF7337" w:rsidP="00FF3CD9">
      <w:pPr>
        <w:spacing w:line="360" w:lineRule="auto"/>
        <w:jc w:val="both"/>
        <w:rPr>
          <w:rFonts w:ascii="Garamond" w:hAnsi="Garamond"/>
          <w:sz w:val="22"/>
          <w:szCs w:val="22"/>
        </w:rPr>
      </w:pPr>
      <w:r w:rsidRPr="00A32AB2">
        <w:rPr>
          <w:rFonts w:ascii="Garamond" w:hAnsi="Garamond"/>
          <w:b/>
          <w:sz w:val="22"/>
          <w:szCs w:val="22"/>
        </w:rPr>
        <w:t>Import prices:</w:t>
      </w:r>
      <w:r w:rsidR="002A11DD" w:rsidRPr="00A32AB2">
        <w:rPr>
          <w:rFonts w:ascii="Garamond" w:hAnsi="Garamond"/>
          <w:b/>
          <w:sz w:val="22"/>
          <w:szCs w:val="22"/>
          <w:lang w:val="hy-AM"/>
        </w:rPr>
        <w:t xml:space="preserve"> </w:t>
      </w:r>
      <w:r w:rsidR="006A0B32">
        <w:rPr>
          <w:rFonts w:ascii="Garamond" w:hAnsi="Garamond"/>
          <w:sz w:val="22"/>
          <w:szCs w:val="22"/>
        </w:rPr>
        <w:t xml:space="preserve">commensurate with inflationary trends in the external sector, </w:t>
      </w:r>
      <w:r w:rsidRPr="00A32AB2">
        <w:rPr>
          <w:rFonts w:ascii="Garamond" w:hAnsi="Garamond"/>
          <w:sz w:val="22"/>
          <w:szCs w:val="22"/>
        </w:rPr>
        <w:t xml:space="preserve">the dollar prices of import of goods and services </w:t>
      </w:r>
      <w:r w:rsidR="002C3366" w:rsidRPr="00A32AB2">
        <w:rPr>
          <w:rFonts w:ascii="Garamond" w:hAnsi="Garamond"/>
          <w:sz w:val="22"/>
          <w:szCs w:val="22"/>
        </w:rPr>
        <w:t xml:space="preserve">grew </w:t>
      </w:r>
      <w:r w:rsidR="006A0B32" w:rsidRPr="00A32AB2">
        <w:rPr>
          <w:rFonts w:ascii="Garamond" w:hAnsi="Garamond"/>
          <w:sz w:val="22"/>
          <w:szCs w:val="22"/>
        </w:rPr>
        <w:t xml:space="preserve">in the </w:t>
      </w:r>
      <w:r w:rsidR="006A0B32">
        <w:rPr>
          <w:rFonts w:ascii="Garamond" w:hAnsi="Garamond"/>
          <w:sz w:val="22"/>
          <w:szCs w:val="22"/>
        </w:rPr>
        <w:t>thir</w:t>
      </w:r>
      <w:r w:rsidR="006A0B32" w:rsidRPr="00A32AB2">
        <w:rPr>
          <w:rFonts w:ascii="Garamond" w:hAnsi="Garamond"/>
          <w:sz w:val="22"/>
          <w:szCs w:val="22"/>
        </w:rPr>
        <w:t xml:space="preserve">d quarter of 2016 </w:t>
      </w:r>
      <w:r w:rsidR="006A0B32">
        <w:rPr>
          <w:rFonts w:ascii="Garamond" w:hAnsi="Garamond"/>
          <w:sz w:val="22"/>
          <w:szCs w:val="22"/>
        </w:rPr>
        <w:t>by an average 0</w:t>
      </w:r>
      <w:r w:rsidRPr="00A32AB2">
        <w:rPr>
          <w:rFonts w:ascii="Garamond" w:hAnsi="Garamond"/>
          <w:sz w:val="22"/>
          <w:szCs w:val="22"/>
        </w:rPr>
        <w:t>.</w:t>
      </w:r>
      <w:r w:rsidR="006A0B32">
        <w:rPr>
          <w:rFonts w:ascii="Garamond" w:hAnsi="Garamond"/>
          <w:sz w:val="22"/>
          <w:szCs w:val="22"/>
        </w:rPr>
        <w:t>3</w:t>
      </w:r>
      <w:r w:rsidRPr="00A32AB2">
        <w:rPr>
          <w:rFonts w:ascii="Garamond" w:hAnsi="Garamond"/>
          <w:sz w:val="22"/>
          <w:szCs w:val="22"/>
        </w:rPr>
        <w:t>% q/q</w:t>
      </w:r>
      <w:r w:rsidR="006A0B32">
        <w:rPr>
          <w:rFonts w:ascii="Garamond" w:hAnsi="Garamond"/>
          <w:sz w:val="22"/>
          <w:szCs w:val="22"/>
        </w:rPr>
        <w:t xml:space="preserve">, after a reported </w:t>
      </w:r>
      <w:r w:rsidRPr="00A32AB2">
        <w:rPr>
          <w:rFonts w:ascii="Garamond" w:hAnsi="Garamond"/>
          <w:sz w:val="22"/>
          <w:szCs w:val="22"/>
        </w:rPr>
        <w:t>declin</w:t>
      </w:r>
      <w:r w:rsidR="006A0B32">
        <w:rPr>
          <w:rFonts w:ascii="Garamond" w:hAnsi="Garamond"/>
          <w:sz w:val="22"/>
          <w:szCs w:val="22"/>
        </w:rPr>
        <w:t>e in the past two years.</w:t>
      </w:r>
      <w:r w:rsidR="001C4340">
        <w:rPr>
          <w:rFonts w:ascii="Garamond" w:hAnsi="Garamond"/>
          <w:sz w:val="22"/>
          <w:szCs w:val="22"/>
        </w:rPr>
        <w:t xml:space="preserve"> The growth </w:t>
      </w:r>
      <w:r w:rsidR="001C4340" w:rsidRPr="001C4340">
        <w:rPr>
          <w:rFonts w:ascii="Garamond" w:hAnsi="Garamond"/>
          <w:sz w:val="22"/>
          <w:szCs w:val="22"/>
        </w:rPr>
        <w:t>over the same period last year amounted to</w:t>
      </w:r>
      <w:r w:rsidR="001C4340">
        <w:rPr>
          <w:rFonts w:ascii="Garamond" w:hAnsi="Garamond"/>
          <w:sz w:val="22"/>
          <w:szCs w:val="22"/>
        </w:rPr>
        <w:t xml:space="preserve"> </w:t>
      </w:r>
      <w:r w:rsidR="001C4340" w:rsidRPr="001C4340">
        <w:rPr>
          <w:rFonts w:ascii="Garamond" w:hAnsi="Garamond"/>
          <w:sz w:val="22"/>
          <w:szCs w:val="22"/>
        </w:rPr>
        <w:t>1.5%</w:t>
      </w:r>
      <w:r w:rsidR="001C4340">
        <w:rPr>
          <w:rFonts w:ascii="Garamond" w:hAnsi="Garamond"/>
          <w:sz w:val="22"/>
          <w:szCs w:val="22"/>
        </w:rPr>
        <w:t xml:space="preserve"> y/y</w:t>
      </w:r>
      <w:r w:rsidR="001C4340" w:rsidRPr="001C4340">
        <w:rPr>
          <w:rFonts w:ascii="Garamond" w:hAnsi="Garamond"/>
          <w:sz w:val="22"/>
          <w:szCs w:val="22"/>
        </w:rPr>
        <w:t>.</w:t>
      </w:r>
    </w:p>
    <w:p w14:paraId="6FA444C7" w14:textId="77777777" w:rsidR="00714C05" w:rsidRPr="00A32AB2" w:rsidRDefault="00714C05" w:rsidP="00FF3CD9">
      <w:pPr>
        <w:spacing w:line="360" w:lineRule="auto"/>
        <w:jc w:val="both"/>
        <w:rPr>
          <w:rFonts w:ascii="Garamond" w:hAnsi="Garamond"/>
          <w:sz w:val="22"/>
          <w:szCs w:val="22"/>
        </w:rPr>
      </w:pPr>
    </w:p>
    <w:p w14:paraId="0BEF73D7" w14:textId="77777777" w:rsidR="00FF7337" w:rsidRPr="00A32AB2" w:rsidRDefault="00FF7337" w:rsidP="00FF3CD9">
      <w:pPr>
        <w:spacing w:line="360" w:lineRule="auto"/>
        <w:jc w:val="both"/>
        <w:rPr>
          <w:rStyle w:val="longtext"/>
          <w:rFonts w:ascii="Garamond" w:hAnsi="Garamond"/>
          <w:sz w:val="22"/>
          <w:szCs w:val="22"/>
          <w:shd w:val="clear" w:color="auto" w:fill="FFFFFF"/>
        </w:rPr>
      </w:pPr>
      <w:r w:rsidRPr="00A32AB2">
        <w:rPr>
          <w:rStyle w:val="longtext"/>
          <w:rFonts w:ascii="Garamond" w:hAnsi="Garamond"/>
          <w:sz w:val="22"/>
          <w:szCs w:val="22"/>
          <w:shd w:val="clear" w:color="auto" w:fill="FFFFFF"/>
        </w:rPr>
        <w:t xml:space="preserve">The y/y </w:t>
      </w:r>
      <w:r w:rsidR="00211DA2">
        <w:rPr>
          <w:rStyle w:val="longtext"/>
          <w:rFonts w:ascii="Garamond" w:hAnsi="Garamond"/>
          <w:sz w:val="22"/>
          <w:szCs w:val="22"/>
          <w:shd w:val="clear" w:color="auto" w:fill="FFFFFF"/>
        </w:rPr>
        <w:t xml:space="preserve">increase </w:t>
      </w:r>
      <w:r w:rsidRPr="00A32AB2">
        <w:rPr>
          <w:rStyle w:val="longtext"/>
          <w:rFonts w:ascii="Garamond" w:hAnsi="Garamond"/>
          <w:sz w:val="22"/>
          <w:szCs w:val="22"/>
          <w:shd w:val="clear" w:color="auto" w:fill="FFFFFF"/>
        </w:rPr>
        <w:t xml:space="preserve">in dollar prices of import was </w:t>
      </w:r>
      <w:r w:rsidR="00211DA2">
        <w:rPr>
          <w:rStyle w:val="longtext"/>
          <w:rFonts w:ascii="Garamond" w:hAnsi="Garamond"/>
          <w:sz w:val="22"/>
          <w:szCs w:val="22"/>
          <w:shd w:val="clear" w:color="auto" w:fill="FFFFFF"/>
        </w:rPr>
        <w:t>determined by prices of goods and services,</w:t>
      </w:r>
      <w:r w:rsidR="00167B8F" w:rsidRPr="00A32AB2">
        <w:rPr>
          <w:rStyle w:val="longtext"/>
          <w:rFonts w:ascii="Garamond" w:hAnsi="Garamond"/>
          <w:sz w:val="22"/>
          <w:szCs w:val="22"/>
          <w:shd w:val="clear" w:color="auto" w:fill="FFFFFF"/>
        </w:rPr>
        <w:t xml:space="preserve"> which </w:t>
      </w:r>
      <w:r w:rsidR="00211DA2">
        <w:rPr>
          <w:rStyle w:val="longtext"/>
          <w:rFonts w:ascii="Garamond" w:hAnsi="Garamond"/>
          <w:sz w:val="22"/>
          <w:szCs w:val="22"/>
          <w:shd w:val="clear" w:color="auto" w:fill="FFFFFF"/>
        </w:rPr>
        <w:t xml:space="preserve">rose </w:t>
      </w:r>
      <w:r w:rsidRPr="00A32AB2">
        <w:rPr>
          <w:rStyle w:val="longtext"/>
          <w:rFonts w:ascii="Garamond" w:hAnsi="Garamond"/>
          <w:sz w:val="22"/>
          <w:szCs w:val="22"/>
          <w:shd w:val="clear" w:color="auto" w:fill="FFFFFF"/>
        </w:rPr>
        <w:t xml:space="preserve">by </w:t>
      </w:r>
      <w:r w:rsidR="00211DA2">
        <w:rPr>
          <w:rStyle w:val="longtext"/>
          <w:rFonts w:ascii="Garamond" w:hAnsi="Garamond"/>
          <w:sz w:val="22"/>
          <w:szCs w:val="22"/>
          <w:shd w:val="clear" w:color="auto" w:fill="FFFFFF"/>
        </w:rPr>
        <w:t>1 pp</w:t>
      </w:r>
      <w:r w:rsidRPr="00A32AB2">
        <w:rPr>
          <w:rStyle w:val="longtext"/>
          <w:rFonts w:ascii="Garamond" w:hAnsi="Garamond"/>
          <w:sz w:val="22"/>
          <w:szCs w:val="22"/>
          <w:shd w:val="clear" w:color="auto" w:fill="FFFFFF"/>
        </w:rPr>
        <w:t xml:space="preserve"> and </w:t>
      </w:r>
      <w:r w:rsidR="00F72DAA" w:rsidRPr="00A32AB2">
        <w:rPr>
          <w:rStyle w:val="longtext"/>
          <w:rFonts w:ascii="Garamond" w:hAnsi="Garamond"/>
          <w:sz w:val="22"/>
          <w:szCs w:val="22"/>
          <w:shd w:val="clear" w:color="auto" w:fill="FFFFFF"/>
        </w:rPr>
        <w:t>0</w:t>
      </w:r>
      <w:r w:rsidRPr="00A32AB2">
        <w:rPr>
          <w:rStyle w:val="longtext"/>
          <w:rFonts w:ascii="Garamond" w:hAnsi="Garamond"/>
          <w:sz w:val="22"/>
          <w:szCs w:val="22"/>
          <w:shd w:val="clear" w:color="auto" w:fill="FFFFFF"/>
        </w:rPr>
        <w:t>.</w:t>
      </w:r>
      <w:r w:rsidR="00211DA2">
        <w:rPr>
          <w:rStyle w:val="longtext"/>
          <w:rFonts w:ascii="Garamond" w:hAnsi="Garamond"/>
          <w:sz w:val="22"/>
          <w:szCs w:val="22"/>
          <w:shd w:val="clear" w:color="auto" w:fill="FFFFFF"/>
        </w:rPr>
        <w:t>5</w:t>
      </w:r>
      <w:r w:rsidRPr="00A32AB2">
        <w:rPr>
          <w:rStyle w:val="longtext"/>
          <w:rFonts w:ascii="Garamond" w:hAnsi="Garamond"/>
          <w:sz w:val="22"/>
          <w:szCs w:val="22"/>
          <w:shd w:val="clear" w:color="auto" w:fill="FFFFFF"/>
        </w:rPr>
        <w:t xml:space="preserve"> pp, respectively. The </w:t>
      </w:r>
      <w:r w:rsidR="005A4407" w:rsidRPr="00A32AB2">
        <w:rPr>
          <w:rStyle w:val="longtext"/>
          <w:rFonts w:ascii="Garamond" w:hAnsi="Garamond"/>
          <w:sz w:val="22"/>
          <w:szCs w:val="22"/>
          <w:shd w:val="clear" w:color="auto" w:fill="FFFFFF"/>
        </w:rPr>
        <w:t xml:space="preserve">y/y </w:t>
      </w:r>
      <w:r w:rsidR="00097B79">
        <w:rPr>
          <w:rStyle w:val="longtext"/>
          <w:rFonts w:ascii="Garamond" w:hAnsi="Garamond"/>
          <w:sz w:val="22"/>
          <w:szCs w:val="22"/>
          <w:shd w:val="clear" w:color="auto" w:fill="FFFFFF"/>
        </w:rPr>
        <w:t xml:space="preserve">growth </w:t>
      </w:r>
      <w:r w:rsidRPr="00A32AB2">
        <w:rPr>
          <w:rStyle w:val="longtext"/>
          <w:rFonts w:ascii="Garamond" w:hAnsi="Garamond"/>
          <w:sz w:val="22"/>
          <w:szCs w:val="22"/>
          <w:shd w:val="clear" w:color="auto" w:fill="FFFFFF"/>
        </w:rPr>
        <w:t xml:space="preserve">in dollar prices of import of goods was </w:t>
      </w:r>
      <w:r w:rsidR="00097B79">
        <w:rPr>
          <w:rStyle w:val="longtext"/>
          <w:rFonts w:ascii="Garamond" w:hAnsi="Garamond"/>
          <w:sz w:val="22"/>
          <w:szCs w:val="22"/>
          <w:shd w:val="clear" w:color="auto" w:fill="FFFFFF"/>
        </w:rPr>
        <w:t xml:space="preserve">equally driven </w:t>
      </w:r>
      <w:r w:rsidR="004C7B38" w:rsidRPr="00A32AB2">
        <w:rPr>
          <w:rStyle w:val="longtext"/>
          <w:rFonts w:ascii="Garamond" w:hAnsi="Garamond"/>
          <w:sz w:val="22"/>
          <w:szCs w:val="22"/>
          <w:shd w:val="clear" w:color="auto" w:fill="FFFFFF"/>
        </w:rPr>
        <w:t xml:space="preserve">by </w:t>
      </w:r>
      <w:r w:rsidR="00097B79">
        <w:rPr>
          <w:rStyle w:val="longtext"/>
          <w:rFonts w:ascii="Garamond" w:hAnsi="Garamond"/>
          <w:sz w:val="22"/>
          <w:szCs w:val="22"/>
          <w:shd w:val="clear" w:color="auto" w:fill="FFFFFF"/>
        </w:rPr>
        <w:t xml:space="preserve">increased </w:t>
      </w:r>
      <w:r w:rsidR="004C7B38" w:rsidRPr="00A32AB2">
        <w:rPr>
          <w:rStyle w:val="longtext"/>
          <w:rFonts w:ascii="Garamond" w:hAnsi="Garamond"/>
          <w:sz w:val="22"/>
          <w:szCs w:val="22"/>
          <w:shd w:val="clear" w:color="auto" w:fill="FFFFFF"/>
        </w:rPr>
        <w:t>prices of</w:t>
      </w:r>
      <w:r w:rsidR="00097B79">
        <w:rPr>
          <w:rStyle w:val="longtext"/>
          <w:rFonts w:ascii="Garamond" w:hAnsi="Garamond"/>
          <w:sz w:val="22"/>
          <w:szCs w:val="22"/>
          <w:shd w:val="clear" w:color="auto" w:fill="FFFFFF"/>
        </w:rPr>
        <w:t xml:space="preserve"> final consumption and </w:t>
      </w:r>
      <w:r w:rsidR="004C7B38" w:rsidRPr="00A32AB2">
        <w:rPr>
          <w:rStyle w:val="longtext"/>
          <w:rFonts w:ascii="Garamond" w:hAnsi="Garamond"/>
          <w:sz w:val="22"/>
          <w:szCs w:val="22"/>
          <w:shd w:val="clear" w:color="auto" w:fill="FFFFFF"/>
        </w:rPr>
        <w:t>intermediate goods</w:t>
      </w:r>
      <w:r w:rsidR="00097B79">
        <w:rPr>
          <w:rStyle w:val="longtext"/>
          <w:rFonts w:ascii="Garamond" w:hAnsi="Garamond"/>
          <w:sz w:val="22"/>
          <w:szCs w:val="22"/>
          <w:shd w:val="clear" w:color="auto" w:fill="FFFFFF"/>
        </w:rPr>
        <w:t>. In the latter case, t</w:t>
      </w:r>
      <w:r w:rsidR="00097B79" w:rsidRPr="00097B79">
        <w:rPr>
          <w:rStyle w:val="longtext"/>
          <w:rFonts w:ascii="Garamond" w:hAnsi="Garamond"/>
          <w:sz w:val="22"/>
          <w:szCs w:val="22"/>
          <w:shd w:val="clear" w:color="auto" w:fill="FFFFFF"/>
        </w:rPr>
        <w:t xml:space="preserve">he </w:t>
      </w:r>
      <w:r w:rsidR="00097B79">
        <w:rPr>
          <w:rStyle w:val="longtext"/>
          <w:rFonts w:ascii="Garamond" w:hAnsi="Garamond"/>
          <w:sz w:val="22"/>
          <w:szCs w:val="22"/>
          <w:shd w:val="clear" w:color="auto" w:fill="FFFFFF"/>
        </w:rPr>
        <w:t xml:space="preserve">price rise </w:t>
      </w:r>
      <w:r w:rsidR="00097B79" w:rsidRPr="00097B79">
        <w:rPr>
          <w:rStyle w:val="longtext"/>
          <w:rFonts w:ascii="Garamond" w:hAnsi="Garamond"/>
          <w:sz w:val="22"/>
          <w:szCs w:val="22"/>
          <w:shd w:val="clear" w:color="auto" w:fill="FFFFFF"/>
        </w:rPr>
        <w:t xml:space="preserve">was </w:t>
      </w:r>
      <w:r w:rsidR="00097B79">
        <w:rPr>
          <w:rStyle w:val="longtext"/>
          <w:rFonts w:ascii="Garamond" w:hAnsi="Garamond"/>
          <w:sz w:val="22"/>
          <w:szCs w:val="22"/>
          <w:shd w:val="clear" w:color="auto" w:fill="FFFFFF"/>
        </w:rPr>
        <w:t xml:space="preserve">somehow curbed </w:t>
      </w:r>
      <w:r w:rsidR="00097B79" w:rsidRPr="00097B79">
        <w:rPr>
          <w:rStyle w:val="longtext"/>
          <w:rFonts w:ascii="Garamond" w:hAnsi="Garamond"/>
          <w:sz w:val="22"/>
          <w:szCs w:val="22"/>
          <w:shd w:val="clear" w:color="auto" w:fill="FFFFFF"/>
        </w:rPr>
        <w:t>by a decline in</w:t>
      </w:r>
      <w:r w:rsidR="00097B79">
        <w:rPr>
          <w:rStyle w:val="longtext"/>
          <w:rFonts w:ascii="Garamond" w:hAnsi="Garamond"/>
          <w:sz w:val="22"/>
          <w:szCs w:val="22"/>
          <w:shd w:val="clear" w:color="auto" w:fill="FFFFFF"/>
        </w:rPr>
        <w:t xml:space="preserve"> </w:t>
      </w:r>
      <w:r w:rsidR="00097B79" w:rsidRPr="00097B79">
        <w:rPr>
          <w:rStyle w:val="longtext"/>
          <w:rFonts w:ascii="Garamond" w:hAnsi="Garamond"/>
          <w:sz w:val="22"/>
          <w:szCs w:val="22"/>
          <w:shd w:val="clear" w:color="auto" w:fill="FFFFFF"/>
        </w:rPr>
        <w:t xml:space="preserve">oil and gas prices </w:t>
      </w:r>
      <w:r w:rsidR="00097B79">
        <w:rPr>
          <w:rStyle w:val="longtext"/>
          <w:rFonts w:ascii="Garamond" w:hAnsi="Garamond"/>
          <w:sz w:val="22"/>
          <w:szCs w:val="22"/>
          <w:shd w:val="clear" w:color="auto" w:fill="FFFFFF"/>
        </w:rPr>
        <w:t xml:space="preserve">but depended primarily on increased </w:t>
      </w:r>
      <w:r w:rsidR="00097B79" w:rsidRPr="00097B79">
        <w:rPr>
          <w:rStyle w:val="longtext"/>
          <w:rFonts w:ascii="Garamond" w:hAnsi="Garamond"/>
          <w:sz w:val="22"/>
          <w:szCs w:val="22"/>
          <w:shd w:val="clear" w:color="auto" w:fill="FFFFFF"/>
        </w:rPr>
        <w:t xml:space="preserve">sugar </w:t>
      </w:r>
      <w:r w:rsidR="00097B79">
        <w:rPr>
          <w:rStyle w:val="longtext"/>
          <w:rFonts w:ascii="Garamond" w:hAnsi="Garamond"/>
          <w:sz w:val="22"/>
          <w:szCs w:val="22"/>
          <w:shd w:val="clear" w:color="auto" w:fill="FFFFFF"/>
        </w:rPr>
        <w:t xml:space="preserve">price </w:t>
      </w:r>
      <w:r w:rsidR="00097B79" w:rsidRPr="00097B79">
        <w:rPr>
          <w:rStyle w:val="longtext"/>
          <w:rFonts w:ascii="Garamond" w:hAnsi="Garamond"/>
          <w:sz w:val="22"/>
          <w:szCs w:val="22"/>
          <w:shd w:val="clear" w:color="auto" w:fill="FFFFFF"/>
        </w:rPr>
        <w:t xml:space="preserve">and </w:t>
      </w:r>
      <w:r w:rsidR="00097B79">
        <w:rPr>
          <w:rStyle w:val="longtext"/>
          <w:rFonts w:ascii="Garamond" w:hAnsi="Garamond"/>
          <w:sz w:val="22"/>
          <w:szCs w:val="22"/>
          <w:shd w:val="clear" w:color="auto" w:fill="FFFFFF"/>
        </w:rPr>
        <w:t xml:space="preserve">the y/y appreciation of the </w:t>
      </w:r>
      <w:r w:rsidR="00097B79" w:rsidRPr="00097B79">
        <w:rPr>
          <w:rStyle w:val="longtext"/>
          <w:rFonts w:ascii="Garamond" w:hAnsi="Garamond"/>
          <w:sz w:val="22"/>
          <w:szCs w:val="22"/>
          <w:shd w:val="clear" w:color="auto" w:fill="FFFFFF"/>
        </w:rPr>
        <w:t>partner countries</w:t>
      </w:r>
      <w:r w:rsidR="00097B79">
        <w:rPr>
          <w:rStyle w:val="longtext"/>
          <w:rFonts w:ascii="Garamond" w:hAnsi="Garamond"/>
          <w:sz w:val="22"/>
          <w:szCs w:val="22"/>
          <w:shd w:val="clear" w:color="auto" w:fill="FFFFFF"/>
        </w:rPr>
        <w:t>’</w:t>
      </w:r>
      <w:r w:rsidR="00097B79" w:rsidRPr="00097B79">
        <w:rPr>
          <w:rStyle w:val="longtext"/>
          <w:rFonts w:ascii="Garamond" w:hAnsi="Garamond"/>
          <w:sz w:val="22"/>
          <w:szCs w:val="22"/>
          <w:shd w:val="clear" w:color="auto" w:fill="FFFFFF"/>
        </w:rPr>
        <w:t xml:space="preserve"> currencies </w:t>
      </w:r>
      <w:r w:rsidR="00097B79">
        <w:rPr>
          <w:rStyle w:val="longtext"/>
          <w:rFonts w:ascii="Garamond" w:hAnsi="Garamond"/>
          <w:sz w:val="22"/>
          <w:szCs w:val="22"/>
          <w:shd w:val="clear" w:color="auto" w:fill="FFFFFF"/>
        </w:rPr>
        <w:t>versus</w:t>
      </w:r>
      <w:r w:rsidR="00097B79" w:rsidRPr="00097B79">
        <w:rPr>
          <w:rStyle w:val="longtext"/>
          <w:rFonts w:ascii="Garamond" w:hAnsi="Garamond"/>
          <w:sz w:val="22"/>
          <w:szCs w:val="22"/>
          <w:shd w:val="clear" w:color="auto" w:fill="FFFFFF"/>
        </w:rPr>
        <w:t xml:space="preserve"> the US dollar</w:t>
      </w:r>
      <w:r w:rsidRPr="00A32AB2">
        <w:rPr>
          <w:rStyle w:val="longtext"/>
          <w:rFonts w:ascii="Garamond" w:hAnsi="Garamond"/>
          <w:sz w:val="22"/>
          <w:szCs w:val="22"/>
          <w:shd w:val="clear" w:color="auto" w:fill="FFFFFF"/>
        </w:rPr>
        <w:t>.</w:t>
      </w:r>
    </w:p>
    <w:p w14:paraId="7C3BC828" w14:textId="77777777" w:rsidR="00656DB6" w:rsidRPr="00A32AB2" w:rsidRDefault="00656DB6" w:rsidP="00FF3CD9">
      <w:pPr>
        <w:spacing w:line="360" w:lineRule="auto"/>
        <w:jc w:val="both"/>
        <w:rPr>
          <w:rStyle w:val="longtext"/>
          <w:rFonts w:ascii="Garamond" w:hAnsi="Garamond"/>
          <w:sz w:val="22"/>
          <w:szCs w:val="22"/>
          <w:shd w:val="clear" w:color="auto" w:fill="FFFFFF"/>
        </w:rPr>
      </w:pPr>
    </w:p>
    <w:p w14:paraId="1C7AAA8F" w14:textId="77777777" w:rsidR="00656DB6" w:rsidRPr="00A32AB2" w:rsidRDefault="00656DB6" w:rsidP="00FF3CD9">
      <w:pPr>
        <w:spacing w:line="360" w:lineRule="auto"/>
        <w:jc w:val="both"/>
        <w:rPr>
          <w:rStyle w:val="longtext"/>
          <w:rFonts w:ascii="Garamond" w:hAnsi="Garamond"/>
          <w:sz w:val="22"/>
          <w:szCs w:val="22"/>
          <w:shd w:val="clear" w:color="auto" w:fill="FFFFFF"/>
        </w:rPr>
      </w:pPr>
      <w:r w:rsidRPr="00A32AB2">
        <w:rPr>
          <w:rStyle w:val="longtext"/>
          <w:rFonts w:ascii="Garamond" w:hAnsi="Garamond"/>
          <w:sz w:val="22"/>
          <w:szCs w:val="22"/>
          <w:shd w:val="clear" w:color="auto" w:fill="FFFFFF"/>
        </w:rPr>
        <w:t xml:space="preserve">The y/y </w:t>
      </w:r>
      <w:r w:rsidR="00097B79">
        <w:rPr>
          <w:rStyle w:val="longtext"/>
          <w:rFonts w:ascii="Garamond" w:hAnsi="Garamond"/>
          <w:sz w:val="22"/>
          <w:szCs w:val="22"/>
          <w:shd w:val="clear" w:color="auto" w:fill="FFFFFF"/>
        </w:rPr>
        <w:t>increase</w:t>
      </w:r>
      <w:r w:rsidRPr="00A32AB2">
        <w:rPr>
          <w:rStyle w:val="longtext"/>
          <w:rFonts w:ascii="Garamond" w:hAnsi="Garamond"/>
          <w:sz w:val="22"/>
          <w:szCs w:val="22"/>
          <w:shd w:val="clear" w:color="auto" w:fill="FFFFFF"/>
        </w:rPr>
        <w:t xml:space="preserve"> </w:t>
      </w:r>
      <w:r w:rsidR="00097B79">
        <w:rPr>
          <w:rStyle w:val="longtext"/>
          <w:rFonts w:ascii="Garamond" w:hAnsi="Garamond"/>
          <w:sz w:val="22"/>
          <w:szCs w:val="22"/>
          <w:shd w:val="clear" w:color="auto" w:fill="FFFFFF"/>
        </w:rPr>
        <w:t>in</w:t>
      </w:r>
      <w:r w:rsidRPr="00A32AB2">
        <w:rPr>
          <w:rStyle w:val="longtext"/>
          <w:rFonts w:ascii="Garamond" w:hAnsi="Garamond"/>
          <w:sz w:val="22"/>
          <w:szCs w:val="22"/>
          <w:shd w:val="clear" w:color="auto" w:fill="FFFFFF"/>
        </w:rPr>
        <w:t xml:space="preserve"> dollar prices of consumer goods owed to y/y </w:t>
      </w:r>
      <w:r w:rsidR="00097B79">
        <w:rPr>
          <w:rStyle w:val="longtext"/>
          <w:rFonts w:ascii="Garamond" w:hAnsi="Garamond"/>
          <w:sz w:val="22"/>
          <w:szCs w:val="22"/>
          <w:shd w:val="clear" w:color="auto" w:fill="FFFFFF"/>
        </w:rPr>
        <w:t>inc</w:t>
      </w:r>
      <w:r w:rsidRPr="00A32AB2">
        <w:rPr>
          <w:rStyle w:val="longtext"/>
          <w:rFonts w:ascii="Garamond" w:hAnsi="Garamond"/>
          <w:sz w:val="22"/>
          <w:szCs w:val="22"/>
          <w:shd w:val="clear" w:color="auto" w:fill="FFFFFF"/>
        </w:rPr>
        <w:t xml:space="preserve">rease in dollar prices in </w:t>
      </w:r>
      <w:r w:rsidR="002E3D03">
        <w:rPr>
          <w:rStyle w:val="longtext"/>
          <w:rFonts w:ascii="Garamond" w:hAnsi="Garamond"/>
          <w:sz w:val="22"/>
          <w:szCs w:val="22"/>
          <w:shd w:val="clear" w:color="auto" w:fill="FFFFFF"/>
        </w:rPr>
        <w:t>a number of partner countries</w:t>
      </w:r>
      <w:r w:rsidRPr="00A32AB2">
        <w:rPr>
          <w:rStyle w:val="longtext"/>
          <w:rFonts w:ascii="Garamond" w:hAnsi="Garamond"/>
          <w:sz w:val="22"/>
          <w:szCs w:val="22"/>
          <w:shd w:val="clear" w:color="auto" w:fill="FFFFFF"/>
        </w:rPr>
        <w:t>. Consumer goods had a 0.</w:t>
      </w:r>
      <w:r w:rsidR="002E3D03">
        <w:rPr>
          <w:rStyle w:val="longtext"/>
          <w:rFonts w:ascii="Garamond" w:hAnsi="Garamond"/>
          <w:sz w:val="22"/>
          <w:szCs w:val="22"/>
          <w:shd w:val="clear" w:color="auto" w:fill="FFFFFF"/>
        </w:rPr>
        <w:t>5</w:t>
      </w:r>
      <w:r w:rsidRPr="00A32AB2">
        <w:rPr>
          <w:rStyle w:val="longtext"/>
          <w:rFonts w:ascii="Garamond" w:hAnsi="Garamond"/>
          <w:sz w:val="22"/>
          <w:szCs w:val="22"/>
          <w:shd w:val="clear" w:color="auto" w:fill="FFFFFF"/>
        </w:rPr>
        <w:t xml:space="preserve"> pp of </w:t>
      </w:r>
      <w:r w:rsidR="002E3D03">
        <w:rPr>
          <w:rStyle w:val="longtext"/>
          <w:rFonts w:ascii="Garamond" w:hAnsi="Garamond"/>
          <w:sz w:val="22"/>
          <w:szCs w:val="22"/>
          <w:shd w:val="clear" w:color="auto" w:fill="FFFFFF"/>
        </w:rPr>
        <w:t>positive</w:t>
      </w:r>
      <w:r w:rsidRPr="00A32AB2">
        <w:rPr>
          <w:rStyle w:val="longtext"/>
          <w:rFonts w:ascii="Garamond" w:hAnsi="Garamond"/>
          <w:sz w:val="22"/>
          <w:szCs w:val="22"/>
          <w:shd w:val="clear" w:color="auto" w:fill="FFFFFF"/>
        </w:rPr>
        <w:t xml:space="preserve"> contribution.</w:t>
      </w:r>
    </w:p>
    <w:p w14:paraId="28EDE586" w14:textId="77777777" w:rsidR="004A0D05" w:rsidRPr="00A32AB2" w:rsidRDefault="004A0D05" w:rsidP="00FF3CD9">
      <w:pPr>
        <w:spacing w:line="360" w:lineRule="auto"/>
        <w:jc w:val="both"/>
        <w:rPr>
          <w:rStyle w:val="longtext"/>
          <w:rFonts w:ascii="Garamond" w:hAnsi="Garamond"/>
          <w:sz w:val="22"/>
          <w:szCs w:val="22"/>
          <w:shd w:val="clear" w:color="auto" w:fill="FFFFFF"/>
        </w:rPr>
      </w:pPr>
    </w:p>
    <w:p w14:paraId="498B1AA6" w14:textId="77777777" w:rsidR="004A0D05" w:rsidRPr="00A32AB2" w:rsidRDefault="004A0D05" w:rsidP="00FF3CD9">
      <w:pPr>
        <w:spacing w:line="360" w:lineRule="auto"/>
        <w:jc w:val="both"/>
        <w:rPr>
          <w:rFonts w:ascii="Garamond" w:hAnsi="Garamond"/>
          <w:sz w:val="22"/>
          <w:szCs w:val="22"/>
        </w:rPr>
      </w:pPr>
      <w:r w:rsidRPr="00A32AB2">
        <w:rPr>
          <w:rFonts w:ascii="Garamond" w:hAnsi="Garamond" w:cs="Sylfaen"/>
          <w:b/>
          <w:sz w:val="22"/>
          <w:szCs w:val="22"/>
        </w:rPr>
        <w:t>Producer prices</w:t>
      </w:r>
      <w:r w:rsidR="002039B9">
        <w:rPr>
          <w:rStyle w:val="FootnoteReference"/>
          <w:rFonts w:ascii="Garamond" w:hAnsi="Garamond"/>
          <w:b/>
          <w:sz w:val="22"/>
          <w:szCs w:val="22"/>
        </w:rPr>
        <w:footnoteReference w:customMarkFollows="1" w:id="10"/>
        <w:t>11</w:t>
      </w:r>
      <w:r w:rsidRPr="00A32AB2">
        <w:rPr>
          <w:rFonts w:ascii="Garamond" w:hAnsi="Garamond"/>
          <w:b/>
          <w:sz w:val="22"/>
          <w:szCs w:val="22"/>
        </w:rPr>
        <w:t>:</w:t>
      </w:r>
      <w:r w:rsidR="002A11DD" w:rsidRPr="00A32AB2">
        <w:rPr>
          <w:rFonts w:ascii="Garamond" w:hAnsi="Garamond"/>
          <w:b/>
          <w:sz w:val="22"/>
          <w:szCs w:val="22"/>
          <w:lang w:val="hy-AM"/>
        </w:rPr>
        <w:t xml:space="preserve"> </w:t>
      </w:r>
      <w:r w:rsidR="002039B9" w:rsidRPr="00A32AB2">
        <w:rPr>
          <w:rFonts w:ascii="Garamond" w:hAnsi="Garamond"/>
          <w:sz w:val="22"/>
          <w:szCs w:val="22"/>
        </w:rPr>
        <w:t>the GDP deflator in January-</w:t>
      </w:r>
      <w:r w:rsidR="002039B9">
        <w:rPr>
          <w:rFonts w:ascii="Garamond" w:hAnsi="Garamond"/>
          <w:sz w:val="22"/>
          <w:szCs w:val="22"/>
        </w:rPr>
        <w:t>September</w:t>
      </w:r>
      <w:r w:rsidR="002039B9" w:rsidRPr="00A32AB2">
        <w:rPr>
          <w:rFonts w:ascii="Garamond" w:hAnsi="Garamond"/>
          <w:sz w:val="22"/>
          <w:szCs w:val="22"/>
        </w:rPr>
        <w:t xml:space="preserve"> </w:t>
      </w:r>
      <w:r w:rsidR="002039B9">
        <w:rPr>
          <w:rFonts w:ascii="Garamond" w:hAnsi="Garamond"/>
          <w:sz w:val="22"/>
          <w:szCs w:val="22"/>
        </w:rPr>
        <w:t xml:space="preserve">of 2016 </w:t>
      </w:r>
      <w:r w:rsidR="002039B9" w:rsidRPr="00A32AB2">
        <w:rPr>
          <w:rFonts w:ascii="Garamond" w:hAnsi="Garamond"/>
          <w:sz w:val="22"/>
          <w:szCs w:val="22"/>
        </w:rPr>
        <w:t xml:space="preserve">has been </w:t>
      </w:r>
      <w:r w:rsidR="002039B9">
        <w:rPr>
          <w:rFonts w:ascii="Garamond" w:hAnsi="Garamond"/>
          <w:sz w:val="22"/>
          <w:szCs w:val="22"/>
        </w:rPr>
        <w:t xml:space="preserve">virtually unchanged in relation to the same period last year, </w:t>
      </w:r>
      <w:r w:rsidR="002039B9" w:rsidRPr="00A32AB2">
        <w:rPr>
          <w:rFonts w:ascii="Garamond" w:hAnsi="Garamond"/>
          <w:sz w:val="22"/>
          <w:szCs w:val="22"/>
        </w:rPr>
        <w:t>according to CBA estimates</w:t>
      </w:r>
      <w:r w:rsidR="002039B9">
        <w:rPr>
          <w:rFonts w:ascii="Garamond" w:hAnsi="Garamond"/>
          <w:sz w:val="22"/>
          <w:szCs w:val="22"/>
        </w:rPr>
        <w:t>.</w:t>
      </w:r>
      <w:r w:rsidR="00A0249E">
        <w:rPr>
          <w:rFonts w:ascii="Garamond" w:hAnsi="Garamond"/>
          <w:sz w:val="22"/>
          <w:szCs w:val="22"/>
        </w:rPr>
        <w:t xml:space="preserve"> P</w:t>
      </w:r>
      <w:r w:rsidR="00A0249E" w:rsidRPr="00A0249E">
        <w:rPr>
          <w:rFonts w:ascii="Garamond" w:hAnsi="Garamond"/>
          <w:sz w:val="22"/>
          <w:szCs w:val="22"/>
        </w:rPr>
        <w:t xml:space="preserve">rice developments in </w:t>
      </w:r>
      <w:r w:rsidR="00A0249E">
        <w:rPr>
          <w:rFonts w:ascii="Garamond" w:hAnsi="Garamond"/>
          <w:sz w:val="22"/>
          <w:szCs w:val="22"/>
        </w:rPr>
        <w:t xml:space="preserve">different </w:t>
      </w:r>
      <w:r w:rsidR="00A0249E" w:rsidRPr="00A0249E">
        <w:rPr>
          <w:rFonts w:ascii="Garamond" w:hAnsi="Garamond"/>
          <w:sz w:val="22"/>
          <w:szCs w:val="22"/>
        </w:rPr>
        <w:t xml:space="preserve">sectors of the economy </w:t>
      </w:r>
      <w:r w:rsidR="0029667E">
        <w:rPr>
          <w:rFonts w:ascii="Garamond" w:hAnsi="Garamond"/>
          <w:sz w:val="22"/>
          <w:szCs w:val="22"/>
        </w:rPr>
        <w:t>underlie the estimates, as follows:</w:t>
      </w:r>
    </w:p>
    <w:p w14:paraId="788A2B64" w14:textId="77777777" w:rsidR="004A0D05" w:rsidRPr="00A32AB2" w:rsidRDefault="004A0D05" w:rsidP="00FF3CD9">
      <w:pPr>
        <w:spacing w:line="360" w:lineRule="auto"/>
        <w:jc w:val="both"/>
        <w:rPr>
          <w:rFonts w:ascii="Garamond" w:hAnsi="Garamond"/>
          <w:sz w:val="22"/>
          <w:szCs w:val="22"/>
        </w:rPr>
      </w:pPr>
    </w:p>
    <w:p w14:paraId="67AF9A68" w14:textId="77777777" w:rsidR="004A0D05" w:rsidRPr="00A32AB2" w:rsidRDefault="004A0D05" w:rsidP="00FF3CD9">
      <w:pPr>
        <w:spacing w:line="360" w:lineRule="auto"/>
        <w:jc w:val="both"/>
        <w:rPr>
          <w:rFonts w:ascii="Garamond" w:hAnsi="Garamond"/>
          <w:sz w:val="22"/>
          <w:szCs w:val="22"/>
        </w:rPr>
      </w:pPr>
      <w:r w:rsidRPr="00A32AB2">
        <w:rPr>
          <w:rFonts w:ascii="Garamond" w:hAnsi="Garamond" w:cs="Sylfaen"/>
          <w:b/>
          <w:sz w:val="22"/>
          <w:szCs w:val="22"/>
        </w:rPr>
        <w:t xml:space="preserve">Industry </w:t>
      </w:r>
      <w:r w:rsidR="00C077A5" w:rsidRPr="00A32AB2">
        <w:rPr>
          <w:rFonts w:ascii="Garamond" w:hAnsi="Garamond" w:cs="Sylfaen"/>
          <w:sz w:val="22"/>
          <w:szCs w:val="22"/>
        </w:rPr>
        <w:t xml:space="preserve">reported </w:t>
      </w:r>
      <w:r w:rsidR="00D60FE6" w:rsidRPr="00A32AB2">
        <w:rPr>
          <w:rFonts w:ascii="Garamond" w:hAnsi="Garamond" w:cs="Sylfaen"/>
          <w:sz w:val="22"/>
          <w:szCs w:val="22"/>
        </w:rPr>
        <w:t>0</w:t>
      </w:r>
      <w:r w:rsidR="00C077A5" w:rsidRPr="00A32AB2">
        <w:rPr>
          <w:rFonts w:ascii="Garamond" w:hAnsi="Garamond" w:cs="Sylfaen"/>
          <w:sz w:val="22"/>
          <w:szCs w:val="22"/>
        </w:rPr>
        <w:t>.</w:t>
      </w:r>
      <w:r w:rsidR="0029667E">
        <w:rPr>
          <w:rFonts w:ascii="Garamond" w:hAnsi="Garamond" w:cs="Sylfaen"/>
          <w:sz w:val="22"/>
          <w:szCs w:val="22"/>
        </w:rPr>
        <w:t>1</w:t>
      </w:r>
      <w:r w:rsidR="00C077A5" w:rsidRPr="00A32AB2">
        <w:rPr>
          <w:rFonts w:ascii="Garamond" w:hAnsi="Garamond" w:cs="Sylfaen"/>
          <w:sz w:val="22"/>
          <w:szCs w:val="22"/>
        </w:rPr>
        <w:t xml:space="preserve">% y/y drop in prices </w:t>
      </w:r>
      <w:r w:rsidR="00D60FE6" w:rsidRPr="00A32AB2">
        <w:rPr>
          <w:rFonts w:ascii="Garamond" w:hAnsi="Garamond" w:cs="Sylfaen"/>
          <w:sz w:val="22"/>
          <w:szCs w:val="22"/>
        </w:rPr>
        <w:t xml:space="preserve">in </w:t>
      </w:r>
      <w:r w:rsidR="00D60FE6" w:rsidRPr="00A32AB2">
        <w:rPr>
          <w:rFonts w:ascii="Garamond" w:hAnsi="Garamond"/>
          <w:sz w:val="22"/>
          <w:szCs w:val="22"/>
        </w:rPr>
        <w:t>January-</w:t>
      </w:r>
      <w:r w:rsidR="0029667E">
        <w:rPr>
          <w:rFonts w:ascii="Garamond" w:hAnsi="Garamond"/>
          <w:sz w:val="22"/>
          <w:szCs w:val="22"/>
        </w:rPr>
        <w:t>September.</w:t>
      </w:r>
      <w:r w:rsidR="00D60FE6" w:rsidRPr="00A32AB2">
        <w:rPr>
          <w:rFonts w:ascii="Garamond" w:hAnsi="Garamond" w:cs="Sylfaen"/>
          <w:sz w:val="22"/>
          <w:szCs w:val="22"/>
        </w:rPr>
        <w:t xml:space="preserve"> The </w:t>
      </w:r>
      <w:r w:rsidR="0029667E">
        <w:rPr>
          <w:rFonts w:ascii="Garamond" w:hAnsi="Garamond" w:cs="Sylfaen"/>
          <w:sz w:val="22"/>
          <w:szCs w:val="22"/>
        </w:rPr>
        <w:t xml:space="preserve">1.5% price rise in </w:t>
      </w:r>
      <w:r w:rsidR="000F4AA2" w:rsidRPr="00A32AB2">
        <w:rPr>
          <w:rFonts w:ascii="Garamond" w:hAnsi="Garamond"/>
          <w:sz w:val="22"/>
          <w:szCs w:val="22"/>
        </w:rPr>
        <w:t>m</w:t>
      </w:r>
      <w:r w:rsidR="00C077A5" w:rsidRPr="00A32AB2">
        <w:rPr>
          <w:rFonts w:ascii="Garamond" w:hAnsi="Garamond"/>
          <w:sz w:val="22"/>
          <w:szCs w:val="22"/>
        </w:rPr>
        <w:t>ining</w:t>
      </w:r>
      <w:r w:rsidR="0029667E">
        <w:rPr>
          <w:rFonts w:ascii="Garamond" w:hAnsi="Garamond"/>
          <w:sz w:val="22"/>
          <w:szCs w:val="22"/>
        </w:rPr>
        <w:t xml:space="preserve"> notwithstanding</w:t>
      </w:r>
      <w:r w:rsidR="000F4AA2" w:rsidRPr="00A32AB2">
        <w:rPr>
          <w:rFonts w:ascii="Garamond" w:hAnsi="Garamond"/>
          <w:sz w:val="22"/>
          <w:szCs w:val="22"/>
        </w:rPr>
        <w:t>,</w:t>
      </w:r>
      <w:r w:rsidR="00C077A5" w:rsidRPr="00A32AB2">
        <w:rPr>
          <w:rFonts w:ascii="Garamond" w:hAnsi="Garamond"/>
          <w:sz w:val="22"/>
          <w:szCs w:val="22"/>
        </w:rPr>
        <w:t xml:space="preserve"> </w:t>
      </w:r>
      <w:r w:rsidR="0029667E">
        <w:rPr>
          <w:rFonts w:ascii="Garamond" w:hAnsi="Garamond"/>
          <w:sz w:val="22"/>
          <w:szCs w:val="22"/>
        </w:rPr>
        <w:t xml:space="preserve">the drop owed to the reduced prices in </w:t>
      </w:r>
      <w:r w:rsidR="000F4AA2" w:rsidRPr="00A32AB2">
        <w:rPr>
          <w:rFonts w:ascii="Garamond" w:hAnsi="Garamond"/>
          <w:sz w:val="22"/>
          <w:szCs w:val="22"/>
        </w:rPr>
        <w:t>p</w:t>
      </w:r>
      <w:r w:rsidRPr="00A32AB2">
        <w:rPr>
          <w:rFonts w:ascii="Garamond" w:hAnsi="Garamond"/>
          <w:sz w:val="22"/>
          <w:szCs w:val="22"/>
        </w:rPr>
        <w:t>rocessing industry (</w:t>
      </w:r>
      <w:r w:rsidR="0029667E">
        <w:rPr>
          <w:rFonts w:ascii="Garamond" w:hAnsi="Garamond"/>
          <w:sz w:val="22"/>
          <w:szCs w:val="22"/>
        </w:rPr>
        <w:t>0</w:t>
      </w:r>
      <w:r w:rsidRPr="00A32AB2">
        <w:rPr>
          <w:rFonts w:ascii="Garamond" w:hAnsi="Garamond"/>
          <w:sz w:val="22"/>
          <w:szCs w:val="22"/>
        </w:rPr>
        <w:t>.</w:t>
      </w:r>
      <w:r w:rsidR="0029667E">
        <w:rPr>
          <w:rFonts w:ascii="Garamond" w:hAnsi="Garamond"/>
          <w:sz w:val="22"/>
          <w:szCs w:val="22"/>
        </w:rPr>
        <w:t>8</w:t>
      </w:r>
      <w:r w:rsidRPr="00A32AB2">
        <w:rPr>
          <w:rFonts w:ascii="Garamond" w:hAnsi="Garamond"/>
          <w:sz w:val="22"/>
          <w:szCs w:val="22"/>
        </w:rPr>
        <w:t>%)</w:t>
      </w:r>
      <w:r w:rsidR="0029667E">
        <w:rPr>
          <w:rFonts w:ascii="Garamond" w:hAnsi="Garamond"/>
          <w:sz w:val="22"/>
          <w:szCs w:val="22"/>
        </w:rPr>
        <w:t>,</w:t>
      </w:r>
      <w:r w:rsidR="000F4AA2" w:rsidRPr="00A32AB2">
        <w:rPr>
          <w:rFonts w:ascii="Garamond" w:hAnsi="Garamond"/>
          <w:sz w:val="22"/>
          <w:szCs w:val="22"/>
        </w:rPr>
        <w:t xml:space="preserve"> energy, gas production and distribution (</w:t>
      </w:r>
      <w:r w:rsidR="0029667E">
        <w:rPr>
          <w:rFonts w:ascii="Garamond" w:hAnsi="Garamond"/>
          <w:sz w:val="22"/>
          <w:szCs w:val="22"/>
        </w:rPr>
        <w:t>2</w:t>
      </w:r>
      <w:r w:rsidR="000F4AA2" w:rsidRPr="00A32AB2">
        <w:rPr>
          <w:rFonts w:ascii="Garamond" w:hAnsi="Garamond"/>
          <w:sz w:val="22"/>
          <w:szCs w:val="22"/>
        </w:rPr>
        <w:t>.2%)</w:t>
      </w:r>
      <w:r w:rsidR="0029667E">
        <w:rPr>
          <w:rFonts w:ascii="Garamond" w:hAnsi="Garamond"/>
          <w:sz w:val="22"/>
          <w:szCs w:val="22"/>
        </w:rPr>
        <w:t xml:space="preserve"> and waste management and processing (0.2%)</w:t>
      </w:r>
      <w:r w:rsidR="00C077A5" w:rsidRPr="00A32AB2">
        <w:rPr>
          <w:rFonts w:ascii="Garamond" w:hAnsi="Garamond"/>
          <w:sz w:val="22"/>
          <w:szCs w:val="22"/>
        </w:rPr>
        <w:t xml:space="preserve">. </w:t>
      </w:r>
      <w:r w:rsidR="000D1179" w:rsidRPr="000D1179">
        <w:rPr>
          <w:rFonts w:ascii="Garamond" w:hAnsi="Garamond"/>
          <w:sz w:val="22"/>
          <w:szCs w:val="22"/>
        </w:rPr>
        <w:t xml:space="preserve">The above price developments, in turn, are due to stagnation in prices </w:t>
      </w:r>
      <w:r w:rsidR="000D1179">
        <w:rPr>
          <w:rFonts w:ascii="Garamond" w:hAnsi="Garamond"/>
          <w:sz w:val="22"/>
          <w:szCs w:val="22"/>
        </w:rPr>
        <w:t xml:space="preserve">in world ore and minerals markets as well as </w:t>
      </w:r>
      <w:r w:rsidR="000D1179" w:rsidRPr="000D1179">
        <w:rPr>
          <w:rFonts w:ascii="Garamond" w:hAnsi="Garamond"/>
          <w:sz w:val="22"/>
          <w:szCs w:val="22"/>
        </w:rPr>
        <w:t>weak external and domestic demand.</w:t>
      </w:r>
    </w:p>
    <w:p w14:paraId="56C36404" w14:textId="77777777" w:rsidR="003E6532" w:rsidRPr="00A32AB2" w:rsidRDefault="003E6532" w:rsidP="00FF3CD9">
      <w:pPr>
        <w:spacing w:line="360" w:lineRule="auto"/>
        <w:jc w:val="both"/>
        <w:rPr>
          <w:rFonts w:ascii="Garamond" w:hAnsi="Garamond"/>
          <w:sz w:val="22"/>
          <w:szCs w:val="22"/>
        </w:rPr>
      </w:pPr>
    </w:p>
    <w:p w14:paraId="20E0DE4C" w14:textId="77777777" w:rsidR="003E6532" w:rsidRPr="00A32AB2" w:rsidRDefault="003E6532" w:rsidP="00FF3CD9">
      <w:pPr>
        <w:spacing w:line="360" w:lineRule="auto"/>
        <w:jc w:val="both"/>
        <w:rPr>
          <w:rFonts w:ascii="Garamond" w:hAnsi="Garamond"/>
          <w:sz w:val="22"/>
          <w:szCs w:val="22"/>
        </w:rPr>
      </w:pPr>
      <w:r w:rsidRPr="00A32AB2">
        <w:rPr>
          <w:rFonts w:ascii="Garamond" w:hAnsi="Garamond"/>
          <w:b/>
          <w:sz w:val="22"/>
          <w:szCs w:val="22"/>
        </w:rPr>
        <w:lastRenderedPageBreak/>
        <w:t>Agriculture</w:t>
      </w:r>
      <w:r w:rsidR="002A11DD" w:rsidRPr="00A32AB2">
        <w:rPr>
          <w:rFonts w:ascii="Garamond" w:hAnsi="Garamond"/>
          <w:b/>
          <w:sz w:val="22"/>
          <w:szCs w:val="22"/>
          <w:lang w:val="hy-AM"/>
        </w:rPr>
        <w:t xml:space="preserve"> </w:t>
      </w:r>
      <w:r w:rsidR="00975A03" w:rsidRPr="00A32AB2">
        <w:rPr>
          <w:rFonts w:ascii="Garamond" w:hAnsi="Garamond"/>
          <w:sz w:val="22"/>
          <w:szCs w:val="22"/>
        </w:rPr>
        <w:t>posted</w:t>
      </w:r>
      <w:r w:rsidRPr="00A32AB2">
        <w:rPr>
          <w:rFonts w:ascii="Garamond" w:hAnsi="Garamond"/>
          <w:sz w:val="22"/>
          <w:szCs w:val="22"/>
        </w:rPr>
        <w:t xml:space="preserve"> </w:t>
      </w:r>
      <w:r w:rsidR="00B164AF">
        <w:rPr>
          <w:rFonts w:ascii="Garamond" w:hAnsi="Garamond"/>
          <w:sz w:val="22"/>
          <w:szCs w:val="22"/>
        </w:rPr>
        <w:t>2</w:t>
      </w:r>
      <w:r w:rsidRPr="00A32AB2">
        <w:rPr>
          <w:rFonts w:ascii="Garamond" w:hAnsi="Garamond"/>
          <w:sz w:val="22"/>
          <w:szCs w:val="22"/>
        </w:rPr>
        <w:t>.</w:t>
      </w:r>
      <w:r w:rsidR="00975A03" w:rsidRPr="00A32AB2">
        <w:rPr>
          <w:rFonts w:ascii="Garamond" w:hAnsi="Garamond"/>
          <w:sz w:val="22"/>
          <w:szCs w:val="22"/>
        </w:rPr>
        <w:t xml:space="preserve">4% </w:t>
      </w:r>
      <w:r w:rsidR="00B164AF">
        <w:rPr>
          <w:rFonts w:ascii="Garamond" w:hAnsi="Garamond"/>
          <w:sz w:val="22"/>
          <w:szCs w:val="22"/>
        </w:rPr>
        <w:t xml:space="preserve">price deflation in the same period of time </w:t>
      </w:r>
      <w:r w:rsidRPr="00A32AB2">
        <w:rPr>
          <w:rFonts w:ascii="Garamond" w:hAnsi="Garamond"/>
          <w:sz w:val="22"/>
          <w:szCs w:val="22"/>
        </w:rPr>
        <w:t>a</w:t>
      </w:r>
      <w:r w:rsidR="0020769A">
        <w:rPr>
          <w:rFonts w:ascii="Garamond" w:hAnsi="Garamond"/>
          <w:sz w:val="22"/>
          <w:szCs w:val="22"/>
        </w:rPr>
        <w:t>fter a</w:t>
      </w:r>
      <w:r w:rsidRPr="00A32AB2">
        <w:rPr>
          <w:rFonts w:ascii="Garamond" w:hAnsi="Garamond"/>
          <w:sz w:val="22"/>
          <w:szCs w:val="22"/>
        </w:rPr>
        <w:t xml:space="preserve"> </w:t>
      </w:r>
      <w:r w:rsidR="00B164AF">
        <w:rPr>
          <w:rFonts w:ascii="Garamond" w:hAnsi="Garamond"/>
          <w:sz w:val="22"/>
          <w:szCs w:val="22"/>
        </w:rPr>
        <w:t xml:space="preserve">7.8% decrease in prices in </w:t>
      </w:r>
      <w:r w:rsidR="00975A03" w:rsidRPr="00A32AB2">
        <w:rPr>
          <w:rFonts w:ascii="Garamond" w:hAnsi="Garamond"/>
          <w:sz w:val="22"/>
          <w:szCs w:val="22"/>
        </w:rPr>
        <w:t>animal breeding</w:t>
      </w:r>
      <w:r w:rsidR="00B164AF">
        <w:rPr>
          <w:rFonts w:ascii="Garamond" w:hAnsi="Garamond"/>
          <w:sz w:val="22"/>
          <w:szCs w:val="22"/>
        </w:rPr>
        <w:t xml:space="preserve"> amid a price rise </w:t>
      </w:r>
      <w:r w:rsidR="00B164AF" w:rsidRPr="00A32AB2">
        <w:rPr>
          <w:rFonts w:ascii="Garamond" w:hAnsi="Garamond"/>
          <w:sz w:val="22"/>
          <w:szCs w:val="22"/>
        </w:rPr>
        <w:t>in plant growing (</w:t>
      </w:r>
      <w:r w:rsidR="00B164AF">
        <w:rPr>
          <w:rFonts w:ascii="Garamond" w:hAnsi="Garamond"/>
          <w:sz w:val="22"/>
          <w:szCs w:val="22"/>
        </w:rPr>
        <w:t>4</w:t>
      </w:r>
      <w:r w:rsidR="00B164AF" w:rsidRPr="00A32AB2">
        <w:rPr>
          <w:rFonts w:ascii="Garamond" w:hAnsi="Garamond"/>
          <w:sz w:val="22"/>
          <w:szCs w:val="22"/>
        </w:rPr>
        <w:t>.</w:t>
      </w:r>
      <w:r w:rsidR="00B164AF">
        <w:rPr>
          <w:rFonts w:ascii="Garamond" w:hAnsi="Garamond"/>
          <w:sz w:val="22"/>
          <w:szCs w:val="22"/>
        </w:rPr>
        <w:t>2</w:t>
      </w:r>
      <w:r w:rsidR="00B164AF" w:rsidRPr="00A32AB2">
        <w:rPr>
          <w:rFonts w:ascii="Garamond" w:hAnsi="Garamond"/>
          <w:sz w:val="22"/>
          <w:szCs w:val="22"/>
        </w:rPr>
        <w:t>%)</w:t>
      </w:r>
      <w:r w:rsidR="00B164AF">
        <w:rPr>
          <w:rFonts w:ascii="Garamond" w:hAnsi="Garamond"/>
          <w:sz w:val="22"/>
          <w:szCs w:val="22"/>
        </w:rPr>
        <w:t>.</w:t>
      </w:r>
      <w:r w:rsidR="00975A03" w:rsidRPr="00A32AB2">
        <w:rPr>
          <w:rFonts w:ascii="Garamond" w:hAnsi="Garamond"/>
          <w:sz w:val="22"/>
          <w:szCs w:val="22"/>
        </w:rPr>
        <w:t xml:space="preserve"> The fall in prices is due to </w:t>
      </w:r>
      <w:r w:rsidR="0020769A">
        <w:rPr>
          <w:rFonts w:ascii="Garamond" w:hAnsi="Garamond"/>
          <w:sz w:val="22"/>
          <w:szCs w:val="22"/>
        </w:rPr>
        <w:t xml:space="preserve">a sluggish domestic demand whereas price inflation in plant growing is a result of reduced output </w:t>
      </w:r>
      <w:r w:rsidR="00975A03" w:rsidRPr="00A32AB2">
        <w:rPr>
          <w:rFonts w:ascii="Garamond" w:hAnsi="Garamond"/>
          <w:sz w:val="22"/>
          <w:szCs w:val="22"/>
        </w:rPr>
        <w:t>the</w:t>
      </w:r>
      <w:r w:rsidR="0020769A">
        <w:rPr>
          <w:rFonts w:ascii="Garamond" w:hAnsi="Garamond"/>
          <w:sz w:val="22"/>
          <w:szCs w:val="22"/>
        </w:rPr>
        <w:t>re in comparison with the previous year</w:t>
      </w:r>
      <w:r w:rsidR="00975A03" w:rsidRPr="00A32AB2">
        <w:rPr>
          <w:rFonts w:ascii="Garamond" w:hAnsi="Garamond"/>
          <w:sz w:val="22"/>
          <w:szCs w:val="22"/>
        </w:rPr>
        <w:t>.</w:t>
      </w:r>
      <w:r w:rsidRPr="00A32AB2">
        <w:rPr>
          <w:rFonts w:ascii="Garamond" w:hAnsi="Garamond"/>
          <w:sz w:val="22"/>
          <w:szCs w:val="22"/>
        </w:rPr>
        <w:t xml:space="preserve"> </w:t>
      </w:r>
    </w:p>
    <w:p w14:paraId="6DBCD236" w14:textId="77777777" w:rsidR="003E6532" w:rsidRPr="00A32AB2" w:rsidRDefault="003E6532" w:rsidP="00FF3CD9">
      <w:pPr>
        <w:spacing w:line="360" w:lineRule="auto"/>
        <w:jc w:val="both"/>
        <w:rPr>
          <w:rFonts w:ascii="Garamond" w:hAnsi="Garamond"/>
          <w:sz w:val="22"/>
          <w:szCs w:val="22"/>
        </w:rPr>
      </w:pPr>
    </w:p>
    <w:p w14:paraId="7FD96231" w14:textId="77777777" w:rsidR="00F51B36" w:rsidRPr="00A32AB2" w:rsidRDefault="00F51B36" w:rsidP="00FF3CD9">
      <w:pPr>
        <w:spacing w:line="360" w:lineRule="auto"/>
        <w:jc w:val="both"/>
        <w:rPr>
          <w:rFonts w:ascii="Garamond" w:hAnsi="Garamond"/>
          <w:sz w:val="22"/>
          <w:szCs w:val="22"/>
        </w:rPr>
      </w:pPr>
      <w:r w:rsidRPr="00A32AB2">
        <w:rPr>
          <w:rFonts w:ascii="Garamond" w:hAnsi="Garamond"/>
          <w:b/>
          <w:sz w:val="22"/>
          <w:szCs w:val="22"/>
        </w:rPr>
        <w:t xml:space="preserve">Construction </w:t>
      </w:r>
      <w:r w:rsidR="0020769A">
        <w:rPr>
          <w:rFonts w:ascii="Garamond" w:hAnsi="Garamond"/>
          <w:sz w:val="22"/>
          <w:szCs w:val="22"/>
        </w:rPr>
        <w:t>reported</w:t>
      </w:r>
      <w:r w:rsidR="002A11DD" w:rsidRPr="00A32AB2">
        <w:rPr>
          <w:rFonts w:ascii="Garamond" w:hAnsi="Garamond"/>
          <w:sz w:val="22"/>
          <w:szCs w:val="22"/>
          <w:lang w:val="hy-AM"/>
        </w:rPr>
        <w:t xml:space="preserve"> </w:t>
      </w:r>
      <w:r w:rsidR="00EC45CF" w:rsidRPr="00A32AB2">
        <w:rPr>
          <w:rFonts w:ascii="Garamond" w:hAnsi="Garamond"/>
          <w:sz w:val="22"/>
          <w:szCs w:val="22"/>
        </w:rPr>
        <w:t xml:space="preserve">a </w:t>
      </w:r>
      <w:r w:rsidR="0020769A">
        <w:rPr>
          <w:rFonts w:ascii="Garamond" w:hAnsi="Garamond"/>
          <w:sz w:val="22"/>
          <w:szCs w:val="22"/>
        </w:rPr>
        <w:t>1</w:t>
      </w:r>
      <w:r w:rsidRPr="00A32AB2">
        <w:rPr>
          <w:rFonts w:ascii="Garamond" w:hAnsi="Garamond"/>
          <w:sz w:val="22"/>
          <w:szCs w:val="22"/>
        </w:rPr>
        <w:t>.</w:t>
      </w:r>
      <w:r w:rsidR="0020769A">
        <w:rPr>
          <w:rFonts w:ascii="Garamond" w:hAnsi="Garamond"/>
          <w:sz w:val="22"/>
          <w:szCs w:val="22"/>
        </w:rPr>
        <w:t>6</w:t>
      </w:r>
      <w:r w:rsidRPr="00A32AB2">
        <w:rPr>
          <w:rFonts w:ascii="Garamond" w:hAnsi="Garamond"/>
          <w:sz w:val="22"/>
          <w:szCs w:val="22"/>
        </w:rPr>
        <w:t xml:space="preserve">% y/y price </w:t>
      </w:r>
      <w:r w:rsidR="00EC45CF" w:rsidRPr="00A32AB2">
        <w:rPr>
          <w:rFonts w:ascii="Garamond" w:hAnsi="Garamond"/>
          <w:sz w:val="22"/>
          <w:szCs w:val="22"/>
        </w:rPr>
        <w:t>de</w:t>
      </w:r>
      <w:r w:rsidR="0020769A">
        <w:rPr>
          <w:rFonts w:ascii="Garamond" w:hAnsi="Garamond"/>
          <w:sz w:val="22"/>
          <w:szCs w:val="22"/>
        </w:rPr>
        <w:t>flation in</w:t>
      </w:r>
      <w:r w:rsidR="00EC45CF" w:rsidRPr="00A32AB2">
        <w:rPr>
          <w:rFonts w:ascii="Garamond" w:hAnsi="Garamond" w:cs="Sylfaen"/>
          <w:sz w:val="22"/>
          <w:szCs w:val="22"/>
          <w:lang w:val="hy-AM"/>
        </w:rPr>
        <w:t xml:space="preserve"> </w:t>
      </w:r>
      <w:r w:rsidR="00EC45CF" w:rsidRPr="00A32AB2">
        <w:rPr>
          <w:rFonts w:ascii="Garamond" w:hAnsi="Garamond"/>
          <w:sz w:val="22"/>
          <w:szCs w:val="22"/>
        </w:rPr>
        <w:t>January-</w:t>
      </w:r>
      <w:r w:rsidR="0020769A">
        <w:rPr>
          <w:rFonts w:ascii="Garamond" w:hAnsi="Garamond"/>
          <w:sz w:val="22"/>
          <w:szCs w:val="22"/>
        </w:rPr>
        <w:t>September</w:t>
      </w:r>
      <w:r w:rsidR="00EC45CF" w:rsidRPr="00A32AB2">
        <w:rPr>
          <w:rFonts w:ascii="Garamond" w:hAnsi="Garamond" w:cs="Sylfaen"/>
          <w:sz w:val="22"/>
          <w:szCs w:val="22"/>
        </w:rPr>
        <w:t xml:space="preserve"> </w:t>
      </w:r>
      <w:r w:rsidR="0020769A">
        <w:rPr>
          <w:rFonts w:ascii="Garamond" w:hAnsi="Garamond" w:cs="Sylfaen"/>
          <w:sz w:val="22"/>
          <w:szCs w:val="22"/>
        </w:rPr>
        <w:t xml:space="preserve">on the back of </w:t>
      </w:r>
      <w:r w:rsidR="00EC45CF" w:rsidRPr="00A32AB2">
        <w:rPr>
          <w:rFonts w:ascii="Garamond" w:hAnsi="Garamond"/>
          <w:sz w:val="22"/>
          <w:szCs w:val="22"/>
        </w:rPr>
        <w:t xml:space="preserve">reduced </w:t>
      </w:r>
      <w:r w:rsidRPr="00A32AB2">
        <w:rPr>
          <w:rFonts w:ascii="Garamond" w:hAnsi="Garamond"/>
          <w:sz w:val="22"/>
          <w:szCs w:val="22"/>
        </w:rPr>
        <w:t>costs in construction and assembly works (</w:t>
      </w:r>
      <w:r w:rsidR="00EC45CF" w:rsidRPr="00A32AB2">
        <w:rPr>
          <w:rFonts w:ascii="Garamond" w:hAnsi="Garamond"/>
          <w:sz w:val="22"/>
          <w:szCs w:val="22"/>
        </w:rPr>
        <w:t>1</w:t>
      </w:r>
      <w:r w:rsidRPr="00A32AB2">
        <w:rPr>
          <w:rFonts w:ascii="Garamond" w:hAnsi="Garamond"/>
          <w:sz w:val="22"/>
          <w:szCs w:val="22"/>
        </w:rPr>
        <w:t>.</w:t>
      </w:r>
      <w:r w:rsidR="0020769A">
        <w:rPr>
          <w:rFonts w:ascii="Garamond" w:hAnsi="Garamond"/>
          <w:sz w:val="22"/>
          <w:szCs w:val="22"/>
        </w:rPr>
        <w:t>8</w:t>
      </w:r>
      <w:r w:rsidRPr="00A32AB2">
        <w:rPr>
          <w:rFonts w:ascii="Garamond" w:hAnsi="Garamond"/>
          <w:sz w:val="22"/>
          <w:szCs w:val="22"/>
        </w:rPr>
        <w:t>%)</w:t>
      </w:r>
      <w:r w:rsidR="00EC45CF" w:rsidRPr="00A32AB2">
        <w:rPr>
          <w:rFonts w:ascii="Garamond" w:hAnsi="Garamond"/>
          <w:sz w:val="22"/>
          <w:szCs w:val="22"/>
        </w:rPr>
        <w:t xml:space="preserve">, </w:t>
      </w:r>
      <w:r w:rsidR="0020769A">
        <w:rPr>
          <w:rFonts w:ascii="Garamond" w:hAnsi="Garamond"/>
          <w:sz w:val="22"/>
          <w:szCs w:val="22"/>
        </w:rPr>
        <w:t xml:space="preserve">capital investment </w:t>
      </w:r>
      <w:r w:rsidR="00772E0A">
        <w:rPr>
          <w:rFonts w:ascii="Garamond" w:hAnsi="Garamond"/>
          <w:sz w:val="22"/>
          <w:szCs w:val="22"/>
        </w:rPr>
        <w:t xml:space="preserve">(1.6%), </w:t>
      </w:r>
      <w:r w:rsidRPr="00A32AB2">
        <w:rPr>
          <w:rFonts w:ascii="Garamond" w:hAnsi="Garamond"/>
          <w:sz w:val="22"/>
          <w:szCs w:val="22"/>
        </w:rPr>
        <w:t>equipment and materials (0.</w:t>
      </w:r>
      <w:r w:rsidR="00EC45CF" w:rsidRPr="00A32AB2">
        <w:rPr>
          <w:rFonts w:ascii="Garamond" w:hAnsi="Garamond"/>
          <w:sz w:val="22"/>
          <w:szCs w:val="22"/>
        </w:rPr>
        <w:t>7</w:t>
      </w:r>
      <w:r w:rsidRPr="00A32AB2">
        <w:rPr>
          <w:rFonts w:ascii="Garamond" w:hAnsi="Garamond"/>
          <w:sz w:val="22"/>
          <w:szCs w:val="22"/>
        </w:rPr>
        <w:t>%)</w:t>
      </w:r>
      <w:r w:rsidR="00EC45CF" w:rsidRPr="00A32AB2">
        <w:rPr>
          <w:rFonts w:ascii="Garamond" w:hAnsi="Garamond"/>
          <w:sz w:val="22"/>
          <w:szCs w:val="22"/>
        </w:rPr>
        <w:t xml:space="preserve"> and other expenditures (0.</w:t>
      </w:r>
      <w:r w:rsidR="00772E0A">
        <w:rPr>
          <w:rFonts w:ascii="Garamond" w:hAnsi="Garamond"/>
          <w:sz w:val="22"/>
          <w:szCs w:val="22"/>
        </w:rPr>
        <w:t>6</w:t>
      </w:r>
      <w:r w:rsidR="00EC45CF" w:rsidRPr="00A32AB2">
        <w:rPr>
          <w:rFonts w:ascii="Garamond" w:hAnsi="Garamond"/>
          <w:sz w:val="22"/>
          <w:szCs w:val="22"/>
        </w:rPr>
        <w:t>%)</w:t>
      </w:r>
      <w:r w:rsidRPr="00A32AB2">
        <w:rPr>
          <w:rFonts w:ascii="Garamond" w:hAnsi="Garamond"/>
          <w:sz w:val="22"/>
          <w:szCs w:val="22"/>
        </w:rPr>
        <w:t>.</w:t>
      </w:r>
      <w:r w:rsidR="00EC45CF" w:rsidRPr="00A32AB2">
        <w:rPr>
          <w:rFonts w:ascii="Garamond" w:hAnsi="Garamond"/>
          <w:sz w:val="22"/>
          <w:szCs w:val="22"/>
        </w:rPr>
        <w:t xml:space="preserve"> The price deflation </w:t>
      </w:r>
      <w:r w:rsidR="00240A76">
        <w:rPr>
          <w:rFonts w:ascii="Garamond" w:hAnsi="Garamond"/>
          <w:sz w:val="22"/>
          <w:szCs w:val="22"/>
        </w:rPr>
        <w:t>is a</w:t>
      </w:r>
      <w:r w:rsidR="0099740A" w:rsidRPr="00A32AB2">
        <w:rPr>
          <w:rFonts w:ascii="Garamond" w:hAnsi="Garamond"/>
          <w:sz w:val="22"/>
          <w:szCs w:val="22"/>
        </w:rPr>
        <w:t xml:space="preserve"> result of </w:t>
      </w:r>
      <w:r w:rsidR="00240A76">
        <w:rPr>
          <w:rFonts w:ascii="Garamond" w:hAnsi="Garamond"/>
          <w:sz w:val="22"/>
          <w:szCs w:val="22"/>
        </w:rPr>
        <w:t xml:space="preserve">contracted output and </w:t>
      </w:r>
      <w:r w:rsidR="0099740A" w:rsidRPr="00A32AB2">
        <w:rPr>
          <w:rFonts w:ascii="Garamond" w:hAnsi="Garamond"/>
          <w:sz w:val="22"/>
          <w:szCs w:val="22"/>
        </w:rPr>
        <w:t xml:space="preserve">reduced </w:t>
      </w:r>
      <w:r w:rsidR="00EC45CF" w:rsidRPr="00A32AB2">
        <w:rPr>
          <w:rFonts w:ascii="Garamond" w:hAnsi="Garamond"/>
          <w:sz w:val="22"/>
          <w:szCs w:val="22"/>
        </w:rPr>
        <w:t xml:space="preserve">wages </w:t>
      </w:r>
      <w:r w:rsidR="0099740A" w:rsidRPr="00A32AB2">
        <w:rPr>
          <w:rFonts w:ascii="Garamond" w:hAnsi="Garamond"/>
          <w:sz w:val="22"/>
          <w:szCs w:val="22"/>
        </w:rPr>
        <w:t>in the construction sector</w:t>
      </w:r>
      <w:r w:rsidR="00EC45CF" w:rsidRPr="00A32AB2">
        <w:rPr>
          <w:rFonts w:ascii="Garamond" w:hAnsi="Garamond"/>
          <w:sz w:val="22"/>
          <w:szCs w:val="22"/>
        </w:rPr>
        <w:t xml:space="preserve">. </w:t>
      </w:r>
    </w:p>
    <w:p w14:paraId="5198E650" w14:textId="77777777" w:rsidR="00F51B36" w:rsidRPr="00A32AB2" w:rsidRDefault="00F51B36" w:rsidP="00FF3CD9">
      <w:pPr>
        <w:spacing w:line="360" w:lineRule="auto"/>
        <w:jc w:val="both"/>
        <w:rPr>
          <w:rFonts w:ascii="Garamond" w:hAnsi="Garamond"/>
          <w:sz w:val="22"/>
          <w:szCs w:val="22"/>
        </w:rPr>
      </w:pPr>
    </w:p>
    <w:p w14:paraId="71C87648" w14:textId="77777777" w:rsidR="00F51B36" w:rsidRPr="00A32AB2" w:rsidRDefault="00F51B36" w:rsidP="00FF3CD9">
      <w:pPr>
        <w:spacing w:line="360" w:lineRule="auto"/>
        <w:jc w:val="both"/>
        <w:rPr>
          <w:rFonts w:ascii="Garamond" w:hAnsi="Garamond"/>
          <w:sz w:val="22"/>
          <w:szCs w:val="22"/>
        </w:rPr>
      </w:pPr>
      <w:r w:rsidRPr="00A32AB2">
        <w:rPr>
          <w:rFonts w:ascii="Garamond" w:hAnsi="Garamond"/>
          <w:b/>
          <w:sz w:val="22"/>
          <w:szCs w:val="22"/>
        </w:rPr>
        <w:t>Carriage service</w:t>
      </w:r>
      <w:r w:rsidR="00240A76">
        <w:rPr>
          <w:rStyle w:val="FootnoteReference"/>
          <w:rFonts w:ascii="Garamond" w:hAnsi="Garamond"/>
          <w:b/>
          <w:sz w:val="22"/>
          <w:szCs w:val="22"/>
        </w:rPr>
        <w:footnoteReference w:customMarkFollows="1" w:id="11"/>
        <w:t>12</w:t>
      </w:r>
      <w:r w:rsidRPr="00A32AB2">
        <w:rPr>
          <w:rFonts w:ascii="Garamond" w:hAnsi="Garamond"/>
          <w:b/>
          <w:sz w:val="22"/>
          <w:szCs w:val="22"/>
        </w:rPr>
        <w:t xml:space="preserve"> </w:t>
      </w:r>
      <w:r w:rsidRPr="00A32AB2">
        <w:rPr>
          <w:rFonts w:ascii="Garamond" w:hAnsi="Garamond"/>
          <w:sz w:val="22"/>
          <w:szCs w:val="22"/>
        </w:rPr>
        <w:t xml:space="preserve">reported </w:t>
      </w:r>
      <w:r w:rsidR="00C50087" w:rsidRPr="00A32AB2">
        <w:rPr>
          <w:rFonts w:ascii="Garamond" w:hAnsi="Garamond"/>
          <w:sz w:val="22"/>
          <w:szCs w:val="22"/>
        </w:rPr>
        <w:t xml:space="preserve">a </w:t>
      </w:r>
      <w:r w:rsidR="00240A76">
        <w:rPr>
          <w:rFonts w:ascii="Garamond" w:hAnsi="Garamond"/>
          <w:sz w:val="22"/>
          <w:szCs w:val="22"/>
        </w:rPr>
        <w:t>5</w:t>
      </w:r>
      <w:r w:rsidR="00C50087" w:rsidRPr="00A32AB2">
        <w:rPr>
          <w:rFonts w:ascii="Garamond" w:hAnsi="Garamond"/>
          <w:sz w:val="22"/>
          <w:szCs w:val="22"/>
        </w:rPr>
        <w:t>.</w:t>
      </w:r>
      <w:r w:rsidR="00240A76">
        <w:rPr>
          <w:rFonts w:ascii="Garamond" w:hAnsi="Garamond"/>
          <w:sz w:val="22"/>
          <w:szCs w:val="22"/>
        </w:rPr>
        <w:t>2</w:t>
      </w:r>
      <w:r w:rsidRPr="00A32AB2">
        <w:rPr>
          <w:rFonts w:ascii="Garamond" w:hAnsi="Garamond"/>
          <w:sz w:val="22"/>
          <w:szCs w:val="22"/>
        </w:rPr>
        <w:t>% y/y d</w:t>
      </w:r>
      <w:r w:rsidR="00C50087" w:rsidRPr="00A32AB2">
        <w:rPr>
          <w:rFonts w:ascii="Garamond" w:hAnsi="Garamond"/>
          <w:sz w:val="22"/>
          <w:szCs w:val="22"/>
        </w:rPr>
        <w:t xml:space="preserve">rop </w:t>
      </w:r>
      <w:r w:rsidRPr="00A32AB2">
        <w:rPr>
          <w:rFonts w:ascii="Garamond" w:hAnsi="Garamond"/>
          <w:sz w:val="22"/>
          <w:szCs w:val="22"/>
        </w:rPr>
        <w:t xml:space="preserve">in tariffs </w:t>
      </w:r>
      <w:r w:rsidR="00240A76">
        <w:rPr>
          <w:rFonts w:ascii="Garamond" w:hAnsi="Garamond"/>
          <w:sz w:val="22"/>
          <w:szCs w:val="22"/>
        </w:rPr>
        <w:t xml:space="preserve">in </w:t>
      </w:r>
      <w:r w:rsidR="00C50087" w:rsidRPr="00A32AB2">
        <w:rPr>
          <w:rFonts w:ascii="Garamond" w:hAnsi="Garamond"/>
          <w:sz w:val="22"/>
          <w:szCs w:val="22"/>
        </w:rPr>
        <w:t>January-</w:t>
      </w:r>
      <w:r w:rsidR="00240A76">
        <w:rPr>
          <w:rFonts w:ascii="Garamond" w:hAnsi="Garamond"/>
          <w:sz w:val="22"/>
          <w:szCs w:val="22"/>
        </w:rPr>
        <w:t>September</w:t>
      </w:r>
      <w:r w:rsidR="00C50087" w:rsidRPr="00A32AB2">
        <w:rPr>
          <w:rFonts w:ascii="Garamond" w:hAnsi="Garamond" w:cs="Sylfaen"/>
          <w:sz w:val="22"/>
          <w:szCs w:val="22"/>
        </w:rPr>
        <w:t xml:space="preserve"> </w:t>
      </w:r>
      <w:r w:rsidRPr="00A32AB2">
        <w:rPr>
          <w:rFonts w:ascii="Garamond" w:hAnsi="Garamond"/>
          <w:sz w:val="22"/>
          <w:szCs w:val="22"/>
        </w:rPr>
        <w:t>as a result of reduced fare of railroad transport (</w:t>
      </w:r>
      <w:r w:rsidR="00C50087" w:rsidRPr="00A32AB2">
        <w:rPr>
          <w:rFonts w:ascii="Garamond" w:hAnsi="Garamond"/>
          <w:sz w:val="22"/>
          <w:szCs w:val="22"/>
        </w:rPr>
        <w:t>2</w:t>
      </w:r>
      <w:r w:rsidRPr="00A32AB2">
        <w:rPr>
          <w:rFonts w:ascii="Garamond" w:hAnsi="Garamond"/>
          <w:sz w:val="22"/>
          <w:szCs w:val="22"/>
        </w:rPr>
        <w:t>.</w:t>
      </w:r>
      <w:r w:rsidR="00240A76">
        <w:rPr>
          <w:rFonts w:ascii="Garamond" w:hAnsi="Garamond"/>
          <w:sz w:val="22"/>
          <w:szCs w:val="22"/>
        </w:rPr>
        <w:t>1</w:t>
      </w:r>
      <w:r w:rsidRPr="00A32AB2">
        <w:rPr>
          <w:rFonts w:ascii="Garamond" w:hAnsi="Garamond"/>
          <w:sz w:val="22"/>
          <w:szCs w:val="22"/>
        </w:rPr>
        <w:t>%) and motor transport (</w:t>
      </w:r>
      <w:r w:rsidR="00C50087" w:rsidRPr="00A32AB2">
        <w:rPr>
          <w:rFonts w:ascii="Garamond" w:hAnsi="Garamond"/>
          <w:sz w:val="22"/>
          <w:szCs w:val="22"/>
        </w:rPr>
        <w:t>5</w:t>
      </w:r>
      <w:r w:rsidRPr="00A32AB2">
        <w:rPr>
          <w:rFonts w:ascii="Garamond" w:hAnsi="Garamond"/>
          <w:sz w:val="22"/>
          <w:szCs w:val="22"/>
        </w:rPr>
        <w:t>.</w:t>
      </w:r>
      <w:r w:rsidR="00240A76">
        <w:rPr>
          <w:rFonts w:ascii="Garamond" w:hAnsi="Garamond"/>
          <w:sz w:val="22"/>
          <w:szCs w:val="22"/>
        </w:rPr>
        <w:t>3</w:t>
      </w:r>
      <w:r w:rsidRPr="00A32AB2">
        <w:rPr>
          <w:rFonts w:ascii="Garamond" w:hAnsi="Garamond"/>
          <w:sz w:val="22"/>
          <w:szCs w:val="22"/>
        </w:rPr>
        <w:t>%).</w:t>
      </w:r>
      <w:r w:rsidR="00C50087" w:rsidRPr="00A32AB2">
        <w:rPr>
          <w:rFonts w:ascii="Garamond" w:hAnsi="Garamond"/>
          <w:sz w:val="22"/>
          <w:szCs w:val="22"/>
        </w:rPr>
        <w:t xml:space="preserve"> </w:t>
      </w:r>
      <w:r w:rsidR="00A00F56" w:rsidRPr="00A32AB2">
        <w:rPr>
          <w:rFonts w:ascii="Garamond" w:hAnsi="Garamond"/>
          <w:sz w:val="22"/>
          <w:szCs w:val="22"/>
        </w:rPr>
        <w:t xml:space="preserve">The </w:t>
      </w:r>
      <w:r w:rsidR="00240A76">
        <w:rPr>
          <w:rFonts w:ascii="Garamond" w:hAnsi="Garamond"/>
          <w:sz w:val="22"/>
          <w:szCs w:val="22"/>
        </w:rPr>
        <w:t xml:space="preserve">price deflation was driven by </w:t>
      </w:r>
      <w:r w:rsidR="00992E67">
        <w:rPr>
          <w:rFonts w:ascii="Garamond" w:hAnsi="Garamond"/>
          <w:sz w:val="22"/>
          <w:szCs w:val="22"/>
        </w:rPr>
        <w:t xml:space="preserve">contracted trade volumes and fallen </w:t>
      </w:r>
      <w:r w:rsidR="00A00F56" w:rsidRPr="00A32AB2">
        <w:rPr>
          <w:rFonts w:ascii="Garamond" w:hAnsi="Garamond"/>
          <w:sz w:val="22"/>
          <w:szCs w:val="22"/>
        </w:rPr>
        <w:t>prices of petrol and diesel</w:t>
      </w:r>
      <w:r w:rsidR="00992E67">
        <w:rPr>
          <w:rFonts w:ascii="Garamond" w:hAnsi="Garamond"/>
          <w:sz w:val="22"/>
          <w:szCs w:val="22"/>
        </w:rPr>
        <w:t xml:space="preserve"> in the period under review</w:t>
      </w:r>
      <w:r w:rsidR="00A00F56" w:rsidRPr="00A32AB2">
        <w:rPr>
          <w:rFonts w:ascii="Garamond" w:hAnsi="Garamond"/>
          <w:sz w:val="22"/>
          <w:szCs w:val="22"/>
        </w:rPr>
        <w:t>.</w:t>
      </w:r>
    </w:p>
    <w:p w14:paraId="326EA596" w14:textId="77777777" w:rsidR="00E31CBC" w:rsidRPr="00A32AB2" w:rsidRDefault="00E31CBC" w:rsidP="00FF3CD9">
      <w:pPr>
        <w:spacing w:line="360" w:lineRule="auto"/>
        <w:jc w:val="both"/>
        <w:rPr>
          <w:rFonts w:ascii="Garamond" w:hAnsi="Garamond"/>
          <w:sz w:val="22"/>
          <w:szCs w:val="22"/>
        </w:rPr>
      </w:pPr>
    </w:p>
    <w:p w14:paraId="59D34807" w14:textId="77777777" w:rsidR="00E31CBC" w:rsidRPr="00A32AB2" w:rsidRDefault="00E31CBC" w:rsidP="00FF3CD9">
      <w:pPr>
        <w:spacing w:line="360" w:lineRule="auto"/>
        <w:jc w:val="both"/>
        <w:rPr>
          <w:rFonts w:ascii="Garamond" w:hAnsi="Garamond"/>
          <w:b/>
          <w:sz w:val="22"/>
          <w:szCs w:val="22"/>
        </w:rPr>
      </w:pPr>
      <w:r w:rsidRPr="00A32AB2">
        <w:rPr>
          <w:rFonts w:ascii="Garamond" w:hAnsi="Garamond"/>
          <w:b/>
          <w:sz w:val="22"/>
          <w:szCs w:val="22"/>
        </w:rPr>
        <w:t>3.1.3. Inflation and interest rate expectations</w:t>
      </w:r>
    </w:p>
    <w:p w14:paraId="197F1AE6" w14:textId="77777777" w:rsidR="00E31CBC" w:rsidRPr="00A32AB2" w:rsidRDefault="00E31CBC" w:rsidP="00FF3CD9">
      <w:pPr>
        <w:spacing w:line="360" w:lineRule="auto"/>
        <w:jc w:val="both"/>
        <w:rPr>
          <w:rFonts w:ascii="Garamond" w:hAnsi="Garamond"/>
          <w:b/>
          <w:sz w:val="22"/>
          <w:szCs w:val="22"/>
        </w:rPr>
      </w:pPr>
    </w:p>
    <w:p w14:paraId="3C37A1AD" w14:textId="77777777" w:rsidR="00E31CBC" w:rsidRPr="00A32AB2" w:rsidRDefault="00E31CBC" w:rsidP="00FF3CD9">
      <w:pPr>
        <w:spacing w:line="360" w:lineRule="auto"/>
        <w:jc w:val="both"/>
        <w:rPr>
          <w:rFonts w:ascii="Garamond" w:hAnsi="Garamond"/>
          <w:iCs/>
          <w:sz w:val="22"/>
          <w:szCs w:val="22"/>
        </w:rPr>
      </w:pPr>
      <w:r w:rsidRPr="00E96F50">
        <w:rPr>
          <w:rFonts w:ascii="Garamond" w:hAnsi="Garamond"/>
          <w:iCs/>
          <w:sz w:val="22"/>
          <w:szCs w:val="22"/>
        </w:rPr>
        <w:t xml:space="preserve">The </w:t>
      </w:r>
      <w:r w:rsidRPr="00E96F50">
        <w:rPr>
          <w:rFonts w:ascii="Garamond" w:hAnsi="Garamond"/>
          <w:sz w:val="22"/>
          <w:szCs w:val="22"/>
        </w:rPr>
        <w:t>financial sector survey by the CBA</w:t>
      </w:r>
      <w:r w:rsidR="00610D1F" w:rsidRPr="00E96F50">
        <w:rPr>
          <w:rFonts w:ascii="Garamond" w:hAnsi="Garamond"/>
          <w:iCs/>
          <w:sz w:val="22"/>
          <w:szCs w:val="22"/>
        </w:rPr>
        <w:t xml:space="preserve"> for the </w:t>
      </w:r>
      <w:r w:rsidR="00E96F50" w:rsidRPr="00E96F50">
        <w:rPr>
          <w:rFonts w:ascii="Garamond" w:hAnsi="Garamond"/>
          <w:iCs/>
          <w:sz w:val="22"/>
          <w:szCs w:val="22"/>
        </w:rPr>
        <w:t>thir</w:t>
      </w:r>
      <w:r w:rsidR="001711FF" w:rsidRPr="00E96F50">
        <w:rPr>
          <w:rFonts w:ascii="Garamond" w:hAnsi="Garamond"/>
          <w:iCs/>
          <w:sz w:val="22"/>
          <w:szCs w:val="22"/>
        </w:rPr>
        <w:t>d</w:t>
      </w:r>
      <w:r w:rsidRPr="00E96F50">
        <w:rPr>
          <w:rFonts w:ascii="Garamond" w:hAnsi="Garamond"/>
          <w:iCs/>
          <w:sz w:val="22"/>
          <w:szCs w:val="22"/>
        </w:rPr>
        <w:t xml:space="preserve"> quarter of </w:t>
      </w:r>
      <w:r w:rsidR="00610D1F" w:rsidRPr="00E96F50">
        <w:rPr>
          <w:rFonts w:ascii="Garamond" w:hAnsi="Garamond"/>
          <w:iCs/>
          <w:sz w:val="22"/>
          <w:szCs w:val="22"/>
        </w:rPr>
        <w:t>2016</w:t>
      </w:r>
      <w:r w:rsidRPr="00E96F50">
        <w:rPr>
          <w:rFonts w:ascii="Garamond" w:hAnsi="Garamond"/>
          <w:iCs/>
          <w:sz w:val="22"/>
          <w:szCs w:val="22"/>
        </w:rPr>
        <w:t xml:space="preserve"> </w:t>
      </w:r>
      <w:r w:rsidR="00F1319F" w:rsidRPr="00E96F50">
        <w:rPr>
          <w:rFonts w:ascii="Garamond" w:hAnsi="Garamond"/>
          <w:iCs/>
          <w:sz w:val="22"/>
          <w:szCs w:val="22"/>
        </w:rPr>
        <w:t>shows</w:t>
      </w:r>
      <w:r w:rsidRPr="00E96F50">
        <w:rPr>
          <w:rFonts w:ascii="Garamond" w:hAnsi="Garamond"/>
          <w:iCs/>
          <w:sz w:val="22"/>
          <w:szCs w:val="22"/>
        </w:rPr>
        <w:t xml:space="preserve"> that </w:t>
      </w:r>
      <w:r w:rsidRPr="00E96F50">
        <w:rPr>
          <w:rFonts w:ascii="Garamond" w:hAnsi="Garamond"/>
          <w:sz w:val="22"/>
          <w:szCs w:val="22"/>
        </w:rPr>
        <w:t>households’ inflation</w:t>
      </w:r>
      <w:r w:rsidRPr="00A32AB2">
        <w:rPr>
          <w:rFonts w:ascii="Garamond" w:hAnsi="Garamond"/>
          <w:sz w:val="22"/>
          <w:szCs w:val="22"/>
        </w:rPr>
        <w:t xml:space="preserve"> expectations</w:t>
      </w:r>
      <w:r w:rsidR="002A11DD" w:rsidRPr="00A32AB2">
        <w:rPr>
          <w:rFonts w:ascii="Garamond" w:hAnsi="Garamond"/>
          <w:sz w:val="22"/>
          <w:szCs w:val="22"/>
          <w:lang w:val="hy-AM"/>
        </w:rPr>
        <w:t xml:space="preserve"> </w:t>
      </w:r>
      <w:r w:rsidRPr="00A32AB2">
        <w:rPr>
          <w:rFonts w:ascii="Garamond" w:hAnsi="Garamond"/>
          <w:sz w:val="22"/>
          <w:szCs w:val="22"/>
        </w:rPr>
        <w:t xml:space="preserve">for an upcoming one-year horizon have </w:t>
      </w:r>
      <w:r w:rsidR="006E25F7" w:rsidRPr="00A32AB2">
        <w:rPr>
          <w:rFonts w:ascii="Garamond" w:hAnsi="Garamond"/>
          <w:sz w:val="22"/>
          <w:szCs w:val="22"/>
        </w:rPr>
        <w:t xml:space="preserve">reduced </w:t>
      </w:r>
      <w:r w:rsidRPr="00A32AB2">
        <w:rPr>
          <w:rFonts w:ascii="Garamond" w:hAnsi="Garamond"/>
          <w:sz w:val="22"/>
          <w:szCs w:val="22"/>
        </w:rPr>
        <w:t>notably</w:t>
      </w:r>
      <w:r w:rsidR="00F1319F" w:rsidRPr="00A32AB2">
        <w:rPr>
          <w:rFonts w:ascii="Garamond" w:hAnsi="Garamond"/>
          <w:iCs/>
          <w:sz w:val="22"/>
          <w:szCs w:val="22"/>
        </w:rPr>
        <w:t xml:space="preserve"> as the</w:t>
      </w:r>
      <w:r w:rsidR="006E25F7" w:rsidRPr="00A32AB2">
        <w:rPr>
          <w:rFonts w:ascii="Garamond" w:hAnsi="Garamond"/>
          <w:iCs/>
          <w:sz w:val="22"/>
          <w:szCs w:val="22"/>
        </w:rPr>
        <w:t xml:space="preserve"> prices of goods, net of seasonal agricultural products, </w:t>
      </w:r>
      <w:r w:rsidR="000F6DDC" w:rsidRPr="00A32AB2">
        <w:rPr>
          <w:rFonts w:ascii="Garamond" w:hAnsi="Garamond"/>
          <w:iCs/>
          <w:sz w:val="22"/>
          <w:szCs w:val="22"/>
        </w:rPr>
        <w:t xml:space="preserve">followed a </w:t>
      </w:r>
      <w:r w:rsidR="00E96F50">
        <w:rPr>
          <w:rFonts w:ascii="Garamond" w:hAnsi="Garamond"/>
          <w:iCs/>
          <w:sz w:val="22"/>
          <w:szCs w:val="22"/>
        </w:rPr>
        <w:t xml:space="preserve">downward </w:t>
      </w:r>
      <w:r w:rsidR="000F6DDC" w:rsidRPr="00A32AB2">
        <w:rPr>
          <w:rFonts w:ascii="Garamond" w:hAnsi="Garamond"/>
          <w:iCs/>
          <w:sz w:val="22"/>
          <w:szCs w:val="22"/>
        </w:rPr>
        <w:t xml:space="preserve">path. </w:t>
      </w:r>
      <w:r w:rsidR="006E25F7" w:rsidRPr="00A32AB2">
        <w:rPr>
          <w:rFonts w:ascii="Garamond" w:hAnsi="Garamond"/>
          <w:iCs/>
          <w:sz w:val="22"/>
          <w:szCs w:val="22"/>
        </w:rPr>
        <w:t xml:space="preserve">Estimations produced </w:t>
      </w:r>
      <w:r w:rsidR="0092387B" w:rsidRPr="00A32AB2">
        <w:rPr>
          <w:rFonts w:ascii="Garamond" w:hAnsi="Garamond"/>
          <w:iCs/>
          <w:sz w:val="22"/>
          <w:szCs w:val="22"/>
        </w:rPr>
        <w:t xml:space="preserve">on </w:t>
      </w:r>
      <w:r w:rsidR="006E25F7" w:rsidRPr="00A32AB2">
        <w:rPr>
          <w:rFonts w:ascii="Garamond" w:hAnsi="Garamond"/>
          <w:iCs/>
          <w:sz w:val="22"/>
          <w:szCs w:val="22"/>
        </w:rPr>
        <w:t xml:space="preserve">the CBA’s core model suggest that inflation expectations reduced </w:t>
      </w:r>
      <w:r w:rsidR="0092387B" w:rsidRPr="00A32AB2">
        <w:rPr>
          <w:rFonts w:ascii="Garamond" w:hAnsi="Garamond"/>
          <w:iCs/>
          <w:sz w:val="22"/>
          <w:szCs w:val="22"/>
        </w:rPr>
        <w:t xml:space="preserve">faster </w:t>
      </w:r>
      <w:r w:rsidR="00731916" w:rsidRPr="00A32AB2">
        <w:rPr>
          <w:rFonts w:ascii="Garamond" w:hAnsi="Garamond"/>
          <w:iCs/>
          <w:sz w:val="22"/>
          <w:szCs w:val="22"/>
        </w:rPr>
        <w:t xml:space="preserve">this quarter </w:t>
      </w:r>
      <w:r w:rsidR="006E25F7" w:rsidRPr="00A32AB2">
        <w:rPr>
          <w:rFonts w:ascii="Garamond" w:hAnsi="Garamond"/>
          <w:iCs/>
          <w:sz w:val="22"/>
          <w:szCs w:val="22"/>
        </w:rPr>
        <w:t xml:space="preserve">than expected, amounting to </w:t>
      </w:r>
      <w:r w:rsidR="00D34A3A">
        <w:rPr>
          <w:rFonts w:ascii="Garamond" w:hAnsi="Garamond"/>
          <w:iCs/>
          <w:sz w:val="22"/>
          <w:szCs w:val="22"/>
        </w:rPr>
        <w:t>0</w:t>
      </w:r>
      <w:r w:rsidR="006E25F7" w:rsidRPr="00A32AB2">
        <w:rPr>
          <w:rFonts w:ascii="Garamond" w:hAnsi="Garamond"/>
          <w:iCs/>
          <w:sz w:val="22"/>
          <w:szCs w:val="22"/>
        </w:rPr>
        <w:t>.</w:t>
      </w:r>
      <w:r w:rsidR="00D34A3A">
        <w:rPr>
          <w:rFonts w:ascii="Garamond" w:hAnsi="Garamond"/>
          <w:iCs/>
          <w:sz w:val="22"/>
          <w:szCs w:val="22"/>
        </w:rPr>
        <w:t xml:space="preserve">4%, mostly driven by </w:t>
      </w:r>
      <w:r w:rsidR="00731916" w:rsidRPr="00A32AB2">
        <w:rPr>
          <w:rFonts w:ascii="Garamond" w:hAnsi="Garamond"/>
          <w:iCs/>
          <w:sz w:val="22"/>
          <w:szCs w:val="22"/>
        </w:rPr>
        <w:t>t</w:t>
      </w:r>
      <w:r w:rsidR="006E25F7" w:rsidRPr="00A32AB2">
        <w:rPr>
          <w:rFonts w:ascii="Garamond" w:hAnsi="Garamond"/>
          <w:iCs/>
          <w:sz w:val="22"/>
          <w:szCs w:val="22"/>
        </w:rPr>
        <w:t>he consistent monetary policy</w:t>
      </w:r>
      <w:r w:rsidR="00731916" w:rsidRPr="00A32AB2">
        <w:rPr>
          <w:rFonts w:ascii="Garamond" w:hAnsi="Garamond"/>
          <w:iCs/>
          <w:sz w:val="22"/>
          <w:szCs w:val="22"/>
        </w:rPr>
        <w:t xml:space="preserve"> </w:t>
      </w:r>
      <w:r w:rsidR="00D34A3A">
        <w:rPr>
          <w:rFonts w:ascii="Garamond" w:hAnsi="Garamond"/>
          <w:iCs/>
          <w:sz w:val="22"/>
          <w:szCs w:val="22"/>
        </w:rPr>
        <w:t>of</w:t>
      </w:r>
      <w:r w:rsidR="00731916" w:rsidRPr="00A32AB2">
        <w:rPr>
          <w:rFonts w:ascii="Garamond" w:hAnsi="Garamond"/>
          <w:iCs/>
          <w:sz w:val="22"/>
          <w:szCs w:val="22"/>
        </w:rPr>
        <w:t xml:space="preserve"> the CBA</w:t>
      </w:r>
      <w:r w:rsidR="00D34A3A">
        <w:rPr>
          <w:rFonts w:ascii="Garamond" w:hAnsi="Garamond"/>
          <w:iCs/>
          <w:sz w:val="22"/>
          <w:szCs w:val="22"/>
        </w:rPr>
        <w:t xml:space="preserve"> and in anticipation of </w:t>
      </w:r>
      <w:r w:rsidR="00B0387B">
        <w:rPr>
          <w:rFonts w:ascii="Garamond" w:hAnsi="Garamond"/>
          <w:iCs/>
          <w:sz w:val="22"/>
          <w:szCs w:val="22"/>
        </w:rPr>
        <w:t xml:space="preserve">gas and </w:t>
      </w:r>
      <w:r w:rsidR="00D34A3A">
        <w:rPr>
          <w:rFonts w:ascii="Garamond" w:hAnsi="Garamond"/>
          <w:iCs/>
          <w:sz w:val="22"/>
          <w:szCs w:val="22"/>
        </w:rPr>
        <w:t>electricity price reduction in the first quarter of 2017</w:t>
      </w:r>
      <w:r w:rsidR="006E25F7" w:rsidRPr="00A32AB2">
        <w:rPr>
          <w:rFonts w:ascii="Garamond" w:hAnsi="Garamond"/>
          <w:iCs/>
          <w:sz w:val="22"/>
          <w:szCs w:val="22"/>
        </w:rPr>
        <w:t>.</w:t>
      </w:r>
    </w:p>
    <w:p w14:paraId="3D42458F" w14:textId="77777777" w:rsidR="00B705A8" w:rsidRPr="00A32AB2" w:rsidRDefault="00B705A8" w:rsidP="00FF3CD9">
      <w:pPr>
        <w:spacing w:line="360" w:lineRule="auto"/>
        <w:jc w:val="both"/>
        <w:rPr>
          <w:rFonts w:ascii="Garamond" w:hAnsi="Garamond"/>
          <w:iCs/>
          <w:sz w:val="22"/>
          <w:szCs w:val="22"/>
        </w:rPr>
      </w:pPr>
    </w:p>
    <w:p w14:paraId="32736561" w14:textId="77777777" w:rsidR="00B705A8" w:rsidRPr="00A32AB2" w:rsidRDefault="00C661EF" w:rsidP="00FF3CD9">
      <w:pPr>
        <w:spacing w:line="360" w:lineRule="auto"/>
        <w:jc w:val="both"/>
        <w:rPr>
          <w:rFonts w:ascii="Garamond" w:hAnsi="Garamond"/>
          <w:iCs/>
          <w:sz w:val="22"/>
          <w:szCs w:val="22"/>
        </w:rPr>
      </w:pPr>
      <w:r w:rsidRPr="00A32AB2">
        <w:rPr>
          <w:rFonts w:ascii="Garamond" w:hAnsi="Garamond"/>
          <w:iCs/>
          <w:sz w:val="22"/>
          <w:szCs w:val="22"/>
        </w:rPr>
        <w:t xml:space="preserve">In the </w:t>
      </w:r>
      <w:r w:rsidR="006D4343">
        <w:rPr>
          <w:rFonts w:ascii="Garamond" w:hAnsi="Garamond"/>
          <w:iCs/>
          <w:sz w:val="22"/>
          <w:szCs w:val="22"/>
        </w:rPr>
        <w:t>thir</w:t>
      </w:r>
      <w:r w:rsidRPr="00A32AB2">
        <w:rPr>
          <w:rFonts w:ascii="Garamond" w:hAnsi="Garamond"/>
          <w:iCs/>
          <w:sz w:val="22"/>
          <w:szCs w:val="22"/>
        </w:rPr>
        <w:t xml:space="preserve">d quarter </w:t>
      </w:r>
      <w:r w:rsidR="003735BC" w:rsidRPr="00A32AB2">
        <w:rPr>
          <w:rFonts w:ascii="Garamond" w:hAnsi="Garamond"/>
          <w:iCs/>
          <w:sz w:val="22"/>
          <w:szCs w:val="22"/>
        </w:rPr>
        <w:t xml:space="preserve">of 2016 </w:t>
      </w:r>
      <w:r w:rsidRPr="00A32AB2">
        <w:rPr>
          <w:rFonts w:ascii="Garamond" w:hAnsi="Garamond"/>
          <w:iCs/>
          <w:sz w:val="22"/>
          <w:szCs w:val="22"/>
        </w:rPr>
        <w:t xml:space="preserve">the CBA continued its surveys with the financial sector and households to figure out their expectations of a selected number of macroeconomic indicators. The results of the survey </w:t>
      </w:r>
      <w:r w:rsidR="0058057F">
        <w:rPr>
          <w:rFonts w:ascii="Garamond" w:hAnsi="Garamond"/>
          <w:iCs/>
          <w:sz w:val="22"/>
          <w:szCs w:val="22"/>
        </w:rPr>
        <w:t xml:space="preserve">denote that </w:t>
      </w:r>
      <w:r w:rsidRPr="00A32AB2">
        <w:rPr>
          <w:rFonts w:ascii="Garamond" w:hAnsi="Garamond"/>
          <w:iCs/>
          <w:sz w:val="22"/>
          <w:szCs w:val="22"/>
        </w:rPr>
        <w:t>t</w:t>
      </w:r>
      <w:r w:rsidR="00B705A8" w:rsidRPr="00A32AB2">
        <w:rPr>
          <w:rFonts w:ascii="Garamond" w:hAnsi="Garamond"/>
          <w:sz w:val="22"/>
          <w:szCs w:val="22"/>
        </w:rPr>
        <w:t xml:space="preserve">he </w:t>
      </w:r>
      <w:r w:rsidR="00B705A8" w:rsidRPr="0058057F">
        <w:rPr>
          <w:rFonts w:ascii="Garamond" w:hAnsi="Garamond"/>
          <w:b/>
          <w:sz w:val="22"/>
          <w:szCs w:val="22"/>
        </w:rPr>
        <w:t xml:space="preserve">average level of inflation expectations </w:t>
      </w:r>
      <w:r w:rsidR="00907F05" w:rsidRPr="0058057F">
        <w:rPr>
          <w:rFonts w:ascii="Garamond" w:hAnsi="Garamond"/>
          <w:b/>
          <w:sz w:val="22"/>
          <w:szCs w:val="22"/>
        </w:rPr>
        <w:t>in</w:t>
      </w:r>
      <w:r w:rsidR="00B705A8" w:rsidRPr="0058057F">
        <w:rPr>
          <w:rFonts w:ascii="Garamond" w:hAnsi="Garamond"/>
          <w:b/>
          <w:sz w:val="22"/>
          <w:szCs w:val="22"/>
        </w:rPr>
        <w:t xml:space="preserve"> the financial system</w:t>
      </w:r>
      <w:r w:rsidR="00907F05" w:rsidRPr="0058057F">
        <w:rPr>
          <w:rFonts w:ascii="Garamond" w:hAnsi="Garamond"/>
          <w:b/>
          <w:sz w:val="22"/>
          <w:szCs w:val="22"/>
        </w:rPr>
        <w:t xml:space="preserve"> is</w:t>
      </w:r>
      <w:r w:rsidR="00B705A8" w:rsidRPr="0058057F">
        <w:rPr>
          <w:rFonts w:ascii="Garamond" w:hAnsi="Garamond"/>
          <w:b/>
          <w:sz w:val="22"/>
          <w:szCs w:val="22"/>
        </w:rPr>
        <w:t xml:space="preserve"> </w:t>
      </w:r>
      <w:r w:rsidR="0058057F">
        <w:rPr>
          <w:rFonts w:ascii="Garamond" w:hAnsi="Garamond"/>
          <w:b/>
          <w:sz w:val="22"/>
          <w:szCs w:val="22"/>
        </w:rPr>
        <w:t>2</w:t>
      </w:r>
      <w:r w:rsidRPr="0058057F">
        <w:rPr>
          <w:rFonts w:ascii="Garamond" w:hAnsi="Garamond"/>
          <w:b/>
          <w:sz w:val="22"/>
          <w:szCs w:val="22"/>
        </w:rPr>
        <w:t>.</w:t>
      </w:r>
      <w:r w:rsidR="0058057F">
        <w:rPr>
          <w:rFonts w:ascii="Garamond" w:hAnsi="Garamond"/>
          <w:b/>
          <w:sz w:val="22"/>
          <w:szCs w:val="22"/>
        </w:rPr>
        <w:t>8</w:t>
      </w:r>
      <w:r w:rsidR="00B705A8" w:rsidRPr="0058057F">
        <w:rPr>
          <w:rFonts w:ascii="Garamond" w:hAnsi="Garamond"/>
          <w:b/>
          <w:sz w:val="22"/>
          <w:szCs w:val="22"/>
        </w:rPr>
        <w:t xml:space="preserve">% </w:t>
      </w:r>
      <w:r w:rsidRPr="0058057F">
        <w:rPr>
          <w:rFonts w:ascii="Garamond" w:hAnsi="Garamond"/>
          <w:b/>
          <w:sz w:val="22"/>
          <w:szCs w:val="22"/>
        </w:rPr>
        <w:t xml:space="preserve">for </w:t>
      </w:r>
      <w:r w:rsidR="00907F05" w:rsidRPr="0058057F">
        <w:rPr>
          <w:rFonts w:ascii="Garamond" w:hAnsi="Garamond"/>
          <w:b/>
          <w:sz w:val="22"/>
          <w:szCs w:val="22"/>
        </w:rPr>
        <w:t>the upcoming one-year horizon</w:t>
      </w:r>
      <w:r w:rsidR="00907F05" w:rsidRPr="00A32AB2">
        <w:rPr>
          <w:rFonts w:ascii="Garamond" w:hAnsi="Garamond"/>
          <w:sz w:val="22"/>
          <w:szCs w:val="22"/>
        </w:rPr>
        <w:t xml:space="preserve"> compared to the relevant indicator of</w:t>
      </w:r>
      <w:r w:rsidRPr="00A32AB2">
        <w:rPr>
          <w:rFonts w:ascii="Garamond" w:hAnsi="Garamond"/>
          <w:sz w:val="22"/>
          <w:szCs w:val="22"/>
        </w:rPr>
        <w:t xml:space="preserve"> </w:t>
      </w:r>
      <w:r w:rsidRPr="00A666FC">
        <w:rPr>
          <w:rFonts w:ascii="Garamond" w:hAnsi="Garamond"/>
          <w:b/>
          <w:sz w:val="22"/>
          <w:szCs w:val="22"/>
        </w:rPr>
        <w:t>3</w:t>
      </w:r>
      <w:r w:rsidR="00B705A8" w:rsidRPr="00A666FC">
        <w:rPr>
          <w:rFonts w:ascii="Garamond" w:hAnsi="Garamond"/>
          <w:b/>
          <w:sz w:val="22"/>
          <w:szCs w:val="22"/>
        </w:rPr>
        <w:t>.</w:t>
      </w:r>
      <w:r w:rsidR="0058057F" w:rsidRPr="00A666FC">
        <w:rPr>
          <w:rFonts w:ascii="Garamond" w:hAnsi="Garamond"/>
          <w:b/>
          <w:sz w:val="22"/>
          <w:szCs w:val="22"/>
        </w:rPr>
        <w:t>0</w:t>
      </w:r>
      <w:r w:rsidR="00B705A8" w:rsidRPr="00A666FC">
        <w:rPr>
          <w:rFonts w:ascii="Garamond" w:hAnsi="Garamond"/>
          <w:b/>
          <w:sz w:val="22"/>
          <w:szCs w:val="22"/>
        </w:rPr>
        <w:t>%</w:t>
      </w:r>
      <w:r w:rsidR="00B705A8" w:rsidRPr="00A32AB2">
        <w:rPr>
          <w:rFonts w:ascii="Garamond" w:hAnsi="Garamond"/>
          <w:sz w:val="22"/>
          <w:szCs w:val="22"/>
        </w:rPr>
        <w:t xml:space="preserve"> </w:t>
      </w:r>
      <w:r w:rsidR="00907F05" w:rsidRPr="00A32AB2">
        <w:rPr>
          <w:rFonts w:ascii="Garamond" w:hAnsi="Garamond"/>
          <w:sz w:val="22"/>
          <w:szCs w:val="22"/>
        </w:rPr>
        <w:t xml:space="preserve">reported in the </w:t>
      </w:r>
      <w:r w:rsidR="0058057F">
        <w:rPr>
          <w:rFonts w:ascii="Garamond" w:hAnsi="Garamond"/>
          <w:sz w:val="22"/>
          <w:szCs w:val="22"/>
        </w:rPr>
        <w:t xml:space="preserve">previous survey, with </w:t>
      </w:r>
      <w:r w:rsidR="0058057F" w:rsidRPr="0058057F">
        <w:rPr>
          <w:rFonts w:ascii="Garamond" w:hAnsi="Garamond"/>
          <w:sz w:val="22"/>
          <w:szCs w:val="22"/>
        </w:rPr>
        <w:t>insurance companies</w:t>
      </w:r>
      <w:r w:rsidR="0058057F">
        <w:rPr>
          <w:rFonts w:ascii="Garamond" w:hAnsi="Garamond"/>
          <w:sz w:val="22"/>
          <w:szCs w:val="22"/>
        </w:rPr>
        <w:t xml:space="preserve"> accounting for </w:t>
      </w:r>
      <w:r w:rsidR="001C43BA">
        <w:rPr>
          <w:rFonts w:ascii="Garamond" w:hAnsi="Garamond"/>
          <w:sz w:val="22"/>
          <w:szCs w:val="22"/>
        </w:rPr>
        <w:t xml:space="preserve">most of the change in </w:t>
      </w:r>
      <w:r w:rsidR="0058057F">
        <w:rPr>
          <w:rFonts w:ascii="Garamond" w:hAnsi="Garamond"/>
          <w:sz w:val="22"/>
          <w:szCs w:val="22"/>
        </w:rPr>
        <w:t xml:space="preserve">inflation expectations </w:t>
      </w:r>
      <w:r w:rsidR="001C43BA">
        <w:rPr>
          <w:rFonts w:ascii="Garamond" w:hAnsi="Garamond"/>
          <w:sz w:val="22"/>
          <w:szCs w:val="22"/>
        </w:rPr>
        <w:t xml:space="preserve">from an average </w:t>
      </w:r>
      <w:r w:rsidR="001C43BA" w:rsidRPr="001C43BA">
        <w:rPr>
          <w:rFonts w:ascii="Garamond" w:hAnsi="Garamond"/>
          <w:b/>
          <w:sz w:val="22"/>
          <w:szCs w:val="22"/>
        </w:rPr>
        <w:t>3.7%</w:t>
      </w:r>
      <w:r w:rsidR="001C43BA">
        <w:rPr>
          <w:rFonts w:ascii="Garamond" w:hAnsi="Garamond"/>
          <w:sz w:val="22"/>
          <w:szCs w:val="22"/>
        </w:rPr>
        <w:t xml:space="preserve"> indicator in the previous survey to </w:t>
      </w:r>
      <w:r w:rsidR="001C43BA" w:rsidRPr="001C43BA">
        <w:rPr>
          <w:rFonts w:ascii="Garamond" w:hAnsi="Garamond"/>
          <w:b/>
          <w:sz w:val="22"/>
          <w:szCs w:val="22"/>
        </w:rPr>
        <w:t>2.7%</w:t>
      </w:r>
      <w:r w:rsidR="001C43BA">
        <w:rPr>
          <w:rFonts w:ascii="Garamond" w:hAnsi="Garamond"/>
          <w:sz w:val="22"/>
          <w:szCs w:val="22"/>
        </w:rPr>
        <w:t xml:space="preserve"> now.</w:t>
      </w:r>
      <w:r w:rsidR="00A666FC">
        <w:rPr>
          <w:rFonts w:ascii="Garamond" w:hAnsi="Garamond"/>
          <w:sz w:val="22"/>
          <w:szCs w:val="22"/>
        </w:rPr>
        <w:t xml:space="preserve"> The </w:t>
      </w:r>
      <w:r w:rsidR="00A666FC" w:rsidRPr="00A666FC">
        <w:rPr>
          <w:rFonts w:ascii="Garamond" w:hAnsi="Garamond"/>
          <w:b/>
          <w:sz w:val="22"/>
          <w:szCs w:val="22"/>
        </w:rPr>
        <w:t>commercial banks’</w:t>
      </w:r>
      <w:r w:rsidR="00A666FC">
        <w:rPr>
          <w:rFonts w:ascii="Garamond" w:hAnsi="Garamond"/>
          <w:sz w:val="22"/>
          <w:szCs w:val="22"/>
        </w:rPr>
        <w:t xml:space="preserve"> </w:t>
      </w:r>
      <w:r w:rsidR="00A666FC" w:rsidRPr="00A666FC">
        <w:rPr>
          <w:rFonts w:ascii="Garamond" w:hAnsi="Garamond"/>
          <w:b/>
          <w:sz w:val="22"/>
          <w:szCs w:val="22"/>
        </w:rPr>
        <w:t>and</w:t>
      </w:r>
      <w:r w:rsidR="00A666FC">
        <w:rPr>
          <w:rFonts w:ascii="Garamond" w:hAnsi="Garamond"/>
          <w:sz w:val="22"/>
          <w:szCs w:val="22"/>
        </w:rPr>
        <w:t xml:space="preserve"> c</w:t>
      </w:r>
      <w:r w:rsidR="00B705A8" w:rsidRPr="00A32AB2">
        <w:rPr>
          <w:rFonts w:ascii="Garamond" w:hAnsi="Garamond"/>
          <w:b/>
          <w:sz w:val="22"/>
          <w:szCs w:val="22"/>
        </w:rPr>
        <w:t>redit organizations’</w:t>
      </w:r>
      <w:r w:rsidR="00B705A8" w:rsidRPr="00A32AB2">
        <w:rPr>
          <w:rFonts w:ascii="Garamond" w:hAnsi="Garamond"/>
          <w:sz w:val="22"/>
          <w:szCs w:val="22"/>
        </w:rPr>
        <w:t xml:space="preserve"> expectations </w:t>
      </w:r>
      <w:r w:rsidR="00A666FC">
        <w:rPr>
          <w:rFonts w:ascii="Garamond" w:hAnsi="Garamond"/>
          <w:sz w:val="22"/>
          <w:szCs w:val="22"/>
        </w:rPr>
        <w:t xml:space="preserve">remained virtually unchanged, averaging at </w:t>
      </w:r>
      <w:r w:rsidR="00A666FC" w:rsidRPr="00A666FC">
        <w:rPr>
          <w:rFonts w:ascii="Garamond" w:hAnsi="Garamond"/>
          <w:b/>
          <w:sz w:val="22"/>
          <w:szCs w:val="22"/>
        </w:rPr>
        <w:t>2.5%</w:t>
      </w:r>
      <w:r w:rsidR="00A666FC">
        <w:rPr>
          <w:rFonts w:ascii="Garamond" w:hAnsi="Garamond"/>
          <w:sz w:val="22"/>
          <w:szCs w:val="22"/>
        </w:rPr>
        <w:t xml:space="preserve"> and </w:t>
      </w:r>
      <w:r w:rsidR="00A666FC" w:rsidRPr="00A666FC">
        <w:rPr>
          <w:rFonts w:ascii="Garamond" w:hAnsi="Garamond"/>
          <w:b/>
          <w:sz w:val="22"/>
          <w:szCs w:val="22"/>
        </w:rPr>
        <w:t>3.3%</w:t>
      </w:r>
      <w:r w:rsidR="00A666FC">
        <w:rPr>
          <w:rFonts w:ascii="Garamond" w:hAnsi="Garamond"/>
          <w:sz w:val="22"/>
          <w:szCs w:val="22"/>
        </w:rPr>
        <w:t xml:space="preserve"> of the 12-month inflation rate, respectively. H</w:t>
      </w:r>
      <w:r w:rsidR="00B705A8" w:rsidRPr="00A32AB2">
        <w:rPr>
          <w:rFonts w:ascii="Garamond" w:hAnsi="Garamond"/>
          <w:iCs/>
          <w:sz w:val="22"/>
          <w:szCs w:val="22"/>
        </w:rPr>
        <w:t>ouseholds ha</w:t>
      </w:r>
      <w:r w:rsidR="00137211" w:rsidRPr="00A32AB2">
        <w:rPr>
          <w:rFonts w:ascii="Garamond" w:hAnsi="Garamond"/>
          <w:iCs/>
          <w:sz w:val="22"/>
          <w:szCs w:val="22"/>
        </w:rPr>
        <w:t>d</w:t>
      </w:r>
      <w:r w:rsidR="00B705A8" w:rsidRPr="00A32AB2">
        <w:rPr>
          <w:rFonts w:ascii="Garamond" w:hAnsi="Garamond"/>
          <w:iCs/>
          <w:sz w:val="22"/>
          <w:szCs w:val="22"/>
        </w:rPr>
        <w:t xml:space="preserve"> their inflation expectations </w:t>
      </w:r>
      <w:r w:rsidR="00B705A8" w:rsidRPr="00A32AB2">
        <w:rPr>
          <w:rFonts w:ascii="Garamond" w:hAnsi="Garamond"/>
          <w:sz w:val="22"/>
          <w:szCs w:val="22"/>
        </w:rPr>
        <w:t>of the 12-month inflation rate</w:t>
      </w:r>
      <w:r w:rsidR="00B705A8" w:rsidRPr="00A32AB2">
        <w:rPr>
          <w:rFonts w:ascii="Garamond" w:hAnsi="Garamond"/>
          <w:iCs/>
          <w:sz w:val="22"/>
          <w:szCs w:val="22"/>
        </w:rPr>
        <w:t xml:space="preserve"> around a </w:t>
      </w:r>
      <w:r w:rsidR="00A666FC" w:rsidRPr="00A666FC">
        <w:rPr>
          <w:rFonts w:ascii="Garamond" w:hAnsi="Garamond"/>
          <w:b/>
          <w:iCs/>
          <w:sz w:val="22"/>
          <w:szCs w:val="22"/>
        </w:rPr>
        <w:t>0</w:t>
      </w:r>
      <w:r w:rsidR="00630551" w:rsidRPr="00A666FC">
        <w:rPr>
          <w:rFonts w:ascii="Garamond" w:hAnsi="Garamond"/>
          <w:b/>
          <w:iCs/>
          <w:sz w:val="22"/>
          <w:szCs w:val="22"/>
        </w:rPr>
        <w:t>.</w:t>
      </w:r>
      <w:r w:rsidR="00A666FC" w:rsidRPr="00A666FC">
        <w:rPr>
          <w:rFonts w:ascii="Garamond" w:hAnsi="Garamond"/>
          <w:b/>
          <w:iCs/>
          <w:sz w:val="22"/>
          <w:szCs w:val="22"/>
        </w:rPr>
        <w:t>9</w:t>
      </w:r>
      <w:r w:rsidR="00B705A8" w:rsidRPr="00A666FC">
        <w:rPr>
          <w:rFonts w:ascii="Garamond" w:hAnsi="Garamond"/>
          <w:b/>
          <w:iCs/>
          <w:sz w:val="22"/>
          <w:szCs w:val="22"/>
        </w:rPr>
        <w:t>%</w:t>
      </w:r>
      <w:r w:rsidR="00B705A8" w:rsidRPr="00A32AB2">
        <w:rPr>
          <w:rFonts w:ascii="Garamond" w:hAnsi="Garamond"/>
          <w:iCs/>
          <w:sz w:val="22"/>
          <w:szCs w:val="22"/>
        </w:rPr>
        <w:t xml:space="preserve"> level</w:t>
      </w:r>
      <w:r w:rsidR="00920858">
        <w:rPr>
          <w:rFonts w:ascii="Garamond" w:hAnsi="Garamond"/>
          <w:iCs/>
          <w:sz w:val="22"/>
          <w:szCs w:val="22"/>
        </w:rPr>
        <w:t>, which is reduction from</w:t>
      </w:r>
      <w:r w:rsidR="00137211" w:rsidRPr="00A32AB2">
        <w:rPr>
          <w:rFonts w:ascii="Garamond" w:hAnsi="Garamond"/>
          <w:iCs/>
          <w:sz w:val="22"/>
          <w:szCs w:val="22"/>
        </w:rPr>
        <w:t xml:space="preserve"> </w:t>
      </w:r>
      <w:r w:rsidR="00A666FC" w:rsidRPr="00A666FC">
        <w:rPr>
          <w:rFonts w:ascii="Garamond" w:hAnsi="Garamond"/>
          <w:b/>
          <w:iCs/>
          <w:sz w:val="22"/>
          <w:szCs w:val="22"/>
        </w:rPr>
        <w:t>1</w:t>
      </w:r>
      <w:r w:rsidR="00B705A8" w:rsidRPr="00A666FC">
        <w:rPr>
          <w:rFonts w:ascii="Garamond" w:hAnsi="Garamond"/>
          <w:b/>
          <w:iCs/>
          <w:sz w:val="22"/>
          <w:szCs w:val="22"/>
        </w:rPr>
        <w:t>.</w:t>
      </w:r>
      <w:r w:rsidR="00A666FC" w:rsidRPr="00A666FC">
        <w:rPr>
          <w:rFonts w:ascii="Garamond" w:hAnsi="Garamond"/>
          <w:b/>
          <w:iCs/>
          <w:sz w:val="22"/>
          <w:szCs w:val="22"/>
        </w:rPr>
        <w:t>2</w:t>
      </w:r>
      <w:r w:rsidR="00B705A8" w:rsidRPr="00A666FC">
        <w:rPr>
          <w:rFonts w:ascii="Garamond" w:hAnsi="Garamond"/>
          <w:b/>
          <w:iCs/>
          <w:sz w:val="22"/>
          <w:szCs w:val="22"/>
        </w:rPr>
        <w:t>%</w:t>
      </w:r>
      <w:r w:rsidR="00B705A8" w:rsidRPr="00A32AB2">
        <w:rPr>
          <w:rFonts w:ascii="Garamond" w:hAnsi="Garamond"/>
          <w:iCs/>
          <w:sz w:val="22"/>
          <w:szCs w:val="22"/>
        </w:rPr>
        <w:t xml:space="preserve"> reported in the previous quarter’s survey.</w:t>
      </w:r>
    </w:p>
    <w:p w14:paraId="1004F955" w14:textId="77777777" w:rsidR="009D2F92" w:rsidRPr="00A32AB2" w:rsidRDefault="009D2F92" w:rsidP="00FF3CD9">
      <w:pPr>
        <w:spacing w:line="360" w:lineRule="auto"/>
        <w:jc w:val="both"/>
        <w:rPr>
          <w:rFonts w:ascii="Garamond" w:hAnsi="Garamond"/>
          <w:iCs/>
          <w:sz w:val="22"/>
          <w:szCs w:val="22"/>
        </w:rPr>
      </w:pPr>
    </w:p>
    <w:p w14:paraId="29DDE31C" w14:textId="77777777" w:rsidR="00A56248" w:rsidRPr="00A32AB2" w:rsidRDefault="00D74A08" w:rsidP="00FF3CD9">
      <w:pPr>
        <w:spacing w:line="360" w:lineRule="auto"/>
        <w:jc w:val="both"/>
        <w:rPr>
          <w:rFonts w:ascii="Garamond" w:hAnsi="Garamond"/>
          <w:sz w:val="22"/>
          <w:szCs w:val="22"/>
        </w:rPr>
      </w:pPr>
      <w:r>
        <w:rPr>
          <w:rFonts w:ascii="Garamond" w:hAnsi="Garamond"/>
          <w:sz w:val="22"/>
          <w:szCs w:val="22"/>
        </w:rPr>
        <w:lastRenderedPageBreak/>
        <w:t>In the financial market</w:t>
      </w:r>
      <w:r w:rsidR="007826AB" w:rsidRPr="00A32AB2">
        <w:rPr>
          <w:rFonts w:ascii="Garamond" w:hAnsi="Garamond"/>
          <w:sz w:val="22"/>
          <w:szCs w:val="22"/>
        </w:rPr>
        <w:t xml:space="preserve"> </w:t>
      </w:r>
      <w:r>
        <w:rPr>
          <w:rFonts w:ascii="Garamond" w:hAnsi="Garamond"/>
          <w:sz w:val="22"/>
          <w:szCs w:val="22"/>
        </w:rPr>
        <w:t xml:space="preserve">in </w:t>
      </w:r>
      <w:r w:rsidR="007826AB" w:rsidRPr="00A32AB2">
        <w:rPr>
          <w:rFonts w:ascii="Garamond" w:hAnsi="Garamond"/>
          <w:sz w:val="22"/>
          <w:szCs w:val="22"/>
        </w:rPr>
        <w:t xml:space="preserve">the </w:t>
      </w:r>
      <w:r w:rsidR="00920858">
        <w:rPr>
          <w:rFonts w:ascii="Garamond" w:hAnsi="Garamond"/>
          <w:sz w:val="22"/>
          <w:szCs w:val="22"/>
        </w:rPr>
        <w:t>thir</w:t>
      </w:r>
      <w:r w:rsidR="007826AB" w:rsidRPr="00A32AB2">
        <w:rPr>
          <w:rFonts w:ascii="Garamond" w:hAnsi="Garamond"/>
          <w:sz w:val="22"/>
          <w:szCs w:val="22"/>
        </w:rPr>
        <w:t>d quarter</w:t>
      </w:r>
      <w:r>
        <w:rPr>
          <w:rFonts w:ascii="Garamond" w:hAnsi="Garamond"/>
          <w:sz w:val="22"/>
          <w:szCs w:val="22"/>
        </w:rPr>
        <w:t xml:space="preserve"> of 2016,</w:t>
      </w:r>
      <w:r w:rsidR="007826AB" w:rsidRPr="00A32AB2">
        <w:rPr>
          <w:rFonts w:ascii="Garamond" w:hAnsi="Garamond"/>
          <w:sz w:val="22"/>
          <w:szCs w:val="22"/>
        </w:rPr>
        <w:t xml:space="preserve"> </w:t>
      </w:r>
      <w:r>
        <w:rPr>
          <w:rFonts w:ascii="Garamond" w:hAnsi="Garamond"/>
          <w:sz w:val="22"/>
          <w:szCs w:val="22"/>
        </w:rPr>
        <w:t xml:space="preserve">interest rates continued trending downward, carrying the influence of </w:t>
      </w:r>
      <w:r w:rsidR="007826AB" w:rsidRPr="00A32AB2">
        <w:rPr>
          <w:rFonts w:ascii="Garamond" w:hAnsi="Garamond"/>
          <w:sz w:val="22"/>
          <w:szCs w:val="22"/>
        </w:rPr>
        <w:t>loosened monetary conditi</w:t>
      </w:r>
      <w:r w:rsidR="00A56248" w:rsidRPr="00A32AB2">
        <w:rPr>
          <w:rFonts w:ascii="Garamond" w:hAnsi="Garamond"/>
          <w:sz w:val="22"/>
          <w:szCs w:val="22"/>
        </w:rPr>
        <w:t>ons</w:t>
      </w:r>
      <w:r>
        <w:rPr>
          <w:rFonts w:ascii="Garamond" w:hAnsi="Garamond"/>
          <w:sz w:val="22"/>
          <w:szCs w:val="22"/>
        </w:rPr>
        <w:t>.</w:t>
      </w:r>
      <w:r w:rsidR="00A56248" w:rsidRPr="00A32AB2">
        <w:rPr>
          <w:rFonts w:ascii="Garamond" w:hAnsi="Garamond"/>
          <w:sz w:val="22"/>
          <w:szCs w:val="22"/>
        </w:rPr>
        <w:t xml:space="preserve"> </w:t>
      </w:r>
      <w:r>
        <w:rPr>
          <w:rFonts w:ascii="Garamond" w:hAnsi="Garamond"/>
          <w:sz w:val="22"/>
          <w:szCs w:val="22"/>
        </w:rPr>
        <w:t xml:space="preserve">There was a fall in interest rates </w:t>
      </w:r>
      <w:r w:rsidR="00677F76">
        <w:rPr>
          <w:rFonts w:ascii="Garamond" w:hAnsi="Garamond"/>
          <w:sz w:val="22"/>
          <w:szCs w:val="22"/>
        </w:rPr>
        <w:t>for</w:t>
      </w:r>
      <w:r>
        <w:rPr>
          <w:rFonts w:ascii="Garamond" w:hAnsi="Garamond"/>
          <w:sz w:val="22"/>
          <w:szCs w:val="22"/>
        </w:rPr>
        <w:t xml:space="preserve"> all</w:t>
      </w:r>
      <w:r w:rsidR="006501FB" w:rsidRPr="00A32AB2">
        <w:rPr>
          <w:rFonts w:ascii="Garamond" w:hAnsi="Garamond"/>
          <w:sz w:val="22"/>
          <w:szCs w:val="22"/>
        </w:rPr>
        <w:t xml:space="preserve"> funds, </w:t>
      </w:r>
      <w:r w:rsidR="006501FB">
        <w:rPr>
          <w:rFonts w:ascii="Garamond" w:hAnsi="Garamond"/>
          <w:sz w:val="22"/>
          <w:szCs w:val="22"/>
        </w:rPr>
        <w:t xml:space="preserve">both </w:t>
      </w:r>
      <w:r w:rsidR="006501FB" w:rsidRPr="00A32AB2">
        <w:rPr>
          <w:rFonts w:ascii="Garamond" w:hAnsi="Garamond"/>
          <w:sz w:val="22"/>
          <w:szCs w:val="22"/>
        </w:rPr>
        <w:t xml:space="preserve">attracted </w:t>
      </w:r>
      <w:r w:rsidR="006501FB">
        <w:rPr>
          <w:rFonts w:ascii="Garamond" w:hAnsi="Garamond"/>
          <w:sz w:val="22"/>
          <w:szCs w:val="22"/>
        </w:rPr>
        <w:t>and</w:t>
      </w:r>
      <w:r w:rsidR="006501FB" w:rsidRPr="00A32AB2">
        <w:rPr>
          <w:rFonts w:ascii="Garamond" w:hAnsi="Garamond"/>
          <w:sz w:val="22"/>
          <w:szCs w:val="22"/>
        </w:rPr>
        <w:t xml:space="preserve"> allocated, and </w:t>
      </w:r>
      <w:r>
        <w:rPr>
          <w:rFonts w:ascii="Garamond" w:hAnsi="Garamond"/>
          <w:sz w:val="22"/>
          <w:szCs w:val="22"/>
        </w:rPr>
        <w:t>all maturities</w:t>
      </w:r>
      <w:r w:rsidR="00A56248" w:rsidRPr="00A32AB2">
        <w:rPr>
          <w:rFonts w:ascii="Garamond" w:hAnsi="Garamond"/>
          <w:sz w:val="22"/>
          <w:szCs w:val="22"/>
        </w:rPr>
        <w:t>. In</w:t>
      </w:r>
      <w:r w:rsidR="007826AB" w:rsidRPr="00A32AB2">
        <w:rPr>
          <w:rFonts w:ascii="Garamond" w:hAnsi="Garamond"/>
          <w:sz w:val="22"/>
          <w:szCs w:val="22"/>
        </w:rPr>
        <w:t xml:space="preserve"> the government bond market</w:t>
      </w:r>
      <w:r w:rsidR="00A56248" w:rsidRPr="00A32AB2">
        <w:rPr>
          <w:rFonts w:ascii="Garamond" w:hAnsi="Garamond"/>
          <w:sz w:val="22"/>
          <w:szCs w:val="22"/>
        </w:rPr>
        <w:t xml:space="preserve">, </w:t>
      </w:r>
      <w:r w:rsidR="00B05EAA">
        <w:rPr>
          <w:rFonts w:ascii="Garamond" w:hAnsi="Garamond"/>
          <w:sz w:val="22"/>
          <w:szCs w:val="22"/>
        </w:rPr>
        <w:t>the yield</w:t>
      </w:r>
      <w:r w:rsidR="00A56248" w:rsidRPr="00A32AB2">
        <w:rPr>
          <w:rFonts w:ascii="Garamond" w:hAnsi="Garamond"/>
          <w:sz w:val="22"/>
          <w:szCs w:val="22"/>
        </w:rPr>
        <w:t xml:space="preserve"> ha</w:t>
      </w:r>
      <w:r w:rsidR="00B05EAA">
        <w:rPr>
          <w:rFonts w:ascii="Garamond" w:hAnsi="Garamond"/>
          <w:sz w:val="22"/>
          <w:szCs w:val="22"/>
        </w:rPr>
        <w:t>s</w:t>
      </w:r>
      <w:r w:rsidR="00A56248" w:rsidRPr="00A32AB2">
        <w:rPr>
          <w:rFonts w:ascii="Garamond" w:hAnsi="Garamond"/>
          <w:sz w:val="22"/>
          <w:szCs w:val="22"/>
        </w:rPr>
        <w:t xml:space="preserve"> </w:t>
      </w:r>
      <w:r w:rsidR="007826AB" w:rsidRPr="00A32AB2">
        <w:rPr>
          <w:rFonts w:ascii="Garamond" w:hAnsi="Garamond"/>
          <w:sz w:val="22"/>
          <w:szCs w:val="22"/>
        </w:rPr>
        <w:t>decline</w:t>
      </w:r>
      <w:r w:rsidR="00A56248" w:rsidRPr="00A32AB2">
        <w:rPr>
          <w:rFonts w:ascii="Garamond" w:hAnsi="Garamond"/>
          <w:sz w:val="22"/>
          <w:szCs w:val="22"/>
        </w:rPr>
        <w:t>d</w:t>
      </w:r>
      <w:r w:rsidR="007826AB" w:rsidRPr="00A32AB2">
        <w:rPr>
          <w:rFonts w:ascii="Garamond" w:hAnsi="Garamond"/>
          <w:sz w:val="22"/>
          <w:szCs w:val="22"/>
        </w:rPr>
        <w:t xml:space="preserve"> </w:t>
      </w:r>
      <w:r w:rsidR="00B05EAA">
        <w:rPr>
          <w:rFonts w:ascii="Garamond" w:hAnsi="Garamond"/>
          <w:sz w:val="22"/>
          <w:szCs w:val="22"/>
        </w:rPr>
        <w:t xml:space="preserve">substantially </w:t>
      </w:r>
      <w:r w:rsidR="007826AB" w:rsidRPr="00A32AB2">
        <w:rPr>
          <w:rFonts w:ascii="Garamond" w:hAnsi="Garamond"/>
          <w:sz w:val="22"/>
          <w:szCs w:val="22"/>
        </w:rPr>
        <w:t>along the curve</w:t>
      </w:r>
      <w:r w:rsidR="00B05EAA">
        <w:rPr>
          <w:rFonts w:ascii="Garamond" w:hAnsi="Garamond"/>
          <w:sz w:val="22"/>
          <w:szCs w:val="22"/>
        </w:rPr>
        <w:t>’s long-term segment</w:t>
      </w:r>
      <w:r w:rsidR="007826AB" w:rsidRPr="00A32AB2">
        <w:rPr>
          <w:rFonts w:ascii="Garamond" w:hAnsi="Garamond"/>
          <w:sz w:val="22"/>
          <w:szCs w:val="22"/>
        </w:rPr>
        <w:t xml:space="preserve"> (</w:t>
      </w:r>
      <w:r w:rsidR="00A56248" w:rsidRPr="00A32AB2">
        <w:rPr>
          <w:rFonts w:ascii="Garamond" w:hAnsi="Garamond"/>
          <w:sz w:val="22"/>
          <w:szCs w:val="22"/>
        </w:rPr>
        <w:t xml:space="preserve">see </w:t>
      </w:r>
      <w:r w:rsidR="007826AB" w:rsidRPr="00A32AB2">
        <w:rPr>
          <w:rFonts w:ascii="Garamond" w:hAnsi="Garamond"/>
          <w:sz w:val="22"/>
          <w:szCs w:val="22"/>
        </w:rPr>
        <w:t>detail</w:t>
      </w:r>
      <w:r w:rsidR="00A56248" w:rsidRPr="00A32AB2">
        <w:rPr>
          <w:rFonts w:ascii="Garamond" w:hAnsi="Garamond"/>
          <w:sz w:val="22"/>
          <w:szCs w:val="22"/>
        </w:rPr>
        <w:t>s</w:t>
      </w:r>
      <w:r w:rsidR="007826AB" w:rsidRPr="00A32AB2">
        <w:rPr>
          <w:rFonts w:ascii="Garamond" w:hAnsi="Garamond"/>
          <w:sz w:val="22"/>
          <w:szCs w:val="22"/>
        </w:rPr>
        <w:t xml:space="preserve"> in</w:t>
      </w:r>
      <w:r w:rsidR="00A56248" w:rsidRPr="00A32AB2">
        <w:rPr>
          <w:rFonts w:ascii="Garamond" w:hAnsi="Garamond"/>
          <w:sz w:val="22"/>
          <w:szCs w:val="22"/>
        </w:rPr>
        <w:t xml:space="preserve"> section</w:t>
      </w:r>
      <w:r w:rsidR="007826AB" w:rsidRPr="00A32AB2">
        <w:rPr>
          <w:rFonts w:ascii="Garamond" w:hAnsi="Garamond"/>
          <w:sz w:val="22"/>
          <w:szCs w:val="22"/>
        </w:rPr>
        <w:t xml:space="preserve"> </w:t>
      </w:r>
      <w:r w:rsidR="00A56248" w:rsidRPr="00A32AB2">
        <w:rPr>
          <w:rFonts w:ascii="Garamond" w:hAnsi="Garamond"/>
          <w:sz w:val="22"/>
          <w:szCs w:val="22"/>
        </w:rPr>
        <w:t>“</w:t>
      </w:r>
      <w:r w:rsidR="007826AB" w:rsidRPr="00A32AB2">
        <w:rPr>
          <w:rFonts w:ascii="Garamond" w:hAnsi="Garamond"/>
          <w:sz w:val="22"/>
          <w:szCs w:val="22"/>
        </w:rPr>
        <w:t>3.3</w:t>
      </w:r>
      <w:r w:rsidR="00A56248" w:rsidRPr="00A32AB2">
        <w:rPr>
          <w:rFonts w:ascii="Garamond" w:hAnsi="Garamond"/>
          <w:sz w:val="22"/>
          <w:szCs w:val="22"/>
        </w:rPr>
        <w:t>.</w:t>
      </w:r>
      <w:r w:rsidR="007826AB" w:rsidRPr="00A32AB2">
        <w:rPr>
          <w:rFonts w:ascii="Garamond" w:hAnsi="Garamond"/>
          <w:sz w:val="22"/>
          <w:szCs w:val="22"/>
        </w:rPr>
        <w:t xml:space="preserve"> Money </w:t>
      </w:r>
      <w:r w:rsidR="00A56248" w:rsidRPr="00A32AB2">
        <w:rPr>
          <w:rFonts w:ascii="Garamond" w:hAnsi="Garamond"/>
          <w:sz w:val="22"/>
          <w:szCs w:val="22"/>
        </w:rPr>
        <w:t xml:space="preserve">and </w:t>
      </w:r>
      <w:r w:rsidR="007826AB" w:rsidRPr="00A32AB2">
        <w:rPr>
          <w:rFonts w:ascii="Garamond" w:hAnsi="Garamond"/>
          <w:sz w:val="22"/>
          <w:szCs w:val="22"/>
        </w:rPr>
        <w:t xml:space="preserve">financial </w:t>
      </w:r>
      <w:r w:rsidR="00A56248" w:rsidRPr="00A32AB2">
        <w:rPr>
          <w:rFonts w:ascii="Garamond" w:hAnsi="Garamond"/>
          <w:sz w:val="22"/>
          <w:szCs w:val="22"/>
        </w:rPr>
        <w:t xml:space="preserve">market </w:t>
      </w:r>
      <w:r w:rsidR="007826AB" w:rsidRPr="00A32AB2">
        <w:rPr>
          <w:rFonts w:ascii="Garamond" w:hAnsi="Garamond"/>
          <w:sz w:val="22"/>
          <w:szCs w:val="22"/>
        </w:rPr>
        <w:t>developments</w:t>
      </w:r>
      <w:r w:rsidR="00A56248" w:rsidRPr="00A32AB2">
        <w:rPr>
          <w:rFonts w:ascii="Garamond" w:hAnsi="Garamond"/>
          <w:sz w:val="22"/>
          <w:szCs w:val="22"/>
        </w:rPr>
        <w:t>”</w:t>
      </w:r>
      <w:r w:rsidR="007826AB" w:rsidRPr="00A32AB2">
        <w:rPr>
          <w:rFonts w:ascii="Garamond" w:hAnsi="Garamond"/>
          <w:sz w:val="22"/>
          <w:szCs w:val="22"/>
        </w:rPr>
        <w:t>).</w:t>
      </w:r>
      <w:r w:rsidR="00A56248" w:rsidRPr="00A32AB2">
        <w:rPr>
          <w:rFonts w:ascii="Garamond" w:hAnsi="Garamond"/>
          <w:sz w:val="22"/>
          <w:szCs w:val="22"/>
        </w:rPr>
        <w:t xml:space="preserve"> </w:t>
      </w:r>
    </w:p>
    <w:p w14:paraId="405E699C" w14:textId="77777777" w:rsidR="00A56248" w:rsidRPr="00A32AB2" w:rsidRDefault="00A56248" w:rsidP="00FF3CD9">
      <w:pPr>
        <w:spacing w:line="360" w:lineRule="auto"/>
        <w:jc w:val="both"/>
        <w:rPr>
          <w:rFonts w:ascii="Garamond" w:hAnsi="Garamond"/>
          <w:sz w:val="22"/>
          <w:szCs w:val="22"/>
        </w:rPr>
      </w:pPr>
    </w:p>
    <w:p w14:paraId="0106679B" w14:textId="77777777" w:rsidR="009D2F92" w:rsidRPr="00A32AB2" w:rsidRDefault="009D2F92" w:rsidP="00FF3CD9">
      <w:pPr>
        <w:spacing w:line="360" w:lineRule="auto"/>
        <w:jc w:val="both"/>
        <w:rPr>
          <w:rFonts w:ascii="Garamond" w:hAnsi="Garamond"/>
          <w:sz w:val="22"/>
          <w:szCs w:val="22"/>
        </w:rPr>
      </w:pPr>
      <w:r w:rsidRPr="00A32AB2">
        <w:rPr>
          <w:rFonts w:ascii="Garamond" w:hAnsi="Garamond"/>
          <w:sz w:val="22"/>
          <w:szCs w:val="22"/>
        </w:rPr>
        <w:t>T</w:t>
      </w:r>
      <w:r w:rsidR="00B60003" w:rsidRPr="00A32AB2">
        <w:rPr>
          <w:rFonts w:ascii="Garamond" w:hAnsi="Garamond"/>
          <w:sz w:val="22"/>
          <w:szCs w:val="22"/>
        </w:rPr>
        <w:t xml:space="preserve">he financial market’s expectations for </w:t>
      </w:r>
      <w:r w:rsidRPr="00A32AB2">
        <w:rPr>
          <w:rFonts w:ascii="Garamond" w:hAnsi="Garamond"/>
          <w:sz w:val="22"/>
          <w:szCs w:val="22"/>
        </w:rPr>
        <w:t>interest rates</w:t>
      </w:r>
      <w:r w:rsidR="00B05EAA">
        <w:rPr>
          <w:rFonts w:ascii="Garamond" w:hAnsi="Garamond"/>
          <w:sz w:val="22"/>
          <w:szCs w:val="22"/>
        </w:rPr>
        <w:t xml:space="preserve"> followed a downward path this quarter, too, which points to the continued reduction in inflation expectations. </w:t>
      </w:r>
      <w:r w:rsidRPr="00A32AB2">
        <w:rPr>
          <w:rFonts w:ascii="Garamond" w:hAnsi="Garamond"/>
          <w:sz w:val="22"/>
          <w:szCs w:val="22"/>
        </w:rPr>
        <w:t xml:space="preserve">According to the survey results, </w:t>
      </w:r>
      <w:r w:rsidR="006A648E" w:rsidRPr="00A32AB2">
        <w:rPr>
          <w:rFonts w:ascii="Garamond" w:hAnsi="Garamond"/>
          <w:sz w:val="22"/>
          <w:szCs w:val="22"/>
        </w:rPr>
        <w:t xml:space="preserve">the financial system </w:t>
      </w:r>
      <w:r w:rsidR="00652B80" w:rsidRPr="00A32AB2">
        <w:rPr>
          <w:rFonts w:ascii="Garamond" w:hAnsi="Garamond"/>
          <w:sz w:val="22"/>
          <w:szCs w:val="22"/>
        </w:rPr>
        <w:t>anticipat</w:t>
      </w:r>
      <w:r w:rsidR="006A648E">
        <w:rPr>
          <w:rFonts w:ascii="Garamond" w:hAnsi="Garamond"/>
          <w:sz w:val="22"/>
          <w:szCs w:val="22"/>
        </w:rPr>
        <w:t xml:space="preserve">es a gradual decrease in </w:t>
      </w:r>
      <w:r w:rsidR="00B60003" w:rsidRPr="00A32AB2">
        <w:rPr>
          <w:rFonts w:ascii="Garamond" w:hAnsi="Garamond"/>
          <w:sz w:val="22"/>
          <w:szCs w:val="22"/>
        </w:rPr>
        <w:t xml:space="preserve">interest rates on funds </w:t>
      </w:r>
      <w:r w:rsidR="00652B80" w:rsidRPr="00A32AB2">
        <w:rPr>
          <w:rFonts w:ascii="Garamond" w:hAnsi="Garamond"/>
          <w:sz w:val="22"/>
          <w:szCs w:val="22"/>
        </w:rPr>
        <w:t>attracted and allocated</w:t>
      </w:r>
      <w:r w:rsidR="006A648E">
        <w:rPr>
          <w:rFonts w:ascii="Garamond" w:hAnsi="Garamond"/>
          <w:sz w:val="22"/>
          <w:szCs w:val="22"/>
        </w:rPr>
        <w:t xml:space="preserve">, for a </w:t>
      </w:r>
      <w:r w:rsidR="00652B80" w:rsidRPr="00A32AB2">
        <w:rPr>
          <w:rFonts w:ascii="Garamond" w:hAnsi="Garamond"/>
          <w:sz w:val="22"/>
          <w:szCs w:val="22"/>
        </w:rPr>
        <w:t xml:space="preserve">one-year perspective. </w:t>
      </w:r>
    </w:p>
    <w:p w14:paraId="6DC1684B" w14:textId="77777777" w:rsidR="00171EEE" w:rsidRPr="00A32AB2" w:rsidRDefault="00171EEE" w:rsidP="00FF3CD9">
      <w:pPr>
        <w:spacing w:line="360" w:lineRule="auto"/>
        <w:jc w:val="both"/>
        <w:rPr>
          <w:rFonts w:ascii="Garamond" w:hAnsi="Garamond"/>
          <w:sz w:val="22"/>
          <w:szCs w:val="22"/>
        </w:rPr>
      </w:pPr>
    </w:p>
    <w:p w14:paraId="2FCAEDEC" w14:textId="77777777" w:rsidR="00171EEE" w:rsidRPr="00A32AB2" w:rsidRDefault="00171EEE" w:rsidP="00FF3CD9">
      <w:pPr>
        <w:spacing w:line="360" w:lineRule="auto"/>
        <w:jc w:val="both"/>
        <w:rPr>
          <w:rFonts w:ascii="Garamond" w:hAnsi="Garamond"/>
          <w:b/>
          <w:sz w:val="22"/>
          <w:szCs w:val="22"/>
        </w:rPr>
      </w:pPr>
      <w:r w:rsidRPr="00A32AB2">
        <w:rPr>
          <w:rFonts w:ascii="Garamond" w:hAnsi="Garamond"/>
          <w:b/>
          <w:sz w:val="22"/>
          <w:szCs w:val="22"/>
        </w:rPr>
        <w:t>3.2. Aggregate supply and aggregate demand</w:t>
      </w:r>
    </w:p>
    <w:p w14:paraId="171652AD" w14:textId="77777777" w:rsidR="00171EEE" w:rsidRPr="00A32AB2" w:rsidRDefault="00171EEE" w:rsidP="00FF3CD9">
      <w:pPr>
        <w:spacing w:line="360" w:lineRule="auto"/>
        <w:jc w:val="both"/>
        <w:rPr>
          <w:rFonts w:ascii="Garamond" w:hAnsi="Garamond"/>
          <w:b/>
          <w:sz w:val="22"/>
          <w:szCs w:val="22"/>
        </w:rPr>
      </w:pPr>
      <w:r w:rsidRPr="00A32AB2">
        <w:rPr>
          <w:rFonts w:ascii="Garamond" w:hAnsi="Garamond"/>
          <w:b/>
          <w:sz w:val="22"/>
          <w:szCs w:val="22"/>
        </w:rPr>
        <w:t>3.2.1. Aggregate supply</w:t>
      </w:r>
      <w:r w:rsidR="00F33532">
        <w:rPr>
          <w:rStyle w:val="FootnoteReference"/>
          <w:rFonts w:ascii="Garamond" w:hAnsi="Garamond"/>
          <w:b/>
          <w:sz w:val="22"/>
          <w:szCs w:val="22"/>
        </w:rPr>
        <w:footnoteReference w:customMarkFollows="1" w:id="12"/>
        <w:t>13</w:t>
      </w:r>
    </w:p>
    <w:p w14:paraId="4E6E6574" w14:textId="77777777" w:rsidR="00171EEE" w:rsidRPr="00A32AB2" w:rsidRDefault="00171EEE" w:rsidP="00FF3CD9">
      <w:pPr>
        <w:spacing w:line="360" w:lineRule="auto"/>
        <w:jc w:val="both"/>
        <w:rPr>
          <w:rFonts w:ascii="Garamond" w:hAnsi="Garamond"/>
          <w:b/>
          <w:sz w:val="22"/>
          <w:szCs w:val="22"/>
        </w:rPr>
      </w:pPr>
    </w:p>
    <w:p w14:paraId="7C36EC3A" w14:textId="77777777" w:rsidR="00C55DA1" w:rsidRPr="00A32AB2" w:rsidRDefault="00EC0F2E" w:rsidP="00FF3CD9">
      <w:pPr>
        <w:spacing w:line="360" w:lineRule="auto"/>
        <w:jc w:val="both"/>
        <w:rPr>
          <w:rStyle w:val="longtext"/>
          <w:rFonts w:ascii="Garamond" w:hAnsi="Garamond"/>
          <w:color w:val="000000"/>
          <w:sz w:val="22"/>
          <w:szCs w:val="22"/>
          <w:shd w:val="clear" w:color="auto" w:fill="FFFFFF"/>
        </w:rPr>
      </w:pPr>
      <w:r w:rsidRPr="00A32AB2">
        <w:rPr>
          <w:rStyle w:val="longtext"/>
          <w:rFonts w:ascii="Garamond" w:hAnsi="Garamond"/>
          <w:color w:val="000000"/>
          <w:sz w:val="22"/>
          <w:szCs w:val="22"/>
          <w:shd w:val="clear" w:color="auto" w:fill="FFFFFF"/>
        </w:rPr>
        <w:t xml:space="preserve">The </w:t>
      </w:r>
      <w:r w:rsidRPr="00A32AB2">
        <w:rPr>
          <w:rStyle w:val="longtext"/>
          <w:rFonts w:ascii="Garamond" w:hAnsi="Garamond"/>
          <w:b/>
          <w:color w:val="000000"/>
          <w:sz w:val="22"/>
          <w:szCs w:val="22"/>
          <w:shd w:val="clear" w:color="auto" w:fill="FFFFFF"/>
        </w:rPr>
        <w:t>economic growth indicator</w:t>
      </w:r>
      <w:r w:rsidR="00FB246E" w:rsidRPr="00A32AB2">
        <w:rPr>
          <w:rStyle w:val="longtext"/>
          <w:rFonts w:ascii="Garamond" w:hAnsi="Garamond"/>
          <w:b/>
          <w:color w:val="000000"/>
          <w:sz w:val="22"/>
          <w:szCs w:val="22"/>
          <w:shd w:val="clear" w:color="auto" w:fill="FFFFFF"/>
          <w:lang w:val="hy-AM"/>
        </w:rPr>
        <w:t xml:space="preserve"> </w:t>
      </w:r>
      <w:r w:rsidRPr="00A32AB2">
        <w:rPr>
          <w:rStyle w:val="longtext"/>
          <w:rFonts w:ascii="Garamond" w:hAnsi="Garamond"/>
          <w:color w:val="000000"/>
          <w:sz w:val="22"/>
          <w:szCs w:val="22"/>
          <w:shd w:val="clear" w:color="auto" w:fill="FFFFFF"/>
        </w:rPr>
        <w:t>published by the National Statistics Service of Armenia</w:t>
      </w:r>
      <w:r w:rsidR="00FB246E" w:rsidRPr="00A32AB2">
        <w:rPr>
          <w:rStyle w:val="longtext"/>
          <w:rFonts w:ascii="Garamond" w:hAnsi="Garamond"/>
          <w:color w:val="000000"/>
          <w:sz w:val="22"/>
          <w:szCs w:val="22"/>
          <w:shd w:val="clear" w:color="auto" w:fill="FFFFFF"/>
          <w:lang w:val="hy-AM"/>
        </w:rPr>
        <w:t xml:space="preserve"> </w:t>
      </w:r>
      <w:r w:rsidR="00ED2DD0" w:rsidRPr="00A32AB2">
        <w:rPr>
          <w:rStyle w:val="longtext"/>
          <w:rFonts w:ascii="Garamond" w:hAnsi="Garamond"/>
          <w:color w:val="000000"/>
          <w:sz w:val="22"/>
          <w:szCs w:val="22"/>
          <w:shd w:val="clear" w:color="auto" w:fill="FFFFFF"/>
        </w:rPr>
        <w:t>for the f</w:t>
      </w:r>
      <w:r w:rsidR="00590C92" w:rsidRPr="00A32AB2">
        <w:rPr>
          <w:rStyle w:val="longtext"/>
          <w:rFonts w:ascii="Garamond" w:hAnsi="Garamond"/>
          <w:color w:val="000000"/>
          <w:sz w:val="22"/>
          <w:szCs w:val="22"/>
          <w:shd w:val="clear" w:color="auto" w:fill="FFFFFF"/>
        </w:rPr>
        <w:t xml:space="preserve">irst </w:t>
      </w:r>
      <w:r w:rsidR="00CF60ED">
        <w:rPr>
          <w:rStyle w:val="longtext"/>
          <w:rFonts w:ascii="Garamond" w:hAnsi="Garamond"/>
          <w:color w:val="000000"/>
          <w:sz w:val="22"/>
          <w:szCs w:val="22"/>
          <w:shd w:val="clear" w:color="auto" w:fill="FFFFFF"/>
        </w:rPr>
        <w:t>half</w:t>
      </w:r>
      <w:r w:rsidR="00ED2DD0" w:rsidRPr="00A32AB2">
        <w:rPr>
          <w:rStyle w:val="longtext"/>
          <w:rFonts w:ascii="Garamond" w:hAnsi="Garamond"/>
          <w:color w:val="000000"/>
          <w:sz w:val="22"/>
          <w:szCs w:val="22"/>
          <w:shd w:val="clear" w:color="auto" w:fill="FFFFFF"/>
        </w:rPr>
        <w:t xml:space="preserve"> of 201</w:t>
      </w:r>
      <w:r w:rsidR="00590C92" w:rsidRPr="00A32AB2">
        <w:rPr>
          <w:rStyle w:val="longtext"/>
          <w:rFonts w:ascii="Garamond" w:hAnsi="Garamond"/>
          <w:color w:val="000000"/>
          <w:sz w:val="22"/>
          <w:szCs w:val="22"/>
          <w:shd w:val="clear" w:color="auto" w:fill="FFFFFF"/>
        </w:rPr>
        <w:t xml:space="preserve">6 </w:t>
      </w:r>
      <w:r w:rsidRPr="00A32AB2">
        <w:rPr>
          <w:rStyle w:val="longtext"/>
          <w:rFonts w:ascii="Garamond" w:hAnsi="Garamond"/>
          <w:color w:val="000000"/>
          <w:sz w:val="22"/>
          <w:szCs w:val="22"/>
          <w:shd w:val="clear" w:color="auto" w:fill="FFFFFF"/>
        </w:rPr>
        <w:t xml:space="preserve">was </w:t>
      </w:r>
      <w:r w:rsidR="00F33532">
        <w:rPr>
          <w:rStyle w:val="longtext"/>
          <w:rFonts w:ascii="Garamond" w:hAnsi="Garamond"/>
          <w:color w:val="000000"/>
          <w:sz w:val="22"/>
          <w:szCs w:val="22"/>
          <w:shd w:val="clear" w:color="auto" w:fill="FFFFFF"/>
        </w:rPr>
        <w:t>2</w:t>
      </w:r>
      <w:r w:rsidRPr="00A32AB2">
        <w:rPr>
          <w:rStyle w:val="longtext"/>
          <w:rFonts w:ascii="Garamond" w:hAnsi="Garamond"/>
          <w:color w:val="000000"/>
          <w:sz w:val="22"/>
          <w:szCs w:val="22"/>
          <w:shd w:val="clear" w:color="auto" w:fill="FFFFFF"/>
        </w:rPr>
        <w:t>.</w:t>
      </w:r>
      <w:r w:rsidR="00F33532">
        <w:rPr>
          <w:rStyle w:val="longtext"/>
          <w:rFonts w:ascii="Garamond" w:hAnsi="Garamond"/>
          <w:color w:val="000000"/>
          <w:sz w:val="22"/>
          <w:szCs w:val="22"/>
          <w:shd w:val="clear" w:color="auto" w:fill="FFFFFF"/>
        </w:rPr>
        <w:t>8</w:t>
      </w:r>
      <w:r w:rsidRPr="00A32AB2">
        <w:rPr>
          <w:rStyle w:val="longtext"/>
          <w:rFonts w:ascii="Garamond" w:hAnsi="Garamond"/>
          <w:color w:val="000000"/>
          <w:sz w:val="22"/>
          <w:szCs w:val="22"/>
          <w:shd w:val="clear" w:color="auto" w:fill="FFFFFF"/>
        </w:rPr>
        <w:t xml:space="preserve">% y/y, </w:t>
      </w:r>
      <w:r w:rsidR="00ED2DD0" w:rsidRPr="00A32AB2">
        <w:rPr>
          <w:rStyle w:val="longtext"/>
          <w:rFonts w:ascii="Garamond" w:hAnsi="Garamond"/>
          <w:color w:val="000000"/>
          <w:sz w:val="22"/>
          <w:szCs w:val="22"/>
          <w:shd w:val="clear" w:color="auto" w:fill="FFFFFF"/>
        </w:rPr>
        <w:t xml:space="preserve">which is </w:t>
      </w:r>
      <w:r w:rsidR="00F33532">
        <w:rPr>
          <w:rStyle w:val="longtext"/>
          <w:rFonts w:ascii="Garamond" w:hAnsi="Garamond"/>
          <w:color w:val="000000"/>
          <w:sz w:val="22"/>
          <w:szCs w:val="22"/>
          <w:shd w:val="clear" w:color="auto" w:fill="FFFFFF"/>
        </w:rPr>
        <w:t>1</w:t>
      </w:r>
      <w:r w:rsidR="00590C92" w:rsidRPr="00A32AB2">
        <w:rPr>
          <w:rStyle w:val="longtext"/>
          <w:rFonts w:ascii="Garamond" w:hAnsi="Garamond"/>
          <w:color w:val="000000"/>
          <w:sz w:val="22"/>
          <w:szCs w:val="22"/>
          <w:shd w:val="clear" w:color="auto" w:fill="FFFFFF"/>
        </w:rPr>
        <w:t>.</w:t>
      </w:r>
      <w:r w:rsidR="00F33532">
        <w:rPr>
          <w:rStyle w:val="longtext"/>
          <w:rFonts w:ascii="Garamond" w:hAnsi="Garamond"/>
          <w:color w:val="000000"/>
          <w:sz w:val="22"/>
          <w:szCs w:val="22"/>
          <w:shd w:val="clear" w:color="auto" w:fill="FFFFFF"/>
        </w:rPr>
        <w:t>2</w:t>
      </w:r>
      <w:r w:rsidR="00590C92" w:rsidRPr="00A32AB2">
        <w:rPr>
          <w:rStyle w:val="longtext"/>
          <w:rFonts w:ascii="Garamond" w:hAnsi="Garamond"/>
          <w:color w:val="000000"/>
          <w:sz w:val="22"/>
          <w:szCs w:val="22"/>
          <w:shd w:val="clear" w:color="auto" w:fill="FFFFFF"/>
        </w:rPr>
        <w:t xml:space="preserve"> pp smaller from </w:t>
      </w:r>
      <w:r w:rsidRPr="00A32AB2">
        <w:rPr>
          <w:rFonts w:ascii="Garamond" w:hAnsi="Garamond" w:cs="Sylfaen"/>
          <w:iCs/>
          <w:sz w:val="22"/>
          <w:szCs w:val="22"/>
        </w:rPr>
        <w:t xml:space="preserve">the </w:t>
      </w:r>
      <w:r w:rsidR="00F33532">
        <w:rPr>
          <w:rFonts w:ascii="Garamond" w:hAnsi="Garamond" w:cs="Sylfaen"/>
          <w:iCs/>
          <w:sz w:val="22"/>
          <w:szCs w:val="22"/>
        </w:rPr>
        <w:t>former forecast val</w:t>
      </w:r>
      <w:r w:rsidR="00590C92" w:rsidRPr="00A32AB2">
        <w:rPr>
          <w:rFonts w:ascii="Garamond" w:hAnsi="Garamond" w:cs="Sylfaen"/>
          <w:iCs/>
          <w:sz w:val="22"/>
          <w:szCs w:val="22"/>
        </w:rPr>
        <w:t>ue of the CBA</w:t>
      </w:r>
      <w:r w:rsidR="00ED2DD0" w:rsidRPr="00A32AB2">
        <w:rPr>
          <w:rStyle w:val="longtext"/>
          <w:rFonts w:ascii="Garamond" w:hAnsi="Garamond"/>
          <w:color w:val="000000"/>
          <w:sz w:val="22"/>
          <w:szCs w:val="22"/>
          <w:shd w:val="clear" w:color="auto" w:fill="FFFFFF"/>
        </w:rPr>
        <w:t>.</w:t>
      </w:r>
      <w:r w:rsidR="00CF60ED">
        <w:rPr>
          <w:rStyle w:val="longtext"/>
          <w:rFonts w:ascii="Garamond" w:hAnsi="Garamond"/>
          <w:color w:val="000000"/>
          <w:sz w:val="22"/>
          <w:szCs w:val="22"/>
          <w:shd w:val="clear" w:color="auto" w:fill="FFFFFF"/>
        </w:rPr>
        <w:t xml:space="preserve"> Higher expectations of the CBA </w:t>
      </w:r>
      <w:r w:rsidR="00CF60ED" w:rsidRPr="00CF60ED">
        <w:rPr>
          <w:rStyle w:val="longtext"/>
          <w:rFonts w:ascii="Garamond" w:hAnsi="Garamond"/>
          <w:color w:val="000000"/>
          <w:sz w:val="22"/>
          <w:szCs w:val="22"/>
          <w:shd w:val="clear" w:color="auto" w:fill="FFFFFF"/>
        </w:rPr>
        <w:t xml:space="preserve">for economic growth </w:t>
      </w:r>
      <w:r w:rsidR="00CF60ED">
        <w:rPr>
          <w:rStyle w:val="longtext"/>
          <w:rFonts w:ascii="Garamond" w:hAnsi="Garamond"/>
          <w:color w:val="000000"/>
          <w:sz w:val="22"/>
          <w:szCs w:val="22"/>
          <w:shd w:val="clear" w:color="auto" w:fill="FFFFFF"/>
        </w:rPr>
        <w:t xml:space="preserve">in the previous forecasts </w:t>
      </w:r>
      <w:r w:rsidR="00CF60ED" w:rsidRPr="00CF60ED">
        <w:rPr>
          <w:rStyle w:val="longtext"/>
          <w:rFonts w:ascii="Garamond" w:hAnsi="Garamond"/>
          <w:color w:val="000000"/>
          <w:sz w:val="22"/>
          <w:szCs w:val="22"/>
          <w:shd w:val="clear" w:color="auto" w:fill="FFFFFF"/>
        </w:rPr>
        <w:t xml:space="preserve">were </w:t>
      </w:r>
      <w:proofErr w:type="spellStart"/>
      <w:r w:rsidR="00CF60ED">
        <w:rPr>
          <w:rStyle w:val="longtext"/>
          <w:rFonts w:ascii="Garamond" w:hAnsi="Garamond"/>
          <w:color w:val="000000"/>
          <w:sz w:val="22"/>
          <w:szCs w:val="22"/>
          <w:shd w:val="clear" w:color="auto" w:fill="FFFFFF"/>
        </w:rPr>
        <w:t>fuelled</w:t>
      </w:r>
      <w:proofErr w:type="spellEnd"/>
      <w:r w:rsidR="00CF60ED">
        <w:rPr>
          <w:rStyle w:val="longtext"/>
          <w:rFonts w:ascii="Garamond" w:hAnsi="Garamond"/>
          <w:color w:val="000000"/>
          <w:sz w:val="22"/>
          <w:szCs w:val="22"/>
          <w:shd w:val="clear" w:color="auto" w:fill="FFFFFF"/>
        </w:rPr>
        <w:t xml:space="preserve"> by an earlier published figure of 4.7% </w:t>
      </w:r>
      <w:r w:rsidR="00CF60ED" w:rsidRPr="00CF60ED">
        <w:rPr>
          <w:rStyle w:val="longtext"/>
          <w:rFonts w:ascii="Garamond" w:hAnsi="Garamond"/>
          <w:color w:val="000000"/>
          <w:sz w:val="22"/>
          <w:szCs w:val="22"/>
          <w:shd w:val="clear" w:color="auto" w:fill="FFFFFF"/>
        </w:rPr>
        <w:t xml:space="preserve">economic activity </w:t>
      </w:r>
      <w:r w:rsidR="00CF60ED">
        <w:rPr>
          <w:rStyle w:val="longtext"/>
          <w:rFonts w:ascii="Garamond" w:hAnsi="Garamond"/>
          <w:color w:val="000000"/>
          <w:sz w:val="22"/>
          <w:szCs w:val="22"/>
          <w:shd w:val="clear" w:color="auto" w:fill="FFFFFF"/>
        </w:rPr>
        <w:t>growth</w:t>
      </w:r>
      <w:r w:rsidR="00D65BB7">
        <w:rPr>
          <w:rStyle w:val="FootnoteReference"/>
          <w:rFonts w:ascii="Garamond" w:hAnsi="Garamond"/>
          <w:color w:val="000000"/>
          <w:sz w:val="22"/>
          <w:szCs w:val="22"/>
          <w:shd w:val="clear" w:color="auto" w:fill="FFFFFF"/>
        </w:rPr>
        <w:footnoteReference w:customMarkFollows="1" w:id="13"/>
        <w:t>14</w:t>
      </w:r>
      <w:r w:rsidR="00CF60ED">
        <w:rPr>
          <w:rStyle w:val="longtext"/>
          <w:rFonts w:ascii="Garamond" w:hAnsi="Garamond"/>
          <w:color w:val="000000"/>
          <w:sz w:val="22"/>
          <w:szCs w:val="22"/>
          <w:shd w:val="clear" w:color="auto" w:fill="FFFFFF"/>
        </w:rPr>
        <w:t xml:space="preserve"> </w:t>
      </w:r>
      <w:r w:rsidR="00CF60ED" w:rsidRPr="00CF60ED">
        <w:rPr>
          <w:rStyle w:val="longtext"/>
          <w:rFonts w:ascii="Garamond" w:hAnsi="Garamond"/>
          <w:color w:val="000000"/>
          <w:sz w:val="22"/>
          <w:szCs w:val="22"/>
          <w:shd w:val="clear" w:color="auto" w:fill="FFFFFF"/>
        </w:rPr>
        <w:t>for the first half</w:t>
      </w:r>
      <w:r w:rsidR="00CF60ED">
        <w:rPr>
          <w:rStyle w:val="longtext"/>
          <w:rFonts w:ascii="Garamond" w:hAnsi="Garamond"/>
          <w:color w:val="000000"/>
          <w:sz w:val="22"/>
          <w:szCs w:val="22"/>
          <w:shd w:val="clear" w:color="auto" w:fill="FFFFFF"/>
        </w:rPr>
        <w:t xml:space="preserve"> of the year.</w:t>
      </w:r>
    </w:p>
    <w:p w14:paraId="62116C26" w14:textId="77777777" w:rsidR="00C55DA1" w:rsidRPr="00A32AB2" w:rsidRDefault="00C55DA1" w:rsidP="00FF3CD9">
      <w:pPr>
        <w:spacing w:line="360" w:lineRule="auto"/>
        <w:jc w:val="both"/>
        <w:rPr>
          <w:rStyle w:val="longtext"/>
          <w:rFonts w:ascii="Garamond" w:hAnsi="Garamond"/>
          <w:color w:val="000000"/>
          <w:sz w:val="22"/>
          <w:szCs w:val="22"/>
          <w:shd w:val="clear" w:color="auto" w:fill="FFFFFF"/>
        </w:rPr>
      </w:pPr>
    </w:p>
    <w:p w14:paraId="516ECA0A" w14:textId="77777777" w:rsidR="00C55DA1" w:rsidRPr="00A32AB2" w:rsidRDefault="00343FCB" w:rsidP="00FF3CD9">
      <w:pPr>
        <w:spacing w:line="360" w:lineRule="auto"/>
        <w:jc w:val="both"/>
        <w:rPr>
          <w:rStyle w:val="longtext"/>
          <w:rFonts w:ascii="Garamond" w:hAnsi="Garamond"/>
          <w:color w:val="000000"/>
          <w:sz w:val="22"/>
          <w:szCs w:val="22"/>
          <w:shd w:val="clear" w:color="auto" w:fill="FFFFFF"/>
        </w:rPr>
      </w:pPr>
      <w:r>
        <w:rPr>
          <w:rStyle w:val="longtext"/>
          <w:rFonts w:ascii="Garamond" w:hAnsi="Garamond"/>
          <w:color w:val="000000"/>
          <w:sz w:val="22"/>
          <w:szCs w:val="22"/>
          <w:shd w:val="clear" w:color="auto" w:fill="FFFFFF"/>
        </w:rPr>
        <w:t>I</w:t>
      </w:r>
      <w:r w:rsidR="008F4C50" w:rsidRPr="00A32AB2">
        <w:rPr>
          <w:rStyle w:val="longtext"/>
          <w:rFonts w:ascii="Garamond" w:hAnsi="Garamond"/>
          <w:color w:val="000000"/>
          <w:sz w:val="22"/>
          <w:szCs w:val="22"/>
          <w:shd w:val="clear" w:color="auto" w:fill="FFFFFF"/>
        </w:rPr>
        <w:t xml:space="preserve">n the </w:t>
      </w:r>
      <w:r>
        <w:rPr>
          <w:rStyle w:val="longtext"/>
          <w:rFonts w:ascii="Garamond" w:hAnsi="Garamond"/>
          <w:color w:val="000000"/>
          <w:sz w:val="22"/>
          <w:szCs w:val="22"/>
          <w:shd w:val="clear" w:color="auto" w:fill="FFFFFF"/>
        </w:rPr>
        <w:t>thir</w:t>
      </w:r>
      <w:r w:rsidR="008F4C50" w:rsidRPr="00A32AB2">
        <w:rPr>
          <w:rStyle w:val="longtext"/>
          <w:rFonts w:ascii="Garamond" w:hAnsi="Garamond"/>
          <w:color w:val="000000"/>
          <w:sz w:val="22"/>
          <w:szCs w:val="22"/>
          <w:shd w:val="clear" w:color="auto" w:fill="FFFFFF"/>
        </w:rPr>
        <w:t xml:space="preserve">d quarter of 2016 </w:t>
      </w:r>
      <w:r>
        <w:rPr>
          <w:rStyle w:val="longtext"/>
          <w:rFonts w:ascii="Garamond" w:hAnsi="Garamond"/>
          <w:color w:val="000000"/>
          <w:sz w:val="22"/>
          <w:szCs w:val="22"/>
          <w:shd w:val="clear" w:color="auto" w:fill="FFFFFF"/>
        </w:rPr>
        <w:t>economic activity grew at a slower rate in relation to the first half of the year</w:t>
      </w:r>
      <w:r w:rsidR="00DE377A" w:rsidRPr="00A32AB2">
        <w:rPr>
          <w:rStyle w:val="longtext"/>
          <w:rFonts w:ascii="Garamond" w:hAnsi="Garamond"/>
          <w:color w:val="000000"/>
          <w:sz w:val="22"/>
          <w:szCs w:val="22"/>
          <w:shd w:val="clear" w:color="auto" w:fill="FFFFFF"/>
        </w:rPr>
        <w:t>. A</w:t>
      </w:r>
      <w:r w:rsidR="008F4C50" w:rsidRPr="00A32AB2">
        <w:rPr>
          <w:rStyle w:val="longtext"/>
          <w:rFonts w:ascii="Garamond" w:hAnsi="Garamond"/>
          <w:color w:val="000000"/>
          <w:sz w:val="22"/>
          <w:szCs w:val="22"/>
          <w:shd w:val="clear" w:color="auto" w:fill="FFFFFF"/>
        </w:rPr>
        <w:t xml:space="preserve">s a result, the </w:t>
      </w:r>
      <w:r>
        <w:rPr>
          <w:rStyle w:val="longtext"/>
          <w:rFonts w:ascii="Garamond" w:hAnsi="Garamond"/>
          <w:color w:val="000000"/>
          <w:sz w:val="22"/>
          <w:szCs w:val="22"/>
          <w:shd w:val="clear" w:color="auto" w:fill="FFFFFF"/>
        </w:rPr>
        <w:t xml:space="preserve">growth of </w:t>
      </w:r>
      <w:r w:rsidR="008F4C50" w:rsidRPr="00A32AB2">
        <w:rPr>
          <w:rStyle w:val="longtext"/>
          <w:rFonts w:ascii="Garamond" w:hAnsi="Garamond"/>
          <w:color w:val="000000"/>
          <w:sz w:val="22"/>
          <w:szCs w:val="22"/>
          <w:shd w:val="clear" w:color="auto" w:fill="FFFFFF"/>
        </w:rPr>
        <w:t xml:space="preserve">economic activity </w:t>
      </w:r>
      <w:r>
        <w:rPr>
          <w:rStyle w:val="longtext"/>
          <w:rFonts w:ascii="Garamond" w:hAnsi="Garamond"/>
          <w:color w:val="000000"/>
          <w:sz w:val="22"/>
          <w:szCs w:val="22"/>
          <w:shd w:val="clear" w:color="auto" w:fill="FFFFFF"/>
        </w:rPr>
        <w:t>in January-September has been 1</w:t>
      </w:r>
      <w:r w:rsidR="008F4C50" w:rsidRPr="00A32AB2">
        <w:rPr>
          <w:rStyle w:val="longtext"/>
          <w:rFonts w:ascii="Garamond" w:hAnsi="Garamond"/>
          <w:color w:val="000000"/>
          <w:sz w:val="22"/>
          <w:szCs w:val="22"/>
          <w:shd w:val="clear" w:color="auto" w:fill="FFFFFF"/>
        </w:rPr>
        <w:t>.</w:t>
      </w:r>
      <w:r>
        <w:rPr>
          <w:rStyle w:val="longtext"/>
          <w:rFonts w:ascii="Garamond" w:hAnsi="Garamond"/>
          <w:color w:val="000000"/>
          <w:sz w:val="22"/>
          <w:szCs w:val="22"/>
          <w:shd w:val="clear" w:color="auto" w:fill="FFFFFF"/>
        </w:rPr>
        <w:t>6</w:t>
      </w:r>
      <w:r w:rsidR="008F4C50" w:rsidRPr="00A32AB2">
        <w:rPr>
          <w:rStyle w:val="longtext"/>
          <w:rFonts w:ascii="Garamond" w:hAnsi="Garamond"/>
          <w:color w:val="000000"/>
          <w:sz w:val="22"/>
          <w:szCs w:val="22"/>
          <w:shd w:val="clear" w:color="auto" w:fill="FFFFFF"/>
        </w:rPr>
        <w:t>% y/y</w:t>
      </w:r>
      <w:r w:rsidR="00C55DA1" w:rsidRPr="00A32AB2">
        <w:rPr>
          <w:rStyle w:val="longtext"/>
          <w:rFonts w:ascii="Garamond" w:hAnsi="Garamond"/>
          <w:color w:val="000000"/>
          <w:sz w:val="22"/>
          <w:szCs w:val="22"/>
          <w:shd w:val="clear" w:color="auto" w:fill="FFFFFF"/>
        </w:rPr>
        <w:t xml:space="preserve">. </w:t>
      </w:r>
    </w:p>
    <w:p w14:paraId="2249D27A" w14:textId="77777777" w:rsidR="00C55DA1" w:rsidRPr="00A32AB2" w:rsidRDefault="00C55DA1" w:rsidP="00FF3CD9">
      <w:pPr>
        <w:spacing w:line="360" w:lineRule="auto"/>
        <w:jc w:val="both"/>
        <w:rPr>
          <w:rStyle w:val="longtext"/>
          <w:rFonts w:ascii="Garamond" w:hAnsi="Garamond"/>
          <w:color w:val="000000"/>
          <w:sz w:val="22"/>
          <w:szCs w:val="22"/>
          <w:shd w:val="clear" w:color="auto" w:fill="FFFFFF"/>
        </w:rPr>
      </w:pPr>
    </w:p>
    <w:p w14:paraId="051C5AEE" w14:textId="77777777" w:rsidR="00171EEE" w:rsidRPr="00A32AB2" w:rsidRDefault="001725FE" w:rsidP="00FF3CD9">
      <w:pPr>
        <w:spacing w:line="360" w:lineRule="auto"/>
        <w:jc w:val="both"/>
        <w:rPr>
          <w:rFonts w:ascii="Garamond" w:hAnsi="Garamond"/>
          <w:sz w:val="22"/>
          <w:szCs w:val="22"/>
        </w:rPr>
      </w:pPr>
      <w:r w:rsidRPr="00A32AB2">
        <w:rPr>
          <w:rFonts w:ascii="Garamond" w:hAnsi="Garamond" w:cs="Sylfaen"/>
          <w:iCs/>
          <w:sz w:val="22"/>
          <w:szCs w:val="22"/>
        </w:rPr>
        <w:t xml:space="preserve">Given the </w:t>
      </w:r>
      <w:r w:rsidR="000E4A76">
        <w:rPr>
          <w:rFonts w:ascii="Garamond" w:hAnsi="Garamond" w:cs="Sylfaen"/>
          <w:iCs/>
          <w:sz w:val="22"/>
          <w:szCs w:val="22"/>
        </w:rPr>
        <w:t xml:space="preserve">aforementioned developments, the </w:t>
      </w:r>
      <w:r w:rsidR="00447C48">
        <w:rPr>
          <w:rStyle w:val="longtext"/>
          <w:rFonts w:ascii="Garamond" w:hAnsi="Garamond"/>
          <w:color w:val="000000"/>
          <w:sz w:val="22"/>
          <w:szCs w:val="22"/>
          <w:shd w:val="clear" w:color="auto" w:fill="FFFFFF"/>
        </w:rPr>
        <w:t>January-September</w:t>
      </w:r>
      <w:r w:rsidR="00447C48" w:rsidRPr="00A32AB2">
        <w:rPr>
          <w:rFonts w:ascii="Garamond" w:hAnsi="Garamond" w:cs="Sylfaen"/>
          <w:iCs/>
          <w:sz w:val="22"/>
          <w:szCs w:val="22"/>
        </w:rPr>
        <w:t xml:space="preserve"> </w:t>
      </w:r>
      <w:r w:rsidRPr="00A32AB2">
        <w:rPr>
          <w:rFonts w:ascii="Garamond" w:hAnsi="Garamond" w:cs="Sylfaen"/>
          <w:iCs/>
          <w:sz w:val="22"/>
          <w:szCs w:val="22"/>
        </w:rPr>
        <w:t xml:space="preserve">economic growth </w:t>
      </w:r>
      <w:r w:rsidR="000E4A76">
        <w:rPr>
          <w:rFonts w:ascii="Garamond" w:hAnsi="Garamond" w:cs="Sylfaen"/>
          <w:iCs/>
          <w:sz w:val="22"/>
          <w:szCs w:val="22"/>
        </w:rPr>
        <w:t>forecast was</w:t>
      </w:r>
      <w:r w:rsidR="00AF2805">
        <w:rPr>
          <w:rFonts w:ascii="Garamond" w:hAnsi="Garamond" w:cs="Sylfaen"/>
          <w:iCs/>
          <w:sz w:val="22"/>
          <w:szCs w:val="22"/>
        </w:rPr>
        <w:t xml:space="preserve"> </w:t>
      </w:r>
      <w:r w:rsidRPr="00A32AB2">
        <w:rPr>
          <w:rFonts w:ascii="Garamond" w:hAnsi="Garamond" w:cs="Sylfaen"/>
          <w:iCs/>
          <w:sz w:val="22"/>
          <w:szCs w:val="22"/>
        </w:rPr>
        <w:t xml:space="preserve">revised </w:t>
      </w:r>
      <w:r w:rsidR="000E4A76">
        <w:rPr>
          <w:rFonts w:ascii="Garamond" w:hAnsi="Garamond" w:cs="Sylfaen"/>
          <w:iCs/>
          <w:sz w:val="22"/>
          <w:szCs w:val="22"/>
        </w:rPr>
        <w:t>down</w:t>
      </w:r>
      <w:r w:rsidRPr="00A32AB2">
        <w:rPr>
          <w:rFonts w:ascii="Garamond" w:hAnsi="Garamond" w:cs="Sylfaen"/>
          <w:iCs/>
          <w:sz w:val="22"/>
          <w:szCs w:val="22"/>
        </w:rPr>
        <w:t>ward</w:t>
      </w:r>
      <w:r w:rsidR="00447C48">
        <w:rPr>
          <w:rFonts w:ascii="Garamond" w:hAnsi="Garamond" w:cs="Sylfaen"/>
          <w:iCs/>
          <w:sz w:val="22"/>
          <w:szCs w:val="22"/>
        </w:rPr>
        <w:t xml:space="preserve">, in </w:t>
      </w:r>
      <w:r w:rsidR="003E3E73" w:rsidRPr="00A32AB2">
        <w:rPr>
          <w:rFonts w:ascii="Garamond" w:hAnsi="Garamond" w:cs="Sylfaen"/>
          <w:iCs/>
          <w:sz w:val="22"/>
          <w:szCs w:val="22"/>
        </w:rPr>
        <w:t xml:space="preserve">the range of </w:t>
      </w:r>
      <w:r w:rsidR="00447C48">
        <w:rPr>
          <w:rFonts w:ascii="Garamond" w:hAnsi="Garamond" w:cs="Sylfaen"/>
          <w:iCs/>
          <w:sz w:val="22"/>
          <w:szCs w:val="22"/>
        </w:rPr>
        <w:t>1</w:t>
      </w:r>
      <w:r w:rsidR="00C55DA1" w:rsidRPr="00A32AB2">
        <w:rPr>
          <w:rFonts w:ascii="Garamond" w:hAnsi="Garamond" w:cs="Sylfaen"/>
          <w:iCs/>
          <w:sz w:val="22"/>
          <w:szCs w:val="22"/>
        </w:rPr>
        <w:t>.</w:t>
      </w:r>
      <w:r w:rsidR="00447C48">
        <w:rPr>
          <w:rFonts w:ascii="Garamond" w:hAnsi="Garamond" w:cs="Sylfaen"/>
          <w:iCs/>
          <w:sz w:val="22"/>
          <w:szCs w:val="22"/>
        </w:rPr>
        <w:t>3</w:t>
      </w:r>
      <w:r w:rsidR="00C55DA1" w:rsidRPr="00A32AB2">
        <w:rPr>
          <w:rFonts w:ascii="Garamond" w:hAnsi="Garamond" w:cs="Sylfaen"/>
          <w:iCs/>
          <w:sz w:val="22"/>
          <w:szCs w:val="22"/>
        </w:rPr>
        <w:t>-</w:t>
      </w:r>
      <w:r w:rsidR="00447C48">
        <w:rPr>
          <w:rFonts w:ascii="Garamond" w:hAnsi="Garamond" w:cs="Sylfaen"/>
          <w:iCs/>
          <w:sz w:val="22"/>
          <w:szCs w:val="22"/>
        </w:rPr>
        <w:t>1</w:t>
      </w:r>
      <w:r w:rsidRPr="00A32AB2">
        <w:rPr>
          <w:rFonts w:ascii="Garamond" w:hAnsi="Garamond" w:cs="Sylfaen"/>
          <w:iCs/>
          <w:sz w:val="22"/>
          <w:szCs w:val="22"/>
        </w:rPr>
        <w:t>.</w:t>
      </w:r>
      <w:r w:rsidR="00447C48">
        <w:rPr>
          <w:rFonts w:ascii="Garamond" w:hAnsi="Garamond" w:cs="Sylfaen"/>
          <w:iCs/>
          <w:sz w:val="22"/>
          <w:szCs w:val="22"/>
        </w:rPr>
        <w:t>5</w:t>
      </w:r>
      <w:r w:rsidR="00C55DA1" w:rsidRPr="00A32AB2">
        <w:rPr>
          <w:rFonts w:ascii="Garamond" w:hAnsi="Garamond" w:cs="Sylfaen"/>
          <w:iCs/>
          <w:sz w:val="22"/>
          <w:szCs w:val="22"/>
        </w:rPr>
        <w:t>%</w:t>
      </w:r>
      <w:r w:rsidR="00F33532">
        <w:rPr>
          <w:rStyle w:val="FootnoteReference"/>
          <w:rFonts w:ascii="Garamond" w:hAnsi="Garamond" w:cs="Sylfaen"/>
          <w:sz w:val="22"/>
          <w:szCs w:val="22"/>
        </w:rPr>
        <w:footnoteReference w:customMarkFollows="1" w:id="14"/>
        <w:t>15</w:t>
      </w:r>
      <w:r w:rsidR="00C55DA1" w:rsidRPr="00A32AB2">
        <w:rPr>
          <w:rFonts w:ascii="Garamond" w:hAnsi="Garamond" w:cs="Sylfaen"/>
          <w:sz w:val="22"/>
          <w:szCs w:val="22"/>
        </w:rPr>
        <w:t>.</w:t>
      </w:r>
      <w:r w:rsidR="00447C48">
        <w:rPr>
          <w:rFonts w:ascii="Garamond" w:hAnsi="Garamond" w:cs="Sylfaen"/>
          <w:sz w:val="22"/>
          <w:szCs w:val="22"/>
        </w:rPr>
        <w:t xml:space="preserve"> Note, however, that the monetary policy implemented by the CBA as well as </w:t>
      </w:r>
      <w:r w:rsidR="00447C48" w:rsidRPr="00447C48">
        <w:rPr>
          <w:rFonts w:ascii="Garamond" w:hAnsi="Garamond" w:cs="Sylfaen"/>
          <w:sz w:val="22"/>
          <w:szCs w:val="22"/>
        </w:rPr>
        <w:t xml:space="preserve">fiscal incentives provided </w:t>
      </w:r>
      <w:r w:rsidR="00447C48">
        <w:rPr>
          <w:rFonts w:ascii="Garamond" w:hAnsi="Garamond" w:cs="Sylfaen"/>
          <w:sz w:val="22"/>
          <w:szCs w:val="22"/>
        </w:rPr>
        <w:t>to the economy have cushioned the slowdown of economic activity</w:t>
      </w:r>
      <w:r w:rsidR="00447C48" w:rsidRPr="00447C48">
        <w:rPr>
          <w:rFonts w:ascii="Garamond" w:hAnsi="Garamond" w:cs="Sylfaen"/>
          <w:sz w:val="22"/>
          <w:szCs w:val="22"/>
        </w:rPr>
        <w:t xml:space="preserve">, </w:t>
      </w:r>
      <w:r w:rsidR="00DC3ACE">
        <w:rPr>
          <w:rFonts w:ascii="Garamond" w:hAnsi="Garamond" w:cs="Sylfaen"/>
          <w:sz w:val="22"/>
          <w:szCs w:val="22"/>
        </w:rPr>
        <w:t xml:space="preserve">pointing to </w:t>
      </w:r>
      <w:r w:rsidR="00447C48" w:rsidRPr="00447C48">
        <w:rPr>
          <w:rFonts w:ascii="Garamond" w:hAnsi="Garamond" w:cs="Sylfaen"/>
          <w:sz w:val="22"/>
          <w:szCs w:val="22"/>
        </w:rPr>
        <w:t xml:space="preserve">the 2.6% growth in lending volumes </w:t>
      </w:r>
      <w:r w:rsidR="00DC3ACE" w:rsidRPr="00447C48">
        <w:rPr>
          <w:rFonts w:ascii="Garamond" w:hAnsi="Garamond" w:cs="Sylfaen"/>
          <w:sz w:val="22"/>
          <w:szCs w:val="22"/>
        </w:rPr>
        <w:t xml:space="preserve">in the </w:t>
      </w:r>
      <w:r w:rsidR="00DC3ACE">
        <w:rPr>
          <w:rFonts w:ascii="Garamond" w:hAnsi="Garamond" w:cs="Sylfaen"/>
          <w:sz w:val="22"/>
          <w:szCs w:val="22"/>
        </w:rPr>
        <w:t xml:space="preserve">period under review and the expected </w:t>
      </w:r>
      <w:r w:rsidR="00DC3ACE" w:rsidRPr="00447C48">
        <w:rPr>
          <w:rFonts w:ascii="Garamond" w:hAnsi="Garamond" w:cs="Sylfaen"/>
          <w:sz w:val="22"/>
          <w:szCs w:val="22"/>
        </w:rPr>
        <w:t>5.4%</w:t>
      </w:r>
      <w:r w:rsidR="00DC3ACE">
        <w:rPr>
          <w:rFonts w:ascii="Garamond" w:hAnsi="Garamond" w:cs="Sylfaen"/>
          <w:sz w:val="22"/>
          <w:szCs w:val="22"/>
        </w:rPr>
        <w:t xml:space="preserve"> </w:t>
      </w:r>
      <w:r w:rsidR="00447C48" w:rsidRPr="00447C48">
        <w:rPr>
          <w:rFonts w:ascii="Garamond" w:hAnsi="Garamond" w:cs="Sylfaen"/>
          <w:sz w:val="22"/>
          <w:szCs w:val="22"/>
        </w:rPr>
        <w:t xml:space="preserve">budget deficit </w:t>
      </w:r>
      <w:r w:rsidR="00DC3ACE">
        <w:rPr>
          <w:rFonts w:ascii="Garamond" w:hAnsi="Garamond" w:cs="Sylfaen"/>
          <w:sz w:val="22"/>
          <w:szCs w:val="22"/>
        </w:rPr>
        <w:t>in 2016</w:t>
      </w:r>
      <w:r w:rsidR="00447C48" w:rsidRPr="00447C48">
        <w:rPr>
          <w:rFonts w:ascii="Garamond" w:hAnsi="Garamond" w:cs="Sylfaen"/>
          <w:sz w:val="22"/>
          <w:szCs w:val="22"/>
        </w:rPr>
        <w:t>.</w:t>
      </w:r>
    </w:p>
    <w:p w14:paraId="2BD91050" w14:textId="77777777" w:rsidR="002F1EDA" w:rsidRPr="00A32AB2" w:rsidRDefault="002F1EDA" w:rsidP="00FF3CD9">
      <w:pPr>
        <w:spacing w:line="360" w:lineRule="auto"/>
        <w:jc w:val="both"/>
        <w:rPr>
          <w:rFonts w:ascii="Garamond" w:hAnsi="Garamond"/>
          <w:sz w:val="22"/>
          <w:szCs w:val="22"/>
        </w:rPr>
      </w:pPr>
    </w:p>
    <w:p w14:paraId="41539B37" w14:textId="77777777" w:rsidR="002F1EDA" w:rsidRPr="00A32AB2" w:rsidRDefault="002F1EDA" w:rsidP="00FF3CD9">
      <w:pPr>
        <w:spacing w:line="360" w:lineRule="auto"/>
        <w:jc w:val="both"/>
        <w:rPr>
          <w:rFonts w:ascii="Garamond" w:hAnsi="Garamond"/>
          <w:iCs/>
          <w:sz w:val="22"/>
          <w:szCs w:val="22"/>
        </w:rPr>
      </w:pPr>
      <w:r w:rsidRPr="00A32AB2">
        <w:rPr>
          <w:rFonts w:ascii="Garamond" w:hAnsi="Garamond"/>
          <w:sz w:val="22"/>
          <w:szCs w:val="22"/>
        </w:rPr>
        <w:t xml:space="preserve">Taking into account an increased output of </w:t>
      </w:r>
      <w:r w:rsidR="00E91BCE">
        <w:rPr>
          <w:rFonts w:ascii="Garamond" w:hAnsi="Garamond"/>
          <w:sz w:val="22"/>
          <w:szCs w:val="22"/>
        </w:rPr>
        <w:t>7</w:t>
      </w:r>
      <w:r w:rsidRPr="00A32AB2">
        <w:rPr>
          <w:rFonts w:ascii="Garamond" w:hAnsi="Garamond"/>
          <w:sz w:val="22"/>
          <w:szCs w:val="22"/>
        </w:rPr>
        <w:t>.</w:t>
      </w:r>
      <w:r w:rsidR="00E91BCE">
        <w:rPr>
          <w:rFonts w:ascii="Garamond" w:hAnsi="Garamond"/>
          <w:sz w:val="22"/>
          <w:szCs w:val="22"/>
        </w:rPr>
        <w:t>1</w:t>
      </w:r>
      <w:r w:rsidRPr="00A32AB2">
        <w:rPr>
          <w:rFonts w:ascii="Garamond" w:hAnsi="Garamond"/>
          <w:sz w:val="22"/>
          <w:szCs w:val="22"/>
        </w:rPr>
        <w:t xml:space="preserve">% y/y reported in </w:t>
      </w:r>
      <w:r w:rsidRPr="00A32AB2">
        <w:rPr>
          <w:rFonts w:ascii="Garamond" w:hAnsi="Garamond"/>
          <w:b/>
          <w:sz w:val="22"/>
          <w:szCs w:val="22"/>
        </w:rPr>
        <w:t xml:space="preserve">Industry </w:t>
      </w:r>
      <w:r w:rsidRPr="00A32AB2">
        <w:rPr>
          <w:rFonts w:ascii="Garamond" w:hAnsi="Garamond"/>
          <w:sz w:val="22"/>
          <w:szCs w:val="22"/>
        </w:rPr>
        <w:t xml:space="preserve">in </w:t>
      </w:r>
      <w:r w:rsidR="001725FE" w:rsidRPr="00A32AB2">
        <w:rPr>
          <w:rFonts w:ascii="Garamond" w:hAnsi="Garamond"/>
          <w:sz w:val="22"/>
          <w:szCs w:val="22"/>
        </w:rPr>
        <w:t>January-</w:t>
      </w:r>
      <w:r w:rsidR="00E91BCE">
        <w:rPr>
          <w:rFonts w:ascii="Garamond" w:hAnsi="Garamond"/>
          <w:sz w:val="22"/>
          <w:szCs w:val="22"/>
        </w:rPr>
        <w:t>September</w:t>
      </w:r>
      <w:r w:rsidR="001725FE" w:rsidRPr="00A32AB2">
        <w:rPr>
          <w:rFonts w:ascii="Garamond" w:hAnsi="Garamond"/>
          <w:sz w:val="22"/>
          <w:szCs w:val="22"/>
        </w:rPr>
        <w:t xml:space="preserve"> </w:t>
      </w:r>
      <w:r w:rsidRPr="00A32AB2">
        <w:rPr>
          <w:rFonts w:ascii="Garamond" w:hAnsi="Garamond"/>
          <w:sz w:val="22"/>
          <w:szCs w:val="22"/>
        </w:rPr>
        <w:t xml:space="preserve">2016, the growth of value added </w:t>
      </w:r>
      <w:r w:rsidR="006F687A" w:rsidRPr="00A32AB2">
        <w:rPr>
          <w:rFonts w:ascii="Garamond" w:hAnsi="Garamond"/>
          <w:sz w:val="22"/>
          <w:szCs w:val="22"/>
        </w:rPr>
        <w:t>t</w:t>
      </w:r>
      <w:r w:rsidRPr="00A32AB2">
        <w:rPr>
          <w:rFonts w:ascii="Garamond" w:hAnsi="Garamond"/>
          <w:sz w:val="22"/>
          <w:szCs w:val="22"/>
        </w:rPr>
        <w:t xml:space="preserve">here for the </w:t>
      </w:r>
      <w:r w:rsidR="00E91BCE">
        <w:rPr>
          <w:rFonts w:ascii="Garamond" w:hAnsi="Garamond"/>
          <w:sz w:val="22"/>
          <w:szCs w:val="22"/>
        </w:rPr>
        <w:t xml:space="preserve">same reference period </w:t>
      </w:r>
      <w:r w:rsidRPr="00A32AB2">
        <w:rPr>
          <w:rFonts w:ascii="Garamond" w:hAnsi="Garamond"/>
          <w:sz w:val="22"/>
          <w:szCs w:val="22"/>
        </w:rPr>
        <w:t xml:space="preserve">is estimated within </w:t>
      </w:r>
      <w:r w:rsidR="00E91BCE">
        <w:rPr>
          <w:rFonts w:ascii="Garamond" w:hAnsi="Garamond"/>
          <w:sz w:val="22"/>
          <w:szCs w:val="22"/>
        </w:rPr>
        <w:t>5</w:t>
      </w:r>
      <w:r w:rsidRPr="00A32AB2">
        <w:rPr>
          <w:rFonts w:ascii="Garamond" w:hAnsi="Garamond"/>
          <w:sz w:val="22"/>
          <w:szCs w:val="22"/>
        </w:rPr>
        <w:t>.</w:t>
      </w:r>
      <w:r w:rsidR="00E91BCE">
        <w:rPr>
          <w:rFonts w:ascii="Garamond" w:hAnsi="Garamond"/>
          <w:sz w:val="22"/>
          <w:szCs w:val="22"/>
        </w:rPr>
        <w:t>0</w:t>
      </w:r>
      <w:r w:rsidRPr="00A32AB2">
        <w:rPr>
          <w:rFonts w:ascii="Garamond" w:hAnsi="Garamond"/>
          <w:sz w:val="22"/>
          <w:szCs w:val="22"/>
        </w:rPr>
        <w:t>-</w:t>
      </w:r>
      <w:r w:rsidR="00E91BCE">
        <w:rPr>
          <w:rFonts w:ascii="Garamond" w:hAnsi="Garamond"/>
          <w:sz w:val="22"/>
          <w:szCs w:val="22"/>
        </w:rPr>
        <w:t>5</w:t>
      </w:r>
      <w:r w:rsidR="007149A1" w:rsidRPr="00A32AB2">
        <w:rPr>
          <w:rFonts w:ascii="Garamond" w:hAnsi="Garamond"/>
          <w:sz w:val="22"/>
          <w:szCs w:val="22"/>
        </w:rPr>
        <w:t>.</w:t>
      </w:r>
      <w:r w:rsidR="00E91BCE">
        <w:rPr>
          <w:rFonts w:ascii="Garamond" w:hAnsi="Garamond"/>
          <w:sz w:val="22"/>
          <w:szCs w:val="22"/>
        </w:rPr>
        <w:t>6</w:t>
      </w:r>
      <w:r w:rsidRPr="00A32AB2">
        <w:rPr>
          <w:rFonts w:ascii="Garamond" w:hAnsi="Garamond"/>
          <w:sz w:val="22"/>
          <w:szCs w:val="22"/>
        </w:rPr>
        <w:t xml:space="preserve">% y/y. This is mainly </w:t>
      </w:r>
      <w:r w:rsidR="002762A2">
        <w:rPr>
          <w:rFonts w:ascii="Garamond" w:hAnsi="Garamond"/>
          <w:sz w:val="22"/>
          <w:szCs w:val="22"/>
        </w:rPr>
        <w:t xml:space="preserve">attributable to the </w:t>
      </w:r>
      <w:r w:rsidR="00A40D3A" w:rsidRPr="00A32AB2">
        <w:rPr>
          <w:rFonts w:ascii="Garamond" w:hAnsi="Garamond"/>
          <w:iCs/>
          <w:sz w:val="22"/>
          <w:szCs w:val="22"/>
        </w:rPr>
        <w:t xml:space="preserve">growing </w:t>
      </w:r>
      <w:r w:rsidR="002762A2">
        <w:rPr>
          <w:rFonts w:ascii="Garamond" w:hAnsi="Garamond"/>
          <w:iCs/>
          <w:sz w:val="22"/>
          <w:szCs w:val="22"/>
        </w:rPr>
        <w:t xml:space="preserve">domestic demand in </w:t>
      </w:r>
      <w:r w:rsidR="00A40D3A" w:rsidRPr="00A32AB2">
        <w:rPr>
          <w:rFonts w:ascii="Garamond" w:hAnsi="Garamond"/>
          <w:iCs/>
          <w:sz w:val="22"/>
          <w:szCs w:val="22"/>
        </w:rPr>
        <w:t>partner countries</w:t>
      </w:r>
      <w:r w:rsidR="002762A2">
        <w:rPr>
          <w:rFonts w:ascii="Garamond" w:hAnsi="Garamond"/>
          <w:iCs/>
          <w:sz w:val="22"/>
          <w:szCs w:val="22"/>
        </w:rPr>
        <w:t xml:space="preserve"> and structural improvements in the Armenian economy</w:t>
      </w:r>
      <w:r w:rsidR="00A40D3A" w:rsidRPr="00A32AB2">
        <w:rPr>
          <w:rFonts w:ascii="Garamond" w:hAnsi="Garamond"/>
          <w:iCs/>
          <w:sz w:val="22"/>
          <w:szCs w:val="22"/>
        </w:rPr>
        <w:t>.</w:t>
      </w:r>
    </w:p>
    <w:p w14:paraId="3F7651C4" w14:textId="77777777" w:rsidR="00E807D1" w:rsidRPr="00A32AB2" w:rsidRDefault="00E807D1" w:rsidP="00FF3CD9">
      <w:pPr>
        <w:spacing w:line="360" w:lineRule="auto"/>
        <w:jc w:val="both"/>
        <w:rPr>
          <w:rFonts w:ascii="Garamond" w:hAnsi="Garamond"/>
          <w:iCs/>
          <w:sz w:val="22"/>
          <w:szCs w:val="22"/>
        </w:rPr>
      </w:pPr>
    </w:p>
    <w:p w14:paraId="392B9C4D" w14:textId="77777777" w:rsidR="00E807D1" w:rsidRPr="00A32AB2" w:rsidRDefault="00FB5314" w:rsidP="00FF3CD9">
      <w:pPr>
        <w:spacing w:line="360" w:lineRule="auto"/>
        <w:jc w:val="both"/>
        <w:rPr>
          <w:rFonts w:ascii="Garamond" w:hAnsi="Garamond"/>
          <w:sz w:val="22"/>
          <w:szCs w:val="22"/>
        </w:rPr>
      </w:pPr>
      <w:r w:rsidRPr="00A32AB2">
        <w:rPr>
          <w:rFonts w:ascii="Garamond" w:hAnsi="Garamond"/>
          <w:sz w:val="22"/>
          <w:szCs w:val="22"/>
        </w:rPr>
        <w:t xml:space="preserve">In view of </w:t>
      </w:r>
      <w:r w:rsidR="00E807D1" w:rsidRPr="00A32AB2">
        <w:rPr>
          <w:rFonts w:ascii="Garamond" w:hAnsi="Garamond"/>
          <w:sz w:val="22"/>
          <w:szCs w:val="22"/>
        </w:rPr>
        <w:t>a</w:t>
      </w:r>
      <w:r w:rsidR="00D37098" w:rsidRPr="00A32AB2">
        <w:rPr>
          <w:rFonts w:ascii="Garamond" w:hAnsi="Garamond"/>
          <w:sz w:val="22"/>
          <w:szCs w:val="22"/>
        </w:rPr>
        <w:t>n a</w:t>
      </w:r>
      <w:r w:rsidR="00E807D1" w:rsidRPr="00A32AB2">
        <w:rPr>
          <w:rFonts w:ascii="Garamond" w:hAnsi="Garamond"/>
          <w:sz w:val="22"/>
          <w:szCs w:val="22"/>
        </w:rPr>
        <w:t xml:space="preserve">ctual </w:t>
      </w:r>
      <w:r w:rsidRPr="00A32AB2">
        <w:rPr>
          <w:rFonts w:ascii="Garamond" w:hAnsi="Garamond"/>
          <w:sz w:val="22"/>
          <w:szCs w:val="22"/>
        </w:rPr>
        <w:t xml:space="preserve">decrease in </w:t>
      </w:r>
      <w:r w:rsidR="00E807D1" w:rsidRPr="00A32AB2">
        <w:rPr>
          <w:rFonts w:ascii="Garamond" w:hAnsi="Garamond"/>
          <w:sz w:val="22"/>
          <w:szCs w:val="22"/>
        </w:rPr>
        <w:t>output volumes (</w:t>
      </w:r>
      <w:r w:rsidR="00FA1779">
        <w:rPr>
          <w:rFonts w:ascii="Garamond" w:hAnsi="Garamond"/>
          <w:sz w:val="22"/>
          <w:szCs w:val="22"/>
        </w:rPr>
        <w:t>9</w:t>
      </w:r>
      <w:r w:rsidR="00E807D1" w:rsidRPr="00A32AB2">
        <w:rPr>
          <w:rFonts w:ascii="Garamond" w:hAnsi="Garamond"/>
          <w:sz w:val="22"/>
          <w:szCs w:val="22"/>
        </w:rPr>
        <w:t>.</w:t>
      </w:r>
      <w:r w:rsidR="00FA1779">
        <w:rPr>
          <w:rFonts w:ascii="Garamond" w:hAnsi="Garamond"/>
          <w:sz w:val="22"/>
          <w:szCs w:val="22"/>
        </w:rPr>
        <w:t>3</w:t>
      </w:r>
      <w:r w:rsidR="00E807D1" w:rsidRPr="00A32AB2">
        <w:rPr>
          <w:rFonts w:ascii="Garamond" w:hAnsi="Garamond"/>
          <w:sz w:val="22"/>
          <w:szCs w:val="22"/>
        </w:rPr>
        <w:t>%</w:t>
      </w:r>
      <w:r w:rsidRPr="00A32AB2">
        <w:rPr>
          <w:rFonts w:ascii="Garamond" w:hAnsi="Garamond"/>
          <w:sz w:val="22"/>
          <w:szCs w:val="22"/>
        </w:rPr>
        <w:t xml:space="preserve"> y/y</w:t>
      </w:r>
      <w:r w:rsidR="00E807D1" w:rsidRPr="00A32AB2">
        <w:rPr>
          <w:rFonts w:ascii="Garamond" w:hAnsi="Garamond"/>
          <w:sz w:val="22"/>
          <w:szCs w:val="22"/>
        </w:rPr>
        <w:t xml:space="preserve">) reported in </w:t>
      </w:r>
      <w:r w:rsidR="00E807D1" w:rsidRPr="00A32AB2">
        <w:rPr>
          <w:rFonts w:ascii="Garamond" w:hAnsi="Garamond"/>
          <w:b/>
          <w:sz w:val="22"/>
          <w:szCs w:val="22"/>
        </w:rPr>
        <w:t>Construction</w:t>
      </w:r>
      <w:r w:rsidR="00E807D1" w:rsidRPr="00A32AB2">
        <w:rPr>
          <w:rFonts w:ascii="Garamond" w:hAnsi="Garamond"/>
          <w:sz w:val="22"/>
          <w:szCs w:val="22"/>
        </w:rPr>
        <w:t xml:space="preserve"> for January-</w:t>
      </w:r>
      <w:r w:rsidR="00FA1779">
        <w:rPr>
          <w:rFonts w:ascii="Garamond" w:hAnsi="Garamond"/>
          <w:sz w:val="22"/>
          <w:szCs w:val="22"/>
        </w:rPr>
        <w:t>September</w:t>
      </w:r>
      <w:r w:rsidR="00E807D1" w:rsidRPr="00A32AB2">
        <w:rPr>
          <w:rFonts w:ascii="Garamond" w:hAnsi="Garamond"/>
          <w:sz w:val="22"/>
          <w:szCs w:val="22"/>
        </w:rPr>
        <w:t xml:space="preserve"> 2016, the dec</w:t>
      </w:r>
      <w:r w:rsidRPr="00A32AB2">
        <w:rPr>
          <w:rFonts w:ascii="Garamond" w:hAnsi="Garamond"/>
          <w:sz w:val="22"/>
          <w:szCs w:val="22"/>
        </w:rPr>
        <w:t>line o</w:t>
      </w:r>
      <w:r w:rsidR="00E807D1" w:rsidRPr="00A32AB2">
        <w:rPr>
          <w:rFonts w:ascii="Garamond" w:hAnsi="Garamond"/>
          <w:sz w:val="22"/>
          <w:szCs w:val="22"/>
        </w:rPr>
        <w:t xml:space="preserve">f value added </w:t>
      </w:r>
      <w:r w:rsidR="00DC2F31" w:rsidRPr="00A32AB2">
        <w:rPr>
          <w:rFonts w:ascii="Garamond" w:hAnsi="Garamond"/>
          <w:sz w:val="22"/>
          <w:szCs w:val="22"/>
        </w:rPr>
        <w:t xml:space="preserve">for that period </w:t>
      </w:r>
      <w:r w:rsidR="00E807D1" w:rsidRPr="00A32AB2">
        <w:rPr>
          <w:rFonts w:ascii="Garamond" w:hAnsi="Garamond"/>
          <w:sz w:val="22"/>
          <w:szCs w:val="22"/>
        </w:rPr>
        <w:t xml:space="preserve">is estimated </w:t>
      </w:r>
      <w:r w:rsidRPr="00A32AB2">
        <w:rPr>
          <w:rFonts w:ascii="Garamond" w:hAnsi="Garamond"/>
          <w:sz w:val="22"/>
          <w:szCs w:val="22"/>
        </w:rPr>
        <w:t xml:space="preserve">within </w:t>
      </w:r>
      <w:r w:rsidR="00FA1779">
        <w:rPr>
          <w:rFonts w:ascii="Garamond" w:hAnsi="Garamond"/>
          <w:sz w:val="22"/>
          <w:szCs w:val="22"/>
        </w:rPr>
        <w:t>4.</w:t>
      </w:r>
      <w:r w:rsidR="00DC2F31" w:rsidRPr="00A32AB2">
        <w:rPr>
          <w:rFonts w:ascii="Garamond" w:hAnsi="Garamond"/>
          <w:sz w:val="22"/>
          <w:szCs w:val="22"/>
        </w:rPr>
        <w:t>2</w:t>
      </w:r>
      <w:r w:rsidR="00E807D1" w:rsidRPr="00A32AB2">
        <w:rPr>
          <w:rFonts w:ascii="Garamond" w:hAnsi="Garamond"/>
          <w:sz w:val="22"/>
          <w:szCs w:val="22"/>
        </w:rPr>
        <w:t>-</w:t>
      </w:r>
      <w:r w:rsidR="00FA1779">
        <w:rPr>
          <w:rFonts w:ascii="Garamond" w:hAnsi="Garamond"/>
          <w:sz w:val="22"/>
          <w:szCs w:val="22"/>
        </w:rPr>
        <w:t>4</w:t>
      </w:r>
      <w:r w:rsidR="00E807D1" w:rsidRPr="00A32AB2">
        <w:rPr>
          <w:rFonts w:ascii="Garamond" w:hAnsi="Garamond"/>
          <w:sz w:val="22"/>
          <w:szCs w:val="22"/>
        </w:rPr>
        <w:t>.</w:t>
      </w:r>
      <w:r w:rsidR="00FA1779">
        <w:rPr>
          <w:rFonts w:ascii="Garamond" w:hAnsi="Garamond"/>
          <w:sz w:val="22"/>
          <w:szCs w:val="22"/>
        </w:rPr>
        <w:t>8</w:t>
      </w:r>
      <w:r w:rsidR="00E807D1" w:rsidRPr="00A32AB2">
        <w:rPr>
          <w:rFonts w:ascii="Garamond" w:hAnsi="Garamond"/>
          <w:sz w:val="22"/>
          <w:szCs w:val="22"/>
        </w:rPr>
        <w:t>% y/y.</w:t>
      </w:r>
      <w:r w:rsidR="00FB246E" w:rsidRPr="00A32AB2">
        <w:rPr>
          <w:rFonts w:ascii="Garamond" w:hAnsi="Garamond"/>
          <w:sz w:val="22"/>
          <w:szCs w:val="22"/>
          <w:lang w:val="hy-AM"/>
        </w:rPr>
        <w:t xml:space="preserve"> </w:t>
      </w:r>
      <w:r w:rsidR="00FA1779">
        <w:rPr>
          <w:rFonts w:ascii="Garamond" w:hAnsi="Garamond"/>
          <w:sz w:val="22"/>
          <w:szCs w:val="22"/>
        </w:rPr>
        <w:t xml:space="preserve">The slowing </w:t>
      </w:r>
      <w:r w:rsidR="00FA1779" w:rsidRPr="00FA1779">
        <w:rPr>
          <w:rFonts w:ascii="Garamond" w:hAnsi="Garamond"/>
          <w:sz w:val="22"/>
          <w:szCs w:val="22"/>
          <w:lang w:val="hy-AM"/>
        </w:rPr>
        <w:t>of the economy</w:t>
      </w:r>
      <w:r w:rsidR="00FA1779">
        <w:rPr>
          <w:rFonts w:ascii="Garamond" w:hAnsi="Garamond"/>
          <w:sz w:val="22"/>
          <w:szCs w:val="22"/>
        </w:rPr>
        <w:t xml:space="preserve"> is due to </w:t>
      </w:r>
      <w:r w:rsidR="00FA1779" w:rsidRPr="00FA1779">
        <w:rPr>
          <w:rFonts w:ascii="Garamond" w:hAnsi="Garamond"/>
          <w:sz w:val="22"/>
          <w:szCs w:val="22"/>
          <w:lang w:val="hy-AM"/>
        </w:rPr>
        <w:t xml:space="preserve">reduction in domestic demand </w:t>
      </w:r>
      <w:r w:rsidR="00FA1779">
        <w:rPr>
          <w:rFonts w:ascii="Garamond" w:hAnsi="Garamond"/>
          <w:sz w:val="22"/>
          <w:szCs w:val="22"/>
        </w:rPr>
        <w:t xml:space="preserve">and persisting </w:t>
      </w:r>
      <w:r w:rsidR="00D37098" w:rsidRPr="00A32AB2">
        <w:rPr>
          <w:rFonts w:ascii="Garamond" w:hAnsi="Garamond"/>
          <w:sz w:val="22"/>
          <w:szCs w:val="22"/>
        </w:rPr>
        <w:t>demand</w:t>
      </w:r>
      <w:r w:rsidR="00FA1779">
        <w:rPr>
          <w:rFonts w:ascii="Garamond" w:hAnsi="Garamond"/>
          <w:sz w:val="22"/>
          <w:szCs w:val="22"/>
        </w:rPr>
        <w:t>-and-supply</w:t>
      </w:r>
      <w:r w:rsidR="00D37098" w:rsidRPr="00A32AB2">
        <w:rPr>
          <w:rFonts w:ascii="Garamond" w:hAnsi="Garamond"/>
          <w:sz w:val="22"/>
          <w:szCs w:val="22"/>
        </w:rPr>
        <w:t xml:space="preserve"> </w:t>
      </w:r>
      <w:r w:rsidR="00FA1779" w:rsidRPr="00A32AB2">
        <w:rPr>
          <w:rFonts w:ascii="Garamond" w:hAnsi="Garamond"/>
          <w:sz w:val="22"/>
          <w:szCs w:val="22"/>
        </w:rPr>
        <w:t xml:space="preserve">disequilibrium </w:t>
      </w:r>
      <w:r w:rsidR="00D37098" w:rsidRPr="00A32AB2">
        <w:rPr>
          <w:rFonts w:ascii="Garamond" w:hAnsi="Garamond"/>
          <w:sz w:val="22"/>
          <w:szCs w:val="22"/>
        </w:rPr>
        <w:t>in the construction sector.</w:t>
      </w:r>
    </w:p>
    <w:p w14:paraId="5918167B" w14:textId="77777777" w:rsidR="00CB4E02" w:rsidRPr="00A32AB2" w:rsidRDefault="00CB4E02" w:rsidP="00FF3CD9">
      <w:pPr>
        <w:spacing w:line="360" w:lineRule="auto"/>
        <w:jc w:val="both"/>
        <w:rPr>
          <w:rFonts w:ascii="Garamond" w:hAnsi="Garamond"/>
          <w:sz w:val="22"/>
          <w:szCs w:val="22"/>
        </w:rPr>
      </w:pPr>
    </w:p>
    <w:p w14:paraId="0C2344BA" w14:textId="77777777" w:rsidR="00E61E62" w:rsidRPr="00A32AB2" w:rsidRDefault="00CB4E02" w:rsidP="00FF3CD9">
      <w:pPr>
        <w:spacing w:line="360" w:lineRule="auto"/>
        <w:jc w:val="both"/>
        <w:rPr>
          <w:rFonts w:ascii="Garamond" w:hAnsi="Garamond" w:cs="Sylfaen"/>
          <w:sz w:val="22"/>
          <w:szCs w:val="22"/>
        </w:rPr>
      </w:pPr>
      <w:r w:rsidRPr="007B1F64">
        <w:rPr>
          <w:rFonts w:ascii="Garamond" w:hAnsi="Garamond"/>
          <w:sz w:val="22"/>
          <w:szCs w:val="22"/>
        </w:rPr>
        <w:t xml:space="preserve">The growth of value added in </w:t>
      </w:r>
      <w:r w:rsidRPr="007B1F64">
        <w:rPr>
          <w:rFonts w:ascii="Garamond" w:hAnsi="Garamond"/>
          <w:b/>
          <w:sz w:val="22"/>
          <w:szCs w:val="22"/>
        </w:rPr>
        <w:t>Services</w:t>
      </w:r>
      <w:r w:rsidRPr="007B1F64">
        <w:rPr>
          <w:rFonts w:ascii="Garamond" w:hAnsi="Garamond"/>
          <w:sz w:val="22"/>
          <w:szCs w:val="22"/>
        </w:rPr>
        <w:t xml:space="preserve"> for </w:t>
      </w:r>
      <w:r w:rsidR="007B1F64">
        <w:rPr>
          <w:rFonts w:ascii="Garamond" w:hAnsi="Garamond"/>
          <w:sz w:val="22"/>
          <w:szCs w:val="22"/>
        </w:rPr>
        <w:t>January-September</w:t>
      </w:r>
      <w:r w:rsidRPr="007B1F64">
        <w:rPr>
          <w:rFonts w:ascii="Garamond" w:hAnsi="Garamond"/>
          <w:sz w:val="22"/>
          <w:szCs w:val="22"/>
        </w:rPr>
        <w:t xml:space="preserve"> 2016 is estimated in the range of</w:t>
      </w:r>
      <w:r w:rsidR="00D37098" w:rsidRPr="007B1F64">
        <w:rPr>
          <w:rFonts w:ascii="Garamond" w:hAnsi="Garamond"/>
          <w:sz w:val="22"/>
          <w:szCs w:val="22"/>
        </w:rPr>
        <w:t xml:space="preserve"> </w:t>
      </w:r>
      <w:r w:rsidR="007B1F64">
        <w:rPr>
          <w:rFonts w:ascii="Garamond" w:hAnsi="Garamond"/>
          <w:sz w:val="22"/>
          <w:szCs w:val="22"/>
        </w:rPr>
        <w:t>1</w:t>
      </w:r>
      <w:r w:rsidR="00D37098" w:rsidRPr="007B1F64">
        <w:rPr>
          <w:rFonts w:ascii="Garamond" w:hAnsi="Garamond"/>
          <w:sz w:val="22"/>
          <w:szCs w:val="22"/>
        </w:rPr>
        <w:t>.</w:t>
      </w:r>
      <w:r w:rsidR="007B1F64">
        <w:rPr>
          <w:rFonts w:ascii="Garamond" w:hAnsi="Garamond" w:cs="Sylfaen"/>
          <w:sz w:val="22"/>
          <w:szCs w:val="22"/>
        </w:rPr>
        <w:t>8</w:t>
      </w:r>
      <w:r w:rsidR="00D37098" w:rsidRPr="007B1F64">
        <w:rPr>
          <w:rFonts w:ascii="Garamond" w:hAnsi="Garamond" w:cs="Sylfaen"/>
          <w:sz w:val="22"/>
          <w:szCs w:val="22"/>
        </w:rPr>
        <w:t>-</w:t>
      </w:r>
      <w:r w:rsidR="007B1F64">
        <w:rPr>
          <w:rFonts w:ascii="Garamond" w:hAnsi="Garamond" w:cs="Sylfaen"/>
          <w:sz w:val="22"/>
          <w:szCs w:val="22"/>
        </w:rPr>
        <w:t>2</w:t>
      </w:r>
      <w:r w:rsidR="00D37098" w:rsidRPr="007B1F64">
        <w:rPr>
          <w:rFonts w:ascii="Garamond" w:hAnsi="Garamond" w:cs="Sylfaen"/>
          <w:sz w:val="22"/>
          <w:szCs w:val="22"/>
        </w:rPr>
        <w:t>.</w:t>
      </w:r>
      <w:r w:rsidR="007B1F64">
        <w:rPr>
          <w:rFonts w:ascii="Garamond" w:hAnsi="Garamond" w:cs="Sylfaen"/>
          <w:sz w:val="22"/>
          <w:szCs w:val="22"/>
        </w:rPr>
        <w:t>2</w:t>
      </w:r>
      <w:r w:rsidRPr="007B1F64">
        <w:rPr>
          <w:rFonts w:ascii="Garamond" w:hAnsi="Garamond" w:cs="Sylfaen"/>
          <w:sz w:val="22"/>
          <w:szCs w:val="22"/>
        </w:rPr>
        <w:t>% y/y,</w:t>
      </w:r>
      <w:r w:rsidR="007B1F64">
        <w:rPr>
          <w:rFonts w:ascii="Garamond" w:hAnsi="Garamond" w:cs="Sylfaen"/>
          <w:sz w:val="22"/>
          <w:szCs w:val="22"/>
        </w:rPr>
        <w:t xml:space="preserve"> </w:t>
      </w:r>
      <w:r w:rsidRPr="00A32AB2">
        <w:rPr>
          <w:rFonts w:ascii="Garamond" w:hAnsi="Garamond" w:cs="Sylfaen"/>
          <w:sz w:val="22"/>
          <w:szCs w:val="22"/>
        </w:rPr>
        <w:t xml:space="preserve">which is </w:t>
      </w:r>
      <w:r w:rsidR="007B1F64">
        <w:rPr>
          <w:rFonts w:ascii="Garamond" w:hAnsi="Garamond" w:cs="Sylfaen"/>
          <w:sz w:val="22"/>
          <w:szCs w:val="22"/>
        </w:rPr>
        <w:t xml:space="preserve">explained by </w:t>
      </w:r>
      <w:r w:rsidR="000749EE" w:rsidRPr="00A32AB2">
        <w:rPr>
          <w:rFonts w:ascii="Garamond" w:hAnsi="Garamond" w:cs="Sylfaen"/>
          <w:sz w:val="22"/>
          <w:szCs w:val="22"/>
        </w:rPr>
        <w:t>an 8</w:t>
      </w:r>
      <w:r w:rsidRPr="00A32AB2">
        <w:rPr>
          <w:rFonts w:ascii="Garamond" w:hAnsi="Garamond" w:cs="Sylfaen"/>
          <w:sz w:val="22"/>
          <w:szCs w:val="22"/>
        </w:rPr>
        <w:t>.</w:t>
      </w:r>
      <w:r w:rsidR="007B1F64">
        <w:rPr>
          <w:rFonts w:ascii="Garamond" w:hAnsi="Garamond" w:cs="Sylfaen"/>
          <w:sz w:val="22"/>
          <w:szCs w:val="22"/>
        </w:rPr>
        <w:t>1</w:t>
      </w:r>
      <w:r w:rsidRPr="00A32AB2">
        <w:rPr>
          <w:rFonts w:ascii="Garamond" w:hAnsi="Garamond" w:cs="Sylfaen"/>
          <w:sz w:val="22"/>
          <w:szCs w:val="22"/>
        </w:rPr>
        <w:t xml:space="preserve">% </w:t>
      </w:r>
      <w:r w:rsidR="000749EE" w:rsidRPr="00A32AB2">
        <w:rPr>
          <w:rFonts w:ascii="Garamond" w:hAnsi="Garamond" w:cs="Sylfaen"/>
          <w:sz w:val="22"/>
          <w:szCs w:val="22"/>
        </w:rPr>
        <w:t>increase</w:t>
      </w:r>
      <w:r w:rsidRPr="00A32AB2">
        <w:rPr>
          <w:rFonts w:ascii="Garamond" w:hAnsi="Garamond" w:cs="Sylfaen"/>
          <w:sz w:val="22"/>
          <w:szCs w:val="22"/>
        </w:rPr>
        <w:t xml:space="preserve"> in services provided </w:t>
      </w:r>
      <w:r w:rsidR="007B1F64">
        <w:rPr>
          <w:rFonts w:ascii="Garamond" w:hAnsi="Garamond" w:cs="Sylfaen"/>
          <w:sz w:val="22"/>
          <w:szCs w:val="22"/>
        </w:rPr>
        <w:t>but</w:t>
      </w:r>
      <w:r w:rsidRPr="00A32AB2">
        <w:rPr>
          <w:rFonts w:ascii="Garamond" w:hAnsi="Garamond" w:cs="Sylfaen"/>
          <w:sz w:val="22"/>
          <w:szCs w:val="22"/>
        </w:rPr>
        <w:t xml:space="preserve"> </w:t>
      </w:r>
      <w:r w:rsidR="000749EE" w:rsidRPr="00A32AB2">
        <w:rPr>
          <w:rFonts w:ascii="Garamond" w:hAnsi="Garamond" w:cs="Sylfaen"/>
          <w:sz w:val="22"/>
          <w:szCs w:val="22"/>
        </w:rPr>
        <w:t>0</w:t>
      </w:r>
      <w:r w:rsidRPr="00A32AB2">
        <w:rPr>
          <w:rFonts w:ascii="Garamond" w:hAnsi="Garamond" w:cs="Sylfaen"/>
          <w:sz w:val="22"/>
          <w:szCs w:val="22"/>
        </w:rPr>
        <w:t>.</w:t>
      </w:r>
      <w:r w:rsidR="007B1F64">
        <w:rPr>
          <w:rFonts w:ascii="Garamond" w:hAnsi="Garamond" w:cs="Sylfaen"/>
          <w:sz w:val="22"/>
          <w:szCs w:val="22"/>
        </w:rPr>
        <w:t>1</w:t>
      </w:r>
      <w:r w:rsidRPr="00A32AB2">
        <w:rPr>
          <w:rFonts w:ascii="Garamond" w:hAnsi="Garamond" w:cs="Sylfaen"/>
          <w:sz w:val="22"/>
          <w:szCs w:val="22"/>
        </w:rPr>
        <w:t>% contraction in trade</w:t>
      </w:r>
      <w:r w:rsidR="000749EE" w:rsidRPr="00A32AB2">
        <w:rPr>
          <w:rFonts w:ascii="Garamond" w:hAnsi="Garamond" w:cs="Sylfaen"/>
          <w:sz w:val="22"/>
          <w:szCs w:val="22"/>
        </w:rPr>
        <w:t xml:space="preserve"> volumes</w:t>
      </w:r>
      <w:r w:rsidRPr="00A32AB2">
        <w:rPr>
          <w:rFonts w:ascii="Garamond" w:hAnsi="Garamond" w:cs="Sylfaen"/>
          <w:sz w:val="22"/>
          <w:szCs w:val="22"/>
        </w:rPr>
        <w:t>.</w:t>
      </w:r>
      <w:r w:rsidR="00FB246E" w:rsidRPr="00A32AB2">
        <w:rPr>
          <w:rFonts w:ascii="Garamond" w:hAnsi="Garamond" w:cs="Sylfaen"/>
          <w:sz w:val="22"/>
          <w:szCs w:val="22"/>
          <w:lang w:val="hy-AM"/>
        </w:rPr>
        <w:t xml:space="preserve"> </w:t>
      </w:r>
      <w:r w:rsidR="00E61E62" w:rsidRPr="00A32AB2">
        <w:rPr>
          <w:rFonts w:ascii="Garamond" w:hAnsi="Garamond" w:cs="Sylfaen"/>
          <w:sz w:val="22"/>
          <w:szCs w:val="22"/>
        </w:rPr>
        <w:t xml:space="preserve">The decline in </w:t>
      </w:r>
      <w:r w:rsidR="00455F3D">
        <w:rPr>
          <w:rFonts w:ascii="Garamond" w:hAnsi="Garamond" w:cs="Sylfaen"/>
          <w:sz w:val="22"/>
          <w:szCs w:val="22"/>
        </w:rPr>
        <w:t xml:space="preserve">the </w:t>
      </w:r>
      <w:r w:rsidR="00E61E62" w:rsidRPr="00A32AB2">
        <w:rPr>
          <w:rFonts w:ascii="Garamond" w:hAnsi="Garamond" w:cs="Sylfaen"/>
          <w:sz w:val="22"/>
          <w:szCs w:val="22"/>
        </w:rPr>
        <w:t xml:space="preserve">trade </w:t>
      </w:r>
      <w:r w:rsidR="001D0EF9" w:rsidRPr="00A32AB2">
        <w:rPr>
          <w:rFonts w:ascii="Garamond" w:hAnsi="Garamond" w:cs="Sylfaen"/>
          <w:sz w:val="22"/>
          <w:szCs w:val="22"/>
        </w:rPr>
        <w:t xml:space="preserve">depended on a </w:t>
      </w:r>
      <w:r w:rsidR="00112D54" w:rsidRPr="00A32AB2">
        <w:rPr>
          <w:rFonts w:ascii="Garamond" w:hAnsi="Garamond" w:cs="Sylfaen"/>
          <w:sz w:val="22"/>
          <w:szCs w:val="22"/>
        </w:rPr>
        <w:t>4.</w:t>
      </w:r>
      <w:r w:rsidR="00455F3D">
        <w:rPr>
          <w:rFonts w:ascii="Garamond" w:hAnsi="Garamond" w:cs="Sylfaen"/>
          <w:sz w:val="22"/>
          <w:szCs w:val="22"/>
        </w:rPr>
        <w:t>4</w:t>
      </w:r>
      <w:r w:rsidR="00112D54" w:rsidRPr="00A32AB2">
        <w:rPr>
          <w:rFonts w:ascii="Garamond" w:hAnsi="Garamond" w:cs="Sylfaen"/>
          <w:sz w:val="22"/>
          <w:szCs w:val="22"/>
        </w:rPr>
        <w:t xml:space="preserve">% </w:t>
      </w:r>
      <w:r w:rsidR="00455F3D">
        <w:rPr>
          <w:rFonts w:ascii="Garamond" w:hAnsi="Garamond" w:cs="Sylfaen"/>
          <w:sz w:val="22"/>
          <w:szCs w:val="22"/>
        </w:rPr>
        <w:t xml:space="preserve">decrease </w:t>
      </w:r>
      <w:r w:rsidR="00112D54" w:rsidRPr="00A32AB2">
        <w:rPr>
          <w:rFonts w:ascii="Garamond" w:hAnsi="Garamond" w:cs="Sylfaen"/>
          <w:sz w:val="22"/>
          <w:szCs w:val="22"/>
        </w:rPr>
        <w:t xml:space="preserve">in </w:t>
      </w:r>
      <w:r w:rsidR="00E61E62" w:rsidRPr="00A32AB2">
        <w:rPr>
          <w:rFonts w:ascii="Garamond" w:hAnsi="Garamond" w:cs="Sylfaen"/>
          <w:sz w:val="22"/>
          <w:szCs w:val="22"/>
        </w:rPr>
        <w:t xml:space="preserve">retail trade </w:t>
      </w:r>
      <w:r w:rsidR="001D0EF9" w:rsidRPr="00A32AB2">
        <w:rPr>
          <w:rFonts w:ascii="Garamond" w:hAnsi="Garamond" w:cs="Sylfaen"/>
          <w:sz w:val="22"/>
          <w:szCs w:val="22"/>
        </w:rPr>
        <w:t>turnover</w:t>
      </w:r>
      <w:r w:rsidR="00112D54" w:rsidRPr="00A32AB2">
        <w:rPr>
          <w:rFonts w:ascii="Garamond" w:hAnsi="Garamond" w:cs="Sylfaen"/>
          <w:sz w:val="22"/>
          <w:szCs w:val="22"/>
        </w:rPr>
        <w:t xml:space="preserve">, which </w:t>
      </w:r>
      <w:r w:rsidR="001D0EF9" w:rsidRPr="00A32AB2">
        <w:rPr>
          <w:rFonts w:ascii="Garamond" w:hAnsi="Garamond" w:cs="Sylfaen"/>
          <w:sz w:val="22"/>
          <w:szCs w:val="22"/>
        </w:rPr>
        <w:t xml:space="preserve">has been a result of a </w:t>
      </w:r>
      <w:r w:rsidR="00112D54" w:rsidRPr="00A32AB2">
        <w:rPr>
          <w:rFonts w:ascii="Garamond" w:hAnsi="Garamond" w:cs="Sylfaen"/>
          <w:sz w:val="22"/>
          <w:szCs w:val="22"/>
        </w:rPr>
        <w:t>weak domestic demand</w:t>
      </w:r>
      <w:r w:rsidR="003C329C" w:rsidRPr="00A32AB2">
        <w:rPr>
          <w:rFonts w:ascii="Garamond" w:hAnsi="Garamond" w:cs="Sylfaen"/>
          <w:sz w:val="22"/>
          <w:szCs w:val="22"/>
        </w:rPr>
        <w:t xml:space="preserve"> in the </w:t>
      </w:r>
      <w:r w:rsidR="00455F3D">
        <w:rPr>
          <w:rFonts w:ascii="Garamond" w:hAnsi="Garamond" w:cs="Sylfaen"/>
          <w:sz w:val="22"/>
          <w:szCs w:val="22"/>
        </w:rPr>
        <w:t>period under review</w:t>
      </w:r>
      <w:r w:rsidR="00E61E62" w:rsidRPr="00A32AB2">
        <w:rPr>
          <w:rFonts w:ascii="Garamond" w:hAnsi="Garamond" w:cs="Sylfaen"/>
          <w:sz w:val="22"/>
          <w:szCs w:val="22"/>
        </w:rPr>
        <w:t>.</w:t>
      </w:r>
    </w:p>
    <w:p w14:paraId="40105775" w14:textId="77777777" w:rsidR="0090268C" w:rsidRPr="00A32AB2" w:rsidRDefault="0090268C" w:rsidP="00FF3CD9">
      <w:pPr>
        <w:spacing w:line="360" w:lineRule="auto"/>
        <w:jc w:val="both"/>
        <w:rPr>
          <w:rFonts w:ascii="Garamond" w:hAnsi="Garamond" w:cs="Sylfaen"/>
          <w:sz w:val="22"/>
          <w:szCs w:val="22"/>
        </w:rPr>
      </w:pPr>
    </w:p>
    <w:p w14:paraId="4DF7ECB5" w14:textId="77777777" w:rsidR="00CB4E02" w:rsidRPr="00A32AB2" w:rsidRDefault="00777E10" w:rsidP="00FF3CD9">
      <w:pPr>
        <w:spacing w:line="360" w:lineRule="auto"/>
        <w:jc w:val="both"/>
        <w:rPr>
          <w:rFonts w:ascii="Garamond" w:hAnsi="Garamond"/>
          <w:sz w:val="22"/>
          <w:szCs w:val="22"/>
        </w:rPr>
      </w:pPr>
      <w:r w:rsidRPr="00A32AB2">
        <w:rPr>
          <w:rFonts w:ascii="Garamond" w:hAnsi="Garamond"/>
          <w:sz w:val="22"/>
          <w:szCs w:val="22"/>
        </w:rPr>
        <w:t xml:space="preserve">Given the </w:t>
      </w:r>
      <w:r w:rsidR="003279A4">
        <w:rPr>
          <w:rFonts w:ascii="Garamond" w:hAnsi="Garamond"/>
          <w:sz w:val="22"/>
          <w:szCs w:val="22"/>
        </w:rPr>
        <w:t xml:space="preserve">decreased </w:t>
      </w:r>
      <w:r w:rsidRPr="00A32AB2">
        <w:rPr>
          <w:rFonts w:ascii="Garamond" w:hAnsi="Garamond"/>
          <w:sz w:val="22"/>
          <w:szCs w:val="22"/>
        </w:rPr>
        <w:t xml:space="preserve">output of 3.2% y/y in </w:t>
      </w:r>
      <w:r w:rsidRPr="00A32AB2">
        <w:rPr>
          <w:rFonts w:ascii="Garamond" w:hAnsi="Garamond"/>
          <w:b/>
          <w:sz w:val="22"/>
          <w:szCs w:val="22"/>
        </w:rPr>
        <w:t>Agriculture</w:t>
      </w:r>
      <w:r w:rsidRPr="00A32AB2">
        <w:rPr>
          <w:rFonts w:ascii="Garamond" w:hAnsi="Garamond"/>
          <w:sz w:val="22"/>
          <w:szCs w:val="22"/>
        </w:rPr>
        <w:t xml:space="preserve"> recorded </w:t>
      </w:r>
      <w:r w:rsidR="003279A4">
        <w:rPr>
          <w:rFonts w:ascii="Garamond" w:hAnsi="Garamond"/>
          <w:sz w:val="22"/>
          <w:szCs w:val="22"/>
        </w:rPr>
        <w:t xml:space="preserve">for January-September </w:t>
      </w:r>
      <w:r w:rsidRPr="00A32AB2">
        <w:rPr>
          <w:rFonts w:ascii="Garamond" w:hAnsi="Garamond"/>
          <w:sz w:val="22"/>
          <w:szCs w:val="22"/>
        </w:rPr>
        <w:t>2016, th</w:t>
      </w:r>
      <w:r w:rsidR="00E61E62" w:rsidRPr="00A32AB2">
        <w:rPr>
          <w:rFonts w:ascii="Garamond" w:hAnsi="Garamond"/>
          <w:sz w:val="22"/>
          <w:szCs w:val="22"/>
        </w:rPr>
        <w:t xml:space="preserve">e </w:t>
      </w:r>
      <w:r w:rsidR="003279A4">
        <w:rPr>
          <w:rFonts w:ascii="Garamond" w:hAnsi="Garamond"/>
          <w:sz w:val="22"/>
          <w:szCs w:val="22"/>
        </w:rPr>
        <w:t xml:space="preserve">diminishing of </w:t>
      </w:r>
      <w:r w:rsidR="00E61E62" w:rsidRPr="00A32AB2">
        <w:rPr>
          <w:rFonts w:ascii="Garamond" w:hAnsi="Garamond"/>
          <w:sz w:val="22"/>
          <w:szCs w:val="22"/>
        </w:rPr>
        <w:t xml:space="preserve">value added in </w:t>
      </w:r>
      <w:r w:rsidRPr="00A32AB2">
        <w:rPr>
          <w:rFonts w:ascii="Garamond" w:hAnsi="Garamond"/>
          <w:sz w:val="22"/>
          <w:szCs w:val="22"/>
        </w:rPr>
        <w:t>the sector</w:t>
      </w:r>
      <w:r w:rsidR="00E61E62" w:rsidRPr="00A32AB2">
        <w:rPr>
          <w:rFonts w:ascii="Garamond" w:hAnsi="Garamond"/>
          <w:sz w:val="22"/>
          <w:szCs w:val="22"/>
        </w:rPr>
        <w:t xml:space="preserve"> </w:t>
      </w:r>
      <w:r w:rsidRPr="00A32AB2">
        <w:rPr>
          <w:rFonts w:ascii="Garamond" w:hAnsi="Garamond"/>
          <w:sz w:val="22"/>
          <w:szCs w:val="22"/>
        </w:rPr>
        <w:t xml:space="preserve">in </w:t>
      </w:r>
      <w:r w:rsidR="003279A4">
        <w:rPr>
          <w:rFonts w:ascii="Garamond" w:hAnsi="Garamond"/>
          <w:sz w:val="22"/>
          <w:szCs w:val="22"/>
        </w:rPr>
        <w:t>the same reference period is</w:t>
      </w:r>
      <w:r w:rsidR="00E61E62" w:rsidRPr="00A32AB2">
        <w:rPr>
          <w:rFonts w:ascii="Garamond" w:hAnsi="Garamond"/>
          <w:sz w:val="22"/>
          <w:szCs w:val="22"/>
        </w:rPr>
        <w:t xml:space="preserve"> estimated</w:t>
      </w:r>
      <w:r w:rsidR="00FB246E" w:rsidRPr="00A32AB2">
        <w:rPr>
          <w:rFonts w:ascii="Garamond" w:hAnsi="Garamond"/>
          <w:sz w:val="22"/>
          <w:szCs w:val="22"/>
          <w:lang w:val="hy-AM"/>
        </w:rPr>
        <w:t xml:space="preserve"> </w:t>
      </w:r>
      <w:r w:rsidRPr="00A32AB2">
        <w:rPr>
          <w:rFonts w:ascii="Garamond" w:hAnsi="Garamond"/>
          <w:sz w:val="22"/>
          <w:szCs w:val="22"/>
        </w:rPr>
        <w:t>with</w:t>
      </w:r>
      <w:r w:rsidR="00E61E62" w:rsidRPr="00A32AB2">
        <w:rPr>
          <w:rFonts w:ascii="Garamond" w:hAnsi="Garamond"/>
          <w:sz w:val="22"/>
          <w:szCs w:val="22"/>
        </w:rPr>
        <w:t xml:space="preserve">in </w:t>
      </w:r>
      <w:r w:rsidR="003279A4">
        <w:rPr>
          <w:rFonts w:ascii="Garamond" w:hAnsi="Garamond"/>
          <w:sz w:val="22"/>
          <w:szCs w:val="22"/>
        </w:rPr>
        <w:t>1</w:t>
      </w:r>
      <w:r w:rsidRPr="00A32AB2">
        <w:rPr>
          <w:rFonts w:ascii="Garamond" w:hAnsi="Garamond"/>
          <w:sz w:val="22"/>
          <w:szCs w:val="22"/>
        </w:rPr>
        <w:t>.</w:t>
      </w:r>
      <w:r w:rsidR="003279A4">
        <w:rPr>
          <w:rFonts w:ascii="Garamond" w:hAnsi="Garamond"/>
          <w:sz w:val="22"/>
          <w:szCs w:val="22"/>
        </w:rPr>
        <w:t>2</w:t>
      </w:r>
      <w:r w:rsidRPr="00A32AB2">
        <w:rPr>
          <w:rFonts w:ascii="Garamond" w:hAnsi="Garamond" w:cs="Sylfaen"/>
          <w:sz w:val="22"/>
          <w:szCs w:val="22"/>
        </w:rPr>
        <w:t>-</w:t>
      </w:r>
      <w:r w:rsidR="003279A4">
        <w:rPr>
          <w:rFonts w:ascii="Garamond" w:hAnsi="Garamond" w:cs="Sylfaen"/>
          <w:sz w:val="22"/>
          <w:szCs w:val="22"/>
        </w:rPr>
        <w:t>2</w:t>
      </w:r>
      <w:r w:rsidR="00E61E62" w:rsidRPr="00A32AB2">
        <w:rPr>
          <w:rFonts w:ascii="Garamond" w:hAnsi="Garamond" w:cs="Sylfaen"/>
          <w:sz w:val="22"/>
          <w:szCs w:val="22"/>
        </w:rPr>
        <w:t>.</w:t>
      </w:r>
      <w:r w:rsidR="003279A4">
        <w:rPr>
          <w:rFonts w:ascii="Garamond" w:hAnsi="Garamond" w:cs="Sylfaen"/>
          <w:sz w:val="22"/>
          <w:szCs w:val="22"/>
        </w:rPr>
        <w:t>0</w:t>
      </w:r>
      <w:r w:rsidR="00E61E62" w:rsidRPr="00A32AB2">
        <w:rPr>
          <w:rFonts w:ascii="Garamond" w:hAnsi="Garamond" w:cs="Sylfaen"/>
          <w:sz w:val="22"/>
          <w:szCs w:val="22"/>
        </w:rPr>
        <w:t>% y/y</w:t>
      </w:r>
      <w:r w:rsidR="00A20863">
        <w:rPr>
          <w:rFonts w:ascii="Garamond" w:hAnsi="Garamond" w:cs="Sylfaen"/>
          <w:sz w:val="22"/>
          <w:szCs w:val="22"/>
        </w:rPr>
        <w:t>.</w:t>
      </w:r>
      <w:r w:rsidR="00FB246E" w:rsidRPr="00A32AB2">
        <w:rPr>
          <w:rFonts w:ascii="Garamond" w:hAnsi="Garamond" w:cs="Sylfaen"/>
          <w:sz w:val="22"/>
          <w:szCs w:val="22"/>
          <w:lang w:val="hy-AM"/>
        </w:rPr>
        <w:t xml:space="preserve"> </w:t>
      </w:r>
      <w:r w:rsidR="00A20863">
        <w:rPr>
          <w:rFonts w:ascii="Garamond" w:hAnsi="Garamond" w:cs="Sylfaen"/>
          <w:sz w:val="22"/>
          <w:szCs w:val="22"/>
        </w:rPr>
        <w:t>This was driven by</w:t>
      </w:r>
      <w:r w:rsidR="00E61E62" w:rsidRPr="00A32AB2">
        <w:rPr>
          <w:rFonts w:ascii="Garamond" w:hAnsi="Garamond" w:cs="Sylfaen"/>
          <w:sz w:val="22"/>
          <w:szCs w:val="22"/>
        </w:rPr>
        <w:t xml:space="preserve"> </w:t>
      </w:r>
      <w:r w:rsidR="00A20863">
        <w:rPr>
          <w:rFonts w:ascii="Garamond" w:hAnsi="Garamond"/>
          <w:sz w:val="22"/>
          <w:szCs w:val="22"/>
        </w:rPr>
        <w:t xml:space="preserve">reduced </w:t>
      </w:r>
      <w:r w:rsidR="00E61E62" w:rsidRPr="00A32AB2">
        <w:rPr>
          <w:rFonts w:ascii="Garamond" w:hAnsi="Garamond"/>
          <w:sz w:val="22"/>
          <w:szCs w:val="22"/>
        </w:rPr>
        <w:t>output in plant growing</w:t>
      </w:r>
      <w:r w:rsidR="00A20863">
        <w:rPr>
          <w:rFonts w:ascii="Garamond" w:hAnsi="Garamond"/>
          <w:sz w:val="22"/>
          <w:szCs w:val="22"/>
        </w:rPr>
        <w:t xml:space="preserve"> (6.0%), caused by less f</w:t>
      </w:r>
      <w:r w:rsidR="00A20863" w:rsidRPr="00A32AB2">
        <w:rPr>
          <w:rFonts w:ascii="Garamond" w:hAnsi="Garamond"/>
          <w:sz w:val="22"/>
          <w:szCs w:val="22"/>
        </w:rPr>
        <w:t>avorable weather conditions this year in comparison with the previous year</w:t>
      </w:r>
      <w:r w:rsidR="00A20863">
        <w:rPr>
          <w:rFonts w:ascii="Garamond" w:hAnsi="Garamond"/>
          <w:sz w:val="22"/>
          <w:szCs w:val="22"/>
        </w:rPr>
        <w:t xml:space="preserve">, but by increased output reported in </w:t>
      </w:r>
      <w:r w:rsidRPr="00A32AB2">
        <w:rPr>
          <w:rFonts w:ascii="Garamond" w:hAnsi="Garamond"/>
          <w:sz w:val="22"/>
          <w:szCs w:val="22"/>
        </w:rPr>
        <w:t>animal breeding</w:t>
      </w:r>
      <w:r w:rsidR="00E61E62" w:rsidRPr="00A32AB2">
        <w:rPr>
          <w:rFonts w:ascii="Garamond" w:hAnsi="Garamond"/>
          <w:sz w:val="22"/>
          <w:szCs w:val="22"/>
        </w:rPr>
        <w:t xml:space="preserve"> and </w:t>
      </w:r>
      <w:r w:rsidR="00E452AD" w:rsidRPr="00A32AB2">
        <w:rPr>
          <w:rFonts w:ascii="Garamond" w:hAnsi="Garamond"/>
          <w:sz w:val="22"/>
          <w:szCs w:val="22"/>
        </w:rPr>
        <w:t>fish growing</w:t>
      </w:r>
      <w:r w:rsidR="00E61E62" w:rsidRPr="00A32AB2">
        <w:rPr>
          <w:rFonts w:ascii="Garamond" w:hAnsi="Garamond"/>
          <w:sz w:val="22"/>
          <w:szCs w:val="22"/>
        </w:rPr>
        <w:t xml:space="preserve">, by </w:t>
      </w:r>
      <w:r w:rsidR="00A20863">
        <w:rPr>
          <w:rFonts w:ascii="Garamond" w:hAnsi="Garamond"/>
          <w:sz w:val="22"/>
          <w:szCs w:val="22"/>
        </w:rPr>
        <w:t>4</w:t>
      </w:r>
      <w:r w:rsidR="00E61E62" w:rsidRPr="00A32AB2">
        <w:rPr>
          <w:rFonts w:ascii="Garamond" w:hAnsi="Garamond"/>
          <w:sz w:val="22"/>
          <w:szCs w:val="22"/>
        </w:rPr>
        <w:t>.</w:t>
      </w:r>
      <w:r w:rsidR="00A20863">
        <w:rPr>
          <w:rFonts w:ascii="Garamond" w:hAnsi="Garamond"/>
          <w:sz w:val="22"/>
          <w:szCs w:val="22"/>
        </w:rPr>
        <w:t>0</w:t>
      </w:r>
      <w:r w:rsidR="00E61E62" w:rsidRPr="00A32AB2">
        <w:rPr>
          <w:rFonts w:ascii="Garamond" w:hAnsi="Garamond"/>
          <w:sz w:val="22"/>
          <w:szCs w:val="22"/>
        </w:rPr>
        <w:t>%</w:t>
      </w:r>
      <w:r w:rsidR="00A20863">
        <w:rPr>
          <w:rFonts w:ascii="Garamond" w:hAnsi="Garamond"/>
          <w:sz w:val="22"/>
          <w:szCs w:val="22"/>
        </w:rPr>
        <w:t xml:space="preserve"> and</w:t>
      </w:r>
      <w:r w:rsidR="00E61E62" w:rsidRPr="00A32AB2">
        <w:rPr>
          <w:rFonts w:ascii="Garamond" w:hAnsi="Garamond"/>
          <w:sz w:val="22"/>
          <w:szCs w:val="22"/>
        </w:rPr>
        <w:t xml:space="preserve"> </w:t>
      </w:r>
      <w:r w:rsidR="00A20863">
        <w:rPr>
          <w:rFonts w:ascii="Garamond" w:hAnsi="Garamond"/>
          <w:sz w:val="22"/>
          <w:szCs w:val="22"/>
        </w:rPr>
        <w:t>2</w:t>
      </w:r>
      <w:r w:rsidR="00E61E62" w:rsidRPr="00A32AB2">
        <w:rPr>
          <w:rFonts w:ascii="Garamond" w:hAnsi="Garamond"/>
          <w:sz w:val="22"/>
          <w:szCs w:val="22"/>
        </w:rPr>
        <w:t>.</w:t>
      </w:r>
      <w:r w:rsidR="00A20863">
        <w:rPr>
          <w:rFonts w:ascii="Garamond" w:hAnsi="Garamond"/>
          <w:sz w:val="22"/>
          <w:szCs w:val="22"/>
        </w:rPr>
        <w:t>3</w:t>
      </w:r>
      <w:r w:rsidR="00E61E62" w:rsidRPr="00A32AB2">
        <w:rPr>
          <w:rFonts w:ascii="Garamond" w:hAnsi="Garamond"/>
          <w:sz w:val="22"/>
          <w:szCs w:val="22"/>
        </w:rPr>
        <w:t>%, respectively.</w:t>
      </w:r>
      <w:r w:rsidR="00FB246E" w:rsidRPr="00A32AB2">
        <w:rPr>
          <w:rFonts w:ascii="Garamond" w:hAnsi="Garamond"/>
          <w:sz w:val="22"/>
          <w:szCs w:val="22"/>
          <w:lang w:val="hy-AM"/>
        </w:rPr>
        <w:t xml:space="preserve"> </w:t>
      </w:r>
      <w:r w:rsidR="00A20863">
        <w:rPr>
          <w:rFonts w:ascii="Garamond" w:hAnsi="Garamond"/>
          <w:sz w:val="22"/>
          <w:szCs w:val="22"/>
          <w:lang w:val="hy-AM"/>
        </w:rPr>
        <w:t xml:space="preserve">Note also that the risks to </w:t>
      </w:r>
      <w:r w:rsidR="00A20863">
        <w:rPr>
          <w:rFonts w:ascii="Garamond" w:hAnsi="Garamond"/>
          <w:sz w:val="22"/>
          <w:szCs w:val="22"/>
        </w:rPr>
        <w:t xml:space="preserve">reduced output </w:t>
      </w:r>
      <w:r w:rsidR="00A20863" w:rsidRPr="00A20863">
        <w:rPr>
          <w:rFonts w:ascii="Garamond" w:hAnsi="Garamond"/>
          <w:sz w:val="22"/>
          <w:szCs w:val="22"/>
          <w:lang w:val="hy-AM"/>
        </w:rPr>
        <w:t xml:space="preserve">in agriculture </w:t>
      </w:r>
      <w:r w:rsidR="00A20863">
        <w:rPr>
          <w:rFonts w:ascii="Garamond" w:hAnsi="Garamond"/>
          <w:sz w:val="22"/>
          <w:szCs w:val="22"/>
        </w:rPr>
        <w:t xml:space="preserve">were </w:t>
      </w:r>
      <w:r w:rsidR="00A20863" w:rsidRPr="00A20863">
        <w:rPr>
          <w:rFonts w:ascii="Garamond" w:hAnsi="Garamond"/>
          <w:sz w:val="22"/>
          <w:szCs w:val="22"/>
          <w:lang w:val="hy-AM"/>
        </w:rPr>
        <w:t xml:space="preserve">outlined in previous </w:t>
      </w:r>
      <w:r w:rsidR="00A20863">
        <w:rPr>
          <w:rFonts w:ascii="Garamond" w:hAnsi="Garamond"/>
          <w:sz w:val="22"/>
          <w:szCs w:val="22"/>
        </w:rPr>
        <w:t>monetary policy programs published by the CBA</w:t>
      </w:r>
      <w:r w:rsidR="00A20863" w:rsidRPr="00A20863">
        <w:rPr>
          <w:rFonts w:ascii="Garamond" w:hAnsi="Garamond"/>
          <w:sz w:val="22"/>
          <w:szCs w:val="22"/>
          <w:lang w:val="hy-AM"/>
        </w:rPr>
        <w:t>.</w:t>
      </w:r>
    </w:p>
    <w:p w14:paraId="3B40C75A" w14:textId="77777777" w:rsidR="0065044E" w:rsidRPr="00A32AB2" w:rsidRDefault="0065044E" w:rsidP="00FF3CD9">
      <w:pPr>
        <w:spacing w:line="360" w:lineRule="auto"/>
        <w:jc w:val="both"/>
        <w:rPr>
          <w:rFonts w:ascii="Garamond" w:hAnsi="Garamond"/>
          <w:sz w:val="22"/>
          <w:szCs w:val="22"/>
        </w:rPr>
      </w:pPr>
    </w:p>
    <w:p w14:paraId="3F2C9B3E" w14:textId="77777777" w:rsidR="0065044E" w:rsidRPr="00A32AB2" w:rsidRDefault="0065044E" w:rsidP="00FF3CD9">
      <w:pPr>
        <w:spacing w:line="360" w:lineRule="auto"/>
        <w:jc w:val="both"/>
        <w:rPr>
          <w:rFonts w:ascii="Garamond" w:hAnsi="Garamond"/>
          <w:b/>
          <w:sz w:val="22"/>
          <w:szCs w:val="22"/>
        </w:rPr>
      </w:pPr>
      <w:r w:rsidRPr="00A32AB2">
        <w:rPr>
          <w:rFonts w:ascii="Garamond" w:hAnsi="Garamond"/>
          <w:b/>
          <w:sz w:val="22"/>
          <w:szCs w:val="22"/>
        </w:rPr>
        <w:t>3.2.2. Aggregate demand</w:t>
      </w:r>
      <w:r w:rsidR="000069A7">
        <w:rPr>
          <w:rStyle w:val="FootnoteReference"/>
          <w:rFonts w:ascii="Garamond" w:hAnsi="Garamond"/>
          <w:b/>
          <w:sz w:val="22"/>
          <w:szCs w:val="22"/>
        </w:rPr>
        <w:footnoteReference w:customMarkFollows="1" w:id="15"/>
        <w:t>16</w:t>
      </w:r>
    </w:p>
    <w:p w14:paraId="2D4C614E" w14:textId="77777777" w:rsidR="00CB4E02" w:rsidRPr="00A32AB2" w:rsidRDefault="00CB4E02" w:rsidP="00FF3CD9">
      <w:pPr>
        <w:spacing w:line="360" w:lineRule="auto"/>
        <w:jc w:val="both"/>
        <w:rPr>
          <w:rFonts w:ascii="Garamond" w:hAnsi="Garamond"/>
          <w:sz w:val="22"/>
          <w:szCs w:val="22"/>
        </w:rPr>
      </w:pPr>
    </w:p>
    <w:p w14:paraId="663DC79F" w14:textId="77777777" w:rsidR="0065044E" w:rsidRPr="00A32AB2" w:rsidRDefault="00125C0A" w:rsidP="00FF3CD9">
      <w:pPr>
        <w:spacing w:line="360" w:lineRule="auto"/>
        <w:jc w:val="both"/>
        <w:rPr>
          <w:rFonts w:ascii="Garamond" w:hAnsi="Garamond" w:cs="Sylfaen"/>
          <w:sz w:val="22"/>
          <w:szCs w:val="22"/>
        </w:rPr>
      </w:pPr>
      <w:r w:rsidRPr="00225172">
        <w:rPr>
          <w:rFonts w:ascii="Garamond" w:hAnsi="Garamond" w:cs="Sylfaen"/>
          <w:sz w:val="22"/>
          <w:szCs w:val="22"/>
        </w:rPr>
        <w:t xml:space="preserve">In the </w:t>
      </w:r>
      <w:r w:rsidR="00943D04">
        <w:rPr>
          <w:rFonts w:ascii="Garamond" w:hAnsi="Garamond" w:cs="Sylfaen"/>
          <w:sz w:val="22"/>
          <w:szCs w:val="22"/>
        </w:rPr>
        <w:t>thir</w:t>
      </w:r>
      <w:r w:rsidRPr="00225172">
        <w:rPr>
          <w:rFonts w:ascii="Garamond" w:hAnsi="Garamond" w:cs="Sylfaen"/>
          <w:sz w:val="22"/>
          <w:szCs w:val="22"/>
        </w:rPr>
        <w:t xml:space="preserve">d quarter of 2016 private spending </w:t>
      </w:r>
      <w:r w:rsidR="00943D04">
        <w:rPr>
          <w:rFonts w:ascii="Garamond" w:hAnsi="Garamond" w:cs="Sylfaen"/>
          <w:sz w:val="22"/>
          <w:szCs w:val="22"/>
        </w:rPr>
        <w:t>wa</w:t>
      </w:r>
      <w:r w:rsidRPr="00225172">
        <w:rPr>
          <w:rFonts w:ascii="Garamond" w:hAnsi="Garamond" w:cs="Sylfaen"/>
          <w:sz w:val="22"/>
          <w:szCs w:val="22"/>
        </w:rPr>
        <w:t xml:space="preserve">s estimated to be </w:t>
      </w:r>
      <w:r w:rsidR="00943D04" w:rsidRPr="00943D04">
        <w:rPr>
          <w:rFonts w:ascii="Garamond" w:hAnsi="Garamond" w:cs="Sylfaen"/>
          <w:sz w:val="22"/>
          <w:szCs w:val="22"/>
        </w:rPr>
        <w:t xml:space="preserve">lower </w:t>
      </w:r>
      <w:r w:rsidRPr="00225172">
        <w:rPr>
          <w:rFonts w:ascii="Garamond" w:hAnsi="Garamond" w:cs="Sylfaen"/>
          <w:sz w:val="22"/>
          <w:szCs w:val="22"/>
        </w:rPr>
        <w:t>compared to the previous forecast</w:t>
      </w:r>
      <w:r w:rsidR="00943D04">
        <w:rPr>
          <w:rFonts w:ascii="Garamond" w:hAnsi="Garamond" w:cs="Sylfaen"/>
          <w:sz w:val="22"/>
          <w:szCs w:val="22"/>
        </w:rPr>
        <w:t xml:space="preserve">, growing </w:t>
      </w:r>
      <w:r w:rsidR="00D84536" w:rsidRPr="00225172">
        <w:rPr>
          <w:rFonts w:ascii="Garamond" w:hAnsi="Garamond" w:cs="Sylfaen"/>
          <w:sz w:val="22"/>
          <w:szCs w:val="22"/>
        </w:rPr>
        <w:t xml:space="preserve">by </w:t>
      </w:r>
      <w:r w:rsidR="00943D04">
        <w:rPr>
          <w:rFonts w:ascii="Garamond" w:hAnsi="Garamond" w:cs="Sylfaen"/>
          <w:sz w:val="22"/>
          <w:szCs w:val="22"/>
        </w:rPr>
        <w:t>around 2</w:t>
      </w:r>
      <w:r w:rsidRPr="00225172">
        <w:rPr>
          <w:rFonts w:ascii="Garamond" w:hAnsi="Garamond" w:cs="Sylfaen"/>
          <w:sz w:val="22"/>
          <w:szCs w:val="22"/>
        </w:rPr>
        <w:t xml:space="preserve">% </w:t>
      </w:r>
      <w:r w:rsidR="00D84536" w:rsidRPr="00225172">
        <w:rPr>
          <w:rFonts w:ascii="Garamond" w:hAnsi="Garamond" w:cs="Sylfaen"/>
          <w:sz w:val="22"/>
          <w:szCs w:val="22"/>
        </w:rPr>
        <w:t>relative to</w:t>
      </w:r>
      <w:r w:rsidRPr="00225172">
        <w:rPr>
          <w:rFonts w:ascii="Garamond" w:hAnsi="Garamond" w:cs="Sylfaen"/>
          <w:sz w:val="22"/>
          <w:szCs w:val="22"/>
        </w:rPr>
        <w:t xml:space="preserve"> the same </w:t>
      </w:r>
      <w:r w:rsidR="00D84536" w:rsidRPr="00225172">
        <w:rPr>
          <w:rFonts w:ascii="Garamond" w:hAnsi="Garamond" w:cs="Sylfaen"/>
          <w:sz w:val="22"/>
          <w:szCs w:val="22"/>
        </w:rPr>
        <w:t xml:space="preserve">reference </w:t>
      </w:r>
      <w:r w:rsidRPr="00225172">
        <w:rPr>
          <w:rFonts w:ascii="Garamond" w:hAnsi="Garamond" w:cs="Sylfaen"/>
          <w:sz w:val="22"/>
          <w:szCs w:val="22"/>
        </w:rPr>
        <w:t xml:space="preserve">period last year. </w:t>
      </w:r>
      <w:r w:rsidR="00972F5A" w:rsidRPr="00225172">
        <w:rPr>
          <w:rFonts w:ascii="Garamond" w:hAnsi="Garamond" w:cs="Sylfaen"/>
          <w:sz w:val="22"/>
          <w:szCs w:val="22"/>
        </w:rPr>
        <w:t xml:space="preserve">This </w:t>
      </w:r>
      <w:r w:rsidR="00943D04">
        <w:rPr>
          <w:rFonts w:ascii="Garamond" w:hAnsi="Garamond" w:cs="Sylfaen"/>
          <w:sz w:val="22"/>
          <w:szCs w:val="22"/>
        </w:rPr>
        <w:t>wa</w:t>
      </w:r>
      <w:r w:rsidR="00D84536" w:rsidRPr="00225172">
        <w:rPr>
          <w:rFonts w:ascii="Garamond" w:hAnsi="Garamond" w:cs="Sylfaen"/>
          <w:sz w:val="22"/>
          <w:szCs w:val="22"/>
        </w:rPr>
        <w:t xml:space="preserve">s </w:t>
      </w:r>
      <w:r w:rsidR="00972F5A" w:rsidRPr="00225172">
        <w:rPr>
          <w:rFonts w:ascii="Garamond" w:hAnsi="Garamond" w:cs="Sylfaen"/>
          <w:sz w:val="22"/>
          <w:szCs w:val="22"/>
        </w:rPr>
        <w:t xml:space="preserve">due to </w:t>
      </w:r>
      <w:r w:rsidR="00943D04" w:rsidRPr="00225172">
        <w:rPr>
          <w:rFonts w:ascii="Garamond" w:hAnsi="Garamond" w:cs="Sylfaen"/>
          <w:sz w:val="22"/>
          <w:szCs w:val="22"/>
        </w:rPr>
        <w:t>greater</w:t>
      </w:r>
      <w:r w:rsidR="00D84536" w:rsidRPr="00225172">
        <w:rPr>
          <w:rFonts w:ascii="Garamond" w:hAnsi="Garamond" w:cs="Sylfaen"/>
          <w:sz w:val="22"/>
          <w:szCs w:val="22"/>
        </w:rPr>
        <w:t xml:space="preserve"> shrinking of </w:t>
      </w:r>
      <w:r w:rsidR="00C81FC7" w:rsidRPr="00225172">
        <w:rPr>
          <w:rFonts w:ascii="Garamond" w:hAnsi="Garamond" w:cs="Sylfaen"/>
          <w:sz w:val="22"/>
          <w:szCs w:val="22"/>
        </w:rPr>
        <w:t xml:space="preserve">trade </w:t>
      </w:r>
      <w:r w:rsidR="00972F5A" w:rsidRPr="00225172">
        <w:rPr>
          <w:rFonts w:ascii="Garamond" w:hAnsi="Garamond" w:cs="Sylfaen"/>
          <w:sz w:val="22"/>
          <w:szCs w:val="22"/>
        </w:rPr>
        <w:t xml:space="preserve">turnover and </w:t>
      </w:r>
      <w:r w:rsidR="00943D04">
        <w:rPr>
          <w:rFonts w:ascii="Garamond" w:hAnsi="Garamond" w:cs="Sylfaen"/>
          <w:sz w:val="22"/>
          <w:szCs w:val="22"/>
        </w:rPr>
        <w:t>lower-than-expected</w:t>
      </w:r>
      <w:r w:rsidR="00972F5A" w:rsidRPr="00225172">
        <w:rPr>
          <w:rFonts w:ascii="Garamond" w:hAnsi="Garamond" w:cs="Sylfaen"/>
          <w:sz w:val="22"/>
          <w:szCs w:val="22"/>
        </w:rPr>
        <w:t xml:space="preserve"> economic activity in </w:t>
      </w:r>
      <w:r w:rsidR="00C81FC7" w:rsidRPr="00225172">
        <w:rPr>
          <w:rFonts w:ascii="Garamond" w:hAnsi="Garamond" w:cs="Sylfaen"/>
          <w:sz w:val="22"/>
          <w:szCs w:val="22"/>
        </w:rPr>
        <w:t xml:space="preserve">the </w:t>
      </w:r>
      <w:r w:rsidR="00943D04">
        <w:rPr>
          <w:rFonts w:ascii="Garamond" w:hAnsi="Garamond" w:cs="Sylfaen"/>
          <w:sz w:val="22"/>
          <w:szCs w:val="22"/>
        </w:rPr>
        <w:t xml:space="preserve">third </w:t>
      </w:r>
      <w:r w:rsidR="00C81FC7" w:rsidRPr="00225172">
        <w:rPr>
          <w:rFonts w:ascii="Garamond" w:hAnsi="Garamond" w:cs="Sylfaen"/>
          <w:sz w:val="22"/>
          <w:szCs w:val="22"/>
        </w:rPr>
        <w:t>quarter.</w:t>
      </w:r>
      <w:r w:rsidR="00C81FC7" w:rsidRPr="00A32AB2">
        <w:rPr>
          <w:rFonts w:ascii="Garamond" w:hAnsi="Garamond" w:cs="Sylfaen"/>
          <w:sz w:val="22"/>
          <w:szCs w:val="22"/>
        </w:rPr>
        <w:t xml:space="preserve"> </w:t>
      </w:r>
    </w:p>
    <w:p w14:paraId="6B201A3E" w14:textId="77777777" w:rsidR="0006101A" w:rsidRPr="00A32AB2" w:rsidRDefault="0006101A" w:rsidP="00FF3CD9">
      <w:pPr>
        <w:spacing w:line="360" w:lineRule="auto"/>
        <w:jc w:val="both"/>
        <w:rPr>
          <w:rFonts w:ascii="Garamond" w:hAnsi="Garamond" w:cs="Sylfaen"/>
          <w:sz w:val="22"/>
          <w:szCs w:val="22"/>
        </w:rPr>
      </w:pPr>
    </w:p>
    <w:p w14:paraId="499BA38D" w14:textId="77777777" w:rsidR="0006101A" w:rsidRPr="00A32AB2" w:rsidRDefault="001317A3" w:rsidP="0006101A">
      <w:pPr>
        <w:spacing w:line="360" w:lineRule="auto"/>
        <w:jc w:val="both"/>
        <w:rPr>
          <w:rFonts w:ascii="Garamond" w:hAnsi="Garamond" w:cs="Sylfaen"/>
          <w:sz w:val="22"/>
          <w:szCs w:val="22"/>
        </w:rPr>
      </w:pPr>
      <w:r w:rsidRPr="00A32AB2">
        <w:rPr>
          <w:rFonts w:ascii="Garamond" w:hAnsi="Garamond" w:cs="Sylfaen"/>
          <w:sz w:val="22"/>
          <w:szCs w:val="22"/>
        </w:rPr>
        <w:t>A narrowing inflow</w:t>
      </w:r>
      <w:r w:rsidR="008E3E8C" w:rsidRPr="00A32AB2">
        <w:rPr>
          <w:rFonts w:ascii="Garamond" w:hAnsi="Garamond" w:cs="Sylfaen"/>
          <w:sz w:val="22"/>
          <w:szCs w:val="22"/>
        </w:rPr>
        <w:t xml:space="preserve"> </w:t>
      </w:r>
      <w:r w:rsidRPr="00A32AB2">
        <w:rPr>
          <w:rFonts w:ascii="Garamond" w:hAnsi="Garamond" w:cs="Sylfaen"/>
          <w:sz w:val="22"/>
          <w:szCs w:val="22"/>
        </w:rPr>
        <w:t xml:space="preserve">of </w:t>
      </w:r>
      <w:r w:rsidR="008E3E8C" w:rsidRPr="00A32AB2">
        <w:rPr>
          <w:rFonts w:ascii="Garamond" w:hAnsi="Garamond" w:cs="Sylfaen"/>
          <w:sz w:val="22"/>
          <w:szCs w:val="22"/>
        </w:rPr>
        <w:t xml:space="preserve">remittances from Russia, a trend observable since </w:t>
      </w:r>
      <w:r w:rsidR="0006101A" w:rsidRPr="00A32AB2">
        <w:rPr>
          <w:rFonts w:ascii="Garamond" w:hAnsi="Garamond" w:cs="Sylfaen"/>
          <w:sz w:val="22"/>
          <w:szCs w:val="22"/>
        </w:rPr>
        <w:t>end</w:t>
      </w:r>
      <w:r w:rsidR="008E3E8C" w:rsidRPr="00A32AB2">
        <w:rPr>
          <w:rFonts w:ascii="Garamond" w:hAnsi="Garamond" w:cs="Sylfaen"/>
          <w:sz w:val="22"/>
          <w:szCs w:val="22"/>
        </w:rPr>
        <w:t>-</w:t>
      </w:r>
      <w:r w:rsidR="0006101A" w:rsidRPr="00A32AB2">
        <w:rPr>
          <w:rFonts w:ascii="Garamond" w:hAnsi="Garamond" w:cs="Sylfaen"/>
          <w:sz w:val="22"/>
          <w:szCs w:val="22"/>
        </w:rPr>
        <w:t xml:space="preserve">2014 and </w:t>
      </w:r>
      <w:r w:rsidR="008E3E8C" w:rsidRPr="00A32AB2">
        <w:rPr>
          <w:rFonts w:ascii="Garamond" w:hAnsi="Garamond" w:cs="Sylfaen"/>
          <w:sz w:val="22"/>
          <w:szCs w:val="22"/>
        </w:rPr>
        <w:t xml:space="preserve">persisted </w:t>
      </w:r>
      <w:r w:rsidR="000B65B8">
        <w:rPr>
          <w:rFonts w:ascii="Garamond" w:hAnsi="Garamond" w:cs="Sylfaen"/>
          <w:sz w:val="22"/>
          <w:szCs w:val="22"/>
        </w:rPr>
        <w:t xml:space="preserve">in </w:t>
      </w:r>
      <w:r w:rsidR="008E3E8C" w:rsidRPr="00A32AB2">
        <w:rPr>
          <w:rFonts w:ascii="Garamond" w:hAnsi="Garamond" w:cs="Sylfaen"/>
          <w:sz w:val="22"/>
          <w:szCs w:val="22"/>
        </w:rPr>
        <w:t>2</w:t>
      </w:r>
      <w:r w:rsidR="0006101A" w:rsidRPr="00A32AB2">
        <w:rPr>
          <w:rFonts w:ascii="Garamond" w:hAnsi="Garamond" w:cs="Sylfaen"/>
          <w:sz w:val="22"/>
          <w:szCs w:val="22"/>
        </w:rPr>
        <w:t>015</w:t>
      </w:r>
      <w:r w:rsidR="000B65B8">
        <w:rPr>
          <w:rFonts w:ascii="Garamond" w:hAnsi="Garamond" w:cs="Sylfaen"/>
          <w:sz w:val="22"/>
          <w:szCs w:val="22"/>
        </w:rPr>
        <w:t>-2016</w:t>
      </w:r>
      <w:r w:rsidR="0006101A" w:rsidRPr="00A32AB2">
        <w:rPr>
          <w:rFonts w:ascii="Garamond" w:hAnsi="Garamond" w:cs="Sylfaen"/>
          <w:sz w:val="22"/>
          <w:szCs w:val="22"/>
        </w:rPr>
        <w:t xml:space="preserve">, </w:t>
      </w:r>
      <w:r w:rsidR="008E3E8C" w:rsidRPr="00A32AB2">
        <w:rPr>
          <w:rFonts w:ascii="Garamond" w:hAnsi="Garamond" w:cs="Sylfaen"/>
          <w:sz w:val="22"/>
          <w:szCs w:val="22"/>
        </w:rPr>
        <w:t xml:space="preserve">has negatively affected the </w:t>
      </w:r>
      <w:r w:rsidR="0006101A" w:rsidRPr="00A32AB2">
        <w:rPr>
          <w:rFonts w:ascii="Garamond" w:hAnsi="Garamond" w:cs="Sylfaen"/>
          <w:sz w:val="22"/>
          <w:szCs w:val="22"/>
        </w:rPr>
        <w:t>households</w:t>
      </w:r>
      <w:r w:rsidR="008E3E8C" w:rsidRPr="00A32AB2">
        <w:rPr>
          <w:rFonts w:ascii="Garamond" w:hAnsi="Garamond" w:cs="Sylfaen"/>
          <w:sz w:val="22"/>
          <w:szCs w:val="22"/>
        </w:rPr>
        <w:t>’</w:t>
      </w:r>
      <w:r w:rsidR="0006101A" w:rsidRPr="00A32AB2">
        <w:rPr>
          <w:rFonts w:ascii="Garamond" w:hAnsi="Garamond" w:cs="Sylfaen"/>
          <w:sz w:val="22"/>
          <w:szCs w:val="22"/>
        </w:rPr>
        <w:t xml:space="preserve"> disposable income, which led to reduc</w:t>
      </w:r>
      <w:r w:rsidR="008E3E8C" w:rsidRPr="00A32AB2">
        <w:rPr>
          <w:rFonts w:ascii="Garamond" w:hAnsi="Garamond" w:cs="Sylfaen"/>
          <w:sz w:val="22"/>
          <w:szCs w:val="22"/>
        </w:rPr>
        <w:t xml:space="preserve">ed private consumption costs throughout 2015 and in </w:t>
      </w:r>
      <w:r w:rsidR="000B65B8">
        <w:rPr>
          <w:rFonts w:ascii="Garamond" w:hAnsi="Garamond" w:cs="Sylfaen"/>
          <w:sz w:val="22"/>
          <w:szCs w:val="22"/>
        </w:rPr>
        <w:t xml:space="preserve">the first quarter of </w:t>
      </w:r>
      <w:r w:rsidR="008E3E8C" w:rsidRPr="00A32AB2">
        <w:rPr>
          <w:rFonts w:ascii="Garamond" w:hAnsi="Garamond" w:cs="Sylfaen"/>
          <w:sz w:val="22"/>
          <w:szCs w:val="22"/>
        </w:rPr>
        <w:t xml:space="preserve">2016. </w:t>
      </w:r>
      <w:r w:rsidR="003A44FA" w:rsidRPr="00A32AB2">
        <w:rPr>
          <w:rFonts w:ascii="Garamond" w:hAnsi="Garamond" w:cs="Sylfaen"/>
          <w:sz w:val="22"/>
          <w:szCs w:val="22"/>
        </w:rPr>
        <w:t>It should be n</w:t>
      </w:r>
      <w:r w:rsidR="0006101A" w:rsidRPr="00A32AB2">
        <w:rPr>
          <w:rFonts w:ascii="Garamond" w:hAnsi="Garamond" w:cs="Sylfaen"/>
          <w:sz w:val="22"/>
          <w:szCs w:val="22"/>
        </w:rPr>
        <w:t>ote</w:t>
      </w:r>
      <w:r w:rsidR="003A44FA" w:rsidRPr="00A32AB2">
        <w:rPr>
          <w:rFonts w:ascii="Garamond" w:hAnsi="Garamond" w:cs="Sylfaen"/>
          <w:sz w:val="22"/>
          <w:szCs w:val="22"/>
        </w:rPr>
        <w:t>d</w:t>
      </w:r>
      <w:r w:rsidR="008E3E8C" w:rsidRPr="00A32AB2">
        <w:rPr>
          <w:rFonts w:ascii="Garamond" w:hAnsi="Garamond" w:cs="Sylfaen"/>
          <w:sz w:val="22"/>
          <w:szCs w:val="22"/>
        </w:rPr>
        <w:t>,</w:t>
      </w:r>
      <w:r w:rsidR="0006101A" w:rsidRPr="00A32AB2">
        <w:rPr>
          <w:rFonts w:ascii="Garamond" w:hAnsi="Garamond" w:cs="Sylfaen"/>
          <w:sz w:val="22"/>
          <w:szCs w:val="22"/>
        </w:rPr>
        <w:t xml:space="preserve"> however, that the dec</w:t>
      </w:r>
      <w:r w:rsidR="008E3E8C" w:rsidRPr="00A32AB2">
        <w:rPr>
          <w:rFonts w:ascii="Garamond" w:hAnsi="Garamond" w:cs="Sylfaen"/>
          <w:sz w:val="22"/>
          <w:szCs w:val="22"/>
        </w:rPr>
        <w:t xml:space="preserve">line in </w:t>
      </w:r>
      <w:r w:rsidR="0006101A" w:rsidRPr="00A32AB2">
        <w:rPr>
          <w:rFonts w:ascii="Garamond" w:hAnsi="Garamond" w:cs="Sylfaen"/>
          <w:sz w:val="22"/>
          <w:szCs w:val="22"/>
        </w:rPr>
        <w:t xml:space="preserve">private </w:t>
      </w:r>
      <w:r w:rsidR="008E3E8C" w:rsidRPr="00A32AB2">
        <w:rPr>
          <w:rFonts w:ascii="Garamond" w:hAnsi="Garamond" w:cs="Sylfaen"/>
          <w:sz w:val="22"/>
          <w:szCs w:val="22"/>
        </w:rPr>
        <w:t xml:space="preserve">spending has diminished </w:t>
      </w:r>
      <w:r w:rsidR="003A44FA" w:rsidRPr="00A32AB2">
        <w:rPr>
          <w:rFonts w:ascii="Garamond" w:hAnsi="Garamond" w:cs="Sylfaen"/>
          <w:sz w:val="22"/>
          <w:szCs w:val="22"/>
        </w:rPr>
        <w:t xml:space="preserve">considerably </w:t>
      </w:r>
      <w:r w:rsidR="008E3E8C" w:rsidRPr="00A32AB2">
        <w:rPr>
          <w:rFonts w:ascii="Garamond" w:hAnsi="Garamond" w:cs="Sylfaen"/>
          <w:sz w:val="22"/>
          <w:szCs w:val="22"/>
        </w:rPr>
        <w:t xml:space="preserve">thanks to </w:t>
      </w:r>
      <w:r w:rsidR="00F05785">
        <w:rPr>
          <w:rFonts w:ascii="Garamond" w:hAnsi="Garamond" w:cs="Sylfaen"/>
          <w:sz w:val="22"/>
          <w:szCs w:val="22"/>
        </w:rPr>
        <w:t>the</w:t>
      </w:r>
      <w:r w:rsidR="003A44FA" w:rsidRPr="00A32AB2">
        <w:rPr>
          <w:rFonts w:ascii="Garamond" w:hAnsi="Garamond" w:cs="Sylfaen"/>
          <w:sz w:val="22"/>
          <w:szCs w:val="22"/>
        </w:rPr>
        <w:t xml:space="preserve"> CBA</w:t>
      </w:r>
      <w:r w:rsidR="008E3E8C" w:rsidRPr="00A32AB2">
        <w:rPr>
          <w:rFonts w:ascii="Garamond" w:hAnsi="Garamond" w:cs="Sylfaen"/>
          <w:sz w:val="22"/>
          <w:szCs w:val="22"/>
        </w:rPr>
        <w:t xml:space="preserve"> policy steered to </w:t>
      </w:r>
      <w:r w:rsidR="0006101A" w:rsidRPr="00A32AB2">
        <w:rPr>
          <w:rFonts w:ascii="Garamond" w:hAnsi="Garamond" w:cs="Sylfaen"/>
          <w:sz w:val="22"/>
          <w:szCs w:val="22"/>
        </w:rPr>
        <w:t>eas</w:t>
      </w:r>
      <w:r w:rsidR="008E3E8C" w:rsidRPr="00A32AB2">
        <w:rPr>
          <w:rFonts w:ascii="Garamond" w:hAnsi="Garamond" w:cs="Sylfaen"/>
          <w:sz w:val="22"/>
          <w:szCs w:val="22"/>
        </w:rPr>
        <w:t>e</w:t>
      </w:r>
      <w:r w:rsidR="0006101A" w:rsidRPr="00A32AB2">
        <w:rPr>
          <w:rFonts w:ascii="Garamond" w:hAnsi="Garamond" w:cs="Sylfaen"/>
          <w:sz w:val="22"/>
          <w:szCs w:val="22"/>
        </w:rPr>
        <w:t xml:space="preserve"> monetary conditions</w:t>
      </w:r>
      <w:r w:rsidR="003A44FA" w:rsidRPr="00A32AB2">
        <w:rPr>
          <w:rFonts w:ascii="Garamond" w:hAnsi="Garamond" w:cs="Sylfaen"/>
          <w:sz w:val="22"/>
          <w:szCs w:val="22"/>
        </w:rPr>
        <w:t xml:space="preserve"> since 2015</w:t>
      </w:r>
      <w:r w:rsidR="0006101A" w:rsidRPr="00A32AB2">
        <w:rPr>
          <w:rFonts w:ascii="Garamond" w:hAnsi="Garamond" w:cs="Sylfaen"/>
          <w:sz w:val="22"/>
          <w:szCs w:val="22"/>
        </w:rPr>
        <w:t xml:space="preserve">, as well as </w:t>
      </w:r>
      <w:r w:rsidR="003A44FA" w:rsidRPr="00A32AB2">
        <w:rPr>
          <w:rFonts w:ascii="Garamond" w:hAnsi="Garamond" w:cs="Sylfaen"/>
          <w:sz w:val="22"/>
          <w:szCs w:val="22"/>
        </w:rPr>
        <w:t>a</w:t>
      </w:r>
      <w:r w:rsidR="0006101A" w:rsidRPr="00A32AB2">
        <w:rPr>
          <w:rFonts w:ascii="Garamond" w:hAnsi="Garamond" w:cs="Sylfaen"/>
          <w:sz w:val="22"/>
          <w:szCs w:val="22"/>
        </w:rPr>
        <w:t xml:space="preserve"> low inflation</w:t>
      </w:r>
      <w:r w:rsidR="003A44FA" w:rsidRPr="00A32AB2">
        <w:rPr>
          <w:rFonts w:ascii="Garamond" w:hAnsi="Garamond" w:cs="Sylfaen"/>
          <w:sz w:val="22"/>
          <w:szCs w:val="22"/>
        </w:rPr>
        <w:t>ary</w:t>
      </w:r>
      <w:r w:rsidR="0006101A" w:rsidRPr="00A32AB2">
        <w:rPr>
          <w:rFonts w:ascii="Garamond" w:hAnsi="Garamond" w:cs="Sylfaen"/>
          <w:sz w:val="22"/>
          <w:szCs w:val="22"/>
        </w:rPr>
        <w:t xml:space="preserve"> environment.</w:t>
      </w:r>
      <w:r w:rsidR="00271625" w:rsidRPr="00A32AB2">
        <w:rPr>
          <w:rFonts w:ascii="Garamond" w:hAnsi="Garamond" w:cs="Sylfaen"/>
          <w:sz w:val="22"/>
          <w:szCs w:val="22"/>
        </w:rPr>
        <w:t xml:space="preserve"> The above-described developments contributed to a moderate increase in private consumption in the second quarter</w:t>
      </w:r>
      <w:r w:rsidR="00784773">
        <w:rPr>
          <w:rFonts w:ascii="Garamond" w:hAnsi="Garamond" w:cs="Sylfaen"/>
          <w:sz w:val="22"/>
          <w:szCs w:val="22"/>
        </w:rPr>
        <w:t xml:space="preserve"> of 2016</w:t>
      </w:r>
      <w:r w:rsidR="00271625" w:rsidRPr="00A32AB2">
        <w:rPr>
          <w:rFonts w:ascii="Garamond" w:hAnsi="Garamond" w:cs="Sylfaen"/>
          <w:sz w:val="22"/>
          <w:szCs w:val="22"/>
        </w:rPr>
        <w:t xml:space="preserve">, </w:t>
      </w:r>
      <w:r w:rsidR="00F05785">
        <w:rPr>
          <w:rFonts w:ascii="Garamond" w:hAnsi="Garamond" w:cs="Sylfaen"/>
          <w:sz w:val="22"/>
          <w:szCs w:val="22"/>
        </w:rPr>
        <w:t>speeded up in the third quarter</w:t>
      </w:r>
      <w:r w:rsidR="001F6E3F">
        <w:rPr>
          <w:rFonts w:ascii="Garamond" w:hAnsi="Garamond" w:cs="Sylfaen"/>
          <w:sz w:val="22"/>
          <w:szCs w:val="22"/>
        </w:rPr>
        <w:t xml:space="preserve">. </w:t>
      </w:r>
      <w:r w:rsidR="002D7862">
        <w:rPr>
          <w:rFonts w:ascii="Garamond" w:hAnsi="Garamond" w:cs="Sylfaen"/>
          <w:sz w:val="22"/>
          <w:szCs w:val="22"/>
        </w:rPr>
        <w:t>Y</w:t>
      </w:r>
      <w:r w:rsidR="0044181F" w:rsidRPr="00A32AB2">
        <w:rPr>
          <w:rFonts w:ascii="Garamond" w:hAnsi="Garamond" w:cs="Sylfaen"/>
          <w:sz w:val="22"/>
          <w:szCs w:val="22"/>
        </w:rPr>
        <w:t xml:space="preserve">et </w:t>
      </w:r>
      <w:r w:rsidR="00271625" w:rsidRPr="00A32AB2">
        <w:rPr>
          <w:rFonts w:ascii="Garamond" w:hAnsi="Garamond" w:cs="Sylfaen"/>
          <w:sz w:val="22"/>
          <w:szCs w:val="22"/>
        </w:rPr>
        <w:t xml:space="preserve">private consumption </w:t>
      </w:r>
      <w:r w:rsidR="002D7862">
        <w:rPr>
          <w:rFonts w:ascii="Garamond" w:hAnsi="Garamond" w:cs="Sylfaen"/>
          <w:sz w:val="22"/>
          <w:szCs w:val="22"/>
        </w:rPr>
        <w:t xml:space="preserve">is still below </w:t>
      </w:r>
      <w:r w:rsidR="00271625" w:rsidRPr="00A32AB2">
        <w:rPr>
          <w:rFonts w:ascii="Garamond" w:hAnsi="Garamond" w:cs="Sylfaen"/>
          <w:sz w:val="22"/>
          <w:szCs w:val="22"/>
        </w:rPr>
        <w:t>i</w:t>
      </w:r>
      <w:r w:rsidR="002D7862">
        <w:rPr>
          <w:rFonts w:ascii="Garamond" w:hAnsi="Garamond" w:cs="Sylfaen"/>
          <w:sz w:val="22"/>
          <w:szCs w:val="22"/>
        </w:rPr>
        <w:t>t</w:t>
      </w:r>
      <w:r w:rsidR="00271625" w:rsidRPr="00A32AB2">
        <w:rPr>
          <w:rFonts w:ascii="Garamond" w:hAnsi="Garamond" w:cs="Sylfaen"/>
          <w:sz w:val="22"/>
          <w:szCs w:val="22"/>
        </w:rPr>
        <w:t xml:space="preserve">s </w:t>
      </w:r>
      <w:r w:rsidR="002D7862">
        <w:rPr>
          <w:rFonts w:ascii="Garamond" w:hAnsi="Garamond" w:cs="Sylfaen"/>
          <w:sz w:val="22"/>
          <w:szCs w:val="22"/>
        </w:rPr>
        <w:t xml:space="preserve">equilibrium </w:t>
      </w:r>
      <w:r w:rsidR="0044181F" w:rsidRPr="00A32AB2">
        <w:rPr>
          <w:rFonts w:ascii="Garamond" w:hAnsi="Garamond" w:cs="Sylfaen"/>
          <w:sz w:val="22"/>
          <w:szCs w:val="22"/>
        </w:rPr>
        <w:t xml:space="preserve">because of </w:t>
      </w:r>
      <w:r w:rsidR="00271625" w:rsidRPr="00A32AB2">
        <w:rPr>
          <w:rFonts w:ascii="Garamond" w:hAnsi="Garamond" w:cs="Sylfaen"/>
          <w:sz w:val="22"/>
          <w:szCs w:val="22"/>
        </w:rPr>
        <w:t>deep downturn</w:t>
      </w:r>
      <w:r w:rsidR="0044181F" w:rsidRPr="00A32AB2">
        <w:rPr>
          <w:rFonts w:ascii="Garamond" w:hAnsi="Garamond" w:cs="Sylfaen"/>
          <w:sz w:val="22"/>
          <w:szCs w:val="22"/>
        </w:rPr>
        <w:t>s</w:t>
      </w:r>
      <w:r w:rsidR="00271625" w:rsidRPr="00A32AB2">
        <w:rPr>
          <w:rFonts w:ascii="Garamond" w:hAnsi="Garamond" w:cs="Sylfaen"/>
          <w:sz w:val="22"/>
          <w:szCs w:val="22"/>
        </w:rPr>
        <w:t xml:space="preserve"> </w:t>
      </w:r>
      <w:r w:rsidR="002D7862">
        <w:rPr>
          <w:rFonts w:ascii="Garamond" w:hAnsi="Garamond" w:cs="Sylfaen"/>
          <w:sz w:val="22"/>
          <w:szCs w:val="22"/>
        </w:rPr>
        <w:t xml:space="preserve">reported </w:t>
      </w:r>
      <w:r w:rsidR="00271625" w:rsidRPr="00A32AB2">
        <w:rPr>
          <w:rFonts w:ascii="Garamond" w:hAnsi="Garamond" w:cs="Sylfaen"/>
          <w:sz w:val="22"/>
          <w:szCs w:val="22"/>
        </w:rPr>
        <w:t xml:space="preserve">in the previous </w:t>
      </w:r>
      <w:r w:rsidR="002D7862">
        <w:rPr>
          <w:rFonts w:ascii="Garamond" w:hAnsi="Garamond" w:cs="Sylfaen"/>
          <w:sz w:val="22"/>
          <w:szCs w:val="22"/>
        </w:rPr>
        <w:t>year</w:t>
      </w:r>
      <w:r w:rsidR="00271625" w:rsidRPr="00A32AB2">
        <w:rPr>
          <w:rFonts w:ascii="Garamond" w:hAnsi="Garamond" w:cs="Sylfaen"/>
          <w:sz w:val="22"/>
          <w:szCs w:val="22"/>
        </w:rPr>
        <w:t>.</w:t>
      </w:r>
    </w:p>
    <w:p w14:paraId="72DE28C5" w14:textId="77777777" w:rsidR="003A44FA" w:rsidRPr="00A32AB2" w:rsidRDefault="003A44FA" w:rsidP="0006101A">
      <w:pPr>
        <w:spacing w:line="360" w:lineRule="auto"/>
        <w:jc w:val="both"/>
        <w:rPr>
          <w:rFonts w:ascii="Garamond" w:hAnsi="Garamond" w:cs="Sylfaen"/>
          <w:sz w:val="22"/>
          <w:szCs w:val="22"/>
        </w:rPr>
      </w:pPr>
    </w:p>
    <w:p w14:paraId="4FCEF185" w14:textId="77777777" w:rsidR="003A44FA" w:rsidRPr="00A32AB2" w:rsidRDefault="003A44FA" w:rsidP="0006101A">
      <w:pPr>
        <w:spacing w:line="360" w:lineRule="auto"/>
        <w:jc w:val="both"/>
        <w:rPr>
          <w:rFonts w:ascii="Garamond" w:hAnsi="Garamond"/>
          <w:sz w:val="22"/>
          <w:szCs w:val="22"/>
        </w:rPr>
      </w:pPr>
      <w:r w:rsidRPr="00A32AB2">
        <w:rPr>
          <w:rFonts w:ascii="Garamond" w:hAnsi="Garamond"/>
          <w:bCs/>
          <w:iCs/>
          <w:sz w:val="22"/>
          <w:szCs w:val="22"/>
        </w:rPr>
        <w:lastRenderedPageBreak/>
        <w:t xml:space="preserve">The </w:t>
      </w:r>
      <w:r w:rsidR="00D366B4" w:rsidRPr="00A32AB2">
        <w:rPr>
          <w:rFonts w:ascii="Garamond" w:hAnsi="Garamond"/>
          <w:bCs/>
          <w:iCs/>
          <w:sz w:val="22"/>
          <w:szCs w:val="22"/>
        </w:rPr>
        <w:t>s</w:t>
      </w:r>
      <w:r w:rsidRPr="00A32AB2">
        <w:rPr>
          <w:rFonts w:ascii="Garamond" w:hAnsi="Garamond"/>
          <w:bCs/>
          <w:iCs/>
          <w:sz w:val="22"/>
          <w:szCs w:val="22"/>
        </w:rPr>
        <w:t>urveys</w:t>
      </w:r>
      <w:r w:rsidR="00FB246E" w:rsidRPr="00A32AB2">
        <w:rPr>
          <w:rFonts w:ascii="Garamond" w:hAnsi="Garamond"/>
          <w:bCs/>
          <w:iCs/>
          <w:sz w:val="22"/>
          <w:szCs w:val="22"/>
          <w:lang w:val="hy-AM"/>
        </w:rPr>
        <w:t xml:space="preserve"> </w:t>
      </w:r>
      <w:r w:rsidR="00D366B4" w:rsidRPr="00A32AB2">
        <w:rPr>
          <w:rFonts w:ascii="Garamond" w:hAnsi="Garamond"/>
          <w:bCs/>
          <w:iCs/>
          <w:sz w:val="22"/>
          <w:szCs w:val="22"/>
        </w:rPr>
        <w:t xml:space="preserve">conducted by the CBA </w:t>
      </w:r>
      <w:r w:rsidRPr="00A32AB2">
        <w:rPr>
          <w:rFonts w:ascii="Garamond" w:hAnsi="Garamond"/>
          <w:bCs/>
          <w:iCs/>
          <w:sz w:val="22"/>
          <w:szCs w:val="22"/>
        </w:rPr>
        <w:t>and trade turnover indices calculated by the National Statistics Service of Armenia</w:t>
      </w:r>
      <w:r w:rsidRPr="00A32AB2">
        <w:rPr>
          <w:rFonts w:ascii="Garamond" w:eastAsia="Calibri" w:hAnsi="Garamond"/>
          <w:sz w:val="22"/>
          <w:szCs w:val="22"/>
        </w:rPr>
        <w:t xml:space="preserve"> </w:t>
      </w:r>
      <w:r w:rsidR="003147F5" w:rsidRPr="00A32AB2">
        <w:rPr>
          <w:rFonts w:ascii="Garamond" w:eastAsia="Calibri" w:hAnsi="Garamond"/>
          <w:sz w:val="22"/>
          <w:szCs w:val="22"/>
        </w:rPr>
        <w:t xml:space="preserve">for the </w:t>
      </w:r>
      <w:r w:rsidR="00757B83">
        <w:rPr>
          <w:rFonts w:ascii="Garamond" w:eastAsia="Calibri" w:hAnsi="Garamond"/>
          <w:sz w:val="22"/>
          <w:szCs w:val="22"/>
        </w:rPr>
        <w:t>third</w:t>
      </w:r>
      <w:r w:rsidR="003147F5" w:rsidRPr="00A32AB2">
        <w:rPr>
          <w:rFonts w:ascii="Garamond" w:eastAsia="Calibri" w:hAnsi="Garamond"/>
          <w:sz w:val="22"/>
          <w:szCs w:val="22"/>
        </w:rPr>
        <w:t xml:space="preserve"> quarter of 2016 are indicative of</w:t>
      </w:r>
      <w:r w:rsidRPr="00A32AB2">
        <w:rPr>
          <w:rFonts w:ascii="Garamond" w:eastAsia="Calibri" w:hAnsi="Garamond"/>
          <w:sz w:val="22"/>
          <w:szCs w:val="22"/>
        </w:rPr>
        <w:t xml:space="preserve"> </w:t>
      </w:r>
      <w:r w:rsidR="00757B83">
        <w:rPr>
          <w:rFonts w:ascii="Garamond" w:eastAsia="Calibri" w:hAnsi="Garamond"/>
          <w:sz w:val="22"/>
          <w:szCs w:val="22"/>
        </w:rPr>
        <w:t>still a sluggish</w:t>
      </w:r>
      <w:r w:rsidRPr="00A32AB2">
        <w:rPr>
          <w:rFonts w:ascii="Garamond" w:eastAsia="Calibri" w:hAnsi="Garamond"/>
          <w:sz w:val="22"/>
          <w:szCs w:val="22"/>
        </w:rPr>
        <w:t xml:space="preserve"> consumption in the private sector</w:t>
      </w:r>
      <w:r w:rsidR="00BA472E" w:rsidRPr="00A32AB2">
        <w:rPr>
          <w:rFonts w:ascii="Garamond" w:eastAsia="Calibri" w:hAnsi="Garamond"/>
          <w:sz w:val="22"/>
          <w:szCs w:val="22"/>
        </w:rPr>
        <w:t>:</w:t>
      </w:r>
      <w:r w:rsidRPr="00A32AB2">
        <w:rPr>
          <w:rFonts w:ascii="Garamond" w:hAnsi="Garamond"/>
          <w:sz w:val="22"/>
          <w:szCs w:val="22"/>
        </w:rPr>
        <w:t xml:space="preserve"> the Consumer Confidence Index was 4</w:t>
      </w:r>
      <w:r w:rsidR="00757B83">
        <w:rPr>
          <w:rFonts w:ascii="Garamond" w:hAnsi="Garamond"/>
          <w:sz w:val="22"/>
          <w:szCs w:val="22"/>
        </w:rPr>
        <w:t>3</w:t>
      </w:r>
      <w:r w:rsidR="00D366B4" w:rsidRPr="00A32AB2">
        <w:rPr>
          <w:rFonts w:ascii="Garamond" w:hAnsi="Garamond"/>
          <w:sz w:val="22"/>
          <w:szCs w:val="22"/>
        </w:rPr>
        <w:t xml:space="preserve"> this quarter, </w:t>
      </w:r>
      <w:r w:rsidRPr="00A32AB2">
        <w:rPr>
          <w:rFonts w:ascii="Garamond" w:hAnsi="Garamond"/>
          <w:sz w:val="22"/>
          <w:szCs w:val="22"/>
        </w:rPr>
        <w:t>which is below its stability range of 45-55</w:t>
      </w:r>
      <w:r w:rsidR="00D366B4" w:rsidRPr="00A32AB2">
        <w:rPr>
          <w:rFonts w:ascii="Garamond" w:hAnsi="Garamond"/>
          <w:sz w:val="22"/>
          <w:szCs w:val="22"/>
        </w:rPr>
        <w:t xml:space="preserve"> and points to</w:t>
      </w:r>
      <w:r w:rsidRPr="00A32AB2">
        <w:rPr>
          <w:rFonts w:ascii="Garamond" w:hAnsi="Garamond"/>
          <w:sz w:val="22"/>
          <w:szCs w:val="22"/>
        </w:rPr>
        <w:t xml:space="preserve"> </w:t>
      </w:r>
      <w:r w:rsidR="00B83A1F" w:rsidRPr="00A32AB2">
        <w:rPr>
          <w:rFonts w:ascii="Garamond" w:hAnsi="Garamond"/>
          <w:sz w:val="22"/>
          <w:szCs w:val="22"/>
        </w:rPr>
        <w:t xml:space="preserve">a low level of </w:t>
      </w:r>
      <w:r w:rsidR="005259C0" w:rsidRPr="00A32AB2">
        <w:rPr>
          <w:rFonts w:ascii="Garamond" w:hAnsi="Garamond"/>
          <w:sz w:val="22"/>
          <w:szCs w:val="22"/>
        </w:rPr>
        <w:t xml:space="preserve">final </w:t>
      </w:r>
      <w:r w:rsidR="00856DF9" w:rsidRPr="00A32AB2">
        <w:rPr>
          <w:rFonts w:ascii="Garamond" w:hAnsi="Garamond"/>
          <w:sz w:val="22"/>
          <w:szCs w:val="22"/>
        </w:rPr>
        <w:t>consumption costs of households</w:t>
      </w:r>
      <w:r w:rsidR="005259C0" w:rsidRPr="00A32AB2">
        <w:rPr>
          <w:rFonts w:ascii="Garamond" w:hAnsi="Garamond"/>
          <w:sz w:val="22"/>
          <w:szCs w:val="22"/>
        </w:rPr>
        <w:t>.</w:t>
      </w:r>
      <w:r w:rsidRPr="00A32AB2">
        <w:rPr>
          <w:rFonts w:ascii="Garamond" w:hAnsi="Garamond"/>
          <w:sz w:val="22"/>
          <w:szCs w:val="22"/>
        </w:rPr>
        <w:t xml:space="preserve"> </w:t>
      </w:r>
      <w:r w:rsidR="003147F5" w:rsidRPr="00A32AB2">
        <w:rPr>
          <w:rFonts w:ascii="Garamond" w:hAnsi="Garamond"/>
          <w:sz w:val="22"/>
          <w:szCs w:val="22"/>
        </w:rPr>
        <w:t>Then again</w:t>
      </w:r>
      <w:r w:rsidR="005259C0" w:rsidRPr="00A32AB2">
        <w:rPr>
          <w:rFonts w:ascii="Garamond" w:hAnsi="Garamond"/>
          <w:sz w:val="22"/>
          <w:szCs w:val="22"/>
        </w:rPr>
        <w:t xml:space="preserve">, </w:t>
      </w:r>
      <w:r w:rsidRPr="00A32AB2">
        <w:rPr>
          <w:rFonts w:ascii="Garamond" w:hAnsi="Garamond"/>
          <w:sz w:val="22"/>
          <w:szCs w:val="22"/>
        </w:rPr>
        <w:t>the C</w:t>
      </w:r>
      <w:r w:rsidR="003147F5" w:rsidRPr="00A32AB2">
        <w:rPr>
          <w:rFonts w:ascii="Garamond" w:hAnsi="Garamond"/>
          <w:sz w:val="22"/>
          <w:szCs w:val="22"/>
        </w:rPr>
        <w:t xml:space="preserve">CI </w:t>
      </w:r>
      <w:r w:rsidR="005259C0" w:rsidRPr="00A32AB2">
        <w:rPr>
          <w:rFonts w:ascii="Garamond" w:hAnsi="Garamond"/>
          <w:sz w:val="22"/>
          <w:szCs w:val="22"/>
        </w:rPr>
        <w:t xml:space="preserve">has increased </w:t>
      </w:r>
      <w:r w:rsidR="003147F5" w:rsidRPr="00A32AB2">
        <w:rPr>
          <w:rFonts w:ascii="Garamond" w:hAnsi="Garamond"/>
          <w:sz w:val="22"/>
          <w:szCs w:val="22"/>
        </w:rPr>
        <w:t xml:space="preserve">by </w:t>
      </w:r>
      <w:r w:rsidR="00757B83">
        <w:rPr>
          <w:rFonts w:ascii="Garamond" w:hAnsi="Garamond"/>
          <w:sz w:val="22"/>
          <w:szCs w:val="22"/>
        </w:rPr>
        <w:t xml:space="preserve">nearly </w:t>
      </w:r>
      <w:r w:rsidR="003147F5" w:rsidRPr="00A32AB2">
        <w:rPr>
          <w:rFonts w:ascii="Garamond" w:hAnsi="Garamond"/>
          <w:sz w:val="22"/>
          <w:szCs w:val="22"/>
        </w:rPr>
        <w:t>6% relative to the same reference period last year</w:t>
      </w:r>
      <w:r w:rsidR="00D366B4" w:rsidRPr="00A32AB2">
        <w:rPr>
          <w:rFonts w:ascii="Garamond" w:hAnsi="Garamond"/>
          <w:sz w:val="22"/>
          <w:szCs w:val="22"/>
        </w:rPr>
        <w:t xml:space="preserve">, which in turn </w:t>
      </w:r>
      <w:r w:rsidR="00757B83">
        <w:rPr>
          <w:rFonts w:ascii="Garamond" w:hAnsi="Garamond"/>
          <w:sz w:val="22"/>
          <w:szCs w:val="22"/>
        </w:rPr>
        <w:t xml:space="preserve">showed </w:t>
      </w:r>
      <w:r w:rsidR="00D366B4" w:rsidRPr="00A32AB2">
        <w:rPr>
          <w:rFonts w:ascii="Garamond" w:hAnsi="Garamond"/>
          <w:sz w:val="22"/>
          <w:szCs w:val="22"/>
        </w:rPr>
        <w:t xml:space="preserve">that private consumption </w:t>
      </w:r>
      <w:r w:rsidR="00757B83">
        <w:rPr>
          <w:rFonts w:ascii="Garamond" w:hAnsi="Garamond"/>
          <w:sz w:val="22"/>
          <w:szCs w:val="22"/>
        </w:rPr>
        <w:t xml:space="preserve">was </w:t>
      </w:r>
      <w:r w:rsidR="00D366B4" w:rsidRPr="00A32AB2">
        <w:rPr>
          <w:rFonts w:ascii="Garamond" w:hAnsi="Garamond"/>
          <w:sz w:val="22"/>
          <w:szCs w:val="22"/>
        </w:rPr>
        <w:t>slowly re</w:t>
      </w:r>
      <w:r w:rsidR="00757B83">
        <w:rPr>
          <w:rFonts w:ascii="Garamond" w:hAnsi="Garamond"/>
          <w:sz w:val="22"/>
          <w:szCs w:val="22"/>
        </w:rPr>
        <w:t>covering from low levels</w:t>
      </w:r>
      <w:r w:rsidRPr="00A32AB2">
        <w:rPr>
          <w:rFonts w:ascii="Garamond" w:hAnsi="Garamond"/>
          <w:sz w:val="22"/>
          <w:szCs w:val="22"/>
        </w:rPr>
        <w:t xml:space="preserve">. </w:t>
      </w:r>
      <w:r w:rsidR="00D366B4" w:rsidRPr="00A32AB2">
        <w:rPr>
          <w:rFonts w:ascii="Garamond" w:hAnsi="Garamond"/>
          <w:sz w:val="22"/>
          <w:szCs w:val="22"/>
        </w:rPr>
        <w:t xml:space="preserve">In the </w:t>
      </w:r>
      <w:r w:rsidR="00757B83">
        <w:rPr>
          <w:rFonts w:ascii="Garamond" w:hAnsi="Garamond"/>
          <w:sz w:val="22"/>
          <w:szCs w:val="22"/>
        </w:rPr>
        <w:t>thir</w:t>
      </w:r>
      <w:r w:rsidR="00D366B4" w:rsidRPr="00A32AB2">
        <w:rPr>
          <w:rFonts w:ascii="Garamond" w:hAnsi="Garamond"/>
          <w:sz w:val="22"/>
          <w:szCs w:val="22"/>
        </w:rPr>
        <w:t>d quarter</w:t>
      </w:r>
      <w:r w:rsidR="00757B83">
        <w:rPr>
          <w:rFonts w:ascii="Garamond" w:hAnsi="Garamond"/>
          <w:sz w:val="22"/>
          <w:szCs w:val="22"/>
        </w:rPr>
        <w:t xml:space="preserve"> of 2016</w:t>
      </w:r>
      <w:r w:rsidR="00D366B4" w:rsidRPr="00A32AB2">
        <w:rPr>
          <w:rFonts w:ascii="Garamond" w:hAnsi="Garamond"/>
          <w:sz w:val="22"/>
          <w:szCs w:val="22"/>
        </w:rPr>
        <w:t xml:space="preserve">, compared to the same period of the previous year, </w:t>
      </w:r>
      <w:r w:rsidR="00757B83" w:rsidRPr="00757B83">
        <w:rPr>
          <w:rFonts w:ascii="Garamond" w:hAnsi="Garamond"/>
          <w:sz w:val="22"/>
          <w:szCs w:val="22"/>
        </w:rPr>
        <w:t xml:space="preserve">trade turnover </w:t>
      </w:r>
      <w:r w:rsidR="00757B83">
        <w:rPr>
          <w:rFonts w:ascii="Garamond" w:hAnsi="Garamond"/>
          <w:sz w:val="22"/>
          <w:szCs w:val="22"/>
        </w:rPr>
        <w:t xml:space="preserve">has </w:t>
      </w:r>
      <w:r w:rsidR="00757B83" w:rsidRPr="00757B83">
        <w:rPr>
          <w:rFonts w:ascii="Garamond" w:hAnsi="Garamond"/>
          <w:sz w:val="22"/>
          <w:szCs w:val="22"/>
        </w:rPr>
        <w:t xml:space="preserve">decreased by 0.3%, which </w:t>
      </w:r>
      <w:r w:rsidR="00757B83">
        <w:rPr>
          <w:rFonts w:ascii="Garamond" w:hAnsi="Garamond"/>
          <w:sz w:val="22"/>
          <w:szCs w:val="22"/>
        </w:rPr>
        <w:t xml:space="preserve">lagged behind the CBA expectations. It should also be noted that </w:t>
      </w:r>
      <w:r w:rsidR="00392A3D">
        <w:rPr>
          <w:rFonts w:ascii="Garamond" w:hAnsi="Garamond"/>
          <w:sz w:val="22"/>
          <w:szCs w:val="22"/>
        </w:rPr>
        <w:t xml:space="preserve">narrowing of the </w:t>
      </w:r>
      <w:r w:rsidR="00757B83">
        <w:rPr>
          <w:rFonts w:ascii="Garamond" w:hAnsi="Garamond"/>
          <w:sz w:val="22"/>
          <w:szCs w:val="22"/>
        </w:rPr>
        <w:t xml:space="preserve">inflow of remittances </w:t>
      </w:r>
      <w:r w:rsidR="00757B83" w:rsidRPr="00757B83">
        <w:rPr>
          <w:rFonts w:ascii="Garamond" w:hAnsi="Garamond"/>
          <w:sz w:val="22"/>
          <w:szCs w:val="22"/>
        </w:rPr>
        <w:t>(</w:t>
      </w:r>
      <w:r w:rsidR="00757B83">
        <w:rPr>
          <w:rFonts w:ascii="Garamond" w:hAnsi="Garamond"/>
          <w:sz w:val="22"/>
          <w:szCs w:val="22"/>
        </w:rPr>
        <w:t>employee</w:t>
      </w:r>
      <w:r w:rsidR="00757B83" w:rsidRPr="00757B83">
        <w:rPr>
          <w:rFonts w:ascii="Garamond" w:hAnsi="Garamond"/>
          <w:sz w:val="22"/>
          <w:szCs w:val="22"/>
        </w:rPr>
        <w:t xml:space="preserve"> remuneration </w:t>
      </w:r>
      <w:r w:rsidR="00757B83">
        <w:rPr>
          <w:rFonts w:ascii="Garamond" w:hAnsi="Garamond"/>
          <w:sz w:val="22"/>
          <w:szCs w:val="22"/>
        </w:rPr>
        <w:t>and private transfers</w:t>
      </w:r>
      <w:r w:rsidR="00757B83" w:rsidRPr="00757B83">
        <w:rPr>
          <w:rFonts w:ascii="Garamond" w:hAnsi="Garamond"/>
          <w:sz w:val="22"/>
          <w:szCs w:val="22"/>
        </w:rPr>
        <w:t>)</w:t>
      </w:r>
      <w:r w:rsidR="00757B83">
        <w:rPr>
          <w:rFonts w:ascii="Garamond" w:hAnsi="Garamond"/>
          <w:sz w:val="22"/>
          <w:szCs w:val="22"/>
        </w:rPr>
        <w:t xml:space="preserve"> </w:t>
      </w:r>
      <w:r w:rsidR="00392A3D">
        <w:rPr>
          <w:rFonts w:ascii="Garamond" w:hAnsi="Garamond"/>
          <w:sz w:val="22"/>
          <w:szCs w:val="22"/>
        </w:rPr>
        <w:t xml:space="preserve">halted </w:t>
      </w:r>
      <w:r w:rsidR="00757B83" w:rsidRPr="00757B83">
        <w:rPr>
          <w:rFonts w:ascii="Garamond" w:hAnsi="Garamond"/>
          <w:sz w:val="22"/>
          <w:szCs w:val="22"/>
        </w:rPr>
        <w:t xml:space="preserve">in the third quarter of 2016. In 2016 the impact of remittances </w:t>
      </w:r>
      <w:r w:rsidR="00392A3D">
        <w:rPr>
          <w:rFonts w:ascii="Garamond" w:hAnsi="Garamond"/>
          <w:sz w:val="22"/>
          <w:szCs w:val="22"/>
        </w:rPr>
        <w:t>on consumption wa</w:t>
      </w:r>
      <w:r w:rsidR="00757B83" w:rsidRPr="00757B83">
        <w:rPr>
          <w:rFonts w:ascii="Garamond" w:hAnsi="Garamond"/>
          <w:sz w:val="22"/>
          <w:szCs w:val="22"/>
        </w:rPr>
        <w:t>s somewhat mitigated by growth in lending to the economy.</w:t>
      </w:r>
    </w:p>
    <w:p w14:paraId="51146125" w14:textId="77777777" w:rsidR="00D82287" w:rsidRPr="00A32AB2" w:rsidRDefault="00D82287" w:rsidP="0006101A">
      <w:pPr>
        <w:spacing w:line="360" w:lineRule="auto"/>
        <w:jc w:val="both"/>
        <w:rPr>
          <w:rFonts w:ascii="Garamond" w:hAnsi="Garamond"/>
          <w:sz w:val="22"/>
          <w:szCs w:val="22"/>
        </w:rPr>
      </w:pPr>
    </w:p>
    <w:p w14:paraId="15DF9C84" w14:textId="77777777" w:rsidR="00D82287" w:rsidRPr="00A32AB2" w:rsidRDefault="002C34C7" w:rsidP="0006101A">
      <w:pPr>
        <w:spacing w:line="360" w:lineRule="auto"/>
        <w:jc w:val="both"/>
        <w:rPr>
          <w:rFonts w:ascii="Garamond" w:hAnsi="Garamond"/>
          <w:bCs/>
          <w:iCs/>
          <w:sz w:val="22"/>
          <w:szCs w:val="22"/>
        </w:rPr>
      </w:pPr>
      <w:r w:rsidRPr="00A32AB2">
        <w:rPr>
          <w:rFonts w:ascii="Garamond" w:hAnsi="Garamond"/>
          <w:bCs/>
          <w:iCs/>
          <w:sz w:val="22"/>
          <w:szCs w:val="22"/>
        </w:rPr>
        <w:t xml:space="preserve">In the </w:t>
      </w:r>
      <w:r w:rsidR="00330491">
        <w:rPr>
          <w:rFonts w:ascii="Garamond" w:hAnsi="Garamond"/>
          <w:bCs/>
          <w:iCs/>
          <w:sz w:val="22"/>
          <w:szCs w:val="22"/>
        </w:rPr>
        <w:t>thir</w:t>
      </w:r>
      <w:r w:rsidR="00E6187B" w:rsidRPr="00A32AB2">
        <w:rPr>
          <w:rFonts w:ascii="Garamond" w:hAnsi="Garamond"/>
          <w:bCs/>
          <w:iCs/>
          <w:sz w:val="22"/>
          <w:szCs w:val="22"/>
        </w:rPr>
        <w:t>d</w:t>
      </w:r>
      <w:r w:rsidRPr="00A32AB2">
        <w:rPr>
          <w:rFonts w:ascii="Garamond" w:hAnsi="Garamond"/>
          <w:bCs/>
          <w:iCs/>
          <w:sz w:val="22"/>
          <w:szCs w:val="22"/>
        </w:rPr>
        <w:t xml:space="preserve"> quarter of 2016 the investment climate in the economy was weak</w:t>
      </w:r>
      <w:r w:rsidR="00330491">
        <w:rPr>
          <w:rFonts w:ascii="Garamond" w:hAnsi="Garamond"/>
          <w:bCs/>
          <w:iCs/>
          <w:sz w:val="22"/>
          <w:szCs w:val="22"/>
        </w:rPr>
        <w:t xml:space="preserve">er than predicted, </w:t>
      </w:r>
      <w:r w:rsidRPr="00A32AB2">
        <w:rPr>
          <w:rFonts w:ascii="Garamond" w:eastAsia="Calibri" w:hAnsi="Garamond"/>
          <w:sz w:val="22"/>
          <w:szCs w:val="22"/>
        </w:rPr>
        <w:t xml:space="preserve">with private investment having </w:t>
      </w:r>
      <w:r w:rsidR="00330491">
        <w:rPr>
          <w:rFonts w:ascii="Garamond" w:eastAsia="Calibri" w:hAnsi="Garamond"/>
          <w:sz w:val="22"/>
          <w:szCs w:val="22"/>
        </w:rPr>
        <w:t>reduced by about 1</w:t>
      </w:r>
      <w:r w:rsidRPr="00A32AB2">
        <w:rPr>
          <w:rFonts w:ascii="Garamond" w:eastAsia="Calibri" w:hAnsi="Garamond"/>
          <w:sz w:val="22"/>
          <w:szCs w:val="22"/>
        </w:rPr>
        <w:t xml:space="preserve">% in relation to the same </w:t>
      </w:r>
      <w:r w:rsidR="00330491">
        <w:rPr>
          <w:rFonts w:ascii="Garamond" w:eastAsia="Calibri" w:hAnsi="Garamond"/>
          <w:sz w:val="22"/>
          <w:szCs w:val="22"/>
        </w:rPr>
        <w:t xml:space="preserve">reference </w:t>
      </w:r>
      <w:r w:rsidRPr="00A32AB2">
        <w:rPr>
          <w:rFonts w:ascii="Garamond" w:eastAsia="Calibri" w:hAnsi="Garamond"/>
          <w:sz w:val="22"/>
          <w:szCs w:val="22"/>
        </w:rPr>
        <w:t xml:space="preserve">period </w:t>
      </w:r>
      <w:r w:rsidR="00330491">
        <w:rPr>
          <w:rFonts w:ascii="Garamond" w:eastAsia="Calibri" w:hAnsi="Garamond"/>
          <w:sz w:val="22"/>
          <w:szCs w:val="22"/>
        </w:rPr>
        <w:t>last year</w:t>
      </w:r>
      <w:r w:rsidRPr="00A32AB2">
        <w:rPr>
          <w:rFonts w:ascii="Garamond" w:eastAsia="Calibri" w:hAnsi="Garamond"/>
          <w:sz w:val="22"/>
          <w:szCs w:val="22"/>
        </w:rPr>
        <w:t>.</w:t>
      </w:r>
      <w:r w:rsidR="008B0DAA" w:rsidRPr="00A32AB2">
        <w:rPr>
          <w:rFonts w:ascii="Garamond" w:eastAsia="Calibri" w:hAnsi="Garamond"/>
          <w:sz w:val="22"/>
          <w:szCs w:val="22"/>
        </w:rPr>
        <w:t xml:space="preserve"> </w:t>
      </w:r>
      <w:r w:rsidR="00FE6E82" w:rsidRPr="00A32AB2">
        <w:rPr>
          <w:rFonts w:ascii="Garamond" w:eastAsia="Calibri" w:hAnsi="Garamond"/>
          <w:sz w:val="22"/>
          <w:szCs w:val="22"/>
        </w:rPr>
        <w:t xml:space="preserve">Sluggish </w:t>
      </w:r>
      <w:r w:rsidRPr="00A32AB2">
        <w:rPr>
          <w:rFonts w:ascii="Garamond" w:eastAsia="Calibri" w:hAnsi="Garamond"/>
          <w:sz w:val="22"/>
          <w:szCs w:val="22"/>
        </w:rPr>
        <w:t xml:space="preserve">investment </w:t>
      </w:r>
      <w:r w:rsidR="00FE6E82" w:rsidRPr="00A32AB2">
        <w:rPr>
          <w:rFonts w:ascii="Garamond" w:eastAsia="Calibri" w:hAnsi="Garamond"/>
          <w:sz w:val="22"/>
          <w:szCs w:val="22"/>
        </w:rPr>
        <w:t xml:space="preserve">climate in the </w:t>
      </w:r>
      <w:r w:rsidR="00330491">
        <w:rPr>
          <w:rFonts w:ascii="Garamond" w:eastAsia="Calibri" w:hAnsi="Garamond"/>
          <w:sz w:val="22"/>
          <w:szCs w:val="22"/>
        </w:rPr>
        <w:t xml:space="preserve">period under review </w:t>
      </w:r>
      <w:r w:rsidR="008B0DAA" w:rsidRPr="00A32AB2">
        <w:rPr>
          <w:rFonts w:ascii="Garamond" w:eastAsia="Calibri" w:hAnsi="Garamond"/>
          <w:sz w:val="22"/>
          <w:szCs w:val="22"/>
        </w:rPr>
        <w:t>was</w:t>
      </w:r>
      <w:r w:rsidR="00FB246E" w:rsidRPr="00A32AB2">
        <w:rPr>
          <w:rFonts w:ascii="Garamond" w:eastAsia="Calibri" w:hAnsi="Garamond"/>
          <w:sz w:val="22"/>
          <w:szCs w:val="22"/>
          <w:lang w:val="hy-AM"/>
        </w:rPr>
        <w:t xml:space="preserve"> </w:t>
      </w:r>
      <w:r w:rsidRPr="00A32AB2">
        <w:rPr>
          <w:rFonts w:ascii="Garamond" w:hAnsi="Garamond"/>
          <w:bCs/>
          <w:iCs/>
          <w:sz w:val="22"/>
          <w:szCs w:val="22"/>
        </w:rPr>
        <w:t>d</w:t>
      </w:r>
      <w:r w:rsidR="00330491">
        <w:rPr>
          <w:rFonts w:ascii="Garamond" w:hAnsi="Garamond"/>
          <w:bCs/>
          <w:iCs/>
          <w:sz w:val="22"/>
          <w:szCs w:val="22"/>
        </w:rPr>
        <w:t>ue to</w:t>
      </w:r>
      <w:r w:rsidRPr="00A32AB2">
        <w:rPr>
          <w:rFonts w:ascii="Garamond" w:eastAsia="Calibri" w:hAnsi="Garamond"/>
          <w:sz w:val="22"/>
          <w:szCs w:val="22"/>
        </w:rPr>
        <w:t xml:space="preserve"> </w:t>
      </w:r>
      <w:r w:rsidR="00FE6E82" w:rsidRPr="00A32AB2">
        <w:rPr>
          <w:rFonts w:ascii="Garamond" w:eastAsia="Calibri" w:hAnsi="Garamond"/>
          <w:sz w:val="22"/>
          <w:szCs w:val="22"/>
        </w:rPr>
        <w:t xml:space="preserve">an inadequate level of </w:t>
      </w:r>
      <w:r w:rsidRPr="00A32AB2">
        <w:rPr>
          <w:rFonts w:ascii="Garamond" w:eastAsia="Calibri" w:hAnsi="Garamond"/>
          <w:sz w:val="22"/>
          <w:szCs w:val="22"/>
        </w:rPr>
        <w:t>domestic demand</w:t>
      </w:r>
      <w:r w:rsidR="008B0DAA" w:rsidRPr="00A32AB2">
        <w:rPr>
          <w:rFonts w:ascii="Garamond" w:eastAsia="Calibri" w:hAnsi="Garamond"/>
          <w:sz w:val="22"/>
          <w:szCs w:val="22"/>
        </w:rPr>
        <w:t xml:space="preserve"> and </w:t>
      </w:r>
      <w:r w:rsidR="00FE6E82" w:rsidRPr="00A32AB2">
        <w:rPr>
          <w:rFonts w:ascii="Garamond" w:eastAsia="Calibri" w:hAnsi="Garamond"/>
          <w:sz w:val="22"/>
          <w:szCs w:val="22"/>
        </w:rPr>
        <w:t xml:space="preserve">persistently low </w:t>
      </w:r>
      <w:r w:rsidR="008B0DAA" w:rsidRPr="00A32AB2">
        <w:rPr>
          <w:rFonts w:ascii="Garamond" w:eastAsia="Calibri" w:hAnsi="Garamond"/>
          <w:sz w:val="22"/>
          <w:szCs w:val="22"/>
        </w:rPr>
        <w:t>construction</w:t>
      </w:r>
      <w:r w:rsidR="00FE6E82" w:rsidRPr="00A32AB2">
        <w:rPr>
          <w:rFonts w:ascii="Garamond" w:eastAsia="Calibri" w:hAnsi="Garamond"/>
          <w:sz w:val="22"/>
          <w:szCs w:val="22"/>
        </w:rPr>
        <w:t xml:space="preserve"> activity</w:t>
      </w:r>
      <w:r w:rsidR="008B0DAA" w:rsidRPr="00A32AB2">
        <w:rPr>
          <w:rFonts w:ascii="Garamond" w:eastAsia="Calibri" w:hAnsi="Garamond"/>
          <w:sz w:val="22"/>
          <w:szCs w:val="22"/>
        </w:rPr>
        <w:t xml:space="preserve">. </w:t>
      </w:r>
      <w:r w:rsidRPr="00A32AB2">
        <w:rPr>
          <w:rFonts w:ascii="Garamond" w:eastAsia="Calibri" w:hAnsi="Garamond"/>
          <w:sz w:val="22"/>
          <w:szCs w:val="22"/>
        </w:rPr>
        <w:t xml:space="preserve">As </w:t>
      </w:r>
      <w:r w:rsidR="008B0DAA" w:rsidRPr="00A32AB2">
        <w:rPr>
          <w:rFonts w:ascii="Garamond" w:eastAsia="Calibri" w:hAnsi="Garamond"/>
          <w:sz w:val="22"/>
          <w:szCs w:val="22"/>
        </w:rPr>
        <w:t xml:space="preserve">it was </w:t>
      </w:r>
      <w:r w:rsidRPr="00A32AB2">
        <w:rPr>
          <w:rFonts w:ascii="Garamond" w:eastAsia="Calibri" w:hAnsi="Garamond"/>
          <w:sz w:val="22"/>
          <w:szCs w:val="22"/>
        </w:rPr>
        <w:t xml:space="preserve">outlined in the CBA’s previous forecasts, </w:t>
      </w:r>
      <w:r w:rsidR="008B0DAA" w:rsidRPr="00A32AB2">
        <w:rPr>
          <w:rFonts w:ascii="Garamond" w:hAnsi="Garamond"/>
          <w:bCs/>
          <w:iCs/>
          <w:sz w:val="22"/>
          <w:szCs w:val="22"/>
        </w:rPr>
        <w:t>the decline in investment ha</w:t>
      </w:r>
      <w:r w:rsidR="000D08EA">
        <w:rPr>
          <w:rFonts w:ascii="Garamond" w:hAnsi="Garamond"/>
          <w:bCs/>
          <w:iCs/>
          <w:sz w:val="22"/>
          <w:szCs w:val="22"/>
        </w:rPr>
        <w:t>d</w:t>
      </w:r>
      <w:r w:rsidR="008B0DAA" w:rsidRPr="00A32AB2">
        <w:rPr>
          <w:rFonts w:ascii="Garamond" w:hAnsi="Garamond"/>
          <w:bCs/>
          <w:iCs/>
          <w:sz w:val="22"/>
          <w:szCs w:val="22"/>
        </w:rPr>
        <w:t xml:space="preserve"> been </w:t>
      </w:r>
      <w:r w:rsidRPr="00A32AB2">
        <w:rPr>
          <w:rFonts w:ascii="Garamond" w:hAnsi="Garamond"/>
          <w:bCs/>
          <w:iCs/>
          <w:sz w:val="22"/>
          <w:szCs w:val="22"/>
        </w:rPr>
        <w:t>more pronounced in non-tradable sector of the economy</w:t>
      </w:r>
      <w:r w:rsidR="000D08EA">
        <w:rPr>
          <w:rFonts w:ascii="Garamond" w:hAnsi="Garamond"/>
          <w:bCs/>
          <w:iCs/>
          <w:sz w:val="22"/>
          <w:szCs w:val="22"/>
        </w:rPr>
        <w:t xml:space="preserve"> as opposed to a</w:t>
      </w:r>
      <w:r w:rsidR="00125E97" w:rsidRPr="00A32AB2">
        <w:rPr>
          <w:rFonts w:ascii="Garamond" w:hAnsi="Garamond"/>
          <w:bCs/>
          <w:iCs/>
          <w:sz w:val="22"/>
          <w:szCs w:val="22"/>
        </w:rPr>
        <w:t xml:space="preserve"> </w:t>
      </w:r>
      <w:r w:rsidRPr="00A32AB2">
        <w:rPr>
          <w:rFonts w:ascii="Garamond" w:hAnsi="Garamond"/>
          <w:bCs/>
          <w:iCs/>
          <w:sz w:val="22"/>
          <w:szCs w:val="22"/>
        </w:rPr>
        <w:t xml:space="preserve">relatively </w:t>
      </w:r>
      <w:r w:rsidR="000D08EA">
        <w:rPr>
          <w:rFonts w:ascii="Garamond" w:hAnsi="Garamond"/>
          <w:bCs/>
          <w:iCs/>
          <w:sz w:val="22"/>
          <w:szCs w:val="22"/>
        </w:rPr>
        <w:t xml:space="preserve">high growth </w:t>
      </w:r>
      <w:r w:rsidRPr="00A32AB2">
        <w:rPr>
          <w:rFonts w:ascii="Garamond" w:hAnsi="Garamond"/>
          <w:bCs/>
          <w:iCs/>
          <w:sz w:val="22"/>
          <w:szCs w:val="22"/>
        </w:rPr>
        <w:t xml:space="preserve">in </w:t>
      </w:r>
      <w:r w:rsidR="00125E97" w:rsidRPr="00A32AB2">
        <w:rPr>
          <w:rFonts w:ascii="Garamond" w:hAnsi="Garamond"/>
          <w:bCs/>
          <w:iCs/>
          <w:sz w:val="22"/>
          <w:szCs w:val="22"/>
        </w:rPr>
        <w:t xml:space="preserve">the </w:t>
      </w:r>
      <w:r w:rsidRPr="00A32AB2">
        <w:rPr>
          <w:rFonts w:ascii="Garamond" w:hAnsi="Garamond"/>
          <w:bCs/>
          <w:iCs/>
          <w:sz w:val="22"/>
          <w:szCs w:val="22"/>
        </w:rPr>
        <w:t>tradable sector.</w:t>
      </w:r>
      <w:r w:rsidR="00330491">
        <w:rPr>
          <w:rFonts w:ascii="Garamond" w:hAnsi="Garamond"/>
          <w:bCs/>
          <w:iCs/>
          <w:sz w:val="22"/>
          <w:szCs w:val="22"/>
        </w:rPr>
        <w:t xml:space="preserve"> </w:t>
      </w:r>
    </w:p>
    <w:p w14:paraId="3E841FC9" w14:textId="77777777" w:rsidR="008B0DAA" w:rsidRPr="00A32AB2" w:rsidRDefault="008B0DAA" w:rsidP="0006101A">
      <w:pPr>
        <w:spacing w:line="360" w:lineRule="auto"/>
        <w:jc w:val="both"/>
        <w:rPr>
          <w:rFonts w:ascii="Garamond" w:hAnsi="Garamond"/>
          <w:bCs/>
          <w:iCs/>
          <w:sz w:val="22"/>
          <w:szCs w:val="22"/>
        </w:rPr>
      </w:pPr>
    </w:p>
    <w:p w14:paraId="6DC445D2" w14:textId="77777777" w:rsidR="008B0DAA" w:rsidRPr="00A32AB2" w:rsidRDefault="008B0DAA" w:rsidP="0006101A">
      <w:pPr>
        <w:spacing w:line="360" w:lineRule="auto"/>
        <w:jc w:val="both"/>
        <w:rPr>
          <w:rFonts w:ascii="Garamond" w:eastAsia="Calibri" w:hAnsi="Garamond"/>
          <w:sz w:val="22"/>
          <w:szCs w:val="22"/>
        </w:rPr>
      </w:pPr>
      <w:r w:rsidRPr="00A32AB2">
        <w:rPr>
          <w:rFonts w:ascii="Garamond" w:hAnsi="Garamond"/>
          <w:bCs/>
          <w:iCs/>
          <w:sz w:val="22"/>
          <w:szCs w:val="22"/>
        </w:rPr>
        <w:t xml:space="preserve">The CBA surveys on business environment </w:t>
      </w:r>
      <w:r w:rsidR="00290B98" w:rsidRPr="00A32AB2">
        <w:rPr>
          <w:rFonts w:ascii="Garamond" w:hAnsi="Garamond"/>
          <w:bCs/>
          <w:iCs/>
          <w:sz w:val="22"/>
          <w:szCs w:val="22"/>
        </w:rPr>
        <w:t xml:space="preserve">conducted </w:t>
      </w:r>
      <w:r w:rsidRPr="00A32AB2">
        <w:rPr>
          <w:rFonts w:ascii="Garamond" w:hAnsi="Garamond"/>
          <w:bCs/>
          <w:iCs/>
          <w:sz w:val="22"/>
          <w:szCs w:val="22"/>
        </w:rPr>
        <w:t xml:space="preserve">at companies point to the aforementioned developments in investment climate in the </w:t>
      </w:r>
      <w:r w:rsidR="0078191B">
        <w:rPr>
          <w:rFonts w:ascii="Garamond" w:hAnsi="Garamond"/>
          <w:bCs/>
          <w:iCs/>
          <w:sz w:val="22"/>
          <w:szCs w:val="22"/>
        </w:rPr>
        <w:t>period under review</w:t>
      </w:r>
      <w:r w:rsidR="00290B98" w:rsidRPr="00A32AB2">
        <w:rPr>
          <w:rFonts w:ascii="Garamond" w:hAnsi="Garamond"/>
          <w:bCs/>
          <w:iCs/>
          <w:sz w:val="22"/>
          <w:szCs w:val="22"/>
        </w:rPr>
        <w:t>.</w:t>
      </w:r>
      <w:r w:rsidRPr="00A32AB2">
        <w:rPr>
          <w:rFonts w:ascii="Garamond" w:hAnsi="Garamond"/>
          <w:bCs/>
          <w:iCs/>
          <w:sz w:val="22"/>
          <w:szCs w:val="22"/>
        </w:rPr>
        <w:t xml:space="preserve"> According to the survey results, </w:t>
      </w:r>
      <w:r w:rsidR="00583366" w:rsidRPr="00A32AB2">
        <w:rPr>
          <w:rFonts w:ascii="Garamond" w:hAnsi="Garamond"/>
          <w:bCs/>
          <w:iCs/>
          <w:sz w:val="22"/>
          <w:szCs w:val="22"/>
        </w:rPr>
        <w:t xml:space="preserve">in the </w:t>
      </w:r>
      <w:r w:rsidR="0078191B">
        <w:rPr>
          <w:rFonts w:ascii="Garamond" w:hAnsi="Garamond"/>
          <w:bCs/>
          <w:iCs/>
          <w:sz w:val="22"/>
          <w:szCs w:val="22"/>
        </w:rPr>
        <w:t xml:space="preserve">third </w:t>
      </w:r>
      <w:r w:rsidR="00583366" w:rsidRPr="00A32AB2">
        <w:rPr>
          <w:rFonts w:ascii="Garamond" w:hAnsi="Garamond"/>
          <w:bCs/>
          <w:iCs/>
          <w:sz w:val="22"/>
          <w:szCs w:val="22"/>
        </w:rPr>
        <w:t xml:space="preserve">quarter of 2016 </w:t>
      </w:r>
      <w:r w:rsidR="004027E1" w:rsidRPr="00A32AB2">
        <w:rPr>
          <w:rFonts w:ascii="Garamond" w:hAnsi="Garamond"/>
          <w:bCs/>
          <w:iCs/>
          <w:sz w:val="22"/>
          <w:szCs w:val="22"/>
        </w:rPr>
        <w:t xml:space="preserve">the </w:t>
      </w:r>
      <w:r w:rsidR="00290B98" w:rsidRPr="00A32AB2">
        <w:rPr>
          <w:rFonts w:ascii="Garamond" w:eastAsia="Calibri" w:hAnsi="Garamond"/>
          <w:sz w:val="22"/>
          <w:szCs w:val="22"/>
        </w:rPr>
        <w:t>B</w:t>
      </w:r>
      <w:r w:rsidRPr="00A32AB2">
        <w:rPr>
          <w:rFonts w:ascii="Garamond" w:eastAsia="Calibri" w:hAnsi="Garamond"/>
          <w:sz w:val="22"/>
          <w:szCs w:val="22"/>
        </w:rPr>
        <w:t xml:space="preserve">usiness </w:t>
      </w:r>
      <w:r w:rsidR="00290B98" w:rsidRPr="00A32AB2">
        <w:rPr>
          <w:rFonts w:ascii="Garamond" w:eastAsia="Calibri" w:hAnsi="Garamond"/>
          <w:sz w:val="22"/>
          <w:szCs w:val="22"/>
        </w:rPr>
        <w:t>A</w:t>
      </w:r>
      <w:r w:rsidRPr="00A32AB2">
        <w:rPr>
          <w:rFonts w:ascii="Garamond" w:eastAsia="Calibri" w:hAnsi="Garamond"/>
          <w:sz w:val="22"/>
          <w:szCs w:val="22"/>
        </w:rPr>
        <w:t xml:space="preserve">ctivity </w:t>
      </w:r>
      <w:r w:rsidR="00290B98" w:rsidRPr="00A32AB2">
        <w:rPr>
          <w:rFonts w:ascii="Garamond" w:eastAsia="Calibri" w:hAnsi="Garamond"/>
          <w:sz w:val="22"/>
          <w:szCs w:val="22"/>
        </w:rPr>
        <w:t>I</w:t>
      </w:r>
      <w:r w:rsidRPr="00A32AB2">
        <w:rPr>
          <w:rFonts w:ascii="Garamond" w:eastAsia="Calibri" w:hAnsi="Garamond"/>
          <w:sz w:val="22"/>
          <w:szCs w:val="22"/>
        </w:rPr>
        <w:t>ndicator w</w:t>
      </w:r>
      <w:r w:rsidR="004027E1" w:rsidRPr="00A32AB2">
        <w:rPr>
          <w:rFonts w:ascii="Garamond" w:eastAsia="Calibri" w:hAnsi="Garamond"/>
          <w:sz w:val="22"/>
          <w:szCs w:val="22"/>
        </w:rPr>
        <w:t>as</w:t>
      </w:r>
      <w:r w:rsidRPr="00A32AB2">
        <w:rPr>
          <w:rFonts w:ascii="Garamond" w:eastAsia="Calibri" w:hAnsi="Garamond"/>
          <w:sz w:val="22"/>
          <w:szCs w:val="22"/>
        </w:rPr>
        <w:t xml:space="preserve"> </w:t>
      </w:r>
      <w:r w:rsidR="0078191B">
        <w:rPr>
          <w:rFonts w:ascii="Garamond" w:eastAsia="Calibri" w:hAnsi="Garamond"/>
          <w:sz w:val="22"/>
          <w:szCs w:val="22"/>
        </w:rPr>
        <w:t>46</w:t>
      </w:r>
      <w:r w:rsidR="004027E1" w:rsidRPr="00A32AB2">
        <w:rPr>
          <w:rFonts w:ascii="Garamond" w:eastAsia="Calibri" w:hAnsi="Garamond"/>
          <w:sz w:val="22"/>
          <w:szCs w:val="22"/>
        </w:rPr>
        <w:t>.</w:t>
      </w:r>
      <w:r w:rsidR="0078191B">
        <w:rPr>
          <w:rFonts w:ascii="Garamond" w:eastAsia="Calibri" w:hAnsi="Garamond"/>
          <w:sz w:val="22"/>
          <w:szCs w:val="22"/>
        </w:rPr>
        <w:t>8</w:t>
      </w:r>
      <w:r w:rsidRPr="00A32AB2">
        <w:rPr>
          <w:rFonts w:ascii="Garamond" w:eastAsia="Calibri" w:hAnsi="Garamond"/>
          <w:sz w:val="22"/>
          <w:szCs w:val="22"/>
        </w:rPr>
        <w:t>, which is</w:t>
      </w:r>
      <w:r w:rsidR="00583366" w:rsidRPr="00A32AB2">
        <w:rPr>
          <w:rFonts w:ascii="Garamond" w:eastAsia="Calibri" w:hAnsi="Garamond"/>
          <w:sz w:val="22"/>
          <w:szCs w:val="22"/>
        </w:rPr>
        <w:t xml:space="preserve"> </w:t>
      </w:r>
      <w:r w:rsidR="0078191B">
        <w:rPr>
          <w:rFonts w:ascii="Garamond" w:eastAsia="Calibri" w:hAnsi="Garamond"/>
          <w:sz w:val="22"/>
          <w:szCs w:val="22"/>
        </w:rPr>
        <w:t>a 6.9% decrease compared to the same reference period last year</w:t>
      </w:r>
      <w:r w:rsidR="0009353E">
        <w:rPr>
          <w:rFonts w:ascii="Garamond" w:eastAsia="Calibri" w:hAnsi="Garamond"/>
          <w:sz w:val="22"/>
          <w:szCs w:val="22"/>
        </w:rPr>
        <w:t xml:space="preserve">; the BAI in non-tradable construction sector was 40.0, </w:t>
      </w:r>
      <w:r w:rsidR="0009353E" w:rsidRPr="00A32AB2">
        <w:rPr>
          <w:rFonts w:ascii="Garamond" w:eastAsia="Calibri" w:hAnsi="Garamond"/>
          <w:sz w:val="22"/>
          <w:szCs w:val="22"/>
        </w:rPr>
        <w:t xml:space="preserve">which is below its </w:t>
      </w:r>
      <w:r w:rsidR="0009353E" w:rsidRPr="00A32AB2">
        <w:rPr>
          <w:rFonts w:ascii="Garamond" w:hAnsi="Garamond"/>
          <w:sz w:val="22"/>
          <w:szCs w:val="22"/>
        </w:rPr>
        <w:t xml:space="preserve">stability value of 50. On the other hand, </w:t>
      </w:r>
      <w:r w:rsidR="0009353E" w:rsidRPr="00A32AB2">
        <w:rPr>
          <w:rFonts w:ascii="Garamond" w:eastAsia="Calibri" w:hAnsi="Garamond"/>
          <w:sz w:val="22"/>
          <w:szCs w:val="22"/>
        </w:rPr>
        <w:t>the BAIs in industry as a tradable sector amounted to 5</w:t>
      </w:r>
      <w:r w:rsidR="0009353E">
        <w:rPr>
          <w:rFonts w:ascii="Garamond" w:eastAsia="Calibri" w:hAnsi="Garamond"/>
          <w:sz w:val="22"/>
          <w:szCs w:val="22"/>
        </w:rPr>
        <w:t>0</w:t>
      </w:r>
      <w:r w:rsidR="0009353E" w:rsidRPr="00A32AB2">
        <w:rPr>
          <w:rFonts w:ascii="Garamond" w:eastAsia="Calibri" w:hAnsi="Garamond"/>
          <w:sz w:val="22"/>
          <w:szCs w:val="22"/>
        </w:rPr>
        <w:t>.</w:t>
      </w:r>
      <w:r w:rsidR="0009353E">
        <w:rPr>
          <w:rFonts w:ascii="Garamond" w:eastAsia="Calibri" w:hAnsi="Garamond"/>
          <w:sz w:val="22"/>
          <w:szCs w:val="22"/>
        </w:rPr>
        <w:t>8</w:t>
      </w:r>
      <w:r w:rsidR="0009353E" w:rsidRPr="00A32AB2">
        <w:rPr>
          <w:rFonts w:ascii="Garamond" w:eastAsia="Calibri" w:hAnsi="Garamond"/>
          <w:sz w:val="22"/>
          <w:szCs w:val="22"/>
        </w:rPr>
        <w:t xml:space="preserve">, running above the </w:t>
      </w:r>
      <w:r w:rsidR="0009353E" w:rsidRPr="00A32AB2">
        <w:rPr>
          <w:rFonts w:ascii="Garamond" w:hAnsi="Garamond"/>
          <w:sz w:val="22"/>
          <w:szCs w:val="22"/>
        </w:rPr>
        <w:t>stability value of 50</w:t>
      </w:r>
      <w:r w:rsidR="0009353E" w:rsidRPr="00A32AB2">
        <w:rPr>
          <w:rFonts w:ascii="Garamond" w:eastAsia="Calibri" w:hAnsi="Garamond"/>
          <w:sz w:val="22"/>
          <w:szCs w:val="22"/>
        </w:rPr>
        <w:t>.</w:t>
      </w:r>
    </w:p>
    <w:p w14:paraId="1DB78765" w14:textId="77777777" w:rsidR="00454FFC" w:rsidRPr="00A32AB2" w:rsidRDefault="00454FFC" w:rsidP="0006101A">
      <w:pPr>
        <w:spacing w:line="360" w:lineRule="auto"/>
        <w:jc w:val="both"/>
        <w:rPr>
          <w:rFonts w:ascii="Garamond" w:eastAsia="Calibri" w:hAnsi="Garamond"/>
          <w:sz w:val="22"/>
          <w:szCs w:val="22"/>
        </w:rPr>
      </w:pPr>
    </w:p>
    <w:p w14:paraId="24D1FC25" w14:textId="77777777" w:rsidR="00454FFC" w:rsidRPr="00A32AB2" w:rsidRDefault="0052080A" w:rsidP="0006101A">
      <w:pPr>
        <w:spacing w:line="360" w:lineRule="auto"/>
        <w:jc w:val="both"/>
        <w:rPr>
          <w:rFonts w:ascii="Garamond" w:eastAsia="Calibri" w:hAnsi="Garamond"/>
          <w:sz w:val="22"/>
          <w:szCs w:val="22"/>
        </w:rPr>
      </w:pPr>
      <w:r w:rsidRPr="0009353E">
        <w:rPr>
          <w:rFonts w:ascii="Garamond" w:eastAsia="Calibri" w:hAnsi="Garamond"/>
          <w:sz w:val="22"/>
          <w:szCs w:val="22"/>
        </w:rPr>
        <w:t xml:space="preserve">The aforementioned developments with </w:t>
      </w:r>
      <w:r w:rsidR="00454FFC" w:rsidRPr="0009353E">
        <w:rPr>
          <w:rFonts w:ascii="Garamond" w:hAnsi="Garamond"/>
          <w:bCs/>
          <w:iCs/>
          <w:sz w:val="22"/>
          <w:szCs w:val="22"/>
        </w:rPr>
        <w:t>private consumption and investment</w:t>
      </w:r>
      <w:r w:rsidRPr="0009353E">
        <w:rPr>
          <w:rFonts w:ascii="Garamond" w:hAnsi="Garamond"/>
          <w:bCs/>
          <w:iCs/>
          <w:sz w:val="22"/>
          <w:szCs w:val="22"/>
        </w:rPr>
        <w:t xml:space="preserve"> </w:t>
      </w:r>
      <w:r w:rsidR="007C71CE">
        <w:rPr>
          <w:rFonts w:ascii="Garamond" w:hAnsi="Garamond"/>
          <w:bCs/>
          <w:iCs/>
          <w:sz w:val="22"/>
          <w:szCs w:val="22"/>
        </w:rPr>
        <w:t xml:space="preserve">led to an estimated 1.6% growth in </w:t>
      </w:r>
      <w:r w:rsidR="00454FFC" w:rsidRPr="00A32AB2">
        <w:rPr>
          <w:rFonts w:ascii="Garamond" w:hAnsi="Garamond"/>
          <w:bCs/>
          <w:iCs/>
          <w:sz w:val="22"/>
          <w:szCs w:val="22"/>
        </w:rPr>
        <w:t>private</w:t>
      </w:r>
      <w:r w:rsidR="007C71CE">
        <w:rPr>
          <w:rFonts w:ascii="Garamond" w:hAnsi="Garamond"/>
          <w:bCs/>
          <w:iCs/>
          <w:sz w:val="22"/>
          <w:szCs w:val="22"/>
        </w:rPr>
        <w:t xml:space="preserve"> spending </w:t>
      </w:r>
      <w:r w:rsidRPr="00A32AB2">
        <w:rPr>
          <w:rFonts w:ascii="Garamond" w:hAnsi="Garamond"/>
          <w:bCs/>
          <w:iCs/>
          <w:sz w:val="22"/>
          <w:szCs w:val="22"/>
        </w:rPr>
        <w:t xml:space="preserve">in the </w:t>
      </w:r>
      <w:r w:rsidR="007C71CE">
        <w:rPr>
          <w:rFonts w:ascii="Garamond" w:hAnsi="Garamond"/>
          <w:bCs/>
          <w:iCs/>
          <w:sz w:val="22"/>
          <w:szCs w:val="22"/>
        </w:rPr>
        <w:t>thir</w:t>
      </w:r>
      <w:r w:rsidRPr="00A32AB2">
        <w:rPr>
          <w:rFonts w:ascii="Garamond" w:hAnsi="Garamond"/>
          <w:bCs/>
          <w:iCs/>
          <w:sz w:val="22"/>
          <w:szCs w:val="22"/>
        </w:rPr>
        <w:t>d quarter</w:t>
      </w:r>
      <w:r w:rsidR="00454FFC" w:rsidRPr="00A32AB2">
        <w:rPr>
          <w:rFonts w:ascii="Garamond" w:hAnsi="Garamond"/>
          <w:bCs/>
          <w:iCs/>
          <w:sz w:val="22"/>
          <w:szCs w:val="22"/>
        </w:rPr>
        <w:t xml:space="preserve">. </w:t>
      </w:r>
      <w:r w:rsidR="00454FFC" w:rsidRPr="00A32AB2">
        <w:rPr>
          <w:rFonts w:ascii="Garamond" w:eastAsia="Calibri" w:hAnsi="Garamond"/>
          <w:sz w:val="22"/>
          <w:szCs w:val="22"/>
        </w:rPr>
        <w:t xml:space="preserve">With </w:t>
      </w:r>
      <w:r w:rsidR="007C71CE">
        <w:rPr>
          <w:rFonts w:ascii="Garamond" w:eastAsia="Calibri" w:hAnsi="Garamond"/>
          <w:sz w:val="22"/>
          <w:szCs w:val="22"/>
        </w:rPr>
        <w:t xml:space="preserve">somewhat </w:t>
      </w:r>
      <w:r w:rsidR="003A2A39">
        <w:rPr>
          <w:rFonts w:ascii="Garamond" w:eastAsia="Calibri" w:hAnsi="Garamond"/>
          <w:sz w:val="22"/>
          <w:szCs w:val="22"/>
        </w:rPr>
        <w:t xml:space="preserve">a </w:t>
      </w:r>
      <w:r w:rsidR="007C71CE">
        <w:rPr>
          <w:rFonts w:ascii="Garamond" w:eastAsia="Calibri" w:hAnsi="Garamond"/>
          <w:sz w:val="22"/>
          <w:szCs w:val="22"/>
        </w:rPr>
        <w:t xml:space="preserve">subdued rate of </w:t>
      </w:r>
      <w:r w:rsidR="007703CF" w:rsidRPr="00A32AB2">
        <w:rPr>
          <w:rFonts w:ascii="Garamond" w:eastAsia="Calibri" w:hAnsi="Garamond"/>
          <w:sz w:val="22"/>
          <w:szCs w:val="22"/>
        </w:rPr>
        <w:t xml:space="preserve">public spending, the domestic demand grew </w:t>
      </w:r>
      <w:r w:rsidR="003A2A39">
        <w:rPr>
          <w:rFonts w:ascii="Garamond" w:eastAsia="Calibri" w:hAnsi="Garamond"/>
          <w:sz w:val="22"/>
          <w:szCs w:val="22"/>
        </w:rPr>
        <w:t>by around 1% i</w:t>
      </w:r>
      <w:r w:rsidR="007703CF" w:rsidRPr="00A32AB2">
        <w:rPr>
          <w:rFonts w:ascii="Garamond" w:eastAsia="Calibri" w:hAnsi="Garamond"/>
          <w:sz w:val="22"/>
          <w:szCs w:val="22"/>
        </w:rPr>
        <w:t xml:space="preserve">n the </w:t>
      </w:r>
      <w:r w:rsidR="003A2A39">
        <w:rPr>
          <w:rFonts w:ascii="Garamond" w:eastAsia="Calibri" w:hAnsi="Garamond"/>
          <w:sz w:val="22"/>
          <w:szCs w:val="22"/>
        </w:rPr>
        <w:t>p</w:t>
      </w:r>
      <w:r w:rsidR="007703CF" w:rsidRPr="00A32AB2">
        <w:rPr>
          <w:rFonts w:ascii="Garamond" w:eastAsia="Calibri" w:hAnsi="Garamond"/>
          <w:sz w:val="22"/>
          <w:szCs w:val="22"/>
        </w:rPr>
        <w:t>eriod</w:t>
      </w:r>
      <w:r w:rsidR="003A2A39">
        <w:rPr>
          <w:rFonts w:ascii="Garamond" w:eastAsia="Calibri" w:hAnsi="Garamond"/>
          <w:sz w:val="22"/>
          <w:szCs w:val="22"/>
        </w:rPr>
        <w:t xml:space="preserve"> under review</w:t>
      </w:r>
      <w:r w:rsidR="007703CF" w:rsidRPr="00A32AB2">
        <w:rPr>
          <w:rFonts w:ascii="Garamond" w:eastAsia="Calibri" w:hAnsi="Garamond"/>
          <w:sz w:val="22"/>
          <w:szCs w:val="22"/>
        </w:rPr>
        <w:t xml:space="preserve">. </w:t>
      </w:r>
      <w:r w:rsidR="003A2A39">
        <w:rPr>
          <w:rFonts w:ascii="Garamond" w:eastAsia="Calibri" w:hAnsi="Garamond"/>
          <w:sz w:val="22"/>
          <w:szCs w:val="22"/>
        </w:rPr>
        <w:t xml:space="preserve">The </w:t>
      </w:r>
      <w:r w:rsidR="003A2A39" w:rsidRPr="00A32AB2">
        <w:rPr>
          <w:rFonts w:ascii="Garamond" w:eastAsia="Calibri" w:hAnsi="Garamond"/>
          <w:sz w:val="22"/>
          <w:szCs w:val="22"/>
        </w:rPr>
        <w:t xml:space="preserve">monetary conditions </w:t>
      </w:r>
      <w:r w:rsidR="003A2A39">
        <w:rPr>
          <w:rFonts w:ascii="Garamond" w:eastAsia="Calibri" w:hAnsi="Garamond"/>
          <w:sz w:val="22"/>
          <w:szCs w:val="22"/>
        </w:rPr>
        <w:t xml:space="preserve">eased </w:t>
      </w:r>
      <w:r w:rsidR="003A2A39" w:rsidRPr="00A32AB2">
        <w:rPr>
          <w:rFonts w:ascii="Garamond" w:eastAsia="Calibri" w:hAnsi="Garamond"/>
          <w:sz w:val="22"/>
          <w:szCs w:val="22"/>
        </w:rPr>
        <w:t>by the CBA</w:t>
      </w:r>
      <w:r w:rsidR="00EB564C">
        <w:rPr>
          <w:rFonts w:ascii="Garamond" w:eastAsia="Calibri" w:hAnsi="Garamond"/>
          <w:sz w:val="22"/>
          <w:szCs w:val="22"/>
        </w:rPr>
        <w:t>,</w:t>
      </w:r>
      <w:r w:rsidR="003A2A39" w:rsidRPr="00A32AB2">
        <w:rPr>
          <w:rFonts w:ascii="Garamond" w:eastAsia="Calibri" w:hAnsi="Garamond"/>
          <w:sz w:val="22"/>
          <w:szCs w:val="22"/>
        </w:rPr>
        <w:t xml:space="preserve"> </w:t>
      </w:r>
      <w:r w:rsidR="003A2A39">
        <w:rPr>
          <w:rFonts w:ascii="Garamond" w:eastAsia="Calibri" w:hAnsi="Garamond"/>
          <w:sz w:val="22"/>
          <w:szCs w:val="22"/>
        </w:rPr>
        <w:t xml:space="preserve">the fiscal policy </w:t>
      </w:r>
      <w:r w:rsidR="00C21A3D">
        <w:rPr>
          <w:rFonts w:ascii="Garamond" w:eastAsia="Calibri" w:hAnsi="Garamond"/>
          <w:sz w:val="22"/>
          <w:szCs w:val="22"/>
        </w:rPr>
        <w:t>at the time expansionary in response to</w:t>
      </w:r>
      <w:r w:rsidR="003A2A39">
        <w:rPr>
          <w:rFonts w:ascii="Garamond" w:eastAsia="Calibri" w:hAnsi="Garamond"/>
          <w:sz w:val="22"/>
          <w:szCs w:val="22"/>
        </w:rPr>
        <w:t xml:space="preserve"> a large budget deficit</w:t>
      </w:r>
      <w:r w:rsidR="00EB564C">
        <w:rPr>
          <w:rFonts w:ascii="Garamond" w:eastAsia="Calibri" w:hAnsi="Garamond"/>
          <w:sz w:val="22"/>
          <w:szCs w:val="22"/>
        </w:rPr>
        <w:t xml:space="preserve"> as well as the </w:t>
      </w:r>
      <w:r w:rsidR="00EB564C" w:rsidRPr="00A32AB2">
        <w:rPr>
          <w:rFonts w:ascii="Garamond" w:eastAsia="Calibri" w:hAnsi="Garamond"/>
          <w:sz w:val="22"/>
          <w:szCs w:val="22"/>
        </w:rPr>
        <w:t>low inflationary environment in the economy have substantially contributed to the growth of domestic demand.</w:t>
      </w:r>
      <w:r w:rsidR="00EB564C">
        <w:rPr>
          <w:rFonts w:ascii="Garamond" w:eastAsia="Calibri" w:hAnsi="Garamond"/>
          <w:sz w:val="22"/>
          <w:szCs w:val="22"/>
        </w:rPr>
        <w:t xml:space="preserve"> </w:t>
      </w:r>
    </w:p>
    <w:p w14:paraId="26C2D1BD" w14:textId="77777777" w:rsidR="00850014" w:rsidRPr="00A32AB2" w:rsidRDefault="00850014" w:rsidP="0006101A">
      <w:pPr>
        <w:spacing w:line="360" w:lineRule="auto"/>
        <w:jc w:val="both"/>
        <w:rPr>
          <w:rFonts w:ascii="Garamond" w:eastAsia="Calibri" w:hAnsi="Garamond"/>
          <w:sz w:val="22"/>
          <w:szCs w:val="22"/>
        </w:rPr>
      </w:pPr>
    </w:p>
    <w:p w14:paraId="1AF4FF47" w14:textId="77777777" w:rsidR="00850014" w:rsidRPr="00A32AB2" w:rsidRDefault="00202A42" w:rsidP="0006101A">
      <w:pPr>
        <w:spacing w:line="360" w:lineRule="auto"/>
        <w:jc w:val="both"/>
        <w:rPr>
          <w:rFonts w:ascii="Garamond" w:hAnsi="Garamond"/>
          <w:sz w:val="22"/>
          <w:szCs w:val="22"/>
        </w:rPr>
      </w:pPr>
      <w:r w:rsidRPr="00A32AB2">
        <w:rPr>
          <w:rFonts w:ascii="Garamond" w:hAnsi="Garamond"/>
          <w:sz w:val="22"/>
          <w:szCs w:val="22"/>
        </w:rPr>
        <w:t>Despite a recorded growth</w:t>
      </w:r>
      <w:r w:rsidR="00850014" w:rsidRPr="00A32AB2">
        <w:rPr>
          <w:rFonts w:ascii="Garamond" w:hAnsi="Garamond"/>
          <w:sz w:val="22"/>
          <w:szCs w:val="22"/>
        </w:rPr>
        <w:t xml:space="preserve">, the private spending gap in the </w:t>
      </w:r>
      <w:r w:rsidR="00EB564C">
        <w:rPr>
          <w:rFonts w:ascii="Garamond" w:hAnsi="Garamond"/>
          <w:sz w:val="22"/>
          <w:szCs w:val="22"/>
        </w:rPr>
        <w:t>thir</w:t>
      </w:r>
      <w:r w:rsidRPr="00A32AB2">
        <w:rPr>
          <w:rFonts w:ascii="Garamond" w:hAnsi="Garamond"/>
          <w:sz w:val="22"/>
          <w:szCs w:val="22"/>
        </w:rPr>
        <w:t>d</w:t>
      </w:r>
      <w:r w:rsidR="00850014" w:rsidRPr="00A32AB2">
        <w:rPr>
          <w:rFonts w:ascii="Garamond" w:hAnsi="Garamond"/>
          <w:sz w:val="22"/>
          <w:szCs w:val="22"/>
        </w:rPr>
        <w:t xml:space="preserve"> quarter of 2016 is estimated </w:t>
      </w:r>
      <w:r w:rsidRPr="00A32AB2">
        <w:rPr>
          <w:rFonts w:ascii="Garamond" w:hAnsi="Garamond"/>
          <w:sz w:val="22"/>
          <w:szCs w:val="22"/>
        </w:rPr>
        <w:t xml:space="preserve">as </w:t>
      </w:r>
      <w:r w:rsidR="00850014" w:rsidRPr="00A32AB2">
        <w:rPr>
          <w:rFonts w:ascii="Garamond" w:hAnsi="Garamond"/>
          <w:sz w:val="22"/>
          <w:szCs w:val="22"/>
        </w:rPr>
        <w:t xml:space="preserve">negative, </w:t>
      </w:r>
      <w:r w:rsidRPr="00A32AB2">
        <w:rPr>
          <w:rFonts w:ascii="Garamond" w:hAnsi="Garamond"/>
          <w:sz w:val="22"/>
          <w:szCs w:val="22"/>
        </w:rPr>
        <w:t xml:space="preserve">which </w:t>
      </w:r>
      <w:r w:rsidR="00850014" w:rsidRPr="00A32AB2">
        <w:rPr>
          <w:rFonts w:ascii="Garamond" w:hAnsi="Garamond"/>
          <w:sz w:val="22"/>
          <w:szCs w:val="22"/>
        </w:rPr>
        <w:t>creat</w:t>
      </w:r>
      <w:r w:rsidRPr="00A32AB2">
        <w:rPr>
          <w:rFonts w:ascii="Garamond" w:hAnsi="Garamond"/>
          <w:sz w:val="22"/>
          <w:szCs w:val="22"/>
        </w:rPr>
        <w:t xml:space="preserve">ed </w:t>
      </w:r>
      <w:r w:rsidR="00EB564C">
        <w:rPr>
          <w:rFonts w:ascii="Garamond" w:hAnsi="Garamond"/>
          <w:b/>
          <w:sz w:val="22"/>
          <w:szCs w:val="22"/>
        </w:rPr>
        <w:t>2</w:t>
      </w:r>
      <w:r w:rsidR="00850014" w:rsidRPr="00A32AB2">
        <w:rPr>
          <w:rFonts w:ascii="Garamond" w:hAnsi="Garamond"/>
          <w:b/>
          <w:sz w:val="22"/>
          <w:szCs w:val="22"/>
        </w:rPr>
        <w:t>.</w:t>
      </w:r>
      <w:r w:rsidR="00EB564C">
        <w:rPr>
          <w:rFonts w:ascii="Garamond" w:hAnsi="Garamond"/>
          <w:b/>
          <w:sz w:val="22"/>
          <w:szCs w:val="22"/>
        </w:rPr>
        <w:t>2</w:t>
      </w:r>
      <w:r w:rsidR="00850014" w:rsidRPr="00A32AB2">
        <w:rPr>
          <w:rFonts w:ascii="Garamond" w:hAnsi="Garamond"/>
          <w:b/>
          <w:sz w:val="22"/>
          <w:szCs w:val="22"/>
        </w:rPr>
        <w:t>-</w:t>
      </w:r>
      <w:r w:rsidR="00EB564C">
        <w:rPr>
          <w:rFonts w:ascii="Garamond" w:hAnsi="Garamond"/>
          <w:b/>
          <w:sz w:val="22"/>
          <w:szCs w:val="22"/>
        </w:rPr>
        <w:t>2</w:t>
      </w:r>
      <w:r w:rsidR="00850014" w:rsidRPr="00A32AB2">
        <w:rPr>
          <w:rFonts w:ascii="Garamond" w:hAnsi="Garamond"/>
          <w:b/>
          <w:sz w:val="22"/>
          <w:szCs w:val="22"/>
        </w:rPr>
        <w:t>.</w:t>
      </w:r>
      <w:r w:rsidR="00EB564C">
        <w:rPr>
          <w:rFonts w:ascii="Garamond" w:hAnsi="Garamond"/>
          <w:b/>
          <w:sz w:val="22"/>
          <w:szCs w:val="22"/>
        </w:rPr>
        <w:t>6</w:t>
      </w:r>
      <w:r w:rsidR="00850014" w:rsidRPr="00A32AB2">
        <w:rPr>
          <w:rFonts w:ascii="Garamond" w:hAnsi="Garamond"/>
          <w:b/>
          <w:sz w:val="22"/>
          <w:szCs w:val="22"/>
        </w:rPr>
        <w:t xml:space="preserve"> pp of deflationary pressures </w:t>
      </w:r>
      <w:r w:rsidR="00850014" w:rsidRPr="00A32AB2">
        <w:rPr>
          <w:rFonts w:ascii="Garamond" w:hAnsi="Garamond"/>
          <w:sz w:val="22"/>
          <w:szCs w:val="22"/>
        </w:rPr>
        <w:t>in the consumer market.</w:t>
      </w:r>
    </w:p>
    <w:p w14:paraId="43F20270" w14:textId="77777777" w:rsidR="00C273D4" w:rsidRPr="00A32AB2" w:rsidRDefault="00C273D4" w:rsidP="0006101A">
      <w:pPr>
        <w:spacing w:line="360" w:lineRule="auto"/>
        <w:jc w:val="both"/>
        <w:rPr>
          <w:rFonts w:ascii="Garamond" w:hAnsi="Garamond"/>
          <w:sz w:val="22"/>
          <w:szCs w:val="22"/>
        </w:rPr>
      </w:pPr>
    </w:p>
    <w:p w14:paraId="36544CA5" w14:textId="77777777" w:rsidR="00C273D4" w:rsidRPr="00A32AB2" w:rsidRDefault="00C273D4" w:rsidP="0006101A">
      <w:pPr>
        <w:spacing w:line="360" w:lineRule="auto"/>
        <w:jc w:val="both"/>
        <w:rPr>
          <w:rFonts w:ascii="Garamond" w:hAnsi="Garamond"/>
          <w:sz w:val="22"/>
          <w:szCs w:val="22"/>
        </w:rPr>
      </w:pPr>
      <w:r w:rsidRPr="00A32AB2">
        <w:rPr>
          <w:rFonts w:ascii="Garamond" w:hAnsi="Garamond"/>
          <w:sz w:val="22"/>
          <w:szCs w:val="22"/>
        </w:rPr>
        <w:lastRenderedPageBreak/>
        <w:t xml:space="preserve">According to the CBA estimates, real net export </w:t>
      </w:r>
      <w:r w:rsidR="003D2E75" w:rsidRPr="00A32AB2">
        <w:rPr>
          <w:rFonts w:ascii="Garamond" w:hAnsi="Garamond"/>
          <w:sz w:val="22"/>
          <w:szCs w:val="22"/>
        </w:rPr>
        <w:t xml:space="preserve">continued improving at higher rates </w:t>
      </w:r>
      <w:r w:rsidRPr="00A32AB2">
        <w:rPr>
          <w:rFonts w:ascii="Garamond" w:hAnsi="Garamond"/>
          <w:sz w:val="22"/>
          <w:szCs w:val="22"/>
        </w:rPr>
        <w:t xml:space="preserve">in the </w:t>
      </w:r>
      <w:r w:rsidR="00EB564C">
        <w:rPr>
          <w:rFonts w:ascii="Garamond" w:hAnsi="Garamond"/>
          <w:sz w:val="22"/>
          <w:szCs w:val="22"/>
        </w:rPr>
        <w:t>third</w:t>
      </w:r>
      <w:r w:rsidRPr="00A32AB2">
        <w:rPr>
          <w:rFonts w:ascii="Garamond" w:hAnsi="Garamond"/>
          <w:sz w:val="22"/>
          <w:szCs w:val="22"/>
        </w:rPr>
        <w:t xml:space="preserve"> quarter, which was d</w:t>
      </w:r>
      <w:r w:rsidR="00531341" w:rsidRPr="00A32AB2">
        <w:rPr>
          <w:rFonts w:ascii="Garamond" w:hAnsi="Garamond"/>
          <w:sz w:val="22"/>
          <w:szCs w:val="22"/>
        </w:rPr>
        <w:t xml:space="preserve">etermined by </w:t>
      </w:r>
      <w:r w:rsidR="003D2E75" w:rsidRPr="00A32AB2">
        <w:rPr>
          <w:rFonts w:ascii="Garamond" w:hAnsi="Garamond"/>
          <w:sz w:val="22"/>
          <w:szCs w:val="22"/>
        </w:rPr>
        <w:t>strong</w:t>
      </w:r>
      <w:r w:rsidRPr="00A32AB2">
        <w:rPr>
          <w:rFonts w:ascii="Garamond" w:hAnsi="Garamond"/>
          <w:sz w:val="22"/>
          <w:szCs w:val="22"/>
        </w:rPr>
        <w:t xml:space="preserve"> growth of </w:t>
      </w:r>
      <w:r w:rsidR="00531341" w:rsidRPr="00A32AB2">
        <w:rPr>
          <w:rFonts w:ascii="Garamond" w:hAnsi="Garamond"/>
          <w:sz w:val="22"/>
          <w:szCs w:val="22"/>
        </w:rPr>
        <w:t xml:space="preserve">real </w:t>
      </w:r>
      <w:r w:rsidRPr="00A32AB2">
        <w:rPr>
          <w:rFonts w:ascii="Garamond" w:hAnsi="Garamond"/>
          <w:sz w:val="22"/>
          <w:szCs w:val="22"/>
        </w:rPr>
        <w:t>export of goods and services</w:t>
      </w:r>
      <w:r w:rsidR="00531341" w:rsidRPr="00A32AB2">
        <w:rPr>
          <w:rFonts w:ascii="Garamond" w:hAnsi="Garamond"/>
          <w:sz w:val="22"/>
          <w:szCs w:val="22"/>
        </w:rPr>
        <w:t xml:space="preserve"> </w:t>
      </w:r>
      <w:r w:rsidR="003A0502">
        <w:rPr>
          <w:rFonts w:ascii="Garamond" w:hAnsi="Garamond"/>
          <w:sz w:val="22"/>
          <w:szCs w:val="22"/>
        </w:rPr>
        <w:t xml:space="preserve">amid a modest </w:t>
      </w:r>
      <w:r w:rsidR="003D2E75" w:rsidRPr="00A32AB2">
        <w:rPr>
          <w:rFonts w:ascii="Garamond" w:hAnsi="Garamond"/>
          <w:sz w:val="22"/>
          <w:szCs w:val="22"/>
        </w:rPr>
        <w:t xml:space="preserve">growth of </w:t>
      </w:r>
      <w:r w:rsidRPr="00A32AB2">
        <w:rPr>
          <w:rFonts w:ascii="Garamond" w:hAnsi="Garamond"/>
          <w:sz w:val="22"/>
          <w:szCs w:val="22"/>
        </w:rPr>
        <w:t xml:space="preserve">real </w:t>
      </w:r>
      <w:r w:rsidR="00531341" w:rsidRPr="00A32AB2">
        <w:rPr>
          <w:rFonts w:ascii="Garamond" w:hAnsi="Garamond"/>
          <w:sz w:val="22"/>
          <w:szCs w:val="22"/>
        </w:rPr>
        <w:t xml:space="preserve">import of </w:t>
      </w:r>
      <w:r w:rsidRPr="00A32AB2">
        <w:rPr>
          <w:rFonts w:ascii="Garamond" w:hAnsi="Garamond"/>
          <w:sz w:val="22"/>
          <w:szCs w:val="22"/>
        </w:rPr>
        <w:t xml:space="preserve">goods and services. </w:t>
      </w:r>
      <w:r w:rsidR="00FB1CCD" w:rsidRPr="00A32AB2">
        <w:rPr>
          <w:rFonts w:ascii="Garamond" w:hAnsi="Garamond"/>
          <w:sz w:val="22"/>
          <w:szCs w:val="22"/>
        </w:rPr>
        <w:t>I</w:t>
      </w:r>
      <w:r w:rsidRPr="00A32AB2">
        <w:rPr>
          <w:rFonts w:ascii="Garamond" w:hAnsi="Garamond"/>
          <w:sz w:val="22"/>
          <w:szCs w:val="22"/>
        </w:rPr>
        <w:t xml:space="preserve">n the </w:t>
      </w:r>
      <w:r w:rsidR="003A0502">
        <w:rPr>
          <w:rFonts w:ascii="Garamond" w:hAnsi="Garamond"/>
          <w:sz w:val="22"/>
          <w:szCs w:val="22"/>
        </w:rPr>
        <w:t>thir</w:t>
      </w:r>
      <w:r w:rsidR="0089667B" w:rsidRPr="00A32AB2">
        <w:rPr>
          <w:rFonts w:ascii="Garamond" w:hAnsi="Garamond"/>
          <w:sz w:val="22"/>
          <w:szCs w:val="22"/>
        </w:rPr>
        <w:t>d</w:t>
      </w:r>
      <w:r w:rsidRPr="00A32AB2">
        <w:rPr>
          <w:rFonts w:ascii="Garamond" w:hAnsi="Garamond"/>
          <w:sz w:val="22"/>
          <w:szCs w:val="22"/>
        </w:rPr>
        <w:t xml:space="preserve"> quarter</w:t>
      </w:r>
      <w:r w:rsidR="00FB1CCD" w:rsidRPr="00A32AB2">
        <w:rPr>
          <w:rFonts w:ascii="Garamond" w:hAnsi="Garamond"/>
          <w:sz w:val="22"/>
          <w:szCs w:val="22"/>
        </w:rPr>
        <w:t xml:space="preserve"> of 2016</w:t>
      </w:r>
      <w:r w:rsidR="0089667B" w:rsidRPr="00A32AB2">
        <w:rPr>
          <w:rFonts w:ascii="Garamond" w:hAnsi="Garamond"/>
          <w:sz w:val="22"/>
          <w:szCs w:val="22"/>
        </w:rPr>
        <w:t xml:space="preserve"> </w:t>
      </w:r>
      <w:r w:rsidR="00FB1CCD" w:rsidRPr="00A32AB2">
        <w:rPr>
          <w:rFonts w:ascii="Garamond" w:hAnsi="Garamond"/>
          <w:sz w:val="22"/>
          <w:szCs w:val="22"/>
        </w:rPr>
        <w:t xml:space="preserve">growth rates of </w:t>
      </w:r>
      <w:r w:rsidRPr="00A32AB2">
        <w:rPr>
          <w:rFonts w:ascii="Garamond" w:hAnsi="Garamond"/>
          <w:sz w:val="22"/>
          <w:szCs w:val="22"/>
        </w:rPr>
        <w:t xml:space="preserve">real export of goods and services </w:t>
      </w:r>
      <w:r w:rsidR="00FB1CCD" w:rsidRPr="00A32AB2">
        <w:rPr>
          <w:rFonts w:ascii="Garamond" w:hAnsi="Garamond"/>
          <w:sz w:val="22"/>
          <w:szCs w:val="22"/>
        </w:rPr>
        <w:t xml:space="preserve">amounted to </w:t>
      </w:r>
      <w:r w:rsidR="0089667B" w:rsidRPr="00A32AB2">
        <w:rPr>
          <w:rFonts w:ascii="Garamond" w:hAnsi="Garamond"/>
          <w:sz w:val="22"/>
          <w:szCs w:val="22"/>
        </w:rPr>
        <w:t>1</w:t>
      </w:r>
      <w:r w:rsidR="003A0502">
        <w:rPr>
          <w:rFonts w:ascii="Garamond" w:hAnsi="Garamond"/>
          <w:sz w:val="22"/>
          <w:szCs w:val="22"/>
        </w:rPr>
        <w:t>0</w:t>
      </w:r>
      <w:r w:rsidRPr="00A32AB2">
        <w:rPr>
          <w:rFonts w:ascii="Garamond" w:hAnsi="Garamond"/>
          <w:sz w:val="22"/>
          <w:szCs w:val="22"/>
        </w:rPr>
        <w:t>.</w:t>
      </w:r>
      <w:r w:rsidR="003A0502">
        <w:rPr>
          <w:rFonts w:ascii="Garamond" w:hAnsi="Garamond"/>
          <w:sz w:val="22"/>
          <w:szCs w:val="22"/>
        </w:rPr>
        <w:t>5</w:t>
      </w:r>
      <w:r w:rsidRPr="00A32AB2">
        <w:rPr>
          <w:rFonts w:ascii="Garamond" w:hAnsi="Garamond"/>
          <w:sz w:val="22"/>
          <w:szCs w:val="22"/>
        </w:rPr>
        <w:t>%</w:t>
      </w:r>
      <w:r w:rsidR="00340201" w:rsidRPr="00A32AB2">
        <w:rPr>
          <w:rFonts w:ascii="Garamond" w:hAnsi="Garamond"/>
          <w:sz w:val="22"/>
          <w:szCs w:val="22"/>
        </w:rPr>
        <w:t xml:space="preserve"> y/y </w:t>
      </w:r>
      <w:r w:rsidR="003A0502">
        <w:rPr>
          <w:rFonts w:ascii="Garamond" w:hAnsi="Garamond"/>
          <w:sz w:val="22"/>
          <w:szCs w:val="22"/>
        </w:rPr>
        <w:t>versus</w:t>
      </w:r>
      <w:r w:rsidR="0089667B" w:rsidRPr="00A32AB2">
        <w:rPr>
          <w:rFonts w:ascii="Garamond" w:hAnsi="Garamond"/>
          <w:sz w:val="22"/>
          <w:szCs w:val="22"/>
        </w:rPr>
        <w:t xml:space="preserve"> </w:t>
      </w:r>
      <w:r w:rsidR="003A0502">
        <w:rPr>
          <w:rFonts w:ascii="Garamond" w:hAnsi="Garamond"/>
          <w:sz w:val="22"/>
          <w:szCs w:val="22"/>
        </w:rPr>
        <w:t>3</w:t>
      </w:r>
      <w:r w:rsidR="00C270AF" w:rsidRPr="00A32AB2">
        <w:rPr>
          <w:rFonts w:ascii="Garamond" w:hAnsi="Garamond"/>
          <w:sz w:val="22"/>
          <w:szCs w:val="22"/>
        </w:rPr>
        <w:t>.</w:t>
      </w:r>
      <w:r w:rsidR="003A0502">
        <w:rPr>
          <w:rFonts w:ascii="Garamond" w:hAnsi="Garamond"/>
          <w:sz w:val="22"/>
          <w:szCs w:val="22"/>
        </w:rPr>
        <w:t>1</w:t>
      </w:r>
      <w:r w:rsidR="00C270AF" w:rsidRPr="00A32AB2">
        <w:rPr>
          <w:rFonts w:ascii="Garamond" w:hAnsi="Garamond"/>
          <w:sz w:val="22"/>
          <w:szCs w:val="22"/>
        </w:rPr>
        <w:t xml:space="preserve">% y/y </w:t>
      </w:r>
      <w:r w:rsidR="0089667B" w:rsidRPr="00A32AB2">
        <w:rPr>
          <w:rFonts w:ascii="Garamond" w:hAnsi="Garamond"/>
          <w:sz w:val="22"/>
          <w:szCs w:val="22"/>
        </w:rPr>
        <w:t xml:space="preserve">growth </w:t>
      </w:r>
      <w:r w:rsidR="00C270AF" w:rsidRPr="00A32AB2">
        <w:rPr>
          <w:rFonts w:ascii="Garamond" w:hAnsi="Garamond"/>
          <w:sz w:val="22"/>
          <w:szCs w:val="22"/>
        </w:rPr>
        <w:t xml:space="preserve">in </w:t>
      </w:r>
      <w:r w:rsidRPr="00A32AB2">
        <w:rPr>
          <w:rFonts w:ascii="Garamond" w:hAnsi="Garamond"/>
          <w:sz w:val="22"/>
          <w:szCs w:val="22"/>
        </w:rPr>
        <w:t>real import of goods and services</w:t>
      </w:r>
      <w:r w:rsidR="003A0502">
        <w:rPr>
          <w:rStyle w:val="FootnoteReference"/>
          <w:rFonts w:ascii="Garamond" w:hAnsi="Garamond"/>
          <w:sz w:val="22"/>
          <w:szCs w:val="22"/>
        </w:rPr>
        <w:footnoteReference w:customMarkFollows="1" w:id="16"/>
        <w:t>17</w:t>
      </w:r>
      <w:r w:rsidRPr="00A32AB2">
        <w:rPr>
          <w:rFonts w:ascii="Garamond" w:hAnsi="Garamond"/>
          <w:sz w:val="22"/>
          <w:szCs w:val="22"/>
        </w:rPr>
        <w:t xml:space="preserve">. </w:t>
      </w:r>
    </w:p>
    <w:p w14:paraId="5B0D1421" w14:textId="77777777" w:rsidR="00C270AF" w:rsidRPr="00A32AB2" w:rsidRDefault="00C270AF" w:rsidP="0006101A">
      <w:pPr>
        <w:spacing w:line="360" w:lineRule="auto"/>
        <w:jc w:val="both"/>
        <w:rPr>
          <w:rFonts w:ascii="Garamond" w:hAnsi="Garamond"/>
          <w:sz w:val="22"/>
          <w:szCs w:val="22"/>
        </w:rPr>
      </w:pPr>
    </w:p>
    <w:p w14:paraId="1FCA2D0D" w14:textId="77777777" w:rsidR="00C270AF" w:rsidRPr="00A32AB2" w:rsidRDefault="0089667B" w:rsidP="0006101A">
      <w:pPr>
        <w:spacing w:line="360" w:lineRule="auto"/>
        <w:jc w:val="both"/>
        <w:rPr>
          <w:rFonts w:ascii="Garamond" w:hAnsi="Garamond"/>
          <w:sz w:val="22"/>
          <w:szCs w:val="22"/>
        </w:rPr>
      </w:pPr>
      <w:r w:rsidRPr="00A32AB2">
        <w:rPr>
          <w:rFonts w:ascii="Garamond" w:hAnsi="Garamond"/>
          <w:sz w:val="22"/>
          <w:szCs w:val="22"/>
        </w:rPr>
        <w:t xml:space="preserve">The </w:t>
      </w:r>
      <w:r w:rsidR="003A0502">
        <w:rPr>
          <w:rFonts w:ascii="Garamond" w:hAnsi="Garamond"/>
          <w:sz w:val="22"/>
          <w:szCs w:val="22"/>
        </w:rPr>
        <w:t>third</w:t>
      </w:r>
      <w:r w:rsidRPr="00A32AB2">
        <w:rPr>
          <w:rFonts w:ascii="Garamond" w:hAnsi="Garamond"/>
          <w:sz w:val="22"/>
          <w:szCs w:val="22"/>
        </w:rPr>
        <w:t xml:space="preserve"> quarter of 2016 saw the inflow of </w:t>
      </w:r>
      <w:r w:rsidR="0005368A" w:rsidRPr="00A32AB2">
        <w:rPr>
          <w:rFonts w:ascii="Garamond" w:hAnsi="Garamond"/>
          <w:sz w:val="22"/>
          <w:szCs w:val="22"/>
        </w:rPr>
        <w:t>remittances</w:t>
      </w:r>
      <w:r w:rsidRPr="00A32AB2">
        <w:rPr>
          <w:rFonts w:ascii="Garamond" w:hAnsi="Garamond"/>
          <w:sz w:val="22"/>
          <w:szCs w:val="22"/>
        </w:rPr>
        <w:t xml:space="preserve"> </w:t>
      </w:r>
      <w:r w:rsidR="003A0502">
        <w:rPr>
          <w:rFonts w:ascii="Garamond" w:hAnsi="Garamond"/>
          <w:sz w:val="22"/>
          <w:szCs w:val="22"/>
        </w:rPr>
        <w:t xml:space="preserve">persisting almost at the </w:t>
      </w:r>
      <w:r w:rsidR="0006381A">
        <w:rPr>
          <w:rFonts w:ascii="Garamond" w:hAnsi="Garamond"/>
          <w:sz w:val="22"/>
          <w:szCs w:val="22"/>
        </w:rPr>
        <w:t>level reported for the same reference period of the previous year</w:t>
      </w:r>
      <w:r w:rsidRPr="00A32AB2">
        <w:rPr>
          <w:rFonts w:ascii="Garamond" w:hAnsi="Garamond"/>
          <w:sz w:val="22"/>
          <w:szCs w:val="22"/>
        </w:rPr>
        <w:t xml:space="preserve">, </w:t>
      </w:r>
      <w:r w:rsidR="0006381A">
        <w:rPr>
          <w:rFonts w:ascii="Garamond" w:hAnsi="Garamond"/>
          <w:sz w:val="22"/>
          <w:szCs w:val="22"/>
        </w:rPr>
        <w:t xml:space="preserve">as </w:t>
      </w:r>
      <w:r w:rsidR="0006381A" w:rsidRPr="0006381A">
        <w:rPr>
          <w:rFonts w:ascii="Garamond" w:hAnsi="Garamond"/>
          <w:sz w:val="22"/>
          <w:szCs w:val="22"/>
        </w:rPr>
        <w:t xml:space="preserve">the Russian economy </w:t>
      </w:r>
      <w:r w:rsidR="0006381A">
        <w:rPr>
          <w:rFonts w:ascii="Garamond" w:hAnsi="Garamond"/>
          <w:sz w:val="22"/>
          <w:szCs w:val="22"/>
        </w:rPr>
        <w:t xml:space="preserve">began recovering and the effect of depreciation of </w:t>
      </w:r>
      <w:r w:rsidR="0006381A" w:rsidRPr="0006381A">
        <w:rPr>
          <w:rFonts w:ascii="Garamond" w:hAnsi="Garamond"/>
          <w:sz w:val="22"/>
          <w:szCs w:val="22"/>
        </w:rPr>
        <w:t>the ruble</w:t>
      </w:r>
      <w:r w:rsidR="0006381A">
        <w:rPr>
          <w:rFonts w:ascii="Garamond" w:hAnsi="Garamond"/>
          <w:sz w:val="22"/>
          <w:szCs w:val="22"/>
        </w:rPr>
        <w:t xml:space="preserve"> exchange rate</w:t>
      </w:r>
      <w:r w:rsidR="0006381A" w:rsidRPr="0006381A">
        <w:rPr>
          <w:rFonts w:ascii="Garamond" w:hAnsi="Garamond"/>
          <w:sz w:val="22"/>
          <w:szCs w:val="22"/>
        </w:rPr>
        <w:t xml:space="preserve"> </w:t>
      </w:r>
      <w:r w:rsidR="0006381A">
        <w:rPr>
          <w:rFonts w:ascii="Garamond" w:hAnsi="Garamond"/>
          <w:sz w:val="22"/>
          <w:szCs w:val="22"/>
        </w:rPr>
        <w:t xml:space="preserve">vanishing. </w:t>
      </w:r>
    </w:p>
    <w:p w14:paraId="2A2F1741" w14:textId="77777777" w:rsidR="002847C1" w:rsidRPr="00A32AB2" w:rsidRDefault="002847C1" w:rsidP="0006101A">
      <w:pPr>
        <w:spacing w:line="360" w:lineRule="auto"/>
        <w:jc w:val="both"/>
        <w:rPr>
          <w:rFonts w:ascii="Garamond" w:hAnsi="Garamond"/>
          <w:sz w:val="22"/>
          <w:szCs w:val="22"/>
        </w:rPr>
      </w:pPr>
    </w:p>
    <w:p w14:paraId="6B9BCFAF" w14:textId="77777777" w:rsidR="002847C1" w:rsidRPr="00A32AB2" w:rsidRDefault="002847C1" w:rsidP="0006101A">
      <w:pPr>
        <w:spacing w:line="360" w:lineRule="auto"/>
        <w:jc w:val="both"/>
        <w:rPr>
          <w:rFonts w:ascii="Garamond" w:hAnsi="Garamond"/>
          <w:b/>
          <w:sz w:val="22"/>
          <w:szCs w:val="22"/>
        </w:rPr>
      </w:pPr>
      <w:r w:rsidRPr="00A32AB2">
        <w:rPr>
          <w:rFonts w:ascii="Garamond" w:hAnsi="Garamond"/>
          <w:b/>
          <w:sz w:val="22"/>
          <w:szCs w:val="22"/>
        </w:rPr>
        <w:t>3.2.3. Labor market</w:t>
      </w:r>
      <w:r w:rsidR="0006381A">
        <w:rPr>
          <w:rStyle w:val="FootnoteReference"/>
          <w:rFonts w:ascii="Garamond" w:hAnsi="Garamond"/>
          <w:b/>
          <w:sz w:val="22"/>
          <w:szCs w:val="22"/>
        </w:rPr>
        <w:footnoteReference w:customMarkFollows="1" w:id="17"/>
        <w:t>18</w:t>
      </w:r>
    </w:p>
    <w:p w14:paraId="537B59D2" w14:textId="77777777" w:rsidR="003B0C7D" w:rsidRPr="00A32AB2" w:rsidRDefault="003B0C7D" w:rsidP="0006101A">
      <w:pPr>
        <w:spacing w:line="360" w:lineRule="auto"/>
        <w:jc w:val="both"/>
        <w:rPr>
          <w:rStyle w:val="longtext"/>
          <w:rFonts w:ascii="Garamond" w:hAnsi="Garamond"/>
          <w:sz w:val="22"/>
          <w:szCs w:val="22"/>
          <w:shd w:val="clear" w:color="auto" w:fill="FFFFFF"/>
        </w:rPr>
      </w:pPr>
    </w:p>
    <w:p w14:paraId="3E31A0D6" w14:textId="77777777" w:rsidR="007C6A1A" w:rsidRPr="00A32AB2" w:rsidRDefault="007C6A1A" w:rsidP="0006101A">
      <w:pPr>
        <w:spacing w:line="360" w:lineRule="auto"/>
        <w:jc w:val="both"/>
        <w:rPr>
          <w:rFonts w:ascii="Garamond" w:eastAsia="Calibri" w:hAnsi="Garamond"/>
          <w:sz w:val="22"/>
          <w:szCs w:val="22"/>
        </w:rPr>
      </w:pPr>
      <w:r w:rsidRPr="00A32AB2">
        <w:rPr>
          <w:rStyle w:val="longtext"/>
          <w:rFonts w:ascii="Garamond" w:hAnsi="Garamond"/>
          <w:sz w:val="22"/>
          <w:szCs w:val="22"/>
          <w:shd w:val="clear" w:color="auto" w:fill="FFFFFF"/>
        </w:rPr>
        <w:t xml:space="preserve">In the </w:t>
      </w:r>
      <w:r w:rsidR="0006381A">
        <w:rPr>
          <w:rStyle w:val="longtext"/>
          <w:rFonts w:ascii="Garamond" w:hAnsi="Garamond"/>
          <w:sz w:val="22"/>
          <w:szCs w:val="22"/>
          <w:shd w:val="clear" w:color="auto" w:fill="FFFFFF"/>
        </w:rPr>
        <w:t>thir</w:t>
      </w:r>
      <w:r w:rsidR="00BF1B40" w:rsidRPr="00A32AB2">
        <w:rPr>
          <w:rStyle w:val="longtext"/>
          <w:rFonts w:ascii="Garamond" w:hAnsi="Garamond"/>
          <w:sz w:val="22"/>
          <w:szCs w:val="22"/>
          <w:shd w:val="clear" w:color="auto" w:fill="FFFFFF"/>
        </w:rPr>
        <w:t>d</w:t>
      </w:r>
      <w:r w:rsidRPr="00A32AB2">
        <w:rPr>
          <w:rStyle w:val="longtext"/>
          <w:rFonts w:ascii="Garamond" w:hAnsi="Garamond"/>
          <w:sz w:val="22"/>
          <w:szCs w:val="22"/>
          <w:shd w:val="clear" w:color="auto" w:fill="FFFFFF"/>
        </w:rPr>
        <w:t xml:space="preserve"> quarter of 2016 the </w:t>
      </w:r>
      <w:r w:rsidRPr="00A32AB2">
        <w:rPr>
          <w:rStyle w:val="longtext"/>
          <w:rFonts w:ascii="Garamond" w:hAnsi="Garamond"/>
          <w:b/>
          <w:sz w:val="22"/>
          <w:szCs w:val="22"/>
          <w:shd w:val="clear" w:color="auto" w:fill="FFFFFF"/>
        </w:rPr>
        <w:t xml:space="preserve">average nominal wage </w:t>
      </w:r>
      <w:r w:rsidRPr="00A32AB2">
        <w:rPr>
          <w:rFonts w:ascii="Garamond" w:hAnsi="Garamond"/>
          <w:b/>
          <w:bCs/>
          <w:iCs/>
          <w:sz w:val="22"/>
          <w:szCs w:val="22"/>
        </w:rPr>
        <w:t xml:space="preserve">growth rate </w:t>
      </w:r>
      <w:r w:rsidR="0006381A">
        <w:rPr>
          <w:rFonts w:ascii="Garamond" w:hAnsi="Garamond"/>
          <w:bCs/>
          <w:iCs/>
          <w:sz w:val="22"/>
          <w:szCs w:val="22"/>
        </w:rPr>
        <w:t>ran</w:t>
      </w:r>
      <w:r w:rsidRPr="00A32AB2">
        <w:rPr>
          <w:rFonts w:ascii="Garamond" w:hAnsi="Garamond"/>
          <w:bCs/>
          <w:iCs/>
          <w:sz w:val="22"/>
          <w:szCs w:val="22"/>
        </w:rPr>
        <w:t xml:space="preserve"> </w:t>
      </w:r>
      <w:r w:rsidR="00BF1B40" w:rsidRPr="00A32AB2">
        <w:rPr>
          <w:rFonts w:ascii="Garamond" w:hAnsi="Garamond"/>
          <w:bCs/>
          <w:iCs/>
          <w:sz w:val="22"/>
          <w:szCs w:val="22"/>
        </w:rPr>
        <w:t>below the previous</w:t>
      </w:r>
      <w:r w:rsidRPr="00A32AB2">
        <w:rPr>
          <w:rFonts w:ascii="Garamond" w:hAnsi="Garamond"/>
          <w:bCs/>
          <w:iCs/>
          <w:sz w:val="22"/>
          <w:szCs w:val="22"/>
        </w:rPr>
        <w:t xml:space="preserve"> forecast</w:t>
      </w:r>
      <w:r w:rsidR="008F2F5C" w:rsidRPr="00A32AB2">
        <w:rPr>
          <w:rFonts w:ascii="Garamond" w:hAnsi="Garamond"/>
          <w:bCs/>
          <w:iCs/>
          <w:sz w:val="22"/>
          <w:szCs w:val="22"/>
        </w:rPr>
        <w:t xml:space="preserve"> of the CBA</w:t>
      </w:r>
      <w:r w:rsidR="00BF1B40" w:rsidRPr="00A32AB2">
        <w:rPr>
          <w:rFonts w:ascii="Garamond" w:hAnsi="Garamond"/>
          <w:bCs/>
          <w:iCs/>
          <w:sz w:val="22"/>
          <w:szCs w:val="22"/>
        </w:rPr>
        <w:t xml:space="preserve">, and </w:t>
      </w:r>
      <w:r w:rsidRPr="00A32AB2">
        <w:rPr>
          <w:rFonts w:ascii="Garamond" w:hAnsi="Garamond"/>
          <w:bCs/>
          <w:iCs/>
          <w:sz w:val="22"/>
          <w:szCs w:val="22"/>
        </w:rPr>
        <w:t>is estimated</w:t>
      </w:r>
      <w:r w:rsidR="00FB246E" w:rsidRPr="00A32AB2">
        <w:rPr>
          <w:rFonts w:ascii="Garamond" w:hAnsi="Garamond"/>
          <w:bCs/>
          <w:iCs/>
          <w:sz w:val="22"/>
          <w:szCs w:val="22"/>
          <w:lang w:val="hy-AM"/>
        </w:rPr>
        <w:t xml:space="preserve"> </w:t>
      </w:r>
      <w:r w:rsidR="003F4B76" w:rsidRPr="00A32AB2">
        <w:rPr>
          <w:rFonts w:ascii="Garamond" w:hAnsi="Garamond"/>
          <w:bCs/>
          <w:iCs/>
          <w:sz w:val="22"/>
          <w:szCs w:val="22"/>
        </w:rPr>
        <w:t xml:space="preserve">at </w:t>
      </w:r>
      <w:r w:rsidR="0006381A">
        <w:rPr>
          <w:rFonts w:ascii="Garamond" w:hAnsi="Garamond"/>
          <w:bCs/>
          <w:iCs/>
          <w:sz w:val="22"/>
          <w:szCs w:val="22"/>
        </w:rPr>
        <w:t>0</w:t>
      </w:r>
      <w:r w:rsidRPr="00A32AB2">
        <w:rPr>
          <w:rFonts w:ascii="Garamond" w:hAnsi="Garamond"/>
          <w:bCs/>
          <w:iCs/>
          <w:sz w:val="22"/>
          <w:szCs w:val="22"/>
        </w:rPr>
        <w:t>.</w:t>
      </w:r>
      <w:r w:rsidR="0006381A">
        <w:rPr>
          <w:rFonts w:ascii="Garamond" w:hAnsi="Garamond"/>
          <w:bCs/>
          <w:iCs/>
          <w:sz w:val="22"/>
          <w:szCs w:val="22"/>
        </w:rPr>
        <w:t>9</w:t>
      </w:r>
      <w:r w:rsidRPr="00A32AB2">
        <w:rPr>
          <w:rFonts w:ascii="Garamond" w:hAnsi="Garamond"/>
          <w:bCs/>
          <w:iCs/>
          <w:sz w:val="22"/>
          <w:szCs w:val="22"/>
        </w:rPr>
        <w:t>%</w:t>
      </w:r>
      <w:r w:rsidR="008F2F5C" w:rsidRPr="00A32AB2">
        <w:rPr>
          <w:rFonts w:ascii="Garamond" w:hAnsi="Garamond"/>
          <w:bCs/>
          <w:iCs/>
          <w:sz w:val="22"/>
          <w:szCs w:val="22"/>
        </w:rPr>
        <w:t>.</w:t>
      </w:r>
      <w:r w:rsidR="00BF1B40" w:rsidRPr="00A32AB2">
        <w:rPr>
          <w:rFonts w:ascii="Garamond" w:hAnsi="Garamond"/>
          <w:bCs/>
          <w:iCs/>
          <w:sz w:val="22"/>
          <w:szCs w:val="22"/>
        </w:rPr>
        <w:t xml:space="preserve"> </w:t>
      </w:r>
      <w:r w:rsidR="005E1B6A" w:rsidRPr="00A32AB2">
        <w:rPr>
          <w:rFonts w:ascii="Garamond" w:eastAsia="Calibri" w:hAnsi="Garamond"/>
          <w:sz w:val="22"/>
          <w:szCs w:val="22"/>
        </w:rPr>
        <w:t xml:space="preserve">The deviation from the previous forecast is due </w:t>
      </w:r>
      <w:r w:rsidR="00F83784">
        <w:rPr>
          <w:rFonts w:ascii="Garamond" w:eastAsia="Calibri" w:hAnsi="Garamond"/>
          <w:sz w:val="22"/>
          <w:szCs w:val="22"/>
        </w:rPr>
        <w:t>de</w:t>
      </w:r>
      <w:r w:rsidR="005E1B6A" w:rsidRPr="00A32AB2">
        <w:rPr>
          <w:rFonts w:ascii="Garamond" w:eastAsia="Calibri" w:hAnsi="Garamond"/>
          <w:sz w:val="22"/>
          <w:szCs w:val="22"/>
        </w:rPr>
        <w:t>c</w:t>
      </w:r>
      <w:r w:rsidR="00F83784">
        <w:rPr>
          <w:rFonts w:ascii="Garamond" w:eastAsia="Calibri" w:hAnsi="Garamond"/>
          <w:sz w:val="22"/>
          <w:szCs w:val="22"/>
        </w:rPr>
        <w:t xml:space="preserve">lined </w:t>
      </w:r>
      <w:r w:rsidR="005E1B6A" w:rsidRPr="00A32AB2">
        <w:rPr>
          <w:rFonts w:ascii="Garamond" w:eastAsia="Calibri" w:hAnsi="Garamond"/>
          <w:sz w:val="22"/>
          <w:szCs w:val="22"/>
        </w:rPr>
        <w:t>average wage in the public sector</w:t>
      </w:r>
      <w:r w:rsidR="00F83784">
        <w:rPr>
          <w:rFonts w:ascii="Garamond" w:eastAsia="Calibri" w:hAnsi="Garamond"/>
          <w:sz w:val="22"/>
          <w:szCs w:val="22"/>
        </w:rPr>
        <w:t xml:space="preserve"> and slowed growth rate in the private sector wage.</w:t>
      </w:r>
    </w:p>
    <w:p w14:paraId="10F3F987" w14:textId="77777777" w:rsidR="003B0C7D" w:rsidRPr="00A32AB2" w:rsidRDefault="003B0C7D" w:rsidP="0006101A">
      <w:pPr>
        <w:spacing w:line="360" w:lineRule="auto"/>
        <w:jc w:val="both"/>
        <w:rPr>
          <w:rFonts w:ascii="Garamond" w:eastAsia="Calibri" w:hAnsi="Garamond"/>
          <w:sz w:val="22"/>
          <w:szCs w:val="22"/>
        </w:rPr>
      </w:pPr>
    </w:p>
    <w:p w14:paraId="7AB863F7" w14:textId="77777777" w:rsidR="00C15113" w:rsidRDefault="00F83784" w:rsidP="0006101A">
      <w:pPr>
        <w:spacing w:line="360" w:lineRule="auto"/>
        <w:jc w:val="both"/>
        <w:rPr>
          <w:rFonts w:ascii="Garamond" w:eastAsia="Calibri" w:hAnsi="Garamond"/>
          <w:sz w:val="22"/>
          <w:szCs w:val="22"/>
        </w:rPr>
      </w:pPr>
      <w:r w:rsidRPr="00A32AB2">
        <w:rPr>
          <w:rFonts w:ascii="Garamond" w:eastAsia="Calibri" w:hAnsi="Garamond"/>
          <w:sz w:val="22"/>
          <w:szCs w:val="22"/>
        </w:rPr>
        <w:t xml:space="preserve">In the </w:t>
      </w:r>
      <w:r>
        <w:rPr>
          <w:rFonts w:ascii="Garamond" w:eastAsia="Calibri" w:hAnsi="Garamond"/>
          <w:sz w:val="22"/>
          <w:szCs w:val="22"/>
        </w:rPr>
        <w:t xml:space="preserve">third quarter of 2016 the nominal wage growth in the </w:t>
      </w:r>
      <w:r w:rsidRPr="00A32AB2">
        <w:rPr>
          <w:rFonts w:ascii="Garamond" w:eastAsia="Calibri" w:hAnsi="Garamond"/>
          <w:sz w:val="22"/>
          <w:szCs w:val="22"/>
        </w:rPr>
        <w:t>p</w:t>
      </w:r>
      <w:r>
        <w:rPr>
          <w:rFonts w:ascii="Garamond" w:eastAsia="Calibri" w:hAnsi="Garamond"/>
          <w:sz w:val="22"/>
          <w:szCs w:val="22"/>
        </w:rPr>
        <w:t xml:space="preserve">rivate sector slowed down to 2%, reflecting a slackened economic activity. </w:t>
      </w:r>
      <w:r w:rsidRPr="00F83784">
        <w:rPr>
          <w:rFonts w:ascii="Garamond" w:eastAsia="Calibri" w:hAnsi="Garamond"/>
          <w:sz w:val="22"/>
          <w:szCs w:val="22"/>
        </w:rPr>
        <w:t xml:space="preserve">However, </w:t>
      </w:r>
      <w:r>
        <w:rPr>
          <w:rFonts w:ascii="Garamond" w:eastAsia="Calibri" w:hAnsi="Garamond"/>
          <w:sz w:val="22"/>
          <w:szCs w:val="22"/>
        </w:rPr>
        <w:t>given t</w:t>
      </w:r>
      <w:r w:rsidRPr="00F83784">
        <w:rPr>
          <w:rFonts w:ascii="Garamond" w:eastAsia="Calibri" w:hAnsi="Garamond"/>
          <w:sz w:val="22"/>
          <w:szCs w:val="22"/>
        </w:rPr>
        <w:t xml:space="preserve">he 1.7% </w:t>
      </w:r>
      <w:r w:rsidR="00C15113">
        <w:rPr>
          <w:rFonts w:ascii="Garamond" w:eastAsia="Calibri" w:hAnsi="Garamond"/>
          <w:sz w:val="22"/>
          <w:szCs w:val="22"/>
        </w:rPr>
        <w:t xml:space="preserve">price deflation </w:t>
      </w:r>
      <w:r w:rsidRPr="00F83784">
        <w:rPr>
          <w:rFonts w:ascii="Garamond" w:eastAsia="Calibri" w:hAnsi="Garamond"/>
          <w:sz w:val="22"/>
          <w:szCs w:val="22"/>
        </w:rPr>
        <w:t xml:space="preserve">recorded in the </w:t>
      </w:r>
      <w:r w:rsidR="00C15113">
        <w:rPr>
          <w:rFonts w:ascii="Garamond" w:eastAsia="Calibri" w:hAnsi="Garamond"/>
          <w:sz w:val="22"/>
          <w:szCs w:val="22"/>
        </w:rPr>
        <w:t xml:space="preserve">third quarter, </w:t>
      </w:r>
      <w:r w:rsidRPr="00F83784">
        <w:rPr>
          <w:rFonts w:ascii="Garamond" w:eastAsia="Calibri" w:hAnsi="Garamond"/>
          <w:sz w:val="22"/>
          <w:szCs w:val="22"/>
        </w:rPr>
        <w:t>the private sector</w:t>
      </w:r>
      <w:r w:rsidR="00C15113">
        <w:rPr>
          <w:rFonts w:ascii="Garamond" w:eastAsia="Calibri" w:hAnsi="Garamond"/>
          <w:sz w:val="22"/>
          <w:szCs w:val="22"/>
        </w:rPr>
        <w:t>’s</w:t>
      </w:r>
      <w:r w:rsidRPr="00F83784">
        <w:rPr>
          <w:rFonts w:ascii="Garamond" w:eastAsia="Calibri" w:hAnsi="Garamond"/>
          <w:sz w:val="22"/>
          <w:szCs w:val="22"/>
        </w:rPr>
        <w:t xml:space="preserve"> real wage growth rate amounted to 3.7%.</w:t>
      </w:r>
      <w:r w:rsidR="00C15113">
        <w:rPr>
          <w:rFonts w:ascii="Garamond" w:eastAsia="Calibri" w:hAnsi="Garamond"/>
          <w:sz w:val="22"/>
          <w:szCs w:val="22"/>
        </w:rPr>
        <w:t xml:space="preserve"> </w:t>
      </w:r>
    </w:p>
    <w:p w14:paraId="0EDFF637" w14:textId="77777777" w:rsidR="00C15113" w:rsidRDefault="00C15113" w:rsidP="0006101A">
      <w:pPr>
        <w:spacing w:line="360" w:lineRule="auto"/>
        <w:jc w:val="both"/>
        <w:rPr>
          <w:rFonts w:ascii="Garamond" w:eastAsia="Calibri" w:hAnsi="Garamond"/>
          <w:sz w:val="22"/>
          <w:szCs w:val="22"/>
        </w:rPr>
      </w:pPr>
    </w:p>
    <w:p w14:paraId="40F55CA5" w14:textId="77777777" w:rsidR="003B0C7D" w:rsidRPr="00F83784" w:rsidRDefault="00C15113" w:rsidP="0006101A">
      <w:pPr>
        <w:spacing w:line="360" w:lineRule="auto"/>
        <w:jc w:val="both"/>
        <w:rPr>
          <w:rFonts w:ascii="Garamond" w:eastAsia="Calibri" w:hAnsi="Garamond"/>
          <w:sz w:val="22"/>
          <w:szCs w:val="22"/>
        </w:rPr>
      </w:pPr>
      <w:r>
        <w:rPr>
          <w:rFonts w:ascii="Garamond" w:eastAsia="Calibri" w:hAnsi="Garamond"/>
          <w:sz w:val="22"/>
          <w:szCs w:val="22"/>
        </w:rPr>
        <w:t>S</w:t>
      </w:r>
      <w:r w:rsidR="008B5B1D" w:rsidRPr="00A32AB2">
        <w:rPr>
          <w:rFonts w:ascii="Garamond" w:eastAsia="Calibri" w:hAnsi="Garamond"/>
          <w:sz w:val="22"/>
          <w:szCs w:val="22"/>
        </w:rPr>
        <w:t>tarting from October</w:t>
      </w:r>
      <w:r>
        <w:rPr>
          <w:rFonts w:ascii="Garamond" w:eastAsia="Calibri" w:hAnsi="Garamond"/>
          <w:sz w:val="22"/>
          <w:szCs w:val="22"/>
        </w:rPr>
        <w:t xml:space="preserve"> 2015</w:t>
      </w:r>
      <w:r w:rsidR="008B5B1D" w:rsidRPr="00A32AB2">
        <w:rPr>
          <w:rFonts w:ascii="Garamond" w:eastAsia="Calibri" w:hAnsi="Garamond"/>
          <w:sz w:val="22"/>
          <w:szCs w:val="22"/>
        </w:rPr>
        <w:t xml:space="preserve">, </w:t>
      </w:r>
      <w:r w:rsidR="003B0C7D" w:rsidRPr="00A32AB2">
        <w:rPr>
          <w:rFonts w:ascii="Garamond" w:hAnsi="Garamond"/>
          <w:sz w:val="22"/>
          <w:szCs w:val="22"/>
        </w:rPr>
        <w:t xml:space="preserve">the wage growth in </w:t>
      </w:r>
      <w:r>
        <w:rPr>
          <w:rFonts w:ascii="Garamond" w:hAnsi="Garamond"/>
          <w:sz w:val="22"/>
          <w:szCs w:val="22"/>
        </w:rPr>
        <w:t xml:space="preserve">the </w:t>
      </w:r>
      <w:r w:rsidR="003B0C7D" w:rsidRPr="00A32AB2">
        <w:rPr>
          <w:rFonts w:ascii="Garamond" w:hAnsi="Garamond"/>
          <w:sz w:val="22"/>
          <w:szCs w:val="22"/>
        </w:rPr>
        <w:t>public sector slowed down</w:t>
      </w:r>
      <w:r>
        <w:rPr>
          <w:rFonts w:ascii="Garamond" w:hAnsi="Garamond"/>
          <w:sz w:val="22"/>
          <w:szCs w:val="22"/>
        </w:rPr>
        <w:t xml:space="preserve"> and the</w:t>
      </w:r>
      <w:r w:rsidR="00AA7020" w:rsidRPr="00A32AB2">
        <w:rPr>
          <w:rFonts w:ascii="Garamond" w:hAnsi="Garamond"/>
          <w:sz w:val="22"/>
          <w:szCs w:val="22"/>
        </w:rPr>
        <w:t xml:space="preserve"> trend </w:t>
      </w:r>
      <w:r>
        <w:rPr>
          <w:rFonts w:ascii="Garamond" w:hAnsi="Garamond"/>
          <w:sz w:val="22"/>
          <w:szCs w:val="22"/>
        </w:rPr>
        <w:t xml:space="preserve">persisted over </w:t>
      </w:r>
      <w:r w:rsidR="00AA7020" w:rsidRPr="00A32AB2">
        <w:rPr>
          <w:rFonts w:ascii="Garamond" w:hAnsi="Garamond"/>
          <w:sz w:val="22"/>
          <w:szCs w:val="22"/>
        </w:rPr>
        <w:t>2016</w:t>
      </w:r>
      <w:r>
        <w:rPr>
          <w:rFonts w:ascii="Garamond" w:hAnsi="Garamond"/>
          <w:sz w:val="22"/>
          <w:szCs w:val="22"/>
        </w:rPr>
        <w:t xml:space="preserve"> too</w:t>
      </w:r>
      <w:r w:rsidR="00AA7020" w:rsidRPr="00A32AB2">
        <w:rPr>
          <w:rFonts w:ascii="Garamond" w:hAnsi="Garamond"/>
          <w:sz w:val="22"/>
          <w:szCs w:val="22"/>
        </w:rPr>
        <w:t xml:space="preserve">. </w:t>
      </w:r>
      <w:r>
        <w:rPr>
          <w:rFonts w:ascii="Garamond" w:hAnsi="Garamond"/>
          <w:sz w:val="22"/>
          <w:szCs w:val="22"/>
        </w:rPr>
        <w:t>In</w:t>
      </w:r>
      <w:r w:rsidR="00AA7020" w:rsidRPr="00A32AB2">
        <w:rPr>
          <w:rFonts w:ascii="Garamond" w:hAnsi="Garamond"/>
          <w:sz w:val="22"/>
          <w:szCs w:val="22"/>
        </w:rPr>
        <w:t xml:space="preserve"> </w:t>
      </w:r>
      <w:r w:rsidR="00750F76">
        <w:rPr>
          <w:rFonts w:ascii="Garamond" w:hAnsi="Garamond"/>
          <w:sz w:val="22"/>
          <w:szCs w:val="22"/>
        </w:rPr>
        <w:t xml:space="preserve">the </w:t>
      </w:r>
      <w:r>
        <w:rPr>
          <w:rFonts w:ascii="Garamond" w:hAnsi="Garamond"/>
          <w:sz w:val="22"/>
          <w:szCs w:val="22"/>
        </w:rPr>
        <w:t>third</w:t>
      </w:r>
      <w:r w:rsidR="00AA7020" w:rsidRPr="00A32AB2">
        <w:rPr>
          <w:rFonts w:ascii="Garamond" w:hAnsi="Garamond"/>
          <w:sz w:val="22"/>
          <w:szCs w:val="22"/>
        </w:rPr>
        <w:t xml:space="preserve"> </w:t>
      </w:r>
      <w:r w:rsidR="008B5B1D" w:rsidRPr="00A32AB2">
        <w:rPr>
          <w:rFonts w:ascii="Garamond" w:hAnsi="Garamond"/>
          <w:sz w:val="22"/>
          <w:szCs w:val="22"/>
        </w:rPr>
        <w:t xml:space="preserve">quarter of 2016 the </w:t>
      </w:r>
      <w:r>
        <w:rPr>
          <w:rFonts w:ascii="Garamond" w:hAnsi="Garamond"/>
          <w:sz w:val="22"/>
          <w:szCs w:val="22"/>
        </w:rPr>
        <w:t xml:space="preserve">nominal public wage </w:t>
      </w:r>
      <w:r w:rsidR="008B5B1D" w:rsidRPr="00A32AB2">
        <w:rPr>
          <w:rFonts w:ascii="Garamond" w:hAnsi="Garamond"/>
          <w:sz w:val="22"/>
          <w:szCs w:val="22"/>
        </w:rPr>
        <w:t xml:space="preserve">growth </w:t>
      </w:r>
      <w:r>
        <w:rPr>
          <w:rFonts w:ascii="Garamond" w:hAnsi="Garamond"/>
          <w:sz w:val="22"/>
          <w:szCs w:val="22"/>
        </w:rPr>
        <w:t xml:space="preserve">rate </w:t>
      </w:r>
      <w:r w:rsidR="008B5B1D" w:rsidRPr="00A32AB2">
        <w:rPr>
          <w:rFonts w:ascii="Garamond" w:hAnsi="Garamond"/>
          <w:sz w:val="22"/>
          <w:szCs w:val="22"/>
        </w:rPr>
        <w:t xml:space="preserve">decelerated </w:t>
      </w:r>
      <w:r>
        <w:rPr>
          <w:rFonts w:ascii="Garamond" w:hAnsi="Garamond"/>
          <w:sz w:val="22"/>
          <w:szCs w:val="22"/>
        </w:rPr>
        <w:t xml:space="preserve">by 1% in relation to </w:t>
      </w:r>
      <w:r w:rsidR="008B5B1D" w:rsidRPr="00A32AB2">
        <w:rPr>
          <w:rFonts w:ascii="Garamond" w:hAnsi="Garamond"/>
          <w:sz w:val="22"/>
          <w:szCs w:val="22"/>
        </w:rPr>
        <w:t>the previous reference period.</w:t>
      </w:r>
    </w:p>
    <w:p w14:paraId="1FEFF66B" w14:textId="77777777" w:rsidR="00A9243C" w:rsidRPr="00A32AB2" w:rsidRDefault="00A9243C" w:rsidP="0006101A">
      <w:pPr>
        <w:spacing w:line="360" w:lineRule="auto"/>
        <w:jc w:val="both"/>
        <w:rPr>
          <w:rFonts w:ascii="Garamond" w:hAnsi="Garamond"/>
          <w:sz w:val="22"/>
          <w:szCs w:val="22"/>
        </w:rPr>
      </w:pPr>
    </w:p>
    <w:p w14:paraId="53CD1D7E" w14:textId="77777777" w:rsidR="002A6B43" w:rsidRPr="00A32AB2" w:rsidRDefault="00EF7984" w:rsidP="0006101A">
      <w:pPr>
        <w:spacing w:line="360" w:lineRule="auto"/>
        <w:jc w:val="both"/>
        <w:rPr>
          <w:rFonts w:ascii="Garamond" w:hAnsi="Garamond" w:cs="Sylfaen"/>
          <w:sz w:val="22"/>
          <w:szCs w:val="22"/>
        </w:rPr>
      </w:pPr>
      <w:r>
        <w:rPr>
          <w:rFonts w:ascii="Garamond" w:eastAsia="Calibri" w:hAnsi="Garamond"/>
          <w:sz w:val="22"/>
          <w:szCs w:val="22"/>
        </w:rPr>
        <w:t xml:space="preserve">After a downside revision of the number of </w:t>
      </w:r>
      <w:r w:rsidRPr="00EF7984">
        <w:rPr>
          <w:rFonts w:ascii="Garamond" w:eastAsia="Calibri" w:hAnsi="Garamond"/>
          <w:sz w:val="22"/>
          <w:szCs w:val="22"/>
        </w:rPr>
        <w:t>economically active population</w:t>
      </w:r>
      <w:r>
        <w:rPr>
          <w:rFonts w:ascii="Garamond" w:eastAsia="Calibri" w:hAnsi="Garamond"/>
          <w:sz w:val="22"/>
          <w:szCs w:val="22"/>
        </w:rPr>
        <w:t xml:space="preserve"> by the National Statistics Service of Armenia, t</w:t>
      </w:r>
      <w:r w:rsidR="00715CAB" w:rsidRPr="00A32AB2">
        <w:rPr>
          <w:rFonts w:ascii="Garamond" w:eastAsia="Calibri" w:hAnsi="Garamond"/>
          <w:sz w:val="22"/>
          <w:szCs w:val="22"/>
        </w:rPr>
        <w:t xml:space="preserve">he productivity </w:t>
      </w:r>
      <w:r>
        <w:rPr>
          <w:rFonts w:ascii="Garamond" w:eastAsia="Calibri" w:hAnsi="Garamond"/>
          <w:sz w:val="22"/>
          <w:szCs w:val="22"/>
        </w:rPr>
        <w:t>growth rate was still strong in</w:t>
      </w:r>
      <w:r w:rsidR="00715CAB" w:rsidRPr="00A32AB2">
        <w:rPr>
          <w:rFonts w:ascii="Garamond" w:eastAsia="Calibri" w:hAnsi="Garamond"/>
          <w:sz w:val="22"/>
          <w:szCs w:val="22"/>
        </w:rPr>
        <w:t xml:space="preserve"> the </w:t>
      </w:r>
      <w:r>
        <w:rPr>
          <w:rFonts w:ascii="Garamond" w:eastAsia="Calibri" w:hAnsi="Garamond"/>
          <w:sz w:val="22"/>
          <w:szCs w:val="22"/>
        </w:rPr>
        <w:t xml:space="preserve">first half of </w:t>
      </w:r>
      <w:r w:rsidR="00715CAB" w:rsidRPr="00A32AB2">
        <w:rPr>
          <w:rFonts w:ascii="Garamond" w:eastAsia="Calibri" w:hAnsi="Garamond"/>
          <w:sz w:val="22"/>
          <w:szCs w:val="22"/>
        </w:rPr>
        <w:t xml:space="preserve">2016. </w:t>
      </w:r>
      <w:r>
        <w:rPr>
          <w:rFonts w:ascii="Garamond" w:eastAsia="Calibri" w:hAnsi="Garamond"/>
          <w:sz w:val="22"/>
          <w:szCs w:val="22"/>
        </w:rPr>
        <w:t xml:space="preserve">It began subduing </w:t>
      </w:r>
      <w:r w:rsidR="00715C5B">
        <w:rPr>
          <w:rFonts w:ascii="Garamond" w:eastAsia="Calibri" w:hAnsi="Garamond"/>
          <w:sz w:val="22"/>
          <w:szCs w:val="22"/>
        </w:rPr>
        <w:t xml:space="preserve">only </w:t>
      </w:r>
      <w:r>
        <w:rPr>
          <w:rFonts w:ascii="Garamond" w:eastAsia="Calibri" w:hAnsi="Garamond"/>
          <w:sz w:val="22"/>
          <w:szCs w:val="22"/>
        </w:rPr>
        <w:t xml:space="preserve">in the third quarter, </w:t>
      </w:r>
      <w:r w:rsidR="00EE226C">
        <w:rPr>
          <w:rFonts w:ascii="Garamond" w:eastAsia="Calibri" w:hAnsi="Garamond"/>
          <w:sz w:val="22"/>
          <w:szCs w:val="22"/>
        </w:rPr>
        <w:t>resulting in the 2016</w:t>
      </w:r>
      <w:r w:rsidR="003D47FF">
        <w:rPr>
          <w:rFonts w:ascii="Garamond" w:eastAsia="Calibri" w:hAnsi="Garamond"/>
          <w:sz w:val="22"/>
          <w:szCs w:val="22"/>
        </w:rPr>
        <w:t xml:space="preserve"> labor demand </w:t>
      </w:r>
      <w:r w:rsidR="00EE226C">
        <w:rPr>
          <w:rFonts w:ascii="Garamond" w:eastAsia="Calibri" w:hAnsi="Garamond"/>
          <w:sz w:val="22"/>
          <w:szCs w:val="22"/>
        </w:rPr>
        <w:t xml:space="preserve">indicator </w:t>
      </w:r>
      <w:r w:rsidR="003D47FF">
        <w:rPr>
          <w:rFonts w:ascii="Garamond" w:eastAsia="Calibri" w:hAnsi="Garamond"/>
          <w:sz w:val="22"/>
          <w:szCs w:val="22"/>
        </w:rPr>
        <w:t>s</w:t>
      </w:r>
      <w:r w:rsidR="00EE226C">
        <w:rPr>
          <w:rFonts w:ascii="Garamond" w:eastAsia="Calibri" w:hAnsi="Garamond"/>
          <w:sz w:val="22"/>
          <w:szCs w:val="22"/>
        </w:rPr>
        <w:t>lightly</w:t>
      </w:r>
      <w:r w:rsidR="003D47FF">
        <w:rPr>
          <w:rFonts w:ascii="Garamond" w:eastAsia="Calibri" w:hAnsi="Garamond"/>
          <w:sz w:val="22"/>
          <w:szCs w:val="22"/>
        </w:rPr>
        <w:t xml:space="preserve"> below the </w:t>
      </w:r>
      <w:r w:rsidR="00EE226C">
        <w:rPr>
          <w:rFonts w:ascii="Garamond" w:eastAsia="Calibri" w:hAnsi="Garamond"/>
          <w:sz w:val="22"/>
          <w:szCs w:val="22"/>
        </w:rPr>
        <w:t xml:space="preserve">previous </w:t>
      </w:r>
      <w:r w:rsidR="003D47FF">
        <w:rPr>
          <w:rFonts w:ascii="Garamond" w:eastAsia="Calibri" w:hAnsi="Garamond"/>
          <w:sz w:val="22"/>
          <w:szCs w:val="22"/>
        </w:rPr>
        <w:t>projections</w:t>
      </w:r>
      <w:r w:rsidR="00715CAB" w:rsidRPr="00A32AB2">
        <w:rPr>
          <w:rFonts w:ascii="Garamond" w:eastAsia="Calibri" w:hAnsi="Garamond"/>
          <w:sz w:val="22"/>
          <w:szCs w:val="22"/>
        </w:rPr>
        <w:t>.</w:t>
      </w:r>
      <w:r w:rsidR="00EE226C">
        <w:rPr>
          <w:rFonts w:ascii="Garamond" w:eastAsia="Calibri" w:hAnsi="Garamond"/>
          <w:sz w:val="22"/>
          <w:szCs w:val="22"/>
        </w:rPr>
        <w:t xml:space="preserve"> </w:t>
      </w:r>
      <w:r w:rsidR="00EE226C" w:rsidRPr="00EE226C">
        <w:rPr>
          <w:rFonts w:ascii="Garamond" w:eastAsia="Calibri" w:hAnsi="Garamond"/>
          <w:sz w:val="22"/>
          <w:szCs w:val="22"/>
        </w:rPr>
        <w:t>In light of these changes as well as more-than-expected slowdown in economic activity</w:t>
      </w:r>
      <w:r w:rsidR="00EE226C">
        <w:rPr>
          <w:rFonts w:ascii="Garamond" w:eastAsia="Calibri" w:hAnsi="Garamond"/>
          <w:sz w:val="22"/>
          <w:szCs w:val="22"/>
        </w:rPr>
        <w:t xml:space="preserve">, </w:t>
      </w:r>
      <w:r w:rsidR="002A6B43" w:rsidRPr="00A32AB2">
        <w:rPr>
          <w:rFonts w:ascii="Garamond" w:eastAsia="Calibri" w:hAnsi="Garamond"/>
          <w:sz w:val="22"/>
          <w:szCs w:val="22"/>
        </w:rPr>
        <w:t>the</w:t>
      </w:r>
      <w:r w:rsidR="00EE226C">
        <w:rPr>
          <w:rFonts w:ascii="Garamond" w:eastAsia="Calibri" w:hAnsi="Garamond"/>
          <w:sz w:val="22"/>
          <w:szCs w:val="22"/>
        </w:rPr>
        <w:t xml:space="preserve"> third quarter’s </w:t>
      </w:r>
      <w:r w:rsidR="002A6B43" w:rsidRPr="00A32AB2">
        <w:rPr>
          <w:rFonts w:ascii="Garamond" w:eastAsia="Calibri" w:hAnsi="Garamond"/>
          <w:b/>
          <w:sz w:val="22"/>
          <w:szCs w:val="22"/>
        </w:rPr>
        <w:t>unemployment rate</w:t>
      </w:r>
      <w:r w:rsidR="002A6B43" w:rsidRPr="00A32AB2">
        <w:rPr>
          <w:rFonts w:ascii="Garamond" w:eastAsia="Calibri" w:hAnsi="Garamond"/>
          <w:sz w:val="22"/>
          <w:szCs w:val="22"/>
        </w:rPr>
        <w:t xml:space="preserve"> </w:t>
      </w:r>
      <w:r w:rsidR="00AA3811">
        <w:rPr>
          <w:rFonts w:ascii="Garamond" w:eastAsia="Calibri" w:hAnsi="Garamond"/>
          <w:sz w:val="22"/>
          <w:szCs w:val="22"/>
        </w:rPr>
        <w:t xml:space="preserve">is an </w:t>
      </w:r>
      <w:r w:rsidR="002A6B43" w:rsidRPr="00A32AB2">
        <w:rPr>
          <w:rFonts w:ascii="Garamond" w:eastAsia="Calibri" w:hAnsi="Garamond"/>
          <w:sz w:val="22"/>
          <w:szCs w:val="22"/>
        </w:rPr>
        <w:t>estimated 17.</w:t>
      </w:r>
      <w:r w:rsidR="00EE226C">
        <w:rPr>
          <w:rFonts w:ascii="Garamond" w:eastAsia="Calibri" w:hAnsi="Garamond"/>
          <w:sz w:val="22"/>
          <w:szCs w:val="22"/>
        </w:rPr>
        <w:t>4</w:t>
      </w:r>
      <w:r w:rsidR="002A6B43" w:rsidRPr="00A32AB2">
        <w:rPr>
          <w:rFonts w:ascii="Garamond" w:eastAsia="Calibri" w:hAnsi="Garamond"/>
          <w:sz w:val="22"/>
          <w:szCs w:val="22"/>
        </w:rPr>
        <w:t>%</w:t>
      </w:r>
      <w:r w:rsidR="00AA3811">
        <w:rPr>
          <w:rFonts w:ascii="Garamond" w:eastAsia="Calibri" w:hAnsi="Garamond"/>
          <w:sz w:val="22"/>
          <w:szCs w:val="22"/>
        </w:rPr>
        <w:t xml:space="preserve">, running </w:t>
      </w:r>
      <w:r w:rsidR="00556C32">
        <w:rPr>
          <w:rFonts w:ascii="Garamond" w:eastAsia="Calibri" w:hAnsi="Garamond"/>
          <w:sz w:val="22"/>
          <w:szCs w:val="22"/>
        </w:rPr>
        <w:t xml:space="preserve">a little above the </w:t>
      </w:r>
      <w:r w:rsidR="00AA3811" w:rsidRPr="00A32AB2">
        <w:rPr>
          <w:rFonts w:ascii="Garamond" w:eastAsia="Calibri" w:hAnsi="Garamond"/>
          <w:sz w:val="22"/>
          <w:szCs w:val="22"/>
        </w:rPr>
        <w:t>previous forecasts</w:t>
      </w:r>
      <w:r w:rsidR="002A6B43" w:rsidRPr="00A32AB2">
        <w:rPr>
          <w:rFonts w:ascii="Garamond" w:eastAsia="Calibri" w:hAnsi="Garamond"/>
          <w:sz w:val="22"/>
          <w:szCs w:val="22"/>
        </w:rPr>
        <w:t>.</w:t>
      </w:r>
    </w:p>
    <w:p w14:paraId="7EF15492" w14:textId="77777777" w:rsidR="002A6B43" w:rsidRPr="00A32AB2" w:rsidRDefault="002A6B43" w:rsidP="0006101A">
      <w:pPr>
        <w:spacing w:line="360" w:lineRule="auto"/>
        <w:jc w:val="both"/>
        <w:rPr>
          <w:rFonts w:ascii="Garamond" w:hAnsi="Garamond" w:cs="Sylfaen"/>
          <w:sz w:val="22"/>
          <w:szCs w:val="22"/>
        </w:rPr>
      </w:pPr>
    </w:p>
    <w:p w14:paraId="0B46512A" w14:textId="77777777" w:rsidR="001C28A9" w:rsidRPr="00A32AB2" w:rsidRDefault="00222235" w:rsidP="001C28A9">
      <w:pPr>
        <w:spacing w:line="360" w:lineRule="auto"/>
        <w:jc w:val="both"/>
        <w:rPr>
          <w:rFonts w:ascii="Garamond" w:hAnsi="Garamond"/>
          <w:sz w:val="22"/>
          <w:szCs w:val="22"/>
        </w:rPr>
      </w:pPr>
      <w:r>
        <w:rPr>
          <w:rFonts w:ascii="Garamond" w:hAnsi="Garamond" w:cs="Sylfaen"/>
          <w:sz w:val="22"/>
          <w:szCs w:val="22"/>
        </w:rPr>
        <w:t>In the third quarter of 2016 t</w:t>
      </w:r>
      <w:r w:rsidR="00C100B1" w:rsidRPr="00A32AB2">
        <w:rPr>
          <w:rFonts w:ascii="Garamond" w:hAnsi="Garamond" w:cs="Sylfaen"/>
          <w:sz w:val="22"/>
          <w:szCs w:val="22"/>
        </w:rPr>
        <w:t>he</w:t>
      </w:r>
      <w:r w:rsidR="00750F76">
        <w:rPr>
          <w:rFonts w:ascii="Garamond" w:hAnsi="Garamond" w:cs="Sylfaen"/>
          <w:sz w:val="22"/>
          <w:szCs w:val="22"/>
        </w:rPr>
        <w:t xml:space="preserve"> </w:t>
      </w:r>
      <w:r w:rsidR="00C100B1" w:rsidRPr="00A32AB2">
        <w:rPr>
          <w:rFonts w:ascii="Garamond" w:hAnsi="Garamond" w:cs="Sylfaen"/>
          <w:sz w:val="22"/>
          <w:szCs w:val="22"/>
        </w:rPr>
        <w:t xml:space="preserve">productivity </w:t>
      </w:r>
      <w:r>
        <w:rPr>
          <w:rFonts w:ascii="Garamond" w:hAnsi="Garamond" w:cs="Sylfaen"/>
          <w:sz w:val="22"/>
          <w:szCs w:val="22"/>
        </w:rPr>
        <w:t xml:space="preserve">growth rate </w:t>
      </w:r>
      <w:r w:rsidR="001D2573">
        <w:rPr>
          <w:rFonts w:ascii="Garamond" w:hAnsi="Garamond" w:cs="Sylfaen"/>
          <w:sz w:val="22"/>
          <w:szCs w:val="22"/>
        </w:rPr>
        <w:t>again</w:t>
      </w:r>
      <w:r w:rsidR="00C100B1" w:rsidRPr="00A32AB2">
        <w:rPr>
          <w:rFonts w:ascii="Garamond" w:hAnsi="Garamond" w:cs="Sylfaen"/>
          <w:sz w:val="22"/>
          <w:szCs w:val="22"/>
        </w:rPr>
        <w:t xml:space="preserve"> </w:t>
      </w:r>
      <w:r w:rsidR="002A6B43" w:rsidRPr="00A32AB2">
        <w:rPr>
          <w:rFonts w:ascii="Garamond" w:hAnsi="Garamond" w:cs="Sylfaen"/>
          <w:sz w:val="22"/>
          <w:szCs w:val="22"/>
        </w:rPr>
        <w:t>outweigh</w:t>
      </w:r>
      <w:r w:rsidR="00C100B1" w:rsidRPr="00A32AB2">
        <w:rPr>
          <w:rFonts w:ascii="Garamond" w:hAnsi="Garamond" w:cs="Sylfaen"/>
          <w:sz w:val="22"/>
          <w:szCs w:val="22"/>
        </w:rPr>
        <w:t xml:space="preserve">ed the growth rate </w:t>
      </w:r>
      <w:r w:rsidR="002A6B43" w:rsidRPr="00A32AB2">
        <w:rPr>
          <w:rFonts w:ascii="Garamond" w:hAnsi="Garamond" w:cs="Sylfaen"/>
          <w:sz w:val="22"/>
          <w:szCs w:val="22"/>
        </w:rPr>
        <w:t>in wages</w:t>
      </w:r>
      <w:r>
        <w:rPr>
          <w:rFonts w:ascii="Garamond" w:hAnsi="Garamond" w:cs="Sylfaen"/>
          <w:sz w:val="22"/>
          <w:szCs w:val="22"/>
        </w:rPr>
        <w:t xml:space="preserve">, exerting </w:t>
      </w:r>
      <w:r w:rsidR="002A6B43" w:rsidRPr="00A32AB2">
        <w:rPr>
          <w:rFonts w:ascii="Garamond" w:hAnsi="Garamond" w:cs="Sylfaen"/>
          <w:sz w:val="22"/>
          <w:szCs w:val="22"/>
        </w:rPr>
        <w:t>0.</w:t>
      </w:r>
      <w:r>
        <w:rPr>
          <w:rFonts w:ascii="Garamond" w:hAnsi="Garamond" w:cs="Sylfaen"/>
          <w:sz w:val="22"/>
          <w:szCs w:val="22"/>
        </w:rPr>
        <w:t>6</w:t>
      </w:r>
      <w:r w:rsidR="002A6B43" w:rsidRPr="00A32AB2">
        <w:rPr>
          <w:rFonts w:ascii="Garamond" w:eastAsia="Calibri" w:hAnsi="Garamond"/>
          <w:sz w:val="22"/>
          <w:szCs w:val="22"/>
        </w:rPr>
        <w:t>% of deflationary pr</w:t>
      </w:r>
      <w:r>
        <w:rPr>
          <w:rFonts w:ascii="Garamond" w:eastAsia="Calibri" w:hAnsi="Garamond"/>
          <w:sz w:val="22"/>
          <w:szCs w:val="22"/>
        </w:rPr>
        <w:t>essures in the consumer market.</w:t>
      </w:r>
    </w:p>
    <w:p w14:paraId="23A46FEE" w14:textId="77777777" w:rsidR="00C255F1" w:rsidRPr="00A32AB2" w:rsidRDefault="00C255F1" w:rsidP="0006101A">
      <w:pPr>
        <w:spacing w:line="360" w:lineRule="auto"/>
        <w:jc w:val="both"/>
        <w:rPr>
          <w:rFonts w:ascii="Garamond" w:hAnsi="Garamond"/>
          <w:sz w:val="22"/>
          <w:szCs w:val="22"/>
        </w:rPr>
      </w:pPr>
    </w:p>
    <w:p w14:paraId="7666D5B9" w14:textId="77777777" w:rsidR="008D531F" w:rsidRPr="00A32AB2" w:rsidRDefault="008D531F" w:rsidP="0006101A">
      <w:pPr>
        <w:spacing w:line="360" w:lineRule="auto"/>
        <w:jc w:val="both"/>
        <w:rPr>
          <w:rFonts w:ascii="Garamond" w:hAnsi="Garamond"/>
          <w:b/>
          <w:sz w:val="22"/>
          <w:szCs w:val="22"/>
        </w:rPr>
      </w:pPr>
      <w:r w:rsidRPr="00A32AB2">
        <w:rPr>
          <w:rFonts w:ascii="Garamond" w:hAnsi="Garamond"/>
          <w:b/>
          <w:sz w:val="22"/>
          <w:szCs w:val="22"/>
        </w:rPr>
        <w:lastRenderedPageBreak/>
        <w:t>3.2.4. Fiscal policy</w:t>
      </w:r>
      <w:r w:rsidR="00DC6307">
        <w:rPr>
          <w:rStyle w:val="FootnoteReference"/>
          <w:rFonts w:ascii="Garamond" w:hAnsi="Garamond"/>
          <w:b/>
          <w:sz w:val="22"/>
          <w:szCs w:val="22"/>
        </w:rPr>
        <w:footnoteReference w:customMarkFollows="1" w:id="18"/>
        <w:t>19</w:t>
      </w:r>
    </w:p>
    <w:p w14:paraId="6222195C" w14:textId="77777777" w:rsidR="008D531F" w:rsidRPr="00A32AB2" w:rsidRDefault="008D531F" w:rsidP="0006101A">
      <w:pPr>
        <w:spacing w:line="360" w:lineRule="auto"/>
        <w:jc w:val="both"/>
        <w:rPr>
          <w:rFonts w:ascii="Garamond" w:hAnsi="Garamond"/>
          <w:sz w:val="22"/>
          <w:szCs w:val="22"/>
        </w:rPr>
      </w:pPr>
    </w:p>
    <w:p w14:paraId="5133C1B3" w14:textId="77777777" w:rsidR="008D531F" w:rsidRPr="00A32AB2" w:rsidRDefault="008D531F" w:rsidP="0006101A">
      <w:pPr>
        <w:spacing w:line="360" w:lineRule="auto"/>
        <w:jc w:val="both"/>
        <w:rPr>
          <w:rFonts w:ascii="Garamond" w:hAnsi="Garamond"/>
          <w:sz w:val="22"/>
          <w:szCs w:val="22"/>
        </w:rPr>
      </w:pPr>
      <w:r w:rsidRPr="00A32AB2">
        <w:rPr>
          <w:rFonts w:ascii="Garamond" w:hAnsi="Garamond"/>
          <w:sz w:val="22"/>
          <w:szCs w:val="22"/>
        </w:rPr>
        <w:t xml:space="preserve">In the </w:t>
      </w:r>
      <w:r w:rsidR="00DC6307">
        <w:rPr>
          <w:rFonts w:ascii="Garamond" w:hAnsi="Garamond"/>
          <w:sz w:val="22"/>
          <w:szCs w:val="22"/>
        </w:rPr>
        <w:t>thir</w:t>
      </w:r>
      <w:r w:rsidR="001C28A9" w:rsidRPr="00A32AB2">
        <w:rPr>
          <w:rFonts w:ascii="Garamond" w:hAnsi="Garamond"/>
          <w:sz w:val="22"/>
          <w:szCs w:val="22"/>
        </w:rPr>
        <w:t>d</w:t>
      </w:r>
      <w:r w:rsidRPr="00A32AB2">
        <w:rPr>
          <w:rFonts w:ascii="Garamond" w:hAnsi="Garamond"/>
          <w:sz w:val="22"/>
          <w:szCs w:val="22"/>
        </w:rPr>
        <w:t xml:space="preserve"> quarter of 2016 the </w:t>
      </w:r>
      <w:r w:rsidR="00201FF4" w:rsidRPr="00A32AB2">
        <w:rPr>
          <w:rFonts w:ascii="Garamond" w:hAnsi="Garamond"/>
          <w:sz w:val="22"/>
          <w:szCs w:val="22"/>
        </w:rPr>
        <w:t>Republic of Armenia S</w:t>
      </w:r>
      <w:r w:rsidRPr="00A32AB2">
        <w:rPr>
          <w:rFonts w:ascii="Garamond" w:hAnsi="Garamond"/>
          <w:sz w:val="22"/>
          <w:szCs w:val="22"/>
        </w:rPr>
        <w:t xml:space="preserve">tate </w:t>
      </w:r>
      <w:r w:rsidR="00201FF4" w:rsidRPr="00A32AB2">
        <w:rPr>
          <w:rFonts w:ascii="Garamond" w:hAnsi="Garamond"/>
          <w:sz w:val="22"/>
          <w:szCs w:val="22"/>
        </w:rPr>
        <w:t>B</w:t>
      </w:r>
      <w:r w:rsidRPr="00A32AB2">
        <w:rPr>
          <w:rFonts w:ascii="Garamond" w:hAnsi="Garamond"/>
          <w:sz w:val="22"/>
          <w:szCs w:val="22"/>
        </w:rPr>
        <w:t xml:space="preserve">udget </w:t>
      </w:r>
      <w:r w:rsidR="00160A11" w:rsidRPr="00A32AB2">
        <w:rPr>
          <w:rFonts w:ascii="Garamond" w:hAnsi="Garamond"/>
          <w:sz w:val="22"/>
          <w:szCs w:val="22"/>
        </w:rPr>
        <w:t xml:space="preserve">was performed with revenues falling short </w:t>
      </w:r>
      <w:r w:rsidR="00160A11" w:rsidRPr="009B52FB">
        <w:rPr>
          <w:rFonts w:ascii="Garamond" w:hAnsi="Garamond"/>
          <w:sz w:val="22"/>
          <w:szCs w:val="22"/>
        </w:rPr>
        <w:t>of the CBA</w:t>
      </w:r>
      <w:r w:rsidR="00201FF4" w:rsidRPr="009B52FB">
        <w:rPr>
          <w:rFonts w:ascii="Garamond" w:hAnsi="Garamond"/>
          <w:sz w:val="22"/>
          <w:szCs w:val="22"/>
        </w:rPr>
        <w:t xml:space="preserve">’s </w:t>
      </w:r>
      <w:r w:rsidR="00160A11" w:rsidRPr="009B52FB">
        <w:rPr>
          <w:rFonts w:ascii="Garamond" w:hAnsi="Garamond"/>
          <w:sz w:val="22"/>
          <w:szCs w:val="22"/>
        </w:rPr>
        <w:t>estimates</w:t>
      </w:r>
      <w:r w:rsidR="00DC6307" w:rsidRPr="009B52FB">
        <w:rPr>
          <w:rStyle w:val="FootnoteReference"/>
          <w:rFonts w:ascii="Garamond" w:hAnsi="Garamond"/>
          <w:sz w:val="22"/>
          <w:szCs w:val="22"/>
        </w:rPr>
        <w:footnoteReference w:customMarkFollows="1" w:id="19"/>
        <w:t>20</w:t>
      </w:r>
      <w:r w:rsidR="00DC6307" w:rsidRPr="009B52FB">
        <w:rPr>
          <w:rFonts w:ascii="Garamond" w:hAnsi="Garamond"/>
          <w:sz w:val="22"/>
          <w:szCs w:val="22"/>
        </w:rPr>
        <w:t>,</w:t>
      </w:r>
      <w:r w:rsidR="00160A11" w:rsidRPr="009B52FB">
        <w:rPr>
          <w:rFonts w:ascii="Garamond" w:hAnsi="Garamond"/>
          <w:sz w:val="22"/>
          <w:szCs w:val="22"/>
        </w:rPr>
        <w:t xml:space="preserve"> </w:t>
      </w:r>
      <w:r w:rsidR="009B52FB">
        <w:rPr>
          <w:rFonts w:ascii="Garamond" w:hAnsi="Garamond"/>
          <w:sz w:val="22"/>
          <w:szCs w:val="22"/>
        </w:rPr>
        <w:t xml:space="preserve">somewhat increased </w:t>
      </w:r>
      <w:r w:rsidR="00201FF4" w:rsidRPr="009B52FB">
        <w:rPr>
          <w:rFonts w:ascii="Garamond" w:hAnsi="Garamond"/>
          <w:sz w:val="22"/>
          <w:szCs w:val="22"/>
        </w:rPr>
        <w:t xml:space="preserve">expenditures </w:t>
      </w:r>
      <w:r w:rsidR="001151D0" w:rsidRPr="009B52FB">
        <w:rPr>
          <w:rFonts w:ascii="Garamond" w:hAnsi="Garamond"/>
          <w:sz w:val="22"/>
          <w:szCs w:val="22"/>
        </w:rPr>
        <w:t>and net lending in excess of</w:t>
      </w:r>
      <w:r w:rsidR="001151D0" w:rsidRPr="00A32AB2">
        <w:rPr>
          <w:rFonts w:ascii="Garamond" w:hAnsi="Garamond"/>
          <w:sz w:val="22"/>
          <w:szCs w:val="22"/>
        </w:rPr>
        <w:t xml:space="preserve"> the projected value. In view of such developments described above and the nominal GDP indicator for the </w:t>
      </w:r>
      <w:r w:rsidR="009B52FB">
        <w:rPr>
          <w:rFonts w:ascii="Garamond" w:hAnsi="Garamond"/>
          <w:sz w:val="22"/>
          <w:szCs w:val="22"/>
        </w:rPr>
        <w:t>third</w:t>
      </w:r>
      <w:r w:rsidR="001151D0" w:rsidRPr="00A32AB2">
        <w:rPr>
          <w:rFonts w:ascii="Garamond" w:hAnsi="Garamond"/>
          <w:sz w:val="22"/>
          <w:szCs w:val="22"/>
        </w:rPr>
        <w:t xml:space="preserve"> quarter, t</w:t>
      </w:r>
      <w:r w:rsidR="00166A0A" w:rsidRPr="00A32AB2">
        <w:rPr>
          <w:rFonts w:ascii="Garamond" w:hAnsi="Garamond"/>
          <w:sz w:val="22"/>
          <w:szCs w:val="22"/>
        </w:rPr>
        <w:t xml:space="preserve">he fiscal sector’s impact </w:t>
      </w:r>
      <w:r w:rsidRPr="00A32AB2">
        <w:rPr>
          <w:rFonts w:ascii="Garamond" w:hAnsi="Garamond"/>
          <w:sz w:val="22"/>
          <w:szCs w:val="22"/>
        </w:rPr>
        <w:t>on aggregate demand</w:t>
      </w:r>
      <w:r w:rsidR="00166A0A" w:rsidRPr="00A32AB2">
        <w:rPr>
          <w:rFonts w:ascii="Garamond" w:hAnsi="Garamond"/>
          <w:sz w:val="22"/>
          <w:szCs w:val="22"/>
        </w:rPr>
        <w:t xml:space="preserve"> </w:t>
      </w:r>
      <w:r w:rsidR="009B52FB">
        <w:rPr>
          <w:rFonts w:ascii="Garamond" w:hAnsi="Garamond"/>
          <w:sz w:val="22"/>
          <w:szCs w:val="22"/>
        </w:rPr>
        <w:t>i</w:t>
      </w:r>
      <w:r w:rsidR="001151D0" w:rsidRPr="00A32AB2">
        <w:rPr>
          <w:rFonts w:ascii="Garamond" w:hAnsi="Garamond"/>
          <w:sz w:val="22"/>
          <w:szCs w:val="22"/>
        </w:rPr>
        <w:t xml:space="preserve">s estimated </w:t>
      </w:r>
      <w:r w:rsidR="009B52FB">
        <w:rPr>
          <w:rFonts w:ascii="Garamond" w:hAnsi="Garamond"/>
          <w:sz w:val="22"/>
          <w:szCs w:val="22"/>
        </w:rPr>
        <w:t>0</w:t>
      </w:r>
      <w:r w:rsidR="00166A0A" w:rsidRPr="00A32AB2">
        <w:rPr>
          <w:rFonts w:ascii="Garamond" w:hAnsi="Garamond"/>
          <w:sz w:val="22"/>
          <w:szCs w:val="22"/>
        </w:rPr>
        <w:t>.</w:t>
      </w:r>
      <w:r w:rsidR="009B52FB">
        <w:rPr>
          <w:rFonts w:ascii="Garamond" w:hAnsi="Garamond"/>
          <w:sz w:val="22"/>
          <w:szCs w:val="22"/>
        </w:rPr>
        <w:t>9</w:t>
      </w:r>
      <w:r w:rsidR="00166A0A" w:rsidRPr="00A32AB2">
        <w:rPr>
          <w:rFonts w:ascii="Garamond" w:hAnsi="Garamond"/>
          <w:sz w:val="22"/>
          <w:szCs w:val="22"/>
        </w:rPr>
        <w:t xml:space="preserve"> expansionary instead of the project</w:t>
      </w:r>
      <w:r w:rsidR="009B52FB">
        <w:rPr>
          <w:rFonts w:ascii="Garamond" w:hAnsi="Garamond"/>
          <w:sz w:val="22"/>
          <w:szCs w:val="22"/>
        </w:rPr>
        <w:t xml:space="preserve">ed </w:t>
      </w:r>
      <w:r w:rsidR="001151D0" w:rsidRPr="00A32AB2">
        <w:rPr>
          <w:rFonts w:ascii="Garamond" w:hAnsi="Garamond"/>
          <w:sz w:val="22"/>
          <w:szCs w:val="22"/>
        </w:rPr>
        <w:t>1.</w:t>
      </w:r>
      <w:r w:rsidR="009B52FB">
        <w:rPr>
          <w:rFonts w:ascii="Garamond" w:hAnsi="Garamond"/>
          <w:sz w:val="22"/>
          <w:szCs w:val="22"/>
        </w:rPr>
        <w:t>0</w:t>
      </w:r>
      <w:r w:rsidR="001151D0" w:rsidRPr="00A32AB2">
        <w:rPr>
          <w:rFonts w:ascii="Garamond" w:hAnsi="Garamond"/>
          <w:sz w:val="22"/>
          <w:szCs w:val="22"/>
        </w:rPr>
        <w:t xml:space="preserve"> contractionary. </w:t>
      </w:r>
      <w:r w:rsidR="00A64499" w:rsidRPr="00A32AB2">
        <w:rPr>
          <w:rFonts w:ascii="Garamond" w:hAnsi="Garamond"/>
          <w:sz w:val="22"/>
          <w:szCs w:val="22"/>
        </w:rPr>
        <w:t xml:space="preserve">The </w:t>
      </w:r>
      <w:r w:rsidR="009B52FB">
        <w:rPr>
          <w:rFonts w:ascii="Garamond" w:hAnsi="Garamond"/>
          <w:sz w:val="22"/>
          <w:szCs w:val="22"/>
        </w:rPr>
        <w:t xml:space="preserve">deviation of the fiscal impulse is attributable to </w:t>
      </w:r>
      <w:r w:rsidR="009F3866">
        <w:rPr>
          <w:rFonts w:ascii="Garamond" w:hAnsi="Garamond"/>
          <w:sz w:val="22"/>
          <w:szCs w:val="22"/>
        </w:rPr>
        <w:t xml:space="preserve">that of </w:t>
      </w:r>
      <w:r w:rsidR="009B52FB">
        <w:rPr>
          <w:rFonts w:ascii="Garamond" w:hAnsi="Garamond"/>
          <w:sz w:val="22"/>
          <w:szCs w:val="22"/>
        </w:rPr>
        <w:t xml:space="preserve">the </w:t>
      </w:r>
      <w:r w:rsidR="009B52FB" w:rsidRPr="00A32AB2">
        <w:rPr>
          <w:rFonts w:ascii="Garamond" w:hAnsi="Garamond"/>
          <w:sz w:val="22"/>
          <w:szCs w:val="22"/>
        </w:rPr>
        <w:t>expenditures</w:t>
      </w:r>
      <w:r w:rsidR="009F3866">
        <w:rPr>
          <w:rFonts w:ascii="Garamond" w:hAnsi="Garamond"/>
          <w:sz w:val="22"/>
          <w:szCs w:val="22"/>
        </w:rPr>
        <w:t xml:space="preserve"> which proved neutral </w:t>
      </w:r>
      <w:r w:rsidR="00A64499" w:rsidRPr="00A32AB2">
        <w:rPr>
          <w:rFonts w:ascii="Garamond" w:hAnsi="Garamond"/>
          <w:sz w:val="22"/>
          <w:szCs w:val="22"/>
        </w:rPr>
        <w:t xml:space="preserve">instead of the forecast </w:t>
      </w:r>
      <w:r w:rsidR="009F3866">
        <w:rPr>
          <w:rFonts w:ascii="Garamond" w:hAnsi="Garamond"/>
          <w:sz w:val="22"/>
          <w:szCs w:val="22"/>
        </w:rPr>
        <w:t>1</w:t>
      </w:r>
      <w:r w:rsidR="00A64499" w:rsidRPr="00A32AB2">
        <w:rPr>
          <w:rFonts w:ascii="Garamond" w:hAnsi="Garamond"/>
          <w:sz w:val="22"/>
          <w:szCs w:val="22"/>
        </w:rPr>
        <w:t>.8 contractionary</w:t>
      </w:r>
      <w:r w:rsidR="009F3866">
        <w:rPr>
          <w:rFonts w:ascii="Garamond" w:hAnsi="Garamond"/>
          <w:sz w:val="22"/>
          <w:szCs w:val="22"/>
        </w:rPr>
        <w:t>, primarily due</w:t>
      </w:r>
      <w:r w:rsidR="009F3866" w:rsidRPr="00A32AB2">
        <w:rPr>
          <w:rFonts w:ascii="Garamond" w:hAnsi="Garamond"/>
          <w:sz w:val="22"/>
          <w:szCs w:val="22"/>
        </w:rPr>
        <w:t xml:space="preserve"> to deviated indicator of net lending</w:t>
      </w:r>
      <w:r w:rsidR="009F3866">
        <w:rPr>
          <w:rFonts w:ascii="Garamond" w:hAnsi="Garamond"/>
          <w:sz w:val="22"/>
          <w:szCs w:val="22"/>
        </w:rPr>
        <w:t xml:space="preserve">. </w:t>
      </w:r>
      <w:r w:rsidR="00A64499" w:rsidRPr="00A32AB2">
        <w:rPr>
          <w:rFonts w:ascii="Garamond" w:hAnsi="Garamond"/>
          <w:sz w:val="22"/>
          <w:szCs w:val="22"/>
        </w:rPr>
        <w:t xml:space="preserve"> </w:t>
      </w:r>
    </w:p>
    <w:p w14:paraId="499AE3B7" w14:textId="77777777" w:rsidR="00251231" w:rsidRPr="00A32AB2" w:rsidRDefault="00251231" w:rsidP="0006101A">
      <w:pPr>
        <w:spacing w:line="360" w:lineRule="auto"/>
        <w:jc w:val="both"/>
        <w:rPr>
          <w:rFonts w:ascii="Garamond" w:hAnsi="Garamond"/>
          <w:sz w:val="22"/>
          <w:szCs w:val="22"/>
        </w:rPr>
      </w:pPr>
    </w:p>
    <w:p w14:paraId="561ECEB4" w14:textId="77777777" w:rsidR="00AD087E" w:rsidRDefault="00F90453" w:rsidP="0006101A">
      <w:pPr>
        <w:spacing w:line="360" w:lineRule="auto"/>
        <w:jc w:val="both"/>
        <w:rPr>
          <w:rFonts w:ascii="Garamond" w:hAnsi="Garamond"/>
          <w:sz w:val="22"/>
          <w:szCs w:val="22"/>
        </w:rPr>
      </w:pPr>
      <w:r w:rsidRPr="00A32AB2">
        <w:rPr>
          <w:rFonts w:ascii="Garamond" w:hAnsi="Garamond" w:cs="Sylfaen"/>
          <w:bCs/>
          <w:iCs/>
          <w:sz w:val="22"/>
          <w:szCs w:val="22"/>
        </w:rPr>
        <w:t xml:space="preserve">In the </w:t>
      </w:r>
      <w:r w:rsidR="009F3866">
        <w:rPr>
          <w:rFonts w:ascii="Garamond" w:hAnsi="Garamond" w:cs="Sylfaen"/>
          <w:bCs/>
          <w:iCs/>
          <w:sz w:val="22"/>
          <w:szCs w:val="22"/>
        </w:rPr>
        <w:t>thir</w:t>
      </w:r>
      <w:r w:rsidR="00C133B7" w:rsidRPr="00A32AB2">
        <w:rPr>
          <w:rFonts w:ascii="Garamond" w:hAnsi="Garamond" w:cs="Sylfaen"/>
          <w:bCs/>
          <w:iCs/>
          <w:sz w:val="22"/>
          <w:szCs w:val="22"/>
        </w:rPr>
        <w:t>d</w:t>
      </w:r>
      <w:r w:rsidRPr="00A32AB2">
        <w:rPr>
          <w:rFonts w:ascii="Garamond" w:hAnsi="Garamond" w:cs="Sylfaen"/>
          <w:bCs/>
          <w:iCs/>
          <w:sz w:val="22"/>
          <w:szCs w:val="22"/>
        </w:rPr>
        <w:t xml:space="preserve"> quarter of 2016, </w:t>
      </w:r>
      <w:r w:rsidRPr="00A32AB2">
        <w:rPr>
          <w:rFonts w:ascii="Garamond" w:hAnsi="Garamond"/>
          <w:sz w:val="22"/>
          <w:szCs w:val="22"/>
        </w:rPr>
        <w:t xml:space="preserve">relative to the same reference period last year, consolidated budget revenues and grants </w:t>
      </w:r>
      <w:r w:rsidR="00CC6ADE" w:rsidRPr="00A32AB2">
        <w:rPr>
          <w:rFonts w:ascii="Garamond" w:hAnsi="Garamond"/>
          <w:sz w:val="22"/>
          <w:szCs w:val="22"/>
        </w:rPr>
        <w:t xml:space="preserve">have </w:t>
      </w:r>
      <w:r w:rsidR="009F3866">
        <w:rPr>
          <w:rFonts w:ascii="Garamond" w:hAnsi="Garamond"/>
          <w:sz w:val="22"/>
          <w:szCs w:val="22"/>
        </w:rPr>
        <w:t xml:space="preserve">decreased </w:t>
      </w:r>
      <w:r w:rsidRPr="00A32AB2">
        <w:rPr>
          <w:rFonts w:ascii="Garamond" w:hAnsi="Garamond"/>
          <w:sz w:val="22"/>
          <w:szCs w:val="22"/>
        </w:rPr>
        <w:t xml:space="preserve">by </w:t>
      </w:r>
      <w:r w:rsidR="009F3866">
        <w:rPr>
          <w:rFonts w:ascii="Garamond" w:hAnsi="Garamond"/>
          <w:sz w:val="22"/>
          <w:szCs w:val="22"/>
        </w:rPr>
        <w:t>roughly 5.0</w:t>
      </w:r>
      <w:r w:rsidRPr="00A32AB2">
        <w:rPr>
          <w:rFonts w:ascii="Garamond" w:hAnsi="Garamond"/>
          <w:sz w:val="22"/>
          <w:szCs w:val="22"/>
        </w:rPr>
        <w:t>%</w:t>
      </w:r>
      <w:r w:rsidR="001E5B26">
        <w:rPr>
          <w:rFonts w:ascii="Garamond" w:hAnsi="Garamond"/>
          <w:sz w:val="22"/>
          <w:szCs w:val="22"/>
        </w:rPr>
        <w:t xml:space="preserve"> as </w:t>
      </w:r>
      <w:r w:rsidR="009F3866" w:rsidRPr="009F3866">
        <w:rPr>
          <w:rFonts w:ascii="Garamond" w:hAnsi="Garamond"/>
          <w:sz w:val="22"/>
          <w:szCs w:val="22"/>
        </w:rPr>
        <w:t xml:space="preserve">revenues from </w:t>
      </w:r>
      <w:r w:rsidR="001E5B26">
        <w:rPr>
          <w:rFonts w:ascii="Garamond" w:hAnsi="Garamond"/>
          <w:sz w:val="22"/>
          <w:szCs w:val="22"/>
        </w:rPr>
        <w:t>value added tax and customs duties narrowed amid continued reduction of import volumes in general.</w:t>
      </w:r>
      <w:r w:rsidR="00201050" w:rsidRPr="00A32AB2">
        <w:rPr>
          <w:rFonts w:ascii="Garamond" w:hAnsi="Garamond"/>
          <w:sz w:val="22"/>
          <w:szCs w:val="22"/>
        </w:rPr>
        <w:t xml:space="preserve"> </w:t>
      </w:r>
      <w:r w:rsidR="001E5B26" w:rsidRPr="001E5B26">
        <w:rPr>
          <w:rFonts w:ascii="Garamond" w:hAnsi="Garamond"/>
          <w:sz w:val="22"/>
          <w:szCs w:val="22"/>
        </w:rPr>
        <w:t xml:space="preserve">Revenues </w:t>
      </w:r>
      <w:r w:rsidR="001E5B26">
        <w:rPr>
          <w:rFonts w:ascii="Garamond" w:hAnsi="Garamond"/>
          <w:sz w:val="22"/>
          <w:szCs w:val="22"/>
        </w:rPr>
        <w:t xml:space="preserve">left </w:t>
      </w:r>
      <w:r w:rsidR="001E5B26" w:rsidRPr="001E5B26">
        <w:rPr>
          <w:rFonts w:ascii="Garamond" w:hAnsi="Garamond"/>
          <w:sz w:val="22"/>
          <w:szCs w:val="22"/>
        </w:rPr>
        <w:t xml:space="preserve">0.8 </w:t>
      </w:r>
      <w:r w:rsidR="001E5B26">
        <w:rPr>
          <w:rFonts w:ascii="Garamond" w:hAnsi="Garamond"/>
          <w:sz w:val="22"/>
          <w:szCs w:val="22"/>
        </w:rPr>
        <w:t xml:space="preserve">of </w:t>
      </w:r>
      <w:r w:rsidR="001E5B26" w:rsidRPr="001E5B26">
        <w:rPr>
          <w:rFonts w:ascii="Garamond" w:hAnsi="Garamond"/>
          <w:sz w:val="22"/>
          <w:szCs w:val="22"/>
        </w:rPr>
        <w:t>expansionary impact</w:t>
      </w:r>
      <w:r w:rsidR="001E5B26">
        <w:rPr>
          <w:rFonts w:ascii="Garamond" w:hAnsi="Garamond"/>
          <w:sz w:val="22"/>
          <w:szCs w:val="22"/>
        </w:rPr>
        <w:t xml:space="preserve"> – consistent with the </w:t>
      </w:r>
      <w:r w:rsidR="001E5B26" w:rsidRPr="001E5B26">
        <w:rPr>
          <w:rFonts w:ascii="Garamond" w:hAnsi="Garamond"/>
          <w:sz w:val="22"/>
          <w:szCs w:val="22"/>
        </w:rPr>
        <w:t>projection</w:t>
      </w:r>
      <w:r w:rsidR="001E5B26">
        <w:rPr>
          <w:rFonts w:ascii="Garamond" w:hAnsi="Garamond"/>
          <w:sz w:val="22"/>
          <w:szCs w:val="22"/>
        </w:rPr>
        <w:t xml:space="preserve">. Although </w:t>
      </w:r>
      <w:r w:rsidR="00AD087E">
        <w:rPr>
          <w:rFonts w:ascii="Garamond" w:hAnsi="Garamond"/>
          <w:sz w:val="22"/>
          <w:szCs w:val="22"/>
        </w:rPr>
        <w:t xml:space="preserve">actual budget revenues were </w:t>
      </w:r>
      <w:r w:rsidR="001E5B26">
        <w:rPr>
          <w:rFonts w:ascii="Garamond" w:hAnsi="Garamond"/>
          <w:sz w:val="22"/>
          <w:szCs w:val="22"/>
        </w:rPr>
        <w:t>under-collected</w:t>
      </w:r>
      <w:r w:rsidR="00AD087E">
        <w:rPr>
          <w:rFonts w:ascii="Garamond" w:hAnsi="Garamond"/>
          <w:sz w:val="22"/>
          <w:szCs w:val="22"/>
        </w:rPr>
        <w:t xml:space="preserve"> to constitute 97% of the CBA estimates, the revenues impulse ind</w:t>
      </w:r>
      <w:r w:rsidR="00E57496">
        <w:rPr>
          <w:rFonts w:ascii="Garamond" w:hAnsi="Garamond"/>
          <w:sz w:val="22"/>
          <w:szCs w:val="22"/>
        </w:rPr>
        <w:t xml:space="preserve">icator did not deviate however, which is attributable a lower nominal GDP indicator estimated for this quarter in comparison with the previous forecast. </w:t>
      </w:r>
    </w:p>
    <w:p w14:paraId="76ECA674" w14:textId="77777777" w:rsidR="00AD087E" w:rsidRDefault="00AD087E" w:rsidP="0006101A">
      <w:pPr>
        <w:spacing w:line="360" w:lineRule="auto"/>
        <w:jc w:val="both"/>
        <w:rPr>
          <w:rFonts w:ascii="Garamond" w:hAnsi="Garamond"/>
          <w:sz w:val="22"/>
          <w:szCs w:val="22"/>
        </w:rPr>
      </w:pPr>
    </w:p>
    <w:p w14:paraId="6FBAB2E3" w14:textId="77777777" w:rsidR="00DD3369" w:rsidRDefault="00E57496" w:rsidP="0006101A">
      <w:pPr>
        <w:spacing w:line="360" w:lineRule="auto"/>
        <w:jc w:val="both"/>
        <w:rPr>
          <w:rFonts w:ascii="Garamond" w:hAnsi="Garamond"/>
          <w:sz w:val="22"/>
          <w:szCs w:val="22"/>
        </w:rPr>
      </w:pPr>
      <w:r>
        <w:rPr>
          <w:rFonts w:ascii="Garamond" w:hAnsi="Garamond"/>
          <w:sz w:val="22"/>
          <w:szCs w:val="22"/>
        </w:rPr>
        <w:t xml:space="preserve">In the third quarter the </w:t>
      </w:r>
      <w:r w:rsidRPr="00A32AB2">
        <w:rPr>
          <w:rFonts w:ascii="Garamond" w:hAnsi="Garamond"/>
          <w:sz w:val="22"/>
          <w:szCs w:val="22"/>
        </w:rPr>
        <w:t xml:space="preserve">expenditures </w:t>
      </w:r>
      <w:r>
        <w:rPr>
          <w:rFonts w:ascii="Garamond" w:hAnsi="Garamond"/>
          <w:sz w:val="22"/>
          <w:szCs w:val="22"/>
        </w:rPr>
        <w:t xml:space="preserve">outgrew the CBA forecast by 1.1%. </w:t>
      </w:r>
      <w:r w:rsidR="00DD3369">
        <w:rPr>
          <w:rFonts w:ascii="Garamond" w:hAnsi="Garamond"/>
          <w:sz w:val="22"/>
          <w:szCs w:val="22"/>
        </w:rPr>
        <w:t xml:space="preserve">This quarter saw a </w:t>
      </w:r>
      <w:r w:rsidR="00DD3369" w:rsidRPr="00DD3369">
        <w:rPr>
          <w:rFonts w:ascii="Garamond" w:hAnsi="Garamond"/>
          <w:sz w:val="22"/>
          <w:szCs w:val="22"/>
        </w:rPr>
        <w:t xml:space="preserve">1.4% decrease in consolidated budget expenditures </w:t>
      </w:r>
      <w:r w:rsidR="00DD3369">
        <w:rPr>
          <w:rFonts w:ascii="Garamond" w:hAnsi="Garamond"/>
          <w:sz w:val="22"/>
          <w:szCs w:val="22"/>
        </w:rPr>
        <w:t>c</w:t>
      </w:r>
      <w:r w:rsidR="00DD3369" w:rsidRPr="00DD3369">
        <w:rPr>
          <w:rFonts w:ascii="Garamond" w:hAnsi="Garamond"/>
          <w:sz w:val="22"/>
          <w:szCs w:val="22"/>
        </w:rPr>
        <w:t xml:space="preserve">ompared with the same </w:t>
      </w:r>
      <w:r w:rsidR="00DD3369">
        <w:rPr>
          <w:rFonts w:ascii="Garamond" w:hAnsi="Garamond"/>
          <w:sz w:val="22"/>
          <w:szCs w:val="22"/>
        </w:rPr>
        <w:t xml:space="preserve">reference </w:t>
      </w:r>
      <w:r w:rsidR="00DD3369" w:rsidRPr="00DD3369">
        <w:rPr>
          <w:rFonts w:ascii="Garamond" w:hAnsi="Garamond"/>
          <w:sz w:val="22"/>
          <w:szCs w:val="22"/>
        </w:rPr>
        <w:t xml:space="preserve">period </w:t>
      </w:r>
      <w:r w:rsidR="00DD3369">
        <w:rPr>
          <w:rFonts w:ascii="Garamond" w:hAnsi="Garamond"/>
          <w:sz w:val="22"/>
          <w:szCs w:val="22"/>
        </w:rPr>
        <w:t>last year, which occurred to the expense of the</w:t>
      </w:r>
      <w:r w:rsidR="00DD3369" w:rsidRPr="00A32AB2">
        <w:rPr>
          <w:rFonts w:ascii="Garamond" w:hAnsi="Garamond"/>
          <w:sz w:val="22"/>
          <w:szCs w:val="22"/>
        </w:rPr>
        <w:t xml:space="preserve"> item </w:t>
      </w:r>
      <w:r w:rsidR="00DD3369" w:rsidRPr="00A32AB2">
        <w:rPr>
          <w:rFonts w:ascii="Garamond" w:hAnsi="Garamond"/>
          <w:b/>
          <w:sz w:val="22"/>
          <w:szCs w:val="22"/>
        </w:rPr>
        <w:t>“Transactions with non-financial assets”</w:t>
      </w:r>
      <w:r w:rsidR="00DD3369">
        <w:rPr>
          <w:rFonts w:ascii="Garamond" w:hAnsi="Garamond"/>
          <w:sz w:val="22"/>
          <w:szCs w:val="22"/>
        </w:rPr>
        <w:t xml:space="preserve">. </w:t>
      </w:r>
    </w:p>
    <w:p w14:paraId="686DAD51" w14:textId="77777777" w:rsidR="00DD3369" w:rsidRDefault="00DD3369" w:rsidP="0006101A">
      <w:pPr>
        <w:spacing w:line="360" w:lineRule="auto"/>
        <w:jc w:val="both"/>
        <w:rPr>
          <w:rFonts w:ascii="Garamond" w:hAnsi="Garamond"/>
          <w:sz w:val="22"/>
          <w:szCs w:val="22"/>
        </w:rPr>
      </w:pPr>
    </w:p>
    <w:p w14:paraId="529EEA32" w14:textId="77777777" w:rsidR="008600DA" w:rsidRDefault="00100842" w:rsidP="0006101A">
      <w:pPr>
        <w:spacing w:line="360" w:lineRule="auto"/>
        <w:jc w:val="both"/>
        <w:rPr>
          <w:rFonts w:ascii="Garamond" w:hAnsi="Garamond"/>
          <w:sz w:val="22"/>
          <w:szCs w:val="22"/>
        </w:rPr>
      </w:pPr>
      <w:r w:rsidRPr="00A32AB2">
        <w:rPr>
          <w:rFonts w:ascii="Garamond" w:hAnsi="Garamond"/>
          <w:sz w:val="22"/>
          <w:szCs w:val="22"/>
        </w:rPr>
        <w:t xml:space="preserve">Relative to the same </w:t>
      </w:r>
      <w:r w:rsidR="00DD3369">
        <w:rPr>
          <w:rFonts w:ascii="Garamond" w:hAnsi="Garamond"/>
          <w:sz w:val="22"/>
          <w:szCs w:val="22"/>
        </w:rPr>
        <w:t xml:space="preserve">reference </w:t>
      </w:r>
      <w:r w:rsidRPr="00A32AB2">
        <w:rPr>
          <w:rFonts w:ascii="Garamond" w:hAnsi="Garamond"/>
          <w:sz w:val="22"/>
          <w:szCs w:val="22"/>
        </w:rPr>
        <w:t xml:space="preserve">period </w:t>
      </w:r>
      <w:r w:rsidR="00B24F76">
        <w:rPr>
          <w:rFonts w:ascii="Garamond" w:hAnsi="Garamond"/>
          <w:sz w:val="22"/>
          <w:szCs w:val="22"/>
        </w:rPr>
        <w:t xml:space="preserve">last </w:t>
      </w:r>
      <w:r w:rsidR="006B2799" w:rsidRPr="00A32AB2">
        <w:rPr>
          <w:rFonts w:ascii="Garamond" w:hAnsi="Garamond"/>
          <w:sz w:val="22"/>
          <w:szCs w:val="22"/>
        </w:rPr>
        <w:t>year</w:t>
      </w:r>
      <w:r w:rsidRPr="00A32AB2">
        <w:rPr>
          <w:rFonts w:ascii="Garamond" w:hAnsi="Garamond"/>
          <w:sz w:val="22"/>
          <w:szCs w:val="22"/>
        </w:rPr>
        <w:t>,</w:t>
      </w:r>
      <w:r w:rsidR="006B2799" w:rsidRPr="00A32AB2">
        <w:rPr>
          <w:rFonts w:ascii="Garamond" w:hAnsi="Garamond"/>
          <w:sz w:val="22"/>
          <w:szCs w:val="22"/>
        </w:rPr>
        <w:t xml:space="preserve"> the share of</w:t>
      </w:r>
      <w:r w:rsidRPr="00A32AB2">
        <w:rPr>
          <w:rFonts w:ascii="Garamond" w:hAnsi="Garamond"/>
          <w:sz w:val="22"/>
          <w:szCs w:val="22"/>
        </w:rPr>
        <w:t xml:space="preserve"> </w:t>
      </w:r>
      <w:r w:rsidRPr="00A32AB2">
        <w:rPr>
          <w:rFonts w:ascii="Garamond" w:hAnsi="Garamond"/>
          <w:b/>
          <w:sz w:val="22"/>
          <w:szCs w:val="22"/>
        </w:rPr>
        <w:t>p</w:t>
      </w:r>
      <w:r w:rsidR="00DC347D" w:rsidRPr="00A32AB2">
        <w:rPr>
          <w:rFonts w:ascii="Garamond" w:hAnsi="Garamond"/>
          <w:b/>
          <w:sz w:val="22"/>
          <w:szCs w:val="22"/>
        </w:rPr>
        <w:t>ublic consumption</w:t>
      </w:r>
      <w:r w:rsidR="00DC347D" w:rsidRPr="00A32AB2">
        <w:rPr>
          <w:rFonts w:ascii="Garamond" w:hAnsi="Garamond"/>
          <w:sz w:val="22"/>
          <w:szCs w:val="22"/>
        </w:rPr>
        <w:t xml:space="preserve"> </w:t>
      </w:r>
      <w:r w:rsidR="006B2799" w:rsidRPr="00A32AB2">
        <w:rPr>
          <w:rFonts w:ascii="Garamond" w:hAnsi="Garamond"/>
          <w:sz w:val="22"/>
          <w:szCs w:val="22"/>
        </w:rPr>
        <w:t xml:space="preserve">in current expenditures </w:t>
      </w:r>
      <w:r w:rsidRPr="00A32AB2">
        <w:rPr>
          <w:rFonts w:ascii="Garamond" w:hAnsi="Garamond"/>
          <w:sz w:val="22"/>
          <w:szCs w:val="22"/>
        </w:rPr>
        <w:t>has</w:t>
      </w:r>
      <w:r w:rsidR="00DC347D" w:rsidRPr="00A32AB2">
        <w:rPr>
          <w:rFonts w:ascii="Garamond" w:hAnsi="Garamond"/>
          <w:sz w:val="22"/>
          <w:szCs w:val="22"/>
        </w:rPr>
        <w:t xml:space="preserve"> decreased</w:t>
      </w:r>
      <w:r w:rsidR="00DD3369">
        <w:rPr>
          <w:rStyle w:val="FootnoteReference"/>
          <w:rFonts w:ascii="Garamond" w:hAnsi="Garamond"/>
          <w:sz w:val="22"/>
          <w:szCs w:val="22"/>
        </w:rPr>
        <w:footnoteReference w:customMarkFollows="1" w:id="20"/>
        <w:t>21</w:t>
      </w:r>
      <w:r w:rsidR="00DC347D" w:rsidRPr="00A32AB2">
        <w:rPr>
          <w:rFonts w:ascii="Garamond" w:hAnsi="Garamond"/>
          <w:sz w:val="22"/>
          <w:szCs w:val="22"/>
        </w:rPr>
        <w:t xml:space="preserve"> by </w:t>
      </w:r>
      <w:r w:rsidR="006B2799" w:rsidRPr="00A32AB2">
        <w:rPr>
          <w:rFonts w:ascii="Garamond" w:hAnsi="Garamond"/>
          <w:sz w:val="22"/>
          <w:szCs w:val="22"/>
        </w:rPr>
        <w:t>1</w:t>
      </w:r>
      <w:r w:rsidR="00DD3369">
        <w:rPr>
          <w:rFonts w:ascii="Garamond" w:hAnsi="Garamond"/>
          <w:sz w:val="22"/>
          <w:szCs w:val="22"/>
        </w:rPr>
        <w:t>4</w:t>
      </w:r>
      <w:r w:rsidR="00DC347D" w:rsidRPr="00A32AB2">
        <w:rPr>
          <w:rFonts w:ascii="Garamond" w:hAnsi="Garamond"/>
          <w:sz w:val="22"/>
          <w:szCs w:val="22"/>
        </w:rPr>
        <w:t>.</w:t>
      </w:r>
      <w:r w:rsidR="00DD3369">
        <w:rPr>
          <w:rFonts w:ascii="Garamond" w:hAnsi="Garamond"/>
          <w:sz w:val="22"/>
          <w:szCs w:val="22"/>
        </w:rPr>
        <w:t>2</w:t>
      </w:r>
      <w:r w:rsidR="00DC347D" w:rsidRPr="00A32AB2">
        <w:rPr>
          <w:rFonts w:ascii="Garamond" w:hAnsi="Garamond"/>
          <w:sz w:val="22"/>
          <w:szCs w:val="22"/>
        </w:rPr>
        <w:t>%</w:t>
      </w:r>
      <w:r w:rsidR="00B24F76">
        <w:rPr>
          <w:rFonts w:ascii="Garamond" w:hAnsi="Garamond"/>
          <w:sz w:val="22"/>
          <w:szCs w:val="22"/>
        </w:rPr>
        <w:t xml:space="preserve"> </w:t>
      </w:r>
      <w:r w:rsidR="008600DA">
        <w:rPr>
          <w:rFonts w:ascii="Garamond" w:hAnsi="Garamond"/>
          <w:sz w:val="22"/>
          <w:szCs w:val="22"/>
        </w:rPr>
        <w:t xml:space="preserve">while </w:t>
      </w:r>
      <w:r w:rsidR="00B24F76">
        <w:rPr>
          <w:rFonts w:ascii="Garamond" w:hAnsi="Garamond"/>
          <w:sz w:val="22"/>
          <w:szCs w:val="22"/>
        </w:rPr>
        <w:t>the figure of subsidies has outgrown the previous year’s indicator threefold</w:t>
      </w:r>
      <w:r w:rsidR="008600DA">
        <w:rPr>
          <w:rFonts w:ascii="Garamond" w:hAnsi="Garamond"/>
          <w:sz w:val="22"/>
          <w:szCs w:val="22"/>
        </w:rPr>
        <w:t xml:space="preserve"> due to increased </w:t>
      </w:r>
      <w:r w:rsidR="00B24F76" w:rsidRPr="00B24F76">
        <w:rPr>
          <w:rFonts w:ascii="Garamond" w:hAnsi="Garamond"/>
          <w:sz w:val="22"/>
          <w:szCs w:val="22"/>
        </w:rPr>
        <w:t xml:space="preserve">water supply and </w:t>
      </w:r>
      <w:r w:rsidR="008600DA">
        <w:rPr>
          <w:rFonts w:ascii="Garamond" w:hAnsi="Garamond"/>
          <w:sz w:val="22"/>
          <w:szCs w:val="22"/>
        </w:rPr>
        <w:t xml:space="preserve">transport </w:t>
      </w:r>
      <w:r w:rsidR="00B24F76" w:rsidRPr="00B24F76">
        <w:rPr>
          <w:rFonts w:ascii="Garamond" w:hAnsi="Garamond"/>
          <w:sz w:val="22"/>
          <w:szCs w:val="22"/>
        </w:rPr>
        <w:t>subsidies</w:t>
      </w:r>
      <w:r w:rsidR="008600DA">
        <w:rPr>
          <w:rFonts w:ascii="Garamond" w:hAnsi="Garamond"/>
          <w:sz w:val="22"/>
          <w:szCs w:val="22"/>
        </w:rPr>
        <w:t>.</w:t>
      </w:r>
      <w:r w:rsidR="00147E8E" w:rsidRPr="00A32AB2">
        <w:rPr>
          <w:rFonts w:ascii="Garamond" w:hAnsi="Garamond"/>
          <w:sz w:val="22"/>
          <w:szCs w:val="22"/>
        </w:rPr>
        <w:t xml:space="preserve"> </w:t>
      </w:r>
    </w:p>
    <w:p w14:paraId="358B5DFA" w14:textId="77777777" w:rsidR="008600DA" w:rsidRDefault="008600DA" w:rsidP="0006101A">
      <w:pPr>
        <w:spacing w:line="360" w:lineRule="auto"/>
        <w:jc w:val="both"/>
        <w:rPr>
          <w:rFonts w:ascii="Garamond" w:hAnsi="Garamond"/>
          <w:sz w:val="22"/>
          <w:szCs w:val="22"/>
        </w:rPr>
      </w:pPr>
    </w:p>
    <w:p w14:paraId="3EA1032E" w14:textId="77777777" w:rsidR="008600DA" w:rsidRDefault="002F7498" w:rsidP="0006101A">
      <w:pPr>
        <w:spacing w:line="360" w:lineRule="auto"/>
        <w:jc w:val="both"/>
        <w:rPr>
          <w:rFonts w:ascii="Garamond" w:hAnsi="Garamond"/>
          <w:sz w:val="22"/>
          <w:szCs w:val="22"/>
        </w:rPr>
      </w:pPr>
      <w:r w:rsidRPr="00A32AB2">
        <w:rPr>
          <w:rFonts w:ascii="Garamond" w:hAnsi="Garamond"/>
          <w:sz w:val="22"/>
          <w:szCs w:val="22"/>
        </w:rPr>
        <w:t xml:space="preserve">The public debt interest payments outgrew </w:t>
      </w:r>
      <w:r w:rsidR="0025631D" w:rsidRPr="00A32AB2">
        <w:rPr>
          <w:rFonts w:ascii="Garamond" w:hAnsi="Garamond"/>
          <w:sz w:val="22"/>
          <w:szCs w:val="22"/>
        </w:rPr>
        <w:t xml:space="preserve">the previous year’s relevant indicator by </w:t>
      </w:r>
      <w:r w:rsidR="008600DA">
        <w:rPr>
          <w:rFonts w:ascii="Garamond" w:hAnsi="Garamond"/>
          <w:sz w:val="22"/>
          <w:szCs w:val="22"/>
        </w:rPr>
        <w:t>12</w:t>
      </w:r>
      <w:r w:rsidR="00DC347D" w:rsidRPr="00A32AB2">
        <w:rPr>
          <w:rFonts w:ascii="Garamond" w:hAnsi="Garamond"/>
          <w:sz w:val="22"/>
          <w:szCs w:val="22"/>
        </w:rPr>
        <w:t>.</w:t>
      </w:r>
      <w:r w:rsidR="008600DA">
        <w:rPr>
          <w:rFonts w:ascii="Garamond" w:hAnsi="Garamond"/>
          <w:sz w:val="22"/>
          <w:szCs w:val="22"/>
        </w:rPr>
        <w:t>2</w:t>
      </w:r>
      <w:r w:rsidR="00DC347D" w:rsidRPr="00A32AB2">
        <w:rPr>
          <w:rFonts w:ascii="Garamond" w:hAnsi="Garamond"/>
          <w:sz w:val="22"/>
          <w:szCs w:val="22"/>
        </w:rPr>
        <w:t>%</w:t>
      </w:r>
      <w:r w:rsidR="0025631D" w:rsidRPr="00A32AB2">
        <w:rPr>
          <w:rFonts w:ascii="Garamond" w:hAnsi="Garamond"/>
          <w:sz w:val="22"/>
          <w:szCs w:val="22"/>
        </w:rPr>
        <w:t xml:space="preserve">, primarily due to </w:t>
      </w:r>
      <w:r w:rsidR="00DC347D" w:rsidRPr="00A32AB2">
        <w:rPr>
          <w:rFonts w:ascii="Garamond" w:hAnsi="Garamond"/>
          <w:sz w:val="22"/>
          <w:szCs w:val="22"/>
        </w:rPr>
        <w:t>increase</w:t>
      </w:r>
      <w:r w:rsidR="0025631D" w:rsidRPr="00A32AB2">
        <w:rPr>
          <w:rFonts w:ascii="Garamond" w:hAnsi="Garamond"/>
          <w:sz w:val="22"/>
          <w:szCs w:val="22"/>
        </w:rPr>
        <w:t>d</w:t>
      </w:r>
      <w:r w:rsidR="00FB246E" w:rsidRPr="00A32AB2">
        <w:rPr>
          <w:rFonts w:ascii="Garamond" w:hAnsi="Garamond"/>
          <w:sz w:val="22"/>
          <w:szCs w:val="22"/>
          <w:lang w:val="hy-AM"/>
        </w:rPr>
        <w:t xml:space="preserve"> </w:t>
      </w:r>
      <w:r w:rsidR="0025631D" w:rsidRPr="00A32AB2">
        <w:rPr>
          <w:rFonts w:ascii="Garamond" w:hAnsi="Garamond"/>
          <w:sz w:val="22"/>
          <w:szCs w:val="22"/>
        </w:rPr>
        <w:t xml:space="preserve">amount </w:t>
      </w:r>
      <w:r w:rsidR="00DC347D" w:rsidRPr="00A32AB2">
        <w:rPr>
          <w:rFonts w:ascii="Garamond" w:hAnsi="Garamond"/>
          <w:sz w:val="22"/>
          <w:szCs w:val="22"/>
        </w:rPr>
        <w:t>of servicing costs.</w:t>
      </w:r>
      <w:r w:rsidR="00DD3369" w:rsidRPr="00DD3369">
        <w:rPr>
          <w:rFonts w:ascii="Garamond" w:hAnsi="Garamond"/>
          <w:sz w:val="22"/>
          <w:szCs w:val="22"/>
        </w:rPr>
        <w:t xml:space="preserve"> </w:t>
      </w:r>
    </w:p>
    <w:p w14:paraId="4203E0DD" w14:textId="77777777" w:rsidR="008600DA" w:rsidRDefault="008600DA" w:rsidP="0006101A">
      <w:pPr>
        <w:spacing w:line="360" w:lineRule="auto"/>
        <w:jc w:val="both"/>
        <w:rPr>
          <w:rFonts w:ascii="Garamond" w:hAnsi="Garamond"/>
          <w:sz w:val="22"/>
          <w:szCs w:val="22"/>
        </w:rPr>
      </w:pPr>
    </w:p>
    <w:p w14:paraId="29D6605E" w14:textId="13935BB0" w:rsidR="00F67C4C" w:rsidRDefault="008600DA" w:rsidP="0006101A">
      <w:pPr>
        <w:spacing w:line="360" w:lineRule="auto"/>
        <w:jc w:val="both"/>
        <w:rPr>
          <w:rFonts w:ascii="Garamond" w:hAnsi="Garamond"/>
          <w:sz w:val="22"/>
          <w:szCs w:val="22"/>
        </w:rPr>
      </w:pPr>
      <w:r>
        <w:rPr>
          <w:rFonts w:ascii="Garamond" w:hAnsi="Garamond"/>
          <w:sz w:val="22"/>
          <w:szCs w:val="22"/>
        </w:rPr>
        <w:lastRenderedPageBreak/>
        <w:t>R</w:t>
      </w:r>
      <w:r w:rsidRPr="00A32AB2">
        <w:rPr>
          <w:rFonts w:ascii="Garamond" w:hAnsi="Garamond"/>
          <w:sz w:val="22"/>
          <w:szCs w:val="22"/>
        </w:rPr>
        <w:t>elative to the same reference period last year</w:t>
      </w:r>
      <w:r>
        <w:rPr>
          <w:rFonts w:ascii="Garamond" w:hAnsi="Garamond"/>
          <w:sz w:val="22"/>
          <w:szCs w:val="22"/>
        </w:rPr>
        <w:t>, the</w:t>
      </w:r>
      <w:r w:rsidRPr="00A32AB2">
        <w:rPr>
          <w:rFonts w:ascii="Garamond" w:hAnsi="Garamond"/>
          <w:sz w:val="22"/>
          <w:szCs w:val="22"/>
        </w:rPr>
        <w:t xml:space="preserve"> item </w:t>
      </w:r>
      <w:r w:rsidRPr="00A32AB2">
        <w:rPr>
          <w:rFonts w:ascii="Garamond" w:hAnsi="Garamond"/>
          <w:b/>
          <w:sz w:val="22"/>
          <w:szCs w:val="22"/>
        </w:rPr>
        <w:t>“Transactions with non-financial assets”</w:t>
      </w:r>
      <w:r>
        <w:rPr>
          <w:rFonts w:ascii="Garamond" w:hAnsi="Garamond"/>
          <w:sz w:val="22"/>
          <w:szCs w:val="22"/>
        </w:rPr>
        <w:t xml:space="preserve"> has decreased by around 20% to the expense of</w:t>
      </w:r>
      <w:r w:rsidR="00DD3369" w:rsidRPr="00A32AB2">
        <w:rPr>
          <w:rFonts w:ascii="Garamond" w:hAnsi="Garamond"/>
          <w:sz w:val="22"/>
          <w:szCs w:val="22"/>
        </w:rPr>
        <w:t xml:space="preserve"> </w:t>
      </w:r>
      <w:r>
        <w:rPr>
          <w:rFonts w:ascii="Garamond" w:hAnsi="Garamond"/>
          <w:sz w:val="22"/>
          <w:szCs w:val="22"/>
        </w:rPr>
        <w:t xml:space="preserve">reduced capital </w:t>
      </w:r>
      <w:r w:rsidR="00417AA7">
        <w:rPr>
          <w:rFonts w:ascii="Garamond" w:hAnsi="Garamond"/>
          <w:sz w:val="22"/>
          <w:szCs w:val="22"/>
        </w:rPr>
        <w:t xml:space="preserve">expenditure </w:t>
      </w:r>
      <w:r w:rsidR="00F67C4C">
        <w:rPr>
          <w:rFonts w:ascii="Garamond" w:hAnsi="Garamond"/>
          <w:sz w:val="22"/>
          <w:szCs w:val="22"/>
        </w:rPr>
        <w:t>from</w:t>
      </w:r>
      <w:r>
        <w:rPr>
          <w:rFonts w:ascii="Garamond" w:hAnsi="Garamond"/>
          <w:sz w:val="22"/>
          <w:szCs w:val="22"/>
        </w:rPr>
        <w:t xml:space="preserve"> domestic </w:t>
      </w:r>
      <w:r w:rsidR="00F67C4C">
        <w:rPr>
          <w:rFonts w:ascii="Garamond" w:hAnsi="Garamond"/>
          <w:sz w:val="22"/>
          <w:szCs w:val="22"/>
        </w:rPr>
        <w:t xml:space="preserve">sources. </w:t>
      </w:r>
    </w:p>
    <w:p w14:paraId="203BC713" w14:textId="77777777" w:rsidR="00F67C4C" w:rsidRDefault="00F67C4C" w:rsidP="0006101A">
      <w:pPr>
        <w:spacing w:line="360" w:lineRule="auto"/>
        <w:jc w:val="both"/>
        <w:rPr>
          <w:rFonts w:ascii="Garamond" w:hAnsi="Garamond"/>
          <w:sz w:val="22"/>
          <w:szCs w:val="22"/>
        </w:rPr>
      </w:pPr>
    </w:p>
    <w:p w14:paraId="3050DDF9" w14:textId="77777777" w:rsidR="00F67C4C" w:rsidRDefault="00A47F2B" w:rsidP="0006101A">
      <w:pPr>
        <w:spacing w:line="360" w:lineRule="auto"/>
        <w:jc w:val="both"/>
        <w:rPr>
          <w:rFonts w:ascii="Garamond" w:hAnsi="Garamond" w:cs="Sylfaen"/>
          <w:bCs/>
          <w:iCs/>
          <w:color w:val="000000"/>
          <w:sz w:val="22"/>
          <w:szCs w:val="22"/>
        </w:rPr>
      </w:pPr>
      <w:r w:rsidRPr="00A32AB2">
        <w:rPr>
          <w:rFonts w:ascii="Garamond" w:hAnsi="Garamond" w:cs="Sylfaen"/>
          <w:bCs/>
          <w:iCs/>
          <w:color w:val="000000"/>
          <w:sz w:val="22"/>
          <w:szCs w:val="22"/>
        </w:rPr>
        <w:t xml:space="preserve">With </w:t>
      </w:r>
      <w:r w:rsidR="00F244DB" w:rsidRPr="00A32AB2">
        <w:rPr>
          <w:rFonts w:ascii="Garamond" w:hAnsi="Garamond" w:cs="Sylfaen"/>
          <w:bCs/>
          <w:iCs/>
          <w:color w:val="000000"/>
          <w:sz w:val="22"/>
          <w:szCs w:val="22"/>
        </w:rPr>
        <w:t xml:space="preserve">revenue and expenditure </w:t>
      </w:r>
      <w:r w:rsidRPr="00A32AB2">
        <w:rPr>
          <w:rFonts w:ascii="Garamond" w:hAnsi="Garamond" w:cs="Sylfaen"/>
          <w:bCs/>
          <w:iCs/>
          <w:color w:val="000000"/>
          <w:sz w:val="22"/>
          <w:szCs w:val="22"/>
        </w:rPr>
        <w:t>performance described above,</w:t>
      </w:r>
      <w:r w:rsidR="00F244DB" w:rsidRPr="00A32AB2">
        <w:rPr>
          <w:rFonts w:ascii="Garamond" w:hAnsi="Garamond" w:cs="Sylfaen"/>
          <w:bCs/>
          <w:iCs/>
          <w:color w:val="000000"/>
          <w:sz w:val="22"/>
          <w:szCs w:val="22"/>
        </w:rPr>
        <w:t xml:space="preserve"> </w:t>
      </w:r>
      <w:r w:rsidRPr="00A32AB2">
        <w:rPr>
          <w:rFonts w:ascii="Garamond" w:hAnsi="Garamond" w:cs="Sylfaen"/>
          <w:bCs/>
          <w:iCs/>
          <w:color w:val="000000"/>
          <w:sz w:val="22"/>
          <w:szCs w:val="22"/>
        </w:rPr>
        <w:t xml:space="preserve">in the </w:t>
      </w:r>
      <w:r w:rsidR="00F67C4C">
        <w:rPr>
          <w:rFonts w:ascii="Garamond" w:hAnsi="Garamond" w:cs="Sylfaen"/>
          <w:bCs/>
          <w:iCs/>
          <w:color w:val="000000"/>
          <w:sz w:val="22"/>
          <w:szCs w:val="22"/>
        </w:rPr>
        <w:t>thir</w:t>
      </w:r>
      <w:r w:rsidRPr="00A32AB2">
        <w:rPr>
          <w:rFonts w:ascii="Garamond" w:hAnsi="Garamond" w:cs="Sylfaen"/>
          <w:bCs/>
          <w:iCs/>
          <w:color w:val="000000"/>
          <w:sz w:val="22"/>
          <w:szCs w:val="22"/>
        </w:rPr>
        <w:t xml:space="preserve">d quarter of 2016 </w:t>
      </w:r>
      <w:r w:rsidR="00F244DB" w:rsidRPr="00A32AB2">
        <w:rPr>
          <w:rFonts w:ascii="Garamond" w:hAnsi="Garamond" w:cs="Sylfaen"/>
          <w:bCs/>
          <w:iCs/>
          <w:color w:val="000000"/>
          <w:sz w:val="22"/>
          <w:szCs w:val="22"/>
        </w:rPr>
        <w:t xml:space="preserve">the state budget generated </w:t>
      </w:r>
      <w:r w:rsidRPr="00A32AB2">
        <w:rPr>
          <w:rFonts w:ascii="Garamond" w:hAnsi="Garamond" w:cs="Sylfaen"/>
          <w:bCs/>
          <w:iCs/>
          <w:color w:val="000000"/>
          <w:sz w:val="22"/>
          <w:szCs w:val="22"/>
        </w:rPr>
        <w:t xml:space="preserve">a </w:t>
      </w:r>
      <w:r w:rsidR="00F244DB" w:rsidRPr="00A32AB2">
        <w:rPr>
          <w:rFonts w:ascii="Garamond" w:hAnsi="Garamond" w:cs="Sylfaen"/>
          <w:bCs/>
          <w:iCs/>
          <w:color w:val="000000"/>
          <w:sz w:val="22"/>
          <w:szCs w:val="22"/>
        </w:rPr>
        <w:t xml:space="preserve">deficit of roughly AMD </w:t>
      </w:r>
      <w:r w:rsidR="00F67C4C">
        <w:rPr>
          <w:rFonts w:ascii="Garamond" w:hAnsi="Garamond" w:cs="Sylfaen"/>
          <w:bCs/>
          <w:iCs/>
          <w:color w:val="000000"/>
          <w:sz w:val="22"/>
          <w:szCs w:val="22"/>
        </w:rPr>
        <w:t>61</w:t>
      </w:r>
      <w:r w:rsidR="00F244DB" w:rsidRPr="00A32AB2">
        <w:rPr>
          <w:rFonts w:ascii="Garamond" w:hAnsi="Garamond" w:cs="Sylfaen"/>
          <w:bCs/>
          <w:iCs/>
          <w:color w:val="000000"/>
          <w:sz w:val="22"/>
          <w:szCs w:val="22"/>
        </w:rPr>
        <w:t>.</w:t>
      </w:r>
      <w:r w:rsidR="00F67C4C">
        <w:rPr>
          <w:rFonts w:ascii="Garamond" w:hAnsi="Garamond" w:cs="Sylfaen"/>
          <w:bCs/>
          <w:iCs/>
          <w:color w:val="000000"/>
          <w:sz w:val="22"/>
          <w:szCs w:val="22"/>
        </w:rPr>
        <w:t>0</w:t>
      </w:r>
      <w:r w:rsidR="00F244DB" w:rsidRPr="00A32AB2">
        <w:rPr>
          <w:rFonts w:ascii="Garamond" w:hAnsi="Garamond" w:cs="Sylfaen"/>
          <w:bCs/>
          <w:iCs/>
          <w:color w:val="000000"/>
          <w:sz w:val="22"/>
          <w:szCs w:val="22"/>
        </w:rPr>
        <w:t xml:space="preserve"> billion</w:t>
      </w:r>
      <w:r w:rsidR="00F67C4C">
        <w:rPr>
          <w:rFonts w:ascii="Garamond" w:hAnsi="Garamond" w:cs="Sylfaen"/>
          <w:bCs/>
          <w:iCs/>
          <w:color w:val="000000"/>
          <w:sz w:val="22"/>
          <w:szCs w:val="22"/>
        </w:rPr>
        <w:t>, constituting 126.4% of the CBA projection.</w:t>
      </w:r>
      <w:r w:rsidR="00F856C1" w:rsidRPr="00A32AB2">
        <w:rPr>
          <w:rFonts w:ascii="Garamond" w:hAnsi="Garamond" w:cs="Sylfaen"/>
          <w:bCs/>
          <w:iCs/>
          <w:color w:val="000000"/>
          <w:sz w:val="22"/>
          <w:szCs w:val="22"/>
        </w:rPr>
        <w:t xml:space="preserve"> The deficit </w:t>
      </w:r>
      <w:r w:rsidR="00F244DB" w:rsidRPr="00A32AB2">
        <w:rPr>
          <w:rFonts w:ascii="Garamond" w:hAnsi="Garamond" w:cs="Sylfaen"/>
          <w:bCs/>
          <w:iCs/>
          <w:color w:val="000000"/>
          <w:sz w:val="22"/>
          <w:szCs w:val="22"/>
        </w:rPr>
        <w:t xml:space="preserve">has been financed </w:t>
      </w:r>
      <w:r w:rsidRPr="00A32AB2">
        <w:rPr>
          <w:rFonts w:ascii="Garamond" w:hAnsi="Garamond" w:cs="Sylfaen"/>
          <w:bCs/>
          <w:iCs/>
          <w:color w:val="000000"/>
          <w:sz w:val="22"/>
          <w:szCs w:val="22"/>
        </w:rPr>
        <w:t>by domestic sources (</w:t>
      </w:r>
      <w:r w:rsidR="00F67C4C">
        <w:rPr>
          <w:rFonts w:ascii="Garamond" w:hAnsi="Garamond" w:cs="Sylfaen"/>
          <w:bCs/>
          <w:iCs/>
          <w:color w:val="000000"/>
          <w:sz w:val="22"/>
          <w:szCs w:val="22"/>
        </w:rPr>
        <w:t>4</w:t>
      </w:r>
      <w:r w:rsidRPr="00A32AB2">
        <w:rPr>
          <w:rFonts w:ascii="Garamond" w:hAnsi="Garamond" w:cs="Sylfaen"/>
          <w:bCs/>
          <w:iCs/>
          <w:color w:val="000000"/>
          <w:sz w:val="22"/>
          <w:szCs w:val="22"/>
        </w:rPr>
        <w:t>4%) and external sources (</w:t>
      </w:r>
      <w:r w:rsidR="00F67C4C">
        <w:rPr>
          <w:rFonts w:ascii="Garamond" w:hAnsi="Garamond" w:cs="Sylfaen"/>
          <w:bCs/>
          <w:iCs/>
          <w:color w:val="000000"/>
          <w:sz w:val="22"/>
          <w:szCs w:val="22"/>
        </w:rPr>
        <w:t>5</w:t>
      </w:r>
      <w:r w:rsidRPr="00A32AB2">
        <w:rPr>
          <w:rFonts w:ascii="Garamond" w:hAnsi="Garamond" w:cs="Sylfaen"/>
          <w:bCs/>
          <w:iCs/>
          <w:color w:val="000000"/>
          <w:sz w:val="22"/>
          <w:szCs w:val="22"/>
        </w:rPr>
        <w:t xml:space="preserve">6%). </w:t>
      </w:r>
    </w:p>
    <w:p w14:paraId="29606A88" w14:textId="77777777" w:rsidR="00F67C4C" w:rsidRDefault="00F67C4C" w:rsidP="0006101A">
      <w:pPr>
        <w:spacing w:line="360" w:lineRule="auto"/>
        <w:jc w:val="both"/>
        <w:rPr>
          <w:rFonts w:ascii="Garamond" w:hAnsi="Garamond" w:cs="Sylfaen"/>
          <w:bCs/>
          <w:iCs/>
          <w:color w:val="000000"/>
          <w:sz w:val="22"/>
          <w:szCs w:val="22"/>
        </w:rPr>
      </w:pPr>
    </w:p>
    <w:p w14:paraId="72E3AB69" w14:textId="0EB5AC84" w:rsidR="00F856C1" w:rsidRPr="00E83594" w:rsidRDefault="00F856C1" w:rsidP="0006101A">
      <w:pPr>
        <w:spacing w:line="360" w:lineRule="auto"/>
        <w:jc w:val="both"/>
        <w:rPr>
          <w:rFonts w:ascii="Garamond" w:hAnsi="Garamond" w:cs="Sylfaen"/>
          <w:bCs/>
          <w:iCs/>
          <w:color w:val="000000"/>
          <w:sz w:val="22"/>
          <w:szCs w:val="22"/>
        </w:rPr>
      </w:pPr>
      <w:r w:rsidRPr="00A32AB2">
        <w:rPr>
          <w:rFonts w:ascii="Garamond" w:hAnsi="Garamond" w:cs="Sylfaen"/>
          <w:bCs/>
          <w:iCs/>
          <w:color w:val="000000"/>
          <w:sz w:val="22"/>
          <w:szCs w:val="22"/>
        </w:rPr>
        <w:t>Specifically, net proceeds from placement of T-bills in the</w:t>
      </w:r>
      <w:r w:rsidR="00417AA7">
        <w:rPr>
          <w:rFonts w:ascii="Garamond" w:hAnsi="Garamond" w:cs="Sylfaen"/>
          <w:bCs/>
          <w:iCs/>
          <w:color w:val="000000"/>
          <w:sz w:val="22"/>
          <w:szCs w:val="22"/>
        </w:rPr>
        <w:t xml:space="preserve"> </w:t>
      </w:r>
      <w:r w:rsidR="00F67C4C" w:rsidRPr="00492AFD">
        <w:rPr>
          <w:rFonts w:ascii="Garamond" w:hAnsi="Garamond" w:cs="Sylfaen"/>
          <w:bCs/>
          <w:iCs/>
          <w:color w:val="000000"/>
          <w:sz w:val="22"/>
          <w:szCs w:val="22"/>
          <w:highlight w:val="yellow"/>
        </w:rPr>
        <w:t>thir</w:t>
      </w:r>
      <w:r w:rsidR="00A47F2B" w:rsidRPr="00127DE6">
        <w:rPr>
          <w:rFonts w:ascii="Garamond" w:hAnsi="Garamond" w:cs="Sylfaen"/>
          <w:bCs/>
          <w:iCs/>
          <w:color w:val="000000"/>
          <w:sz w:val="22"/>
          <w:szCs w:val="22"/>
          <w:highlight w:val="yellow"/>
        </w:rPr>
        <w:t>d</w:t>
      </w:r>
      <w:r w:rsidR="00A47F2B" w:rsidRPr="00A32AB2">
        <w:rPr>
          <w:rFonts w:ascii="Garamond" w:hAnsi="Garamond" w:cs="Sylfaen"/>
          <w:bCs/>
          <w:iCs/>
          <w:color w:val="000000"/>
          <w:sz w:val="22"/>
          <w:szCs w:val="22"/>
        </w:rPr>
        <w:t xml:space="preserve"> </w:t>
      </w:r>
      <w:r w:rsidRPr="00A32AB2">
        <w:rPr>
          <w:rFonts w:ascii="Garamond" w:hAnsi="Garamond" w:cs="Sylfaen"/>
          <w:bCs/>
          <w:iCs/>
          <w:color w:val="000000"/>
          <w:sz w:val="22"/>
          <w:szCs w:val="22"/>
        </w:rPr>
        <w:t xml:space="preserve">quarter amounted to AMD </w:t>
      </w:r>
      <w:r w:rsidR="00492AFD">
        <w:rPr>
          <w:rFonts w:ascii="Garamond" w:hAnsi="Garamond" w:cs="Sylfaen"/>
          <w:bCs/>
          <w:iCs/>
          <w:color w:val="000000"/>
          <w:sz w:val="22"/>
          <w:szCs w:val="22"/>
        </w:rPr>
        <w:t>63</w:t>
      </w:r>
      <w:r w:rsidRPr="00A32AB2">
        <w:rPr>
          <w:rFonts w:ascii="Garamond" w:hAnsi="Garamond" w:cs="Sylfaen"/>
          <w:bCs/>
          <w:iCs/>
          <w:color w:val="000000"/>
          <w:sz w:val="22"/>
          <w:szCs w:val="22"/>
        </w:rPr>
        <w:t>.</w:t>
      </w:r>
      <w:r w:rsidR="00492AFD">
        <w:rPr>
          <w:rFonts w:ascii="Garamond" w:hAnsi="Garamond" w:cs="Sylfaen"/>
          <w:bCs/>
          <w:iCs/>
          <w:color w:val="000000"/>
          <w:sz w:val="22"/>
          <w:szCs w:val="22"/>
        </w:rPr>
        <w:t>7</w:t>
      </w:r>
      <w:r w:rsidRPr="00A32AB2">
        <w:rPr>
          <w:rFonts w:ascii="Garamond" w:hAnsi="Garamond" w:cs="Sylfaen"/>
          <w:bCs/>
          <w:iCs/>
          <w:color w:val="000000"/>
          <w:sz w:val="22"/>
          <w:szCs w:val="22"/>
        </w:rPr>
        <w:t xml:space="preserve"> billion</w:t>
      </w:r>
      <w:r w:rsidR="00492AFD">
        <w:rPr>
          <w:rFonts w:ascii="Garamond" w:hAnsi="Garamond" w:cs="Sylfaen"/>
          <w:bCs/>
          <w:iCs/>
          <w:color w:val="000000"/>
          <w:sz w:val="22"/>
          <w:szCs w:val="22"/>
        </w:rPr>
        <w:t xml:space="preserve"> </w:t>
      </w:r>
      <w:r w:rsidR="00492AFD" w:rsidRPr="00492AFD">
        <w:rPr>
          <w:rFonts w:ascii="Garamond" w:hAnsi="Garamond" w:cs="Sylfaen"/>
          <w:bCs/>
          <w:iCs/>
          <w:color w:val="000000"/>
          <w:sz w:val="22"/>
          <w:szCs w:val="22"/>
        </w:rPr>
        <w:t xml:space="preserve">which has been a source of deficit financing </w:t>
      </w:r>
      <w:r w:rsidR="00492AFD">
        <w:rPr>
          <w:rFonts w:ascii="Garamond" w:hAnsi="Garamond" w:cs="Sylfaen"/>
          <w:bCs/>
          <w:iCs/>
          <w:color w:val="000000"/>
          <w:sz w:val="22"/>
          <w:szCs w:val="22"/>
        </w:rPr>
        <w:t xml:space="preserve">amid narrowing </w:t>
      </w:r>
      <w:r w:rsidR="00492AFD" w:rsidRPr="00492AFD">
        <w:rPr>
          <w:rFonts w:ascii="Garamond" w:hAnsi="Garamond" w:cs="Sylfaen"/>
          <w:bCs/>
          <w:iCs/>
          <w:color w:val="000000"/>
          <w:sz w:val="22"/>
          <w:szCs w:val="22"/>
        </w:rPr>
        <w:t>tax revenues</w:t>
      </w:r>
      <w:r w:rsidRPr="00A32AB2">
        <w:rPr>
          <w:rFonts w:ascii="Garamond" w:hAnsi="Garamond" w:cs="Sylfaen"/>
          <w:bCs/>
          <w:iCs/>
          <w:color w:val="000000"/>
          <w:sz w:val="22"/>
          <w:szCs w:val="22"/>
        </w:rPr>
        <w:t>.</w:t>
      </w:r>
      <w:r w:rsidR="00492AFD">
        <w:rPr>
          <w:rFonts w:ascii="Garamond" w:hAnsi="Garamond" w:cs="Sylfaen"/>
          <w:bCs/>
          <w:iCs/>
          <w:color w:val="000000"/>
          <w:sz w:val="22"/>
          <w:szCs w:val="22"/>
        </w:rPr>
        <w:t xml:space="preserve"> </w:t>
      </w:r>
      <w:r w:rsidR="00870300">
        <w:rPr>
          <w:rFonts w:ascii="Garamond" w:hAnsi="Garamond" w:cs="Sylfaen"/>
          <w:bCs/>
          <w:iCs/>
          <w:color w:val="000000"/>
          <w:sz w:val="22"/>
          <w:szCs w:val="22"/>
        </w:rPr>
        <w:t xml:space="preserve">The </w:t>
      </w:r>
      <w:r w:rsidR="00870300" w:rsidRPr="00492AFD">
        <w:rPr>
          <w:rFonts w:ascii="Garamond" w:hAnsi="Garamond" w:cs="Sylfaen"/>
          <w:bCs/>
          <w:iCs/>
          <w:color w:val="000000"/>
          <w:sz w:val="22"/>
          <w:szCs w:val="22"/>
        </w:rPr>
        <w:t>expansionary monetary policy of the C</w:t>
      </w:r>
      <w:r w:rsidR="00870300">
        <w:rPr>
          <w:rFonts w:ascii="Garamond" w:hAnsi="Garamond" w:cs="Sylfaen"/>
          <w:bCs/>
          <w:iCs/>
          <w:color w:val="000000"/>
          <w:sz w:val="22"/>
          <w:szCs w:val="22"/>
        </w:rPr>
        <w:t xml:space="preserve">BA led </w:t>
      </w:r>
      <w:r w:rsidR="00492AFD" w:rsidRPr="00492AFD">
        <w:rPr>
          <w:rFonts w:ascii="Garamond" w:hAnsi="Garamond" w:cs="Sylfaen"/>
          <w:bCs/>
          <w:iCs/>
          <w:color w:val="000000"/>
          <w:sz w:val="22"/>
          <w:szCs w:val="22"/>
        </w:rPr>
        <w:t xml:space="preserve">market </w:t>
      </w:r>
      <w:r w:rsidR="00870300">
        <w:rPr>
          <w:rFonts w:ascii="Garamond" w:hAnsi="Garamond" w:cs="Sylfaen"/>
          <w:bCs/>
          <w:iCs/>
          <w:color w:val="000000"/>
          <w:sz w:val="22"/>
          <w:szCs w:val="22"/>
        </w:rPr>
        <w:t xml:space="preserve">rates to slope down </w:t>
      </w:r>
      <w:r w:rsidR="00492AFD" w:rsidRPr="00492AFD">
        <w:rPr>
          <w:rFonts w:ascii="Garamond" w:hAnsi="Garamond" w:cs="Sylfaen"/>
          <w:bCs/>
          <w:iCs/>
          <w:color w:val="000000"/>
          <w:sz w:val="22"/>
          <w:szCs w:val="22"/>
        </w:rPr>
        <w:t>alo</w:t>
      </w:r>
      <w:r w:rsidR="00492AFD">
        <w:rPr>
          <w:rFonts w:ascii="Garamond" w:hAnsi="Garamond" w:cs="Sylfaen"/>
          <w:bCs/>
          <w:iCs/>
          <w:color w:val="000000"/>
          <w:sz w:val="22"/>
          <w:szCs w:val="22"/>
        </w:rPr>
        <w:t xml:space="preserve">ng the </w:t>
      </w:r>
      <w:r w:rsidR="00870300">
        <w:rPr>
          <w:rFonts w:ascii="Garamond" w:hAnsi="Garamond" w:cs="Sylfaen"/>
          <w:bCs/>
          <w:iCs/>
          <w:color w:val="000000"/>
          <w:sz w:val="22"/>
          <w:szCs w:val="22"/>
        </w:rPr>
        <w:t xml:space="preserve">entire </w:t>
      </w:r>
      <w:r w:rsidR="00492AFD">
        <w:rPr>
          <w:rFonts w:ascii="Garamond" w:hAnsi="Garamond" w:cs="Sylfaen"/>
          <w:bCs/>
          <w:iCs/>
          <w:color w:val="000000"/>
          <w:sz w:val="22"/>
          <w:szCs w:val="22"/>
        </w:rPr>
        <w:t>yield curve</w:t>
      </w:r>
      <w:r w:rsidR="00870300">
        <w:rPr>
          <w:rFonts w:ascii="Garamond" w:hAnsi="Garamond" w:cs="Sylfaen"/>
          <w:bCs/>
          <w:iCs/>
          <w:color w:val="000000"/>
          <w:sz w:val="22"/>
          <w:szCs w:val="22"/>
        </w:rPr>
        <w:t xml:space="preserve"> which </w:t>
      </w:r>
      <w:r w:rsidR="00492AFD">
        <w:rPr>
          <w:rFonts w:ascii="Garamond" w:hAnsi="Garamond" w:cs="Sylfaen"/>
          <w:bCs/>
          <w:iCs/>
          <w:color w:val="000000"/>
          <w:sz w:val="22"/>
          <w:szCs w:val="22"/>
        </w:rPr>
        <w:t>enabled the G</w:t>
      </w:r>
      <w:r w:rsidR="00492AFD" w:rsidRPr="00492AFD">
        <w:rPr>
          <w:rFonts w:ascii="Garamond" w:hAnsi="Garamond" w:cs="Sylfaen"/>
          <w:bCs/>
          <w:iCs/>
          <w:color w:val="000000"/>
          <w:sz w:val="22"/>
          <w:szCs w:val="22"/>
        </w:rPr>
        <w:t xml:space="preserve">overnment </w:t>
      </w:r>
      <w:r w:rsidR="00492AFD">
        <w:rPr>
          <w:rFonts w:ascii="Garamond" w:hAnsi="Garamond" w:cs="Sylfaen"/>
          <w:bCs/>
          <w:iCs/>
          <w:color w:val="000000"/>
          <w:sz w:val="22"/>
          <w:szCs w:val="22"/>
        </w:rPr>
        <w:t xml:space="preserve">of Armenia </w:t>
      </w:r>
      <w:r w:rsidR="00492AFD" w:rsidRPr="00492AFD">
        <w:rPr>
          <w:rFonts w:ascii="Garamond" w:hAnsi="Garamond" w:cs="Sylfaen"/>
          <w:bCs/>
          <w:iCs/>
          <w:color w:val="000000"/>
          <w:sz w:val="22"/>
          <w:szCs w:val="22"/>
        </w:rPr>
        <w:t>to finance the budget deficit by increasing the volume of government securities.</w:t>
      </w:r>
      <w:r w:rsidR="00E83594">
        <w:rPr>
          <w:rFonts w:ascii="Garamond" w:hAnsi="Garamond" w:cs="Sylfaen"/>
          <w:bCs/>
          <w:iCs/>
          <w:color w:val="000000"/>
          <w:sz w:val="22"/>
          <w:szCs w:val="22"/>
        </w:rPr>
        <w:t xml:space="preserve"> </w:t>
      </w:r>
      <w:r w:rsidRPr="00A32AB2">
        <w:rPr>
          <w:rFonts w:ascii="Garamond" w:hAnsi="Garamond" w:cs="Sylfaen"/>
          <w:iCs/>
          <w:color w:val="000000"/>
          <w:sz w:val="22"/>
          <w:szCs w:val="22"/>
        </w:rPr>
        <w:t xml:space="preserve">In the </w:t>
      </w:r>
      <w:r w:rsidR="00E83594">
        <w:rPr>
          <w:rFonts w:ascii="Garamond" w:hAnsi="Garamond" w:cs="Sylfaen"/>
          <w:iCs/>
          <w:color w:val="000000"/>
          <w:sz w:val="22"/>
          <w:szCs w:val="22"/>
        </w:rPr>
        <w:t>thir</w:t>
      </w:r>
      <w:r w:rsidR="00553BC9" w:rsidRPr="00A32AB2">
        <w:rPr>
          <w:rFonts w:ascii="Garamond" w:hAnsi="Garamond" w:cs="Sylfaen"/>
          <w:iCs/>
          <w:color w:val="000000"/>
          <w:sz w:val="22"/>
          <w:szCs w:val="22"/>
        </w:rPr>
        <w:t>d</w:t>
      </w:r>
      <w:r w:rsidRPr="00A32AB2">
        <w:rPr>
          <w:rFonts w:ascii="Garamond" w:hAnsi="Garamond" w:cs="Sylfaen"/>
          <w:iCs/>
          <w:color w:val="000000"/>
          <w:sz w:val="22"/>
          <w:szCs w:val="22"/>
        </w:rPr>
        <w:t xml:space="preserve"> quarte</w:t>
      </w:r>
      <w:r w:rsidR="00E83594">
        <w:rPr>
          <w:rFonts w:ascii="Garamond" w:hAnsi="Garamond" w:cs="Sylfaen"/>
          <w:iCs/>
          <w:color w:val="000000"/>
          <w:sz w:val="22"/>
          <w:szCs w:val="22"/>
        </w:rPr>
        <w:t>r of 2016 the fiscal policy left an</w:t>
      </w:r>
      <w:r w:rsidR="00553BC9" w:rsidRPr="00A32AB2">
        <w:rPr>
          <w:rFonts w:ascii="Garamond" w:hAnsi="Garamond" w:cs="Sylfaen"/>
          <w:iCs/>
          <w:color w:val="000000"/>
          <w:sz w:val="22"/>
          <w:szCs w:val="22"/>
        </w:rPr>
        <w:t xml:space="preserve"> expansionary </w:t>
      </w:r>
      <w:r w:rsidRPr="00A32AB2">
        <w:rPr>
          <w:rFonts w:ascii="Garamond" w:hAnsi="Garamond" w:cs="Sylfaen"/>
          <w:iCs/>
          <w:color w:val="000000"/>
          <w:sz w:val="22"/>
          <w:szCs w:val="22"/>
        </w:rPr>
        <w:t xml:space="preserve">impact on </w:t>
      </w:r>
      <w:r w:rsidR="00553BC9" w:rsidRPr="00A32AB2">
        <w:rPr>
          <w:rFonts w:ascii="Garamond" w:hAnsi="Garamond" w:cs="Sylfaen"/>
          <w:iCs/>
          <w:color w:val="000000"/>
          <w:sz w:val="22"/>
          <w:szCs w:val="22"/>
        </w:rPr>
        <w:t xml:space="preserve">the </w:t>
      </w:r>
      <w:r w:rsidRPr="00A32AB2">
        <w:rPr>
          <w:rFonts w:ascii="Garamond" w:hAnsi="Garamond" w:cs="Sylfaen"/>
          <w:iCs/>
          <w:color w:val="000000"/>
          <w:sz w:val="22"/>
          <w:szCs w:val="22"/>
        </w:rPr>
        <w:t>aggregate demand.</w:t>
      </w:r>
    </w:p>
    <w:p w14:paraId="2333CA57" w14:textId="77777777" w:rsidR="00046A8D" w:rsidRPr="00A32AB2" w:rsidRDefault="00046A8D" w:rsidP="0006101A">
      <w:pPr>
        <w:spacing w:line="360" w:lineRule="auto"/>
        <w:jc w:val="both"/>
        <w:rPr>
          <w:rFonts w:ascii="Garamond" w:hAnsi="Garamond" w:cs="Sylfaen"/>
          <w:iCs/>
          <w:color w:val="000000"/>
          <w:sz w:val="22"/>
          <w:szCs w:val="22"/>
        </w:rPr>
      </w:pPr>
    </w:p>
    <w:p w14:paraId="14E6345D" w14:textId="77777777" w:rsidR="00106C08" w:rsidRPr="00A32AB2" w:rsidRDefault="00106C08" w:rsidP="00106C08">
      <w:pPr>
        <w:spacing w:line="360" w:lineRule="auto"/>
        <w:jc w:val="both"/>
        <w:rPr>
          <w:rFonts w:ascii="Garamond" w:hAnsi="Garamond"/>
          <w:sz w:val="22"/>
          <w:szCs w:val="22"/>
        </w:rPr>
      </w:pPr>
      <w:r w:rsidRPr="00A32AB2">
        <w:rPr>
          <w:rFonts w:ascii="Garamond" w:hAnsi="Garamond"/>
          <w:sz w:val="22"/>
          <w:szCs w:val="22"/>
        </w:rPr>
        <w:t xml:space="preserve">Overall, the </w:t>
      </w:r>
      <w:r w:rsidR="004659BE" w:rsidRPr="00A32AB2">
        <w:rPr>
          <w:rFonts w:ascii="Garamond" w:hAnsi="Garamond"/>
          <w:sz w:val="22"/>
          <w:szCs w:val="22"/>
        </w:rPr>
        <w:t xml:space="preserve">fiscal policy conducted over the first </w:t>
      </w:r>
      <w:r w:rsidR="00C50F25">
        <w:rPr>
          <w:rFonts w:ascii="Garamond" w:hAnsi="Garamond"/>
          <w:sz w:val="22"/>
          <w:szCs w:val="22"/>
        </w:rPr>
        <w:t xml:space="preserve">nine months </w:t>
      </w:r>
      <w:r w:rsidR="004659BE" w:rsidRPr="00A32AB2">
        <w:rPr>
          <w:rFonts w:ascii="Garamond" w:hAnsi="Garamond"/>
          <w:sz w:val="22"/>
          <w:szCs w:val="22"/>
        </w:rPr>
        <w:t xml:space="preserve">of 2016 </w:t>
      </w:r>
      <w:r w:rsidR="00C50F25">
        <w:rPr>
          <w:rFonts w:ascii="Garamond" w:hAnsi="Garamond"/>
          <w:sz w:val="22"/>
          <w:szCs w:val="22"/>
        </w:rPr>
        <w:t xml:space="preserve">has </w:t>
      </w:r>
      <w:r w:rsidR="004659BE" w:rsidRPr="00A32AB2">
        <w:rPr>
          <w:rFonts w:ascii="Garamond" w:hAnsi="Garamond"/>
          <w:sz w:val="22"/>
          <w:szCs w:val="22"/>
        </w:rPr>
        <w:t>ha</w:t>
      </w:r>
      <w:r w:rsidR="00C50F25">
        <w:rPr>
          <w:rFonts w:ascii="Garamond" w:hAnsi="Garamond"/>
          <w:sz w:val="22"/>
          <w:szCs w:val="22"/>
        </w:rPr>
        <w:t>d</w:t>
      </w:r>
      <w:r w:rsidR="004659BE" w:rsidRPr="00A32AB2">
        <w:rPr>
          <w:rFonts w:ascii="Garamond" w:hAnsi="Garamond"/>
          <w:sz w:val="22"/>
          <w:szCs w:val="22"/>
        </w:rPr>
        <w:t xml:space="preserve"> </w:t>
      </w:r>
      <w:r w:rsidRPr="00A32AB2">
        <w:rPr>
          <w:rFonts w:ascii="Garamond" w:hAnsi="Garamond"/>
          <w:sz w:val="22"/>
          <w:szCs w:val="22"/>
        </w:rPr>
        <w:t>1.</w:t>
      </w:r>
      <w:r w:rsidR="00C50F25">
        <w:rPr>
          <w:rFonts w:ascii="Garamond" w:hAnsi="Garamond"/>
          <w:sz w:val="22"/>
          <w:szCs w:val="22"/>
        </w:rPr>
        <w:t>2</w:t>
      </w:r>
      <w:r w:rsidRPr="00A32AB2">
        <w:rPr>
          <w:rFonts w:ascii="Garamond" w:hAnsi="Garamond"/>
          <w:sz w:val="22"/>
          <w:szCs w:val="22"/>
        </w:rPr>
        <w:t xml:space="preserve"> </w:t>
      </w:r>
      <w:r w:rsidR="004659BE" w:rsidRPr="00A32AB2">
        <w:rPr>
          <w:rFonts w:ascii="Garamond" w:hAnsi="Garamond"/>
          <w:sz w:val="22"/>
          <w:szCs w:val="22"/>
        </w:rPr>
        <w:t xml:space="preserve">of </w:t>
      </w:r>
      <w:r w:rsidRPr="00A32AB2">
        <w:rPr>
          <w:rFonts w:ascii="Garamond" w:hAnsi="Garamond"/>
          <w:sz w:val="22"/>
          <w:szCs w:val="22"/>
        </w:rPr>
        <w:t>expansionary impact on</w:t>
      </w:r>
      <w:r w:rsidR="00C50F25">
        <w:rPr>
          <w:rFonts w:ascii="Garamond" w:hAnsi="Garamond"/>
          <w:sz w:val="22"/>
          <w:szCs w:val="22"/>
        </w:rPr>
        <w:t xml:space="preserve"> the</w:t>
      </w:r>
      <w:r w:rsidRPr="00A32AB2">
        <w:rPr>
          <w:rFonts w:ascii="Garamond" w:hAnsi="Garamond"/>
          <w:sz w:val="22"/>
          <w:szCs w:val="22"/>
        </w:rPr>
        <w:t xml:space="preserve"> aggregate demand, </w:t>
      </w:r>
      <w:r w:rsidR="004659BE" w:rsidRPr="00A32AB2">
        <w:rPr>
          <w:rFonts w:ascii="Garamond" w:hAnsi="Garamond"/>
          <w:sz w:val="22"/>
          <w:szCs w:val="22"/>
        </w:rPr>
        <w:t>primarily owing to t</w:t>
      </w:r>
      <w:r w:rsidRPr="00A32AB2">
        <w:rPr>
          <w:rFonts w:ascii="Garamond" w:hAnsi="Garamond"/>
          <w:sz w:val="22"/>
          <w:szCs w:val="22"/>
        </w:rPr>
        <w:t xml:space="preserve">he </w:t>
      </w:r>
      <w:r w:rsidR="004659BE" w:rsidRPr="00A32AB2">
        <w:rPr>
          <w:rFonts w:ascii="Garamond" w:hAnsi="Garamond"/>
          <w:sz w:val="22"/>
          <w:szCs w:val="22"/>
        </w:rPr>
        <w:t xml:space="preserve">expansionary effect of </w:t>
      </w:r>
      <w:r w:rsidR="00C50F25">
        <w:rPr>
          <w:rFonts w:ascii="Garamond" w:hAnsi="Garamond"/>
          <w:sz w:val="22"/>
          <w:szCs w:val="22"/>
        </w:rPr>
        <w:t xml:space="preserve">both </w:t>
      </w:r>
      <w:r w:rsidR="004659BE" w:rsidRPr="00A32AB2">
        <w:rPr>
          <w:rFonts w:ascii="Garamond" w:hAnsi="Garamond"/>
          <w:sz w:val="22"/>
          <w:szCs w:val="22"/>
        </w:rPr>
        <w:t xml:space="preserve">the </w:t>
      </w:r>
      <w:r w:rsidRPr="00A32AB2">
        <w:rPr>
          <w:rFonts w:ascii="Garamond" w:hAnsi="Garamond"/>
          <w:sz w:val="22"/>
          <w:szCs w:val="22"/>
        </w:rPr>
        <w:t>revenue</w:t>
      </w:r>
      <w:r w:rsidR="004659BE" w:rsidRPr="00A32AB2">
        <w:rPr>
          <w:rFonts w:ascii="Garamond" w:hAnsi="Garamond"/>
          <w:sz w:val="22"/>
          <w:szCs w:val="22"/>
        </w:rPr>
        <w:t>s</w:t>
      </w:r>
      <w:r w:rsidR="00C50F25">
        <w:rPr>
          <w:rFonts w:ascii="Garamond" w:hAnsi="Garamond"/>
          <w:sz w:val="22"/>
          <w:szCs w:val="22"/>
        </w:rPr>
        <w:t xml:space="preserve"> and expenditures.</w:t>
      </w:r>
    </w:p>
    <w:p w14:paraId="5E739592" w14:textId="77777777" w:rsidR="00FE5317" w:rsidRPr="00A32AB2" w:rsidRDefault="00FE5317" w:rsidP="00577965">
      <w:pPr>
        <w:spacing w:line="360" w:lineRule="auto"/>
        <w:jc w:val="both"/>
        <w:rPr>
          <w:rFonts w:ascii="Garamond" w:hAnsi="Garamond"/>
          <w:sz w:val="22"/>
          <w:szCs w:val="22"/>
        </w:rPr>
      </w:pPr>
    </w:p>
    <w:p w14:paraId="133DEE50" w14:textId="6AA7FA0D" w:rsidR="00F856C1" w:rsidRPr="00A32AB2" w:rsidRDefault="00F856C1" w:rsidP="0006101A">
      <w:pPr>
        <w:spacing w:line="360" w:lineRule="auto"/>
        <w:jc w:val="both"/>
        <w:rPr>
          <w:rFonts w:ascii="Garamond" w:hAnsi="Garamond" w:cs="Sylfaen"/>
          <w:bCs/>
          <w:iCs/>
          <w:color w:val="000000"/>
          <w:sz w:val="22"/>
          <w:szCs w:val="22"/>
        </w:rPr>
      </w:pPr>
      <w:r w:rsidRPr="00A32AB2">
        <w:rPr>
          <w:rFonts w:ascii="Garamond" w:hAnsi="Garamond" w:cs="Sylfaen"/>
          <w:b/>
          <w:sz w:val="22"/>
          <w:szCs w:val="22"/>
        </w:rPr>
        <w:t xml:space="preserve">Summary: </w:t>
      </w:r>
      <w:r w:rsidRPr="00A32AB2">
        <w:rPr>
          <w:rFonts w:ascii="Garamond" w:hAnsi="Garamond"/>
          <w:b/>
          <w:sz w:val="22"/>
          <w:szCs w:val="22"/>
        </w:rPr>
        <w:t>reduced private transfers from Russia a</w:t>
      </w:r>
      <w:r w:rsidR="00C50F25">
        <w:rPr>
          <w:rFonts w:ascii="Garamond" w:hAnsi="Garamond"/>
          <w:b/>
          <w:sz w:val="22"/>
          <w:szCs w:val="22"/>
        </w:rPr>
        <w:t xml:space="preserve">nd </w:t>
      </w:r>
      <w:r w:rsidRPr="00A32AB2">
        <w:rPr>
          <w:rFonts w:ascii="Garamond" w:hAnsi="Garamond"/>
          <w:b/>
          <w:sz w:val="22"/>
          <w:szCs w:val="22"/>
        </w:rPr>
        <w:t xml:space="preserve">sluggish investment activity in the domestic economy dampened </w:t>
      </w:r>
      <w:r w:rsidR="00C50F25">
        <w:rPr>
          <w:rFonts w:ascii="Garamond" w:hAnsi="Garamond"/>
          <w:b/>
          <w:sz w:val="22"/>
          <w:szCs w:val="22"/>
        </w:rPr>
        <w:t xml:space="preserve">consumption in the private </w:t>
      </w:r>
      <w:r w:rsidRPr="00A32AB2">
        <w:rPr>
          <w:rFonts w:ascii="Garamond" w:hAnsi="Garamond"/>
          <w:b/>
          <w:sz w:val="22"/>
          <w:szCs w:val="22"/>
        </w:rPr>
        <w:t>s</w:t>
      </w:r>
      <w:r w:rsidR="00C50F25">
        <w:rPr>
          <w:rFonts w:ascii="Garamond" w:hAnsi="Garamond"/>
          <w:b/>
          <w:sz w:val="22"/>
          <w:szCs w:val="22"/>
        </w:rPr>
        <w:t xml:space="preserve">ector </w:t>
      </w:r>
      <w:r w:rsidRPr="00A32AB2">
        <w:rPr>
          <w:rFonts w:ascii="Garamond" w:hAnsi="Garamond"/>
          <w:b/>
          <w:sz w:val="22"/>
          <w:szCs w:val="22"/>
        </w:rPr>
        <w:t xml:space="preserve">in </w:t>
      </w:r>
      <w:r w:rsidR="00DA6002" w:rsidRPr="00A32AB2">
        <w:rPr>
          <w:rFonts w:ascii="Garamond" w:hAnsi="Garamond"/>
          <w:b/>
          <w:sz w:val="22"/>
          <w:szCs w:val="22"/>
        </w:rPr>
        <w:t xml:space="preserve">the </w:t>
      </w:r>
      <w:r w:rsidR="00C50F25">
        <w:rPr>
          <w:rFonts w:ascii="Garamond" w:hAnsi="Garamond"/>
          <w:b/>
          <w:sz w:val="22"/>
          <w:szCs w:val="22"/>
        </w:rPr>
        <w:t>thir</w:t>
      </w:r>
      <w:r w:rsidR="00ED4F25" w:rsidRPr="00A32AB2">
        <w:rPr>
          <w:rFonts w:ascii="Garamond" w:hAnsi="Garamond"/>
          <w:b/>
          <w:sz w:val="22"/>
          <w:szCs w:val="22"/>
        </w:rPr>
        <w:t>d</w:t>
      </w:r>
      <w:r w:rsidR="00DA6002" w:rsidRPr="00A32AB2">
        <w:rPr>
          <w:rFonts w:ascii="Garamond" w:hAnsi="Garamond"/>
          <w:b/>
          <w:sz w:val="22"/>
          <w:szCs w:val="22"/>
        </w:rPr>
        <w:t xml:space="preserve"> quarter of </w:t>
      </w:r>
      <w:r w:rsidRPr="00A32AB2">
        <w:rPr>
          <w:rFonts w:ascii="Garamond" w:hAnsi="Garamond"/>
          <w:b/>
          <w:sz w:val="22"/>
          <w:szCs w:val="22"/>
        </w:rPr>
        <w:t>201</w:t>
      </w:r>
      <w:r w:rsidR="00DA6002" w:rsidRPr="00A32AB2">
        <w:rPr>
          <w:rFonts w:ascii="Garamond" w:hAnsi="Garamond"/>
          <w:b/>
          <w:sz w:val="22"/>
          <w:szCs w:val="22"/>
        </w:rPr>
        <w:t>6</w:t>
      </w:r>
      <w:r w:rsidRPr="00A32AB2">
        <w:rPr>
          <w:rFonts w:ascii="Garamond" w:hAnsi="Garamond"/>
          <w:b/>
          <w:sz w:val="22"/>
          <w:szCs w:val="22"/>
        </w:rPr>
        <w:t>.</w:t>
      </w:r>
      <w:r w:rsidR="00ED4F25" w:rsidRPr="00A32AB2">
        <w:rPr>
          <w:rFonts w:ascii="Garamond" w:hAnsi="Garamond"/>
          <w:b/>
          <w:sz w:val="22"/>
          <w:szCs w:val="22"/>
        </w:rPr>
        <w:t xml:space="preserve"> </w:t>
      </w:r>
      <w:r w:rsidRPr="00A32AB2">
        <w:rPr>
          <w:rFonts w:ascii="Garamond" w:hAnsi="Garamond"/>
          <w:b/>
          <w:sz w:val="22"/>
          <w:szCs w:val="22"/>
        </w:rPr>
        <w:t xml:space="preserve">However, fiscal stimulus delivered to the economy </w:t>
      </w:r>
      <w:r w:rsidR="00ED4F25" w:rsidRPr="00A32AB2">
        <w:rPr>
          <w:rFonts w:ascii="Garamond" w:hAnsi="Garamond"/>
          <w:b/>
          <w:sz w:val="22"/>
          <w:szCs w:val="22"/>
        </w:rPr>
        <w:t>and</w:t>
      </w:r>
      <w:r w:rsidR="00DA6002" w:rsidRPr="00A32AB2">
        <w:rPr>
          <w:rFonts w:ascii="Garamond" w:hAnsi="Garamond"/>
          <w:b/>
          <w:sz w:val="22"/>
          <w:szCs w:val="22"/>
        </w:rPr>
        <w:t xml:space="preserve"> continued easing of </w:t>
      </w:r>
      <w:r w:rsidRPr="00A32AB2">
        <w:rPr>
          <w:rFonts w:ascii="Garamond" w:hAnsi="Garamond"/>
          <w:b/>
          <w:sz w:val="22"/>
          <w:szCs w:val="22"/>
        </w:rPr>
        <w:t xml:space="preserve">monetary conditions </w:t>
      </w:r>
      <w:r w:rsidR="00DA6002" w:rsidRPr="00A32AB2">
        <w:rPr>
          <w:rFonts w:ascii="Garamond" w:hAnsi="Garamond"/>
          <w:b/>
          <w:sz w:val="22"/>
          <w:szCs w:val="22"/>
        </w:rPr>
        <w:t xml:space="preserve">by the CBA </w:t>
      </w:r>
      <w:r w:rsidR="00C50F25">
        <w:rPr>
          <w:rFonts w:ascii="Garamond" w:hAnsi="Garamond"/>
          <w:b/>
          <w:sz w:val="22"/>
          <w:szCs w:val="22"/>
        </w:rPr>
        <w:t xml:space="preserve">between 2015 and </w:t>
      </w:r>
      <w:r w:rsidR="00DE2A48">
        <w:rPr>
          <w:rFonts w:ascii="Garamond" w:hAnsi="Garamond"/>
          <w:b/>
          <w:sz w:val="22"/>
          <w:szCs w:val="22"/>
        </w:rPr>
        <w:t xml:space="preserve">2016 </w:t>
      </w:r>
      <w:r w:rsidR="00DA6002" w:rsidRPr="00A32AB2">
        <w:rPr>
          <w:rFonts w:ascii="Garamond" w:hAnsi="Garamond"/>
          <w:b/>
          <w:sz w:val="22"/>
          <w:szCs w:val="22"/>
        </w:rPr>
        <w:t>secured</w:t>
      </w:r>
      <w:r w:rsidRPr="00A32AB2">
        <w:rPr>
          <w:rFonts w:ascii="Garamond" w:hAnsi="Garamond"/>
          <w:b/>
          <w:sz w:val="22"/>
          <w:szCs w:val="22"/>
        </w:rPr>
        <w:t xml:space="preserve"> a slower contraction of private spending</w:t>
      </w:r>
      <w:r w:rsidR="00FB246E" w:rsidRPr="00A32AB2">
        <w:rPr>
          <w:rFonts w:ascii="Garamond" w:hAnsi="Garamond"/>
          <w:b/>
          <w:sz w:val="22"/>
          <w:szCs w:val="22"/>
          <w:lang w:val="hy-AM"/>
        </w:rPr>
        <w:t xml:space="preserve"> </w:t>
      </w:r>
      <w:r w:rsidR="00DA6002" w:rsidRPr="00A32AB2">
        <w:rPr>
          <w:rFonts w:ascii="Garamond" w:hAnsi="Garamond" w:cs="Sylfaen"/>
          <w:b/>
          <w:sz w:val="22"/>
          <w:szCs w:val="22"/>
        </w:rPr>
        <w:t xml:space="preserve">while softening </w:t>
      </w:r>
      <w:r w:rsidRPr="00A32AB2">
        <w:rPr>
          <w:rFonts w:ascii="Garamond" w:hAnsi="Garamond" w:cs="Sylfaen"/>
          <w:b/>
          <w:sz w:val="22"/>
          <w:szCs w:val="22"/>
        </w:rPr>
        <w:t>t</w:t>
      </w:r>
      <w:r w:rsidRPr="00A32AB2">
        <w:rPr>
          <w:rFonts w:ascii="Garamond" w:hAnsi="Garamond"/>
          <w:b/>
          <w:sz w:val="22"/>
          <w:szCs w:val="22"/>
        </w:rPr>
        <w:t>he domestic econom</w:t>
      </w:r>
      <w:r w:rsidR="00DA6002" w:rsidRPr="00A32AB2">
        <w:rPr>
          <w:rFonts w:ascii="Garamond" w:hAnsi="Garamond"/>
          <w:b/>
          <w:sz w:val="22"/>
          <w:szCs w:val="22"/>
        </w:rPr>
        <w:t>y’s</w:t>
      </w:r>
      <w:r w:rsidRPr="00A32AB2">
        <w:rPr>
          <w:rFonts w:ascii="Garamond" w:hAnsi="Garamond"/>
          <w:b/>
          <w:sz w:val="22"/>
          <w:szCs w:val="22"/>
        </w:rPr>
        <w:t xml:space="preserve"> slowdown and deflationary environment.</w:t>
      </w:r>
    </w:p>
    <w:p w14:paraId="49EC3898" w14:textId="77777777" w:rsidR="00860E8B" w:rsidRPr="00A32AB2" w:rsidRDefault="00860E8B" w:rsidP="0006101A">
      <w:pPr>
        <w:spacing w:line="360" w:lineRule="auto"/>
        <w:jc w:val="both"/>
        <w:rPr>
          <w:rFonts w:ascii="Garamond" w:hAnsi="Garamond" w:cs="Sylfaen"/>
          <w:bCs/>
          <w:iCs/>
          <w:color w:val="000000"/>
          <w:sz w:val="22"/>
          <w:szCs w:val="22"/>
        </w:rPr>
      </w:pPr>
    </w:p>
    <w:p w14:paraId="06440EA4" w14:textId="77777777" w:rsidR="00F244DB" w:rsidRPr="00A32AB2" w:rsidRDefault="00C959AE" w:rsidP="0006101A">
      <w:pPr>
        <w:spacing w:line="360" w:lineRule="auto"/>
        <w:jc w:val="both"/>
        <w:rPr>
          <w:rFonts w:ascii="Garamond" w:hAnsi="Garamond"/>
          <w:b/>
          <w:sz w:val="22"/>
          <w:szCs w:val="22"/>
        </w:rPr>
      </w:pPr>
      <w:r w:rsidRPr="00A32AB2">
        <w:rPr>
          <w:rFonts w:ascii="Garamond" w:hAnsi="Garamond"/>
          <w:b/>
          <w:sz w:val="22"/>
          <w:szCs w:val="22"/>
        </w:rPr>
        <w:t>The private spending gap i</w:t>
      </w:r>
      <w:r w:rsidR="00860E8B" w:rsidRPr="00A32AB2">
        <w:rPr>
          <w:rFonts w:ascii="Garamond" w:hAnsi="Garamond"/>
          <w:b/>
          <w:sz w:val="22"/>
          <w:szCs w:val="22"/>
        </w:rPr>
        <w:t xml:space="preserve">n the </w:t>
      </w:r>
      <w:r w:rsidR="0050565E">
        <w:rPr>
          <w:rFonts w:ascii="Garamond" w:hAnsi="Garamond"/>
          <w:b/>
          <w:sz w:val="22"/>
          <w:szCs w:val="22"/>
        </w:rPr>
        <w:t>third</w:t>
      </w:r>
      <w:r w:rsidR="00860E8B" w:rsidRPr="00A32AB2">
        <w:rPr>
          <w:rFonts w:ascii="Garamond" w:hAnsi="Garamond"/>
          <w:b/>
          <w:sz w:val="22"/>
          <w:szCs w:val="22"/>
        </w:rPr>
        <w:t xml:space="preserve"> quarter of 2016</w:t>
      </w:r>
      <w:r w:rsidR="00EF316E" w:rsidRPr="00A32AB2">
        <w:rPr>
          <w:rFonts w:ascii="Garamond" w:hAnsi="Garamond"/>
          <w:b/>
          <w:sz w:val="22"/>
          <w:szCs w:val="22"/>
        </w:rPr>
        <w:t xml:space="preserve"> </w:t>
      </w:r>
      <w:r w:rsidR="00860E8B" w:rsidRPr="00A32AB2">
        <w:rPr>
          <w:rFonts w:ascii="Garamond" w:hAnsi="Garamond"/>
          <w:b/>
          <w:sz w:val="22"/>
          <w:szCs w:val="22"/>
        </w:rPr>
        <w:t xml:space="preserve">is estimated </w:t>
      </w:r>
      <w:r w:rsidRPr="00A32AB2">
        <w:rPr>
          <w:rFonts w:ascii="Garamond" w:hAnsi="Garamond"/>
          <w:b/>
          <w:sz w:val="22"/>
          <w:szCs w:val="22"/>
        </w:rPr>
        <w:t xml:space="preserve">as </w:t>
      </w:r>
      <w:r w:rsidR="00860E8B" w:rsidRPr="00A32AB2">
        <w:rPr>
          <w:rFonts w:ascii="Garamond" w:hAnsi="Garamond"/>
          <w:b/>
          <w:sz w:val="22"/>
          <w:szCs w:val="22"/>
        </w:rPr>
        <w:t xml:space="preserve">negative. Given </w:t>
      </w:r>
      <w:r w:rsidR="00EF316E" w:rsidRPr="00A32AB2">
        <w:rPr>
          <w:rFonts w:ascii="Garamond" w:hAnsi="Garamond"/>
          <w:b/>
          <w:sz w:val="22"/>
          <w:szCs w:val="22"/>
        </w:rPr>
        <w:t>the fiscal policy</w:t>
      </w:r>
      <w:r w:rsidR="004F33C6" w:rsidRPr="00A32AB2">
        <w:rPr>
          <w:rFonts w:ascii="Garamond" w:hAnsi="Garamond"/>
          <w:b/>
          <w:sz w:val="22"/>
          <w:szCs w:val="22"/>
        </w:rPr>
        <w:t xml:space="preserve">’s inflationary </w:t>
      </w:r>
      <w:r w:rsidR="006C2F1E">
        <w:rPr>
          <w:rFonts w:ascii="Garamond" w:hAnsi="Garamond"/>
          <w:b/>
          <w:sz w:val="22"/>
          <w:szCs w:val="22"/>
        </w:rPr>
        <w:t>behavior</w:t>
      </w:r>
      <w:r w:rsidR="004F33C6" w:rsidRPr="00A32AB2">
        <w:rPr>
          <w:rFonts w:ascii="Garamond" w:hAnsi="Garamond"/>
          <w:b/>
          <w:sz w:val="22"/>
          <w:szCs w:val="22"/>
        </w:rPr>
        <w:t xml:space="preserve">, </w:t>
      </w:r>
      <w:r w:rsidRPr="00A32AB2">
        <w:rPr>
          <w:rFonts w:ascii="Garamond" w:hAnsi="Garamond"/>
          <w:b/>
          <w:sz w:val="22"/>
          <w:szCs w:val="22"/>
        </w:rPr>
        <w:t xml:space="preserve">neutral performance </w:t>
      </w:r>
      <w:r w:rsidR="004F33C6" w:rsidRPr="00A32AB2">
        <w:rPr>
          <w:rFonts w:ascii="Garamond" w:hAnsi="Garamond"/>
          <w:b/>
          <w:sz w:val="22"/>
          <w:szCs w:val="22"/>
        </w:rPr>
        <w:t xml:space="preserve">of net exports and </w:t>
      </w:r>
      <w:r w:rsidR="00EF316E" w:rsidRPr="00A32AB2">
        <w:rPr>
          <w:rFonts w:ascii="Garamond" w:hAnsi="Garamond"/>
          <w:b/>
          <w:sz w:val="22"/>
          <w:szCs w:val="22"/>
        </w:rPr>
        <w:t xml:space="preserve">deflationary patterns </w:t>
      </w:r>
      <w:r w:rsidR="006C2F1E">
        <w:rPr>
          <w:rFonts w:ascii="Garamond" w:hAnsi="Garamond"/>
          <w:b/>
          <w:sz w:val="22"/>
          <w:szCs w:val="22"/>
        </w:rPr>
        <w:t xml:space="preserve">in </w:t>
      </w:r>
      <w:r w:rsidR="004F33C6" w:rsidRPr="00A32AB2">
        <w:rPr>
          <w:rFonts w:ascii="Garamond" w:hAnsi="Garamond"/>
          <w:b/>
          <w:sz w:val="22"/>
          <w:szCs w:val="22"/>
        </w:rPr>
        <w:t>the</w:t>
      </w:r>
      <w:r w:rsidR="00EF316E" w:rsidRPr="00A32AB2">
        <w:rPr>
          <w:rFonts w:ascii="Garamond" w:hAnsi="Garamond"/>
          <w:b/>
          <w:sz w:val="22"/>
          <w:szCs w:val="22"/>
        </w:rPr>
        <w:t xml:space="preserve"> labor market</w:t>
      </w:r>
      <w:r w:rsidR="00860E8B" w:rsidRPr="00A32AB2">
        <w:rPr>
          <w:rFonts w:ascii="Garamond" w:hAnsi="Garamond"/>
          <w:b/>
          <w:sz w:val="22"/>
          <w:szCs w:val="22"/>
        </w:rPr>
        <w:t xml:space="preserve">, the aggregate demand and labor market are estimated to have jointly created </w:t>
      </w:r>
      <w:r w:rsidR="006C2F1E">
        <w:rPr>
          <w:rFonts w:ascii="Garamond" w:hAnsi="Garamond"/>
          <w:b/>
          <w:sz w:val="22"/>
          <w:szCs w:val="22"/>
        </w:rPr>
        <w:t>2</w:t>
      </w:r>
      <w:r w:rsidR="00860E8B" w:rsidRPr="00A32AB2">
        <w:rPr>
          <w:rFonts w:ascii="Garamond" w:hAnsi="Garamond"/>
          <w:b/>
          <w:sz w:val="22"/>
          <w:szCs w:val="22"/>
        </w:rPr>
        <w:t>.</w:t>
      </w:r>
      <w:r w:rsidR="006C2F1E">
        <w:rPr>
          <w:rFonts w:ascii="Garamond" w:hAnsi="Garamond"/>
          <w:b/>
          <w:sz w:val="22"/>
          <w:szCs w:val="22"/>
        </w:rPr>
        <w:t>4</w:t>
      </w:r>
      <w:r w:rsidR="00860E8B" w:rsidRPr="00A32AB2">
        <w:rPr>
          <w:rFonts w:ascii="Garamond" w:hAnsi="Garamond"/>
          <w:b/>
          <w:sz w:val="22"/>
          <w:szCs w:val="22"/>
        </w:rPr>
        <w:t>-2.</w:t>
      </w:r>
      <w:r w:rsidR="006C2F1E">
        <w:rPr>
          <w:rFonts w:ascii="Garamond" w:hAnsi="Garamond"/>
          <w:b/>
          <w:sz w:val="22"/>
          <w:szCs w:val="22"/>
        </w:rPr>
        <w:t>6</w:t>
      </w:r>
      <w:r w:rsidR="00860E8B" w:rsidRPr="00A32AB2">
        <w:rPr>
          <w:rFonts w:ascii="Garamond" w:hAnsi="Garamond"/>
          <w:b/>
          <w:sz w:val="22"/>
          <w:szCs w:val="22"/>
        </w:rPr>
        <w:t xml:space="preserve"> pp of deflationary pressures in the consumer market </w:t>
      </w:r>
      <w:r w:rsidR="006C2F1E">
        <w:rPr>
          <w:rFonts w:ascii="Garamond" w:hAnsi="Garamond"/>
          <w:b/>
          <w:sz w:val="22"/>
          <w:szCs w:val="22"/>
        </w:rPr>
        <w:t>in</w:t>
      </w:r>
      <w:r w:rsidR="004F33C6" w:rsidRPr="00A32AB2">
        <w:rPr>
          <w:rFonts w:ascii="Garamond" w:hAnsi="Garamond"/>
          <w:b/>
          <w:sz w:val="22"/>
          <w:szCs w:val="22"/>
        </w:rPr>
        <w:t xml:space="preserve"> </w:t>
      </w:r>
      <w:r w:rsidR="00860E8B" w:rsidRPr="00A32AB2">
        <w:rPr>
          <w:rFonts w:ascii="Garamond" w:hAnsi="Garamond"/>
          <w:b/>
          <w:sz w:val="22"/>
          <w:szCs w:val="22"/>
        </w:rPr>
        <w:t xml:space="preserve">the </w:t>
      </w:r>
      <w:r w:rsidR="006C2F1E">
        <w:rPr>
          <w:rFonts w:ascii="Garamond" w:hAnsi="Garamond"/>
          <w:b/>
          <w:sz w:val="22"/>
          <w:szCs w:val="22"/>
        </w:rPr>
        <w:t>third</w:t>
      </w:r>
      <w:r w:rsidR="00860E8B" w:rsidRPr="00A32AB2">
        <w:rPr>
          <w:rFonts w:ascii="Garamond" w:hAnsi="Garamond"/>
          <w:b/>
          <w:sz w:val="22"/>
          <w:szCs w:val="22"/>
        </w:rPr>
        <w:t xml:space="preserve"> quarter. </w:t>
      </w:r>
    </w:p>
    <w:p w14:paraId="7BF260DF" w14:textId="77777777" w:rsidR="00601F50" w:rsidRPr="00A32AB2" w:rsidRDefault="00601F50" w:rsidP="0006101A">
      <w:pPr>
        <w:spacing w:line="360" w:lineRule="auto"/>
        <w:jc w:val="both"/>
        <w:rPr>
          <w:rFonts w:ascii="Garamond" w:hAnsi="Garamond"/>
          <w:b/>
          <w:sz w:val="22"/>
          <w:szCs w:val="22"/>
        </w:rPr>
      </w:pPr>
    </w:p>
    <w:p w14:paraId="1C7B4D2A" w14:textId="77777777" w:rsidR="00601F50" w:rsidRPr="00A32AB2" w:rsidRDefault="00601F50" w:rsidP="0006101A">
      <w:pPr>
        <w:spacing w:line="360" w:lineRule="auto"/>
        <w:jc w:val="both"/>
        <w:rPr>
          <w:rFonts w:ascii="Garamond" w:hAnsi="Garamond"/>
          <w:b/>
          <w:sz w:val="22"/>
          <w:szCs w:val="22"/>
        </w:rPr>
      </w:pPr>
      <w:r w:rsidRPr="00A32AB2">
        <w:rPr>
          <w:rFonts w:ascii="Garamond" w:hAnsi="Garamond"/>
          <w:b/>
          <w:sz w:val="22"/>
          <w:szCs w:val="22"/>
        </w:rPr>
        <w:t>3.3. Money and financial market developments</w:t>
      </w:r>
    </w:p>
    <w:p w14:paraId="414C0B5D" w14:textId="77777777" w:rsidR="00601F50" w:rsidRPr="00A32AB2" w:rsidRDefault="00601F50" w:rsidP="0006101A">
      <w:pPr>
        <w:spacing w:line="360" w:lineRule="auto"/>
        <w:jc w:val="both"/>
        <w:rPr>
          <w:rFonts w:ascii="Garamond" w:hAnsi="Garamond"/>
          <w:b/>
          <w:sz w:val="22"/>
          <w:szCs w:val="22"/>
        </w:rPr>
      </w:pPr>
      <w:r w:rsidRPr="00A32AB2">
        <w:rPr>
          <w:rFonts w:ascii="Garamond" w:hAnsi="Garamond"/>
          <w:b/>
          <w:sz w:val="22"/>
          <w:szCs w:val="22"/>
        </w:rPr>
        <w:t>3.3.1. Financial market, money and credit</w:t>
      </w:r>
    </w:p>
    <w:p w14:paraId="1D5CD716" w14:textId="77777777" w:rsidR="00601F50" w:rsidRPr="00A32AB2" w:rsidRDefault="00601F50" w:rsidP="0006101A">
      <w:pPr>
        <w:spacing w:line="360" w:lineRule="auto"/>
        <w:jc w:val="both"/>
        <w:rPr>
          <w:rFonts w:ascii="Garamond" w:hAnsi="Garamond"/>
          <w:b/>
          <w:sz w:val="22"/>
          <w:szCs w:val="22"/>
        </w:rPr>
      </w:pPr>
    </w:p>
    <w:p w14:paraId="0DB43AD7" w14:textId="2FDBF7D9" w:rsidR="00601F50" w:rsidRPr="00A32AB2" w:rsidRDefault="006C2F1E" w:rsidP="0006101A">
      <w:pPr>
        <w:spacing w:line="360" w:lineRule="auto"/>
        <w:jc w:val="both"/>
        <w:rPr>
          <w:rFonts w:ascii="Garamond" w:eastAsia="Calibri" w:hAnsi="Garamond"/>
          <w:sz w:val="22"/>
          <w:szCs w:val="22"/>
        </w:rPr>
      </w:pPr>
      <w:r>
        <w:rPr>
          <w:rFonts w:ascii="Garamond" w:eastAsia="Calibri" w:hAnsi="Garamond"/>
          <w:sz w:val="22"/>
          <w:szCs w:val="22"/>
        </w:rPr>
        <w:t>T</w:t>
      </w:r>
      <w:r w:rsidR="00601F50" w:rsidRPr="00A32AB2">
        <w:rPr>
          <w:rFonts w:ascii="Garamond" w:eastAsia="Calibri" w:hAnsi="Garamond"/>
          <w:sz w:val="22"/>
          <w:szCs w:val="22"/>
        </w:rPr>
        <w:t xml:space="preserve">he CBA </w:t>
      </w:r>
      <w:r>
        <w:rPr>
          <w:rFonts w:ascii="Garamond" w:eastAsia="Calibri" w:hAnsi="Garamond"/>
          <w:sz w:val="22"/>
          <w:szCs w:val="22"/>
        </w:rPr>
        <w:t>kept on loosening monetary conditions i</w:t>
      </w:r>
      <w:r w:rsidRPr="00A32AB2">
        <w:rPr>
          <w:rFonts w:ascii="Garamond" w:eastAsia="Calibri" w:hAnsi="Garamond"/>
          <w:sz w:val="22"/>
          <w:szCs w:val="22"/>
        </w:rPr>
        <w:t xml:space="preserve">n the </w:t>
      </w:r>
      <w:r>
        <w:rPr>
          <w:rFonts w:ascii="Garamond" w:eastAsia="Calibri" w:hAnsi="Garamond"/>
          <w:sz w:val="22"/>
          <w:szCs w:val="22"/>
        </w:rPr>
        <w:t>third</w:t>
      </w:r>
      <w:r w:rsidRPr="00A32AB2">
        <w:rPr>
          <w:rFonts w:ascii="Garamond" w:eastAsia="Calibri" w:hAnsi="Garamond"/>
          <w:sz w:val="22"/>
          <w:szCs w:val="22"/>
        </w:rPr>
        <w:t xml:space="preserve"> quarter of 2016</w:t>
      </w:r>
      <w:r>
        <w:rPr>
          <w:rFonts w:ascii="Garamond" w:eastAsia="Calibri" w:hAnsi="Garamond"/>
          <w:sz w:val="22"/>
          <w:szCs w:val="22"/>
        </w:rPr>
        <w:t xml:space="preserve">. The CBA </w:t>
      </w:r>
      <w:r w:rsidR="00601F50" w:rsidRPr="00A32AB2">
        <w:rPr>
          <w:rFonts w:ascii="Garamond" w:eastAsia="Calibri" w:hAnsi="Garamond"/>
          <w:sz w:val="22"/>
          <w:szCs w:val="22"/>
        </w:rPr>
        <w:t xml:space="preserve">Board </w:t>
      </w:r>
      <w:r w:rsidR="001A343F">
        <w:rPr>
          <w:rFonts w:ascii="Garamond" w:eastAsia="Calibri" w:hAnsi="Garamond"/>
          <w:sz w:val="22"/>
          <w:szCs w:val="22"/>
        </w:rPr>
        <w:t xml:space="preserve">decreased </w:t>
      </w:r>
      <w:r w:rsidR="00601F50" w:rsidRPr="00A32AB2">
        <w:rPr>
          <w:rFonts w:ascii="Garamond" w:eastAsia="Calibri" w:hAnsi="Garamond"/>
          <w:sz w:val="22"/>
          <w:szCs w:val="22"/>
        </w:rPr>
        <w:t xml:space="preserve">the refinancing rate twice (in </w:t>
      </w:r>
      <w:r>
        <w:rPr>
          <w:rFonts w:ascii="Garamond" w:eastAsia="Calibri" w:hAnsi="Garamond"/>
          <w:sz w:val="22"/>
          <w:szCs w:val="22"/>
        </w:rPr>
        <w:t>August</w:t>
      </w:r>
      <w:r w:rsidR="00601F50" w:rsidRPr="00A32AB2">
        <w:rPr>
          <w:rFonts w:ascii="Garamond" w:eastAsia="Calibri" w:hAnsi="Garamond"/>
          <w:sz w:val="22"/>
          <w:szCs w:val="22"/>
        </w:rPr>
        <w:t xml:space="preserve"> and </w:t>
      </w:r>
      <w:r>
        <w:rPr>
          <w:rFonts w:ascii="Garamond" w:eastAsia="Calibri" w:hAnsi="Garamond"/>
          <w:sz w:val="22"/>
          <w:szCs w:val="22"/>
        </w:rPr>
        <w:t>September</w:t>
      </w:r>
      <w:r w:rsidR="00601F50" w:rsidRPr="00A32AB2">
        <w:rPr>
          <w:rFonts w:ascii="Garamond" w:eastAsia="Calibri" w:hAnsi="Garamond"/>
          <w:sz w:val="22"/>
          <w:szCs w:val="22"/>
        </w:rPr>
        <w:t xml:space="preserve">) </w:t>
      </w:r>
      <w:r w:rsidR="0006729F" w:rsidRPr="00A32AB2">
        <w:rPr>
          <w:rFonts w:ascii="Garamond" w:eastAsia="Calibri" w:hAnsi="Garamond"/>
          <w:sz w:val="22"/>
          <w:szCs w:val="22"/>
        </w:rPr>
        <w:t xml:space="preserve">by a total of </w:t>
      </w:r>
      <w:r w:rsidR="00601F50" w:rsidRPr="00A32AB2">
        <w:rPr>
          <w:rFonts w:ascii="Garamond" w:eastAsia="Calibri" w:hAnsi="Garamond"/>
          <w:sz w:val="22"/>
          <w:szCs w:val="22"/>
        </w:rPr>
        <w:t>0.</w:t>
      </w:r>
      <w:r w:rsidR="0006729F" w:rsidRPr="00A32AB2">
        <w:rPr>
          <w:rFonts w:ascii="Garamond" w:eastAsia="Calibri" w:hAnsi="Garamond"/>
          <w:sz w:val="22"/>
          <w:szCs w:val="22"/>
        </w:rPr>
        <w:t>7</w:t>
      </w:r>
      <w:r w:rsidR="00601F50" w:rsidRPr="00A32AB2">
        <w:rPr>
          <w:rFonts w:ascii="Garamond" w:eastAsia="Calibri" w:hAnsi="Garamond"/>
          <w:sz w:val="22"/>
          <w:szCs w:val="22"/>
        </w:rPr>
        <w:t xml:space="preserve">5 pp. </w:t>
      </w:r>
    </w:p>
    <w:p w14:paraId="56420765" w14:textId="77777777" w:rsidR="00EF05C0" w:rsidRPr="006C2F1E" w:rsidRDefault="00EF05C0" w:rsidP="0006101A">
      <w:pPr>
        <w:spacing w:line="360" w:lineRule="auto"/>
        <w:jc w:val="both"/>
        <w:rPr>
          <w:rFonts w:ascii="Garamond" w:eastAsia="Calibri" w:hAnsi="Garamond"/>
          <w:sz w:val="22"/>
          <w:szCs w:val="22"/>
        </w:rPr>
      </w:pPr>
    </w:p>
    <w:p w14:paraId="3E229DDC" w14:textId="24C0036B" w:rsidR="002A3B1E" w:rsidRDefault="00046660" w:rsidP="0006101A">
      <w:pPr>
        <w:spacing w:line="360" w:lineRule="auto"/>
        <w:jc w:val="both"/>
        <w:rPr>
          <w:rFonts w:ascii="Garamond" w:hAnsi="Garamond"/>
          <w:sz w:val="22"/>
          <w:szCs w:val="22"/>
        </w:rPr>
      </w:pPr>
      <w:r w:rsidRPr="00046660">
        <w:rPr>
          <w:rFonts w:ascii="Garamond" w:hAnsi="Garamond"/>
          <w:sz w:val="22"/>
          <w:szCs w:val="22"/>
        </w:rPr>
        <w:t>I</w:t>
      </w:r>
      <w:r w:rsidR="005A1CAD" w:rsidRPr="00046660">
        <w:rPr>
          <w:rFonts w:ascii="Garamond" w:hAnsi="Garamond"/>
          <w:sz w:val="22"/>
          <w:szCs w:val="22"/>
        </w:rPr>
        <w:t xml:space="preserve">nflation expectations </w:t>
      </w:r>
      <w:r w:rsidRPr="00046660">
        <w:rPr>
          <w:rFonts w:ascii="Garamond" w:hAnsi="Garamond"/>
          <w:sz w:val="22"/>
          <w:szCs w:val="22"/>
        </w:rPr>
        <w:t xml:space="preserve">subsided </w:t>
      </w:r>
      <w:r w:rsidR="005029F4" w:rsidRPr="00046660">
        <w:rPr>
          <w:rFonts w:ascii="Garamond" w:hAnsi="Garamond"/>
          <w:sz w:val="22"/>
          <w:szCs w:val="22"/>
        </w:rPr>
        <w:t>as a result of consistent monetary policy implementation</w:t>
      </w:r>
      <w:r w:rsidRPr="00046660">
        <w:rPr>
          <w:rFonts w:ascii="Garamond" w:hAnsi="Garamond"/>
          <w:sz w:val="22"/>
          <w:szCs w:val="22"/>
        </w:rPr>
        <w:t xml:space="preserve"> by the CBA</w:t>
      </w:r>
      <w:r w:rsidR="005029F4" w:rsidRPr="00046660">
        <w:rPr>
          <w:rFonts w:ascii="Garamond" w:hAnsi="Garamond"/>
          <w:sz w:val="22"/>
          <w:szCs w:val="22"/>
        </w:rPr>
        <w:t>,</w:t>
      </w:r>
      <w:r w:rsidRPr="00046660">
        <w:rPr>
          <w:rFonts w:ascii="Garamond" w:hAnsi="Garamond"/>
          <w:sz w:val="22"/>
          <w:szCs w:val="22"/>
        </w:rPr>
        <w:t xml:space="preserve"> pushing</w:t>
      </w:r>
      <w:r>
        <w:rPr>
          <w:rFonts w:ascii="Garamond" w:hAnsi="Garamond"/>
          <w:sz w:val="22"/>
          <w:szCs w:val="22"/>
        </w:rPr>
        <w:t xml:space="preserve"> down long-term market rates as well. At the same time, </w:t>
      </w:r>
      <w:r w:rsidR="002A3B1E">
        <w:rPr>
          <w:rFonts w:ascii="Garamond" w:hAnsi="Garamond"/>
          <w:sz w:val="22"/>
          <w:szCs w:val="22"/>
        </w:rPr>
        <w:t xml:space="preserve">expecting </w:t>
      </w:r>
      <w:r>
        <w:rPr>
          <w:rFonts w:ascii="Garamond" w:hAnsi="Garamond"/>
          <w:sz w:val="22"/>
          <w:szCs w:val="22"/>
        </w:rPr>
        <w:t xml:space="preserve">that a deflationary environment would be </w:t>
      </w:r>
      <w:r>
        <w:rPr>
          <w:rFonts w:ascii="Garamond" w:hAnsi="Garamond"/>
          <w:sz w:val="22"/>
          <w:szCs w:val="22"/>
        </w:rPr>
        <w:lastRenderedPageBreak/>
        <w:t xml:space="preserve">persisting in the upcoming period, </w:t>
      </w:r>
      <w:r w:rsidRPr="00A32AB2">
        <w:rPr>
          <w:rFonts w:ascii="Garamond" w:hAnsi="Garamond" w:cs="GHEA Grapalat"/>
          <w:sz w:val="22"/>
          <w:szCs w:val="22"/>
        </w:rPr>
        <w:t xml:space="preserve">the CBA </w:t>
      </w:r>
      <w:r w:rsidR="002A3B1E">
        <w:rPr>
          <w:rFonts w:ascii="Garamond" w:hAnsi="Garamond" w:cs="GHEA Grapalat"/>
          <w:sz w:val="22"/>
          <w:szCs w:val="22"/>
        </w:rPr>
        <w:t xml:space="preserve">further cut the </w:t>
      </w:r>
      <w:r w:rsidRPr="00A32AB2">
        <w:rPr>
          <w:rFonts w:ascii="Garamond" w:hAnsi="Garamond" w:cs="GHEA Grapalat"/>
          <w:sz w:val="22"/>
          <w:szCs w:val="22"/>
        </w:rPr>
        <w:t xml:space="preserve">refinancing rate </w:t>
      </w:r>
      <w:r w:rsidR="002A3B1E">
        <w:rPr>
          <w:rFonts w:ascii="Garamond" w:hAnsi="Garamond" w:cs="GHEA Grapalat"/>
          <w:sz w:val="22"/>
          <w:szCs w:val="22"/>
        </w:rPr>
        <w:t xml:space="preserve">by 0.25 pp in August and 0.5 pp in September </w:t>
      </w:r>
      <w:r w:rsidR="0028678D">
        <w:rPr>
          <w:rFonts w:ascii="Garamond" w:hAnsi="Garamond" w:cs="GHEA Grapalat"/>
          <w:sz w:val="22"/>
          <w:szCs w:val="22"/>
        </w:rPr>
        <w:t>and</w:t>
      </w:r>
      <w:r w:rsidR="002A3B1E">
        <w:rPr>
          <w:rFonts w:ascii="Garamond" w:hAnsi="Garamond" w:cs="GHEA Grapalat"/>
          <w:sz w:val="22"/>
          <w:szCs w:val="22"/>
        </w:rPr>
        <w:t xml:space="preserve"> set it at </w:t>
      </w:r>
      <w:r>
        <w:rPr>
          <w:rFonts w:ascii="Garamond" w:hAnsi="Garamond" w:cs="GHEA Grapalat"/>
          <w:sz w:val="22"/>
          <w:szCs w:val="22"/>
        </w:rPr>
        <w:t>6.</w:t>
      </w:r>
      <w:r w:rsidRPr="00A32AB2">
        <w:rPr>
          <w:rFonts w:ascii="Garamond" w:hAnsi="Garamond" w:cs="GHEA Grapalat"/>
          <w:sz w:val="22"/>
          <w:szCs w:val="22"/>
        </w:rPr>
        <w:t xml:space="preserve">75% in late </w:t>
      </w:r>
      <w:r>
        <w:rPr>
          <w:rFonts w:ascii="Garamond" w:hAnsi="Garamond" w:cs="GHEA Grapalat"/>
          <w:sz w:val="22"/>
          <w:szCs w:val="22"/>
        </w:rPr>
        <w:t>September</w:t>
      </w:r>
      <w:r w:rsidR="002A3B1E">
        <w:rPr>
          <w:rFonts w:ascii="Garamond" w:hAnsi="Garamond" w:cs="GHEA Grapalat"/>
          <w:sz w:val="22"/>
          <w:szCs w:val="22"/>
        </w:rPr>
        <w:t>.</w:t>
      </w:r>
      <w:r w:rsidRPr="00A32AB2">
        <w:rPr>
          <w:rFonts w:ascii="Garamond" w:hAnsi="Garamond"/>
          <w:sz w:val="22"/>
          <w:szCs w:val="22"/>
        </w:rPr>
        <w:t xml:space="preserve"> </w:t>
      </w:r>
    </w:p>
    <w:p w14:paraId="510ED78A" w14:textId="77777777" w:rsidR="002A3B1E" w:rsidRDefault="002A3B1E" w:rsidP="0006101A">
      <w:pPr>
        <w:spacing w:line="360" w:lineRule="auto"/>
        <w:jc w:val="both"/>
        <w:rPr>
          <w:rFonts w:ascii="Garamond" w:hAnsi="Garamond"/>
          <w:sz w:val="22"/>
          <w:szCs w:val="22"/>
        </w:rPr>
      </w:pPr>
    </w:p>
    <w:p w14:paraId="416FA213" w14:textId="77777777" w:rsidR="002A3B1E" w:rsidRDefault="002A3B1E" w:rsidP="0006101A">
      <w:pPr>
        <w:spacing w:line="360" w:lineRule="auto"/>
        <w:jc w:val="both"/>
        <w:rPr>
          <w:rFonts w:ascii="Garamond" w:hAnsi="Garamond"/>
          <w:sz w:val="22"/>
          <w:szCs w:val="22"/>
        </w:rPr>
      </w:pPr>
      <w:r>
        <w:rPr>
          <w:rFonts w:ascii="Garamond" w:hAnsi="Garamond"/>
          <w:sz w:val="22"/>
          <w:szCs w:val="22"/>
        </w:rPr>
        <w:t xml:space="preserve">Almost all segments of the </w:t>
      </w:r>
      <w:r w:rsidR="00BB71DD" w:rsidRPr="00A32AB2">
        <w:rPr>
          <w:rFonts w:ascii="Garamond" w:hAnsi="Garamond"/>
          <w:sz w:val="22"/>
          <w:szCs w:val="22"/>
        </w:rPr>
        <w:t>domestic financial market</w:t>
      </w:r>
      <w:r w:rsidR="0084681C" w:rsidRPr="00A32AB2">
        <w:rPr>
          <w:rFonts w:ascii="Garamond" w:hAnsi="Garamond"/>
          <w:sz w:val="22"/>
          <w:szCs w:val="22"/>
        </w:rPr>
        <w:t xml:space="preserve"> reacted to the easing of monetary conditions</w:t>
      </w:r>
      <w:r>
        <w:rPr>
          <w:rFonts w:ascii="Garamond" w:hAnsi="Garamond"/>
          <w:sz w:val="22"/>
          <w:szCs w:val="22"/>
        </w:rPr>
        <w:t xml:space="preserve"> during the quarter, reflecting market participants’ expectations of both short and long-term interest rates</w:t>
      </w:r>
      <w:r w:rsidR="0084681C" w:rsidRPr="00A32AB2">
        <w:rPr>
          <w:rFonts w:ascii="Garamond" w:hAnsi="Garamond"/>
          <w:sz w:val="22"/>
          <w:szCs w:val="22"/>
        </w:rPr>
        <w:t>.</w:t>
      </w:r>
      <w:r>
        <w:rPr>
          <w:rFonts w:ascii="Garamond" w:hAnsi="Garamond"/>
          <w:sz w:val="22"/>
          <w:szCs w:val="22"/>
        </w:rPr>
        <w:t xml:space="preserve"> Interestingly, </w:t>
      </w:r>
      <w:r w:rsidR="009667B0">
        <w:rPr>
          <w:rFonts w:ascii="Garamond" w:hAnsi="Garamond"/>
          <w:sz w:val="22"/>
          <w:szCs w:val="22"/>
        </w:rPr>
        <w:t>much</w:t>
      </w:r>
      <w:r>
        <w:rPr>
          <w:rFonts w:ascii="Garamond" w:hAnsi="Garamond"/>
          <w:sz w:val="22"/>
          <w:szCs w:val="22"/>
        </w:rPr>
        <w:t xml:space="preserve"> greater </w:t>
      </w:r>
      <w:r w:rsidR="009667B0">
        <w:rPr>
          <w:rFonts w:ascii="Garamond" w:hAnsi="Garamond"/>
          <w:sz w:val="22"/>
          <w:szCs w:val="22"/>
        </w:rPr>
        <w:t xml:space="preserve">reaction to </w:t>
      </w:r>
      <w:r>
        <w:rPr>
          <w:rFonts w:ascii="Garamond" w:hAnsi="Garamond"/>
          <w:sz w:val="22"/>
          <w:szCs w:val="22"/>
        </w:rPr>
        <w:t xml:space="preserve">the </w:t>
      </w:r>
      <w:r w:rsidR="009667B0">
        <w:rPr>
          <w:rFonts w:ascii="Garamond" w:hAnsi="Garamond"/>
          <w:sz w:val="22"/>
          <w:szCs w:val="22"/>
        </w:rPr>
        <w:t xml:space="preserve">CBA </w:t>
      </w:r>
      <w:r>
        <w:rPr>
          <w:rFonts w:ascii="Garamond" w:hAnsi="Garamond"/>
          <w:sz w:val="22"/>
          <w:szCs w:val="22"/>
        </w:rPr>
        <w:t xml:space="preserve">policy </w:t>
      </w:r>
      <w:r w:rsidR="00443ACF">
        <w:rPr>
          <w:rFonts w:ascii="Garamond" w:hAnsi="Garamond"/>
          <w:sz w:val="22"/>
          <w:szCs w:val="22"/>
        </w:rPr>
        <w:t>signal</w:t>
      </w:r>
      <w:r>
        <w:rPr>
          <w:rFonts w:ascii="Garamond" w:hAnsi="Garamond"/>
          <w:sz w:val="22"/>
          <w:szCs w:val="22"/>
        </w:rPr>
        <w:t xml:space="preserve"> </w:t>
      </w:r>
      <w:r w:rsidR="009667B0">
        <w:rPr>
          <w:rFonts w:ascii="Garamond" w:hAnsi="Garamond"/>
          <w:sz w:val="22"/>
          <w:szCs w:val="22"/>
        </w:rPr>
        <w:t xml:space="preserve">this quarter </w:t>
      </w:r>
      <w:r>
        <w:rPr>
          <w:rFonts w:ascii="Garamond" w:hAnsi="Garamond"/>
          <w:sz w:val="22"/>
          <w:szCs w:val="22"/>
        </w:rPr>
        <w:t xml:space="preserve">came from </w:t>
      </w:r>
      <w:r w:rsidRPr="002A3B1E">
        <w:rPr>
          <w:rFonts w:ascii="Garamond" w:hAnsi="Garamond"/>
          <w:sz w:val="22"/>
          <w:szCs w:val="22"/>
        </w:rPr>
        <w:t>long-term interest rates.</w:t>
      </w:r>
    </w:p>
    <w:p w14:paraId="72A97DAE" w14:textId="77777777" w:rsidR="002A3B1E" w:rsidRDefault="002A3B1E" w:rsidP="0006101A">
      <w:pPr>
        <w:spacing w:line="360" w:lineRule="auto"/>
        <w:jc w:val="both"/>
        <w:rPr>
          <w:rFonts w:ascii="Garamond" w:hAnsi="Garamond"/>
          <w:sz w:val="22"/>
          <w:szCs w:val="22"/>
        </w:rPr>
      </w:pPr>
    </w:p>
    <w:p w14:paraId="6B4760B0" w14:textId="77777777" w:rsidR="00AF328F" w:rsidRPr="00A32AB2" w:rsidRDefault="00E930A8" w:rsidP="0006101A">
      <w:pPr>
        <w:spacing w:line="360" w:lineRule="auto"/>
        <w:jc w:val="both"/>
        <w:rPr>
          <w:rFonts w:ascii="Garamond" w:hAnsi="Garamond"/>
          <w:sz w:val="22"/>
          <w:szCs w:val="22"/>
        </w:rPr>
      </w:pPr>
      <w:r w:rsidRPr="00A32AB2">
        <w:rPr>
          <w:rFonts w:ascii="Garamond" w:hAnsi="Garamond"/>
          <w:sz w:val="22"/>
          <w:szCs w:val="22"/>
        </w:rPr>
        <w:t xml:space="preserve">Average quarterly rate of </w:t>
      </w:r>
      <w:r w:rsidR="00B26AF5" w:rsidRPr="00A32AB2">
        <w:rPr>
          <w:rStyle w:val="longtext"/>
          <w:rFonts w:ascii="Garamond" w:hAnsi="Garamond"/>
          <w:color w:val="000000"/>
          <w:sz w:val="22"/>
          <w:szCs w:val="22"/>
          <w:shd w:val="clear" w:color="auto" w:fill="FFFFFF"/>
        </w:rPr>
        <w:t xml:space="preserve">7-day </w:t>
      </w:r>
      <w:r w:rsidRPr="00A32AB2">
        <w:rPr>
          <w:rFonts w:ascii="Garamond" w:hAnsi="Garamond"/>
          <w:sz w:val="22"/>
          <w:szCs w:val="22"/>
        </w:rPr>
        <w:t>repurchase agreements</w:t>
      </w:r>
      <w:r w:rsidR="0006417D" w:rsidRPr="00A32AB2">
        <w:rPr>
          <w:rFonts w:ascii="Garamond" w:hAnsi="Garamond"/>
          <w:sz w:val="22"/>
          <w:szCs w:val="22"/>
        </w:rPr>
        <w:t xml:space="preserve"> concluded by the CBA </w:t>
      </w:r>
      <w:r w:rsidR="00E3634A">
        <w:rPr>
          <w:rFonts w:ascii="Garamond" w:hAnsi="Garamond"/>
          <w:sz w:val="22"/>
          <w:szCs w:val="22"/>
        </w:rPr>
        <w:t>fell</w:t>
      </w:r>
      <w:r w:rsidR="0006417D" w:rsidRPr="00A32AB2">
        <w:rPr>
          <w:rFonts w:ascii="Garamond" w:hAnsi="Garamond"/>
          <w:sz w:val="22"/>
          <w:szCs w:val="22"/>
        </w:rPr>
        <w:t xml:space="preserve"> by 0</w:t>
      </w:r>
      <w:r w:rsidR="00AF328F" w:rsidRPr="00A32AB2">
        <w:rPr>
          <w:rFonts w:ascii="Garamond" w:hAnsi="Garamond"/>
          <w:sz w:val="22"/>
          <w:szCs w:val="22"/>
        </w:rPr>
        <w:t>.</w:t>
      </w:r>
      <w:r w:rsidR="0006417D" w:rsidRPr="00A32AB2">
        <w:rPr>
          <w:rFonts w:ascii="Garamond" w:hAnsi="Garamond"/>
          <w:sz w:val="22"/>
          <w:szCs w:val="22"/>
        </w:rPr>
        <w:t>7</w:t>
      </w:r>
      <w:r w:rsidR="009667B0">
        <w:rPr>
          <w:rFonts w:ascii="Garamond" w:hAnsi="Garamond"/>
          <w:sz w:val="22"/>
          <w:szCs w:val="22"/>
        </w:rPr>
        <w:t>8</w:t>
      </w:r>
      <w:r w:rsidR="00AF328F" w:rsidRPr="00A32AB2">
        <w:rPr>
          <w:rFonts w:ascii="Garamond" w:hAnsi="Garamond"/>
          <w:sz w:val="22"/>
          <w:szCs w:val="22"/>
        </w:rPr>
        <w:t xml:space="preserve"> p</w:t>
      </w:r>
      <w:r w:rsidRPr="00A32AB2">
        <w:rPr>
          <w:rFonts w:ascii="Garamond" w:hAnsi="Garamond"/>
          <w:sz w:val="22"/>
          <w:szCs w:val="22"/>
        </w:rPr>
        <w:t>p against the</w:t>
      </w:r>
      <w:r w:rsidR="00AF328F" w:rsidRPr="00A32AB2">
        <w:rPr>
          <w:rFonts w:ascii="Garamond" w:hAnsi="Garamond"/>
          <w:sz w:val="22"/>
          <w:szCs w:val="22"/>
        </w:rPr>
        <w:t xml:space="preserve"> previous quarter to </w:t>
      </w:r>
      <w:r w:rsidR="009667B0">
        <w:rPr>
          <w:rFonts w:ascii="Garamond" w:hAnsi="Garamond"/>
          <w:sz w:val="22"/>
          <w:szCs w:val="22"/>
        </w:rPr>
        <w:t>7</w:t>
      </w:r>
      <w:r w:rsidR="00AF328F" w:rsidRPr="00A32AB2">
        <w:rPr>
          <w:rFonts w:ascii="Garamond" w:hAnsi="Garamond"/>
          <w:sz w:val="22"/>
          <w:szCs w:val="22"/>
        </w:rPr>
        <w:t>.</w:t>
      </w:r>
      <w:r w:rsidR="009667B0">
        <w:rPr>
          <w:rFonts w:ascii="Garamond" w:hAnsi="Garamond"/>
          <w:sz w:val="22"/>
          <w:szCs w:val="22"/>
        </w:rPr>
        <w:t>35</w:t>
      </w:r>
      <w:r w:rsidR="00AF328F" w:rsidRPr="00A32AB2">
        <w:rPr>
          <w:rFonts w:ascii="Garamond" w:hAnsi="Garamond"/>
          <w:sz w:val="22"/>
          <w:szCs w:val="22"/>
        </w:rPr>
        <w:t>%</w:t>
      </w:r>
      <w:r w:rsidR="009667B0">
        <w:rPr>
          <w:rFonts w:ascii="Garamond" w:hAnsi="Garamond"/>
          <w:sz w:val="22"/>
          <w:szCs w:val="22"/>
        </w:rPr>
        <w:t xml:space="preserve"> this quarter</w:t>
      </w:r>
      <w:r w:rsidRPr="00A32AB2">
        <w:rPr>
          <w:rFonts w:ascii="Garamond" w:hAnsi="Garamond"/>
          <w:sz w:val="22"/>
          <w:szCs w:val="22"/>
        </w:rPr>
        <w:t>;</w:t>
      </w:r>
      <w:r w:rsidR="00AF328F" w:rsidRPr="00A32AB2">
        <w:rPr>
          <w:rFonts w:ascii="Garamond" w:hAnsi="Garamond"/>
          <w:sz w:val="22"/>
          <w:szCs w:val="22"/>
        </w:rPr>
        <w:t xml:space="preserve"> the average interest rate </w:t>
      </w:r>
      <w:r w:rsidR="00443ACF" w:rsidRPr="00A32AB2">
        <w:rPr>
          <w:rFonts w:ascii="Garamond" w:hAnsi="Garamond"/>
          <w:sz w:val="22"/>
          <w:szCs w:val="22"/>
        </w:rPr>
        <w:t xml:space="preserve">in </w:t>
      </w:r>
      <w:r w:rsidR="00443ACF">
        <w:rPr>
          <w:rFonts w:ascii="Garamond" w:hAnsi="Garamond"/>
          <w:sz w:val="22"/>
          <w:szCs w:val="22"/>
        </w:rPr>
        <w:t xml:space="preserve">September has </w:t>
      </w:r>
      <w:r w:rsidR="00E3634A">
        <w:rPr>
          <w:rFonts w:ascii="Garamond" w:hAnsi="Garamond"/>
          <w:sz w:val="22"/>
          <w:szCs w:val="22"/>
        </w:rPr>
        <w:t>d</w:t>
      </w:r>
      <w:r w:rsidR="00443ACF">
        <w:rPr>
          <w:rFonts w:ascii="Garamond" w:hAnsi="Garamond"/>
          <w:sz w:val="22"/>
          <w:szCs w:val="22"/>
        </w:rPr>
        <w:t xml:space="preserve">ropped </w:t>
      </w:r>
      <w:r w:rsidR="00AF328F" w:rsidRPr="00A32AB2">
        <w:rPr>
          <w:rFonts w:ascii="Garamond" w:hAnsi="Garamond"/>
          <w:sz w:val="22"/>
          <w:szCs w:val="22"/>
        </w:rPr>
        <w:t>by 0.</w:t>
      </w:r>
      <w:r w:rsidR="00443ACF">
        <w:rPr>
          <w:rFonts w:ascii="Garamond" w:hAnsi="Garamond"/>
          <w:sz w:val="22"/>
          <w:szCs w:val="22"/>
        </w:rPr>
        <w:t>68</w:t>
      </w:r>
      <w:r w:rsidR="00AF328F" w:rsidRPr="00A32AB2">
        <w:rPr>
          <w:rFonts w:ascii="Garamond" w:hAnsi="Garamond"/>
          <w:sz w:val="22"/>
          <w:szCs w:val="22"/>
        </w:rPr>
        <w:t xml:space="preserve"> p</w:t>
      </w:r>
      <w:r w:rsidRPr="00A32AB2">
        <w:rPr>
          <w:rFonts w:ascii="Garamond" w:hAnsi="Garamond"/>
          <w:sz w:val="22"/>
          <w:szCs w:val="22"/>
        </w:rPr>
        <w:t xml:space="preserve">p against </w:t>
      </w:r>
      <w:r w:rsidR="00443ACF">
        <w:rPr>
          <w:rFonts w:ascii="Garamond" w:hAnsi="Garamond"/>
          <w:sz w:val="22"/>
          <w:szCs w:val="22"/>
        </w:rPr>
        <w:t>June</w:t>
      </w:r>
      <w:r w:rsidR="00AF328F" w:rsidRPr="00A32AB2">
        <w:rPr>
          <w:rFonts w:ascii="Garamond" w:hAnsi="Garamond"/>
          <w:sz w:val="22"/>
          <w:szCs w:val="22"/>
        </w:rPr>
        <w:t xml:space="preserve"> </w:t>
      </w:r>
      <w:r w:rsidRPr="00A32AB2">
        <w:rPr>
          <w:rFonts w:ascii="Garamond" w:hAnsi="Garamond"/>
          <w:sz w:val="22"/>
          <w:szCs w:val="22"/>
        </w:rPr>
        <w:t>to</w:t>
      </w:r>
      <w:r w:rsidR="00AF328F" w:rsidRPr="00A32AB2">
        <w:rPr>
          <w:rFonts w:ascii="Garamond" w:hAnsi="Garamond"/>
          <w:sz w:val="22"/>
          <w:szCs w:val="22"/>
        </w:rPr>
        <w:t xml:space="preserve"> </w:t>
      </w:r>
      <w:r w:rsidR="0006417D" w:rsidRPr="00A32AB2">
        <w:rPr>
          <w:rFonts w:ascii="Garamond" w:hAnsi="Garamond"/>
          <w:sz w:val="22"/>
          <w:szCs w:val="22"/>
        </w:rPr>
        <w:t>7</w:t>
      </w:r>
      <w:r w:rsidR="00AF328F" w:rsidRPr="00A32AB2">
        <w:rPr>
          <w:rFonts w:ascii="Garamond" w:hAnsi="Garamond"/>
          <w:sz w:val="22"/>
          <w:szCs w:val="22"/>
        </w:rPr>
        <w:t>.</w:t>
      </w:r>
      <w:r w:rsidR="00443ACF">
        <w:rPr>
          <w:rFonts w:ascii="Garamond" w:hAnsi="Garamond"/>
          <w:sz w:val="22"/>
          <w:szCs w:val="22"/>
        </w:rPr>
        <w:t>12</w:t>
      </w:r>
      <w:r w:rsidR="00AF328F" w:rsidRPr="00A32AB2">
        <w:rPr>
          <w:rFonts w:ascii="Garamond" w:hAnsi="Garamond"/>
          <w:sz w:val="22"/>
          <w:szCs w:val="22"/>
        </w:rPr>
        <w:t>%.</w:t>
      </w:r>
    </w:p>
    <w:p w14:paraId="2C55301B" w14:textId="77777777" w:rsidR="007C2671" w:rsidRPr="00A32AB2" w:rsidRDefault="007C2671" w:rsidP="0006101A">
      <w:pPr>
        <w:spacing w:line="360" w:lineRule="auto"/>
        <w:jc w:val="both"/>
        <w:rPr>
          <w:rFonts w:ascii="Garamond" w:hAnsi="Garamond"/>
          <w:sz w:val="22"/>
          <w:szCs w:val="22"/>
        </w:rPr>
      </w:pPr>
    </w:p>
    <w:p w14:paraId="5B235280" w14:textId="77777777" w:rsidR="007C2671" w:rsidRDefault="00443ACF" w:rsidP="0006101A">
      <w:pPr>
        <w:spacing w:line="360" w:lineRule="auto"/>
        <w:jc w:val="both"/>
        <w:rPr>
          <w:rFonts w:ascii="Garamond" w:hAnsi="Garamond"/>
          <w:sz w:val="22"/>
          <w:szCs w:val="22"/>
        </w:rPr>
      </w:pPr>
      <w:r>
        <w:rPr>
          <w:rFonts w:ascii="Garamond" w:hAnsi="Garamond"/>
          <w:sz w:val="22"/>
          <w:szCs w:val="22"/>
        </w:rPr>
        <w:t xml:space="preserve">The falling of </w:t>
      </w:r>
      <w:r w:rsidR="007C2671" w:rsidRPr="00A32AB2">
        <w:rPr>
          <w:rFonts w:ascii="Garamond" w:hAnsi="Garamond"/>
          <w:sz w:val="22"/>
          <w:szCs w:val="22"/>
        </w:rPr>
        <w:t xml:space="preserve">the interbank repo rate </w:t>
      </w:r>
      <w:r>
        <w:rPr>
          <w:rFonts w:ascii="Garamond" w:hAnsi="Garamond"/>
          <w:sz w:val="22"/>
          <w:szCs w:val="22"/>
        </w:rPr>
        <w:t>this quarter was in line with the</w:t>
      </w:r>
      <w:r w:rsidR="0004316E" w:rsidRPr="00A32AB2">
        <w:rPr>
          <w:rFonts w:ascii="Garamond" w:hAnsi="Garamond"/>
          <w:sz w:val="22"/>
          <w:szCs w:val="22"/>
        </w:rPr>
        <w:t xml:space="preserve"> CBA </w:t>
      </w:r>
      <w:r w:rsidR="007C2671" w:rsidRPr="00A32AB2">
        <w:rPr>
          <w:rFonts w:ascii="Garamond" w:hAnsi="Garamond"/>
          <w:sz w:val="22"/>
          <w:szCs w:val="22"/>
        </w:rPr>
        <w:t xml:space="preserve">policy </w:t>
      </w:r>
      <w:r w:rsidR="0004316E" w:rsidRPr="00A32AB2">
        <w:rPr>
          <w:rFonts w:ascii="Garamond" w:hAnsi="Garamond"/>
          <w:sz w:val="22"/>
          <w:szCs w:val="22"/>
        </w:rPr>
        <w:t>signal</w:t>
      </w:r>
      <w:r w:rsidR="00E80B6B" w:rsidRPr="00A32AB2">
        <w:rPr>
          <w:rFonts w:ascii="Garamond" w:hAnsi="Garamond"/>
          <w:sz w:val="22"/>
          <w:szCs w:val="22"/>
        </w:rPr>
        <w:t>: it averaged 7</w:t>
      </w:r>
      <w:r w:rsidR="007C2671" w:rsidRPr="00A32AB2">
        <w:rPr>
          <w:rFonts w:ascii="Garamond" w:hAnsi="Garamond"/>
          <w:sz w:val="22"/>
          <w:szCs w:val="22"/>
        </w:rPr>
        <w:t>.</w:t>
      </w:r>
      <w:r w:rsidR="00642749">
        <w:rPr>
          <w:rFonts w:ascii="Garamond" w:hAnsi="Garamond"/>
          <w:sz w:val="22"/>
          <w:szCs w:val="22"/>
        </w:rPr>
        <w:t>01</w:t>
      </w:r>
      <w:r w:rsidR="007C2671" w:rsidRPr="00A32AB2">
        <w:rPr>
          <w:rFonts w:ascii="Garamond" w:hAnsi="Garamond"/>
          <w:sz w:val="22"/>
          <w:szCs w:val="22"/>
        </w:rPr>
        <w:t>%</w:t>
      </w:r>
      <w:r w:rsidR="00E80B6B" w:rsidRPr="00A32AB2">
        <w:rPr>
          <w:rFonts w:ascii="Garamond" w:hAnsi="Garamond"/>
          <w:sz w:val="22"/>
          <w:szCs w:val="22"/>
        </w:rPr>
        <w:t xml:space="preserve"> in </w:t>
      </w:r>
      <w:r>
        <w:rPr>
          <w:rFonts w:ascii="Garamond" w:hAnsi="Garamond"/>
          <w:sz w:val="22"/>
          <w:szCs w:val="22"/>
        </w:rPr>
        <w:t>September</w:t>
      </w:r>
      <w:r w:rsidR="00642749">
        <w:rPr>
          <w:rFonts w:ascii="Garamond" w:hAnsi="Garamond"/>
          <w:sz w:val="22"/>
          <w:szCs w:val="22"/>
        </w:rPr>
        <w:t xml:space="preserve"> after having plunged by 0.74 pp </w:t>
      </w:r>
      <w:r>
        <w:rPr>
          <w:rFonts w:ascii="Garamond" w:hAnsi="Garamond"/>
          <w:sz w:val="22"/>
          <w:szCs w:val="22"/>
        </w:rPr>
        <w:t>from 7.75% in June</w:t>
      </w:r>
      <w:r w:rsidR="007C2671" w:rsidRPr="00A32AB2">
        <w:rPr>
          <w:rFonts w:ascii="Garamond" w:hAnsi="Garamond"/>
          <w:sz w:val="22"/>
          <w:szCs w:val="22"/>
        </w:rPr>
        <w:t>.</w:t>
      </w:r>
    </w:p>
    <w:p w14:paraId="7520D868" w14:textId="77777777" w:rsidR="00FA4DBB" w:rsidRDefault="00FA4DBB" w:rsidP="0006101A">
      <w:pPr>
        <w:spacing w:line="360" w:lineRule="auto"/>
        <w:jc w:val="both"/>
        <w:rPr>
          <w:rFonts w:ascii="Garamond" w:hAnsi="Garamond"/>
          <w:sz w:val="22"/>
          <w:szCs w:val="22"/>
        </w:rPr>
      </w:pPr>
    </w:p>
    <w:p w14:paraId="081AFACE" w14:textId="77777777" w:rsidR="00FA4DBB" w:rsidRDefault="00FA4DBB" w:rsidP="0006101A">
      <w:pPr>
        <w:spacing w:line="360" w:lineRule="auto"/>
        <w:jc w:val="both"/>
        <w:rPr>
          <w:rFonts w:ascii="Garamond" w:hAnsi="Garamond" w:cs="Sylfaen"/>
          <w:color w:val="000000"/>
          <w:sz w:val="22"/>
          <w:szCs w:val="22"/>
        </w:rPr>
      </w:pPr>
      <w:r w:rsidRPr="00FA4DBB">
        <w:rPr>
          <w:rFonts w:ascii="Garamond" w:hAnsi="Garamond" w:cs="Sylfaen"/>
          <w:color w:val="000000"/>
          <w:sz w:val="22"/>
          <w:szCs w:val="22"/>
        </w:rPr>
        <w:t>Continued easing of monetary conditions by the CBA</w:t>
      </w:r>
      <w:r>
        <w:rPr>
          <w:rFonts w:ascii="Garamond" w:hAnsi="Garamond" w:cs="Sylfaen"/>
          <w:color w:val="000000"/>
          <w:sz w:val="22"/>
          <w:szCs w:val="22"/>
        </w:rPr>
        <w:t xml:space="preserve">, reduced inflation expectations and persistently strong liquidity in the banking sector </w:t>
      </w:r>
      <w:r w:rsidR="007864FD">
        <w:rPr>
          <w:rFonts w:ascii="Garamond" w:hAnsi="Garamond" w:cs="Sylfaen"/>
          <w:color w:val="000000"/>
          <w:sz w:val="22"/>
          <w:szCs w:val="22"/>
        </w:rPr>
        <w:t xml:space="preserve">all have </w:t>
      </w:r>
      <w:r>
        <w:rPr>
          <w:rFonts w:ascii="Garamond" w:hAnsi="Garamond" w:cs="Sylfaen"/>
          <w:color w:val="000000"/>
          <w:sz w:val="22"/>
          <w:szCs w:val="22"/>
        </w:rPr>
        <w:t>i</w:t>
      </w:r>
      <w:r w:rsidRPr="00FA4DBB">
        <w:rPr>
          <w:rFonts w:ascii="Garamond" w:hAnsi="Garamond" w:cs="Sylfaen"/>
          <w:color w:val="000000"/>
          <w:sz w:val="22"/>
          <w:szCs w:val="22"/>
        </w:rPr>
        <w:t>nduced a greater effect in the T-bills market</w:t>
      </w:r>
      <w:r>
        <w:rPr>
          <w:rFonts w:ascii="Garamond" w:hAnsi="Garamond" w:cs="Sylfaen"/>
          <w:color w:val="000000"/>
          <w:sz w:val="22"/>
          <w:szCs w:val="22"/>
        </w:rPr>
        <w:t xml:space="preserve">, </w:t>
      </w:r>
      <w:r w:rsidR="007864FD">
        <w:rPr>
          <w:rFonts w:ascii="Garamond" w:hAnsi="Garamond" w:cs="Sylfaen"/>
          <w:color w:val="000000"/>
          <w:sz w:val="22"/>
          <w:szCs w:val="22"/>
        </w:rPr>
        <w:t xml:space="preserve">causing </w:t>
      </w:r>
      <w:r>
        <w:rPr>
          <w:rFonts w:ascii="Garamond" w:hAnsi="Garamond" w:cs="Sylfaen"/>
          <w:color w:val="000000"/>
          <w:sz w:val="22"/>
          <w:szCs w:val="22"/>
        </w:rPr>
        <w:t>yields</w:t>
      </w:r>
      <w:r w:rsidR="007864FD">
        <w:rPr>
          <w:rFonts w:ascii="Garamond" w:hAnsi="Garamond" w:cs="Sylfaen"/>
          <w:color w:val="000000"/>
          <w:sz w:val="22"/>
          <w:szCs w:val="22"/>
        </w:rPr>
        <w:t xml:space="preserve"> to squeeze </w:t>
      </w:r>
      <w:r>
        <w:rPr>
          <w:rFonts w:ascii="Garamond" w:hAnsi="Garamond" w:cs="Sylfaen"/>
          <w:color w:val="000000"/>
          <w:sz w:val="22"/>
          <w:szCs w:val="22"/>
        </w:rPr>
        <w:t xml:space="preserve">substantially and come closer to the money market rates </w:t>
      </w:r>
      <w:r w:rsidR="007864FD">
        <w:rPr>
          <w:rFonts w:ascii="Garamond" w:hAnsi="Garamond" w:cs="Sylfaen"/>
          <w:color w:val="000000"/>
          <w:sz w:val="22"/>
          <w:szCs w:val="22"/>
        </w:rPr>
        <w:t>during</w:t>
      </w:r>
      <w:r w:rsidRPr="00FA4DBB">
        <w:rPr>
          <w:rFonts w:ascii="Garamond" w:hAnsi="Garamond" w:cs="Sylfaen"/>
          <w:color w:val="000000"/>
          <w:sz w:val="22"/>
          <w:szCs w:val="22"/>
        </w:rPr>
        <w:t xml:space="preserve"> </w:t>
      </w:r>
      <w:r w:rsidR="007864FD">
        <w:rPr>
          <w:rFonts w:ascii="Garamond" w:hAnsi="Garamond" w:cs="Sylfaen"/>
          <w:color w:val="000000"/>
          <w:sz w:val="22"/>
          <w:szCs w:val="22"/>
        </w:rPr>
        <w:t xml:space="preserve">the </w:t>
      </w:r>
      <w:r>
        <w:rPr>
          <w:rFonts w:ascii="Garamond" w:hAnsi="Garamond" w:cs="Sylfaen"/>
          <w:color w:val="000000"/>
          <w:sz w:val="22"/>
          <w:szCs w:val="22"/>
        </w:rPr>
        <w:t>thir</w:t>
      </w:r>
      <w:r w:rsidRPr="00FA4DBB">
        <w:rPr>
          <w:rFonts w:ascii="Garamond" w:hAnsi="Garamond" w:cs="Sylfaen"/>
          <w:color w:val="000000"/>
          <w:sz w:val="22"/>
          <w:szCs w:val="22"/>
        </w:rPr>
        <w:t xml:space="preserve">d quarter of 2016. </w:t>
      </w:r>
      <w:r w:rsidR="00CD5F9E">
        <w:rPr>
          <w:rFonts w:ascii="Garamond" w:hAnsi="Garamond" w:cs="Sylfaen"/>
          <w:color w:val="000000"/>
          <w:sz w:val="22"/>
          <w:szCs w:val="22"/>
        </w:rPr>
        <w:t>In the short-term segment t</w:t>
      </w:r>
      <w:r w:rsidRPr="00FA4DBB">
        <w:rPr>
          <w:rFonts w:ascii="Garamond" w:hAnsi="Garamond" w:cs="Sylfaen"/>
          <w:color w:val="000000"/>
          <w:sz w:val="22"/>
          <w:szCs w:val="22"/>
        </w:rPr>
        <w:t xml:space="preserve">he average quarterly yield </w:t>
      </w:r>
      <w:r w:rsidR="00CD5F9E">
        <w:rPr>
          <w:rFonts w:ascii="Garamond" w:hAnsi="Garamond" w:cs="Sylfaen"/>
          <w:color w:val="000000"/>
          <w:sz w:val="22"/>
          <w:szCs w:val="22"/>
        </w:rPr>
        <w:t xml:space="preserve">has reduced </w:t>
      </w:r>
      <w:r w:rsidRPr="00FA4DBB">
        <w:rPr>
          <w:rFonts w:ascii="Garamond" w:hAnsi="Garamond" w:cs="Sylfaen"/>
          <w:color w:val="000000"/>
          <w:sz w:val="22"/>
          <w:szCs w:val="22"/>
        </w:rPr>
        <w:t xml:space="preserve">by </w:t>
      </w:r>
      <w:r w:rsidR="00CD5F9E">
        <w:rPr>
          <w:rFonts w:ascii="Garamond" w:hAnsi="Garamond" w:cs="Sylfaen"/>
          <w:color w:val="000000"/>
          <w:sz w:val="22"/>
          <w:szCs w:val="22"/>
        </w:rPr>
        <w:t>2</w:t>
      </w:r>
      <w:r w:rsidRPr="00FA4DBB">
        <w:rPr>
          <w:rFonts w:ascii="Garamond" w:hAnsi="Garamond" w:cs="Sylfaen"/>
          <w:color w:val="000000"/>
          <w:sz w:val="22"/>
          <w:szCs w:val="22"/>
        </w:rPr>
        <w:t>.</w:t>
      </w:r>
      <w:r w:rsidR="00CD5F9E">
        <w:rPr>
          <w:rFonts w:ascii="Garamond" w:hAnsi="Garamond" w:cs="Sylfaen"/>
          <w:color w:val="000000"/>
          <w:sz w:val="22"/>
          <w:szCs w:val="22"/>
        </w:rPr>
        <w:t>3</w:t>
      </w:r>
      <w:r w:rsidRPr="00FA4DBB">
        <w:rPr>
          <w:rFonts w:ascii="Garamond" w:hAnsi="Garamond" w:cs="Sylfaen"/>
          <w:color w:val="000000"/>
          <w:sz w:val="22"/>
          <w:szCs w:val="22"/>
        </w:rPr>
        <w:t xml:space="preserve">8 pp against the previous quarter to </w:t>
      </w:r>
      <w:r w:rsidR="00CD5F9E">
        <w:rPr>
          <w:rFonts w:ascii="Garamond" w:hAnsi="Garamond" w:cs="Sylfaen"/>
          <w:color w:val="000000"/>
          <w:sz w:val="22"/>
          <w:szCs w:val="22"/>
        </w:rPr>
        <w:t>7</w:t>
      </w:r>
      <w:r w:rsidRPr="00FA4DBB">
        <w:rPr>
          <w:rFonts w:ascii="Garamond" w:hAnsi="Garamond" w:cs="Sylfaen"/>
          <w:color w:val="000000"/>
          <w:sz w:val="22"/>
          <w:szCs w:val="22"/>
        </w:rPr>
        <w:t>.</w:t>
      </w:r>
      <w:r w:rsidR="00CD5F9E">
        <w:rPr>
          <w:rFonts w:ascii="Garamond" w:hAnsi="Garamond" w:cs="Sylfaen"/>
          <w:color w:val="000000"/>
          <w:sz w:val="22"/>
          <w:szCs w:val="22"/>
        </w:rPr>
        <w:t>88</w:t>
      </w:r>
      <w:r w:rsidRPr="00FA4DBB">
        <w:rPr>
          <w:rFonts w:ascii="Garamond" w:hAnsi="Garamond" w:cs="Sylfaen"/>
          <w:color w:val="000000"/>
          <w:sz w:val="22"/>
          <w:szCs w:val="22"/>
        </w:rPr>
        <w:t xml:space="preserve">%, </w:t>
      </w:r>
      <w:r w:rsidR="00CD5F9E">
        <w:rPr>
          <w:rFonts w:ascii="Garamond" w:hAnsi="Garamond" w:cs="Sylfaen"/>
          <w:color w:val="000000"/>
          <w:sz w:val="22"/>
          <w:szCs w:val="22"/>
        </w:rPr>
        <w:t xml:space="preserve">with the </w:t>
      </w:r>
      <w:r w:rsidRPr="00FA4DBB">
        <w:rPr>
          <w:rFonts w:ascii="Garamond" w:hAnsi="Garamond" w:cs="Sylfaen"/>
          <w:color w:val="000000"/>
          <w:sz w:val="22"/>
          <w:szCs w:val="22"/>
        </w:rPr>
        <w:t xml:space="preserve">average </w:t>
      </w:r>
      <w:r w:rsidR="00CD5F9E">
        <w:rPr>
          <w:rFonts w:ascii="Garamond" w:hAnsi="Garamond" w:cs="Sylfaen"/>
          <w:color w:val="000000"/>
          <w:sz w:val="22"/>
          <w:szCs w:val="22"/>
        </w:rPr>
        <w:t xml:space="preserve">September </w:t>
      </w:r>
      <w:r w:rsidRPr="00FA4DBB">
        <w:rPr>
          <w:rFonts w:ascii="Garamond" w:hAnsi="Garamond" w:cs="Sylfaen"/>
          <w:color w:val="000000"/>
          <w:sz w:val="22"/>
          <w:szCs w:val="22"/>
        </w:rPr>
        <w:t>yield slumped by 1.</w:t>
      </w:r>
      <w:r w:rsidR="00CD5F9E">
        <w:rPr>
          <w:rFonts w:ascii="Garamond" w:hAnsi="Garamond" w:cs="Sylfaen"/>
          <w:color w:val="000000"/>
          <w:sz w:val="22"/>
          <w:szCs w:val="22"/>
        </w:rPr>
        <w:t>98</w:t>
      </w:r>
      <w:r w:rsidRPr="00FA4DBB">
        <w:rPr>
          <w:rFonts w:ascii="Garamond" w:hAnsi="Garamond" w:cs="Sylfaen"/>
          <w:color w:val="000000"/>
          <w:sz w:val="22"/>
          <w:szCs w:val="22"/>
        </w:rPr>
        <w:t xml:space="preserve"> pp against </w:t>
      </w:r>
      <w:r w:rsidR="00CD5F9E">
        <w:rPr>
          <w:rFonts w:ascii="Garamond" w:hAnsi="Garamond" w:cs="Sylfaen"/>
          <w:color w:val="000000"/>
          <w:sz w:val="22"/>
          <w:szCs w:val="22"/>
        </w:rPr>
        <w:t>June</w:t>
      </w:r>
      <w:r w:rsidRPr="00FA4DBB">
        <w:rPr>
          <w:rFonts w:ascii="Garamond" w:hAnsi="Garamond" w:cs="Sylfaen"/>
          <w:color w:val="000000"/>
          <w:sz w:val="22"/>
          <w:szCs w:val="22"/>
        </w:rPr>
        <w:t xml:space="preserve"> to </w:t>
      </w:r>
      <w:r w:rsidR="00CD5F9E">
        <w:rPr>
          <w:rFonts w:ascii="Garamond" w:hAnsi="Garamond" w:cs="Sylfaen"/>
          <w:color w:val="000000"/>
          <w:sz w:val="22"/>
          <w:szCs w:val="22"/>
        </w:rPr>
        <w:t>7</w:t>
      </w:r>
      <w:r w:rsidRPr="00FA4DBB">
        <w:rPr>
          <w:rFonts w:ascii="Garamond" w:hAnsi="Garamond" w:cs="Sylfaen"/>
          <w:color w:val="000000"/>
          <w:sz w:val="22"/>
          <w:szCs w:val="22"/>
        </w:rPr>
        <w:t>.7</w:t>
      </w:r>
      <w:r w:rsidR="00CD5F9E">
        <w:rPr>
          <w:rFonts w:ascii="Garamond" w:hAnsi="Garamond" w:cs="Sylfaen"/>
          <w:color w:val="000000"/>
          <w:sz w:val="22"/>
          <w:szCs w:val="22"/>
        </w:rPr>
        <w:t>6</w:t>
      </w:r>
      <w:r w:rsidRPr="00FA4DBB">
        <w:rPr>
          <w:rFonts w:ascii="Garamond" w:hAnsi="Garamond" w:cs="Sylfaen"/>
          <w:color w:val="000000"/>
          <w:sz w:val="22"/>
          <w:szCs w:val="22"/>
        </w:rPr>
        <w:t>%.</w:t>
      </w:r>
    </w:p>
    <w:p w14:paraId="0E146F68" w14:textId="77777777" w:rsidR="00D60F57" w:rsidRPr="00D60F57" w:rsidRDefault="00D60F57" w:rsidP="0006101A">
      <w:pPr>
        <w:spacing w:line="360" w:lineRule="auto"/>
        <w:jc w:val="both"/>
        <w:rPr>
          <w:rFonts w:ascii="Garamond" w:hAnsi="Garamond" w:cs="Sylfaen"/>
          <w:color w:val="000000"/>
          <w:sz w:val="22"/>
          <w:szCs w:val="22"/>
        </w:rPr>
      </w:pPr>
    </w:p>
    <w:p w14:paraId="41028F98" w14:textId="1D896FB8" w:rsidR="00D60F57" w:rsidRPr="00D60F57" w:rsidRDefault="00D60F57" w:rsidP="0006101A">
      <w:pPr>
        <w:spacing w:line="360" w:lineRule="auto"/>
        <w:jc w:val="both"/>
        <w:rPr>
          <w:rFonts w:ascii="Garamond" w:hAnsi="Garamond" w:cs="Sylfaen"/>
          <w:color w:val="000000"/>
          <w:sz w:val="22"/>
          <w:szCs w:val="22"/>
        </w:rPr>
      </w:pPr>
      <w:r w:rsidRPr="00D60F57">
        <w:rPr>
          <w:rFonts w:ascii="Garamond" w:hAnsi="Garamond"/>
          <w:sz w:val="22"/>
          <w:szCs w:val="22"/>
        </w:rPr>
        <w:t xml:space="preserve">The </w:t>
      </w:r>
      <w:r w:rsidR="000742A1">
        <w:rPr>
          <w:rFonts w:ascii="Garamond" w:hAnsi="Garamond"/>
          <w:sz w:val="22"/>
          <w:szCs w:val="22"/>
        </w:rPr>
        <w:t xml:space="preserve">trend of falling </w:t>
      </w:r>
      <w:r w:rsidRPr="00D60F57">
        <w:rPr>
          <w:rFonts w:ascii="Garamond" w:hAnsi="Garamond"/>
          <w:sz w:val="22"/>
          <w:szCs w:val="22"/>
        </w:rPr>
        <w:t xml:space="preserve">interest rates </w:t>
      </w:r>
      <w:r w:rsidR="000742A1">
        <w:rPr>
          <w:rFonts w:ascii="Garamond" w:hAnsi="Garamond"/>
          <w:sz w:val="22"/>
          <w:szCs w:val="22"/>
        </w:rPr>
        <w:t xml:space="preserve">prompted </w:t>
      </w:r>
      <w:r>
        <w:rPr>
          <w:rFonts w:ascii="Garamond" w:hAnsi="Garamond"/>
          <w:sz w:val="22"/>
          <w:szCs w:val="22"/>
        </w:rPr>
        <w:t xml:space="preserve">the </w:t>
      </w:r>
      <w:r w:rsidRPr="00D60F57">
        <w:rPr>
          <w:rFonts w:ascii="Garamond" w:hAnsi="Garamond"/>
          <w:sz w:val="22"/>
          <w:szCs w:val="22"/>
        </w:rPr>
        <w:t xml:space="preserve">government </w:t>
      </w:r>
      <w:r>
        <w:rPr>
          <w:rFonts w:ascii="Garamond" w:hAnsi="Garamond"/>
          <w:sz w:val="22"/>
          <w:szCs w:val="22"/>
        </w:rPr>
        <w:t>bond</w:t>
      </w:r>
      <w:r w:rsidRPr="00D60F57">
        <w:rPr>
          <w:rFonts w:ascii="Garamond" w:hAnsi="Garamond"/>
          <w:sz w:val="22"/>
          <w:szCs w:val="22"/>
        </w:rPr>
        <w:t xml:space="preserve"> yield curve</w:t>
      </w:r>
      <w:r>
        <w:rPr>
          <w:rFonts w:ascii="Garamond" w:hAnsi="Garamond"/>
          <w:sz w:val="22"/>
          <w:szCs w:val="22"/>
        </w:rPr>
        <w:t xml:space="preserve"> </w:t>
      </w:r>
      <w:r w:rsidR="000742A1">
        <w:rPr>
          <w:rFonts w:ascii="Garamond" w:hAnsi="Garamond"/>
          <w:sz w:val="22"/>
          <w:szCs w:val="22"/>
        </w:rPr>
        <w:t xml:space="preserve">to </w:t>
      </w:r>
      <w:r>
        <w:rPr>
          <w:rFonts w:ascii="Garamond" w:hAnsi="Garamond"/>
          <w:sz w:val="22"/>
          <w:szCs w:val="22"/>
        </w:rPr>
        <w:t>follow</w:t>
      </w:r>
      <w:r w:rsidR="000742A1">
        <w:rPr>
          <w:rFonts w:ascii="Garamond" w:hAnsi="Garamond"/>
          <w:sz w:val="22"/>
          <w:szCs w:val="22"/>
        </w:rPr>
        <w:t xml:space="preserve"> </w:t>
      </w:r>
      <w:r>
        <w:rPr>
          <w:rFonts w:ascii="Garamond" w:hAnsi="Garamond"/>
          <w:sz w:val="22"/>
          <w:szCs w:val="22"/>
        </w:rPr>
        <w:t xml:space="preserve">a </w:t>
      </w:r>
      <w:proofErr w:type="spellStart"/>
      <w:r>
        <w:rPr>
          <w:rFonts w:ascii="Garamond" w:hAnsi="Garamond"/>
          <w:sz w:val="22"/>
          <w:szCs w:val="22"/>
        </w:rPr>
        <w:t>down</w:t>
      </w:r>
      <w:r w:rsidR="003B6F4B">
        <w:rPr>
          <w:rFonts w:ascii="Garamond" w:hAnsi="Garamond"/>
          <w:sz w:val="22"/>
          <w:szCs w:val="22"/>
        </w:rPr>
        <w:t>shift</w:t>
      </w:r>
      <w:r w:rsidR="000742A1">
        <w:rPr>
          <w:rFonts w:ascii="Garamond" w:hAnsi="Garamond"/>
          <w:sz w:val="22"/>
          <w:szCs w:val="22"/>
        </w:rPr>
        <w:t>during</w:t>
      </w:r>
      <w:proofErr w:type="spellEnd"/>
      <w:r w:rsidR="000742A1">
        <w:rPr>
          <w:rFonts w:ascii="Garamond" w:hAnsi="Garamond"/>
          <w:sz w:val="22"/>
          <w:szCs w:val="22"/>
        </w:rPr>
        <w:t xml:space="preserve"> the third quarter. The </w:t>
      </w:r>
      <w:r w:rsidR="003B6F4B">
        <w:rPr>
          <w:rFonts w:ascii="Garamond" w:hAnsi="Garamond"/>
          <w:sz w:val="22"/>
          <w:szCs w:val="22"/>
        </w:rPr>
        <w:t xml:space="preserve">decrease </w:t>
      </w:r>
      <w:r w:rsidR="000742A1">
        <w:rPr>
          <w:rFonts w:ascii="Garamond" w:hAnsi="Garamond"/>
          <w:sz w:val="22"/>
          <w:szCs w:val="22"/>
        </w:rPr>
        <w:t xml:space="preserve">was most pronounced in </w:t>
      </w:r>
      <w:r w:rsidRPr="00D60F57">
        <w:rPr>
          <w:rFonts w:ascii="Garamond" w:hAnsi="Garamond"/>
          <w:sz w:val="22"/>
          <w:szCs w:val="22"/>
        </w:rPr>
        <w:t xml:space="preserve">the short and medium-term </w:t>
      </w:r>
      <w:r w:rsidR="003B6F4B">
        <w:rPr>
          <w:rFonts w:ascii="Garamond" w:hAnsi="Garamond"/>
          <w:sz w:val="22"/>
          <w:szCs w:val="22"/>
        </w:rPr>
        <w:t>yields</w:t>
      </w:r>
      <w:r w:rsidRPr="00D60F57">
        <w:rPr>
          <w:rFonts w:ascii="Garamond" w:hAnsi="Garamond"/>
          <w:sz w:val="22"/>
          <w:szCs w:val="22"/>
        </w:rPr>
        <w:t xml:space="preserve">, </w:t>
      </w:r>
      <w:r w:rsidR="000742A1">
        <w:rPr>
          <w:rFonts w:ascii="Garamond" w:hAnsi="Garamond"/>
          <w:sz w:val="22"/>
          <w:szCs w:val="22"/>
        </w:rPr>
        <w:t>by 2</w:t>
      </w:r>
      <w:r w:rsidRPr="00D60F57">
        <w:rPr>
          <w:rFonts w:ascii="Garamond" w:hAnsi="Garamond"/>
          <w:sz w:val="22"/>
          <w:szCs w:val="22"/>
        </w:rPr>
        <w:t>.</w:t>
      </w:r>
      <w:r w:rsidR="000742A1">
        <w:rPr>
          <w:rFonts w:ascii="Garamond" w:hAnsi="Garamond"/>
          <w:sz w:val="22"/>
          <w:szCs w:val="22"/>
        </w:rPr>
        <w:t>5</w:t>
      </w:r>
      <w:r w:rsidRPr="00D60F57">
        <w:rPr>
          <w:rFonts w:ascii="Garamond" w:hAnsi="Garamond"/>
          <w:sz w:val="22"/>
          <w:szCs w:val="22"/>
        </w:rPr>
        <w:t xml:space="preserve"> pp and </w:t>
      </w:r>
      <w:r w:rsidR="000742A1">
        <w:rPr>
          <w:rFonts w:ascii="Garamond" w:hAnsi="Garamond"/>
          <w:sz w:val="22"/>
          <w:szCs w:val="22"/>
        </w:rPr>
        <w:t>2</w:t>
      </w:r>
      <w:r w:rsidRPr="00D60F57">
        <w:rPr>
          <w:rFonts w:ascii="Garamond" w:hAnsi="Garamond"/>
          <w:sz w:val="22"/>
          <w:szCs w:val="22"/>
        </w:rPr>
        <w:t>.</w:t>
      </w:r>
      <w:r w:rsidR="000742A1">
        <w:rPr>
          <w:rFonts w:ascii="Garamond" w:hAnsi="Garamond"/>
          <w:sz w:val="22"/>
          <w:szCs w:val="22"/>
        </w:rPr>
        <w:t>0</w:t>
      </w:r>
      <w:r w:rsidRPr="00D60F57">
        <w:rPr>
          <w:rFonts w:ascii="Garamond" w:hAnsi="Garamond"/>
          <w:sz w:val="22"/>
          <w:szCs w:val="22"/>
        </w:rPr>
        <w:t xml:space="preserve"> pp</w:t>
      </w:r>
      <w:r w:rsidR="000742A1">
        <w:rPr>
          <w:rFonts w:ascii="Garamond" w:hAnsi="Garamond"/>
          <w:sz w:val="22"/>
          <w:szCs w:val="22"/>
        </w:rPr>
        <w:t xml:space="preserve"> on average</w:t>
      </w:r>
      <w:r w:rsidRPr="00D60F57">
        <w:rPr>
          <w:rFonts w:ascii="Garamond" w:hAnsi="Garamond"/>
          <w:sz w:val="22"/>
          <w:szCs w:val="22"/>
        </w:rPr>
        <w:t xml:space="preserve">, respectively. </w:t>
      </w:r>
      <w:r w:rsidR="00B609B3">
        <w:rPr>
          <w:rFonts w:ascii="Garamond" w:hAnsi="Garamond"/>
          <w:sz w:val="22"/>
          <w:szCs w:val="22"/>
        </w:rPr>
        <w:t>The l</w:t>
      </w:r>
      <w:r w:rsidR="00B609B3" w:rsidRPr="00B609B3">
        <w:rPr>
          <w:rFonts w:ascii="Garamond" w:hAnsi="Garamond"/>
          <w:sz w:val="22"/>
          <w:szCs w:val="22"/>
        </w:rPr>
        <w:t xml:space="preserve">ong-term (20-year) yield </w:t>
      </w:r>
      <w:r w:rsidR="00B609B3">
        <w:rPr>
          <w:rFonts w:ascii="Garamond" w:hAnsi="Garamond"/>
          <w:sz w:val="22"/>
          <w:szCs w:val="22"/>
        </w:rPr>
        <w:t xml:space="preserve">dropped by </w:t>
      </w:r>
      <w:r w:rsidR="00B609B3" w:rsidRPr="00B609B3">
        <w:rPr>
          <w:rFonts w:ascii="Garamond" w:hAnsi="Garamond"/>
          <w:sz w:val="22"/>
          <w:szCs w:val="22"/>
        </w:rPr>
        <w:t>1.4 p</w:t>
      </w:r>
      <w:r w:rsidR="00B609B3">
        <w:rPr>
          <w:rFonts w:ascii="Garamond" w:hAnsi="Garamond"/>
          <w:sz w:val="22"/>
          <w:szCs w:val="22"/>
        </w:rPr>
        <w:t xml:space="preserve">p </w:t>
      </w:r>
      <w:r w:rsidR="00B609B3" w:rsidRPr="00B609B3">
        <w:rPr>
          <w:rFonts w:ascii="Garamond" w:hAnsi="Garamond"/>
          <w:sz w:val="22"/>
          <w:szCs w:val="22"/>
        </w:rPr>
        <w:t>to 13.5%</w:t>
      </w:r>
      <w:r w:rsidR="00B609B3">
        <w:rPr>
          <w:rFonts w:ascii="Garamond" w:hAnsi="Garamond"/>
          <w:sz w:val="22"/>
          <w:szCs w:val="22"/>
        </w:rPr>
        <w:t xml:space="preserve">. </w:t>
      </w:r>
      <w:r w:rsidRPr="00D60F57">
        <w:rPr>
          <w:rFonts w:ascii="Garamond" w:hAnsi="Garamond"/>
          <w:sz w:val="22"/>
          <w:szCs w:val="22"/>
        </w:rPr>
        <w:t xml:space="preserve">As a result, the </w:t>
      </w:r>
      <w:r w:rsidR="003B6F4B">
        <w:rPr>
          <w:rFonts w:ascii="Garamond" w:hAnsi="Garamond"/>
          <w:sz w:val="22"/>
          <w:szCs w:val="22"/>
        </w:rPr>
        <w:t>slope</w:t>
      </w:r>
      <w:r w:rsidRPr="00D60F57">
        <w:rPr>
          <w:rFonts w:ascii="Garamond" w:hAnsi="Garamond"/>
          <w:sz w:val="22"/>
          <w:szCs w:val="22"/>
        </w:rPr>
        <w:t xml:space="preserve"> </w:t>
      </w:r>
      <w:r w:rsidR="00B609B3">
        <w:rPr>
          <w:rFonts w:ascii="Garamond" w:hAnsi="Garamond"/>
          <w:sz w:val="22"/>
          <w:szCs w:val="22"/>
        </w:rPr>
        <w:t xml:space="preserve">contracted </w:t>
      </w:r>
      <w:r w:rsidRPr="00D60F57">
        <w:rPr>
          <w:rFonts w:ascii="Garamond" w:hAnsi="Garamond"/>
          <w:sz w:val="22"/>
          <w:szCs w:val="22"/>
        </w:rPr>
        <w:t xml:space="preserve">in </w:t>
      </w:r>
      <w:r w:rsidR="00B609B3">
        <w:rPr>
          <w:rFonts w:ascii="Garamond" w:hAnsi="Garamond"/>
          <w:sz w:val="22"/>
          <w:szCs w:val="22"/>
        </w:rPr>
        <w:t>September</w:t>
      </w:r>
      <w:r w:rsidRPr="00D60F57">
        <w:rPr>
          <w:rFonts w:ascii="Garamond" w:hAnsi="Garamond"/>
          <w:sz w:val="22"/>
          <w:szCs w:val="22"/>
        </w:rPr>
        <w:t xml:space="preserve"> by </w:t>
      </w:r>
      <w:r w:rsidR="00B609B3">
        <w:rPr>
          <w:rFonts w:ascii="Garamond" w:hAnsi="Garamond"/>
          <w:sz w:val="22"/>
          <w:szCs w:val="22"/>
        </w:rPr>
        <w:t>1</w:t>
      </w:r>
      <w:r w:rsidRPr="00D60F57">
        <w:rPr>
          <w:rFonts w:ascii="Garamond" w:hAnsi="Garamond"/>
          <w:sz w:val="22"/>
          <w:szCs w:val="22"/>
        </w:rPr>
        <w:t>.</w:t>
      </w:r>
      <w:r w:rsidR="00B609B3">
        <w:rPr>
          <w:rFonts w:ascii="Garamond" w:hAnsi="Garamond"/>
          <w:sz w:val="22"/>
          <w:szCs w:val="22"/>
        </w:rPr>
        <w:t>2</w:t>
      </w:r>
      <w:r w:rsidRPr="00D60F57">
        <w:rPr>
          <w:rFonts w:ascii="Garamond" w:hAnsi="Garamond"/>
          <w:sz w:val="22"/>
          <w:szCs w:val="22"/>
        </w:rPr>
        <w:t xml:space="preserve">% to </w:t>
      </w:r>
      <w:r w:rsidR="00B609B3">
        <w:rPr>
          <w:rFonts w:ascii="Garamond" w:hAnsi="Garamond"/>
          <w:sz w:val="22"/>
          <w:szCs w:val="22"/>
        </w:rPr>
        <w:t>5</w:t>
      </w:r>
      <w:r w:rsidRPr="00D60F57">
        <w:rPr>
          <w:rFonts w:ascii="Garamond" w:hAnsi="Garamond"/>
          <w:sz w:val="22"/>
          <w:szCs w:val="22"/>
        </w:rPr>
        <w:t>.</w:t>
      </w:r>
      <w:r w:rsidR="00B609B3">
        <w:rPr>
          <w:rFonts w:ascii="Garamond" w:hAnsi="Garamond"/>
          <w:sz w:val="22"/>
          <w:szCs w:val="22"/>
        </w:rPr>
        <w:t>5</w:t>
      </w:r>
      <w:r w:rsidRPr="00D60F57">
        <w:rPr>
          <w:rFonts w:ascii="Garamond" w:hAnsi="Garamond"/>
          <w:sz w:val="22"/>
          <w:szCs w:val="22"/>
        </w:rPr>
        <w:t xml:space="preserve"> pp, owing to a sizable reduction </w:t>
      </w:r>
      <w:r w:rsidRPr="00D60F57">
        <w:rPr>
          <w:rFonts w:ascii="Garamond" w:hAnsi="Garamond" w:cs="Sylfaen"/>
          <w:sz w:val="22"/>
          <w:szCs w:val="22"/>
        </w:rPr>
        <w:t xml:space="preserve">in </w:t>
      </w:r>
      <w:r w:rsidR="00B609B3">
        <w:rPr>
          <w:rFonts w:ascii="Garamond" w:hAnsi="Garamond" w:cs="Sylfaen"/>
          <w:sz w:val="22"/>
          <w:szCs w:val="22"/>
        </w:rPr>
        <w:t>long</w:t>
      </w:r>
      <w:r w:rsidRPr="00D60F57">
        <w:rPr>
          <w:rFonts w:ascii="Garamond" w:hAnsi="Garamond" w:cs="Sylfaen"/>
          <w:sz w:val="22"/>
          <w:szCs w:val="22"/>
        </w:rPr>
        <w:t>-term rates.</w:t>
      </w:r>
    </w:p>
    <w:p w14:paraId="1A4B9782" w14:textId="77777777" w:rsidR="00D60F57" w:rsidRDefault="00D60F57" w:rsidP="0006101A">
      <w:pPr>
        <w:spacing w:line="360" w:lineRule="auto"/>
        <w:jc w:val="both"/>
        <w:rPr>
          <w:rFonts w:ascii="Garamond" w:hAnsi="Garamond" w:cs="Sylfaen"/>
          <w:color w:val="000000"/>
          <w:sz w:val="22"/>
          <w:szCs w:val="22"/>
        </w:rPr>
      </w:pPr>
    </w:p>
    <w:p w14:paraId="61000F2C" w14:textId="77777777" w:rsidR="006B5568" w:rsidRPr="00A32AB2" w:rsidRDefault="00785232" w:rsidP="0006101A">
      <w:pPr>
        <w:spacing w:line="360" w:lineRule="auto"/>
        <w:jc w:val="both"/>
        <w:rPr>
          <w:rFonts w:ascii="Garamond" w:hAnsi="Garamond" w:cs="Sylfaen"/>
          <w:color w:val="000000"/>
          <w:sz w:val="22"/>
          <w:szCs w:val="22"/>
        </w:rPr>
      </w:pPr>
      <w:r w:rsidRPr="00A32AB2">
        <w:rPr>
          <w:rFonts w:ascii="Garamond" w:hAnsi="Garamond" w:cs="Sylfaen"/>
          <w:color w:val="000000"/>
          <w:sz w:val="22"/>
          <w:szCs w:val="22"/>
        </w:rPr>
        <w:t xml:space="preserve">The CBA policy </w:t>
      </w:r>
      <w:r w:rsidR="00E3577F">
        <w:rPr>
          <w:rFonts w:ascii="Garamond" w:hAnsi="Garamond" w:cs="Sylfaen"/>
          <w:color w:val="000000"/>
          <w:sz w:val="22"/>
          <w:szCs w:val="22"/>
        </w:rPr>
        <w:t xml:space="preserve">further steered to the easing of monetary conditions </w:t>
      </w:r>
      <w:r w:rsidRPr="00A32AB2">
        <w:rPr>
          <w:rFonts w:ascii="Garamond" w:hAnsi="Garamond" w:cs="Sylfaen"/>
          <w:color w:val="000000"/>
          <w:sz w:val="22"/>
          <w:szCs w:val="22"/>
        </w:rPr>
        <w:t xml:space="preserve">in the </w:t>
      </w:r>
      <w:r w:rsidR="00E3577F">
        <w:rPr>
          <w:rFonts w:ascii="Garamond" w:hAnsi="Garamond" w:cs="Sylfaen"/>
          <w:color w:val="000000"/>
          <w:sz w:val="22"/>
          <w:szCs w:val="22"/>
        </w:rPr>
        <w:t>thir</w:t>
      </w:r>
      <w:r w:rsidRPr="00A32AB2">
        <w:rPr>
          <w:rFonts w:ascii="Garamond" w:hAnsi="Garamond" w:cs="Sylfaen"/>
          <w:color w:val="000000"/>
          <w:sz w:val="22"/>
          <w:szCs w:val="22"/>
        </w:rPr>
        <w:t xml:space="preserve">d quarter, </w:t>
      </w:r>
      <w:r w:rsidR="00E3577F">
        <w:rPr>
          <w:rFonts w:ascii="Garamond" w:hAnsi="Garamond" w:cs="Sylfaen"/>
          <w:color w:val="000000"/>
          <w:sz w:val="22"/>
          <w:szCs w:val="22"/>
        </w:rPr>
        <w:t xml:space="preserve">the </w:t>
      </w:r>
      <w:r w:rsidRPr="00A32AB2">
        <w:rPr>
          <w:rFonts w:ascii="Garamond" w:hAnsi="Garamond" w:cs="Sylfaen"/>
          <w:color w:val="000000"/>
          <w:sz w:val="22"/>
          <w:szCs w:val="22"/>
        </w:rPr>
        <w:t xml:space="preserve">liquidity offered as a result of paid-in bank capital </w:t>
      </w:r>
      <w:r w:rsidR="00E3577F">
        <w:rPr>
          <w:rFonts w:ascii="Garamond" w:hAnsi="Garamond" w:cs="Sylfaen"/>
          <w:color w:val="000000"/>
          <w:sz w:val="22"/>
          <w:szCs w:val="22"/>
        </w:rPr>
        <w:t xml:space="preserve">and </w:t>
      </w:r>
      <w:r w:rsidRPr="00A32AB2">
        <w:rPr>
          <w:rFonts w:ascii="Garamond" w:hAnsi="Garamond" w:cs="Sylfaen"/>
          <w:color w:val="000000"/>
          <w:sz w:val="22"/>
          <w:szCs w:val="22"/>
        </w:rPr>
        <w:t>fall</w:t>
      </w:r>
      <w:r w:rsidR="00E3577F">
        <w:rPr>
          <w:rFonts w:ascii="Garamond" w:hAnsi="Garamond" w:cs="Sylfaen"/>
          <w:color w:val="000000"/>
          <w:sz w:val="22"/>
          <w:szCs w:val="22"/>
        </w:rPr>
        <w:t xml:space="preserve">en </w:t>
      </w:r>
      <w:r w:rsidRPr="00A32AB2">
        <w:rPr>
          <w:rFonts w:ascii="Garamond" w:hAnsi="Garamond" w:cs="Sylfaen"/>
          <w:color w:val="000000"/>
          <w:sz w:val="22"/>
          <w:szCs w:val="22"/>
        </w:rPr>
        <w:t xml:space="preserve">interest rates </w:t>
      </w:r>
      <w:r w:rsidR="00E3577F">
        <w:rPr>
          <w:rFonts w:ascii="Garamond" w:hAnsi="Garamond" w:cs="Sylfaen"/>
          <w:color w:val="000000"/>
          <w:sz w:val="22"/>
          <w:szCs w:val="22"/>
        </w:rPr>
        <w:t xml:space="preserve">all placed influence on the </w:t>
      </w:r>
      <w:r w:rsidR="00380B84" w:rsidRPr="00A32AB2">
        <w:rPr>
          <w:rFonts w:ascii="Garamond" w:hAnsi="Garamond" w:cs="Sylfaen"/>
          <w:color w:val="000000"/>
          <w:sz w:val="22"/>
          <w:szCs w:val="22"/>
        </w:rPr>
        <w:t xml:space="preserve">funds </w:t>
      </w:r>
      <w:r w:rsidRPr="00A32AB2">
        <w:rPr>
          <w:rFonts w:ascii="Garamond" w:hAnsi="Garamond" w:cs="Sylfaen"/>
          <w:color w:val="000000"/>
          <w:sz w:val="22"/>
          <w:szCs w:val="22"/>
        </w:rPr>
        <w:t xml:space="preserve">borrowed </w:t>
      </w:r>
      <w:r w:rsidR="00380B84" w:rsidRPr="00A32AB2">
        <w:rPr>
          <w:rFonts w:ascii="Garamond" w:hAnsi="Garamond" w:cs="Sylfaen"/>
          <w:color w:val="000000"/>
          <w:sz w:val="22"/>
          <w:szCs w:val="22"/>
        </w:rPr>
        <w:t xml:space="preserve">and </w:t>
      </w:r>
      <w:r w:rsidR="00E3577F">
        <w:rPr>
          <w:rFonts w:ascii="Garamond" w:hAnsi="Garamond" w:cs="Sylfaen"/>
          <w:color w:val="000000"/>
          <w:sz w:val="22"/>
          <w:szCs w:val="22"/>
        </w:rPr>
        <w:t xml:space="preserve">allocated </w:t>
      </w:r>
      <w:r w:rsidR="00380B84" w:rsidRPr="00A32AB2">
        <w:rPr>
          <w:rFonts w:ascii="Garamond" w:hAnsi="Garamond" w:cs="Sylfaen"/>
          <w:color w:val="000000"/>
          <w:sz w:val="22"/>
          <w:szCs w:val="22"/>
        </w:rPr>
        <w:t xml:space="preserve">by banks. </w:t>
      </w:r>
    </w:p>
    <w:p w14:paraId="5A52E69F" w14:textId="77777777" w:rsidR="00E33507" w:rsidRPr="006A7E57" w:rsidRDefault="00E33507" w:rsidP="0006101A">
      <w:pPr>
        <w:spacing w:line="360" w:lineRule="auto"/>
        <w:jc w:val="both"/>
        <w:rPr>
          <w:rFonts w:ascii="Garamond" w:hAnsi="Garamond" w:cs="Sylfaen"/>
          <w:color w:val="000000"/>
          <w:sz w:val="20"/>
          <w:szCs w:val="20"/>
        </w:rPr>
      </w:pPr>
    </w:p>
    <w:tbl>
      <w:tblPr>
        <w:tblW w:w="4805" w:type="pct"/>
        <w:tblInd w:w="105" w:type="dxa"/>
        <w:tblLayout w:type="fixed"/>
        <w:tblLook w:val="04A0" w:firstRow="1" w:lastRow="0" w:firstColumn="1" w:lastColumn="0" w:noHBand="0" w:noVBand="1"/>
      </w:tblPr>
      <w:tblGrid>
        <w:gridCol w:w="5444"/>
        <w:gridCol w:w="1325"/>
        <w:gridCol w:w="1193"/>
        <w:gridCol w:w="1241"/>
      </w:tblGrid>
      <w:tr w:rsidR="006B5568" w:rsidRPr="006A7E57" w14:paraId="40250619" w14:textId="77777777" w:rsidTr="00A772D2">
        <w:trPr>
          <w:trHeight w:val="330"/>
        </w:trPr>
        <w:tc>
          <w:tcPr>
            <w:tcW w:w="2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64139" w14:textId="77777777" w:rsidR="006B5568" w:rsidRPr="006A7E57" w:rsidRDefault="006B5568" w:rsidP="00A772D2">
            <w:pPr>
              <w:spacing w:before="80" w:after="80"/>
              <w:rPr>
                <w:rFonts w:ascii="Garamond" w:hAnsi="Garamond"/>
                <w:b/>
                <w:color w:val="000000"/>
                <w:sz w:val="20"/>
                <w:szCs w:val="20"/>
              </w:rPr>
            </w:pPr>
            <w:r w:rsidRPr="006A7E57">
              <w:rPr>
                <w:rFonts w:ascii="Garamond" w:hAnsi="Garamond"/>
                <w:b/>
                <w:color w:val="000000"/>
                <w:sz w:val="20"/>
                <w:szCs w:val="20"/>
              </w:rPr>
              <w:t>Interest rate on deposits in local currency</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14:paraId="22E0EAEB" w14:textId="77777777" w:rsidR="006B5568" w:rsidRPr="006A7E57" w:rsidRDefault="006B5568" w:rsidP="00E3577F">
            <w:pPr>
              <w:spacing w:before="80" w:after="80"/>
              <w:ind w:left="-57" w:right="-57"/>
              <w:jc w:val="center"/>
              <w:rPr>
                <w:rFonts w:ascii="Garamond" w:hAnsi="Garamond"/>
                <w:b/>
                <w:color w:val="000000"/>
                <w:sz w:val="20"/>
                <w:szCs w:val="20"/>
              </w:rPr>
            </w:pPr>
            <w:r w:rsidRPr="006A7E57">
              <w:rPr>
                <w:rFonts w:ascii="Garamond" w:hAnsi="Garamond"/>
                <w:b/>
                <w:color w:val="000000"/>
                <w:sz w:val="20"/>
                <w:szCs w:val="20"/>
              </w:rPr>
              <w:t>Q</w:t>
            </w:r>
            <w:r w:rsidR="00E3577F" w:rsidRPr="006A7E57">
              <w:rPr>
                <w:rFonts w:ascii="Garamond" w:hAnsi="Garamond"/>
                <w:b/>
                <w:color w:val="000000"/>
                <w:sz w:val="20"/>
                <w:szCs w:val="20"/>
              </w:rPr>
              <w:t>2</w:t>
            </w:r>
            <w:r w:rsidRPr="006A7E57">
              <w:rPr>
                <w:rFonts w:ascii="Garamond" w:hAnsi="Garamond"/>
                <w:b/>
                <w:color w:val="000000"/>
                <w:sz w:val="20"/>
                <w:szCs w:val="20"/>
              </w:rPr>
              <w:t xml:space="preserve">, 2016 </w:t>
            </w:r>
          </w:p>
        </w:tc>
        <w:tc>
          <w:tcPr>
            <w:tcW w:w="648" w:type="pct"/>
            <w:tcBorders>
              <w:top w:val="single" w:sz="4" w:space="0" w:color="auto"/>
              <w:left w:val="nil"/>
              <w:bottom w:val="single" w:sz="4" w:space="0" w:color="auto"/>
              <w:right w:val="single" w:sz="4" w:space="0" w:color="auto"/>
            </w:tcBorders>
            <w:shd w:val="clear" w:color="auto" w:fill="auto"/>
            <w:noWrap/>
            <w:vAlign w:val="bottom"/>
            <w:hideMark/>
          </w:tcPr>
          <w:p w14:paraId="29A11097" w14:textId="77777777" w:rsidR="006B5568" w:rsidRPr="006A7E57" w:rsidRDefault="006B5568" w:rsidP="00E3577F">
            <w:pPr>
              <w:spacing w:before="80" w:after="80"/>
              <w:ind w:left="-57" w:right="-57"/>
              <w:jc w:val="center"/>
              <w:rPr>
                <w:rFonts w:ascii="Garamond" w:hAnsi="Garamond"/>
                <w:b/>
                <w:color w:val="000000"/>
                <w:sz w:val="20"/>
                <w:szCs w:val="20"/>
              </w:rPr>
            </w:pPr>
            <w:r w:rsidRPr="006A7E57">
              <w:rPr>
                <w:rFonts w:ascii="Garamond" w:hAnsi="Garamond"/>
                <w:b/>
                <w:color w:val="000000"/>
                <w:sz w:val="20"/>
                <w:szCs w:val="20"/>
              </w:rPr>
              <w:t>Q</w:t>
            </w:r>
            <w:r w:rsidR="00E3577F" w:rsidRPr="006A7E57">
              <w:rPr>
                <w:rFonts w:ascii="Garamond" w:hAnsi="Garamond"/>
                <w:b/>
                <w:color w:val="000000"/>
                <w:sz w:val="20"/>
                <w:szCs w:val="20"/>
              </w:rPr>
              <w:t>3</w:t>
            </w:r>
            <w:r w:rsidRPr="006A7E57">
              <w:rPr>
                <w:rFonts w:ascii="Garamond" w:hAnsi="Garamond"/>
                <w:b/>
                <w:color w:val="000000"/>
                <w:sz w:val="20"/>
                <w:szCs w:val="20"/>
              </w:rPr>
              <w:t>, 2016</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230634D1" w14:textId="77777777" w:rsidR="006B5568" w:rsidRPr="006A7E57" w:rsidRDefault="006B5568" w:rsidP="00A772D2">
            <w:pPr>
              <w:spacing w:before="80" w:after="80"/>
              <w:ind w:left="-57" w:right="-57"/>
              <w:jc w:val="center"/>
              <w:rPr>
                <w:rFonts w:ascii="Garamond" w:hAnsi="Garamond"/>
                <w:b/>
                <w:color w:val="000000"/>
                <w:sz w:val="20"/>
                <w:szCs w:val="20"/>
              </w:rPr>
            </w:pPr>
            <w:r w:rsidRPr="006A7E57">
              <w:rPr>
                <w:rFonts w:ascii="Garamond" w:hAnsi="Garamond"/>
                <w:b/>
                <w:color w:val="000000"/>
                <w:sz w:val="20"/>
                <w:szCs w:val="20"/>
              </w:rPr>
              <w:t>Change</w:t>
            </w:r>
          </w:p>
        </w:tc>
      </w:tr>
      <w:tr w:rsidR="006B5568" w:rsidRPr="006A7E57" w14:paraId="155245DF"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6767D48E" w14:textId="77777777" w:rsidR="006B5568" w:rsidRPr="006A7E57" w:rsidRDefault="006B5568" w:rsidP="00A772D2">
            <w:pPr>
              <w:spacing w:before="80" w:after="80"/>
              <w:rPr>
                <w:rFonts w:ascii="Garamond" w:hAnsi="Garamond"/>
                <w:color w:val="000000"/>
                <w:sz w:val="20"/>
                <w:szCs w:val="20"/>
              </w:rPr>
            </w:pPr>
            <w:r w:rsidRPr="006A7E57">
              <w:rPr>
                <w:rFonts w:ascii="Garamond" w:hAnsi="Garamond"/>
                <w:b/>
                <w:bCs/>
                <w:color w:val="000000"/>
                <w:sz w:val="20"/>
                <w:szCs w:val="20"/>
              </w:rPr>
              <w:t>Up to 1 year</w:t>
            </w:r>
          </w:p>
        </w:tc>
      </w:tr>
      <w:tr w:rsidR="00E3577F" w:rsidRPr="006A7E57" w14:paraId="7FF1D166"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104F4046"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4B61831D"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9.04</w:t>
            </w:r>
          </w:p>
        </w:tc>
        <w:tc>
          <w:tcPr>
            <w:tcW w:w="648" w:type="pct"/>
            <w:tcBorders>
              <w:top w:val="nil"/>
              <w:left w:val="nil"/>
              <w:bottom w:val="single" w:sz="4" w:space="0" w:color="auto"/>
              <w:right w:val="single" w:sz="4" w:space="0" w:color="auto"/>
            </w:tcBorders>
            <w:shd w:val="clear" w:color="auto" w:fill="auto"/>
            <w:noWrap/>
            <w:vAlign w:val="center"/>
            <w:hideMark/>
          </w:tcPr>
          <w:p w14:paraId="76EFC686"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9.07</w:t>
            </w:r>
          </w:p>
        </w:tc>
        <w:tc>
          <w:tcPr>
            <w:tcW w:w="674" w:type="pct"/>
            <w:tcBorders>
              <w:top w:val="nil"/>
              <w:left w:val="nil"/>
              <w:bottom w:val="single" w:sz="4" w:space="0" w:color="auto"/>
              <w:right w:val="single" w:sz="4" w:space="0" w:color="auto"/>
            </w:tcBorders>
            <w:shd w:val="clear" w:color="auto" w:fill="auto"/>
            <w:noWrap/>
            <w:vAlign w:val="center"/>
            <w:hideMark/>
          </w:tcPr>
          <w:p w14:paraId="679FFE76"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0.03</w:t>
            </w:r>
          </w:p>
        </w:tc>
      </w:tr>
      <w:tr w:rsidR="00E3577F" w:rsidRPr="006A7E57" w14:paraId="7B4BB17F"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7AFB42C4"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143D5E34"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13.58</w:t>
            </w:r>
          </w:p>
        </w:tc>
        <w:tc>
          <w:tcPr>
            <w:tcW w:w="648" w:type="pct"/>
            <w:tcBorders>
              <w:top w:val="nil"/>
              <w:left w:val="nil"/>
              <w:bottom w:val="single" w:sz="4" w:space="0" w:color="auto"/>
              <w:right w:val="single" w:sz="4" w:space="0" w:color="auto"/>
            </w:tcBorders>
            <w:shd w:val="clear" w:color="auto" w:fill="auto"/>
            <w:noWrap/>
            <w:vAlign w:val="center"/>
            <w:hideMark/>
          </w:tcPr>
          <w:p w14:paraId="1153B441"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12.92</w:t>
            </w:r>
          </w:p>
        </w:tc>
        <w:tc>
          <w:tcPr>
            <w:tcW w:w="674" w:type="pct"/>
            <w:tcBorders>
              <w:top w:val="nil"/>
              <w:left w:val="nil"/>
              <w:bottom w:val="single" w:sz="4" w:space="0" w:color="auto"/>
              <w:right w:val="single" w:sz="4" w:space="0" w:color="auto"/>
            </w:tcBorders>
            <w:shd w:val="clear" w:color="auto" w:fill="auto"/>
            <w:noWrap/>
            <w:vAlign w:val="center"/>
            <w:hideMark/>
          </w:tcPr>
          <w:p w14:paraId="5336E067"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-0.66</w:t>
            </w:r>
          </w:p>
        </w:tc>
      </w:tr>
      <w:tr w:rsidR="006B5568" w:rsidRPr="006A7E57" w14:paraId="74B1ABAA"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21E54C6D" w14:textId="77777777" w:rsidR="006B5568" w:rsidRPr="006A7E57" w:rsidRDefault="006B5568" w:rsidP="00A772D2">
            <w:pPr>
              <w:spacing w:before="80" w:after="80"/>
              <w:rPr>
                <w:rFonts w:ascii="Garamond" w:hAnsi="Garamond"/>
                <w:color w:val="000000"/>
                <w:sz w:val="20"/>
                <w:szCs w:val="20"/>
              </w:rPr>
            </w:pPr>
            <w:r w:rsidRPr="006A7E57">
              <w:rPr>
                <w:rFonts w:ascii="Garamond" w:hAnsi="Garamond"/>
                <w:b/>
                <w:bCs/>
                <w:color w:val="000000"/>
                <w:sz w:val="20"/>
                <w:szCs w:val="20"/>
              </w:rPr>
              <w:t>Over 1 year</w:t>
            </w:r>
          </w:p>
        </w:tc>
      </w:tr>
      <w:tr w:rsidR="00E3577F" w:rsidRPr="006A7E57" w14:paraId="4AB55BD7"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5F139031"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lastRenderedPageBreak/>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0C8F9653"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13.64</w:t>
            </w:r>
          </w:p>
        </w:tc>
        <w:tc>
          <w:tcPr>
            <w:tcW w:w="648" w:type="pct"/>
            <w:tcBorders>
              <w:top w:val="nil"/>
              <w:left w:val="nil"/>
              <w:bottom w:val="single" w:sz="4" w:space="0" w:color="auto"/>
              <w:right w:val="single" w:sz="4" w:space="0" w:color="auto"/>
            </w:tcBorders>
            <w:shd w:val="clear" w:color="auto" w:fill="auto"/>
            <w:noWrap/>
            <w:vAlign w:val="center"/>
            <w:hideMark/>
          </w:tcPr>
          <w:p w14:paraId="7B869E8D"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12.65</w:t>
            </w:r>
          </w:p>
        </w:tc>
        <w:tc>
          <w:tcPr>
            <w:tcW w:w="674" w:type="pct"/>
            <w:tcBorders>
              <w:top w:val="nil"/>
              <w:left w:val="nil"/>
              <w:bottom w:val="single" w:sz="4" w:space="0" w:color="auto"/>
              <w:right w:val="single" w:sz="4" w:space="0" w:color="auto"/>
            </w:tcBorders>
            <w:shd w:val="clear" w:color="auto" w:fill="auto"/>
            <w:noWrap/>
            <w:vAlign w:val="center"/>
            <w:hideMark/>
          </w:tcPr>
          <w:p w14:paraId="767D9476"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-0.99</w:t>
            </w:r>
          </w:p>
        </w:tc>
      </w:tr>
      <w:tr w:rsidR="00E3577F" w:rsidRPr="006A7E57" w14:paraId="6AE0870A"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2A913361"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1F6CD5C6"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13.56</w:t>
            </w:r>
          </w:p>
        </w:tc>
        <w:tc>
          <w:tcPr>
            <w:tcW w:w="648" w:type="pct"/>
            <w:tcBorders>
              <w:top w:val="nil"/>
              <w:left w:val="nil"/>
              <w:bottom w:val="single" w:sz="4" w:space="0" w:color="auto"/>
              <w:right w:val="single" w:sz="4" w:space="0" w:color="auto"/>
            </w:tcBorders>
            <w:shd w:val="clear" w:color="auto" w:fill="auto"/>
            <w:noWrap/>
            <w:vAlign w:val="center"/>
            <w:hideMark/>
          </w:tcPr>
          <w:p w14:paraId="2D51D5FC"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13.21</w:t>
            </w:r>
          </w:p>
        </w:tc>
        <w:tc>
          <w:tcPr>
            <w:tcW w:w="674" w:type="pct"/>
            <w:tcBorders>
              <w:top w:val="nil"/>
              <w:left w:val="nil"/>
              <w:bottom w:val="single" w:sz="4" w:space="0" w:color="auto"/>
              <w:right w:val="single" w:sz="4" w:space="0" w:color="auto"/>
            </w:tcBorders>
            <w:shd w:val="clear" w:color="auto" w:fill="auto"/>
            <w:noWrap/>
            <w:vAlign w:val="center"/>
            <w:hideMark/>
          </w:tcPr>
          <w:p w14:paraId="378B0235"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-0.35</w:t>
            </w:r>
          </w:p>
        </w:tc>
      </w:tr>
      <w:tr w:rsidR="006B5568" w:rsidRPr="006A7E57" w14:paraId="19AD579C" w14:textId="77777777" w:rsidTr="00E3577F">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42A97807" w14:textId="77777777" w:rsidR="006B5568" w:rsidRPr="006A7E57" w:rsidRDefault="006B5568" w:rsidP="00A772D2">
            <w:pPr>
              <w:spacing w:before="240" w:after="80"/>
              <w:rPr>
                <w:rFonts w:ascii="Garamond" w:hAnsi="Garamond"/>
                <w:b/>
                <w:iCs/>
                <w:color w:val="000000"/>
                <w:sz w:val="20"/>
                <w:szCs w:val="20"/>
              </w:rPr>
            </w:pPr>
            <w:r w:rsidRPr="006A7E57">
              <w:rPr>
                <w:rFonts w:ascii="Garamond" w:hAnsi="Garamond"/>
                <w:b/>
                <w:iCs/>
                <w:color w:val="000000"/>
                <w:sz w:val="20"/>
                <w:szCs w:val="20"/>
              </w:rPr>
              <w:t>Interest rate on loans in local currency</w:t>
            </w:r>
          </w:p>
        </w:tc>
        <w:tc>
          <w:tcPr>
            <w:tcW w:w="720" w:type="pct"/>
            <w:tcBorders>
              <w:top w:val="nil"/>
              <w:left w:val="nil"/>
              <w:bottom w:val="single" w:sz="4" w:space="0" w:color="auto"/>
              <w:right w:val="single" w:sz="4" w:space="0" w:color="auto"/>
            </w:tcBorders>
            <w:shd w:val="clear" w:color="auto" w:fill="auto"/>
            <w:noWrap/>
            <w:vAlign w:val="bottom"/>
          </w:tcPr>
          <w:p w14:paraId="7A6E85DF" w14:textId="77777777" w:rsidR="006B5568" w:rsidRPr="006A7E57" w:rsidRDefault="006B5568" w:rsidP="00A772D2">
            <w:pPr>
              <w:spacing w:before="80" w:after="80"/>
              <w:ind w:left="-57" w:right="-57"/>
              <w:jc w:val="center"/>
              <w:rPr>
                <w:rFonts w:ascii="Garamond" w:hAnsi="Garamond"/>
                <w:b/>
                <w:color w:val="000000"/>
                <w:sz w:val="20"/>
                <w:szCs w:val="20"/>
              </w:rPr>
            </w:pPr>
          </w:p>
        </w:tc>
        <w:tc>
          <w:tcPr>
            <w:tcW w:w="648" w:type="pct"/>
            <w:tcBorders>
              <w:top w:val="nil"/>
              <w:left w:val="nil"/>
              <w:bottom w:val="single" w:sz="4" w:space="0" w:color="auto"/>
              <w:right w:val="single" w:sz="4" w:space="0" w:color="auto"/>
            </w:tcBorders>
            <w:shd w:val="clear" w:color="auto" w:fill="auto"/>
            <w:noWrap/>
            <w:vAlign w:val="bottom"/>
          </w:tcPr>
          <w:p w14:paraId="7D12BA56" w14:textId="77777777" w:rsidR="006B5568" w:rsidRPr="006A7E57" w:rsidRDefault="006B5568" w:rsidP="00A772D2">
            <w:pPr>
              <w:spacing w:before="80" w:after="80"/>
              <w:ind w:left="-57" w:right="-57"/>
              <w:jc w:val="center"/>
              <w:rPr>
                <w:rFonts w:ascii="Garamond" w:hAnsi="Garamond"/>
                <w:b/>
                <w:color w:val="000000"/>
                <w:sz w:val="20"/>
                <w:szCs w:val="20"/>
              </w:rPr>
            </w:pPr>
          </w:p>
        </w:tc>
        <w:tc>
          <w:tcPr>
            <w:tcW w:w="674" w:type="pct"/>
            <w:tcBorders>
              <w:top w:val="nil"/>
              <w:left w:val="nil"/>
              <w:bottom w:val="single" w:sz="4" w:space="0" w:color="auto"/>
              <w:right w:val="single" w:sz="4" w:space="0" w:color="auto"/>
            </w:tcBorders>
            <w:shd w:val="clear" w:color="auto" w:fill="auto"/>
            <w:noWrap/>
            <w:vAlign w:val="bottom"/>
          </w:tcPr>
          <w:p w14:paraId="52837F09" w14:textId="77777777" w:rsidR="006B5568" w:rsidRPr="006A7E57" w:rsidRDefault="006B5568" w:rsidP="00A772D2">
            <w:pPr>
              <w:spacing w:before="80" w:after="80"/>
              <w:ind w:left="-57" w:right="-57"/>
              <w:jc w:val="center"/>
              <w:rPr>
                <w:rFonts w:ascii="Garamond" w:hAnsi="Garamond"/>
                <w:b/>
                <w:color w:val="000000"/>
                <w:sz w:val="20"/>
                <w:szCs w:val="20"/>
              </w:rPr>
            </w:pPr>
          </w:p>
        </w:tc>
      </w:tr>
      <w:tr w:rsidR="006B5568" w:rsidRPr="006A7E57" w14:paraId="5FE41AAB"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2A06BF42" w14:textId="77777777" w:rsidR="006B5568" w:rsidRPr="006A7E57" w:rsidRDefault="006B5568" w:rsidP="00A772D2">
            <w:pPr>
              <w:spacing w:before="80" w:after="60"/>
              <w:rPr>
                <w:rFonts w:ascii="Garamond" w:hAnsi="Garamond"/>
                <w:color w:val="000000"/>
                <w:sz w:val="20"/>
                <w:szCs w:val="20"/>
              </w:rPr>
            </w:pPr>
            <w:r w:rsidRPr="006A7E57">
              <w:rPr>
                <w:rFonts w:ascii="Garamond" w:hAnsi="Garamond"/>
                <w:b/>
                <w:bCs/>
                <w:color w:val="000000"/>
                <w:sz w:val="20"/>
                <w:szCs w:val="20"/>
              </w:rPr>
              <w:t>Up to 1 year</w:t>
            </w:r>
            <w:r w:rsidRPr="006A7E57">
              <w:rPr>
                <w:rFonts w:ascii="Garamond" w:hAnsi="Garamond" w:cs="Courier New"/>
                <w:color w:val="000000"/>
                <w:sz w:val="20"/>
                <w:szCs w:val="20"/>
              </w:rPr>
              <w:t> </w:t>
            </w:r>
          </w:p>
        </w:tc>
      </w:tr>
      <w:tr w:rsidR="00E3577F" w:rsidRPr="006A7E57" w14:paraId="59F4642A"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4CE00E34"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4A8DB2F0"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13.73</w:t>
            </w:r>
          </w:p>
        </w:tc>
        <w:tc>
          <w:tcPr>
            <w:tcW w:w="648" w:type="pct"/>
            <w:tcBorders>
              <w:top w:val="nil"/>
              <w:left w:val="nil"/>
              <w:bottom w:val="single" w:sz="4" w:space="0" w:color="auto"/>
              <w:right w:val="single" w:sz="4" w:space="0" w:color="auto"/>
            </w:tcBorders>
            <w:shd w:val="clear" w:color="auto" w:fill="auto"/>
            <w:noWrap/>
            <w:vAlign w:val="center"/>
            <w:hideMark/>
          </w:tcPr>
          <w:p w14:paraId="3916770E"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14.17</w:t>
            </w:r>
          </w:p>
        </w:tc>
        <w:tc>
          <w:tcPr>
            <w:tcW w:w="674" w:type="pct"/>
            <w:tcBorders>
              <w:top w:val="nil"/>
              <w:left w:val="nil"/>
              <w:bottom w:val="single" w:sz="4" w:space="0" w:color="auto"/>
              <w:right w:val="single" w:sz="4" w:space="0" w:color="auto"/>
            </w:tcBorders>
            <w:shd w:val="clear" w:color="auto" w:fill="auto"/>
            <w:noWrap/>
            <w:vAlign w:val="center"/>
            <w:hideMark/>
          </w:tcPr>
          <w:p w14:paraId="2DE23412"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0.44</w:t>
            </w:r>
          </w:p>
        </w:tc>
      </w:tr>
      <w:tr w:rsidR="00E3577F" w:rsidRPr="006A7E57" w14:paraId="110380EE"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0FB37FFE"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7441F9DA"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21.44</w:t>
            </w:r>
          </w:p>
        </w:tc>
        <w:tc>
          <w:tcPr>
            <w:tcW w:w="648" w:type="pct"/>
            <w:tcBorders>
              <w:top w:val="nil"/>
              <w:left w:val="nil"/>
              <w:bottom w:val="single" w:sz="4" w:space="0" w:color="auto"/>
              <w:right w:val="single" w:sz="4" w:space="0" w:color="auto"/>
            </w:tcBorders>
            <w:shd w:val="clear" w:color="auto" w:fill="auto"/>
            <w:noWrap/>
            <w:vAlign w:val="center"/>
            <w:hideMark/>
          </w:tcPr>
          <w:p w14:paraId="221B2472"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20.97</w:t>
            </w:r>
          </w:p>
        </w:tc>
        <w:tc>
          <w:tcPr>
            <w:tcW w:w="674" w:type="pct"/>
            <w:tcBorders>
              <w:top w:val="nil"/>
              <w:left w:val="nil"/>
              <w:bottom w:val="single" w:sz="4" w:space="0" w:color="auto"/>
              <w:right w:val="single" w:sz="4" w:space="0" w:color="auto"/>
            </w:tcBorders>
            <w:shd w:val="clear" w:color="auto" w:fill="auto"/>
            <w:noWrap/>
            <w:vAlign w:val="center"/>
            <w:hideMark/>
          </w:tcPr>
          <w:p w14:paraId="0651F3D2"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-0.47</w:t>
            </w:r>
          </w:p>
        </w:tc>
      </w:tr>
      <w:tr w:rsidR="006B5568" w:rsidRPr="006A7E57" w14:paraId="1B7C8A1A"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4E75E26F" w14:textId="77777777" w:rsidR="006B5568" w:rsidRPr="006A7E57" w:rsidRDefault="006B5568" w:rsidP="00A772D2">
            <w:pPr>
              <w:spacing w:before="80" w:after="60"/>
              <w:rPr>
                <w:rFonts w:ascii="Garamond" w:hAnsi="Garamond"/>
                <w:color w:val="000000"/>
                <w:sz w:val="20"/>
                <w:szCs w:val="20"/>
              </w:rPr>
            </w:pPr>
            <w:r w:rsidRPr="006A7E57">
              <w:rPr>
                <w:rFonts w:ascii="Garamond" w:hAnsi="Garamond"/>
                <w:b/>
                <w:bCs/>
                <w:color w:val="000000"/>
                <w:sz w:val="20"/>
                <w:szCs w:val="20"/>
              </w:rPr>
              <w:t>Over 1 year</w:t>
            </w:r>
            <w:r w:rsidRPr="006A7E57">
              <w:rPr>
                <w:rFonts w:ascii="Garamond" w:hAnsi="Garamond" w:cs="Courier New"/>
                <w:color w:val="000000"/>
                <w:sz w:val="20"/>
                <w:szCs w:val="20"/>
              </w:rPr>
              <w:t> </w:t>
            </w:r>
          </w:p>
        </w:tc>
      </w:tr>
      <w:tr w:rsidR="00E3577F" w:rsidRPr="006A7E57" w14:paraId="0035BDF4"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13CACFC1"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6690DD74"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14.15</w:t>
            </w:r>
          </w:p>
        </w:tc>
        <w:tc>
          <w:tcPr>
            <w:tcW w:w="648" w:type="pct"/>
            <w:tcBorders>
              <w:top w:val="nil"/>
              <w:left w:val="nil"/>
              <w:bottom w:val="single" w:sz="4" w:space="0" w:color="auto"/>
              <w:right w:val="single" w:sz="4" w:space="0" w:color="auto"/>
            </w:tcBorders>
            <w:shd w:val="clear" w:color="auto" w:fill="auto"/>
            <w:noWrap/>
            <w:vAlign w:val="center"/>
            <w:hideMark/>
          </w:tcPr>
          <w:p w14:paraId="5E8C89C6"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14.64</w:t>
            </w:r>
          </w:p>
        </w:tc>
        <w:tc>
          <w:tcPr>
            <w:tcW w:w="674" w:type="pct"/>
            <w:tcBorders>
              <w:top w:val="nil"/>
              <w:left w:val="nil"/>
              <w:bottom w:val="single" w:sz="4" w:space="0" w:color="auto"/>
              <w:right w:val="single" w:sz="4" w:space="0" w:color="auto"/>
            </w:tcBorders>
            <w:shd w:val="clear" w:color="auto" w:fill="auto"/>
            <w:noWrap/>
            <w:vAlign w:val="center"/>
            <w:hideMark/>
          </w:tcPr>
          <w:p w14:paraId="508E5A94"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0.49</w:t>
            </w:r>
          </w:p>
        </w:tc>
      </w:tr>
      <w:tr w:rsidR="00E3577F" w:rsidRPr="006A7E57" w14:paraId="21BB3115"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28C4F97B"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27A3B43C"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18.63</w:t>
            </w:r>
          </w:p>
        </w:tc>
        <w:tc>
          <w:tcPr>
            <w:tcW w:w="648" w:type="pct"/>
            <w:tcBorders>
              <w:top w:val="nil"/>
              <w:left w:val="nil"/>
              <w:bottom w:val="single" w:sz="4" w:space="0" w:color="auto"/>
              <w:right w:val="single" w:sz="4" w:space="0" w:color="auto"/>
            </w:tcBorders>
            <w:shd w:val="clear" w:color="auto" w:fill="auto"/>
            <w:noWrap/>
            <w:vAlign w:val="center"/>
            <w:hideMark/>
          </w:tcPr>
          <w:p w14:paraId="4E462DC6"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18.23</w:t>
            </w:r>
          </w:p>
        </w:tc>
        <w:tc>
          <w:tcPr>
            <w:tcW w:w="674" w:type="pct"/>
            <w:tcBorders>
              <w:top w:val="nil"/>
              <w:left w:val="nil"/>
              <w:bottom w:val="single" w:sz="4" w:space="0" w:color="auto"/>
              <w:right w:val="single" w:sz="4" w:space="0" w:color="auto"/>
            </w:tcBorders>
            <w:shd w:val="clear" w:color="auto" w:fill="auto"/>
            <w:noWrap/>
            <w:vAlign w:val="center"/>
            <w:hideMark/>
          </w:tcPr>
          <w:p w14:paraId="7556E5CF" w14:textId="77777777" w:rsidR="00E3577F" w:rsidRPr="006A7E57" w:rsidRDefault="00E3577F" w:rsidP="00E3577F">
            <w:pPr>
              <w:spacing w:before="40" w:after="40"/>
              <w:jc w:val="right"/>
              <w:rPr>
                <w:rFonts w:ascii="Garamond" w:hAnsi="Garamond"/>
                <w:color w:val="000000"/>
                <w:sz w:val="20"/>
                <w:szCs w:val="20"/>
              </w:rPr>
            </w:pPr>
            <w:r w:rsidRPr="006A7E57">
              <w:rPr>
                <w:rFonts w:ascii="Garamond" w:hAnsi="Garamond"/>
                <w:color w:val="000000"/>
                <w:sz w:val="20"/>
                <w:szCs w:val="20"/>
              </w:rPr>
              <w:t>-0.4</w:t>
            </w:r>
          </w:p>
        </w:tc>
      </w:tr>
    </w:tbl>
    <w:p w14:paraId="2556C846" w14:textId="77777777" w:rsidR="006B5568" w:rsidRPr="006A7E57" w:rsidRDefault="006B5568" w:rsidP="0006101A">
      <w:pPr>
        <w:spacing w:line="360" w:lineRule="auto"/>
        <w:jc w:val="both"/>
        <w:rPr>
          <w:rFonts w:ascii="Garamond" w:hAnsi="Garamond" w:cs="Sylfaen"/>
          <w:color w:val="000000"/>
          <w:sz w:val="20"/>
          <w:szCs w:val="20"/>
        </w:rPr>
      </w:pPr>
    </w:p>
    <w:tbl>
      <w:tblPr>
        <w:tblW w:w="4815" w:type="pct"/>
        <w:tblInd w:w="147" w:type="dxa"/>
        <w:tblLayout w:type="fixed"/>
        <w:tblLook w:val="04A0" w:firstRow="1" w:lastRow="0" w:firstColumn="1" w:lastColumn="0" w:noHBand="0" w:noVBand="1"/>
      </w:tblPr>
      <w:tblGrid>
        <w:gridCol w:w="5304"/>
        <w:gridCol w:w="1306"/>
        <w:gridCol w:w="1308"/>
        <w:gridCol w:w="1304"/>
      </w:tblGrid>
      <w:tr w:rsidR="006B5568" w:rsidRPr="006A7E57" w14:paraId="4810D457" w14:textId="77777777" w:rsidTr="00A772D2">
        <w:trPr>
          <w:trHeight w:val="330"/>
        </w:trPr>
        <w:tc>
          <w:tcPr>
            <w:tcW w:w="28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F083" w14:textId="77777777" w:rsidR="006B5568" w:rsidRPr="006A7E57" w:rsidRDefault="006B5568" w:rsidP="00A772D2">
            <w:pPr>
              <w:spacing w:before="80" w:after="80"/>
              <w:ind w:left="-57" w:right="-57"/>
              <w:rPr>
                <w:rFonts w:ascii="Garamond" w:hAnsi="Garamond"/>
                <w:b/>
                <w:color w:val="000000"/>
                <w:sz w:val="20"/>
                <w:szCs w:val="20"/>
              </w:rPr>
            </w:pPr>
            <w:r w:rsidRPr="006A7E57">
              <w:rPr>
                <w:rFonts w:ascii="Garamond" w:hAnsi="Garamond"/>
                <w:b/>
                <w:color w:val="000000"/>
                <w:sz w:val="20"/>
                <w:szCs w:val="20"/>
              </w:rPr>
              <w:t>Interest rate on deposits in foreign currency</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14:paraId="02108538" w14:textId="77777777" w:rsidR="006B5568" w:rsidRPr="006A7E57" w:rsidRDefault="006B5568" w:rsidP="00E3577F">
            <w:pPr>
              <w:spacing w:before="80" w:after="80"/>
              <w:ind w:left="-57" w:right="-57"/>
              <w:jc w:val="center"/>
              <w:rPr>
                <w:rFonts w:ascii="Garamond" w:hAnsi="Garamond"/>
                <w:b/>
                <w:color w:val="000000"/>
                <w:sz w:val="20"/>
                <w:szCs w:val="20"/>
              </w:rPr>
            </w:pPr>
            <w:r w:rsidRPr="006A7E57">
              <w:rPr>
                <w:rFonts w:ascii="Garamond" w:hAnsi="Garamond"/>
                <w:b/>
                <w:color w:val="000000"/>
                <w:sz w:val="20"/>
                <w:szCs w:val="20"/>
              </w:rPr>
              <w:t>Q</w:t>
            </w:r>
            <w:r w:rsidR="00E3577F" w:rsidRPr="006A7E57">
              <w:rPr>
                <w:rFonts w:ascii="Garamond" w:hAnsi="Garamond"/>
                <w:b/>
                <w:color w:val="000000"/>
                <w:sz w:val="20"/>
                <w:szCs w:val="20"/>
              </w:rPr>
              <w:t>2</w:t>
            </w:r>
            <w:r w:rsidRPr="006A7E57">
              <w:rPr>
                <w:rFonts w:ascii="Garamond" w:hAnsi="Garamond"/>
                <w:b/>
                <w:color w:val="000000"/>
                <w:sz w:val="20"/>
                <w:szCs w:val="20"/>
              </w:rPr>
              <w:t xml:space="preserve">, 2016 </w:t>
            </w:r>
          </w:p>
        </w:tc>
        <w:tc>
          <w:tcPr>
            <w:tcW w:w="709" w:type="pct"/>
            <w:tcBorders>
              <w:top w:val="single" w:sz="4" w:space="0" w:color="auto"/>
              <w:left w:val="nil"/>
              <w:bottom w:val="single" w:sz="4" w:space="0" w:color="auto"/>
              <w:right w:val="single" w:sz="4" w:space="0" w:color="auto"/>
            </w:tcBorders>
            <w:shd w:val="clear" w:color="auto" w:fill="auto"/>
            <w:noWrap/>
            <w:vAlign w:val="bottom"/>
            <w:hideMark/>
          </w:tcPr>
          <w:p w14:paraId="4ED36E97" w14:textId="77777777" w:rsidR="006B5568" w:rsidRPr="006A7E57" w:rsidRDefault="006B5568" w:rsidP="00E3577F">
            <w:pPr>
              <w:spacing w:before="80" w:after="80"/>
              <w:ind w:left="-57" w:right="-57"/>
              <w:jc w:val="center"/>
              <w:rPr>
                <w:rFonts w:ascii="Garamond" w:hAnsi="Garamond"/>
                <w:b/>
                <w:color w:val="000000"/>
                <w:sz w:val="20"/>
                <w:szCs w:val="20"/>
              </w:rPr>
            </w:pPr>
            <w:r w:rsidRPr="006A7E57">
              <w:rPr>
                <w:rFonts w:ascii="Garamond" w:hAnsi="Garamond"/>
                <w:b/>
                <w:color w:val="000000"/>
                <w:sz w:val="20"/>
                <w:szCs w:val="20"/>
              </w:rPr>
              <w:t>Q</w:t>
            </w:r>
            <w:r w:rsidR="00E3577F" w:rsidRPr="006A7E57">
              <w:rPr>
                <w:rFonts w:ascii="Garamond" w:hAnsi="Garamond"/>
                <w:b/>
                <w:color w:val="000000"/>
                <w:sz w:val="20"/>
                <w:szCs w:val="20"/>
              </w:rPr>
              <w:t>3</w:t>
            </w:r>
            <w:r w:rsidRPr="006A7E57">
              <w:rPr>
                <w:rFonts w:ascii="Garamond" w:hAnsi="Garamond"/>
                <w:b/>
                <w:color w:val="000000"/>
                <w:sz w:val="20"/>
                <w:szCs w:val="20"/>
              </w:rPr>
              <w:t>, 2016</w:t>
            </w:r>
          </w:p>
        </w:tc>
        <w:tc>
          <w:tcPr>
            <w:tcW w:w="707" w:type="pct"/>
            <w:tcBorders>
              <w:top w:val="single" w:sz="4" w:space="0" w:color="auto"/>
              <w:left w:val="nil"/>
              <w:bottom w:val="single" w:sz="4" w:space="0" w:color="auto"/>
              <w:right w:val="single" w:sz="4" w:space="0" w:color="auto"/>
            </w:tcBorders>
            <w:shd w:val="clear" w:color="auto" w:fill="auto"/>
            <w:noWrap/>
            <w:vAlign w:val="bottom"/>
            <w:hideMark/>
          </w:tcPr>
          <w:p w14:paraId="20466802" w14:textId="77777777" w:rsidR="006B5568" w:rsidRPr="006A7E57" w:rsidRDefault="006B5568" w:rsidP="00A772D2">
            <w:pPr>
              <w:spacing w:before="80" w:after="80"/>
              <w:ind w:left="-57" w:right="-57"/>
              <w:jc w:val="center"/>
              <w:rPr>
                <w:rFonts w:ascii="Garamond" w:hAnsi="Garamond"/>
                <w:b/>
                <w:color w:val="000000"/>
                <w:sz w:val="20"/>
                <w:szCs w:val="20"/>
              </w:rPr>
            </w:pPr>
            <w:r w:rsidRPr="006A7E57">
              <w:rPr>
                <w:rFonts w:ascii="Garamond" w:hAnsi="Garamond"/>
                <w:b/>
                <w:color w:val="000000"/>
                <w:sz w:val="20"/>
                <w:szCs w:val="20"/>
              </w:rPr>
              <w:t>Change</w:t>
            </w:r>
          </w:p>
        </w:tc>
      </w:tr>
      <w:tr w:rsidR="006B5568" w:rsidRPr="006A7E57" w14:paraId="7A2B23FC"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48AEEF9D" w14:textId="77777777" w:rsidR="006B5568" w:rsidRPr="006A7E57" w:rsidRDefault="006B5568" w:rsidP="00A772D2">
            <w:pPr>
              <w:spacing w:before="80" w:after="80"/>
              <w:rPr>
                <w:rFonts w:ascii="Garamond" w:hAnsi="Garamond"/>
                <w:color w:val="000000"/>
                <w:sz w:val="20"/>
                <w:szCs w:val="20"/>
              </w:rPr>
            </w:pPr>
            <w:r w:rsidRPr="006A7E57">
              <w:rPr>
                <w:rFonts w:ascii="Garamond" w:hAnsi="Garamond"/>
                <w:b/>
                <w:bCs/>
                <w:color w:val="000000"/>
                <w:sz w:val="20"/>
                <w:szCs w:val="20"/>
              </w:rPr>
              <w:t>Up to 1 year</w:t>
            </w:r>
            <w:r w:rsidRPr="006A7E57">
              <w:rPr>
                <w:rFonts w:ascii="Garamond" w:hAnsi="Garamond" w:cs="Courier New"/>
                <w:color w:val="000000"/>
                <w:sz w:val="20"/>
                <w:szCs w:val="20"/>
              </w:rPr>
              <w:t> </w:t>
            </w:r>
          </w:p>
        </w:tc>
      </w:tr>
      <w:tr w:rsidR="00E3577F" w:rsidRPr="006A7E57" w14:paraId="659CB3B1"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hideMark/>
          </w:tcPr>
          <w:p w14:paraId="64108576"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hideMark/>
          </w:tcPr>
          <w:p w14:paraId="68DCF713"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4.92</w:t>
            </w:r>
          </w:p>
        </w:tc>
        <w:tc>
          <w:tcPr>
            <w:tcW w:w="709" w:type="pct"/>
            <w:tcBorders>
              <w:top w:val="nil"/>
              <w:left w:val="nil"/>
              <w:bottom w:val="single" w:sz="4" w:space="0" w:color="auto"/>
              <w:right w:val="single" w:sz="4" w:space="0" w:color="auto"/>
            </w:tcBorders>
            <w:shd w:val="clear" w:color="auto" w:fill="auto"/>
            <w:noWrap/>
            <w:vAlign w:val="center"/>
            <w:hideMark/>
          </w:tcPr>
          <w:p w14:paraId="7FFF93BA"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4.9</w:t>
            </w:r>
          </w:p>
        </w:tc>
        <w:tc>
          <w:tcPr>
            <w:tcW w:w="707" w:type="pct"/>
            <w:tcBorders>
              <w:top w:val="nil"/>
              <w:left w:val="nil"/>
              <w:bottom w:val="single" w:sz="4" w:space="0" w:color="auto"/>
              <w:right w:val="single" w:sz="4" w:space="0" w:color="auto"/>
            </w:tcBorders>
            <w:shd w:val="clear" w:color="auto" w:fill="auto"/>
            <w:noWrap/>
            <w:vAlign w:val="center"/>
            <w:hideMark/>
          </w:tcPr>
          <w:p w14:paraId="0AD34221"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-0.02</w:t>
            </w:r>
          </w:p>
        </w:tc>
      </w:tr>
      <w:tr w:rsidR="00E3577F" w:rsidRPr="006A7E57" w14:paraId="6A338AE9"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hideMark/>
          </w:tcPr>
          <w:p w14:paraId="47A686FC" w14:textId="77777777" w:rsidR="00E3577F" w:rsidRPr="006A7E57" w:rsidRDefault="00E3577F" w:rsidP="00E3577F">
            <w:pPr>
              <w:rPr>
                <w:rFonts w:ascii="Garamond" w:hAnsi="Garamond"/>
                <w:sz w:val="20"/>
                <w:szCs w:val="20"/>
              </w:rPr>
            </w:pPr>
            <w:r w:rsidRPr="006A7E57">
              <w:rPr>
                <w:rFonts w:ascii="Garamond" w:hAnsi="Garamond"/>
                <w:i/>
                <w:iCs/>
                <w:color w:val="000000"/>
                <w:sz w:val="20"/>
                <w:szCs w:val="20"/>
              </w:rPr>
              <w:t>Households</w:t>
            </w:r>
          </w:p>
        </w:tc>
        <w:tc>
          <w:tcPr>
            <w:tcW w:w="708" w:type="pct"/>
            <w:tcBorders>
              <w:top w:val="nil"/>
              <w:left w:val="nil"/>
              <w:bottom w:val="single" w:sz="4" w:space="0" w:color="auto"/>
              <w:right w:val="single" w:sz="4" w:space="0" w:color="auto"/>
            </w:tcBorders>
            <w:shd w:val="clear" w:color="auto" w:fill="auto"/>
            <w:noWrap/>
            <w:vAlign w:val="center"/>
            <w:hideMark/>
          </w:tcPr>
          <w:p w14:paraId="5A954AC9"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5.4</w:t>
            </w:r>
          </w:p>
        </w:tc>
        <w:tc>
          <w:tcPr>
            <w:tcW w:w="709" w:type="pct"/>
            <w:tcBorders>
              <w:top w:val="nil"/>
              <w:left w:val="nil"/>
              <w:bottom w:val="single" w:sz="4" w:space="0" w:color="auto"/>
              <w:right w:val="single" w:sz="4" w:space="0" w:color="auto"/>
            </w:tcBorders>
            <w:shd w:val="clear" w:color="auto" w:fill="auto"/>
            <w:noWrap/>
            <w:vAlign w:val="center"/>
            <w:hideMark/>
          </w:tcPr>
          <w:p w14:paraId="2C62E7AC"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5.15</w:t>
            </w:r>
          </w:p>
        </w:tc>
        <w:tc>
          <w:tcPr>
            <w:tcW w:w="707" w:type="pct"/>
            <w:tcBorders>
              <w:top w:val="nil"/>
              <w:left w:val="nil"/>
              <w:bottom w:val="single" w:sz="4" w:space="0" w:color="auto"/>
              <w:right w:val="single" w:sz="4" w:space="0" w:color="auto"/>
            </w:tcBorders>
            <w:shd w:val="clear" w:color="auto" w:fill="auto"/>
            <w:noWrap/>
            <w:vAlign w:val="center"/>
            <w:hideMark/>
          </w:tcPr>
          <w:p w14:paraId="695E857A"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-0.25</w:t>
            </w:r>
          </w:p>
        </w:tc>
      </w:tr>
      <w:tr w:rsidR="006B5568" w:rsidRPr="006A7E57" w14:paraId="7A075C67"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5664F492" w14:textId="77777777" w:rsidR="006B5568" w:rsidRPr="006A7E57" w:rsidRDefault="006B5568" w:rsidP="00A772D2">
            <w:pPr>
              <w:spacing w:before="80" w:after="80"/>
              <w:rPr>
                <w:rFonts w:ascii="Garamond" w:hAnsi="Garamond"/>
                <w:color w:val="000000"/>
                <w:sz w:val="20"/>
                <w:szCs w:val="20"/>
              </w:rPr>
            </w:pPr>
            <w:r w:rsidRPr="006A7E57">
              <w:rPr>
                <w:rFonts w:ascii="Garamond" w:hAnsi="Garamond"/>
                <w:b/>
                <w:bCs/>
                <w:color w:val="000000"/>
                <w:sz w:val="20"/>
                <w:szCs w:val="20"/>
              </w:rPr>
              <w:t>Over 1 year</w:t>
            </w:r>
            <w:r w:rsidRPr="006A7E57">
              <w:rPr>
                <w:rFonts w:ascii="Garamond" w:hAnsi="Garamond" w:cs="Courier New"/>
                <w:color w:val="000000"/>
                <w:sz w:val="20"/>
                <w:szCs w:val="20"/>
              </w:rPr>
              <w:t> </w:t>
            </w:r>
          </w:p>
        </w:tc>
      </w:tr>
      <w:tr w:rsidR="00E3577F" w:rsidRPr="006A7E57" w14:paraId="0BE7B799"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hideMark/>
          </w:tcPr>
          <w:p w14:paraId="0770D3AF"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hideMark/>
          </w:tcPr>
          <w:p w14:paraId="0E758238"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7.94</w:t>
            </w:r>
          </w:p>
        </w:tc>
        <w:tc>
          <w:tcPr>
            <w:tcW w:w="709" w:type="pct"/>
            <w:tcBorders>
              <w:top w:val="nil"/>
              <w:left w:val="nil"/>
              <w:bottom w:val="single" w:sz="4" w:space="0" w:color="auto"/>
              <w:right w:val="single" w:sz="4" w:space="0" w:color="auto"/>
            </w:tcBorders>
            <w:shd w:val="clear" w:color="auto" w:fill="auto"/>
            <w:noWrap/>
            <w:vAlign w:val="center"/>
            <w:hideMark/>
          </w:tcPr>
          <w:p w14:paraId="4D11672C"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7.27</w:t>
            </w:r>
          </w:p>
        </w:tc>
        <w:tc>
          <w:tcPr>
            <w:tcW w:w="707" w:type="pct"/>
            <w:tcBorders>
              <w:top w:val="nil"/>
              <w:left w:val="nil"/>
              <w:bottom w:val="single" w:sz="4" w:space="0" w:color="auto"/>
              <w:right w:val="single" w:sz="4" w:space="0" w:color="auto"/>
            </w:tcBorders>
            <w:shd w:val="clear" w:color="auto" w:fill="auto"/>
            <w:noWrap/>
            <w:vAlign w:val="center"/>
            <w:hideMark/>
          </w:tcPr>
          <w:p w14:paraId="2FAFF21B"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-0.67</w:t>
            </w:r>
          </w:p>
        </w:tc>
      </w:tr>
      <w:tr w:rsidR="00E3577F" w:rsidRPr="006A7E57" w14:paraId="200F34DE"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hideMark/>
          </w:tcPr>
          <w:p w14:paraId="537B2E7D"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Households</w:t>
            </w:r>
          </w:p>
        </w:tc>
        <w:tc>
          <w:tcPr>
            <w:tcW w:w="708" w:type="pct"/>
            <w:tcBorders>
              <w:top w:val="nil"/>
              <w:left w:val="nil"/>
              <w:bottom w:val="single" w:sz="4" w:space="0" w:color="auto"/>
              <w:right w:val="single" w:sz="4" w:space="0" w:color="auto"/>
            </w:tcBorders>
            <w:shd w:val="clear" w:color="auto" w:fill="auto"/>
            <w:noWrap/>
            <w:vAlign w:val="center"/>
            <w:hideMark/>
          </w:tcPr>
          <w:p w14:paraId="37B35D4F"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6.65</w:t>
            </w:r>
          </w:p>
        </w:tc>
        <w:tc>
          <w:tcPr>
            <w:tcW w:w="709" w:type="pct"/>
            <w:tcBorders>
              <w:top w:val="nil"/>
              <w:left w:val="nil"/>
              <w:bottom w:val="single" w:sz="4" w:space="0" w:color="auto"/>
              <w:right w:val="single" w:sz="4" w:space="0" w:color="auto"/>
            </w:tcBorders>
            <w:shd w:val="clear" w:color="auto" w:fill="auto"/>
            <w:noWrap/>
            <w:vAlign w:val="center"/>
            <w:hideMark/>
          </w:tcPr>
          <w:p w14:paraId="770F68C0"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6.75</w:t>
            </w:r>
          </w:p>
        </w:tc>
        <w:tc>
          <w:tcPr>
            <w:tcW w:w="707" w:type="pct"/>
            <w:tcBorders>
              <w:top w:val="nil"/>
              <w:left w:val="nil"/>
              <w:bottom w:val="single" w:sz="4" w:space="0" w:color="auto"/>
              <w:right w:val="single" w:sz="4" w:space="0" w:color="auto"/>
            </w:tcBorders>
            <w:shd w:val="clear" w:color="auto" w:fill="auto"/>
            <w:noWrap/>
            <w:vAlign w:val="center"/>
            <w:hideMark/>
          </w:tcPr>
          <w:p w14:paraId="253291C7"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0.1</w:t>
            </w:r>
          </w:p>
        </w:tc>
      </w:tr>
      <w:tr w:rsidR="006B5568" w:rsidRPr="006A7E57" w14:paraId="2A3E0F0D"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026BFD9F" w14:textId="77777777" w:rsidR="006B5568" w:rsidRPr="006A7E57" w:rsidRDefault="006B5568" w:rsidP="00A772D2">
            <w:pPr>
              <w:spacing w:before="240" w:after="40"/>
              <w:rPr>
                <w:rFonts w:ascii="Garamond" w:hAnsi="Garamond"/>
                <w:b/>
                <w:color w:val="000000"/>
                <w:sz w:val="20"/>
                <w:szCs w:val="20"/>
              </w:rPr>
            </w:pPr>
            <w:r w:rsidRPr="006A7E57">
              <w:rPr>
                <w:rFonts w:ascii="Garamond" w:hAnsi="Garamond"/>
                <w:b/>
                <w:color w:val="000000"/>
                <w:sz w:val="20"/>
                <w:szCs w:val="20"/>
              </w:rPr>
              <w:t>Interest rate on loans in foreign currency</w:t>
            </w:r>
          </w:p>
        </w:tc>
        <w:tc>
          <w:tcPr>
            <w:tcW w:w="708" w:type="pct"/>
            <w:tcBorders>
              <w:top w:val="nil"/>
              <w:left w:val="nil"/>
              <w:bottom w:val="single" w:sz="4" w:space="0" w:color="auto"/>
              <w:right w:val="single" w:sz="4" w:space="0" w:color="auto"/>
            </w:tcBorders>
            <w:shd w:val="clear" w:color="auto" w:fill="auto"/>
            <w:noWrap/>
            <w:vAlign w:val="bottom"/>
          </w:tcPr>
          <w:p w14:paraId="03ED6F7E" w14:textId="77777777" w:rsidR="006B5568" w:rsidRPr="006A7E57" w:rsidRDefault="006B5568" w:rsidP="00A772D2">
            <w:pPr>
              <w:spacing w:before="80" w:after="80"/>
              <w:ind w:left="-57" w:right="-57"/>
              <w:jc w:val="center"/>
              <w:rPr>
                <w:rFonts w:ascii="Garamond" w:hAnsi="Garamond"/>
                <w:b/>
                <w:color w:val="000000"/>
                <w:sz w:val="20"/>
                <w:szCs w:val="20"/>
              </w:rPr>
            </w:pPr>
          </w:p>
        </w:tc>
        <w:tc>
          <w:tcPr>
            <w:tcW w:w="709" w:type="pct"/>
            <w:tcBorders>
              <w:top w:val="nil"/>
              <w:left w:val="nil"/>
              <w:bottom w:val="single" w:sz="4" w:space="0" w:color="auto"/>
              <w:right w:val="single" w:sz="4" w:space="0" w:color="auto"/>
            </w:tcBorders>
            <w:shd w:val="clear" w:color="auto" w:fill="auto"/>
            <w:noWrap/>
            <w:vAlign w:val="bottom"/>
          </w:tcPr>
          <w:p w14:paraId="46DAE721" w14:textId="77777777" w:rsidR="006B5568" w:rsidRPr="006A7E57" w:rsidRDefault="006B5568" w:rsidP="00A772D2">
            <w:pPr>
              <w:spacing w:before="80" w:after="80"/>
              <w:ind w:left="-57" w:right="-57"/>
              <w:jc w:val="center"/>
              <w:rPr>
                <w:rFonts w:ascii="Garamond" w:hAnsi="Garamond"/>
                <w:b/>
                <w:color w:val="000000"/>
                <w:sz w:val="20"/>
                <w:szCs w:val="20"/>
              </w:rPr>
            </w:pPr>
          </w:p>
        </w:tc>
        <w:tc>
          <w:tcPr>
            <w:tcW w:w="707" w:type="pct"/>
            <w:tcBorders>
              <w:top w:val="nil"/>
              <w:left w:val="nil"/>
              <w:bottom w:val="single" w:sz="4" w:space="0" w:color="auto"/>
              <w:right w:val="single" w:sz="4" w:space="0" w:color="auto"/>
            </w:tcBorders>
            <w:shd w:val="clear" w:color="auto" w:fill="auto"/>
            <w:noWrap/>
            <w:vAlign w:val="bottom"/>
          </w:tcPr>
          <w:p w14:paraId="56E1A9DB" w14:textId="77777777" w:rsidR="006B5568" w:rsidRPr="006A7E57" w:rsidRDefault="006B5568" w:rsidP="00A772D2">
            <w:pPr>
              <w:spacing w:before="80" w:after="80"/>
              <w:ind w:left="-57" w:right="-57"/>
              <w:jc w:val="center"/>
              <w:rPr>
                <w:rFonts w:ascii="Garamond" w:hAnsi="Garamond"/>
                <w:b/>
                <w:color w:val="000000"/>
                <w:sz w:val="20"/>
                <w:szCs w:val="20"/>
              </w:rPr>
            </w:pPr>
          </w:p>
        </w:tc>
      </w:tr>
      <w:tr w:rsidR="006B5568" w:rsidRPr="006A7E57" w14:paraId="4BD148ED"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tcPr>
          <w:p w14:paraId="29D42D0E" w14:textId="77777777" w:rsidR="006B5568" w:rsidRPr="006A7E57" w:rsidRDefault="006B5568" w:rsidP="00A772D2">
            <w:pPr>
              <w:spacing w:before="20" w:after="20"/>
              <w:ind w:right="-57"/>
              <w:rPr>
                <w:rFonts w:ascii="Garamond" w:hAnsi="Garamond"/>
                <w:b/>
                <w:color w:val="000000"/>
                <w:sz w:val="20"/>
                <w:szCs w:val="20"/>
              </w:rPr>
            </w:pPr>
            <w:r w:rsidRPr="006A7E57">
              <w:rPr>
                <w:rFonts w:ascii="Garamond" w:hAnsi="Garamond"/>
                <w:b/>
                <w:bCs/>
                <w:color w:val="000000"/>
                <w:sz w:val="20"/>
                <w:szCs w:val="20"/>
              </w:rPr>
              <w:t>Up to 1 year</w:t>
            </w:r>
            <w:r w:rsidRPr="006A7E57">
              <w:rPr>
                <w:rFonts w:ascii="Garamond" w:hAnsi="Garamond" w:cs="Courier New"/>
                <w:color w:val="000000"/>
                <w:sz w:val="20"/>
                <w:szCs w:val="20"/>
              </w:rPr>
              <w:t> </w:t>
            </w:r>
          </w:p>
        </w:tc>
      </w:tr>
      <w:tr w:rsidR="00E3577F" w:rsidRPr="006A7E57" w14:paraId="39FCD729"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36E799F2"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tcPr>
          <w:p w14:paraId="6E099754"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8.5</w:t>
            </w:r>
          </w:p>
        </w:tc>
        <w:tc>
          <w:tcPr>
            <w:tcW w:w="709" w:type="pct"/>
            <w:tcBorders>
              <w:top w:val="nil"/>
              <w:left w:val="nil"/>
              <w:bottom w:val="single" w:sz="4" w:space="0" w:color="auto"/>
              <w:right w:val="single" w:sz="4" w:space="0" w:color="auto"/>
            </w:tcBorders>
            <w:shd w:val="clear" w:color="auto" w:fill="auto"/>
            <w:noWrap/>
            <w:vAlign w:val="center"/>
          </w:tcPr>
          <w:p w14:paraId="00FF571F"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8.8</w:t>
            </w:r>
          </w:p>
        </w:tc>
        <w:tc>
          <w:tcPr>
            <w:tcW w:w="707" w:type="pct"/>
            <w:tcBorders>
              <w:top w:val="nil"/>
              <w:left w:val="nil"/>
              <w:bottom w:val="single" w:sz="4" w:space="0" w:color="auto"/>
              <w:right w:val="single" w:sz="4" w:space="0" w:color="auto"/>
            </w:tcBorders>
            <w:shd w:val="clear" w:color="auto" w:fill="auto"/>
            <w:noWrap/>
            <w:vAlign w:val="center"/>
          </w:tcPr>
          <w:p w14:paraId="5EBDFF6D"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0.3</w:t>
            </w:r>
          </w:p>
        </w:tc>
      </w:tr>
      <w:tr w:rsidR="00E3577F" w:rsidRPr="006A7E57" w14:paraId="76603540"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33D707AD"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Households</w:t>
            </w:r>
          </w:p>
        </w:tc>
        <w:tc>
          <w:tcPr>
            <w:tcW w:w="708" w:type="pct"/>
            <w:tcBorders>
              <w:top w:val="nil"/>
              <w:left w:val="nil"/>
              <w:bottom w:val="single" w:sz="4" w:space="0" w:color="auto"/>
              <w:right w:val="single" w:sz="4" w:space="0" w:color="auto"/>
            </w:tcBorders>
            <w:shd w:val="clear" w:color="auto" w:fill="auto"/>
            <w:noWrap/>
            <w:vAlign w:val="center"/>
          </w:tcPr>
          <w:p w14:paraId="5B4E5223"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14.52</w:t>
            </w:r>
          </w:p>
        </w:tc>
        <w:tc>
          <w:tcPr>
            <w:tcW w:w="709" w:type="pct"/>
            <w:tcBorders>
              <w:top w:val="nil"/>
              <w:left w:val="nil"/>
              <w:bottom w:val="single" w:sz="4" w:space="0" w:color="auto"/>
              <w:right w:val="single" w:sz="4" w:space="0" w:color="auto"/>
            </w:tcBorders>
            <w:shd w:val="clear" w:color="auto" w:fill="auto"/>
            <w:noWrap/>
            <w:vAlign w:val="center"/>
          </w:tcPr>
          <w:p w14:paraId="66B1DDD5"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13.96</w:t>
            </w:r>
          </w:p>
        </w:tc>
        <w:tc>
          <w:tcPr>
            <w:tcW w:w="707" w:type="pct"/>
            <w:tcBorders>
              <w:top w:val="nil"/>
              <w:left w:val="nil"/>
              <w:bottom w:val="single" w:sz="4" w:space="0" w:color="auto"/>
              <w:right w:val="single" w:sz="4" w:space="0" w:color="auto"/>
            </w:tcBorders>
            <w:shd w:val="clear" w:color="auto" w:fill="auto"/>
            <w:noWrap/>
            <w:vAlign w:val="center"/>
          </w:tcPr>
          <w:p w14:paraId="50981B68"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-0.56</w:t>
            </w:r>
          </w:p>
        </w:tc>
      </w:tr>
      <w:tr w:rsidR="006B5568" w:rsidRPr="006A7E57" w14:paraId="50E06674"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tcPr>
          <w:p w14:paraId="63E7DB99" w14:textId="77777777" w:rsidR="006B5568" w:rsidRPr="006A7E57" w:rsidRDefault="006B5568" w:rsidP="00A772D2">
            <w:pPr>
              <w:spacing w:before="20" w:after="20"/>
              <w:ind w:right="-57"/>
              <w:rPr>
                <w:rFonts w:ascii="Garamond" w:hAnsi="Garamond"/>
                <w:b/>
                <w:color w:val="000000"/>
                <w:sz w:val="20"/>
                <w:szCs w:val="20"/>
              </w:rPr>
            </w:pPr>
            <w:r w:rsidRPr="006A7E57">
              <w:rPr>
                <w:rFonts w:ascii="Garamond" w:hAnsi="Garamond"/>
                <w:b/>
                <w:bCs/>
                <w:color w:val="000000"/>
                <w:sz w:val="20"/>
                <w:szCs w:val="20"/>
              </w:rPr>
              <w:t>Over 1 year</w:t>
            </w:r>
          </w:p>
        </w:tc>
      </w:tr>
      <w:tr w:rsidR="00E3577F" w:rsidRPr="006A7E57" w14:paraId="2B6734F8"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4BC7633B" w14:textId="77777777" w:rsidR="00E3577F" w:rsidRPr="006A7E57" w:rsidRDefault="00E3577F" w:rsidP="00E3577F">
            <w:pPr>
              <w:spacing w:before="80" w:after="80"/>
              <w:rPr>
                <w:rFonts w:ascii="Garamond" w:hAnsi="Garamond"/>
                <w:i/>
                <w:iCs/>
                <w:color w:val="000000"/>
                <w:sz w:val="20"/>
                <w:szCs w:val="20"/>
              </w:rPr>
            </w:pPr>
            <w:r w:rsidRPr="006A7E57">
              <w:rPr>
                <w:rFonts w:ascii="Garamond" w:hAnsi="Garamond"/>
                <w:i/>
                <w:iCs/>
                <w:color w:val="000000"/>
                <w:sz w:val="20"/>
                <w:szCs w:val="20"/>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tcPr>
          <w:p w14:paraId="3B36A846"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9.75</w:t>
            </w:r>
          </w:p>
        </w:tc>
        <w:tc>
          <w:tcPr>
            <w:tcW w:w="709" w:type="pct"/>
            <w:tcBorders>
              <w:top w:val="nil"/>
              <w:left w:val="nil"/>
              <w:bottom w:val="single" w:sz="4" w:space="0" w:color="auto"/>
              <w:right w:val="single" w:sz="4" w:space="0" w:color="auto"/>
            </w:tcBorders>
            <w:shd w:val="clear" w:color="auto" w:fill="auto"/>
            <w:noWrap/>
            <w:vAlign w:val="center"/>
          </w:tcPr>
          <w:p w14:paraId="3AE2571A"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9.94</w:t>
            </w:r>
          </w:p>
        </w:tc>
        <w:tc>
          <w:tcPr>
            <w:tcW w:w="707" w:type="pct"/>
            <w:tcBorders>
              <w:top w:val="nil"/>
              <w:left w:val="nil"/>
              <w:bottom w:val="single" w:sz="4" w:space="0" w:color="auto"/>
              <w:right w:val="single" w:sz="4" w:space="0" w:color="auto"/>
            </w:tcBorders>
            <w:shd w:val="clear" w:color="auto" w:fill="auto"/>
            <w:noWrap/>
            <w:vAlign w:val="center"/>
          </w:tcPr>
          <w:p w14:paraId="183459D6"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0.19</w:t>
            </w:r>
          </w:p>
        </w:tc>
      </w:tr>
      <w:tr w:rsidR="00E3577F" w:rsidRPr="006A7E57" w14:paraId="43BE8852"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tcPr>
          <w:p w14:paraId="3167D9D9" w14:textId="77777777" w:rsidR="00E3577F" w:rsidRPr="006A7E57" w:rsidRDefault="00E3577F" w:rsidP="00E3577F">
            <w:pPr>
              <w:rPr>
                <w:rFonts w:ascii="Garamond" w:hAnsi="Garamond"/>
                <w:sz w:val="20"/>
                <w:szCs w:val="20"/>
              </w:rPr>
            </w:pPr>
            <w:r w:rsidRPr="006A7E57">
              <w:rPr>
                <w:rFonts w:ascii="Garamond" w:hAnsi="Garamond"/>
                <w:i/>
                <w:iCs/>
                <w:color w:val="000000"/>
                <w:sz w:val="20"/>
                <w:szCs w:val="20"/>
              </w:rPr>
              <w:t>Households</w:t>
            </w:r>
          </w:p>
        </w:tc>
        <w:tc>
          <w:tcPr>
            <w:tcW w:w="708" w:type="pct"/>
            <w:tcBorders>
              <w:top w:val="nil"/>
              <w:left w:val="nil"/>
              <w:bottom w:val="single" w:sz="4" w:space="0" w:color="auto"/>
              <w:right w:val="single" w:sz="4" w:space="0" w:color="auto"/>
            </w:tcBorders>
            <w:shd w:val="clear" w:color="auto" w:fill="auto"/>
            <w:noWrap/>
            <w:vAlign w:val="center"/>
          </w:tcPr>
          <w:p w14:paraId="781D25CE"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14.29</w:t>
            </w:r>
          </w:p>
        </w:tc>
        <w:tc>
          <w:tcPr>
            <w:tcW w:w="709" w:type="pct"/>
            <w:tcBorders>
              <w:top w:val="nil"/>
              <w:left w:val="nil"/>
              <w:bottom w:val="single" w:sz="4" w:space="0" w:color="auto"/>
              <w:right w:val="single" w:sz="4" w:space="0" w:color="auto"/>
            </w:tcBorders>
            <w:shd w:val="clear" w:color="auto" w:fill="auto"/>
            <w:noWrap/>
            <w:vAlign w:val="center"/>
          </w:tcPr>
          <w:p w14:paraId="11405716"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14.02</w:t>
            </w:r>
          </w:p>
        </w:tc>
        <w:tc>
          <w:tcPr>
            <w:tcW w:w="707" w:type="pct"/>
            <w:tcBorders>
              <w:top w:val="nil"/>
              <w:left w:val="nil"/>
              <w:bottom w:val="single" w:sz="4" w:space="0" w:color="auto"/>
              <w:right w:val="single" w:sz="4" w:space="0" w:color="auto"/>
            </w:tcBorders>
            <w:shd w:val="clear" w:color="auto" w:fill="auto"/>
            <w:noWrap/>
            <w:vAlign w:val="center"/>
          </w:tcPr>
          <w:p w14:paraId="6C599538" w14:textId="77777777" w:rsidR="00E3577F" w:rsidRPr="006A7E57" w:rsidRDefault="00E3577F" w:rsidP="00E3577F">
            <w:pPr>
              <w:spacing w:before="40" w:after="40"/>
              <w:jc w:val="right"/>
              <w:rPr>
                <w:rFonts w:ascii="Garamond" w:hAnsi="Garamond" w:cs="Courier New"/>
                <w:color w:val="000000"/>
                <w:sz w:val="20"/>
                <w:szCs w:val="20"/>
              </w:rPr>
            </w:pPr>
            <w:r w:rsidRPr="006A7E57">
              <w:rPr>
                <w:rFonts w:ascii="Garamond" w:hAnsi="Garamond" w:cs="Courier New"/>
                <w:color w:val="000000"/>
                <w:sz w:val="20"/>
                <w:szCs w:val="20"/>
              </w:rPr>
              <w:t>-0.27</w:t>
            </w:r>
          </w:p>
        </w:tc>
      </w:tr>
    </w:tbl>
    <w:p w14:paraId="7F8078BE" w14:textId="77777777" w:rsidR="006B5568" w:rsidRPr="006A7E57" w:rsidRDefault="006B5568" w:rsidP="006B5568">
      <w:pPr>
        <w:ind w:firstLine="284"/>
        <w:jc w:val="both"/>
        <w:rPr>
          <w:rFonts w:ascii="Garamond" w:hAnsi="Garamond" w:cs="Sylfaen"/>
          <w:color w:val="0070C0"/>
          <w:sz w:val="20"/>
          <w:szCs w:val="20"/>
        </w:rPr>
      </w:pPr>
    </w:p>
    <w:p w14:paraId="7EA511BF" w14:textId="77777777" w:rsidR="00235FE1" w:rsidRDefault="00235FE1" w:rsidP="0006101A">
      <w:pPr>
        <w:spacing w:line="360" w:lineRule="auto"/>
        <w:jc w:val="both"/>
        <w:rPr>
          <w:rFonts w:ascii="Garamond" w:hAnsi="Garamond" w:cs="Sylfaen"/>
          <w:color w:val="000000"/>
          <w:sz w:val="22"/>
          <w:szCs w:val="22"/>
        </w:rPr>
      </w:pPr>
    </w:p>
    <w:p w14:paraId="1DA6CEFD" w14:textId="6DA31D51" w:rsidR="008E5A34" w:rsidRDefault="00235FE1" w:rsidP="008E5A34">
      <w:pPr>
        <w:spacing w:line="360" w:lineRule="auto"/>
        <w:jc w:val="both"/>
        <w:rPr>
          <w:rFonts w:ascii="Garamond" w:hAnsi="Garamond" w:cs="Sylfaen"/>
          <w:color w:val="000000"/>
          <w:sz w:val="22"/>
          <w:szCs w:val="22"/>
        </w:rPr>
      </w:pPr>
      <w:r w:rsidRPr="00235FE1">
        <w:rPr>
          <w:rFonts w:ascii="Garamond" w:hAnsi="Garamond" w:cs="Sylfaen"/>
          <w:color w:val="000000"/>
          <w:sz w:val="22"/>
          <w:szCs w:val="22"/>
        </w:rPr>
        <w:t xml:space="preserve">In September </w:t>
      </w:r>
      <w:r>
        <w:rPr>
          <w:rFonts w:ascii="Garamond" w:hAnsi="Garamond" w:cs="Sylfaen"/>
          <w:color w:val="000000"/>
          <w:sz w:val="22"/>
          <w:szCs w:val="22"/>
        </w:rPr>
        <w:t xml:space="preserve">of 2016 </w:t>
      </w:r>
      <w:r w:rsidRPr="00235FE1">
        <w:rPr>
          <w:rFonts w:ascii="Garamond" w:hAnsi="Garamond" w:cs="Sylfaen"/>
          <w:color w:val="000000"/>
          <w:sz w:val="22"/>
          <w:szCs w:val="22"/>
        </w:rPr>
        <w:t xml:space="preserve">the 12-month </w:t>
      </w:r>
      <w:r>
        <w:rPr>
          <w:rFonts w:ascii="Garamond" w:hAnsi="Garamond" w:cs="Sylfaen"/>
          <w:color w:val="000000"/>
          <w:sz w:val="22"/>
          <w:szCs w:val="22"/>
        </w:rPr>
        <w:t>growth of</w:t>
      </w:r>
      <w:r w:rsidRPr="00235FE1">
        <w:rPr>
          <w:rFonts w:ascii="Garamond" w:hAnsi="Garamond" w:cs="Sylfaen"/>
          <w:color w:val="000000"/>
          <w:sz w:val="22"/>
          <w:szCs w:val="22"/>
        </w:rPr>
        <w:t xml:space="preserve"> </w:t>
      </w:r>
      <w:r>
        <w:rPr>
          <w:rFonts w:ascii="Garamond" w:hAnsi="Garamond" w:cs="Sylfaen"/>
          <w:color w:val="000000"/>
          <w:sz w:val="22"/>
          <w:szCs w:val="22"/>
        </w:rPr>
        <w:t xml:space="preserve">dram </w:t>
      </w:r>
      <w:r w:rsidRPr="00235FE1">
        <w:rPr>
          <w:rFonts w:ascii="Garamond" w:hAnsi="Garamond" w:cs="Sylfaen"/>
          <w:color w:val="000000"/>
          <w:sz w:val="22"/>
          <w:szCs w:val="22"/>
        </w:rPr>
        <w:t xml:space="preserve">deposits </w:t>
      </w:r>
      <w:r>
        <w:rPr>
          <w:rFonts w:ascii="Garamond" w:hAnsi="Garamond" w:cs="Sylfaen"/>
          <w:color w:val="000000"/>
          <w:sz w:val="22"/>
          <w:szCs w:val="22"/>
        </w:rPr>
        <w:t xml:space="preserve">was </w:t>
      </w:r>
      <w:r w:rsidRPr="00235FE1">
        <w:rPr>
          <w:rFonts w:ascii="Garamond" w:hAnsi="Garamond" w:cs="Sylfaen"/>
          <w:color w:val="000000"/>
          <w:sz w:val="22"/>
          <w:szCs w:val="22"/>
        </w:rPr>
        <w:t>28.7%</w:t>
      </w:r>
      <w:r>
        <w:rPr>
          <w:rFonts w:ascii="Garamond" w:hAnsi="Garamond" w:cs="Sylfaen"/>
          <w:color w:val="000000"/>
          <w:sz w:val="22"/>
          <w:szCs w:val="22"/>
        </w:rPr>
        <w:t xml:space="preserve"> and that of </w:t>
      </w:r>
      <w:r w:rsidRPr="00235FE1">
        <w:rPr>
          <w:rFonts w:ascii="Garamond" w:hAnsi="Garamond" w:cs="Sylfaen"/>
          <w:color w:val="000000"/>
          <w:sz w:val="22"/>
          <w:szCs w:val="22"/>
        </w:rPr>
        <w:t>foreign currency deposits</w:t>
      </w:r>
      <w:r>
        <w:rPr>
          <w:rFonts w:ascii="Garamond" w:hAnsi="Garamond" w:cs="Sylfaen"/>
          <w:color w:val="000000"/>
          <w:sz w:val="22"/>
          <w:szCs w:val="22"/>
        </w:rPr>
        <w:t>,</w:t>
      </w:r>
      <w:r w:rsidRPr="00235FE1">
        <w:rPr>
          <w:rFonts w:ascii="Garamond" w:hAnsi="Garamond" w:cs="Sylfaen"/>
          <w:color w:val="000000"/>
          <w:sz w:val="22"/>
          <w:szCs w:val="22"/>
        </w:rPr>
        <w:t xml:space="preserve"> 12%. </w:t>
      </w:r>
      <w:r>
        <w:rPr>
          <w:rFonts w:ascii="Garamond" w:hAnsi="Garamond" w:cs="Sylfaen"/>
          <w:color w:val="000000"/>
          <w:sz w:val="22"/>
          <w:szCs w:val="22"/>
        </w:rPr>
        <w:t>T</w:t>
      </w:r>
      <w:r w:rsidRPr="00235FE1">
        <w:rPr>
          <w:rFonts w:ascii="Garamond" w:hAnsi="Garamond" w:cs="Sylfaen"/>
          <w:color w:val="000000"/>
          <w:sz w:val="22"/>
          <w:szCs w:val="22"/>
        </w:rPr>
        <w:t xml:space="preserve">he </w:t>
      </w:r>
      <w:r>
        <w:rPr>
          <w:rFonts w:ascii="Garamond" w:hAnsi="Garamond" w:cs="Sylfaen"/>
          <w:color w:val="000000"/>
          <w:sz w:val="22"/>
          <w:szCs w:val="22"/>
        </w:rPr>
        <w:t xml:space="preserve">surpassing growth of dram deposits </w:t>
      </w:r>
      <w:r w:rsidR="003B6F4B">
        <w:rPr>
          <w:rFonts w:ascii="Garamond" w:hAnsi="Garamond" w:cs="Sylfaen"/>
          <w:color w:val="000000"/>
          <w:sz w:val="22"/>
          <w:szCs w:val="22"/>
        </w:rPr>
        <w:t>was due to</w:t>
      </w:r>
      <w:r>
        <w:rPr>
          <w:rFonts w:ascii="Garamond" w:hAnsi="Garamond" w:cs="Sylfaen"/>
          <w:color w:val="000000"/>
          <w:sz w:val="22"/>
          <w:szCs w:val="22"/>
        </w:rPr>
        <w:t xml:space="preserve"> reduced </w:t>
      </w:r>
      <w:r w:rsidRPr="00235FE1">
        <w:rPr>
          <w:rFonts w:ascii="Garamond" w:hAnsi="Garamond" w:cs="Sylfaen"/>
          <w:color w:val="000000"/>
          <w:sz w:val="22"/>
          <w:szCs w:val="22"/>
        </w:rPr>
        <w:t>inflationary expectations, which led to a decline in the dollar</w:t>
      </w:r>
      <w:r>
        <w:rPr>
          <w:rFonts w:ascii="Garamond" w:hAnsi="Garamond" w:cs="Sylfaen"/>
          <w:color w:val="000000"/>
          <w:sz w:val="22"/>
          <w:szCs w:val="22"/>
        </w:rPr>
        <w:t xml:space="preserve">ization by 2 pp </w:t>
      </w:r>
      <w:r w:rsidR="003253BD">
        <w:rPr>
          <w:rFonts w:ascii="Garamond" w:hAnsi="Garamond" w:cs="Sylfaen"/>
          <w:color w:val="000000"/>
          <w:sz w:val="22"/>
          <w:szCs w:val="22"/>
        </w:rPr>
        <w:t>in the course of 12 months. As a foreign currency deposits-to</w:t>
      </w:r>
      <w:r w:rsidRPr="00235FE1">
        <w:rPr>
          <w:rFonts w:ascii="Garamond" w:hAnsi="Garamond" w:cs="Sylfaen"/>
          <w:color w:val="000000"/>
          <w:sz w:val="22"/>
          <w:szCs w:val="22"/>
        </w:rPr>
        <w:t>-</w:t>
      </w:r>
      <w:r w:rsidR="003253BD">
        <w:rPr>
          <w:rFonts w:ascii="Garamond" w:hAnsi="Garamond" w:cs="Sylfaen"/>
          <w:color w:val="000000"/>
          <w:sz w:val="22"/>
          <w:szCs w:val="22"/>
        </w:rPr>
        <w:t>broad money ratio</w:t>
      </w:r>
      <w:r w:rsidR="003B6F4B">
        <w:rPr>
          <w:rFonts w:ascii="Garamond" w:hAnsi="Garamond" w:cs="Sylfaen"/>
          <w:color w:val="000000"/>
          <w:sz w:val="22"/>
          <w:szCs w:val="22"/>
        </w:rPr>
        <w:t>-</w:t>
      </w:r>
      <w:r w:rsidR="003253BD">
        <w:rPr>
          <w:rFonts w:ascii="Garamond" w:hAnsi="Garamond" w:cs="Sylfaen"/>
          <w:color w:val="000000"/>
          <w:sz w:val="22"/>
          <w:szCs w:val="22"/>
        </w:rPr>
        <w:t xml:space="preserve"> the dollarization</w:t>
      </w:r>
      <w:r w:rsidR="003B6F4B">
        <w:rPr>
          <w:rFonts w:ascii="Garamond" w:hAnsi="Garamond" w:cs="Sylfaen"/>
          <w:color w:val="000000"/>
          <w:sz w:val="22"/>
          <w:szCs w:val="22"/>
        </w:rPr>
        <w:t>-</w:t>
      </w:r>
      <w:r w:rsidR="003253BD">
        <w:rPr>
          <w:rFonts w:ascii="Garamond" w:hAnsi="Garamond" w:cs="Sylfaen"/>
          <w:color w:val="000000"/>
          <w:sz w:val="22"/>
          <w:szCs w:val="22"/>
        </w:rPr>
        <w:t xml:space="preserve"> reached 50.6% in September</w:t>
      </w:r>
      <w:r w:rsidRPr="00235FE1">
        <w:rPr>
          <w:rFonts w:ascii="Garamond" w:hAnsi="Garamond" w:cs="Sylfaen"/>
          <w:color w:val="000000"/>
          <w:sz w:val="22"/>
          <w:szCs w:val="22"/>
        </w:rPr>
        <w:t>.</w:t>
      </w:r>
      <w:r w:rsidR="003253BD">
        <w:rPr>
          <w:rFonts w:ascii="Garamond" w:hAnsi="Garamond" w:cs="Sylfaen"/>
          <w:color w:val="000000"/>
          <w:sz w:val="22"/>
          <w:szCs w:val="22"/>
        </w:rPr>
        <w:t xml:space="preserve"> </w:t>
      </w:r>
    </w:p>
    <w:p w14:paraId="235F8A77" w14:textId="77777777" w:rsidR="008E5A34" w:rsidRDefault="008E5A34" w:rsidP="008E5A34">
      <w:pPr>
        <w:spacing w:line="360" w:lineRule="auto"/>
        <w:jc w:val="both"/>
        <w:rPr>
          <w:rFonts w:ascii="Garamond" w:hAnsi="Garamond" w:cs="Sylfaen"/>
          <w:color w:val="000000"/>
          <w:sz w:val="22"/>
          <w:szCs w:val="22"/>
        </w:rPr>
      </w:pPr>
    </w:p>
    <w:p w14:paraId="234FC6CE" w14:textId="77777777" w:rsidR="006A7E57" w:rsidRDefault="000930D8" w:rsidP="006A7E57">
      <w:pPr>
        <w:spacing w:line="360" w:lineRule="auto"/>
        <w:jc w:val="both"/>
        <w:rPr>
          <w:rFonts w:ascii="Garamond" w:hAnsi="Garamond" w:cs="Sylfaen"/>
          <w:color w:val="000000"/>
          <w:sz w:val="22"/>
          <w:szCs w:val="22"/>
        </w:rPr>
      </w:pPr>
      <w:r w:rsidRPr="000930D8">
        <w:rPr>
          <w:rFonts w:ascii="Garamond" w:hAnsi="Garamond" w:cs="Sylfaen"/>
          <w:color w:val="000000"/>
          <w:sz w:val="22"/>
          <w:szCs w:val="22"/>
        </w:rPr>
        <w:t xml:space="preserve">During the quarter, lending rates decreased </w:t>
      </w:r>
      <w:r>
        <w:rPr>
          <w:rFonts w:ascii="Garamond" w:hAnsi="Garamond" w:cs="Sylfaen"/>
          <w:color w:val="000000"/>
          <w:sz w:val="22"/>
          <w:szCs w:val="22"/>
        </w:rPr>
        <w:t xml:space="preserve">with regard to </w:t>
      </w:r>
      <w:r w:rsidRPr="000930D8">
        <w:rPr>
          <w:rFonts w:ascii="Garamond" w:hAnsi="Garamond" w:cs="Sylfaen"/>
          <w:color w:val="000000"/>
          <w:sz w:val="22"/>
          <w:szCs w:val="22"/>
        </w:rPr>
        <w:t xml:space="preserve">almost all types of </w:t>
      </w:r>
      <w:r>
        <w:rPr>
          <w:rFonts w:ascii="Garamond" w:hAnsi="Garamond" w:cs="Sylfaen"/>
          <w:color w:val="000000"/>
          <w:sz w:val="22"/>
          <w:szCs w:val="22"/>
        </w:rPr>
        <w:t>credit,</w:t>
      </w:r>
      <w:r w:rsidRPr="000930D8">
        <w:rPr>
          <w:rFonts w:ascii="Garamond" w:hAnsi="Garamond" w:cs="Sylfaen"/>
          <w:color w:val="000000"/>
          <w:sz w:val="22"/>
          <w:szCs w:val="22"/>
        </w:rPr>
        <w:t xml:space="preserve"> and the 12-month growth of total loans stood at 4.1% in September </w:t>
      </w:r>
      <w:r>
        <w:rPr>
          <w:rFonts w:ascii="Garamond" w:hAnsi="Garamond" w:cs="Sylfaen"/>
          <w:color w:val="000000"/>
          <w:sz w:val="22"/>
          <w:szCs w:val="22"/>
        </w:rPr>
        <w:t xml:space="preserve">of </w:t>
      </w:r>
      <w:r w:rsidRPr="000930D8">
        <w:rPr>
          <w:rFonts w:ascii="Garamond" w:hAnsi="Garamond" w:cs="Sylfaen"/>
          <w:color w:val="000000"/>
          <w:sz w:val="22"/>
          <w:szCs w:val="22"/>
        </w:rPr>
        <w:t xml:space="preserve">2016. </w:t>
      </w:r>
      <w:r>
        <w:rPr>
          <w:rFonts w:ascii="Garamond" w:hAnsi="Garamond" w:cs="Sylfaen"/>
          <w:color w:val="000000"/>
          <w:sz w:val="22"/>
          <w:szCs w:val="22"/>
        </w:rPr>
        <w:t xml:space="preserve">The </w:t>
      </w:r>
      <w:r w:rsidRPr="000930D8">
        <w:rPr>
          <w:rFonts w:ascii="Garamond" w:hAnsi="Garamond" w:cs="Sylfaen"/>
          <w:color w:val="000000"/>
          <w:sz w:val="22"/>
          <w:szCs w:val="22"/>
        </w:rPr>
        <w:t xml:space="preserve">foreign currency loans </w:t>
      </w:r>
      <w:r>
        <w:rPr>
          <w:rFonts w:ascii="Garamond" w:hAnsi="Garamond" w:cs="Sylfaen"/>
          <w:color w:val="000000"/>
          <w:sz w:val="22"/>
          <w:szCs w:val="22"/>
        </w:rPr>
        <w:t xml:space="preserve">remained prevalent, </w:t>
      </w:r>
      <w:r w:rsidRPr="000930D8">
        <w:rPr>
          <w:rFonts w:ascii="Garamond" w:hAnsi="Garamond" w:cs="Sylfaen"/>
          <w:color w:val="000000"/>
          <w:sz w:val="22"/>
          <w:szCs w:val="22"/>
        </w:rPr>
        <w:t>account</w:t>
      </w:r>
      <w:r>
        <w:rPr>
          <w:rFonts w:ascii="Garamond" w:hAnsi="Garamond" w:cs="Sylfaen"/>
          <w:color w:val="000000"/>
          <w:sz w:val="22"/>
          <w:szCs w:val="22"/>
        </w:rPr>
        <w:t xml:space="preserve">ing </w:t>
      </w:r>
      <w:r w:rsidRPr="000930D8">
        <w:rPr>
          <w:rFonts w:ascii="Garamond" w:hAnsi="Garamond" w:cs="Sylfaen"/>
          <w:color w:val="000000"/>
          <w:sz w:val="22"/>
          <w:szCs w:val="22"/>
        </w:rPr>
        <w:t>for around 66.3%</w:t>
      </w:r>
      <w:r>
        <w:rPr>
          <w:rFonts w:ascii="Garamond" w:hAnsi="Garamond" w:cs="Sylfaen"/>
          <w:color w:val="000000"/>
          <w:sz w:val="22"/>
          <w:szCs w:val="22"/>
        </w:rPr>
        <w:t xml:space="preserve"> in total lending portfolio. </w:t>
      </w:r>
    </w:p>
    <w:p w14:paraId="468AA2EE" w14:textId="77777777" w:rsidR="000930D8" w:rsidRDefault="000930D8" w:rsidP="006A7E57">
      <w:pPr>
        <w:spacing w:line="360" w:lineRule="auto"/>
        <w:jc w:val="both"/>
        <w:rPr>
          <w:rFonts w:ascii="Garamond" w:hAnsi="Garamond" w:cs="Sylfaen"/>
          <w:color w:val="000000"/>
          <w:sz w:val="22"/>
          <w:szCs w:val="22"/>
        </w:rPr>
      </w:pPr>
    </w:p>
    <w:p w14:paraId="4F9952FC" w14:textId="6D510850" w:rsidR="000930D8" w:rsidRDefault="000930D8" w:rsidP="006A7E57">
      <w:pPr>
        <w:spacing w:line="360" w:lineRule="auto"/>
        <w:jc w:val="both"/>
        <w:rPr>
          <w:rFonts w:ascii="Garamond" w:hAnsi="Garamond" w:cs="Sylfaen"/>
          <w:color w:val="000000"/>
          <w:sz w:val="22"/>
          <w:szCs w:val="22"/>
        </w:rPr>
      </w:pPr>
      <w:r>
        <w:rPr>
          <w:rFonts w:ascii="Garamond" w:hAnsi="Garamond" w:cs="Sylfaen"/>
          <w:color w:val="000000"/>
          <w:sz w:val="22"/>
          <w:szCs w:val="22"/>
        </w:rPr>
        <w:t>The decline in household income</w:t>
      </w:r>
      <w:r w:rsidR="00DA3928">
        <w:rPr>
          <w:rFonts w:ascii="Garamond" w:hAnsi="Garamond" w:cs="Sylfaen"/>
          <w:color w:val="000000"/>
          <w:sz w:val="22"/>
          <w:szCs w:val="22"/>
        </w:rPr>
        <w:t xml:space="preserve"> (narrowed inflow of </w:t>
      </w:r>
      <w:r w:rsidRPr="000930D8">
        <w:rPr>
          <w:rFonts w:ascii="Garamond" w:hAnsi="Garamond" w:cs="Sylfaen"/>
          <w:color w:val="000000"/>
          <w:sz w:val="22"/>
          <w:szCs w:val="22"/>
        </w:rPr>
        <w:t>funds from abroad</w:t>
      </w:r>
      <w:r w:rsidR="00DA3928">
        <w:rPr>
          <w:rFonts w:ascii="Garamond" w:hAnsi="Garamond" w:cs="Sylfaen"/>
          <w:color w:val="000000"/>
          <w:sz w:val="22"/>
          <w:szCs w:val="22"/>
        </w:rPr>
        <w:t xml:space="preserve">) </w:t>
      </w:r>
      <w:r w:rsidR="00D32FBA">
        <w:rPr>
          <w:rFonts w:ascii="Garamond" w:hAnsi="Garamond" w:cs="Sylfaen"/>
          <w:color w:val="000000"/>
          <w:sz w:val="22"/>
          <w:szCs w:val="22"/>
        </w:rPr>
        <w:t xml:space="preserve">and </w:t>
      </w:r>
      <w:proofErr w:type="gramStart"/>
      <w:r w:rsidR="00D32FBA">
        <w:rPr>
          <w:rFonts w:ascii="Garamond" w:hAnsi="Garamond" w:cs="Sylfaen"/>
          <w:color w:val="000000"/>
          <w:sz w:val="22"/>
          <w:szCs w:val="22"/>
        </w:rPr>
        <w:t xml:space="preserve">increased  </w:t>
      </w:r>
      <w:r w:rsidR="00DA3928">
        <w:rPr>
          <w:rFonts w:ascii="Garamond" w:hAnsi="Garamond" w:cs="Sylfaen"/>
          <w:color w:val="000000"/>
          <w:sz w:val="22"/>
          <w:szCs w:val="22"/>
        </w:rPr>
        <w:t>loan</w:t>
      </w:r>
      <w:proofErr w:type="gramEnd"/>
      <w:r w:rsidR="00277838">
        <w:rPr>
          <w:rFonts w:ascii="Garamond" w:hAnsi="Garamond" w:cs="Sylfaen"/>
          <w:color w:val="000000"/>
          <w:sz w:val="22"/>
          <w:szCs w:val="22"/>
        </w:rPr>
        <w:t xml:space="preserve"> burden </w:t>
      </w:r>
      <w:r w:rsidR="00D32FBA">
        <w:rPr>
          <w:rFonts w:ascii="Garamond" w:hAnsi="Garamond" w:cs="Sylfaen"/>
          <w:color w:val="000000"/>
          <w:sz w:val="22"/>
          <w:szCs w:val="22"/>
        </w:rPr>
        <w:t xml:space="preserve">affected </w:t>
      </w:r>
      <w:r w:rsidR="00EF23F7">
        <w:rPr>
          <w:rFonts w:ascii="Garamond" w:hAnsi="Garamond" w:cs="Sylfaen"/>
          <w:color w:val="000000"/>
          <w:sz w:val="22"/>
          <w:szCs w:val="22"/>
        </w:rPr>
        <w:t xml:space="preserve">ability to attract new loans </w:t>
      </w:r>
      <w:r w:rsidR="00D32FBA">
        <w:rPr>
          <w:rFonts w:ascii="Garamond" w:hAnsi="Garamond" w:cs="Sylfaen"/>
          <w:color w:val="000000"/>
          <w:sz w:val="22"/>
          <w:szCs w:val="22"/>
        </w:rPr>
        <w:t xml:space="preserve">hence </w:t>
      </w:r>
      <w:r w:rsidRPr="000930D8">
        <w:rPr>
          <w:rFonts w:ascii="Garamond" w:hAnsi="Garamond" w:cs="Sylfaen"/>
          <w:color w:val="000000"/>
          <w:sz w:val="22"/>
          <w:szCs w:val="22"/>
        </w:rPr>
        <w:t>the volume of lending</w:t>
      </w:r>
      <w:r w:rsidR="00D32FBA">
        <w:rPr>
          <w:rStyle w:val="FootnoteReference"/>
          <w:rFonts w:ascii="Garamond" w:hAnsi="Garamond" w:cs="Sylfaen"/>
          <w:color w:val="000000"/>
          <w:sz w:val="22"/>
          <w:szCs w:val="22"/>
        </w:rPr>
        <w:footnoteReference w:customMarkFollows="1" w:id="21"/>
        <w:t>22</w:t>
      </w:r>
      <w:r w:rsidR="00D32FBA">
        <w:rPr>
          <w:rFonts w:ascii="Garamond" w:hAnsi="Garamond" w:cs="Sylfaen"/>
          <w:color w:val="000000"/>
          <w:sz w:val="22"/>
          <w:szCs w:val="22"/>
        </w:rPr>
        <w:t>. A</w:t>
      </w:r>
      <w:r w:rsidRPr="000930D8">
        <w:rPr>
          <w:rFonts w:ascii="Garamond" w:hAnsi="Garamond" w:cs="Sylfaen"/>
          <w:color w:val="000000"/>
          <w:sz w:val="22"/>
          <w:szCs w:val="22"/>
        </w:rPr>
        <w:t xml:space="preserve">ssessing the risk </w:t>
      </w:r>
      <w:r w:rsidR="00D32FBA">
        <w:rPr>
          <w:rFonts w:ascii="Garamond" w:hAnsi="Garamond" w:cs="Sylfaen"/>
          <w:color w:val="000000"/>
          <w:sz w:val="22"/>
          <w:szCs w:val="22"/>
        </w:rPr>
        <w:t xml:space="preserve">deriving from </w:t>
      </w:r>
      <w:r w:rsidRPr="000930D8">
        <w:rPr>
          <w:rFonts w:ascii="Garamond" w:hAnsi="Garamond" w:cs="Sylfaen"/>
          <w:color w:val="000000"/>
          <w:sz w:val="22"/>
          <w:szCs w:val="22"/>
        </w:rPr>
        <w:t xml:space="preserve">the real sector, lenders have been slow to lower interest rates. However, as </w:t>
      </w:r>
      <w:r w:rsidR="008D16C8">
        <w:rPr>
          <w:rFonts w:ascii="Garamond" w:hAnsi="Garamond" w:cs="Sylfaen"/>
          <w:color w:val="000000"/>
          <w:sz w:val="22"/>
          <w:szCs w:val="22"/>
        </w:rPr>
        <w:t xml:space="preserve">was </w:t>
      </w:r>
      <w:r w:rsidRPr="000930D8">
        <w:rPr>
          <w:rFonts w:ascii="Garamond" w:hAnsi="Garamond" w:cs="Sylfaen"/>
          <w:color w:val="000000"/>
          <w:sz w:val="22"/>
          <w:szCs w:val="22"/>
        </w:rPr>
        <w:t xml:space="preserve">mentioned, </w:t>
      </w:r>
      <w:r w:rsidR="008D16C8">
        <w:rPr>
          <w:rFonts w:ascii="Garamond" w:hAnsi="Garamond" w:cs="Sylfaen"/>
          <w:color w:val="000000"/>
          <w:sz w:val="22"/>
          <w:szCs w:val="22"/>
        </w:rPr>
        <w:t xml:space="preserve">there was some </w:t>
      </w:r>
      <w:r w:rsidRPr="000930D8">
        <w:rPr>
          <w:rFonts w:ascii="Garamond" w:hAnsi="Garamond" w:cs="Sylfaen"/>
          <w:color w:val="000000"/>
          <w:sz w:val="22"/>
          <w:szCs w:val="22"/>
        </w:rPr>
        <w:t>decline in lending rates</w:t>
      </w:r>
      <w:r w:rsidR="008D16C8">
        <w:rPr>
          <w:rFonts w:ascii="Garamond" w:hAnsi="Garamond" w:cs="Sylfaen"/>
          <w:color w:val="000000"/>
          <w:sz w:val="22"/>
          <w:szCs w:val="22"/>
        </w:rPr>
        <w:t xml:space="preserve"> amid increasing </w:t>
      </w:r>
      <w:r w:rsidRPr="000930D8">
        <w:rPr>
          <w:rFonts w:ascii="Garamond" w:hAnsi="Garamond" w:cs="Sylfaen"/>
          <w:color w:val="000000"/>
          <w:sz w:val="22"/>
          <w:szCs w:val="22"/>
        </w:rPr>
        <w:t>competiti</w:t>
      </w:r>
      <w:r w:rsidR="008D16C8">
        <w:rPr>
          <w:rFonts w:ascii="Garamond" w:hAnsi="Garamond" w:cs="Sylfaen"/>
          <w:color w:val="000000"/>
          <w:sz w:val="22"/>
          <w:szCs w:val="22"/>
        </w:rPr>
        <w:t>veness</w:t>
      </w:r>
      <w:r w:rsidRPr="000930D8">
        <w:rPr>
          <w:rFonts w:ascii="Garamond" w:hAnsi="Garamond" w:cs="Sylfaen"/>
          <w:color w:val="000000"/>
          <w:sz w:val="22"/>
          <w:szCs w:val="22"/>
        </w:rPr>
        <w:t xml:space="preserve">, which led to a decrease in interest margin. Perhaps </w:t>
      </w:r>
      <w:r w:rsidR="008D16C8">
        <w:rPr>
          <w:rFonts w:ascii="Garamond" w:hAnsi="Garamond" w:cs="Sylfaen"/>
          <w:color w:val="000000"/>
          <w:sz w:val="22"/>
          <w:szCs w:val="22"/>
        </w:rPr>
        <w:t xml:space="preserve">intensifying </w:t>
      </w:r>
      <w:r w:rsidRPr="000930D8">
        <w:rPr>
          <w:rFonts w:ascii="Garamond" w:hAnsi="Garamond" w:cs="Sylfaen"/>
          <w:color w:val="000000"/>
          <w:sz w:val="22"/>
          <w:szCs w:val="22"/>
        </w:rPr>
        <w:t>competiti</w:t>
      </w:r>
      <w:r w:rsidR="008D16C8">
        <w:rPr>
          <w:rFonts w:ascii="Garamond" w:hAnsi="Garamond" w:cs="Sylfaen"/>
          <w:color w:val="000000"/>
          <w:sz w:val="22"/>
          <w:szCs w:val="22"/>
        </w:rPr>
        <w:t xml:space="preserve">veness is the reason why deposit rates are not falling in line with </w:t>
      </w:r>
      <w:r w:rsidRPr="000930D8">
        <w:rPr>
          <w:rFonts w:ascii="Garamond" w:hAnsi="Garamond" w:cs="Sylfaen"/>
          <w:color w:val="000000"/>
          <w:sz w:val="22"/>
          <w:szCs w:val="22"/>
        </w:rPr>
        <w:t xml:space="preserve">financial market </w:t>
      </w:r>
      <w:r w:rsidR="008D16C8">
        <w:rPr>
          <w:rFonts w:ascii="Garamond" w:hAnsi="Garamond" w:cs="Sylfaen"/>
          <w:color w:val="000000"/>
          <w:sz w:val="22"/>
          <w:szCs w:val="22"/>
        </w:rPr>
        <w:t>rates.</w:t>
      </w:r>
    </w:p>
    <w:p w14:paraId="4811752C" w14:textId="77777777" w:rsidR="000930D8" w:rsidRPr="00A32AB2" w:rsidRDefault="000930D8" w:rsidP="006A7E57">
      <w:pPr>
        <w:spacing w:line="360" w:lineRule="auto"/>
        <w:jc w:val="both"/>
        <w:rPr>
          <w:rFonts w:ascii="Garamond" w:hAnsi="Garamond" w:cs="Sylfaen"/>
          <w:color w:val="000000"/>
          <w:sz w:val="22"/>
          <w:szCs w:val="22"/>
        </w:rPr>
      </w:pPr>
    </w:p>
    <w:tbl>
      <w:tblPr>
        <w:tblStyle w:val="TableGrid"/>
        <w:tblW w:w="0" w:type="auto"/>
        <w:tblLook w:val="04A0" w:firstRow="1" w:lastRow="0" w:firstColumn="1" w:lastColumn="0" w:noHBand="0" w:noVBand="1"/>
      </w:tblPr>
      <w:tblGrid>
        <w:gridCol w:w="9576"/>
      </w:tblGrid>
      <w:tr w:rsidR="007A195E" w:rsidRPr="00A32AB2" w14:paraId="22097F61" w14:textId="77777777" w:rsidTr="007A195E">
        <w:tc>
          <w:tcPr>
            <w:tcW w:w="9576" w:type="dxa"/>
          </w:tcPr>
          <w:p w14:paraId="60C8FAD7" w14:textId="77777777" w:rsidR="007A195E" w:rsidRPr="00A32AB2" w:rsidRDefault="007A195E" w:rsidP="007A195E">
            <w:pPr>
              <w:spacing w:line="360" w:lineRule="auto"/>
              <w:jc w:val="right"/>
              <w:rPr>
                <w:rFonts w:ascii="Garamond" w:hAnsi="Garamond"/>
                <w:b/>
                <w:sz w:val="21"/>
                <w:szCs w:val="21"/>
              </w:rPr>
            </w:pPr>
            <w:r w:rsidRPr="00A32AB2">
              <w:rPr>
                <w:rFonts w:ascii="Garamond" w:hAnsi="Garamond"/>
                <w:b/>
                <w:sz w:val="21"/>
                <w:szCs w:val="21"/>
              </w:rPr>
              <w:t xml:space="preserve">Box </w:t>
            </w:r>
            <w:r w:rsidR="005A0098">
              <w:rPr>
                <w:rFonts w:ascii="Garamond" w:hAnsi="Garamond"/>
                <w:b/>
                <w:sz w:val="21"/>
                <w:szCs w:val="21"/>
              </w:rPr>
              <w:t>2</w:t>
            </w:r>
          </w:p>
          <w:p w14:paraId="194BEC7D" w14:textId="77777777" w:rsidR="005A0098" w:rsidRPr="005A0098" w:rsidRDefault="005A0098" w:rsidP="005A0098">
            <w:pPr>
              <w:spacing w:line="360" w:lineRule="auto"/>
              <w:jc w:val="center"/>
              <w:rPr>
                <w:rFonts w:ascii="Garamond" w:hAnsi="Garamond"/>
                <w:b/>
                <w:sz w:val="21"/>
                <w:szCs w:val="21"/>
              </w:rPr>
            </w:pPr>
            <w:r>
              <w:rPr>
                <w:rFonts w:ascii="Garamond" w:hAnsi="Garamond"/>
                <w:b/>
                <w:sz w:val="21"/>
                <w:szCs w:val="21"/>
              </w:rPr>
              <w:t>Survey on the Terms of Lending by Banks and Credit Organizations in Armenia</w:t>
            </w:r>
          </w:p>
          <w:p w14:paraId="10BC3DD9" w14:textId="77777777" w:rsidR="005A0098" w:rsidRDefault="005A0098" w:rsidP="00E94D91">
            <w:pPr>
              <w:spacing w:line="360" w:lineRule="auto"/>
              <w:jc w:val="both"/>
              <w:rPr>
                <w:rFonts w:ascii="Garamond" w:hAnsi="Garamond"/>
                <w:sz w:val="21"/>
                <w:szCs w:val="21"/>
              </w:rPr>
            </w:pPr>
          </w:p>
          <w:p w14:paraId="209D576B" w14:textId="01CD2B2A" w:rsidR="007A195E" w:rsidRPr="00A32AB2" w:rsidRDefault="006F0967" w:rsidP="00E94D91">
            <w:pPr>
              <w:spacing w:line="360" w:lineRule="auto"/>
              <w:jc w:val="both"/>
              <w:rPr>
                <w:rFonts w:ascii="Garamond" w:hAnsi="Garamond"/>
                <w:sz w:val="21"/>
                <w:szCs w:val="21"/>
              </w:rPr>
            </w:pPr>
            <w:r w:rsidRPr="00A32AB2">
              <w:rPr>
                <w:rFonts w:ascii="Garamond" w:hAnsi="Garamond"/>
                <w:sz w:val="21"/>
                <w:szCs w:val="21"/>
              </w:rPr>
              <w:t xml:space="preserve">According to the results of the </w:t>
            </w:r>
            <w:r w:rsidR="005A0098">
              <w:rPr>
                <w:rFonts w:ascii="Garamond" w:hAnsi="Garamond"/>
                <w:sz w:val="21"/>
                <w:szCs w:val="21"/>
              </w:rPr>
              <w:t>thir</w:t>
            </w:r>
            <w:r w:rsidR="007F0C12">
              <w:rPr>
                <w:rFonts w:ascii="Garamond" w:hAnsi="Garamond"/>
                <w:sz w:val="21"/>
                <w:szCs w:val="21"/>
              </w:rPr>
              <w:t>d</w:t>
            </w:r>
            <w:r w:rsidRPr="00A32AB2">
              <w:rPr>
                <w:rFonts w:ascii="Garamond" w:hAnsi="Garamond"/>
                <w:sz w:val="21"/>
                <w:szCs w:val="21"/>
              </w:rPr>
              <w:t xml:space="preserve"> quarter 2016 survey on terms of lending by </w:t>
            </w:r>
            <w:r w:rsidR="00BF1D1D" w:rsidRPr="00A32AB2">
              <w:rPr>
                <w:rFonts w:ascii="Garamond" w:hAnsi="Garamond"/>
                <w:sz w:val="21"/>
                <w:szCs w:val="21"/>
              </w:rPr>
              <w:t xml:space="preserve">local </w:t>
            </w:r>
            <w:r w:rsidRPr="00A32AB2">
              <w:rPr>
                <w:rFonts w:ascii="Garamond" w:hAnsi="Garamond"/>
                <w:sz w:val="21"/>
                <w:szCs w:val="21"/>
              </w:rPr>
              <w:t xml:space="preserve">banks and credit organizations, there has been </w:t>
            </w:r>
            <w:r w:rsidR="001039DC">
              <w:rPr>
                <w:rFonts w:ascii="Garamond" w:hAnsi="Garamond"/>
                <w:sz w:val="21"/>
                <w:szCs w:val="21"/>
              </w:rPr>
              <w:t xml:space="preserve">further </w:t>
            </w:r>
            <w:r w:rsidRPr="00A32AB2">
              <w:rPr>
                <w:rFonts w:ascii="Garamond" w:hAnsi="Garamond"/>
                <w:sz w:val="21"/>
                <w:szCs w:val="21"/>
              </w:rPr>
              <w:t xml:space="preserve">easing of terms </w:t>
            </w:r>
            <w:r w:rsidR="007F0C12">
              <w:rPr>
                <w:rFonts w:ascii="Garamond" w:hAnsi="Garamond"/>
                <w:sz w:val="21"/>
                <w:szCs w:val="21"/>
              </w:rPr>
              <w:t xml:space="preserve">virtually </w:t>
            </w:r>
            <w:r w:rsidR="00BF1D1D" w:rsidRPr="00A32AB2">
              <w:rPr>
                <w:rFonts w:ascii="Garamond" w:hAnsi="Garamond"/>
                <w:sz w:val="21"/>
                <w:szCs w:val="21"/>
              </w:rPr>
              <w:t xml:space="preserve">in all </w:t>
            </w:r>
            <w:r w:rsidR="007F0C12">
              <w:rPr>
                <w:rFonts w:ascii="Garamond" w:hAnsi="Garamond"/>
                <w:sz w:val="21"/>
                <w:szCs w:val="21"/>
              </w:rPr>
              <w:t>aspects of lending</w:t>
            </w:r>
            <w:r w:rsidR="00EF23F7">
              <w:rPr>
                <w:rFonts w:ascii="Garamond" w:hAnsi="Garamond"/>
                <w:sz w:val="21"/>
                <w:szCs w:val="21"/>
              </w:rPr>
              <w:t>. S</w:t>
            </w:r>
            <w:r w:rsidR="001039DC">
              <w:rPr>
                <w:rFonts w:ascii="Garamond" w:hAnsi="Garamond"/>
                <w:sz w:val="21"/>
                <w:szCs w:val="21"/>
              </w:rPr>
              <w:t>ome deceleration in the easing of lending terms</w:t>
            </w:r>
            <w:r w:rsidR="00EF23F7">
              <w:rPr>
                <w:rFonts w:ascii="Garamond" w:hAnsi="Garamond"/>
                <w:sz w:val="21"/>
                <w:szCs w:val="21"/>
              </w:rPr>
              <w:t xml:space="preserve"> for business loans was </w:t>
            </w:r>
            <w:proofErr w:type="gramStart"/>
            <w:r w:rsidR="00EF23F7">
              <w:rPr>
                <w:rFonts w:ascii="Garamond" w:hAnsi="Garamond"/>
                <w:sz w:val="21"/>
                <w:szCs w:val="21"/>
              </w:rPr>
              <w:t xml:space="preserve">observed </w:t>
            </w:r>
            <w:r w:rsidR="001039DC" w:rsidRPr="00770546">
              <w:rPr>
                <w:rFonts w:ascii="Garamond" w:hAnsi="Garamond"/>
                <w:sz w:val="21"/>
                <w:szCs w:val="21"/>
              </w:rPr>
              <w:t>.</w:t>
            </w:r>
            <w:proofErr w:type="gramEnd"/>
            <w:r w:rsidR="001039DC" w:rsidRPr="00770546">
              <w:rPr>
                <w:rFonts w:ascii="Garamond" w:hAnsi="Garamond"/>
                <w:sz w:val="21"/>
                <w:szCs w:val="21"/>
              </w:rPr>
              <w:t xml:space="preserve"> </w:t>
            </w:r>
            <w:r w:rsidR="00EF23F7">
              <w:rPr>
                <w:rFonts w:ascii="Garamond" w:hAnsi="Garamond"/>
                <w:sz w:val="21"/>
                <w:szCs w:val="21"/>
              </w:rPr>
              <w:t>I</w:t>
            </w:r>
            <w:r w:rsidR="00E02B39" w:rsidRPr="00770546">
              <w:rPr>
                <w:rFonts w:ascii="Garamond" w:hAnsi="Garamond"/>
                <w:sz w:val="21"/>
                <w:szCs w:val="21"/>
              </w:rPr>
              <w:t xml:space="preserve">ncreased competition between financial institutions </w:t>
            </w:r>
            <w:r w:rsidR="00770546">
              <w:rPr>
                <w:rFonts w:ascii="Garamond" w:hAnsi="Garamond"/>
                <w:sz w:val="21"/>
                <w:szCs w:val="21"/>
              </w:rPr>
              <w:t xml:space="preserve">and the </w:t>
            </w:r>
            <w:r w:rsidR="00770546" w:rsidRPr="00770546">
              <w:rPr>
                <w:rFonts w:ascii="Garamond" w:hAnsi="Garamond"/>
                <w:sz w:val="21"/>
                <w:szCs w:val="21"/>
              </w:rPr>
              <w:t xml:space="preserve">revised terms in refinancing </w:t>
            </w:r>
            <w:proofErr w:type="gramStart"/>
            <w:r w:rsidR="00770546" w:rsidRPr="00770546">
              <w:rPr>
                <w:rFonts w:ascii="Garamond" w:hAnsi="Garamond"/>
                <w:sz w:val="21"/>
                <w:szCs w:val="21"/>
              </w:rPr>
              <w:t>programs</w:t>
            </w:r>
            <w:r w:rsidRPr="00770546">
              <w:rPr>
                <w:rFonts w:ascii="Garamond" w:hAnsi="Garamond"/>
                <w:sz w:val="21"/>
                <w:szCs w:val="21"/>
              </w:rPr>
              <w:t xml:space="preserve">, </w:t>
            </w:r>
            <w:r w:rsidR="00EF23F7">
              <w:rPr>
                <w:rFonts w:ascii="Garamond" w:hAnsi="Garamond"/>
                <w:sz w:val="21"/>
                <w:szCs w:val="21"/>
              </w:rPr>
              <w:t xml:space="preserve"> </w:t>
            </w:r>
            <w:r w:rsidRPr="00770546">
              <w:rPr>
                <w:rFonts w:ascii="Garamond" w:hAnsi="Garamond"/>
                <w:sz w:val="21"/>
                <w:szCs w:val="21"/>
              </w:rPr>
              <w:t>led</w:t>
            </w:r>
            <w:proofErr w:type="gramEnd"/>
            <w:r w:rsidRPr="00770546">
              <w:rPr>
                <w:rFonts w:ascii="Garamond" w:hAnsi="Garamond"/>
                <w:sz w:val="21"/>
                <w:szCs w:val="21"/>
              </w:rPr>
              <w:t xml:space="preserve"> to </w:t>
            </w:r>
            <w:r w:rsidR="00E02B39" w:rsidRPr="00770546">
              <w:rPr>
                <w:rFonts w:ascii="Garamond" w:hAnsi="Garamond"/>
                <w:sz w:val="21"/>
                <w:szCs w:val="21"/>
              </w:rPr>
              <w:t xml:space="preserve">less strict </w:t>
            </w:r>
            <w:r w:rsidR="001A146B" w:rsidRPr="00770546">
              <w:rPr>
                <w:rFonts w:ascii="Garamond" w:hAnsi="Garamond"/>
                <w:sz w:val="21"/>
                <w:szCs w:val="21"/>
              </w:rPr>
              <w:t>requirements to</w:t>
            </w:r>
            <w:r w:rsidR="0086764D" w:rsidRPr="00770546">
              <w:rPr>
                <w:rFonts w:ascii="Garamond" w:hAnsi="Garamond"/>
                <w:sz w:val="21"/>
                <w:szCs w:val="21"/>
                <w:lang w:val="hy-AM"/>
              </w:rPr>
              <w:t xml:space="preserve"> </w:t>
            </w:r>
            <w:r w:rsidRPr="00770546">
              <w:rPr>
                <w:rFonts w:ascii="Garamond" w:hAnsi="Garamond"/>
                <w:sz w:val="21"/>
                <w:szCs w:val="21"/>
              </w:rPr>
              <w:t>loan interest rate</w:t>
            </w:r>
            <w:r w:rsidR="00971BDD" w:rsidRPr="00770546">
              <w:rPr>
                <w:rFonts w:ascii="Garamond" w:hAnsi="Garamond"/>
                <w:sz w:val="21"/>
                <w:szCs w:val="21"/>
              </w:rPr>
              <w:t>s</w:t>
            </w:r>
            <w:r w:rsidRPr="00770546">
              <w:rPr>
                <w:rFonts w:ascii="Garamond" w:hAnsi="Garamond"/>
                <w:sz w:val="21"/>
                <w:szCs w:val="21"/>
              </w:rPr>
              <w:t>, no</w:t>
            </w:r>
            <w:r w:rsidR="00971BDD" w:rsidRPr="00770546">
              <w:rPr>
                <w:rFonts w:ascii="Garamond" w:hAnsi="Garamond"/>
                <w:sz w:val="21"/>
                <w:szCs w:val="21"/>
              </w:rPr>
              <w:t>n-</w:t>
            </w:r>
            <w:r w:rsidR="001A146B" w:rsidRPr="00770546">
              <w:rPr>
                <w:rFonts w:ascii="Garamond" w:hAnsi="Garamond"/>
                <w:sz w:val="21"/>
                <w:szCs w:val="21"/>
              </w:rPr>
              <w:t>interest pay</w:t>
            </w:r>
            <w:r w:rsidR="001A146B" w:rsidRPr="00A32AB2">
              <w:rPr>
                <w:rFonts w:ascii="Garamond" w:hAnsi="Garamond"/>
                <w:sz w:val="21"/>
                <w:szCs w:val="21"/>
              </w:rPr>
              <w:t xml:space="preserve">ments, </w:t>
            </w:r>
            <w:r w:rsidRPr="00A32AB2">
              <w:rPr>
                <w:rFonts w:ascii="Garamond" w:hAnsi="Garamond"/>
                <w:sz w:val="21"/>
                <w:szCs w:val="21"/>
              </w:rPr>
              <w:t xml:space="preserve">maturity and </w:t>
            </w:r>
            <w:r w:rsidR="00971BDD" w:rsidRPr="00A32AB2">
              <w:rPr>
                <w:rFonts w:ascii="Garamond" w:hAnsi="Garamond"/>
                <w:sz w:val="21"/>
                <w:szCs w:val="21"/>
              </w:rPr>
              <w:t>collateral</w:t>
            </w:r>
            <w:r w:rsidRPr="00A32AB2">
              <w:rPr>
                <w:rFonts w:ascii="Garamond" w:hAnsi="Garamond"/>
                <w:sz w:val="21"/>
                <w:szCs w:val="21"/>
              </w:rPr>
              <w:t xml:space="preserve">. </w:t>
            </w:r>
            <w:r w:rsidR="00770546">
              <w:rPr>
                <w:rFonts w:ascii="Garamond" w:hAnsi="Garamond"/>
                <w:sz w:val="21"/>
                <w:szCs w:val="21"/>
              </w:rPr>
              <w:t xml:space="preserve">Special loan promo actions, </w:t>
            </w:r>
            <w:r w:rsidR="00770546" w:rsidRPr="00770546">
              <w:rPr>
                <w:rFonts w:ascii="Garamond" w:hAnsi="Garamond"/>
                <w:sz w:val="21"/>
                <w:szCs w:val="21"/>
              </w:rPr>
              <w:t>a</w:t>
            </w:r>
            <w:r w:rsidR="00770546">
              <w:rPr>
                <w:rFonts w:ascii="Garamond" w:hAnsi="Garamond"/>
                <w:sz w:val="21"/>
                <w:szCs w:val="21"/>
              </w:rPr>
              <w:t>n initiative</w:t>
            </w:r>
            <w:r w:rsidR="00770546" w:rsidRPr="00770546">
              <w:rPr>
                <w:rFonts w:ascii="Garamond" w:hAnsi="Garamond"/>
                <w:sz w:val="21"/>
                <w:szCs w:val="21"/>
              </w:rPr>
              <w:t xml:space="preserve"> </w:t>
            </w:r>
            <w:r w:rsidR="00770546">
              <w:rPr>
                <w:rFonts w:ascii="Garamond" w:hAnsi="Garamond"/>
                <w:sz w:val="21"/>
                <w:szCs w:val="21"/>
              </w:rPr>
              <w:t xml:space="preserve">offered to the lending market a </w:t>
            </w:r>
            <w:r w:rsidR="00770546" w:rsidRPr="00770546">
              <w:rPr>
                <w:rFonts w:ascii="Garamond" w:hAnsi="Garamond"/>
                <w:sz w:val="21"/>
                <w:szCs w:val="21"/>
              </w:rPr>
              <w:t>few months ago</w:t>
            </w:r>
            <w:r w:rsidR="00770546">
              <w:rPr>
                <w:rFonts w:ascii="Garamond" w:hAnsi="Garamond"/>
                <w:sz w:val="21"/>
                <w:szCs w:val="21"/>
              </w:rPr>
              <w:t>, is underway up until the end of the year.</w:t>
            </w:r>
            <w:r w:rsidR="00770546" w:rsidRPr="00770546">
              <w:rPr>
                <w:rFonts w:ascii="Garamond" w:hAnsi="Garamond"/>
                <w:sz w:val="21"/>
                <w:szCs w:val="21"/>
              </w:rPr>
              <w:t xml:space="preserve"> </w:t>
            </w:r>
            <w:r w:rsidR="00701809" w:rsidRPr="00A32AB2">
              <w:rPr>
                <w:rFonts w:ascii="Garamond" w:hAnsi="Garamond"/>
                <w:sz w:val="21"/>
                <w:szCs w:val="21"/>
              </w:rPr>
              <w:t>D</w:t>
            </w:r>
            <w:r w:rsidRPr="00A32AB2">
              <w:rPr>
                <w:rFonts w:ascii="Garamond" w:hAnsi="Garamond"/>
                <w:sz w:val="21"/>
                <w:szCs w:val="21"/>
              </w:rPr>
              <w:t xml:space="preserve">emand for </w:t>
            </w:r>
            <w:r w:rsidR="00E5467D">
              <w:rPr>
                <w:rFonts w:ascii="Garamond" w:hAnsi="Garamond"/>
                <w:sz w:val="21"/>
                <w:szCs w:val="21"/>
              </w:rPr>
              <w:t xml:space="preserve">SME </w:t>
            </w:r>
            <w:r w:rsidRPr="00A32AB2">
              <w:rPr>
                <w:rFonts w:ascii="Garamond" w:hAnsi="Garamond"/>
                <w:sz w:val="21"/>
                <w:szCs w:val="21"/>
              </w:rPr>
              <w:t>loans</w:t>
            </w:r>
            <w:r w:rsidR="00770546">
              <w:rPr>
                <w:rFonts w:ascii="Garamond" w:hAnsi="Garamond"/>
                <w:sz w:val="21"/>
                <w:szCs w:val="21"/>
              </w:rPr>
              <w:t xml:space="preserve"> and mortgage loans</w:t>
            </w:r>
            <w:r w:rsidRPr="00A32AB2">
              <w:rPr>
                <w:rFonts w:ascii="Garamond" w:hAnsi="Garamond"/>
                <w:sz w:val="21"/>
                <w:szCs w:val="21"/>
              </w:rPr>
              <w:t xml:space="preserve"> </w:t>
            </w:r>
            <w:r w:rsidR="00E5467D">
              <w:rPr>
                <w:rFonts w:ascii="Garamond" w:hAnsi="Garamond"/>
                <w:sz w:val="21"/>
                <w:szCs w:val="21"/>
              </w:rPr>
              <w:t>ha</w:t>
            </w:r>
            <w:r w:rsidR="00770546">
              <w:rPr>
                <w:rFonts w:ascii="Garamond" w:hAnsi="Garamond"/>
                <w:sz w:val="21"/>
                <w:szCs w:val="21"/>
              </w:rPr>
              <w:t>ve</w:t>
            </w:r>
            <w:r w:rsidR="00E5467D">
              <w:rPr>
                <w:rFonts w:ascii="Garamond" w:hAnsi="Garamond"/>
                <w:sz w:val="21"/>
                <w:szCs w:val="21"/>
              </w:rPr>
              <w:t xml:space="preserve"> grown but demand for </w:t>
            </w:r>
            <w:r w:rsidR="00770546">
              <w:rPr>
                <w:rFonts w:ascii="Garamond" w:hAnsi="Garamond"/>
                <w:sz w:val="21"/>
                <w:szCs w:val="21"/>
              </w:rPr>
              <w:t xml:space="preserve">consumer </w:t>
            </w:r>
            <w:r w:rsidR="00E5467D">
              <w:rPr>
                <w:rFonts w:ascii="Garamond" w:hAnsi="Garamond"/>
                <w:sz w:val="21"/>
                <w:szCs w:val="21"/>
              </w:rPr>
              <w:t xml:space="preserve">loans </w:t>
            </w:r>
            <w:r w:rsidR="00770546">
              <w:rPr>
                <w:rFonts w:ascii="Garamond" w:hAnsi="Garamond"/>
                <w:sz w:val="21"/>
                <w:szCs w:val="21"/>
              </w:rPr>
              <w:t xml:space="preserve">and </w:t>
            </w:r>
            <w:r w:rsidR="00E5467D">
              <w:rPr>
                <w:rFonts w:ascii="Garamond" w:hAnsi="Garamond"/>
                <w:sz w:val="21"/>
                <w:szCs w:val="21"/>
              </w:rPr>
              <w:t>major compan</w:t>
            </w:r>
            <w:r w:rsidR="00770546">
              <w:rPr>
                <w:rFonts w:ascii="Garamond" w:hAnsi="Garamond"/>
                <w:sz w:val="21"/>
                <w:szCs w:val="21"/>
              </w:rPr>
              <w:t xml:space="preserve">y loans </w:t>
            </w:r>
            <w:r w:rsidR="00F80712" w:rsidRPr="00A32AB2">
              <w:rPr>
                <w:rFonts w:ascii="Garamond" w:hAnsi="Garamond"/>
                <w:sz w:val="21"/>
                <w:szCs w:val="21"/>
              </w:rPr>
              <w:t>slackened</w:t>
            </w:r>
            <w:r w:rsidR="00E5467D">
              <w:rPr>
                <w:rFonts w:ascii="Garamond" w:hAnsi="Garamond"/>
                <w:sz w:val="21"/>
                <w:szCs w:val="21"/>
              </w:rPr>
              <w:t>.</w:t>
            </w:r>
          </w:p>
          <w:p w14:paraId="4F2F7671" w14:textId="77777777" w:rsidR="00E94D91" w:rsidRPr="00A32AB2" w:rsidRDefault="00E94D91" w:rsidP="00E94D91">
            <w:pPr>
              <w:spacing w:line="360" w:lineRule="auto"/>
              <w:jc w:val="both"/>
              <w:rPr>
                <w:rFonts w:ascii="Garamond" w:hAnsi="Garamond"/>
                <w:sz w:val="21"/>
                <w:szCs w:val="21"/>
              </w:rPr>
            </w:pPr>
          </w:p>
          <w:p w14:paraId="6ADFAD55" w14:textId="77777777" w:rsidR="00E94D91" w:rsidRPr="00A32AB2" w:rsidRDefault="00E5467D" w:rsidP="004048CF">
            <w:pPr>
              <w:spacing w:line="360" w:lineRule="auto"/>
              <w:jc w:val="both"/>
              <w:rPr>
                <w:rFonts w:ascii="Garamond" w:hAnsi="Garamond"/>
              </w:rPr>
            </w:pPr>
            <w:r>
              <w:rPr>
                <w:rFonts w:ascii="Garamond" w:eastAsia="Calibri" w:hAnsi="Garamond" w:cs="Sylfaen"/>
                <w:color w:val="000000"/>
                <w:sz w:val="21"/>
                <w:szCs w:val="21"/>
              </w:rPr>
              <w:t xml:space="preserve">For the </w:t>
            </w:r>
            <w:r w:rsidR="00770546">
              <w:rPr>
                <w:rFonts w:ascii="Garamond" w:eastAsia="Calibri" w:hAnsi="Garamond" w:cs="Sylfaen"/>
                <w:color w:val="000000"/>
                <w:sz w:val="21"/>
                <w:szCs w:val="21"/>
              </w:rPr>
              <w:t>fourth</w:t>
            </w:r>
            <w:r w:rsidR="00E94D91" w:rsidRPr="00A32AB2">
              <w:rPr>
                <w:rFonts w:ascii="Garamond" w:eastAsia="Calibri" w:hAnsi="Garamond" w:cs="Sylfaen"/>
                <w:color w:val="000000"/>
                <w:sz w:val="21"/>
                <w:szCs w:val="21"/>
              </w:rPr>
              <w:t xml:space="preserve"> quarter of 2016, banks and credit organizations anticipate </w:t>
            </w:r>
            <w:r w:rsidR="00770546">
              <w:rPr>
                <w:rFonts w:ascii="Garamond" w:eastAsia="Calibri" w:hAnsi="Garamond" w:cs="Sylfaen"/>
                <w:color w:val="000000"/>
                <w:sz w:val="21"/>
                <w:szCs w:val="21"/>
              </w:rPr>
              <w:t xml:space="preserve">somewhat a modest </w:t>
            </w:r>
            <w:r w:rsidR="00E94D91" w:rsidRPr="00A32AB2">
              <w:rPr>
                <w:rFonts w:ascii="Garamond" w:eastAsia="Calibri" w:hAnsi="Garamond" w:cs="Sylfaen"/>
                <w:color w:val="000000"/>
                <w:sz w:val="21"/>
                <w:szCs w:val="21"/>
              </w:rPr>
              <w:t xml:space="preserve">easing of procedures for all types of credit, along with a growing supply of loans in </w:t>
            </w:r>
            <w:r w:rsidR="00770546">
              <w:rPr>
                <w:rFonts w:ascii="Garamond" w:eastAsia="Calibri" w:hAnsi="Garamond" w:cs="Sylfaen"/>
                <w:color w:val="000000"/>
                <w:sz w:val="21"/>
                <w:szCs w:val="21"/>
              </w:rPr>
              <w:t xml:space="preserve">the consumer market in the main. </w:t>
            </w:r>
            <w:r w:rsidR="004048CF">
              <w:rPr>
                <w:rFonts w:ascii="Garamond" w:eastAsia="Calibri" w:hAnsi="Garamond" w:cs="Sylfaen"/>
                <w:color w:val="000000"/>
                <w:sz w:val="21"/>
                <w:szCs w:val="21"/>
              </w:rPr>
              <w:t>There is expectation that the demand for b</w:t>
            </w:r>
            <w:r w:rsidR="004048CF" w:rsidRPr="004048CF">
              <w:rPr>
                <w:rFonts w:ascii="Garamond" w:eastAsia="Calibri" w:hAnsi="Garamond" w:cs="Sylfaen"/>
                <w:color w:val="000000"/>
                <w:sz w:val="21"/>
                <w:szCs w:val="21"/>
              </w:rPr>
              <w:t xml:space="preserve">usiness loans </w:t>
            </w:r>
            <w:r w:rsidR="004048CF">
              <w:rPr>
                <w:rFonts w:ascii="Garamond" w:eastAsia="Calibri" w:hAnsi="Garamond" w:cs="Sylfaen"/>
                <w:color w:val="000000"/>
                <w:sz w:val="21"/>
                <w:szCs w:val="21"/>
              </w:rPr>
              <w:t xml:space="preserve">would grow slightly but household demand for loans would grow significantly. </w:t>
            </w:r>
          </w:p>
        </w:tc>
      </w:tr>
    </w:tbl>
    <w:p w14:paraId="61687C7C" w14:textId="77777777" w:rsidR="007A195E" w:rsidRPr="00A32AB2" w:rsidRDefault="007A195E" w:rsidP="0006101A">
      <w:pPr>
        <w:spacing w:line="360" w:lineRule="auto"/>
        <w:jc w:val="both"/>
        <w:rPr>
          <w:rFonts w:ascii="Garamond" w:hAnsi="Garamond"/>
          <w:sz w:val="22"/>
          <w:szCs w:val="22"/>
        </w:rPr>
      </w:pPr>
    </w:p>
    <w:p w14:paraId="007C8F7F" w14:textId="77777777" w:rsidR="00EB11F5" w:rsidRPr="00A32AB2" w:rsidRDefault="00EB11F5" w:rsidP="0006101A">
      <w:pPr>
        <w:spacing w:line="360" w:lineRule="auto"/>
        <w:jc w:val="both"/>
        <w:rPr>
          <w:rFonts w:ascii="Garamond" w:hAnsi="Garamond" w:cs="GHEA Grapalat"/>
          <w:b/>
          <w:color w:val="000000"/>
          <w:sz w:val="22"/>
          <w:szCs w:val="22"/>
        </w:rPr>
      </w:pPr>
      <w:r w:rsidRPr="00A32AB2">
        <w:rPr>
          <w:rFonts w:ascii="Garamond" w:hAnsi="Garamond" w:cs="GHEA Grapalat"/>
          <w:b/>
          <w:color w:val="000000"/>
          <w:sz w:val="22"/>
          <w:szCs w:val="22"/>
        </w:rPr>
        <w:t>3.3.2. Exchange rate</w:t>
      </w:r>
    </w:p>
    <w:p w14:paraId="4599A492" w14:textId="77777777" w:rsidR="00EB11F5" w:rsidRPr="00A32AB2" w:rsidRDefault="00EB11F5" w:rsidP="0006101A">
      <w:pPr>
        <w:spacing w:line="360" w:lineRule="auto"/>
        <w:jc w:val="both"/>
        <w:rPr>
          <w:rFonts w:ascii="Garamond" w:hAnsi="Garamond"/>
          <w:iCs/>
          <w:sz w:val="22"/>
          <w:szCs w:val="22"/>
        </w:rPr>
      </w:pPr>
    </w:p>
    <w:p w14:paraId="324B600A" w14:textId="77777777" w:rsidR="00EB11F5" w:rsidRPr="00A32AB2" w:rsidRDefault="00EB11F5" w:rsidP="0006101A">
      <w:pPr>
        <w:spacing w:line="360" w:lineRule="auto"/>
        <w:jc w:val="both"/>
        <w:rPr>
          <w:rFonts w:ascii="Garamond" w:hAnsi="Garamond"/>
          <w:sz w:val="22"/>
          <w:szCs w:val="22"/>
        </w:rPr>
      </w:pPr>
      <w:r w:rsidRPr="00A32AB2">
        <w:rPr>
          <w:rFonts w:ascii="Garamond" w:hAnsi="Garamond"/>
          <w:iCs/>
          <w:sz w:val="22"/>
          <w:szCs w:val="22"/>
        </w:rPr>
        <w:t xml:space="preserve">In the </w:t>
      </w:r>
      <w:r w:rsidR="00FF4C44">
        <w:rPr>
          <w:rFonts w:ascii="Garamond" w:hAnsi="Garamond"/>
          <w:iCs/>
          <w:sz w:val="22"/>
          <w:szCs w:val="22"/>
        </w:rPr>
        <w:t>thir</w:t>
      </w:r>
      <w:r w:rsidR="002130E0">
        <w:rPr>
          <w:rFonts w:ascii="Garamond" w:hAnsi="Garamond"/>
          <w:iCs/>
          <w:sz w:val="22"/>
          <w:szCs w:val="22"/>
        </w:rPr>
        <w:t>d</w:t>
      </w:r>
      <w:r w:rsidRPr="00A32AB2">
        <w:rPr>
          <w:rFonts w:ascii="Garamond" w:hAnsi="Garamond"/>
          <w:iCs/>
          <w:sz w:val="22"/>
          <w:szCs w:val="22"/>
        </w:rPr>
        <w:t xml:space="preserve"> quarter of 2016</w:t>
      </w:r>
      <w:r w:rsidR="002130E0">
        <w:rPr>
          <w:rFonts w:ascii="Garamond" w:hAnsi="Garamond"/>
          <w:iCs/>
          <w:sz w:val="22"/>
          <w:szCs w:val="22"/>
        </w:rPr>
        <w:t xml:space="preserve"> </w:t>
      </w:r>
      <w:r w:rsidRPr="00A32AB2">
        <w:rPr>
          <w:rFonts w:ascii="Garamond" w:hAnsi="Garamond"/>
          <w:iCs/>
          <w:sz w:val="22"/>
          <w:szCs w:val="22"/>
        </w:rPr>
        <w:t xml:space="preserve">partner countries </w:t>
      </w:r>
      <w:r w:rsidR="002130E0">
        <w:rPr>
          <w:rFonts w:ascii="Garamond" w:hAnsi="Garamond"/>
          <w:iCs/>
          <w:sz w:val="22"/>
          <w:szCs w:val="22"/>
        </w:rPr>
        <w:t xml:space="preserve">to Armenia </w:t>
      </w:r>
      <w:r w:rsidR="00FF4C44">
        <w:rPr>
          <w:rFonts w:ascii="Garamond" w:hAnsi="Garamond"/>
          <w:iCs/>
          <w:sz w:val="22"/>
          <w:szCs w:val="22"/>
        </w:rPr>
        <w:t>reported</w:t>
      </w:r>
      <w:r w:rsidRPr="00A32AB2">
        <w:rPr>
          <w:rFonts w:ascii="Garamond" w:hAnsi="Garamond"/>
          <w:iCs/>
          <w:sz w:val="22"/>
          <w:szCs w:val="22"/>
        </w:rPr>
        <w:t xml:space="preserve"> </w:t>
      </w:r>
      <w:r w:rsidR="00FF4C44">
        <w:rPr>
          <w:rFonts w:ascii="Garamond" w:hAnsi="Garamond"/>
          <w:iCs/>
          <w:sz w:val="22"/>
          <w:szCs w:val="22"/>
        </w:rPr>
        <w:t>some minor dep</w:t>
      </w:r>
      <w:r w:rsidRPr="00A32AB2">
        <w:rPr>
          <w:rFonts w:ascii="Garamond" w:hAnsi="Garamond"/>
          <w:iCs/>
          <w:sz w:val="22"/>
          <w:szCs w:val="22"/>
        </w:rPr>
        <w:t>reciation pressures in their foreign exchange markets.</w:t>
      </w:r>
      <w:r w:rsidR="0086764D" w:rsidRPr="00A32AB2">
        <w:rPr>
          <w:rFonts w:ascii="Garamond" w:hAnsi="Garamond"/>
          <w:iCs/>
          <w:sz w:val="22"/>
          <w:szCs w:val="22"/>
          <w:lang w:val="hy-AM"/>
        </w:rPr>
        <w:t xml:space="preserve"> </w:t>
      </w:r>
      <w:r w:rsidRPr="00A32AB2">
        <w:rPr>
          <w:rFonts w:ascii="Garamond" w:hAnsi="Garamond"/>
          <w:iCs/>
          <w:color w:val="000000"/>
          <w:sz w:val="22"/>
          <w:szCs w:val="22"/>
        </w:rPr>
        <w:t>During the quarter t</w:t>
      </w:r>
      <w:r w:rsidRPr="00A32AB2">
        <w:rPr>
          <w:rFonts w:ascii="Garamond" w:hAnsi="Garamond"/>
          <w:iCs/>
          <w:sz w:val="22"/>
          <w:szCs w:val="22"/>
        </w:rPr>
        <w:t xml:space="preserve">he partner countries’ average weighted nominal exchange rate </w:t>
      </w:r>
      <w:r w:rsidR="00FF4C44">
        <w:rPr>
          <w:rFonts w:ascii="Garamond" w:hAnsi="Garamond"/>
          <w:iCs/>
          <w:sz w:val="22"/>
          <w:szCs w:val="22"/>
        </w:rPr>
        <w:t>de</w:t>
      </w:r>
      <w:r w:rsidRPr="00A32AB2">
        <w:rPr>
          <w:rFonts w:ascii="Garamond" w:hAnsi="Garamond"/>
          <w:iCs/>
          <w:sz w:val="22"/>
          <w:szCs w:val="22"/>
        </w:rPr>
        <w:t>preciat</w:t>
      </w:r>
      <w:r w:rsidR="000A73C7">
        <w:rPr>
          <w:rFonts w:ascii="Garamond" w:hAnsi="Garamond"/>
          <w:iCs/>
          <w:sz w:val="22"/>
          <w:szCs w:val="22"/>
        </w:rPr>
        <w:t xml:space="preserve">ed </w:t>
      </w:r>
      <w:r w:rsidRPr="00A32AB2">
        <w:rPr>
          <w:rFonts w:ascii="Garamond" w:hAnsi="Garamond"/>
          <w:iCs/>
          <w:sz w:val="22"/>
          <w:szCs w:val="22"/>
        </w:rPr>
        <w:t xml:space="preserve">versus the US dollar </w:t>
      </w:r>
      <w:r w:rsidR="000A73C7">
        <w:rPr>
          <w:rFonts w:ascii="Garamond" w:hAnsi="Garamond"/>
          <w:iCs/>
          <w:sz w:val="22"/>
          <w:szCs w:val="22"/>
        </w:rPr>
        <w:t xml:space="preserve">by </w:t>
      </w:r>
      <w:r w:rsidR="00FF4C44">
        <w:rPr>
          <w:rFonts w:ascii="Garamond" w:hAnsi="Garamond"/>
          <w:iCs/>
          <w:sz w:val="22"/>
          <w:szCs w:val="22"/>
        </w:rPr>
        <w:t>0</w:t>
      </w:r>
      <w:r w:rsidRPr="00A32AB2">
        <w:rPr>
          <w:rFonts w:ascii="Garamond" w:hAnsi="Garamond"/>
          <w:iCs/>
          <w:sz w:val="22"/>
          <w:szCs w:val="22"/>
        </w:rPr>
        <w:t>.</w:t>
      </w:r>
      <w:r w:rsidR="00FF4C44">
        <w:rPr>
          <w:rFonts w:ascii="Garamond" w:hAnsi="Garamond"/>
          <w:iCs/>
          <w:sz w:val="22"/>
          <w:szCs w:val="22"/>
        </w:rPr>
        <w:t>4</w:t>
      </w:r>
      <w:r w:rsidRPr="00A32AB2">
        <w:rPr>
          <w:rFonts w:ascii="Garamond" w:hAnsi="Garamond"/>
          <w:iCs/>
          <w:sz w:val="22"/>
          <w:szCs w:val="22"/>
        </w:rPr>
        <w:t xml:space="preserve">%, </w:t>
      </w:r>
      <w:r w:rsidR="000A73C7">
        <w:rPr>
          <w:rFonts w:ascii="Garamond" w:hAnsi="Garamond"/>
          <w:iCs/>
          <w:sz w:val="22"/>
          <w:szCs w:val="22"/>
        </w:rPr>
        <w:t xml:space="preserve">which was </w:t>
      </w:r>
      <w:r w:rsidRPr="00A32AB2">
        <w:rPr>
          <w:rFonts w:ascii="Garamond" w:hAnsi="Garamond"/>
          <w:iCs/>
          <w:sz w:val="22"/>
          <w:szCs w:val="22"/>
        </w:rPr>
        <w:t xml:space="preserve">largely driven by </w:t>
      </w:r>
      <w:r w:rsidR="00FF4C44">
        <w:rPr>
          <w:rFonts w:ascii="Garamond" w:hAnsi="Garamond"/>
          <w:iCs/>
          <w:sz w:val="22"/>
          <w:szCs w:val="22"/>
        </w:rPr>
        <w:t>de</w:t>
      </w:r>
      <w:r w:rsidR="000A73C7">
        <w:rPr>
          <w:rFonts w:ascii="Garamond" w:hAnsi="Garamond"/>
          <w:iCs/>
          <w:sz w:val="22"/>
          <w:szCs w:val="22"/>
        </w:rPr>
        <w:t>preciated euro</w:t>
      </w:r>
      <w:r w:rsidR="00FF4C44">
        <w:rPr>
          <w:rFonts w:ascii="Garamond" w:hAnsi="Garamond"/>
          <w:iCs/>
          <w:sz w:val="22"/>
          <w:szCs w:val="22"/>
        </w:rPr>
        <w:t>,</w:t>
      </w:r>
      <w:r w:rsidR="000A73C7">
        <w:rPr>
          <w:rFonts w:ascii="Garamond" w:hAnsi="Garamond"/>
          <w:iCs/>
          <w:sz w:val="22"/>
          <w:szCs w:val="22"/>
        </w:rPr>
        <w:t xml:space="preserve"> Georgian </w:t>
      </w:r>
      <w:proofErr w:type="spellStart"/>
      <w:r w:rsidR="000A73C7">
        <w:rPr>
          <w:rFonts w:ascii="Garamond" w:hAnsi="Garamond"/>
          <w:iCs/>
          <w:sz w:val="22"/>
          <w:szCs w:val="22"/>
        </w:rPr>
        <w:t>lari</w:t>
      </w:r>
      <w:proofErr w:type="spellEnd"/>
      <w:r w:rsidR="00FF4C44">
        <w:rPr>
          <w:rFonts w:ascii="Garamond" w:hAnsi="Garamond"/>
          <w:iCs/>
          <w:sz w:val="22"/>
          <w:szCs w:val="22"/>
        </w:rPr>
        <w:t xml:space="preserve"> and Chinese yuan</w:t>
      </w:r>
      <w:r w:rsidR="000A73C7">
        <w:rPr>
          <w:rFonts w:ascii="Garamond" w:hAnsi="Garamond"/>
          <w:iCs/>
          <w:sz w:val="22"/>
          <w:szCs w:val="22"/>
        </w:rPr>
        <w:t xml:space="preserve"> </w:t>
      </w:r>
      <w:r w:rsidRPr="00A32AB2">
        <w:rPr>
          <w:rFonts w:ascii="Garamond" w:hAnsi="Garamond"/>
          <w:iCs/>
          <w:sz w:val="22"/>
          <w:szCs w:val="22"/>
        </w:rPr>
        <w:t xml:space="preserve">(contribution: </w:t>
      </w:r>
      <w:r w:rsidR="00FF4C44">
        <w:rPr>
          <w:rFonts w:ascii="Garamond" w:hAnsi="Garamond"/>
          <w:iCs/>
          <w:sz w:val="22"/>
          <w:szCs w:val="22"/>
        </w:rPr>
        <w:t>0</w:t>
      </w:r>
      <w:r w:rsidRPr="00A32AB2">
        <w:rPr>
          <w:rFonts w:ascii="Garamond" w:hAnsi="Garamond"/>
          <w:iCs/>
          <w:sz w:val="22"/>
          <w:szCs w:val="22"/>
        </w:rPr>
        <w:t>.</w:t>
      </w:r>
      <w:r w:rsidR="00FF4C44">
        <w:rPr>
          <w:rFonts w:ascii="Garamond" w:hAnsi="Garamond"/>
          <w:iCs/>
          <w:sz w:val="22"/>
          <w:szCs w:val="22"/>
        </w:rPr>
        <w:t>3</w:t>
      </w:r>
      <w:r w:rsidR="001B2A01" w:rsidRPr="00A32AB2">
        <w:rPr>
          <w:rFonts w:ascii="Garamond" w:hAnsi="Garamond"/>
          <w:iCs/>
          <w:sz w:val="22"/>
          <w:szCs w:val="22"/>
        </w:rPr>
        <w:t>, 0.</w:t>
      </w:r>
      <w:r w:rsidR="00FF4C44">
        <w:rPr>
          <w:rFonts w:ascii="Garamond" w:hAnsi="Garamond"/>
          <w:iCs/>
          <w:sz w:val="22"/>
          <w:szCs w:val="22"/>
        </w:rPr>
        <w:t>2</w:t>
      </w:r>
      <w:r w:rsidRPr="00A32AB2">
        <w:rPr>
          <w:rFonts w:ascii="Garamond" w:hAnsi="Garamond"/>
          <w:iCs/>
          <w:sz w:val="22"/>
          <w:szCs w:val="22"/>
        </w:rPr>
        <w:t xml:space="preserve"> and 0.</w:t>
      </w:r>
      <w:r w:rsidR="00FF4C44">
        <w:rPr>
          <w:rFonts w:ascii="Garamond" w:hAnsi="Garamond"/>
          <w:iCs/>
          <w:sz w:val="22"/>
          <w:szCs w:val="22"/>
        </w:rPr>
        <w:t xml:space="preserve">2 pp, respectively), </w:t>
      </w:r>
      <w:r w:rsidR="00FF4C44" w:rsidRPr="00FF4C44">
        <w:rPr>
          <w:rFonts w:ascii="Garamond" w:hAnsi="Garamond"/>
          <w:iCs/>
          <w:sz w:val="22"/>
          <w:szCs w:val="22"/>
        </w:rPr>
        <w:t xml:space="preserve">whereas the Russian ruble and the Japanese yen appreciated </w:t>
      </w:r>
      <w:r w:rsidR="008C2077">
        <w:rPr>
          <w:rFonts w:ascii="Garamond" w:hAnsi="Garamond"/>
          <w:iCs/>
          <w:sz w:val="22"/>
          <w:szCs w:val="22"/>
        </w:rPr>
        <w:t>during the quarter</w:t>
      </w:r>
      <w:r w:rsidR="00FF4C44" w:rsidRPr="00FF4C44">
        <w:rPr>
          <w:rFonts w:ascii="Garamond" w:hAnsi="Garamond"/>
          <w:iCs/>
          <w:sz w:val="22"/>
          <w:szCs w:val="22"/>
        </w:rPr>
        <w:t>.</w:t>
      </w:r>
      <w:r w:rsidR="008C2077">
        <w:rPr>
          <w:rFonts w:ascii="Garamond" w:hAnsi="Garamond"/>
          <w:iCs/>
          <w:sz w:val="22"/>
          <w:szCs w:val="22"/>
        </w:rPr>
        <w:t xml:space="preserve"> </w:t>
      </w:r>
      <w:r w:rsidRPr="00A32AB2">
        <w:rPr>
          <w:rFonts w:ascii="Garamond" w:hAnsi="Garamond"/>
          <w:iCs/>
          <w:sz w:val="22"/>
          <w:szCs w:val="22"/>
        </w:rPr>
        <w:t xml:space="preserve">With </w:t>
      </w:r>
      <w:r w:rsidR="00E71516">
        <w:rPr>
          <w:rFonts w:ascii="Garamond" w:hAnsi="Garamond"/>
          <w:iCs/>
          <w:sz w:val="22"/>
          <w:szCs w:val="22"/>
        </w:rPr>
        <w:t xml:space="preserve">average weighted depreciation of </w:t>
      </w:r>
      <w:r w:rsidRPr="00A32AB2">
        <w:rPr>
          <w:rFonts w:ascii="Garamond" w:hAnsi="Garamond"/>
          <w:iCs/>
          <w:sz w:val="22"/>
          <w:szCs w:val="22"/>
        </w:rPr>
        <w:t>partner countries’ national currencies</w:t>
      </w:r>
      <w:r w:rsidR="00E71516">
        <w:rPr>
          <w:rFonts w:ascii="Garamond" w:hAnsi="Garamond"/>
          <w:iCs/>
          <w:sz w:val="22"/>
          <w:szCs w:val="22"/>
        </w:rPr>
        <w:t xml:space="preserve">, </w:t>
      </w:r>
      <w:r w:rsidRPr="00A32AB2">
        <w:rPr>
          <w:rFonts w:ascii="Garamond" w:hAnsi="Garamond"/>
          <w:sz w:val="22"/>
          <w:szCs w:val="22"/>
        </w:rPr>
        <w:t>the average nominal exchange rate of the Armenian dram</w:t>
      </w:r>
      <w:r w:rsidRPr="00A32AB2">
        <w:rPr>
          <w:rFonts w:ascii="Garamond" w:hAnsi="Garamond"/>
          <w:iCs/>
          <w:color w:val="000000"/>
          <w:sz w:val="22"/>
          <w:szCs w:val="22"/>
        </w:rPr>
        <w:t xml:space="preserve"> appreciated versus the US dollar by </w:t>
      </w:r>
      <w:r w:rsidR="00E71516">
        <w:rPr>
          <w:rFonts w:ascii="Garamond" w:hAnsi="Garamond"/>
          <w:iCs/>
          <w:color w:val="000000"/>
          <w:sz w:val="22"/>
          <w:szCs w:val="22"/>
        </w:rPr>
        <w:t>0.8</w:t>
      </w:r>
      <w:r w:rsidRPr="00A32AB2">
        <w:rPr>
          <w:rFonts w:ascii="Garamond" w:hAnsi="Garamond"/>
          <w:iCs/>
          <w:color w:val="000000"/>
          <w:sz w:val="22"/>
          <w:szCs w:val="22"/>
        </w:rPr>
        <w:t xml:space="preserve">% in the </w:t>
      </w:r>
      <w:r w:rsidR="00E71516">
        <w:rPr>
          <w:rFonts w:ascii="Garamond" w:hAnsi="Garamond"/>
          <w:iCs/>
          <w:color w:val="000000"/>
          <w:sz w:val="22"/>
          <w:szCs w:val="22"/>
        </w:rPr>
        <w:t>thir</w:t>
      </w:r>
      <w:r w:rsidR="005461F6">
        <w:rPr>
          <w:rFonts w:ascii="Garamond" w:hAnsi="Garamond"/>
          <w:iCs/>
          <w:color w:val="000000"/>
          <w:sz w:val="22"/>
          <w:szCs w:val="22"/>
        </w:rPr>
        <w:t>d</w:t>
      </w:r>
      <w:r w:rsidRPr="00A32AB2">
        <w:rPr>
          <w:rFonts w:ascii="Garamond" w:hAnsi="Garamond"/>
          <w:iCs/>
          <w:color w:val="000000"/>
          <w:sz w:val="22"/>
          <w:szCs w:val="22"/>
        </w:rPr>
        <w:t xml:space="preserve"> quarter. T</w:t>
      </w:r>
      <w:r w:rsidRPr="00A32AB2">
        <w:rPr>
          <w:rFonts w:ascii="Garamond" w:hAnsi="Garamond"/>
          <w:sz w:val="22"/>
          <w:szCs w:val="22"/>
        </w:rPr>
        <w:t>o absorb</w:t>
      </w:r>
      <w:r w:rsidR="0086764D" w:rsidRPr="00A32AB2">
        <w:rPr>
          <w:rFonts w:ascii="Garamond" w:hAnsi="Garamond"/>
          <w:sz w:val="22"/>
          <w:szCs w:val="22"/>
          <w:lang w:val="hy-AM"/>
        </w:rPr>
        <w:t xml:space="preserve"> </w:t>
      </w:r>
      <w:r w:rsidRPr="00A32AB2">
        <w:rPr>
          <w:rFonts w:ascii="Garamond" w:hAnsi="Garamond"/>
          <w:sz w:val="22"/>
          <w:szCs w:val="22"/>
        </w:rPr>
        <w:t xml:space="preserve">short-term volatilities </w:t>
      </w:r>
      <w:r w:rsidR="00392C0F" w:rsidRPr="00A32AB2">
        <w:rPr>
          <w:rFonts w:ascii="Garamond" w:hAnsi="Garamond"/>
          <w:sz w:val="22"/>
          <w:szCs w:val="22"/>
        </w:rPr>
        <w:t>deriving from balance sheet seasonality</w:t>
      </w:r>
      <w:r w:rsidRPr="00A32AB2">
        <w:rPr>
          <w:rFonts w:ascii="Garamond" w:hAnsi="Garamond"/>
          <w:sz w:val="22"/>
          <w:szCs w:val="22"/>
        </w:rPr>
        <w:t xml:space="preserve">, the CBA </w:t>
      </w:r>
      <w:r w:rsidR="00496CC1">
        <w:rPr>
          <w:rFonts w:ascii="Garamond" w:hAnsi="Garamond"/>
          <w:sz w:val="22"/>
          <w:szCs w:val="22"/>
        </w:rPr>
        <w:t xml:space="preserve">bought </w:t>
      </w:r>
      <w:r w:rsidRPr="00A32AB2">
        <w:rPr>
          <w:rFonts w:ascii="Garamond" w:hAnsi="Garamond"/>
          <w:sz w:val="22"/>
          <w:szCs w:val="22"/>
        </w:rPr>
        <w:t xml:space="preserve">nearly USD </w:t>
      </w:r>
      <w:r w:rsidR="00E71516">
        <w:rPr>
          <w:rFonts w:ascii="Garamond" w:hAnsi="Garamond"/>
          <w:sz w:val="22"/>
          <w:szCs w:val="22"/>
        </w:rPr>
        <w:t>48</w:t>
      </w:r>
      <w:r w:rsidR="00392C0F" w:rsidRPr="00A32AB2">
        <w:rPr>
          <w:rFonts w:ascii="Garamond" w:hAnsi="Garamond"/>
          <w:sz w:val="22"/>
          <w:szCs w:val="22"/>
        </w:rPr>
        <w:t>.6</w:t>
      </w:r>
      <w:r w:rsidRPr="00A32AB2">
        <w:rPr>
          <w:rFonts w:ascii="Garamond" w:hAnsi="Garamond"/>
          <w:sz w:val="22"/>
          <w:szCs w:val="22"/>
        </w:rPr>
        <w:t xml:space="preserve"> million in net terms</w:t>
      </w:r>
      <w:r w:rsidR="0086764D" w:rsidRPr="00A32AB2">
        <w:rPr>
          <w:rFonts w:ascii="Garamond" w:hAnsi="Garamond"/>
          <w:sz w:val="22"/>
          <w:szCs w:val="22"/>
          <w:lang w:val="hy-AM"/>
        </w:rPr>
        <w:t xml:space="preserve"> </w:t>
      </w:r>
      <w:r w:rsidR="00392C0F" w:rsidRPr="00A32AB2">
        <w:rPr>
          <w:rFonts w:ascii="Garamond" w:hAnsi="Garamond"/>
          <w:sz w:val="22"/>
          <w:szCs w:val="22"/>
        </w:rPr>
        <w:t>in</w:t>
      </w:r>
      <w:r w:rsidR="0086764D" w:rsidRPr="00A32AB2">
        <w:rPr>
          <w:rFonts w:ascii="Garamond" w:hAnsi="Garamond"/>
          <w:sz w:val="22"/>
          <w:szCs w:val="22"/>
          <w:lang w:val="hy-AM"/>
        </w:rPr>
        <w:t xml:space="preserve"> </w:t>
      </w:r>
      <w:r w:rsidR="00392C0F" w:rsidRPr="00A32AB2">
        <w:rPr>
          <w:rFonts w:ascii="Garamond" w:hAnsi="Garamond"/>
          <w:sz w:val="22"/>
          <w:szCs w:val="22"/>
        </w:rPr>
        <w:t>the foreign exchange market.</w:t>
      </w:r>
    </w:p>
    <w:p w14:paraId="10B02D43" w14:textId="77777777" w:rsidR="00FD4627" w:rsidRPr="00A32AB2" w:rsidRDefault="00FD4627" w:rsidP="0006101A">
      <w:pPr>
        <w:spacing w:line="360" w:lineRule="auto"/>
        <w:jc w:val="both"/>
        <w:rPr>
          <w:rFonts w:ascii="Garamond" w:hAnsi="Garamond"/>
          <w:sz w:val="22"/>
          <w:szCs w:val="22"/>
        </w:rPr>
      </w:pPr>
    </w:p>
    <w:p w14:paraId="51C51DB5" w14:textId="77777777" w:rsidR="00FD4627" w:rsidRPr="00A32AB2" w:rsidRDefault="00FD4627" w:rsidP="0006101A">
      <w:pPr>
        <w:spacing w:line="360" w:lineRule="auto"/>
        <w:jc w:val="both"/>
        <w:rPr>
          <w:rFonts w:ascii="Garamond" w:hAnsi="Garamond"/>
          <w:iCs/>
          <w:sz w:val="22"/>
          <w:szCs w:val="22"/>
        </w:rPr>
      </w:pPr>
      <w:r w:rsidRPr="00A32AB2">
        <w:rPr>
          <w:rFonts w:ascii="Garamond" w:hAnsi="Garamond"/>
          <w:iCs/>
          <w:color w:val="000000"/>
          <w:sz w:val="22"/>
          <w:szCs w:val="22"/>
        </w:rPr>
        <w:lastRenderedPageBreak/>
        <w:t xml:space="preserve">In the </w:t>
      </w:r>
      <w:r w:rsidR="00E71516">
        <w:rPr>
          <w:rFonts w:ascii="Garamond" w:hAnsi="Garamond"/>
          <w:iCs/>
          <w:color w:val="000000"/>
          <w:sz w:val="22"/>
          <w:szCs w:val="22"/>
        </w:rPr>
        <w:t>thir</w:t>
      </w:r>
      <w:r w:rsidR="0095116E">
        <w:rPr>
          <w:rFonts w:ascii="Garamond" w:hAnsi="Garamond"/>
          <w:iCs/>
          <w:color w:val="000000"/>
          <w:sz w:val="22"/>
          <w:szCs w:val="22"/>
        </w:rPr>
        <w:t>d</w:t>
      </w:r>
      <w:r w:rsidRPr="00A32AB2">
        <w:rPr>
          <w:rFonts w:ascii="Garamond" w:hAnsi="Garamond"/>
          <w:iCs/>
          <w:color w:val="000000"/>
          <w:sz w:val="22"/>
          <w:szCs w:val="22"/>
        </w:rPr>
        <w:t xml:space="preserve"> quarter of 2016 </w:t>
      </w:r>
      <w:r w:rsidRPr="00A32AB2">
        <w:rPr>
          <w:rFonts w:ascii="Garamond" w:hAnsi="Garamond"/>
          <w:sz w:val="22"/>
          <w:szCs w:val="22"/>
        </w:rPr>
        <w:t>the nominal effective exchange rate of the A</w:t>
      </w:r>
      <w:r w:rsidR="00C71DA3" w:rsidRPr="00A32AB2">
        <w:rPr>
          <w:rFonts w:ascii="Garamond" w:hAnsi="Garamond"/>
          <w:sz w:val="22"/>
          <w:szCs w:val="22"/>
        </w:rPr>
        <w:t xml:space="preserve">rmenian dram </w:t>
      </w:r>
      <w:r w:rsidR="00E71516">
        <w:rPr>
          <w:rFonts w:ascii="Garamond" w:hAnsi="Garamond"/>
          <w:sz w:val="22"/>
          <w:szCs w:val="22"/>
        </w:rPr>
        <w:t>ap</w:t>
      </w:r>
      <w:r w:rsidR="0095116E">
        <w:rPr>
          <w:rFonts w:ascii="Garamond" w:hAnsi="Garamond"/>
          <w:sz w:val="22"/>
          <w:szCs w:val="22"/>
        </w:rPr>
        <w:t xml:space="preserve">preciated by </w:t>
      </w:r>
      <w:r w:rsidR="00E71516">
        <w:rPr>
          <w:rFonts w:ascii="Garamond" w:hAnsi="Garamond"/>
          <w:sz w:val="22"/>
          <w:szCs w:val="22"/>
        </w:rPr>
        <w:t>1</w:t>
      </w:r>
      <w:r w:rsidRPr="00A32AB2">
        <w:rPr>
          <w:rFonts w:ascii="Garamond" w:hAnsi="Garamond"/>
          <w:sz w:val="22"/>
          <w:szCs w:val="22"/>
        </w:rPr>
        <w:t>.</w:t>
      </w:r>
      <w:r w:rsidR="00E71516">
        <w:rPr>
          <w:rFonts w:ascii="Garamond" w:hAnsi="Garamond"/>
          <w:sz w:val="22"/>
          <w:szCs w:val="22"/>
        </w:rPr>
        <w:t>17</w:t>
      </w:r>
      <w:r w:rsidRPr="00A32AB2">
        <w:rPr>
          <w:rFonts w:ascii="Garamond" w:hAnsi="Garamond"/>
          <w:sz w:val="22"/>
          <w:szCs w:val="22"/>
        </w:rPr>
        <w:t>% q/q</w:t>
      </w:r>
      <w:r w:rsidR="0095116E">
        <w:rPr>
          <w:rFonts w:ascii="Garamond" w:hAnsi="Garamond"/>
          <w:sz w:val="22"/>
          <w:szCs w:val="22"/>
        </w:rPr>
        <w:t xml:space="preserve"> </w:t>
      </w:r>
      <w:r w:rsidR="00E71516">
        <w:rPr>
          <w:rFonts w:ascii="Garamond" w:hAnsi="Garamond"/>
          <w:sz w:val="22"/>
          <w:szCs w:val="22"/>
        </w:rPr>
        <w:t xml:space="preserve">on average </w:t>
      </w:r>
      <w:r w:rsidRPr="00A32AB2">
        <w:rPr>
          <w:rFonts w:ascii="Garamond" w:hAnsi="Garamond"/>
          <w:sz w:val="22"/>
          <w:szCs w:val="22"/>
        </w:rPr>
        <w:t>a</w:t>
      </w:r>
      <w:r w:rsidR="0095116E">
        <w:rPr>
          <w:rFonts w:ascii="Garamond" w:hAnsi="Garamond"/>
          <w:sz w:val="22"/>
          <w:szCs w:val="22"/>
        </w:rPr>
        <w:t xml:space="preserve">s the </w:t>
      </w:r>
      <w:r w:rsidR="00C71DA3" w:rsidRPr="00A32AB2">
        <w:rPr>
          <w:rFonts w:ascii="Garamond" w:hAnsi="Garamond"/>
          <w:iCs/>
          <w:color w:val="000000"/>
          <w:sz w:val="22"/>
          <w:szCs w:val="22"/>
        </w:rPr>
        <w:t>partner countries’ currenc</w:t>
      </w:r>
      <w:r w:rsidR="0095116E">
        <w:rPr>
          <w:rFonts w:ascii="Garamond" w:hAnsi="Garamond"/>
          <w:iCs/>
          <w:color w:val="000000"/>
          <w:sz w:val="22"/>
          <w:szCs w:val="22"/>
        </w:rPr>
        <w:t xml:space="preserve">y basket </w:t>
      </w:r>
      <w:r w:rsidR="00E71516">
        <w:rPr>
          <w:rFonts w:ascii="Garamond" w:hAnsi="Garamond"/>
          <w:iCs/>
          <w:color w:val="000000"/>
          <w:sz w:val="22"/>
          <w:szCs w:val="22"/>
        </w:rPr>
        <w:t>continued depreciating but the dram appreciating versus the US dollar</w:t>
      </w:r>
      <w:r w:rsidRPr="00A32AB2">
        <w:rPr>
          <w:rFonts w:ascii="Garamond" w:hAnsi="Garamond"/>
          <w:sz w:val="22"/>
          <w:szCs w:val="22"/>
        </w:rPr>
        <w:t>.</w:t>
      </w:r>
      <w:r w:rsidR="0086764D" w:rsidRPr="00A32AB2">
        <w:rPr>
          <w:rFonts w:ascii="Garamond" w:hAnsi="Garamond"/>
          <w:sz w:val="22"/>
          <w:szCs w:val="22"/>
          <w:lang w:val="hy-AM"/>
        </w:rPr>
        <w:t xml:space="preserve"> </w:t>
      </w:r>
      <w:r w:rsidR="00277BE5" w:rsidRPr="00A32AB2">
        <w:rPr>
          <w:rFonts w:ascii="Garamond" w:hAnsi="Garamond"/>
          <w:iCs/>
          <w:color w:val="000000"/>
          <w:sz w:val="22"/>
          <w:szCs w:val="22"/>
        </w:rPr>
        <w:t xml:space="preserve">In the meantime, </w:t>
      </w:r>
      <w:r w:rsidRPr="00A32AB2">
        <w:rPr>
          <w:rFonts w:ascii="Garamond" w:hAnsi="Garamond"/>
          <w:iCs/>
          <w:color w:val="000000"/>
          <w:sz w:val="22"/>
          <w:szCs w:val="22"/>
        </w:rPr>
        <w:t xml:space="preserve">the real effective exchange rate </w:t>
      </w:r>
      <w:r w:rsidR="00E71516">
        <w:rPr>
          <w:rFonts w:ascii="Garamond" w:hAnsi="Garamond"/>
          <w:iCs/>
          <w:color w:val="000000"/>
          <w:sz w:val="22"/>
          <w:szCs w:val="22"/>
        </w:rPr>
        <w:t xml:space="preserve">of the Armenian dram </w:t>
      </w:r>
      <w:r w:rsidR="0095116E">
        <w:rPr>
          <w:rFonts w:ascii="Garamond" w:hAnsi="Garamond"/>
          <w:iCs/>
          <w:color w:val="000000"/>
          <w:sz w:val="22"/>
          <w:szCs w:val="22"/>
        </w:rPr>
        <w:t>de</w:t>
      </w:r>
      <w:r w:rsidRPr="00A32AB2">
        <w:rPr>
          <w:rFonts w:ascii="Garamond" w:hAnsi="Garamond"/>
          <w:iCs/>
          <w:color w:val="000000"/>
          <w:sz w:val="22"/>
          <w:szCs w:val="22"/>
        </w:rPr>
        <w:t xml:space="preserve">preciated by </w:t>
      </w:r>
      <w:r w:rsidR="00E71516">
        <w:rPr>
          <w:rFonts w:ascii="Garamond" w:hAnsi="Garamond"/>
          <w:iCs/>
          <w:color w:val="000000"/>
          <w:sz w:val="22"/>
          <w:szCs w:val="22"/>
        </w:rPr>
        <w:t>2</w:t>
      </w:r>
      <w:r w:rsidR="00277BE5" w:rsidRPr="00A32AB2">
        <w:rPr>
          <w:rFonts w:ascii="Garamond" w:hAnsi="Garamond"/>
          <w:iCs/>
          <w:color w:val="000000"/>
          <w:sz w:val="22"/>
          <w:szCs w:val="22"/>
        </w:rPr>
        <w:t>.</w:t>
      </w:r>
      <w:r w:rsidR="00E71516">
        <w:rPr>
          <w:rFonts w:ascii="Garamond" w:hAnsi="Garamond"/>
          <w:iCs/>
          <w:color w:val="000000"/>
          <w:sz w:val="22"/>
          <w:szCs w:val="22"/>
        </w:rPr>
        <w:t>43</w:t>
      </w:r>
      <w:r w:rsidRPr="00A32AB2">
        <w:rPr>
          <w:rFonts w:ascii="Garamond" w:hAnsi="Garamond"/>
          <w:iCs/>
          <w:color w:val="000000"/>
          <w:sz w:val="22"/>
          <w:szCs w:val="22"/>
        </w:rPr>
        <w:t>% q/q</w:t>
      </w:r>
      <w:r w:rsidR="00856023">
        <w:rPr>
          <w:rStyle w:val="FootnoteReference"/>
          <w:rFonts w:ascii="Garamond" w:hAnsi="Garamond"/>
          <w:iCs/>
          <w:sz w:val="22"/>
          <w:szCs w:val="22"/>
        </w:rPr>
        <w:footnoteReference w:customMarkFollows="1" w:id="22"/>
        <w:t>23</w:t>
      </w:r>
      <w:r w:rsidR="00E71516">
        <w:rPr>
          <w:rFonts w:ascii="Garamond" w:hAnsi="Garamond"/>
          <w:iCs/>
          <w:sz w:val="22"/>
          <w:szCs w:val="22"/>
        </w:rPr>
        <w:t xml:space="preserve">owing to a deflationary environment in Armenia, which boosted up company competitiveness. </w:t>
      </w:r>
    </w:p>
    <w:p w14:paraId="121195B4" w14:textId="77777777" w:rsidR="00E545F0" w:rsidRPr="00A32AB2" w:rsidRDefault="00E545F0" w:rsidP="0006101A">
      <w:pPr>
        <w:spacing w:line="360" w:lineRule="auto"/>
        <w:jc w:val="both"/>
        <w:rPr>
          <w:rFonts w:ascii="Garamond" w:hAnsi="Garamond"/>
          <w:iCs/>
          <w:sz w:val="22"/>
          <w:szCs w:val="22"/>
        </w:rPr>
      </w:pPr>
    </w:p>
    <w:p w14:paraId="47A8D1EA" w14:textId="77777777" w:rsidR="00E545F0" w:rsidRPr="00A32AB2" w:rsidRDefault="0095116E" w:rsidP="0006101A">
      <w:pPr>
        <w:spacing w:line="360" w:lineRule="auto"/>
        <w:jc w:val="both"/>
        <w:rPr>
          <w:rFonts w:ascii="Garamond" w:hAnsi="Garamond"/>
          <w:iCs/>
          <w:sz w:val="22"/>
          <w:szCs w:val="22"/>
        </w:rPr>
      </w:pPr>
      <w:r>
        <w:rPr>
          <w:rFonts w:ascii="Garamond" w:hAnsi="Garamond"/>
          <w:iCs/>
          <w:sz w:val="22"/>
          <w:szCs w:val="22"/>
        </w:rPr>
        <w:t xml:space="preserve">Compared to </w:t>
      </w:r>
      <w:r w:rsidR="00E545F0" w:rsidRPr="00A32AB2">
        <w:rPr>
          <w:rFonts w:ascii="Garamond" w:hAnsi="Garamond"/>
          <w:iCs/>
          <w:sz w:val="22"/>
          <w:szCs w:val="22"/>
        </w:rPr>
        <w:t xml:space="preserve">the same reference period last year, the real effective exchange rate </w:t>
      </w:r>
      <w:r w:rsidR="00856023">
        <w:rPr>
          <w:rFonts w:ascii="Garamond" w:hAnsi="Garamond"/>
          <w:iCs/>
          <w:sz w:val="22"/>
          <w:szCs w:val="22"/>
        </w:rPr>
        <w:t>has reported 1.86% of depreciation</w:t>
      </w:r>
      <w:r w:rsidR="00E545F0" w:rsidRPr="00A32AB2">
        <w:rPr>
          <w:rFonts w:ascii="Garamond" w:hAnsi="Garamond"/>
          <w:iCs/>
          <w:sz w:val="22"/>
          <w:szCs w:val="22"/>
        </w:rPr>
        <w:t>.</w:t>
      </w:r>
      <w:r w:rsidR="000A48A7" w:rsidRPr="00A32AB2">
        <w:rPr>
          <w:rFonts w:ascii="Garamond" w:hAnsi="Garamond"/>
          <w:iCs/>
          <w:sz w:val="22"/>
          <w:szCs w:val="22"/>
        </w:rPr>
        <w:t xml:space="preserve"> </w:t>
      </w:r>
    </w:p>
    <w:p w14:paraId="3289C856" w14:textId="77777777" w:rsidR="008D6235" w:rsidRPr="00A32AB2" w:rsidRDefault="008D6235" w:rsidP="0006101A">
      <w:pPr>
        <w:spacing w:line="360" w:lineRule="auto"/>
        <w:jc w:val="both"/>
        <w:rPr>
          <w:rFonts w:ascii="Garamond" w:hAnsi="Garamond"/>
          <w:iCs/>
          <w:sz w:val="22"/>
          <w:szCs w:val="22"/>
        </w:rPr>
      </w:pPr>
    </w:p>
    <w:tbl>
      <w:tblPr>
        <w:tblStyle w:val="TableGrid"/>
        <w:tblW w:w="0" w:type="auto"/>
        <w:tblLook w:val="04A0" w:firstRow="1" w:lastRow="0" w:firstColumn="1" w:lastColumn="0" w:noHBand="0" w:noVBand="1"/>
      </w:tblPr>
      <w:tblGrid>
        <w:gridCol w:w="9576"/>
      </w:tblGrid>
      <w:tr w:rsidR="008D6235" w:rsidRPr="00A32AB2" w14:paraId="69C29188" w14:textId="77777777" w:rsidTr="008D6235">
        <w:tc>
          <w:tcPr>
            <w:tcW w:w="9576" w:type="dxa"/>
          </w:tcPr>
          <w:p w14:paraId="6AD76C46" w14:textId="77777777" w:rsidR="008D6235" w:rsidRPr="00A32AB2" w:rsidRDefault="008D6235" w:rsidP="008D6235">
            <w:pPr>
              <w:spacing w:line="360" w:lineRule="auto"/>
              <w:jc w:val="right"/>
              <w:rPr>
                <w:rFonts w:ascii="Garamond" w:hAnsi="Garamond"/>
                <w:b/>
                <w:sz w:val="21"/>
                <w:szCs w:val="21"/>
              </w:rPr>
            </w:pPr>
            <w:r w:rsidRPr="00A32AB2">
              <w:rPr>
                <w:rFonts w:ascii="Garamond" w:hAnsi="Garamond"/>
                <w:b/>
                <w:sz w:val="21"/>
                <w:szCs w:val="21"/>
              </w:rPr>
              <w:t xml:space="preserve">Box </w:t>
            </w:r>
            <w:r w:rsidR="00FF254D">
              <w:rPr>
                <w:rFonts w:ascii="Garamond" w:hAnsi="Garamond"/>
                <w:b/>
                <w:sz w:val="21"/>
                <w:szCs w:val="21"/>
              </w:rPr>
              <w:t>3</w:t>
            </w:r>
          </w:p>
          <w:p w14:paraId="65619BE2" w14:textId="77777777" w:rsidR="008D6235" w:rsidRPr="00A32AB2" w:rsidRDefault="008D6235" w:rsidP="008D6235">
            <w:pPr>
              <w:spacing w:line="360" w:lineRule="auto"/>
              <w:jc w:val="center"/>
              <w:rPr>
                <w:rFonts w:ascii="Garamond" w:hAnsi="Garamond"/>
                <w:b/>
                <w:sz w:val="21"/>
                <w:szCs w:val="21"/>
              </w:rPr>
            </w:pPr>
            <w:r w:rsidRPr="00A32AB2">
              <w:rPr>
                <w:rFonts w:ascii="Garamond" w:hAnsi="Garamond"/>
                <w:b/>
                <w:sz w:val="21"/>
                <w:szCs w:val="21"/>
              </w:rPr>
              <w:t>Foreign exchange market</w:t>
            </w:r>
          </w:p>
          <w:p w14:paraId="6CA62103" w14:textId="77777777" w:rsidR="008D6235" w:rsidRPr="00A32AB2" w:rsidRDefault="008D6235" w:rsidP="008D6235">
            <w:pPr>
              <w:spacing w:line="360" w:lineRule="auto"/>
              <w:jc w:val="both"/>
              <w:rPr>
                <w:rFonts w:ascii="Garamond" w:hAnsi="Garamond"/>
                <w:sz w:val="21"/>
                <w:szCs w:val="21"/>
              </w:rPr>
            </w:pPr>
            <w:r w:rsidRPr="00A32AB2">
              <w:rPr>
                <w:rFonts w:ascii="Garamond" w:hAnsi="Garamond"/>
                <w:sz w:val="21"/>
                <w:szCs w:val="21"/>
              </w:rPr>
              <w:t xml:space="preserve">As of end of the </w:t>
            </w:r>
            <w:r w:rsidR="00FF254D">
              <w:rPr>
                <w:rFonts w:ascii="Garamond" w:hAnsi="Garamond"/>
                <w:sz w:val="21"/>
                <w:szCs w:val="21"/>
              </w:rPr>
              <w:t>thir</w:t>
            </w:r>
            <w:r w:rsidR="006346C5">
              <w:rPr>
                <w:rFonts w:ascii="Garamond" w:hAnsi="Garamond"/>
                <w:sz w:val="21"/>
                <w:szCs w:val="21"/>
              </w:rPr>
              <w:t>d</w:t>
            </w:r>
            <w:r w:rsidRPr="00A32AB2">
              <w:rPr>
                <w:rFonts w:ascii="Garamond" w:hAnsi="Garamond"/>
                <w:sz w:val="21"/>
                <w:szCs w:val="21"/>
              </w:rPr>
              <w:t xml:space="preserve"> quarter of 201</w:t>
            </w:r>
            <w:r w:rsidR="00511AE3" w:rsidRPr="00A32AB2">
              <w:rPr>
                <w:rFonts w:ascii="Garamond" w:hAnsi="Garamond"/>
                <w:sz w:val="21"/>
                <w:szCs w:val="21"/>
              </w:rPr>
              <w:t>6</w:t>
            </w:r>
            <w:r w:rsidRPr="00A32AB2">
              <w:rPr>
                <w:rFonts w:ascii="Garamond" w:hAnsi="Garamond"/>
                <w:sz w:val="21"/>
                <w:szCs w:val="21"/>
              </w:rPr>
              <w:t xml:space="preserve"> the average USD/AMD was 4</w:t>
            </w:r>
            <w:r w:rsidR="006346C5">
              <w:rPr>
                <w:rFonts w:ascii="Garamond" w:hAnsi="Garamond"/>
                <w:sz w:val="21"/>
                <w:szCs w:val="21"/>
              </w:rPr>
              <w:t>7</w:t>
            </w:r>
            <w:r w:rsidR="00FF254D">
              <w:rPr>
                <w:rFonts w:ascii="Garamond" w:hAnsi="Garamond"/>
                <w:sz w:val="21"/>
                <w:szCs w:val="21"/>
              </w:rPr>
              <w:t>4</w:t>
            </w:r>
            <w:r w:rsidRPr="00A32AB2">
              <w:rPr>
                <w:rFonts w:ascii="Garamond" w:hAnsi="Garamond"/>
                <w:sz w:val="21"/>
                <w:szCs w:val="21"/>
              </w:rPr>
              <w:t>.</w:t>
            </w:r>
            <w:r w:rsidR="00FF254D">
              <w:rPr>
                <w:rFonts w:ascii="Garamond" w:hAnsi="Garamond"/>
                <w:sz w:val="21"/>
                <w:szCs w:val="21"/>
              </w:rPr>
              <w:t>46</w:t>
            </w:r>
            <w:r w:rsidRPr="00A32AB2">
              <w:rPr>
                <w:rFonts w:ascii="Garamond" w:hAnsi="Garamond"/>
                <w:sz w:val="21"/>
                <w:szCs w:val="21"/>
              </w:rPr>
              <w:t xml:space="preserve">, </w:t>
            </w:r>
            <w:r w:rsidR="00511AE3" w:rsidRPr="00A32AB2">
              <w:rPr>
                <w:rFonts w:ascii="Garamond" w:hAnsi="Garamond"/>
                <w:sz w:val="21"/>
                <w:szCs w:val="21"/>
              </w:rPr>
              <w:t>app</w:t>
            </w:r>
            <w:r w:rsidRPr="00A32AB2">
              <w:rPr>
                <w:rFonts w:ascii="Garamond" w:hAnsi="Garamond"/>
                <w:sz w:val="21"/>
                <w:szCs w:val="21"/>
              </w:rPr>
              <w:t xml:space="preserve">reciated by </w:t>
            </w:r>
            <w:r w:rsidR="00511AE3" w:rsidRPr="00A32AB2">
              <w:rPr>
                <w:rFonts w:ascii="Garamond" w:hAnsi="Garamond"/>
                <w:sz w:val="21"/>
                <w:szCs w:val="21"/>
              </w:rPr>
              <w:t>0</w:t>
            </w:r>
            <w:r w:rsidRPr="00A32AB2">
              <w:rPr>
                <w:rFonts w:ascii="Garamond" w:hAnsi="Garamond"/>
                <w:sz w:val="21"/>
                <w:szCs w:val="21"/>
              </w:rPr>
              <w:t>.</w:t>
            </w:r>
            <w:r w:rsidR="00FF254D">
              <w:rPr>
                <w:rFonts w:ascii="Garamond" w:hAnsi="Garamond"/>
                <w:sz w:val="21"/>
                <w:szCs w:val="21"/>
              </w:rPr>
              <w:t>47</w:t>
            </w:r>
            <w:r w:rsidRPr="00A32AB2">
              <w:rPr>
                <w:rFonts w:ascii="Garamond" w:hAnsi="Garamond"/>
                <w:sz w:val="21"/>
                <w:szCs w:val="21"/>
              </w:rPr>
              <w:t xml:space="preserve"> relative to the end of the previous quarter.</w:t>
            </w:r>
          </w:p>
          <w:p w14:paraId="3C4D7038" w14:textId="77777777" w:rsidR="008D6235" w:rsidRPr="00A32AB2" w:rsidRDefault="008D6235" w:rsidP="008D6235">
            <w:pPr>
              <w:spacing w:line="360" w:lineRule="auto"/>
              <w:jc w:val="both"/>
              <w:rPr>
                <w:rFonts w:ascii="Garamond" w:hAnsi="Garamond"/>
                <w:sz w:val="21"/>
                <w:szCs w:val="21"/>
              </w:rPr>
            </w:pPr>
          </w:p>
          <w:p w14:paraId="01D6DF34" w14:textId="77777777" w:rsidR="00511AE3" w:rsidRPr="00A32AB2" w:rsidRDefault="00511AE3" w:rsidP="00511AE3">
            <w:pPr>
              <w:spacing w:line="360" w:lineRule="auto"/>
              <w:jc w:val="both"/>
              <w:rPr>
                <w:rFonts w:ascii="Garamond" w:hAnsi="Garamond"/>
                <w:iCs/>
                <w:sz w:val="21"/>
                <w:szCs w:val="21"/>
              </w:rPr>
            </w:pPr>
            <w:r w:rsidRPr="00A32AB2">
              <w:rPr>
                <w:rFonts w:ascii="Garamond" w:hAnsi="Garamond"/>
                <w:iCs/>
                <w:sz w:val="21"/>
                <w:szCs w:val="21"/>
              </w:rPr>
              <w:t xml:space="preserve">The aggregate volume of U.S. dollar/Armenian dram transactions in the foreign exchange market in the </w:t>
            </w:r>
            <w:r w:rsidR="00FF254D">
              <w:rPr>
                <w:rFonts w:ascii="Garamond" w:hAnsi="Garamond"/>
                <w:iCs/>
                <w:sz w:val="21"/>
                <w:szCs w:val="21"/>
              </w:rPr>
              <w:t>thir</w:t>
            </w:r>
            <w:r w:rsidR="006346C5">
              <w:rPr>
                <w:rFonts w:ascii="Garamond" w:hAnsi="Garamond"/>
                <w:iCs/>
                <w:sz w:val="21"/>
                <w:szCs w:val="21"/>
              </w:rPr>
              <w:t>d</w:t>
            </w:r>
            <w:r w:rsidRPr="00A32AB2">
              <w:rPr>
                <w:rFonts w:ascii="Garamond" w:hAnsi="Garamond"/>
                <w:iCs/>
                <w:sz w:val="21"/>
                <w:szCs w:val="21"/>
              </w:rPr>
              <w:t xml:space="preserve"> quarter of 2016 amounted to USD </w:t>
            </w:r>
            <w:r w:rsidR="006346C5">
              <w:rPr>
                <w:rFonts w:ascii="Garamond" w:hAnsi="Garamond"/>
                <w:iCs/>
                <w:sz w:val="21"/>
                <w:szCs w:val="21"/>
              </w:rPr>
              <w:t>2</w:t>
            </w:r>
            <w:r w:rsidRPr="00A32AB2">
              <w:rPr>
                <w:rFonts w:ascii="Garamond" w:hAnsi="Garamond"/>
                <w:iCs/>
                <w:sz w:val="21"/>
                <w:szCs w:val="21"/>
              </w:rPr>
              <w:t>.</w:t>
            </w:r>
            <w:r w:rsidR="00FF254D">
              <w:rPr>
                <w:rFonts w:ascii="Garamond" w:hAnsi="Garamond"/>
                <w:iCs/>
                <w:sz w:val="21"/>
                <w:szCs w:val="21"/>
              </w:rPr>
              <w:t>35</w:t>
            </w:r>
            <w:r w:rsidRPr="00A32AB2">
              <w:rPr>
                <w:rFonts w:ascii="Garamond" w:hAnsi="Garamond"/>
                <w:iCs/>
                <w:sz w:val="21"/>
                <w:szCs w:val="21"/>
              </w:rPr>
              <w:t xml:space="preserve"> billion, decreas</w:t>
            </w:r>
            <w:r w:rsidR="00523597" w:rsidRPr="00A32AB2">
              <w:rPr>
                <w:rFonts w:ascii="Garamond" w:hAnsi="Garamond"/>
                <w:iCs/>
                <w:sz w:val="21"/>
                <w:szCs w:val="21"/>
              </w:rPr>
              <w:t xml:space="preserve">ing </w:t>
            </w:r>
            <w:r w:rsidRPr="00A32AB2">
              <w:rPr>
                <w:rFonts w:ascii="Garamond" w:hAnsi="Garamond"/>
                <w:iCs/>
                <w:sz w:val="21"/>
                <w:szCs w:val="21"/>
              </w:rPr>
              <w:t xml:space="preserve">by </w:t>
            </w:r>
            <w:r w:rsidR="00FF254D">
              <w:rPr>
                <w:rFonts w:ascii="Garamond" w:hAnsi="Garamond"/>
                <w:iCs/>
                <w:sz w:val="21"/>
                <w:szCs w:val="21"/>
              </w:rPr>
              <w:t>2</w:t>
            </w:r>
            <w:r w:rsidR="006346C5">
              <w:rPr>
                <w:rFonts w:ascii="Garamond" w:hAnsi="Garamond"/>
                <w:iCs/>
                <w:sz w:val="21"/>
                <w:szCs w:val="21"/>
              </w:rPr>
              <w:t>1</w:t>
            </w:r>
            <w:r w:rsidRPr="00A32AB2">
              <w:rPr>
                <w:rFonts w:ascii="Garamond" w:hAnsi="Garamond"/>
                <w:iCs/>
                <w:sz w:val="21"/>
                <w:szCs w:val="21"/>
              </w:rPr>
              <w:t>.</w:t>
            </w:r>
            <w:r w:rsidR="00FF254D">
              <w:rPr>
                <w:rFonts w:ascii="Garamond" w:hAnsi="Garamond"/>
                <w:iCs/>
                <w:sz w:val="21"/>
                <w:szCs w:val="21"/>
              </w:rPr>
              <w:t>14</w:t>
            </w:r>
            <w:r w:rsidRPr="00A32AB2">
              <w:rPr>
                <w:rFonts w:ascii="Garamond" w:hAnsi="Garamond"/>
                <w:iCs/>
                <w:sz w:val="21"/>
                <w:szCs w:val="21"/>
              </w:rPr>
              <w:t>% (AMD 2.</w:t>
            </w:r>
            <w:r w:rsidR="00FF254D">
              <w:rPr>
                <w:rFonts w:ascii="Garamond" w:hAnsi="Garamond"/>
                <w:iCs/>
                <w:sz w:val="21"/>
                <w:szCs w:val="21"/>
              </w:rPr>
              <w:t>98</w:t>
            </w:r>
            <w:r w:rsidRPr="00A32AB2">
              <w:rPr>
                <w:rFonts w:ascii="Garamond" w:hAnsi="Garamond"/>
                <w:iCs/>
                <w:sz w:val="21"/>
                <w:szCs w:val="21"/>
              </w:rPr>
              <w:t xml:space="preserve"> billion) against the same reference period last year.</w:t>
            </w:r>
          </w:p>
          <w:p w14:paraId="2B3D6C9D" w14:textId="77777777" w:rsidR="00511AE3" w:rsidRPr="00A32AB2" w:rsidRDefault="00511AE3" w:rsidP="00511AE3">
            <w:pPr>
              <w:spacing w:line="360" w:lineRule="auto"/>
              <w:jc w:val="both"/>
              <w:rPr>
                <w:rFonts w:ascii="Garamond" w:hAnsi="Garamond"/>
                <w:iCs/>
                <w:sz w:val="21"/>
                <w:szCs w:val="21"/>
              </w:rPr>
            </w:pPr>
          </w:p>
          <w:p w14:paraId="6E7C88A5" w14:textId="77777777" w:rsidR="00511AE3" w:rsidRPr="00A32AB2" w:rsidRDefault="00511AE3" w:rsidP="00511AE3">
            <w:pPr>
              <w:spacing w:line="360" w:lineRule="auto"/>
              <w:jc w:val="both"/>
              <w:rPr>
                <w:rFonts w:ascii="Garamond" w:hAnsi="Garamond"/>
                <w:iCs/>
                <w:sz w:val="21"/>
                <w:szCs w:val="21"/>
              </w:rPr>
            </w:pPr>
            <w:r w:rsidRPr="00A32AB2">
              <w:rPr>
                <w:rFonts w:ascii="Garamond" w:hAnsi="Garamond"/>
                <w:iCs/>
                <w:sz w:val="21"/>
                <w:szCs w:val="21"/>
              </w:rPr>
              <w:t xml:space="preserve">The aggregate volume of Euro/Armenian dram transactions carried out during the </w:t>
            </w:r>
            <w:r w:rsidR="007B35DB">
              <w:rPr>
                <w:rFonts w:ascii="Garamond" w:hAnsi="Garamond"/>
                <w:iCs/>
                <w:sz w:val="21"/>
                <w:szCs w:val="21"/>
              </w:rPr>
              <w:t>thir</w:t>
            </w:r>
            <w:r w:rsidR="006346C5">
              <w:rPr>
                <w:rFonts w:ascii="Garamond" w:hAnsi="Garamond"/>
                <w:iCs/>
                <w:sz w:val="21"/>
                <w:szCs w:val="21"/>
              </w:rPr>
              <w:t>d</w:t>
            </w:r>
            <w:r w:rsidR="00523597" w:rsidRPr="00A32AB2">
              <w:rPr>
                <w:rFonts w:ascii="Garamond" w:hAnsi="Garamond"/>
                <w:iCs/>
                <w:sz w:val="21"/>
                <w:szCs w:val="21"/>
              </w:rPr>
              <w:t xml:space="preserve"> </w:t>
            </w:r>
            <w:r w:rsidRPr="00A32AB2">
              <w:rPr>
                <w:rFonts w:ascii="Garamond" w:hAnsi="Garamond"/>
                <w:iCs/>
                <w:sz w:val="21"/>
                <w:szCs w:val="21"/>
              </w:rPr>
              <w:t xml:space="preserve">quarter reached EUR </w:t>
            </w:r>
            <w:r w:rsidR="006346C5">
              <w:rPr>
                <w:rFonts w:ascii="Garamond" w:hAnsi="Garamond"/>
                <w:iCs/>
                <w:sz w:val="21"/>
                <w:szCs w:val="21"/>
              </w:rPr>
              <w:t>2</w:t>
            </w:r>
            <w:r w:rsidR="007B35DB">
              <w:rPr>
                <w:rFonts w:ascii="Garamond" w:hAnsi="Garamond"/>
                <w:iCs/>
                <w:sz w:val="21"/>
                <w:szCs w:val="21"/>
              </w:rPr>
              <w:t>62</w:t>
            </w:r>
            <w:r w:rsidRPr="00A32AB2">
              <w:rPr>
                <w:rFonts w:ascii="Garamond" w:hAnsi="Garamond"/>
                <w:iCs/>
                <w:sz w:val="21"/>
                <w:szCs w:val="21"/>
              </w:rPr>
              <w:t>.</w:t>
            </w:r>
            <w:r w:rsidR="007B35DB">
              <w:rPr>
                <w:rFonts w:ascii="Garamond" w:hAnsi="Garamond"/>
                <w:iCs/>
                <w:sz w:val="21"/>
                <w:szCs w:val="21"/>
              </w:rPr>
              <w:t>65</w:t>
            </w:r>
            <w:r w:rsidRPr="00A32AB2">
              <w:rPr>
                <w:rFonts w:ascii="Garamond" w:hAnsi="Garamond"/>
                <w:iCs/>
                <w:sz w:val="21"/>
                <w:szCs w:val="21"/>
              </w:rPr>
              <w:t xml:space="preserve"> million, </w:t>
            </w:r>
            <w:r w:rsidR="0050397E" w:rsidRPr="00A32AB2">
              <w:rPr>
                <w:rFonts w:ascii="Garamond" w:hAnsi="Garamond"/>
                <w:iCs/>
                <w:sz w:val="21"/>
                <w:szCs w:val="21"/>
              </w:rPr>
              <w:t>which is a</w:t>
            </w:r>
            <w:r w:rsidR="007B35DB">
              <w:rPr>
                <w:rFonts w:ascii="Garamond" w:hAnsi="Garamond"/>
                <w:iCs/>
                <w:sz w:val="21"/>
                <w:szCs w:val="21"/>
              </w:rPr>
              <w:t xml:space="preserve"> 5</w:t>
            </w:r>
            <w:r w:rsidR="0050397E" w:rsidRPr="00A32AB2">
              <w:rPr>
                <w:rFonts w:ascii="Garamond" w:hAnsi="Garamond"/>
                <w:iCs/>
                <w:sz w:val="21"/>
                <w:szCs w:val="21"/>
              </w:rPr>
              <w:t>.</w:t>
            </w:r>
            <w:r w:rsidR="007B35DB">
              <w:rPr>
                <w:rFonts w:ascii="Garamond" w:hAnsi="Garamond"/>
                <w:iCs/>
                <w:sz w:val="21"/>
                <w:szCs w:val="21"/>
              </w:rPr>
              <w:t>01</w:t>
            </w:r>
            <w:r w:rsidR="0050397E" w:rsidRPr="00A32AB2">
              <w:rPr>
                <w:rFonts w:ascii="Garamond" w:hAnsi="Garamond"/>
                <w:iCs/>
                <w:sz w:val="21"/>
                <w:szCs w:val="21"/>
              </w:rPr>
              <w:t xml:space="preserve">% </w:t>
            </w:r>
            <w:r w:rsidR="007B35DB">
              <w:rPr>
                <w:rFonts w:ascii="Garamond" w:hAnsi="Garamond"/>
                <w:iCs/>
                <w:sz w:val="21"/>
                <w:szCs w:val="21"/>
              </w:rPr>
              <w:t xml:space="preserve">decrease </w:t>
            </w:r>
            <w:r w:rsidR="0050397E" w:rsidRPr="00A32AB2">
              <w:rPr>
                <w:rFonts w:ascii="Garamond" w:hAnsi="Garamond"/>
                <w:iCs/>
                <w:sz w:val="21"/>
                <w:szCs w:val="21"/>
              </w:rPr>
              <w:t xml:space="preserve">against </w:t>
            </w:r>
            <w:r w:rsidRPr="00A32AB2">
              <w:rPr>
                <w:rFonts w:ascii="Garamond" w:hAnsi="Garamond"/>
                <w:iCs/>
                <w:sz w:val="21"/>
                <w:szCs w:val="21"/>
              </w:rPr>
              <w:t xml:space="preserve">EUR </w:t>
            </w:r>
            <w:r w:rsidR="00F67D8C">
              <w:rPr>
                <w:rFonts w:ascii="Garamond" w:hAnsi="Garamond"/>
                <w:iCs/>
                <w:sz w:val="21"/>
                <w:szCs w:val="21"/>
              </w:rPr>
              <w:t>2</w:t>
            </w:r>
            <w:r w:rsidR="007B35DB">
              <w:rPr>
                <w:rFonts w:ascii="Garamond" w:hAnsi="Garamond"/>
                <w:iCs/>
                <w:sz w:val="21"/>
                <w:szCs w:val="21"/>
              </w:rPr>
              <w:t>7</w:t>
            </w:r>
            <w:r w:rsidR="00F67D8C">
              <w:rPr>
                <w:rFonts w:ascii="Garamond" w:hAnsi="Garamond"/>
                <w:iCs/>
                <w:sz w:val="21"/>
                <w:szCs w:val="21"/>
              </w:rPr>
              <w:t>6</w:t>
            </w:r>
            <w:r w:rsidRPr="00A32AB2">
              <w:rPr>
                <w:rFonts w:ascii="Garamond" w:hAnsi="Garamond"/>
                <w:iCs/>
                <w:sz w:val="21"/>
                <w:szCs w:val="21"/>
              </w:rPr>
              <w:t>.</w:t>
            </w:r>
            <w:r w:rsidR="00F67D8C">
              <w:rPr>
                <w:rFonts w:ascii="Garamond" w:hAnsi="Garamond"/>
                <w:iCs/>
                <w:sz w:val="21"/>
                <w:szCs w:val="21"/>
              </w:rPr>
              <w:t>74</w:t>
            </w:r>
            <w:r w:rsidRPr="00A32AB2">
              <w:rPr>
                <w:rFonts w:ascii="Garamond" w:hAnsi="Garamond"/>
                <w:iCs/>
                <w:sz w:val="21"/>
                <w:szCs w:val="21"/>
              </w:rPr>
              <w:t xml:space="preserve"> million reported in the </w:t>
            </w:r>
            <w:r w:rsidR="007B35DB">
              <w:rPr>
                <w:rFonts w:ascii="Garamond" w:hAnsi="Garamond"/>
                <w:iCs/>
                <w:sz w:val="21"/>
                <w:szCs w:val="21"/>
              </w:rPr>
              <w:t>thir</w:t>
            </w:r>
            <w:r w:rsidR="00F67D8C">
              <w:rPr>
                <w:rFonts w:ascii="Garamond" w:hAnsi="Garamond"/>
                <w:iCs/>
                <w:sz w:val="21"/>
                <w:szCs w:val="21"/>
              </w:rPr>
              <w:t>d</w:t>
            </w:r>
            <w:r w:rsidRPr="00A32AB2">
              <w:rPr>
                <w:rFonts w:ascii="Garamond" w:hAnsi="Garamond"/>
                <w:iCs/>
                <w:sz w:val="21"/>
                <w:szCs w:val="21"/>
              </w:rPr>
              <w:t xml:space="preserve"> quarter of 201</w:t>
            </w:r>
            <w:r w:rsidR="00523597" w:rsidRPr="00A32AB2">
              <w:rPr>
                <w:rFonts w:ascii="Garamond" w:hAnsi="Garamond"/>
                <w:iCs/>
                <w:sz w:val="21"/>
                <w:szCs w:val="21"/>
              </w:rPr>
              <w:t>5</w:t>
            </w:r>
            <w:r w:rsidRPr="00A32AB2">
              <w:rPr>
                <w:rFonts w:ascii="Garamond" w:hAnsi="Garamond"/>
                <w:iCs/>
                <w:sz w:val="21"/>
                <w:szCs w:val="21"/>
              </w:rPr>
              <w:t>.</w:t>
            </w:r>
          </w:p>
          <w:p w14:paraId="3A9308F8" w14:textId="77777777" w:rsidR="00511AE3" w:rsidRPr="00A32AB2" w:rsidRDefault="00511AE3" w:rsidP="00511AE3">
            <w:pPr>
              <w:spacing w:line="360" w:lineRule="auto"/>
              <w:jc w:val="both"/>
              <w:rPr>
                <w:rFonts w:ascii="Garamond" w:hAnsi="Garamond"/>
                <w:iCs/>
                <w:sz w:val="21"/>
                <w:szCs w:val="21"/>
              </w:rPr>
            </w:pPr>
          </w:p>
          <w:p w14:paraId="35CBE2A5" w14:textId="77777777" w:rsidR="00511AE3" w:rsidRPr="00A32AB2" w:rsidRDefault="00511AE3" w:rsidP="007B35DB">
            <w:pPr>
              <w:spacing w:line="360" w:lineRule="auto"/>
              <w:jc w:val="both"/>
              <w:rPr>
                <w:rFonts w:ascii="Garamond" w:hAnsi="Garamond"/>
                <w:sz w:val="21"/>
                <w:szCs w:val="21"/>
              </w:rPr>
            </w:pPr>
            <w:r w:rsidRPr="00A32AB2">
              <w:rPr>
                <w:rFonts w:ascii="Garamond" w:hAnsi="Garamond"/>
                <w:iCs/>
                <w:sz w:val="21"/>
                <w:szCs w:val="21"/>
              </w:rPr>
              <w:t xml:space="preserve">The aggregate volume of Russian ruble/Armenian dram transactions in the </w:t>
            </w:r>
            <w:r w:rsidR="007B35DB">
              <w:rPr>
                <w:rFonts w:ascii="Garamond" w:hAnsi="Garamond"/>
                <w:iCs/>
                <w:sz w:val="21"/>
                <w:szCs w:val="21"/>
              </w:rPr>
              <w:t>third</w:t>
            </w:r>
            <w:r w:rsidRPr="00A32AB2">
              <w:rPr>
                <w:rFonts w:ascii="Garamond" w:hAnsi="Garamond"/>
                <w:iCs/>
                <w:sz w:val="21"/>
                <w:szCs w:val="21"/>
              </w:rPr>
              <w:t xml:space="preserve"> quarter of 201</w:t>
            </w:r>
            <w:r w:rsidR="0050397E" w:rsidRPr="00A32AB2">
              <w:rPr>
                <w:rFonts w:ascii="Garamond" w:hAnsi="Garamond"/>
                <w:iCs/>
                <w:sz w:val="21"/>
                <w:szCs w:val="21"/>
              </w:rPr>
              <w:t>6</w:t>
            </w:r>
            <w:r w:rsidRPr="00A32AB2">
              <w:rPr>
                <w:rFonts w:ascii="Garamond" w:hAnsi="Garamond"/>
                <w:iCs/>
                <w:sz w:val="21"/>
                <w:szCs w:val="21"/>
              </w:rPr>
              <w:t xml:space="preserve"> totaled RUB </w:t>
            </w:r>
            <w:r w:rsidR="007B35DB">
              <w:rPr>
                <w:rFonts w:ascii="Garamond" w:hAnsi="Garamond"/>
                <w:iCs/>
                <w:sz w:val="21"/>
                <w:szCs w:val="21"/>
              </w:rPr>
              <w:t>21</w:t>
            </w:r>
            <w:r w:rsidRPr="00A32AB2">
              <w:rPr>
                <w:rFonts w:ascii="Garamond" w:hAnsi="Garamond"/>
                <w:iCs/>
                <w:sz w:val="21"/>
                <w:szCs w:val="21"/>
              </w:rPr>
              <w:t>.</w:t>
            </w:r>
            <w:r w:rsidR="007B35DB">
              <w:rPr>
                <w:rFonts w:ascii="Garamond" w:hAnsi="Garamond"/>
                <w:iCs/>
                <w:sz w:val="21"/>
                <w:szCs w:val="21"/>
              </w:rPr>
              <w:t>38</w:t>
            </w:r>
            <w:r w:rsidRPr="00A32AB2">
              <w:rPr>
                <w:rFonts w:ascii="Garamond" w:hAnsi="Garamond"/>
                <w:iCs/>
                <w:sz w:val="21"/>
                <w:szCs w:val="21"/>
              </w:rPr>
              <w:t xml:space="preserve"> billion, </w:t>
            </w:r>
            <w:r w:rsidR="0050397E" w:rsidRPr="00A32AB2">
              <w:rPr>
                <w:rFonts w:ascii="Garamond" w:hAnsi="Garamond"/>
                <w:iCs/>
                <w:sz w:val="21"/>
                <w:szCs w:val="21"/>
              </w:rPr>
              <w:t xml:space="preserve">which represents a </w:t>
            </w:r>
            <w:r w:rsidR="00F67D8C">
              <w:rPr>
                <w:rFonts w:ascii="Garamond" w:hAnsi="Garamond"/>
                <w:iCs/>
                <w:sz w:val="21"/>
                <w:szCs w:val="21"/>
              </w:rPr>
              <w:t>2</w:t>
            </w:r>
            <w:r w:rsidR="007B35DB">
              <w:rPr>
                <w:rFonts w:ascii="Garamond" w:hAnsi="Garamond"/>
                <w:iCs/>
                <w:sz w:val="21"/>
                <w:szCs w:val="21"/>
              </w:rPr>
              <w:t>5</w:t>
            </w:r>
            <w:r w:rsidRPr="00A32AB2">
              <w:rPr>
                <w:rFonts w:ascii="Garamond" w:hAnsi="Garamond"/>
                <w:iCs/>
                <w:sz w:val="21"/>
                <w:szCs w:val="21"/>
              </w:rPr>
              <w:t>.</w:t>
            </w:r>
            <w:r w:rsidR="007B35DB">
              <w:rPr>
                <w:rFonts w:ascii="Garamond" w:hAnsi="Garamond"/>
                <w:iCs/>
                <w:sz w:val="21"/>
                <w:szCs w:val="21"/>
              </w:rPr>
              <w:t>69</w:t>
            </w:r>
            <w:r w:rsidRPr="00A32AB2">
              <w:rPr>
                <w:rFonts w:ascii="Garamond" w:hAnsi="Garamond"/>
                <w:iCs/>
                <w:sz w:val="21"/>
                <w:szCs w:val="21"/>
              </w:rPr>
              <w:t xml:space="preserve">% </w:t>
            </w:r>
            <w:r w:rsidR="0050397E" w:rsidRPr="00A32AB2">
              <w:rPr>
                <w:rFonts w:ascii="Garamond" w:hAnsi="Garamond"/>
                <w:iCs/>
                <w:sz w:val="21"/>
                <w:szCs w:val="21"/>
              </w:rPr>
              <w:t xml:space="preserve">(RUB </w:t>
            </w:r>
            <w:r w:rsidR="00F67D8C">
              <w:rPr>
                <w:rFonts w:ascii="Garamond" w:hAnsi="Garamond"/>
                <w:iCs/>
                <w:sz w:val="21"/>
                <w:szCs w:val="21"/>
              </w:rPr>
              <w:t>1</w:t>
            </w:r>
            <w:r w:rsidR="007B35DB">
              <w:rPr>
                <w:rFonts w:ascii="Garamond" w:hAnsi="Garamond"/>
                <w:iCs/>
                <w:sz w:val="21"/>
                <w:szCs w:val="21"/>
              </w:rPr>
              <w:t>7</w:t>
            </w:r>
            <w:r w:rsidR="0050397E" w:rsidRPr="00A32AB2">
              <w:rPr>
                <w:rFonts w:ascii="Garamond" w:hAnsi="Garamond"/>
                <w:iCs/>
                <w:sz w:val="21"/>
                <w:szCs w:val="21"/>
              </w:rPr>
              <w:t>.</w:t>
            </w:r>
            <w:r w:rsidR="007B35DB">
              <w:rPr>
                <w:rFonts w:ascii="Garamond" w:hAnsi="Garamond"/>
                <w:iCs/>
                <w:sz w:val="21"/>
                <w:szCs w:val="21"/>
              </w:rPr>
              <w:t>0</w:t>
            </w:r>
            <w:r w:rsidR="00F67D8C">
              <w:rPr>
                <w:rFonts w:ascii="Garamond" w:hAnsi="Garamond"/>
                <w:iCs/>
                <w:sz w:val="21"/>
                <w:szCs w:val="21"/>
              </w:rPr>
              <w:t>1</w:t>
            </w:r>
            <w:r w:rsidR="0050397E" w:rsidRPr="00A32AB2">
              <w:rPr>
                <w:rFonts w:ascii="Garamond" w:hAnsi="Garamond"/>
                <w:iCs/>
                <w:sz w:val="21"/>
                <w:szCs w:val="21"/>
              </w:rPr>
              <w:t xml:space="preserve"> billion) incre</w:t>
            </w:r>
            <w:r w:rsidR="00F67D8C">
              <w:rPr>
                <w:rFonts w:ascii="Garamond" w:hAnsi="Garamond"/>
                <w:iCs/>
                <w:sz w:val="21"/>
                <w:szCs w:val="21"/>
              </w:rPr>
              <w:t>ment</w:t>
            </w:r>
            <w:r w:rsidR="0050397E" w:rsidRPr="00A32AB2">
              <w:rPr>
                <w:rFonts w:ascii="Garamond" w:hAnsi="Garamond"/>
                <w:iCs/>
                <w:sz w:val="21"/>
                <w:szCs w:val="21"/>
              </w:rPr>
              <w:t xml:space="preserve"> compared to the relevant figure recorded in the </w:t>
            </w:r>
            <w:r w:rsidR="007B35DB">
              <w:rPr>
                <w:rFonts w:ascii="Garamond" w:hAnsi="Garamond"/>
                <w:iCs/>
                <w:sz w:val="21"/>
                <w:szCs w:val="21"/>
              </w:rPr>
              <w:t>thir</w:t>
            </w:r>
            <w:r w:rsidR="00F67D8C">
              <w:rPr>
                <w:rFonts w:ascii="Garamond" w:hAnsi="Garamond"/>
                <w:iCs/>
                <w:sz w:val="21"/>
                <w:szCs w:val="21"/>
              </w:rPr>
              <w:t>d</w:t>
            </w:r>
            <w:r w:rsidR="0050397E" w:rsidRPr="00A32AB2">
              <w:rPr>
                <w:rFonts w:ascii="Garamond" w:hAnsi="Garamond"/>
                <w:iCs/>
                <w:sz w:val="21"/>
                <w:szCs w:val="21"/>
              </w:rPr>
              <w:t xml:space="preserve"> </w:t>
            </w:r>
            <w:r w:rsidRPr="00A32AB2">
              <w:rPr>
                <w:rFonts w:ascii="Garamond" w:hAnsi="Garamond"/>
                <w:iCs/>
                <w:sz w:val="21"/>
                <w:szCs w:val="21"/>
              </w:rPr>
              <w:t>quarter of 201</w:t>
            </w:r>
            <w:r w:rsidR="0050397E" w:rsidRPr="00A32AB2">
              <w:rPr>
                <w:rFonts w:ascii="Garamond" w:hAnsi="Garamond"/>
                <w:iCs/>
                <w:sz w:val="21"/>
                <w:szCs w:val="21"/>
              </w:rPr>
              <w:t>5</w:t>
            </w:r>
            <w:r w:rsidRPr="00A32AB2">
              <w:rPr>
                <w:rFonts w:ascii="Garamond" w:hAnsi="Garamond"/>
                <w:iCs/>
                <w:sz w:val="21"/>
                <w:szCs w:val="21"/>
              </w:rPr>
              <w:t>.</w:t>
            </w:r>
          </w:p>
        </w:tc>
      </w:tr>
    </w:tbl>
    <w:p w14:paraId="6855F415" w14:textId="77777777" w:rsidR="008D6235" w:rsidRPr="00A32AB2" w:rsidRDefault="008D6235" w:rsidP="0006101A">
      <w:pPr>
        <w:spacing w:line="360" w:lineRule="auto"/>
        <w:jc w:val="both"/>
        <w:rPr>
          <w:rFonts w:ascii="Garamond" w:hAnsi="Garamond"/>
          <w:b/>
          <w:sz w:val="22"/>
          <w:szCs w:val="22"/>
        </w:rPr>
      </w:pPr>
    </w:p>
    <w:p w14:paraId="4481B620" w14:textId="77777777" w:rsidR="004B6C1D" w:rsidRPr="00A32AB2" w:rsidRDefault="004B6C1D" w:rsidP="0006101A">
      <w:pPr>
        <w:spacing w:line="360" w:lineRule="auto"/>
        <w:jc w:val="both"/>
        <w:rPr>
          <w:rFonts w:ascii="Garamond" w:hAnsi="Garamond"/>
          <w:b/>
          <w:sz w:val="22"/>
          <w:szCs w:val="22"/>
        </w:rPr>
      </w:pPr>
      <w:r w:rsidRPr="00A32AB2">
        <w:rPr>
          <w:rFonts w:ascii="Garamond" w:hAnsi="Garamond"/>
          <w:b/>
          <w:sz w:val="22"/>
          <w:szCs w:val="22"/>
        </w:rPr>
        <w:t>3.4. Balance of payments</w:t>
      </w:r>
      <w:r w:rsidR="00D56A1D">
        <w:rPr>
          <w:rStyle w:val="FootnoteReference"/>
          <w:rFonts w:ascii="Garamond" w:hAnsi="Garamond"/>
          <w:b/>
          <w:sz w:val="22"/>
          <w:szCs w:val="22"/>
        </w:rPr>
        <w:footnoteReference w:customMarkFollows="1" w:id="23"/>
        <w:t>24</w:t>
      </w:r>
    </w:p>
    <w:p w14:paraId="3F34C410" w14:textId="77777777" w:rsidR="008B6991" w:rsidRPr="00A32AB2" w:rsidRDefault="008B6991" w:rsidP="0006101A">
      <w:pPr>
        <w:spacing w:line="360" w:lineRule="auto"/>
        <w:jc w:val="both"/>
        <w:rPr>
          <w:rFonts w:ascii="Garamond" w:hAnsi="Garamond"/>
          <w:b/>
          <w:sz w:val="22"/>
          <w:szCs w:val="22"/>
        </w:rPr>
      </w:pPr>
    </w:p>
    <w:p w14:paraId="66527CDE" w14:textId="77777777" w:rsidR="00A705C3" w:rsidRDefault="008B6991" w:rsidP="0006101A">
      <w:pPr>
        <w:spacing w:line="360" w:lineRule="auto"/>
        <w:jc w:val="both"/>
        <w:rPr>
          <w:rFonts w:ascii="Garamond" w:hAnsi="Garamond"/>
          <w:sz w:val="22"/>
          <w:szCs w:val="22"/>
        </w:rPr>
      </w:pPr>
      <w:r w:rsidRPr="00A32AB2">
        <w:rPr>
          <w:rFonts w:ascii="Garamond" w:hAnsi="Garamond"/>
          <w:sz w:val="22"/>
          <w:szCs w:val="22"/>
        </w:rPr>
        <w:t xml:space="preserve">In the </w:t>
      </w:r>
      <w:r w:rsidR="00D56A1D">
        <w:rPr>
          <w:rFonts w:ascii="Garamond" w:hAnsi="Garamond"/>
          <w:sz w:val="22"/>
          <w:szCs w:val="22"/>
        </w:rPr>
        <w:t>thir</w:t>
      </w:r>
      <w:r w:rsidR="00F035F5">
        <w:rPr>
          <w:rFonts w:ascii="Garamond" w:hAnsi="Garamond"/>
          <w:sz w:val="22"/>
          <w:szCs w:val="22"/>
        </w:rPr>
        <w:t>d</w:t>
      </w:r>
      <w:r w:rsidRPr="00A32AB2">
        <w:rPr>
          <w:rFonts w:ascii="Garamond" w:hAnsi="Garamond"/>
          <w:sz w:val="22"/>
          <w:szCs w:val="22"/>
        </w:rPr>
        <w:t xml:space="preserve"> quarter of 2016 the deficit of trade balance </w:t>
      </w:r>
      <w:r w:rsidR="00F035F5">
        <w:rPr>
          <w:rFonts w:ascii="Garamond" w:hAnsi="Garamond"/>
          <w:sz w:val="22"/>
          <w:szCs w:val="22"/>
        </w:rPr>
        <w:t xml:space="preserve">tended to narrow further in the light of somehow recovering </w:t>
      </w:r>
      <w:r w:rsidR="00D56A1D">
        <w:rPr>
          <w:rFonts w:ascii="Garamond" w:hAnsi="Garamond"/>
          <w:sz w:val="22"/>
          <w:szCs w:val="22"/>
        </w:rPr>
        <w:t xml:space="preserve">Armenia’s </w:t>
      </w:r>
      <w:r w:rsidR="00F035F5">
        <w:rPr>
          <w:rFonts w:ascii="Garamond" w:hAnsi="Garamond"/>
          <w:sz w:val="22"/>
          <w:szCs w:val="22"/>
        </w:rPr>
        <w:t xml:space="preserve">external demand and </w:t>
      </w:r>
      <w:r w:rsidR="00F035F5" w:rsidRPr="00F035F5">
        <w:rPr>
          <w:rFonts w:ascii="Garamond" w:hAnsi="Garamond"/>
          <w:sz w:val="22"/>
          <w:szCs w:val="22"/>
        </w:rPr>
        <w:t>continued growth</w:t>
      </w:r>
      <w:r w:rsidR="00F035F5">
        <w:rPr>
          <w:rFonts w:ascii="Garamond" w:hAnsi="Garamond"/>
          <w:sz w:val="22"/>
          <w:szCs w:val="22"/>
        </w:rPr>
        <w:t xml:space="preserve"> of </w:t>
      </w:r>
      <w:r w:rsidR="00F035F5" w:rsidRPr="00F035F5">
        <w:rPr>
          <w:rFonts w:ascii="Garamond" w:hAnsi="Garamond"/>
          <w:sz w:val="22"/>
          <w:szCs w:val="22"/>
        </w:rPr>
        <w:t xml:space="preserve">productivity in </w:t>
      </w:r>
      <w:r w:rsidR="00F035F5">
        <w:rPr>
          <w:rFonts w:ascii="Garamond" w:hAnsi="Garamond"/>
          <w:sz w:val="22"/>
          <w:szCs w:val="22"/>
        </w:rPr>
        <w:t xml:space="preserve">the </w:t>
      </w:r>
      <w:r w:rsidR="00F035F5" w:rsidRPr="00F035F5">
        <w:rPr>
          <w:rFonts w:ascii="Garamond" w:hAnsi="Garamond"/>
          <w:sz w:val="22"/>
          <w:szCs w:val="22"/>
        </w:rPr>
        <w:t>tradable sector</w:t>
      </w:r>
      <w:r w:rsidR="00F035F5">
        <w:rPr>
          <w:rFonts w:ascii="Garamond" w:hAnsi="Garamond"/>
          <w:sz w:val="22"/>
          <w:szCs w:val="22"/>
        </w:rPr>
        <w:t xml:space="preserve"> of the domestic economy. </w:t>
      </w:r>
    </w:p>
    <w:p w14:paraId="058D2F70" w14:textId="77777777" w:rsidR="00A705C3" w:rsidRDefault="00A705C3" w:rsidP="0006101A">
      <w:pPr>
        <w:spacing w:line="360" w:lineRule="auto"/>
        <w:jc w:val="both"/>
        <w:rPr>
          <w:rFonts w:ascii="Garamond" w:hAnsi="Garamond"/>
          <w:sz w:val="22"/>
          <w:szCs w:val="22"/>
        </w:rPr>
      </w:pPr>
    </w:p>
    <w:p w14:paraId="1461868D" w14:textId="77777777" w:rsidR="00A772D2" w:rsidRDefault="00D154B0" w:rsidP="0006101A">
      <w:pPr>
        <w:spacing w:line="360" w:lineRule="auto"/>
        <w:jc w:val="both"/>
        <w:rPr>
          <w:rFonts w:ascii="Garamond" w:hAnsi="Garamond"/>
          <w:sz w:val="22"/>
          <w:szCs w:val="22"/>
        </w:rPr>
      </w:pPr>
      <w:r w:rsidRPr="00767DAA">
        <w:rPr>
          <w:rFonts w:ascii="Garamond" w:hAnsi="Garamond"/>
          <w:sz w:val="22"/>
          <w:szCs w:val="22"/>
        </w:rPr>
        <w:t>Thus, a</w:t>
      </w:r>
      <w:r w:rsidR="00767DAA">
        <w:rPr>
          <w:rFonts w:ascii="Garamond" w:hAnsi="Garamond"/>
          <w:sz w:val="22"/>
          <w:szCs w:val="22"/>
        </w:rPr>
        <w:t xml:space="preserve"> 19</w:t>
      </w:r>
      <w:r w:rsidRPr="00767DAA">
        <w:rPr>
          <w:rFonts w:ascii="Garamond" w:hAnsi="Garamond"/>
          <w:sz w:val="22"/>
          <w:szCs w:val="22"/>
        </w:rPr>
        <w:t>.</w:t>
      </w:r>
      <w:r w:rsidR="00767DAA">
        <w:rPr>
          <w:rFonts w:ascii="Garamond" w:hAnsi="Garamond"/>
          <w:sz w:val="22"/>
          <w:szCs w:val="22"/>
        </w:rPr>
        <w:t>3</w:t>
      </w:r>
      <w:r w:rsidRPr="00767DAA">
        <w:rPr>
          <w:rFonts w:ascii="Garamond" w:hAnsi="Garamond"/>
          <w:sz w:val="22"/>
          <w:szCs w:val="22"/>
        </w:rPr>
        <w:t>% y/y increase in the dollar value of export</w:t>
      </w:r>
      <w:r w:rsidR="00767DAA">
        <w:rPr>
          <w:rStyle w:val="FootnoteReference"/>
          <w:rFonts w:ascii="Garamond" w:hAnsi="Garamond"/>
          <w:sz w:val="22"/>
          <w:szCs w:val="22"/>
        </w:rPr>
        <w:footnoteReference w:customMarkFollows="1" w:id="24"/>
        <w:t>25</w:t>
      </w:r>
      <w:r w:rsidRPr="00767DAA">
        <w:rPr>
          <w:rFonts w:ascii="Garamond" w:hAnsi="Garamond"/>
          <w:sz w:val="22"/>
          <w:szCs w:val="22"/>
        </w:rPr>
        <w:t xml:space="preserve"> in the </w:t>
      </w:r>
      <w:r w:rsidR="00767DAA">
        <w:rPr>
          <w:rFonts w:ascii="Garamond" w:hAnsi="Garamond"/>
          <w:sz w:val="22"/>
          <w:szCs w:val="22"/>
        </w:rPr>
        <w:t>thir</w:t>
      </w:r>
      <w:r w:rsidRPr="00767DAA">
        <w:rPr>
          <w:rFonts w:ascii="Garamond" w:hAnsi="Garamond"/>
          <w:sz w:val="22"/>
          <w:szCs w:val="22"/>
        </w:rPr>
        <w:t>d quarter of 2016 was mainly due to the</w:t>
      </w:r>
      <w:r>
        <w:rPr>
          <w:rFonts w:ascii="Garamond" w:hAnsi="Garamond"/>
          <w:sz w:val="22"/>
          <w:szCs w:val="22"/>
        </w:rPr>
        <w:t xml:space="preserve"> grown export of </w:t>
      </w:r>
      <w:r w:rsidR="00587E3E">
        <w:rPr>
          <w:rFonts w:ascii="Garamond" w:hAnsi="Garamond"/>
          <w:sz w:val="22"/>
          <w:szCs w:val="22"/>
        </w:rPr>
        <w:t>item “Precious and semiprecious stones, metals and articles thereof”</w:t>
      </w:r>
      <w:r w:rsidR="00587E3E">
        <w:rPr>
          <w:rStyle w:val="FootnoteReference"/>
          <w:rFonts w:ascii="Garamond" w:hAnsi="Garamond"/>
          <w:sz w:val="22"/>
          <w:szCs w:val="22"/>
        </w:rPr>
        <w:footnoteReference w:customMarkFollows="1" w:id="25"/>
        <w:t>26</w:t>
      </w:r>
      <w:r w:rsidR="00587E3E">
        <w:rPr>
          <w:rFonts w:ascii="Garamond" w:hAnsi="Garamond"/>
          <w:sz w:val="22"/>
          <w:szCs w:val="22"/>
        </w:rPr>
        <w:t xml:space="preserve">. </w:t>
      </w:r>
      <w:r w:rsidR="00F95F2A">
        <w:rPr>
          <w:rFonts w:ascii="Garamond" w:hAnsi="Garamond"/>
          <w:sz w:val="22"/>
          <w:szCs w:val="22"/>
        </w:rPr>
        <w:t>C</w:t>
      </w:r>
      <w:r w:rsidRPr="00D154B0">
        <w:rPr>
          <w:rFonts w:ascii="Garamond" w:hAnsi="Garamond"/>
          <w:sz w:val="22"/>
          <w:szCs w:val="22"/>
        </w:rPr>
        <w:t xml:space="preserve">onsumer </w:t>
      </w:r>
      <w:r>
        <w:rPr>
          <w:rFonts w:ascii="Garamond" w:hAnsi="Garamond"/>
          <w:sz w:val="22"/>
          <w:szCs w:val="22"/>
        </w:rPr>
        <w:t xml:space="preserve">goods and </w:t>
      </w:r>
      <w:r w:rsidR="00F95F2A">
        <w:rPr>
          <w:rFonts w:ascii="Garamond" w:hAnsi="Garamond"/>
          <w:sz w:val="22"/>
          <w:szCs w:val="22"/>
        </w:rPr>
        <w:t>intermediate consumption goods also contributed positively to the export growth</w:t>
      </w:r>
      <w:r w:rsidRPr="00D154B0">
        <w:rPr>
          <w:rFonts w:ascii="Garamond" w:hAnsi="Garamond"/>
          <w:sz w:val="22"/>
          <w:szCs w:val="22"/>
        </w:rPr>
        <w:t xml:space="preserve">. </w:t>
      </w:r>
    </w:p>
    <w:p w14:paraId="7C737ECC" w14:textId="77777777" w:rsidR="00A772D2" w:rsidRDefault="00A772D2" w:rsidP="0006101A">
      <w:pPr>
        <w:spacing w:line="360" w:lineRule="auto"/>
        <w:jc w:val="both"/>
        <w:rPr>
          <w:rFonts w:ascii="Garamond" w:hAnsi="Garamond"/>
          <w:sz w:val="22"/>
          <w:szCs w:val="22"/>
        </w:rPr>
      </w:pPr>
    </w:p>
    <w:p w14:paraId="75D4656C" w14:textId="77777777" w:rsidR="00F45A7D" w:rsidRDefault="00F45A7D" w:rsidP="0006101A">
      <w:pPr>
        <w:spacing w:line="360" w:lineRule="auto"/>
        <w:jc w:val="both"/>
        <w:rPr>
          <w:rFonts w:ascii="Garamond" w:hAnsi="Garamond"/>
          <w:sz w:val="22"/>
          <w:szCs w:val="22"/>
        </w:rPr>
      </w:pPr>
      <w:r>
        <w:rPr>
          <w:rFonts w:ascii="Garamond" w:hAnsi="Garamond"/>
          <w:sz w:val="22"/>
          <w:szCs w:val="22"/>
        </w:rPr>
        <w:t>T</w:t>
      </w:r>
      <w:r w:rsidR="00E71524" w:rsidRPr="00E71524">
        <w:rPr>
          <w:rFonts w:ascii="Garamond" w:hAnsi="Garamond"/>
          <w:sz w:val="22"/>
          <w:szCs w:val="22"/>
        </w:rPr>
        <w:t xml:space="preserve">rends </w:t>
      </w:r>
      <w:r w:rsidR="00E71524">
        <w:rPr>
          <w:rFonts w:ascii="Garamond" w:hAnsi="Garamond"/>
          <w:sz w:val="22"/>
          <w:szCs w:val="22"/>
        </w:rPr>
        <w:t xml:space="preserve">of recovering </w:t>
      </w:r>
      <w:r w:rsidR="00E71524" w:rsidRPr="00E71524">
        <w:rPr>
          <w:rFonts w:ascii="Garamond" w:hAnsi="Garamond"/>
          <w:sz w:val="22"/>
          <w:szCs w:val="22"/>
        </w:rPr>
        <w:t>imports of consumer and investment goods</w:t>
      </w:r>
      <w:r w:rsidR="00E71524">
        <w:rPr>
          <w:rFonts w:ascii="Garamond" w:hAnsi="Garamond"/>
          <w:sz w:val="22"/>
          <w:szCs w:val="22"/>
        </w:rPr>
        <w:t xml:space="preserve"> </w:t>
      </w:r>
      <w:r w:rsidR="00442FCA">
        <w:rPr>
          <w:rFonts w:ascii="Garamond" w:hAnsi="Garamond"/>
          <w:sz w:val="22"/>
          <w:szCs w:val="22"/>
        </w:rPr>
        <w:t xml:space="preserve">persisted in the third quarter of 2016 </w:t>
      </w:r>
      <w:r w:rsidR="00E71524">
        <w:rPr>
          <w:rFonts w:ascii="Garamond" w:hAnsi="Garamond"/>
          <w:sz w:val="22"/>
          <w:szCs w:val="22"/>
        </w:rPr>
        <w:t xml:space="preserve">amid gradually improving </w:t>
      </w:r>
      <w:r w:rsidR="00E71524" w:rsidRPr="00E71524">
        <w:rPr>
          <w:rFonts w:ascii="Garamond" w:hAnsi="Garamond"/>
          <w:sz w:val="22"/>
          <w:szCs w:val="22"/>
        </w:rPr>
        <w:t>domestic demand</w:t>
      </w:r>
      <w:r>
        <w:rPr>
          <w:rFonts w:ascii="Garamond" w:hAnsi="Garamond"/>
          <w:sz w:val="22"/>
          <w:szCs w:val="22"/>
        </w:rPr>
        <w:t>.</w:t>
      </w:r>
      <w:r w:rsidR="00E71524">
        <w:rPr>
          <w:rFonts w:ascii="Garamond" w:hAnsi="Garamond"/>
          <w:sz w:val="22"/>
          <w:szCs w:val="22"/>
        </w:rPr>
        <w:t xml:space="preserve"> </w:t>
      </w:r>
      <w:r w:rsidR="003D3B6B" w:rsidRPr="003D3B6B">
        <w:rPr>
          <w:rFonts w:ascii="Garamond" w:hAnsi="Garamond"/>
          <w:sz w:val="22"/>
          <w:szCs w:val="22"/>
        </w:rPr>
        <w:t xml:space="preserve">Import of raw materials had a negative </w:t>
      </w:r>
      <w:r w:rsidR="003D3B6B">
        <w:rPr>
          <w:rFonts w:ascii="Garamond" w:hAnsi="Garamond"/>
          <w:sz w:val="22"/>
          <w:szCs w:val="22"/>
        </w:rPr>
        <w:t xml:space="preserve">contribution to </w:t>
      </w:r>
      <w:r w:rsidR="003D3B6B" w:rsidRPr="003D3B6B">
        <w:rPr>
          <w:rFonts w:ascii="Garamond" w:hAnsi="Garamond"/>
          <w:sz w:val="22"/>
          <w:szCs w:val="22"/>
        </w:rPr>
        <w:t>imports</w:t>
      </w:r>
      <w:r w:rsidR="003D3B6B">
        <w:rPr>
          <w:rFonts w:ascii="Garamond" w:hAnsi="Garamond"/>
          <w:sz w:val="22"/>
          <w:szCs w:val="22"/>
        </w:rPr>
        <w:t>, so t</w:t>
      </w:r>
      <w:r>
        <w:rPr>
          <w:rFonts w:ascii="Garamond" w:hAnsi="Garamond"/>
          <w:sz w:val="22"/>
          <w:szCs w:val="22"/>
        </w:rPr>
        <w:t xml:space="preserve">he </w:t>
      </w:r>
      <w:r w:rsidR="003D3B6B">
        <w:rPr>
          <w:rFonts w:ascii="Garamond" w:hAnsi="Garamond"/>
          <w:sz w:val="22"/>
          <w:szCs w:val="22"/>
        </w:rPr>
        <w:t>third</w:t>
      </w:r>
      <w:r>
        <w:rPr>
          <w:rFonts w:ascii="Garamond" w:hAnsi="Garamond"/>
          <w:sz w:val="22"/>
          <w:szCs w:val="22"/>
        </w:rPr>
        <w:t xml:space="preserve"> quarter </w:t>
      </w:r>
      <w:r w:rsidR="003D3B6B">
        <w:rPr>
          <w:rFonts w:ascii="Garamond" w:hAnsi="Garamond"/>
          <w:sz w:val="22"/>
          <w:szCs w:val="22"/>
        </w:rPr>
        <w:t>posted 4</w:t>
      </w:r>
      <w:r w:rsidRPr="00E71524">
        <w:rPr>
          <w:rFonts w:ascii="Garamond" w:hAnsi="Garamond"/>
          <w:sz w:val="22"/>
          <w:szCs w:val="22"/>
        </w:rPr>
        <w:t>.</w:t>
      </w:r>
      <w:r w:rsidR="003D3B6B">
        <w:rPr>
          <w:rFonts w:ascii="Garamond" w:hAnsi="Garamond"/>
          <w:sz w:val="22"/>
          <w:szCs w:val="22"/>
        </w:rPr>
        <w:t>8</w:t>
      </w:r>
      <w:r w:rsidRPr="00E71524">
        <w:rPr>
          <w:rFonts w:ascii="Garamond" w:hAnsi="Garamond"/>
          <w:sz w:val="22"/>
          <w:szCs w:val="22"/>
        </w:rPr>
        <w:t>%</w:t>
      </w:r>
      <w:r>
        <w:rPr>
          <w:rFonts w:ascii="Garamond" w:hAnsi="Garamond"/>
          <w:sz w:val="22"/>
          <w:szCs w:val="22"/>
        </w:rPr>
        <w:t xml:space="preserve"> y/y </w:t>
      </w:r>
      <w:r w:rsidR="003D3B6B">
        <w:rPr>
          <w:rFonts w:ascii="Garamond" w:hAnsi="Garamond"/>
          <w:sz w:val="22"/>
          <w:szCs w:val="22"/>
        </w:rPr>
        <w:t xml:space="preserve">increase in </w:t>
      </w:r>
      <w:r>
        <w:rPr>
          <w:rFonts w:ascii="Garamond" w:hAnsi="Garamond"/>
          <w:sz w:val="22"/>
          <w:szCs w:val="22"/>
        </w:rPr>
        <w:t xml:space="preserve">the </w:t>
      </w:r>
      <w:r w:rsidR="00E71524" w:rsidRPr="00E71524">
        <w:rPr>
          <w:rFonts w:ascii="Garamond" w:hAnsi="Garamond"/>
          <w:sz w:val="22"/>
          <w:szCs w:val="22"/>
        </w:rPr>
        <w:t>dollar value of import</w:t>
      </w:r>
      <w:r w:rsidR="003D3B6B">
        <w:rPr>
          <w:rFonts w:ascii="Garamond" w:hAnsi="Garamond"/>
          <w:sz w:val="22"/>
          <w:szCs w:val="22"/>
        </w:rPr>
        <w:t>s</w:t>
      </w:r>
      <w:r>
        <w:rPr>
          <w:rFonts w:ascii="Garamond" w:hAnsi="Garamond"/>
          <w:sz w:val="22"/>
          <w:szCs w:val="22"/>
        </w:rPr>
        <w:t xml:space="preserve">. </w:t>
      </w:r>
    </w:p>
    <w:p w14:paraId="7043D040" w14:textId="77777777" w:rsidR="00F45A7D" w:rsidRDefault="00F45A7D" w:rsidP="0006101A">
      <w:pPr>
        <w:spacing w:line="360" w:lineRule="auto"/>
        <w:jc w:val="both"/>
        <w:rPr>
          <w:rFonts w:ascii="Garamond" w:hAnsi="Garamond"/>
          <w:sz w:val="22"/>
          <w:szCs w:val="22"/>
        </w:rPr>
      </w:pPr>
    </w:p>
    <w:p w14:paraId="7499165E" w14:textId="77777777" w:rsidR="00FE4604" w:rsidRDefault="00561725" w:rsidP="0006101A">
      <w:pPr>
        <w:spacing w:line="360" w:lineRule="auto"/>
        <w:jc w:val="both"/>
        <w:rPr>
          <w:rFonts w:ascii="Garamond" w:hAnsi="Garamond"/>
          <w:sz w:val="22"/>
          <w:szCs w:val="22"/>
        </w:rPr>
      </w:pPr>
      <w:r>
        <w:rPr>
          <w:rFonts w:ascii="Garamond" w:hAnsi="Garamond"/>
          <w:sz w:val="22"/>
          <w:szCs w:val="22"/>
        </w:rPr>
        <w:t xml:space="preserve">In the </w:t>
      </w:r>
      <w:r w:rsidR="003D3B6B">
        <w:rPr>
          <w:rFonts w:ascii="Garamond" w:hAnsi="Garamond"/>
          <w:sz w:val="22"/>
          <w:szCs w:val="22"/>
        </w:rPr>
        <w:t>thir</w:t>
      </w:r>
      <w:r>
        <w:rPr>
          <w:rFonts w:ascii="Garamond" w:hAnsi="Garamond"/>
          <w:sz w:val="22"/>
          <w:szCs w:val="22"/>
        </w:rPr>
        <w:t xml:space="preserve">d quarter of 2016 </w:t>
      </w:r>
      <w:r w:rsidRPr="003F3BA2">
        <w:rPr>
          <w:rFonts w:ascii="Garamond" w:hAnsi="Garamond"/>
          <w:sz w:val="22"/>
          <w:szCs w:val="22"/>
        </w:rPr>
        <w:t xml:space="preserve">the </w:t>
      </w:r>
      <w:r>
        <w:rPr>
          <w:rFonts w:ascii="Garamond" w:hAnsi="Garamond"/>
          <w:sz w:val="22"/>
          <w:szCs w:val="22"/>
        </w:rPr>
        <w:t>deficit of trade balance</w:t>
      </w:r>
      <w:r w:rsidR="00767DAA">
        <w:rPr>
          <w:rStyle w:val="FootnoteReference"/>
          <w:rFonts w:ascii="Garamond" w:hAnsi="Garamond"/>
          <w:sz w:val="22"/>
          <w:szCs w:val="22"/>
        </w:rPr>
        <w:footnoteReference w:customMarkFollows="1" w:id="26"/>
        <w:t>27</w:t>
      </w:r>
      <w:r w:rsidRPr="003F3BA2">
        <w:rPr>
          <w:rFonts w:ascii="Garamond" w:hAnsi="Garamond"/>
          <w:sz w:val="22"/>
          <w:szCs w:val="22"/>
        </w:rPr>
        <w:t xml:space="preserve"> </w:t>
      </w:r>
      <w:r>
        <w:rPr>
          <w:rFonts w:ascii="Garamond" w:hAnsi="Garamond"/>
          <w:sz w:val="22"/>
          <w:szCs w:val="22"/>
        </w:rPr>
        <w:t>shrank by USD</w:t>
      </w:r>
      <w:r w:rsidRPr="003F3BA2">
        <w:rPr>
          <w:rFonts w:ascii="Garamond" w:hAnsi="Garamond"/>
          <w:sz w:val="22"/>
          <w:szCs w:val="22"/>
        </w:rPr>
        <w:t xml:space="preserve"> </w:t>
      </w:r>
      <w:r w:rsidR="003D3B6B">
        <w:rPr>
          <w:rFonts w:ascii="Garamond" w:hAnsi="Garamond"/>
          <w:sz w:val="22"/>
          <w:szCs w:val="22"/>
        </w:rPr>
        <w:t>47</w:t>
      </w:r>
      <w:r w:rsidRPr="003F3BA2">
        <w:rPr>
          <w:rFonts w:ascii="Garamond" w:hAnsi="Garamond"/>
          <w:sz w:val="22"/>
          <w:szCs w:val="22"/>
        </w:rPr>
        <w:t>.</w:t>
      </w:r>
      <w:r w:rsidR="003D3B6B">
        <w:rPr>
          <w:rFonts w:ascii="Garamond" w:hAnsi="Garamond"/>
          <w:sz w:val="22"/>
          <w:szCs w:val="22"/>
        </w:rPr>
        <w:t>4</w:t>
      </w:r>
      <w:r w:rsidRPr="003F3BA2">
        <w:rPr>
          <w:rFonts w:ascii="Garamond" w:hAnsi="Garamond"/>
          <w:sz w:val="22"/>
          <w:szCs w:val="22"/>
        </w:rPr>
        <w:t xml:space="preserve"> million </w:t>
      </w:r>
      <w:r>
        <w:rPr>
          <w:rFonts w:ascii="Garamond" w:hAnsi="Garamond"/>
          <w:sz w:val="22"/>
          <w:szCs w:val="22"/>
        </w:rPr>
        <w:t>to USD</w:t>
      </w:r>
      <w:r w:rsidRPr="003F3BA2">
        <w:rPr>
          <w:rFonts w:ascii="Garamond" w:hAnsi="Garamond"/>
          <w:sz w:val="22"/>
          <w:szCs w:val="22"/>
        </w:rPr>
        <w:t xml:space="preserve"> </w:t>
      </w:r>
      <w:r w:rsidR="003D3B6B">
        <w:rPr>
          <w:rFonts w:ascii="Garamond" w:hAnsi="Garamond"/>
          <w:sz w:val="22"/>
          <w:szCs w:val="22"/>
        </w:rPr>
        <w:t>228</w:t>
      </w:r>
      <w:r w:rsidRPr="003F3BA2">
        <w:rPr>
          <w:rFonts w:ascii="Garamond" w:hAnsi="Garamond"/>
          <w:sz w:val="22"/>
          <w:szCs w:val="22"/>
        </w:rPr>
        <w:t>.</w:t>
      </w:r>
      <w:r w:rsidR="003D3B6B">
        <w:rPr>
          <w:rFonts w:ascii="Garamond" w:hAnsi="Garamond"/>
          <w:sz w:val="22"/>
          <w:szCs w:val="22"/>
        </w:rPr>
        <w:t>0</w:t>
      </w:r>
      <w:r w:rsidRPr="003F3BA2">
        <w:rPr>
          <w:rFonts w:ascii="Garamond" w:hAnsi="Garamond"/>
          <w:sz w:val="22"/>
          <w:szCs w:val="22"/>
        </w:rPr>
        <w:t xml:space="preserve"> million</w:t>
      </w:r>
      <w:r>
        <w:rPr>
          <w:rFonts w:ascii="Garamond" w:hAnsi="Garamond"/>
          <w:sz w:val="22"/>
          <w:szCs w:val="22"/>
        </w:rPr>
        <w:t xml:space="preserve"> as </w:t>
      </w:r>
      <w:r w:rsidR="003F3BA2" w:rsidRPr="003F3BA2">
        <w:rPr>
          <w:rFonts w:ascii="Garamond" w:hAnsi="Garamond"/>
          <w:sz w:val="22"/>
          <w:szCs w:val="22"/>
        </w:rPr>
        <w:t xml:space="preserve">a result of </w:t>
      </w:r>
      <w:r w:rsidR="003D3B6B">
        <w:rPr>
          <w:rFonts w:ascii="Garamond" w:hAnsi="Garamond"/>
          <w:sz w:val="22"/>
          <w:szCs w:val="22"/>
        </w:rPr>
        <w:t>outgrown e</w:t>
      </w:r>
      <w:r w:rsidR="003F3BA2" w:rsidRPr="003F3BA2">
        <w:rPr>
          <w:rFonts w:ascii="Garamond" w:hAnsi="Garamond"/>
          <w:sz w:val="22"/>
          <w:szCs w:val="22"/>
        </w:rPr>
        <w:t xml:space="preserve">xport. </w:t>
      </w:r>
      <w:r w:rsidR="003D3B6B" w:rsidRPr="003D3B6B">
        <w:rPr>
          <w:rFonts w:ascii="Garamond" w:hAnsi="Garamond"/>
          <w:sz w:val="22"/>
          <w:szCs w:val="22"/>
        </w:rPr>
        <w:t xml:space="preserve">The net inflow of remittances </w:t>
      </w:r>
      <w:r w:rsidR="003D3B6B">
        <w:rPr>
          <w:rFonts w:ascii="Garamond" w:hAnsi="Garamond"/>
          <w:sz w:val="22"/>
          <w:szCs w:val="22"/>
        </w:rPr>
        <w:t xml:space="preserve">persisted </w:t>
      </w:r>
      <w:r w:rsidR="003D3B6B" w:rsidRPr="003D3B6B">
        <w:rPr>
          <w:rFonts w:ascii="Garamond" w:hAnsi="Garamond"/>
          <w:sz w:val="22"/>
          <w:szCs w:val="22"/>
        </w:rPr>
        <w:t xml:space="preserve">almost at the </w:t>
      </w:r>
      <w:r w:rsidR="003D3B6B">
        <w:rPr>
          <w:rFonts w:ascii="Garamond" w:hAnsi="Garamond"/>
          <w:sz w:val="22"/>
          <w:szCs w:val="22"/>
        </w:rPr>
        <w:t xml:space="preserve">same </w:t>
      </w:r>
      <w:r w:rsidR="003D3B6B" w:rsidRPr="003D3B6B">
        <w:rPr>
          <w:rFonts w:ascii="Garamond" w:hAnsi="Garamond"/>
          <w:sz w:val="22"/>
          <w:szCs w:val="22"/>
        </w:rPr>
        <w:t xml:space="preserve">level </w:t>
      </w:r>
      <w:r w:rsidR="003D3B6B">
        <w:rPr>
          <w:rFonts w:ascii="Garamond" w:hAnsi="Garamond"/>
          <w:sz w:val="22"/>
          <w:szCs w:val="22"/>
        </w:rPr>
        <w:t xml:space="preserve">reported for </w:t>
      </w:r>
      <w:r w:rsidR="003D3B6B" w:rsidRPr="003D3B6B">
        <w:rPr>
          <w:rFonts w:ascii="Garamond" w:hAnsi="Garamond"/>
          <w:sz w:val="22"/>
          <w:szCs w:val="22"/>
        </w:rPr>
        <w:t xml:space="preserve">the </w:t>
      </w:r>
      <w:r w:rsidR="003D3B6B">
        <w:rPr>
          <w:rFonts w:ascii="Garamond" w:hAnsi="Garamond"/>
          <w:sz w:val="22"/>
          <w:szCs w:val="22"/>
        </w:rPr>
        <w:t>third quarter of 2015</w:t>
      </w:r>
      <w:r w:rsidR="003D3B6B" w:rsidRPr="003D3B6B">
        <w:rPr>
          <w:rFonts w:ascii="Garamond" w:hAnsi="Garamond"/>
          <w:sz w:val="22"/>
          <w:szCs w:val="22"/>
        </w:rPr>
        <w:t xml:space="preserve">, driven by the gradual recovery of the Russian economy and </w:t>
      </w:r>
      <w:r w:rsidR="003D3B6B">
        <w:rPr>
          <w:rFonts w:ascii="Garamond" w:hAnsi="Garamond"/>
          <w:sz w:val="22"/>
          <w:szCs w:val="22"/>
        </w:rPr>
        <w:t xml:space="preserve">because </w:t>
      </w:r>
      <w:r w:rsidR="003D3B6B" w:rsidRPr="003D3B6B">
        <w:rPr>
          <w:rFonts w:ascii="Garamond" w:hAnsi="Garamond"/>
          <w:sz w:val="22"/>
          <w:szCs w:val="22"/>
        </w:rPr>
        <w:t xml:space="preserve">the </w:t>
      </w:r>
      <w:r w:rsidR="003D3B6B">
        <w:rPr>
          <w:rFonts w:ascii="Garamond" w:hAnsi="Garamond"/>
          <w:sz w:val="22"/>
          <w:szCs w:val="22"/>
        </w:rPr>
        <w:t xml:space="preserve">impact of the </w:t>
      </w:r>
      <w:r w:rsidR="003D3B6B" w:rsidRPr="003D3B6B">
        <w:rPr>
          <w:rFonts w:ascii="Garamond" w:hAnsi="Garamond"/>
          <w:sz w:val="22"/>
          <w:szCs w:val="22"/>
        </w:rPr>
        <w:t xml:space="preserve">ruble </w:t>
      </w:r>
      <w:r w:rsidR="003D3B6B">
        <w:rPr>
          <w:rFonts w:ascii="Garamond" w:hAnsi="Garamond"/>
          <w:sz w:val="22"/>
          <w:szCs w:val="22"/>
        </w:rPr>
        <w:t xml:space="preserve">exchange rate depreciation phased out. </w:t>
      </w:r>
      <w:r w:rsidR="003D3B6B" w:rsidRPr="003D3B6B">
        <w:rPr>
          <w:rFonts w:ascii="Garamond" w:hAnsi="Garamond"/>
          <w:sz w:val="22"/>
          <w:szCs w:val="22"/>
        </w:rPr>
        <w:t xml:space="preserve">The </w:t>
      </w:r>
      <w:r w:rsidR="003D3B6B">
        <w:rPr>
          <w:rFonts w:ascii="Garamond" w:hAnsi="Garamond"/>
          <w:sz w:val="22"/>
          <w:szCs w:val="22"/>
        </w:rPr>
        <w:t xml:space="preserve">increased </w:t>
      </w:r>
      <w:r w:rsidR="003D3B6B" w:rsidRPr="003D3B6B">
        <w:rPr>
          <w:rFonts w:ascii="Garamond" w:hAnsi="Garamond"/>
          <w:sz w:val="22"/>
          <w:szCs w:val="22"/>
        </w:rPr>
        <w:t xml:space="preserve">negative </w:t>
      </w:r>
      <w:r w:rsidR="003D3B6B">
        <w:rPr>
          <w:rFonts w:ascii="Garamond" w:hAnsi="Garamond"/>
          <w:sz w:val="22"/>
          <w:szCs w:val="22"/>
        </w:rPr>
        <w:t xml:space="preserve">balance on </w:t>
      </w:r>
      <w:r w:rsidR="003D3B6B" w:rsidRPr="003D3B6B">
        <w:rPr>
          <w:rFonts w:ascii="Garamond" w:hAnsi="Garamond"/>
          <w:sz w:val="22"/>
          <w:szCs w:val="22"/>
        </w:rPr>
        <w:t xml:space="preserve">investment income of the current account </w:t>
      </w:r>
      <w:r w:rsidR="00FA6FA7">
        <w:rPr>
          <w:rFonts w:ascii="Garamond" w:hAnsi="Garamond"/>
          <w:sz w:val="22"/>
          <w:szCs w:val="22"/>
        </w:rPr>
        <w:t xml:space="preserve">contributed to the worsening of the current account </w:t>
      </w:r>
      <w:r w:rsidR="003D3B6B" w:rsidRPr="003D3B6B">
        <w:rPr>
          <w:rFonts w:ascii="Garamond" w:hAnsi="Garamond"/>
          <w:sz w:val="22"/>
          <w:szCs w:val="22"/>
        </w:rPr>
        <w:t xml:space="preserve">deficit </w:t>
      </w:r>
      <w:r w:rsidR="00FA6FA7">
        <w:rPr>
          <w:rFonts w:ascii="Garamond" w:hAnsi="Garamond"/>
          <w:sz w:val="22"/>
          <w:szCs w:val="22"/>
        </w:rPr>
        <w:t xml:space="preserve">relative </w:t>
      </w:r>
      <w:r w:rsidR="003D3B6B" w:rsidRPr="003D3B6B">
        <w:rPr>
          <w:rFonts w:ascii="Garamond" w:hAnsi="Garamond"/>
          <w:sz w:val="22"/>
          <w:szCs w:val="22"/>
        </w:rPr>
        <w:t>to the third quarter last year.</w:t>
      </w:r>
      <w:r w:rsidR="003F3BA2" w:rsidRPr="003F3BA2">
        <w:rPr>
          <w:rFonts w:ascii="Garamond" w:hAnsi="Garamond"/>
          <w:sz w:val="22"/>
          <w:szCs w:val="22"/>
        </w:rPr>
        <w:t xml:space="preserve"> As a result</w:t>
      </w:r>
      <w:r w:rsidR="00F0568A">
        <w:rPr>
          <w:rFonts w:ascii="Garamond" w:hAnsi="Garamond"/>
          <w:sz w:val="22"/>
          <w:szCs w:val="22"/>
        </w:rPr>
        <w:t xml:space="preserve"> of the aforementioned developments</w:t>
      </w:r>
      <w:r w:rsidR="003F3BA2" w:rsidRPr="003F3BA2">
        <w:rPr>
          <w:rFonts w:ascii="Garamond" w:hAnsi="Garamond"/>
          <w:sz w:val="22"/>
          <w:szCs w:val="22"/>
        </w:rPr>
        <w:t xml:space="preserve">, the current account </w:t>
      </w:r>
      <w:r w:rsidR="00621421">
        <w:rPr>
          <w:rFonts w:ascii="Garamond" w:hAnsi="Garamond"/>
          <w:sz w:val="22"/>
          <w:szCs w:val="22"/>
        </w:rPr>
        <w:t xml:space="preserve">posted </w:t>
      </w:r>
      <w:r w:rsidR="00F0568A">
        <w:rPr>
          <w:rFonts w:ascii="Garamond" w:hAnsi="Garamond"/>
          <w:sz w:val="22"/>
          <w:szCs w:val="22"/>
        </w:rPr>
        <w:t xml:space="preserve">a small </w:t>
      </w:r>
      <w:r w:rsidR="003F3BA2" w:rsidRPr="003F3BA2">
        <w:rPr>
          <w:rFonts w:ascii="Garamond" w:hAnsi="Garamond"/>
          <w:sz w:val="22"/>
          <w:szCs w:val="22"/>
        </w:rPr>
        <w:t xml:space="preserve">negative balance of </w:t>
      </w:r>
      <w:r w:rsidR="00F0568A">
        <w:rPr>
          <w:rFonts w:ascii="Garamond" w:hAnsi="Garamond"/>
          <w:sz w:val="22"/>
          <w:szCs w:val="22"/>
        </w:rPr>
        <w:t xml:space="preserve">USD 5.0 million </w:t>
      </w:r>
      <w:r w:rsidR="00212976">
        <w:rPr>
          <w:rFonts w:ascii="Garamond" w:hAnsi="Garamond"/>
          <w:sz w:val="22"/>
          <w:szCs w:val="22"/>
        </w:rPr>
        <w:t>i</w:t>
      </w:r>
      <w:r w:rsidR="00212976" w:rsidRPr="003F3BA2">
        <w:rPr>
          <w:rFonts w:ascii="Garamond" w:hAnsi="Garamond"/>
          <w:sz w:val="22"/>
          <w:szCs w:val="22"/>
        </w:rPr>
        <w:t xml:space="preserve">n the </w:t>
      </w:r>
      <w:r w:rsidR="00F0568A">
        <w:rPr>
          <w:rFonts w:ascii="Garamond" w:hAnsi="Garamond"/>
          <w:sz w:val="22"/>
          <w:szCs w:val="22"/>
        </w:rPr>
        <w:t>thir</w:t>
      </w:r>
      <w:r w:rsidR="00212976" w:rsidRPr="003F3BA2">
        <w:rPr>
          <w:rFonts w:ascii="Garamond" w:hAnsi="Garamond"/>
          <w:sz w:val="22"/>
          <w:szCs w:val="22"/>
        </w:rPr>
        <w:t>d quarter</w:t>
      </w:r>
      <w:r w:rsidR="00212976">
        <w:rPr>
          <w:rFonts w:ascii="Garamond" w:hAnsi="Garamond"/>
          <w:sz w:val="22"/>
          <w:szCs w:val="22"/>
        </w:rPr>
        <w:t xml:space="preserve"> of 2016 </w:t>
      </w:r>
      <w:r w:rsidR="00F0568A">
        <w:rPr>
          <w:rFonts w:ascii="Garamond" w:hAnsi="Garamond"/>
          <w:sz w:val="22"/>
          <w:szCs w:val="22"/>
        </w:rPr>
        <w:t xml:space="preserve">compared to the USD </w:t>
      </w:r>
      <w:r w:rsidR="00F0568A" w:rsidRPr="003F3BA2">
        <w:rPr>
          <w:rFonts w:ascii="Garamond" w:hAnsi="Garamond"/>
          <w:sz w:val="22"/>
          <w:szCs w:val="22"/>
        </w:rPr>
        <w:t>5</w:t>
      </w:r>
      <w:r w:rsidR="00F0568A">
        <w:rPr>
          <w:rFonts w:ascii="Garamond" w:hAnsi="Garamond"/>
          <w:sz w:val="22"/>
          <w:szCs w:val="22"/>
        </w:rPr>
        <w:t>1</w:t>
      </w:r>
      <w:r w:rsidR="00F0568A" w:rsidRPr="003F3BA2">
        <w:rPr>
          <w:rFonts w:ascii="Garamond" w:hAnsi="Garamond"/>
          <w:sz w:val="22"/>
          <w:szCs w:val="22"/>
        </w:rPr>
        <w:t xml:space="preserve">.6 million </w:t>
      </w:r>
      <w:r w:rsidR="00F0568A">
        <w:rPr>
          <w:rFonts w:ascii="Garamond" w:hAnsi="Garamond"/>
          <w:sz w:val="22"/>
          <w:szCs w:val="22"/>
        </w:rPr>
        <w:t xml:space="preserve">surplus in the third quarter last year. </w:t>
      </w:r>
      <w:r w:rsidR="00FE4604">
        <w:rPr>
          <w:rFonts w:ascii="Garamond" w:hAnsi="Garamond"/>
          <w:sz w:val="22"/>
          <w:szCs w:val="22"/>
        </w:rPr>
        <w:t xml:space="preserve">In </w:t>
      </w:r>
      <w:r w:rsidR="003F3BA2" w:rsidRPr="003F3BA2">
        <w:rPr>
          <w:rFonts w:ascii="Garamond" w:hAnsi="Garamond"/>
          <w:sz w:val="22"/>
          <w:szCs w:val="22"/>
        </w:rPr>
        <w:t>January-</w:t>
      </w:r>
      <w:r w:rsidR="00F0568A">
        <w:rPr>
          <w:rFonts w:ascii="Garamond" w:hAnsi="Garamond"/>
          <w:sz w:val="22"/>
          <w:szCs w:val="22"/>
        </w:rPr>
        <w:t>September</w:t>
      </w:r>
      <w:r w:rsidR="00FE4604">
        <w:rPr>
          <w:rFonts w:ascii="Garamond" w:hAnsi="Garamond"/>
          <w:sz w:val="22"/>
          <w:szCs w:val="22"/>
        </w:rPr>
        <w:t>,</w:t>
      </w:r>
      <w:r w:rsidR="003F3BA2" w:rsidRPr="003F3BA2">
        <w:rPr>
          <w:rFonts w:ascii="Garamond" w:hAnsi="Garamond"/>
          <w:sz w:val="22"/>
          <w:szCs w:val="22"/>
        </w:rPr>
        <w:t xml:space="preserve"> </w:t>
      </w:r>
      <w:r w:rsidR="00FE4604">
        <w:rPr>
          <w:rFonts w:ascii="Garamond" w:hAnsi="Garamond"/>
          <w:sz w:val="22"/>
          <w:szCs w:val="22"/>
        </w:rPr>
        <w:t xml:space="preserve">the </w:t>
      </w:r>
      <w:r w:rsidR="003F3BA2" w:rsidRPr="003F3BA2">
        <w:rPr>
          <w:rFonts w:ascii="Garamond" w:hAnsi="Garamond"/>
          <w:sz w:val="22"/>
          <w:szCs w:val="22"/>
        </w:rPr>
        <w:t>current account deficit</w:t>
      </w:r>
      <w:r w:rsidR="00FE4604">
        <w:rPr>
          <w:rFonts w:ascii="Garamond" w:hAnsi="Garamond"/>
          <w:sz w:val="22"/>
          <w:szCs w:val="22"/>
        </w:rPr>
        <w:t>-to-</w:t>
      </w:r>
      <w:r w:rsidR="003F3BA2" w:rsidRPr="003F3BA2">
        <w:rPr>
          <w:rFonts w:ascii="Garamond" w:hAnsi="Garamond"/>
          <w:sz w:val="22"/>
          <w:szCs w:val="22"/>
        </w:rPr>
        <w:t xml:space="preserve">GDP ratio </w:t>
      </w:r>
      <w:r w:rsidR="00FE4604">
        <w:rPr>
          <w:rFonts w:ascii="Garamond" w:hAnsi="Garamond"/>
          <w:sz w:val="22"/>
          <w:szCs w:val="22"/>
        </w:rPr>
        <w:t xml:space="preserve">has </w:t>
      </w:r>
      <w:r w:rsidR="003F3BA2" w:rsidRPr="003F3BA2">
        <w:rPr>
          <w:rFonts w:ascii="Garamond" w:hAnsi="Garamond"/>
          <w:sz w:val="22"/>
          <w:szCs w:val="22"/>
        </w:rPr>
        <w:t>improved by 0.</w:t>
      </w:r>
      <w:r w:rsidR="00F0568A">
        <w:rPr>
          <w:rFonts w:ascii="Garamond" w:hAnsi="Garamond"/>
          <w:sz w:val="22"/>
          <w:szCs w:val="22"/>
        </w:rPr>
        <w:t>2</w:t>
      </w:r>
      <w:r w:rsidR="003F3BA2" w:rsidRPr="003F3BA2">
        <w:rPr>
          <w:rFonts w:ascii="Garamond" w:hAnsi="Garamond"/>
          <w:sz w:val="22"/>
          <w:szCs w:val="22"/>
        </w:rPr>
        <w:t xml:space="preserve"> p</w:t>
      </w:r>
      <w:r w:rsidR="00FE4604">
        <w:rPr>
          <w:rFonts w:ascii="Garamond" w:hAnsi="Garamond"/>
          <w:sz w:val="22"/>
          <w:szCs w:val="22"/>
        </w:rPr>
        <w:t xml:space="preserve">p. </w:t>
      </w:r>
    </w:p>
    <w:p w14:paraId="2FFBFC60" w14:textId="77777777" w:rsidR="00FE4604" w:rsidRDefault="00FE4604" w:rsidP="0006101A">
      <w:pPr>
        <w:spacing w:line="360" w:lineRule="auto"/>
        <w:jc w:val="both"/>
        <w:rPr>
          <w:rFonts w:ascii="Garamond" w:hAnsi="Garamond"/>
          <w:sz w:val="22"/>
          <w:szCs w:val="22"/>
        </w:rPr>
      </w:pPr>
    </w:p>
    <w:p w14:paraId="710DBBD3" w14:textId="77777777" w:rsidR="00FE4604" w:rsidRDefault="00F149E0" w:rsidP="0006101A">
      <w:pPr>
        <w:spacing w:line="360" w:lineRule="auto"/>
        <w:jc w:val="both"/>
        <w:rPr>
          <w:rFonts w:ascii="Garamond" w:hAnsi="Garamond"/>
          <w:sz w:val="22"/>
          <w:szCs w:val="22"/>
        </w:rPr>
      </w:pPr>
      <w:r>
        <w:rPr>
          <w:rFonts w:ascii="Garamond" w:hAnsi="Garamond"/>
          <w:sz w:val="22"/>
          <w:szCs w:val="22"/>
        </w:rPr>
        <w:t>The growth of f</w:t>
      </w:r>
      <w:r w:rsidRPr="001503AC">
        <w:rPr>
          <w:rFonts w:ascii="Garamond" w:hAnsi="Garamond"/>
          <w:sz w:val="22"/>
          <w:szCs w:val="22"/>
        </w:rPr>
        <w:t>oreign direct investment</w:t>
      </w:r>
      <w:r>
        <w:rPr>
          <w:rFonts w:ascii="Garamond" w:hAnsi="Garamond"/>
          <w:sz w:val="22"/>
          <w:szCs w:val="22"/>
        </w:rPr>
        <w:t xml:space="preserve"> almost doubled i</w:t>
      </w:r>
      <w:r w:rsidR="00FE4604">
        <w:rPr>
          <w:rFonts w:ascii="Garamond" w:hAnsi="Garamond"/>
          <w:sz w:val="22"/>
          <w:szCs w:val="22"/>
        </w:rPr>
        <w:t xml:space="preserve">n the </w:t>
      </w:r>
      <w:r w:rsidR="001503AC">
        <w:rPr>
          <w:rFonts w:ascii="Garamond" w:hAnsi="Garamond"/>
          <w:sz w:val="22"/>
          <w:szCs w:val="22"/>
        </w:rPr>
        <w:t>thir</w:t>
      </w:r>
      <w:r w:rsidR="00FE4604">
        <w:rPr>
          <w:rFonts w:ascii="Garamond" w:hAnsi="Garamond"/>
          <w:sz w:val="22"/>
          <w:szCs w:val="22"/>
        </w:rPr>
        <w:t xml:space="preserve">d quarter of 2016 </w:t>
      </w:r>
      <w:r>
        <w:rPr>
          <w:rFonts w:ascii="Garamond" w:hAnsi="Garamond"/>
          <w:sz w:val="22"/>
          <w:szCs w:val="22"/>
        </w:rPr>
        <w:t xml:space="preserve">against </w:t>
      </w:r>
      <w:r w:rsidR="001503AC" w:rsidRPr="001503AC">
        <w:rPr>
          <w:rFonts w:ascii="Garamond" w:hAnsi="Garamond"/>
          <w:sz w:val="22"/>
          <w:szCs w:val="22"/>
        </w:rPr>
        <w:t xml:space="preserve">the third quarter of </w:t>
      </w:r>
      <w:r>
        <w:rPr>
          <w:rFonts w:ascii="Garamond" w:hAnsi="Garamond"/>
          <w:sz w:val="22"/>
          <w:szCs w:val="22"/>
        </w:rPr>
        <w:t>the previous year was remarkable</w:t>
      </w:r>
      <w:r w:rsidR="001503AC" w:rsidRPr="001503AC">
        <w:rPr>
          <w:rFonts w:ascii="Garamond" w:hAnsi="Garamond"/>
          <w:sz w:val="22"/>
          <w:szCs w:val="22"/>
        </w:rPr>
        <w:t xml:space="preserve">. </w:t>
      </w:r>
      <w:r w:rsidR="00F72A58">
        <w:rPr>
          <w:rFonts w:ascii="Garamond" w:hAnsi="Garamond"/>
          <w:sz w:val="22"/>
          <w:szCs w:val="22"/>
        </w:rPr>
        <w:t xml:space="preserve">Its net inflow amounted to USD </w:t>
      </w:r>
      <w:r w:rsidR="001503AC" w:rsidRPr="001503AC">
        <w:rPr>
          <w:rFonts w:ascii="Garamond" w:hAnsi="Garamond"/>
          <w:sz w:val="22"/>
          <w:szCs w:val="22"/>
        </w:rPr>
        <w:t xml:space="preserve">157.7 million, of which </w:t>
      </w:r>
      <w:r w:rsidR="00F72A58">
        <w:rPr>
          <w:rFonts w:ascii="Garamond" w:hAnsi="Garamond"/>
          <w:sz w:val="22"/>
          <w:szCs w:val="22"/>
        </w:rPr>
        <w:t>nearly</w:t>
      </w:r>
      <w:r w:rsidR="001503AC" w:rsidRPr="001503AC">
        <w:rPr>
          <w:rFonts w:ascii="Garamond" w:hAnsi="Garamond"/>
          <w:sz w:val="22"/>
          <w:szCs w:val="22"/>
        </w:rPr>
        <w:t xml:space="preserve"> half </w:t>
      </w:r>
      <w:r w:rsidR="00F72A58">
        <w:rPr>
          <w:rFonts w:ascii="Garamond" w:hAnsi="Garamond"/>
          <w:sz w:val="22"/>
          <w:szCs w:val="22"/>
        </w:rPr>
        <w:t xml:space="preserve">is investment into the </w:t>
      </w:r>
      <w:proofErr w:type="spellStart"/>
      <w:r w:rsidR="00F72A58">
        <w:rPr>
          <w:rFonts w:ascii="Garamond" w:hAnsi="Garamond"/>
          <w:sz w:val="22"/>
          <w:szCs w:val="22"/>
        </w:rPr>
        <w:t>Vorotan</w:t>
      </w:r>
      <w:proofErr w:type="spellEnd"/>
      <w:r w:rsidR="00F72A58">
        <w:rPr>
          <w:rFonts w:ascii="Garamond" w:hAnsi="Garamond"/>
          <w:sz w:val="22"/>
          <w:szCs w:val="22"/>
        </w:rPr>
        <w:t xml:space="preserve"> </w:t>
      </w:r>
      <w:r w:rsidR="001503AC" w:rsidRPr="001503AC">
        <w:rPr>
          <w:rFonts w:ascii="Garamond" w:hAnsi="Garamond"/>
          <w:sz w:val="22"/>
          <w:szCs w:val="22"/>
        </w:rPr>
        <w:t xml:space="preserve">hydropower </w:t>
      </w:r>
      <w:r w:rsidR="00F72A58">
        <w:rPr>
          <w:rFonts w:ascii="Garamond" w:hAnsi="Garamond"/>
          <w:sz w:val="22"/>
          <w:szCs w:val="22"/>
        </w:rPr>
        <w:t xml:space="preserve">project. </w:t>
      </w:r>
      <w:r w:rsidR="001503AC" w:rsidRPr="001503AC">
        <w:rPr>
          <w:rFonts w:ascii="Garamond" w:hAnsi="Garamond"/>
          <w:sz w:val="22"/>
          <w:szCs w:val="22"/>
        </w:rPr>
        <w:t xml:space="preserve">The net inflow of loans </w:t>
      </w:r>
      <w:r w:rsidR="00E711E8">
        <w:rPr>
          <w:rFonts w:ascii="Garamond" w:hAnsi="Garamond"/>
          <w:sz w:val="22"/>
          <w:szCs w:val="22"/>
        </w:rPr>
        <w:t xml:space="preserve">in </w:t>
      </w:r>
      <w:r w:rsidR="001503AC" w:rsidRPr="001503AC">
        <w:rPr>
          <w:rFonts w:ascii="Garamond" w:hAnsi="Garamond"/>
          <w:sz w:val="22"/>
          <w:szCs w:val="22"/>
        </w:rPr>
        <w:t xml:space="preserve">the public sector </w:t>
      </w:r>
      <w:r w:rsidR="00E711E8">
        <w:rPr>
          <w:rFonts w:ascii="Garamond" w:hAnsi="Garamond"/>
          <w:sz w:val="22"/>
          <w:szCs w:val="22"/>
        </w:rPr>
        <w:t xml:space="preserve">was </w:t>
      </w:r>
      <w:r w:rsidR="001503AC" w:rsidRPr="001503AC">
        <w:rPr>
          <w:rFonts w:ascii="Garamond" w:hAnsi="Garamond"/>
          <w:sz w:val="22"/>
          <w:szCs w:val="22"/>
        </w:rPr>
        <w:t>also high</w:t>
      </w:r>
      <w:r w:rsidR="00E711E8">
        <w:rPr>
          <w:rFonts w:ascii="Garamond" w:hAnsi="Garamond"/>
          <w:sz w:val="22"/>
          <w:szCs w:val="22"/>
        </w:rPr>
        <w:t>er compared to t</w:t>
      </w:r>
      <w:r w:rsidR="001503AC" w:rsidRPr="001503AC">
        <w:rPr>
          <w:rFonts w:ascii="Garamond" w:hAnsi="Garamond"/>
          <w:sz w:val="22"/>
          <w:szCs w:val="22"/>
        </w:rPr>
        <w:t>he third quarter last year, amount</w:t>
      </w:r>
      <w:r w:rsidR="00E711E8">
        <w:rPr>
          <w:rFonts w:ascii="Garamond" w:hAnsi="Garamond"/>
          <w:sz w:val="22"/>
          <w:szCs w:val="22"/>
        </w:rPr>
        <w:t xml:space="preserve">ing </w:t>
      </w:r>
      <w:r w:rsidR="001503AC" w:rsidRPr="001503AC">
        <w:rPr>
          <w:rFonts w:ascii="Garamond" w:hAnsi="Garamond"/>
          <w:sz w:val="22"/>
          <w:szCs w:val="22"/>
        </w:rPr>
        <w:t xml:space="preserve">to </w:t>
      </w:r>
      <w:r w:rsidR="00E711E8">
        <w:rPr>
          <w:rFonts w:ascii="Garamond" w:hAnsi="Garamond"/>
          <w:sz w:val="22"/>
          <w:szCs w:val="22"/>
        </w:rPr>
        <w:t xml:space="preserve">USD </w:t>
      </w:r>
      <w:r w:rsidR="001503AC" w:rsidRPr="001503AC">
        <w:rPr>
          <w:rFonts w:ascii="Garamond" w:hAnsi="Garamond"/>
          <w:sz w:val="22"/>
          <w:szCs w:val="22"/>
        </w:rPr>
        <w:t xml:space="preserve">97.1 million. Net foreign assets of the private sector </w:t>
      </w:r>
      <w:r w:rsidR="00E711E8">
        <w:rPr>
          <w:rFonts w:ascii="Garamond" w:hAnsi="Garamond"/>
          <w:sz w:val="22"/>
          <w:szCs w:val="22"/>
        </w:rPr>
        <w:t>decreased slightly.</w:t>
      </w:r>
      <w:r w:rsidR="00FE4604">
        <w:rPr>
          <w:rFonts w:ascii="Garamond" w:hAnsi="Garamond"/>
          <w:sz w:val="22"/>
          <w:szCs w:val="22"/>
        </w:rPr>
        <w:t xml:space="preserve"> </w:t>
      </w:r>
    </w:p>
    <w:p w14:paraId="36EB7C66" w14:textId="77777777" w:rsidR="00FE4604" w:rsidRDefault="00FE4604" w:rsidP="0006101A">
      <w:pPr>
        <w:spacing w:line="360" w:lineRule="auto"/>
        <w:jc w:val="both"/>
        <w:rPr>
          <w:rFonts w:ascii="Garamond" w:hAnsi="Garamond"/>
          <w:sz w:val="22"/>
          <w:szCs w:val="22"/>
        </w:rPr>
      </w:pPr>
    </w:p>
    <w:p w14:paraId="03101A84" w14:textId="77777777" w:rsidR="008B6991" w:rsidRPr="00A32AB2" w:rsidRDefault="00E711E8" w:rsidP="0006101A">
      <w:pPr>
        <w:spacing w:line="360" w:lineRule="auto"/>
        <w:jc w:val="both"/>
        <w:rPr>
          <w:rFonts w:ascii="Garamond" w:hAnsi="Garamond"/>
          <w:sz w:val="22"/>
          <w:szCs w:val="22"/>
        </w:rPr>
      </w:pPr>
      <w:r>
        <w:rPr>
          <w:rFonts w:ascii="Garamond" w:hAnsi="Garamond"/>
          <w:sz w:val="22"/>
          <w:szCs w:val="22"/>
        </w:rPr>
        <w:t>T</w:t>
      </w:r>
      <w:r w:rsidR="00FE4604">
        <w:rPr>
          <w:rFonts w:ascii="Garamond" w:hAnsi="Garamond"/>
          <w:sz w:val="22"/>
          <w:szCs w:val="22"/>
        </w:rPr>
        <w:t xml:space="preserve">he </w:t>
      </w:r>
      <w:r>
        <w:rPr>
          <w:rFonts w:ascii="Garamond" w:hAnsi="Garamond"/>
          <w:sz w:val="22"/>
          <w:szCs w:val="22"/>
        </w:rPr>
        <w:t>developments with the balance of payment drove the C</w:t>
      </w:r>
      <w:r w:rsidR="00B432B3">
        <w:rPr>
          <w:rFonts w:ascii="Garamond" w:hAnsi="Garamond"/>
          <w:sz w:val="22"/>
          <w:szCs w:val="22"/>
        </w:rPr>
        <w:t xml:space="preserve">BA </w:t>
      </w:r>
      <w:r w:rsidR="00B432B3" w:rsidRPr="00FE4604">
        <w:rPr>
          <w:rFonts w:ascii="Garamond" w:hAnsi="Garamond"/>
          <w:sz w:val="22"/>
          <w:szCs w:val="22"/>
        </w:rPr>
        <w:t>net foreign assets</w:t>
      </w:r>
      <w:r w:rsidR="00B432B3">
        <w:rPr>
          <w:rFonts w:ascii="Garamond" w:hAnsi="Garamond"/>
          <w:sz w:val="22"/>
          <w:szCs w:val="22"/>
        </w:rPr>
        <w:t xml:space="preserve"> </w:t>
      </w:r>
      <w:r w:rsidR="00FE4604">
        <w:rPr>
          <w:rFonts w:ascii="Garamond" w:hAnsi="Garamond"/>
          <w:sz w:val="22"/>
          <w:szCs w:val="22"/>
        </w:rPr>
        <w:t xml:space="preserve">to </w:t>
      </w:r>
      <w:r>
        <w:rPr>
          <w:rFonts w:ascii="Garamond" w:hAnsi="Garamond"/>
          <w:sz w:val="22"/>
          <w:szCs w:val="22"/>
        </w:rPr>
        <w:t xml:space="preserve">increase </w:t>
      </w:r>
      <w:r w:rsidR="00FE4604" w:rsidRPr="00FE4604">
        <w:rPr>
          <w:rFonts w:ascii="Garamond" w:hAnsi="Garamond"/>
          <w:sz w:val="22"/>
          <w:szCs w:val="22"/>
        </w:rPr>
        <w:t xml:space="preserve">by </w:t>
      </w:r>
      <w:r>
        <w:rPr>
          <w:rFonts w:ascii="Garamond" w:hAnsi="Garamond"/>
          <w:sz w:val="22"/>
          <w:szCs w:val="22"/>
        </w:rPr>
        <w:t xml:space="preserve">around </w:t>
      </w:r>
      <w:r w:rsidR="00FE4604">
        <w:rPr>
          <w:rFonts w:ascii="Garamond" w:hAnsi="Garamond"/>
          <w:sz w:val="22"/>
          <w:szCs w:val="22"/>
        </w:rPr>
        <w:t xml:space="preserve">USD </w:t>
      </w:r>
      <w:r>
        <w:rPr>
          <w:rFonts w:ascii="Garamond" w:hAnsi="Garamond"/>
          <w:sz w:val="22"/>
          <w:szCs w:val="22"/>
        </w:rPr>
        <w:t>25</w:t>
      </w:r>
      <w:r w:rsidR="00FE4604" w:rsidRPr="00FE4604">
        <w:rPr>
          <w:rFonts w:ascii="Garamond" w:hAnsi="Garamond"/>
          <w:sz w:val="22"/>
          <w:szCs w:val="22"/>
        </w:rPr>
        <w:t>5.</w:t>
      </w:r>
      <w:r>
        <w:rPr>
          <w:rFonts w:ascii="Garamond" w:hAnsi="Garamond"/>
          <w:sz w:val="22"/>
          <w:szCs w:val="22"/>
        </w:rPr>
        <w:t>0</w:t>
      </w:r>
      <w:r w:rsidR="00FE4604" w:rsidRPr="00FE4604">
        <w:rPr>
          <w:rFonts w:ascii="Garamond" w:hAnsi="Garamond"/>
          <w:sz w:val="22"/>
          <w:szCs w:val="22"/>
        </w:rPr>
        <w:t xml:space="preserve"> million. </w:t>
      </w:r>
      <w:r>
        <w:rPr>
          <w:rFonts w:ascii="Garamond" w:hAnsi="Garamond"/>
          <w:sz w:val="22"/>
          <w:szCs w:val="22"/>
        </w:rPr>
        <w:t>An increase in foreign currency correspondent accounts of commercial banks with the CBA secured the bulk of such NFA growth. In the third quarter t</w:t>
      </w:r>
      <w:r w:rsidRPr="00E711E8">
        <w:rPr>
          <w:rFonts w:ascii="Garamond" w:hAnsi="Garamond"/>
          <w:sz w:val="22"/>
          <w:szCs w:val="22"/>
        </w:rPr>
        <w:t>he C</w:t>
      </w:r>
      <w:r>
        <w:rPr>
          <w:rFonts w:ascii="Garamond" w:hAnsi="Garamond"/>
          <w:sz w:val="22"/>
          <w:szCs w:val="22"/>
        </w:rPr>
        <w:t xml:space="preserve">BA </w:t>
      </w:r>
      <w:r w:rsidRPr="00E711E8">
        <w:rPr>
          <w:rFonts w:ascii="Garamond" w:hAnsi="Garamond"/>
          <w:sz w:val="22"/>
          <w:szCs w:val="22"/>
        </w:rPr>
        <w:t xml:space="preserve">acted as a net buyer of foreign </w:t>
      </w:r>
      <w:r>
        <w:rPr>
          <w:rFonts w:ascii="Garamond" w:hAnsi="Garamond"/>
          <w:sz w:val="22"/>
          <w:szCs w:val="22"/>
        </w:rPr>
        <w:t>currency</w:t>
      </w:r>
      <w:r w:rsidRPr="00E711E8">
        <w:rPr>
          <w:rFonts w:ascii="Garamond" w:hAnsi="Garamond"/>
          <w:sz w:val="22"/>
          <w:szCs w:val="22"/>
        </w:rPr>
        <w:t>.</w:t>
      </w:r>
      <w:r w:rsidR="00345F88">
        <w:rPr>
          <w:rFonts w:ascii="Garamond" w:hAnsi="Garamond"/>
          <w:sz w:val="22"/>
          <w:szCs w:val="22"/>
        </w:rPr>
        <w:t xml:space="preserve"> </w:t>
      </w:r>
    </w:p>
    <w:p w14:paraId="1BD5FC0B" w14:textId="77777777" w:rsidR="00720FE0" w:rsidRDefault="00720FE0" w:rsidP="0006101A">
      <w:pPr>
        <w:spacing w:line="360" w:lineRule="auto"/>
        <w:jc w:val="both"/>
        <w:rPr>
          <w:rFonts w:ascii="Garamond" w:hAnsi="Garamond"/>
          <w:sz w:val="22"/>
          <w:szCs w:val="22"/>
        </w:rPr>
      </w:pPr>
    </w:p>
    <w:p w14:paraId="7B32ED6A" w14:textId="77777777" w:rsidR="00D46DA9" w:rsidRPr="00A32AB2" w:rsidRDefault="00D46DA9" w:rsidP="0006101A">
      <w:pPr>
        <w:spacing w:line="360" w:lineRule="auto"/>
        <w:jc w:val="both"/>
        <w:rPr>
          <w:rFonts w:ascii="Garamond" w:hAnsi="Garamond"/>
          <w:b/>
          <w:sz w:val="22"/>
          <w:szCs w:val="22"/>
        </w:rPr>
      </w:pPr>
      <w:r w:rsidRPr="00A32AB2">
        <w:rPr>
          <w:rFonts w:ascii="Garamond" w:hAnsi="Garamond"/>
          <w:b/>
          <w:sz w:val="22"/>
          <w:szCs w:val="22"/>
        </w:rPr>
        <w:t>3.5. External environment</w:t>
      </w:r>
    </w:p>
    <w:p w14:paraId="6BCAEDEC" w14:textId="77777777" w:rsidR="0081713A" w:rsidRDefault="0081713A" w:rsidP="0006101A">
      <w:pPr>
        <w:spacing w:line="360" w:lineRule="auto"/>
        <w:jc w:val="both"/>
        <w:rPr>
          <w:rFonts w:ascii="Garamond" w:hAnsi="Garamond"/>
          <w:b/>
          <w:sz w:val="22"/>
          <w:szCs w:val="22"/>
        </w:rPr>
      </w:pPr>
    </w:p>
    <w:p w14:paraId="63165EA8" w14:textId="77777777" w:rsidR="00D46DA9" w:rsidRPr="00A32AB2" w:rsidRDefault="0081713A" w:rsidP="0006101A">
      <w:pPr>
        <w:spacing w:line="360" w:lineRule="auto"/>
        <w:jc w:val="both"/>
        <w:rPr>
          <w:rFonts w:ascii="Garamond" w:hAnsi="Garamond" w:cs="Sylfaen"/>
          <w:sz w:val="22"/>
          <w:szCs w:val="22"/>
        </w:rPr>
      </w:pPr>
      <w:r>
        <w:rPr>
          <w:rFonts w:ascii="Garamond" w:hAnsi="Garamond"/>
          <w:b/>
          <w:sz w:val="22"/>
          <w:szCs w:val="22"/>
        </w:rPr>
        <w:t>The ma</w:t>
      </w:r>
      <w:r w:rsidR="000A20A2">
        <w:rPr>
          <w:rFonts w:ascii="Garamond" w:hAnsi="Garamond" w:cs="Sylfaen"/>
          <w:b/>
          <w:sz w:val="22"/>
          <w:szCs w:val="22"/>
        </w:rPr>
        <w:t>in trade partner</w:t>
      </w:r>
      <w:r>
        <w:rPr>
          <w:rFonts w:ascii="Garamond" w:hAnsi="Garamond" w:cs="Sylfaen"/>
          <w:b/>
          <w:sz w:val="22"/>
          <w:szCs w:val="22"/>
        </w:rPr>
        <w:t xml:space="preserve"> countries</w:t>
      </w:r>
      <w:r w:rsidR="000A20A2">
        <w:rPr>
          <w:rFonts w:ascii="Garamond" w:hAnsi="Garamond" w:cs="Sylfaen"/>
          <w:b/>
          <w:sz w:val="22"/>
          <w:szCs w:val="22"/>
        </w:rPr>
        <w:t xml:space="preserve"> to Armenia saw their economic activity impr</w:t>
      </w:r>
      <w:r>
        <w:rPr>
          <w:rFonts w:ascii="Garamond" w:hAnsi="Garamond" w:cs="Sylfaen"/>
          <w:b/>
          <w:sz w:val="22"/>
          <w:szCs w:val="22"/>
        </w:rPr>
        <w:t xml:space="preserve">oving in the third quarter of 2016, with faster growth rates reported in </w:t>
      </w:r>
      <w:r w:rsidR="005B304B" w:rsidRPr="00A32AB2">
        <w:rPr>
          <w:rFonts w:ascii="Garamond" w:hAnsi="Garamond" w:cs="Sylfaen"/>
          <w:b/>
          <w:sz w:val="22"/>
          <w:szCs w:val="22"/>
        </w:rPr>
        <w:t>the USA</w:t>
      </w:r>
      <w:r>
        <w:rPr>
          <w:rFonts w:ascii="Garamond" w:hAnsi="Garamond" w:cs="Sylfaen"/>
          <w:b/>
          <w:sz w:val="22"/>
          <w:szCs w:val="22"/>
        </w:rPr>
        <w:t xml:space="preserve"> and Russia.</w:t>
      </w:r>
      <w:r w:rsidR="005B304B" w:rsidRPr="00A32AB2">
        <w:rPr>
          <w:rFonts w:ascii="Garamond" w:hAnsi="Garamond" w:cs="Sylfaen"/>
          <w:sz w:val="22"/>
          <w:szCs w:val="22"/>
        </w:rPr>
        <w:t xml:space="preserve"> </w:t>
      </w:r>
    </w:p>
    <w:p w14:paraId="6C3A50D5" w14:textId="77777777" w:rsidR="009A5B93" w:rsidRPr="00A32AB2" w:rsidRDefault="009A5B93" w:rsidP="0006101A">
      <w:pPr>
        <w:spacing w:line="360" w:lineRule="auto"/>
        <w:jc w:val="both"/>
        <w:rPr>
          <w:rFonts w:ascii="Garamond" w:hAnsi="Garamond" w:cs="Sylfaen"/>
          <w:sz w:val="22"/>
          <w:szCs w:val="22"/>
        </w:rPr>
      </w:pPr>
    </w:p>
    <w:p w14:paraId="143BFA9C" w14:textId="77777777" w:rsidR="00BB4AE9" w:rsidRPr="00A32AB2" w:rsidRDefault="009A5B93" w:rsidP="0006101A">
      <w:pPr>
        <w:spacing w:line="360" w:lineRule="auto"/>
        <w:jc w:val="both"/>
        <w:rPr>
          <w:rFonts w:ascii="Garamond" w:hAnsi="Garamond" w:cs="Sylfaen"/>
          <w:color w:val="000000"/>
          <w:sz w:val="22"/>
          <w:szCs w:val="22"/>
        </w:rPr>
      </w:pPr>
      <w:r w:rsidRPr="00A32AB2">
        <w:rPr>
          <w:rFonts w:ascii="Garamond" w:hAnsi="Garamond"/>
          <w:sz w:val="22"/>
          <w:szCs w:val="22"/>
        </w:rPr>
        <w:t xml:space="preserve">According to preliminary estimates of the </w:t>
      </w:r>
      <w:r w:rsidR="00E14715" w:rsidRPr="00A32AB2">
        <w:rPr>
          <w:rFonts w:ascii="Garamond" w:hAnsi="Garamond"/>
          <w:sz w:val="22"/>
          <w:szCs w:val="22"/>
        </w:rPr>
        <w:t xml:space="preserve">Bureau of Economic Analysis </w:t>
      </w:r>
      <w:r w:rsidR="00E14715">
        <w:rPr>
          <w:rFonts w:ascii="Garamond" w:hAnsi="Garamond"/>
          <w:sz w:val="22"/>
          <w:szCs w:val="22"/>
        </w:rPr>
        <w:t xml:space="preserve">of the </w:t>
      </w:r>
      <w:r w:rsidRPr="00A32AB2">
        <w:rPr>
          <w:rFonts w:ascii="Garamond" w:hAnsi="Garamond"/>
          <w:sz w:val="22"/>
          <w:szCs w:val="22"/>
        </w:rPr>
        <w:t xml:space="preserve">U.S. Department of Commerce, the annualized economic growth in the </w:t>
      </w:r>
      <w:r w:rsidRPr="00A32AB2">
        <w:rPr>
          <w:rFonts w:ascii="Garamond" w:hAnsi="Garamond"/>
          <w:b/>
          <w:sz w:val="22"/>
          <w:szCs w:val="22"/>
        </w:rPr>
        <w:t>United States</w:t>
      </w:r>
      <w:r w:rsidR="0086764D" w:rsidRPr="00A32AB2">
        <w:rPr>
          <w:rFonts w:ascii="Garamond" w:hAnsi="Garamond"/>
          <w:b/>
          <w:sz w:val="22"/>
          <w:szCs w:val="22"/>
          <w:lang w:val="hy-AM"/>
        </w:rPr>
        <w:t xml:space="preserve"> </w:t>
      </w:r>
      <w:r w:rsidR="00E14715" w:rsidRPr="00A32AB2">
        <w:rPr>
          <w:rFonts w:ascii="Garamond" w:hAnsi="Garamond"/>
          <w:sz w:val="22"/>
          <w:szCs w:val="22"/>
        </w:rPr>
        <w:t xml:space="preserve">in the </w:t>
      </w:r>
      <w:r w:rsidR="0081713A">
        <w:rPr>
          <w:rFonts w:ascii="Garamond" w:hAnsi="Garamond"/>
          <w:sz w:val="22"/>
          <w:szCs w:val="22"/>
        </w:rPr>
        <w:t>thir</w:t>
      </w:r>
      <w:r w:rsidR="00E14715">
        <w:rPr>
          <w:rFonts w:ascii="Garamond" w:hAnsi="Garamond"/>
          <w:sz w:val="22"/>
          <w:szCs w:val="22"/>
        </w:rPr>
        <w:t>d</w:t>
      </w:r>
      <w:r w:rsidR="00E14715" w:rsidRPr="00A32AB2">
        <w:rPr>
          <w:rFonts w:ascii="Garamond" w:hAnsi="Garamond"/>
          <w:sz w:val="22"/>
          <w:szCs w:val="22"/>
        </w:rPr>
        <w:t xml:space="preserve"> quarter of 2016</w:t>
      </w:r>
      <w:r w:rsidR="00E14715">
        <w:rPr>
          <w:rFonts w:ascii="Garamond" w:hAnsi="Garamond"/>
          <w:sz w:val="22"/>
          <w:szCs w:val="22"/>
        </w:rPr>
        <w:t xml:space="preserve"> </w:t>
      </w:r>
      <w:r w:rsidR="00936B90">
        <w:rPr>
          <w:rFonts w:ascii="Garamond" w:hAnsi="Garamond"/>
          <w:sz w:val="22"/>
          <w:szCs w:val="22"/>
        </w:rPr>
        <w:t>was</w:t>
      </w:r>
      <w:r w:rsidR="00936B90" w:rsidRPr="00936B90">
        <w:rPr>
          <w:rFonts w:ascii="Garamond" w:hAnsi="Garamond"/>
          <w:sz w:val="22"/>
          <w:szCs w:val="22"/>
        </w:rPr>
        <w:t xml:space="preserve"> </w:t>
      </w:r>
      <w:r w:rsidR="0081713A">
        <w:rPr>
          <w:rFonts w:ascii="Garamond" w:hAnsi="Garamond"/>
          <w:sz w:val="22"/>
          <w:szCs w:val="22"/>
        </w:rPr>
        <w:t>2</w:t>
      </w:r>
      <w:r w:rsidRPr="00A32AB2">
        <w:rPr>
          <w:rFonts w:ascii="Garamond" w:hAnsi="Garamond"/>
          <w:sz w:val="22"/>
          <w:szCs w:val="22"/>
        </w:rPr>
        <w:t>.</w:t>
      </w:r>
      <w:r w:rsidR="0081713A">
        <w:rPr>
          <w:rFonts w:ascii="Garamond" w:hAnsi="Garamond"/>
          <w:sz w:val="22"/>
          <w:szCs w:val="22"/>
        </w:rPr>
        <w:t>9</w:t>
      </w:r>
      <w:r w:rsidRPr="00A32AB2">
        <w:rPr>
          <w:rFonts w:ascii="Garamond" w:hAnsi="Garamond"/>
          <w:sz w:val="22"/>
          <w:szCs w:val="22"/>
        </w:rPr>
        <w:t xml:space="preserve">% </w:t>
      </w:r>
      <w:r w:rsidR="00936B90">
        <w:rPr>
          <w:rFonts w:ascii="Garamond" w:hAnsi="Garamond"/>
          <w:sz w:val="22"/>
          <w:szCs w:val="22"/>
        </w:rPr>
        <w:t xml:space="preserve">q/q compared to </w:t>
      </w:r>
      <w:r w:rsidRPr="00A32AB2">
        <w:rPr>
          <w:rFonts w:ascii="Garamond" w:hAnsi="Garamond"/>
          <w:sz w:val="22"/>
          <w:szCs w:val="22"/>
        </w:rPr>
        <w:t xml:space="preserve">the previous quarter’s </w:t>
      </w:r>
      <w:r w:rsidR="0081713A">
        <w:rPr>
          <w:rFonts w:ascii="Garamond" w:hAnsi="Garamond"/>
          <w:sz w:val="22"/>
          <w:szCs w:val="22"/>
        </w:rPr>
        <w:t>1</w:t>
      </w:r>
      <w:r w:rsidRPr="00A32AB2">
        <w:rPr>
          <w:rFonts w:ascii="Garamond" w:hAnsi="Garamond"/>
          <w:sz w:val="22"/>
          <w:szCs w:val="22"/>
        </w:rPr>
        <w:t>.</w:t>
      </w:r>
      <w:r w:rsidR="0081713A">
        <w:rPr>
          <w:rFonts w:ascii="Garamond" w:hAnsi="Garamond"/>
          <w:sz w:val="22"/>
          <w:szCs w:val="22"/>
        </w:rPr>
        <w:t>4</w:t>
      </w:r>
      <w:r w:rsidRPr="00A32AB2">
        <w:rPr>
          <w:rFonts w:ascii="Garamond" w:hAnsi="Garamond"/>
          <w:sz w:val="22"/>
          <w:szCs w:val="22"/>
        </w:rPr>
        <w:t xml:space="preserve">% growth, and the </w:t>
      </w:r>
      <w:r w:rsidR="00414223" w:rsidRPr="00A32AB2">
        <w:rPr>
          <w:rFonts w:ascii="Garamond" w:hAnsi="Garamond"/>
          <w:sz w:val="22"/>
          <w:szCs w:val="22"/>
        </w:rPr>
        <w:t>economic growth</w:t>
      </w:r>
      <w:r w:rsidR="00E14715">
        <w:rPr>
          <w:rFonts w:ascii="Garamond" w:hAnsi="Garamond"/>
          <w:sz w:val="22"/>
          <w:szCs w:val="22"/>
        </w:rPr>
        <w:t xml:space="preserve"> </w:t>
      </w:r>
      <w:r w:rsidR="0081713A">
        <w:rPr>
          <w:rFonts w:ascii="Garamond" w:hAnsi="Garamond"/>
          <w:sz w:val="22"/>
          <w:szCs w:val="22"/>
        </w:rPr>
        <w:t xml:space="preserve">amounted to </w:t>
      </w:r>
      <w:r w:rsidR="00936B90">
        <w:rPr>
          <w:rFonts w:ascii="Garamond" w:hAnsi="Garamond"/>
          <w:sz w:val="22"/>
          <w:szCs w:val="22"/>
        </w:rPr>
        <w:t>1</w:t>
      </w:r>
      <w:r w:rsidR="00414223" w:rsidRPr="00A32AB2">
        <w:rPr>
          <w:rFonts w:ascii="Garamond" w:hAnsi="Garamond"/>
          <w:sz w:val="22"/>
          <w:szCs w:val="22"/>
        </w:rPr>
        <w:t>.</w:t>
      </w:r>
      <w:r w:rsidR="0081713A">
        <w:rPr>
          <w:rFonts w:ascii="Garamond" w:hAnsi="Garamond"/>
          <w:sz w:val="22"/>
          <w:szCs w:val="22"/>
        </w:rPr>
        <w:t>5</w:t>
      </w:r>
      <w:r w:rsidR="00414223" w:rsidRPr="00A32AB2">
        <w:rPr>
          <w:rFonts w:ascii="Garamond" w:hAnsi="Garamond"/>
          <w:sz w:val="22"/>
          <w:szCs w:val="22"/>
        </w:rPr>
        <w:t>%</w:t>
      </w:r>
      <w:r w:rsidR="00936B90">
        <w:rPr>
          <w:rFonts w:ascii="Garamond" w:hAnsi="Garamond"/>
          <w:sz w:val="22"/>
          <w:szCs w:val="22"/>
        </w:rPr>
        <w:t xml:space="preserve"> </w:t>
      </w:r>
      <w:r w:rsidR="00414223" w:rsidRPr="00A32AB2">
        <w:rPr>
          <w:rFonts w:ascii="Garamond" w:hAnsi="Garamond"/>
          <w:sz w:val="22"/>
          <w:szCs w:val="22"/>
        </w:rPr>
        <w:t xml:space="preserve">y/y </w:t>
      </w:r>
      <w:r w:rsidR="00E14715">
        <w:rPr>
          <w:rFonts w:ascii="Garamond" w:hAnsi="Garamond"/>
          <w:sz w:val="22"/>
          <w:szCs w:val="22"/>
        </w:rPr>
        <w:t xml:space="preserve">against </w:t>
      </w:r>
      <w:r w:rsidR="00414223" w:rsidRPr="00A32AB2">
        <w:rPr>
          <w:rFonts w:ascii="Garamond" w:hAnsi="Garamond"/>
          <w:sz w:val="22"/>
          <w:szCs w:val="22"/>
        </w:rPr>
        <w:lastRenderedPageBreak/>
        <w:t xml:space="preserve">the previous quarter’s </w:t>
      </w:r>
      <w:r w:rsidR="00936B90">
        <w:rPr>
          <w:rFonts w:ascii="Garamond" w:hAnsi="Garamond"/>
          <w:sz w:val="22"/>
          <w:szCs w:val="22"/>
        </w:rPr>
        <w:t>1</w:t>
      </w:r>
      <w:r w:rsidRPr="00A32AB2">
        <w:rPr>
          <w:rFonts w:ascii="Garamond" w:hAnsi="Garamond"/>
          <w:sz w:val="22"/>
          <w:szCs w:val="22"/>
        </w:rPr>
        <w:t>.</w:t>
      </w:r>
      <w:r w:rsidR="0081713A">
        <w:rPr>
          <w:rFonts w:ascii="Garamond" w:hAnsi="Garamond"/>
          <w:sz w:val="22"/>
          <w:szCs w:val="22"/>
        </w:rPr>
        <w:t>2</w:t>
      </w:r>
      <w:r w:rsidRPr="00A32AB2">
        <w:rPr>
          <w:rFonts w:ascii="Garamond" w:hAnsi="Garamond"/>
          <w:sz w:val="22"/>
          <w:szCs w:val="22"/>
        </w:rPr>
        <w:t>%</w:t>
      </w:r>
      <w:r w:rsidR="00E14715">
        <w:rPr>
          <w:rFonts w:ascii="Garamond" w:hAnsi="Garamond"/>
          <w:sz w:val="22"/>
          <w:szCs w:val="22"/>
        </w:rPr>
        <w:t xml:space="preserve"> g</w:t>
      </w:r>
      <w:r w:rsidR="00936B90">
        <w:rPr>
          <w:rFonts w:ascii="Garamond" w:hAnsi="Garamond"/>
          <w:sz w:val="22"/>
          <w:szCs w:val="22"/>
        </w:rPr>
        <w:t>rowth</w:t>
      </w:r>
      <w:r w:rsidRPr="00A32AB2">
        <w:rPr>
          <w:rFonts w:ascii="Garamond" w:hAnsi="Garamond"/>
          <w:sz w:val="22"/>
          <w:szCs w:val="22"/>
        </w:rPr>
        <w:t>.</w:t>
      </w:r>
      <w:r w:rsidR="00936B90">
        <w:rPr>
          <w:rFonts w:ascii="Garamond" w:hAnsi="Garamond"/>
          <w:sz w:val="22"/>
          <w:szCs w:val="22"/>
        </w:rPr>
        <w:t xml:space="preserve"> </w:t>
      </w:r>
      <w:r w:rsidR="008B3876">
        <w:rPr>
          <w:rFonts w:ascii="Garamond" w:hAnsi="Garamond"/>
          <w:sz w:val="22"/>
          <w:szCs w:val="22"/>
        </w:rPr>
        <w:t xml:space="preserve">The economic growth somehow accelerated on the back of </w:t>
      </w:r>
      <w:r w:rsidR="0037679E">
        <w:rPr>
          <w:rFonts w:ascii="Garamond" w:hAnsi="Garamond"/>
          <w:sz w:val="22"/>
          <w:szCs w:val="22"/>
        </w:rPr>
        <w:t xml:space="preserve">some </w:t>
      </w:r>
      <w:r w:rsidR="008B3876">
        <w:rPr>
          <w:rFonts w:ascii="Garamond" w:hAnsi="Garamond"/>
          <w:sz w:val="22"/>
          <w:szCs w:val="22"/>
        </w:rPr>
        <w:t xml:space="preserve">recoveries in external demand and investment. </w:t>
      </w:r>
      <w:r w:rsidR="00667AD6">
        <w:rPr>
          <w:rFonts w:ascii="Garamond" w:hAnsi="Garamond" w:cs="Sylfaen"/>
          <w:color w:val="000000"/>
          <w:sz w:val="22"/>
          <w:szCs w:val="22"/>
        </w:rPr>
        <w:t>T</w:t>
      </w:r>
      <w:r w:rsidR="00BB4AE9" w:rsidRPr="00A32AB2">
        <w:rPr>
          <w:rFonts w:ascii="Garamond" w:hAnsi="Garamond" w:cs="Sylfaen"/>
          <w:color w:val="000000"/>
          <w:sz w:val="22"/>
          <w:szCs w:val="22"/>
        </w:rPr>
        <w:t xml:space="preserve">he </w:t>
      </w:r>
      <w:r w:rsidR="004C3474">
        <w:rPr>
          <w:rFonts w:ascii="Garamond" w:hAnsi="Garamond" w:cs="Sylfaen"/>
          <w:color w:val="000000"/>
          <w:sz w:val="22"/>
          <w:szCs w:val="22"/>
        </w:rPr>
        <w:t xml:space="preserve">third quarter’s </w:t>
      </w:r>
      <w:r w:rsidR="00BB4AE9" w:rsidRPr="00A32AB2">
        <w:rPr>
          <w:rFonts w:ascii="Garamond" w:hAnsi="Garamond" w:cs="Sylfaen"/>
          <w:color w:val="000000"/>
          <w:sz w:val="22"/>
          <w:szCs w:val="22"/>
        </w:rPr>
        <w:t xml:space="preserve">inflation </w:t>
      </w:r>
      <w:r w:rsidR="004C3474">
        <w:rPr>
          <w:rFonts w:ascii="Garamond" w:hAnsi="Garamond" w:cs="Sylfaen"/>
          <w:color w:val="000000"/>
          <w:sz w:val="22"/>
          <w:szCs w:val="22"/>
        </w:rPr>
        <w:t>rate averaged 1</w:t>
      </w:r>
      <w:r w:rsidR="00667AD6">
        <w:rPr>
          <w:rFonts w:ascii="Garamond" w:hAnsi="Garamond" w:cs="Sylfaen"/>
          <w:color w:val="000000"/>
          <w:sz w:val="22"/>
          <w:szCs w:val="22"/>
        </w:rPr>
        <w:t>.</w:t>
      </w:r>
      <w:r w:rsidR="004C3474">
        <w:rPr>
          <w:rFonts w:ascii="Garamond" w:hAnsi="Garamond" w:cs="Sylfaen"/>
          <w:color w:val="000000"/>
          <w:sz w:val="22"/>
          <w:szCs w:val="22"/>
        </w:rPr>
        <w:t>1</w:t>
      </w:r>
      <w:r w:rsidR="00667AD6">
        <w:rPr>
          <w:rFonts w:ascii="Garamond" w:hAnsi="Garamond" w:cs="Sylfaen"/>
          <w:color w:val="000000"/>
          <w:sz w:val="22"/>
          <w:szCs w:val="22"/>
        </w:rPr>
        <w:t>%</w:t>
      </w:r>
      <w:r w:rsidR="004C3474">
        <w:rPr>
          <w:rFonts w:ascii="Garamond" w:hAnsi="Garamond" w:cs="Sylfaen"/>
          <w:color w:val="000000"/>
          <w:sz w:val="22"/>
          <w:szCs w:val="22"/>
        </w:rPr>
        <w:t xml:space="preserve"> compared to </w:t>
      </w:r>
      <w:r w:rsidR="00667AD6">
        <w:rPr>
          <w:rFonts w:ascii="Garamond" w:hAnsi="Garamond" w:cs="Sylfaen"/>
          <w:color w:val="000000"/>
          <w:sz w:val="22"/>
          <w:szCs w:val="22"/>
        </w:rPr>
        <w:t xml:space="preserve">the relevant indicator of </w:t>
      </w:r>
      <w:r w:rsidR="004C3474">
        <w:rPr>
          <w:rFonts w:ascii="Garamond" w:hAnsi="Garamond" w:cs="Sylfaen"/>
          <w:color w:val="000000"/>
          <w:sz w:val="22"/>
          <w:szCs w:val="22"/>
        </w:rPr>
        <w:t>0</w:t>
      </w:r>
      <w:r w:rsidR="00BB4AE9" w:rsidRPr="00A32AB2">
        <w:rPr>
          <w:rFonts w:ascii="Garamond" w:hAnsi="Garamond" w:cs="Sylfaen"/>
          <w:color w:val="000000"/>
          <w:sz w:val="22"/>
          <w:szCs w:val="22"/>
        </w:rPr>
        <w:t>.</w:t>
      </w:r>
      <w:r w:rsidR="004C3474">
        <w:rPr>
          <w:rFonts w:ascii="Garamond" w:hAnsi="Garamond" w:cs="Sylfaen"/>
          <w:color w:val="000000"/>
          <w:sz w:val="22"/>
          <w:szCs w:val="22"/>
        </w:rPr>
        <w:t>8</w:t>
      </w:r>
      <w:r w:rsidR="00BB4AE9" w:rsidRPr="00A32AB2">
        <w:rPr>
          <w:rFonts w:ascii="Garamond" w:hAnsi="Garamond" w:cs="Sylfaen"/>
          <w:color w:val="000000"/>
          <w:sz w:val="22"/>
          <w:szCs w:val="22"/>
        </w:rPr>
        <w:t xml:space="preserve">% </w:t>
      </w:r>
      <w:r w:rsidR="00667AD6">
        <w:rPr>
          <w:rFonts w:ascii="Garamond" w:hAnsi="Garamond" w:cs="Sylfaen"/>
          <w:color w:val="000000"/>
          <w:sz w:val="22"/>
          <w:szCs w:val="22"/>
        </w:rPr>
        <w:t xml:space="preserve">reported in </w:t>
      </w:r>
      <w:r w:rsidR="00BB4AE9" w:rsidRPr="00A32AB2">
        <w:rPr>
          <w:rFonts w:ascii="Garamond" w:hAnsi="Garamond" w:cs="Sylfaen"/>
          <w:color w:val="000000"/>
          <w:sz w:val="22"/>
          <w:szCs w:val="22"/>
        </w:rPr>
        <w:t>the previous quarter</w:t>
      </w:r>
      <w:r w:rsidR="004C3474">
        <w:rPr>
          <w:rFonts w:ascii="Garamond" w:hAnsi="Garamond" w:cs="Sylfaen"/>
          <w:color w:val="000000"/>
          <w:sz w:val="22"/>
          <w:szCs w:val="22"/>
        </w:rPr>
        <w:t>, yet it</w:t>
      </w:r>
      <w:r w:rsidR="00667AD6" w:rsidRPr="00667AD6">
        <w:rPr>
          <w:rFonts w:ascii="Garamond" w:hAnsi="Garamond" w:cs="Sylfaen"/>
          <w:color w:val="000000"/>
          <w:sz w:val="22"/>
          <w:szCs w:val="22"/>
        </w:rPr>
        <w:t xml:space="preserve"> remains </w:t>
      </w:r>
      <w:r w:rsidR="00667AD6">
        <w:rPr>
          <w:rFonts w:ascii="Garamond" w:hAnsi="Garamond" w:cs="Sylfaen"/>
          <w:color w:val="000000"/>
          <w:sz w:val="22"/>
          <w:szCs w:val="22"/>
        </w:rPr>
        <w:t>below its</w:t>
      </w:r>
      <w:r w:rsidR="00667AD6" w:rsidRPr="00667AD6">
        <w:rPr>
          <w:rFonts w:ascii="Garamond" w:hAnsi="Garamond" w:cs="Sylfaen"/>
          <w:color w:val="000000"/>
          <w:sz w:val="22"/>
          <w:szCs w:val="22"/>
        </w:rPr>
        <w:t xml:space="preserve"> </w:t>
      </w:r>
      <w:r w:rsidR="004C3474">
        <w:rPr>
          <w:rFonts w:ascii="Garamond" w:hAnsi="Garamond" w:cs="Sylfaen"/>
          <w:color w:val="000000"/>
          <w:sz w:val="22"/>
          <w:szCs w:val="22"/>
        </w:rPr>
        <w:t xml:space="preserve">long-term target </w:t>
      </w:r>
      <w:r w:rsidR="00667AD6" w:rsidRPr="00667AD6">
        <w:rPr>
          <w:rFonts w:ascii="Garamond" w:hAnsi="Garamond" w:cs="Sylfaen"/>
          <w:color w:val="000000"/>
          <w:sz w:val="22"/>
          <w:szCs w:val="22"/>
        </w:rPr>
        <w:t xml:space="preserve">due to lower prices of </w:t>
      </w:r>
      <w:r w:rsidR="004C3474">
        <w:rPr>
          <w:rFonts w:ascii="Garamond" w:hAnsi="Garamond" w:cs="Sylfaen"/>
          <w:color w:val="000000"/>
          <w:sz w:val="22"/>
          <w:szCs w:val="22"/>
        </w:rPr>
        <w:t>import goods and oil products</w:t>
      </w:r>
      <w:r w:rsidR="00667AD6" w:rsidRPr="00667AD6">
        <w:rPr>
          <w:rFonts w:ascii="Garamond" w:hAnsi="Garamond" w:cs="Sylfaen"/>
          <w:color w:val="000000"/>
          <w:sz w:val="22"/>
          <w:szCs w:val="22"/>
        </w:rPr>
        <w:t>.</w:t>
      </w:r>
      <w:r w:rsidR="00667AD6">
        <w:rPr>
          <w:rFonts w:ascii="Garamond" w:hAnsi="Garamond" w:cs="Sylfaen"/>
          <w:color w:val="000000"/>
          <w:sz w:val="22"/>
          <w:szCs w:val="22"/>
        </w:rPr>
        <w:t xml:space="preserve"> </w:t>
      </w:r>
      <w:r w:rsidR="00381DE7">
        <w:rPr>
          <w:rFonts w:ascii="Garamond" w:hAnsi="Garamond" w:cs="Sylfaen"/>
          <w:color w:val="000000"/>
          <w:sz w:val="22"/>
          <w:szCs w:val="22"/>
        </w:rPr>
        <w:t>I</w:t>
      </w:r>
      <w:r w:rsidR="00BB4AE9" w:rsidRPr="00A32AB2">
        <w:rPr>
          <w:rFonts w:ascii="Garamond" w:hAnsi="Garamond" w:cs="Sylfaen"/>
          <w:color w:val="000000"/>
          <w:sz w:val="22"/>
          <w:szCs w:val="22"/>
        </w:rPr>
        <w:t xml:space="preserve">n such circumstances, </w:t>
      </w:r>
      <w:r w:rsidR="007F1BA5">
        <w:rPr>
          <w:rFonts w:ascii="Garamond" w:hAnsi="Garamond" w:cs="Sylfaen"/>
          <w:color w:val="000000"/>
          <w:sz w:val="22"/>
          <w:szCs w:val="22"/>
        </w:rPr>
        <w:t xml:space="preserve">in the </w:t>
      </w:r>
      <w:r w:rsidR="00AB2E19">
        <w:rPr>
          <w:rFonts w:ascii="Garamond" w:hAnsi="Garamond" w:cs="Sylfaen"/>
          <w:color w:val="000000"/>
          <w:sz w:val="22"/>
          <w:szCs w:val="22"/>
        </w:rPr>
        <w:t>third</w:t>
      </w:r>
      <w:r w:rsidR="007F1BA5">
        <w:rPr>
          <w:rFonts w:ascii="Garamond" w:hAnsi="Garamond" w:cs="Sylfaen"/>
          <w:color w:val="000000"/>
          <w:sz w:val="22"/>
          <w:szCs w:val="22"/>
        </w:rPr>
        <w:t xml:space="preserve"> quarter </w:t>
      </w:r>
      <w:r w:rsidR="00BB4AE9" w:rsidRPr="00A32AB2">
        <w:rPr>
          <w:rFonts w:ascii="Garamond" w:hAnsi="Garamond" w:cs="Sylfaen"/>
          <w:color w:val="000000"/>
          <w:sz w:val="22"/>
          <w:szCs w:val="22"/>
        </w:rPr>
        <w:t xml:space="preserve">the US Federal Reserve System </w:t>
      </w:r>
      <w:r w:rsidR="00325A21" w:rsidRPr="00A32AB2">
        <w:rPr>
          <w:rFonts w:ascii="Garamond" w:hAnsi="Garamond" w:cs="Sylfaen"/>
          <w:color w:val="000000"/>
          <w:sz w:val="22"/>
          <w:szCs w:val="22"/>
        </w:rPr>
        <w:t>ke</w:t>
      </w:r>
      <w:r w:rsidR="00381DE7">
        <w:rPr>
          <w:rFonts w:ascii="Garamond" w:hAnsi="Garamond" w:cs="Sylfaen"/>
          <w:color w:val="000000"/>
          <w:sz w:val="22"/>
          <w:szCs w:val="22"/>
        </w:rPr>
        <w:t xml:space="preserve">pt the policy rates </w:t>
      </w:r>
      <w:r w:rsidR="00325A21" w:rsidRPr="00A32AB2">
        <w:rPr>
          <w:rFonts w:ascii="Garamond" w:hAnsi="Garamond" w:cs="Sylfaen"/>
          <w:color w:val="000000"/>
          <w:sz w:val="22"/>
          <w:szCs w:val="22"/>
        </w:rPr>
        <w:t xml:space="preserve">in the range of </w:t>
      </w:r>
      <w:r w:rsidR="00BB4AE9" w:rsidRPr="00A32AB2">
        <w:rPr>
          <w:rFonts w:ascii="Garamond" w:hAnsi="Garamond" w:cs="Sylfaen"/>
          <w:color w:val="000000"/>
          <w:sz w:val="22"/>
          <w:szCs w:val="22"/>
        </w:rPr>
        <w:t>0.25-0.5%.</w:t>
      </w:r>
    </w:p>
    <w:p w14:paraId="5C09F6A1" w14:textId="77777777" w:rsidR="00F2750C" w:rsidRPr="00A32AB2" w:rsidRDefault="00F2750C" w:rsidP="0006101A">
      <w:pPr>
        <w:spacing w:line="360" w:lineRule="auto"/>
        <w:jc w:val="both"/>
        <w:rPr>
          <w:rFonts w:ascii="Garamond" w:hAnsi="Garamond" w:cs="Sylfaen"/>
          <w:color w:val="000000"/>
          <w:sz w:val="22"/>
          <w:szCs w:val="22"/>
        </w:rPr>
      </w:pPr>
    </w:p>
    <w:p w14:paraId="05477507" w14:textId="77777777" w:rsidR="00C9745D" w:rsidRDefault="00F2750C" w:rsidP="0006101A">
      <w:pPr>
        <w:spacing w:line="360" w:lineRule="auto"/>
        <w:jc w:val="both"/>
        <w:rPr>
          <w:rStyle w:val="longtext"/>
          <w:rFonts w:ascii="Garamond" w:hAnsi="Garamond"/>
          <w:sz w:val="22"/>
          <w:szCs w:val="22"/>
        </w:rPr>
      </w:pPr>
      <w:r w:rsidRPr="00A32AB2">
        <w:rPr>
          <w:rFonts w:ascii="Garamond" w:hAnsi="Garamond"/>
          <w:sz w:val="22"/>
          <w:szCs w:val="22"/>
        </w:rPr>
        <w:t>According to preliminary estimates provided by the Eurostat, economic growth in</w:t>
      </w:r>
      <w:r w:rsidR="00E06CB9">
        <w:rPr>
          <w:rFonts w:ascii="Garamond" w:hAnsi="Garamond"/>
          <w:sz w:val="22"/>
          <w:szCs w:val="22"/>
        </w:rPr>
        <w:t xml:space="preserve"> the</w:t>
      </w:r>
      <w:r w:rsidR="0086764D" w:rsidRPr="00A32AB2">
        <w:rPr>
          <w:rFonts w:ascii="Garamond" w:hAnsi="Garamond"/>
          <w:sz w:val="22"/>
          <w:szCs w:val="22"/>
          <w:lang w:val="hy-AM"/>
        </w:rPr>
        <w:t xml:space="preserve"> </w:t>
      </w:r>
      <w:r w:rsidRPr="00A32AB2">
        <w:rPr>
          <w:rFonts w:ascii="Garamond" w:hAnsi="Garamond"/>
          <w:b/>
          <w:sz w:val="22"/>
          <w:szCs w:val="22"/>
        </w:rPr>
        <w:t>Eurozone</w:t>
      </w:r>
      <w:r w:rsidR="0086764D" w:rsidRPr="00A32AB2">
        <w:rPr>
          <w:rFonts w:ascii="Garamond" w:hAnsi="Garamond"/>
          <w:b/>
          <w:sz w:val="22"/>
          <w:szCs w:val="22"/>
          <w:lang w:val="hy-AM"/>
        </w:rPr>
        <w:t xml:space="preserve"> </w:t>
      </w:r>
      <w:r w:rsidRPr="00A32AB2">
        <w:rPr>
          <w:rFonts w:ascii="Garamond" w:hAnsi="Garamond"/>
          <w:sz w:val="22"/>
          <w:szCs w:val="22"/>
        </w:rPr>
        <w:t xml:space="preserve">in the </w:t>
      </w:r>
      <w:r w:rsidR="00AB2E19">
        <w:rPr>
          <w:rFonts w:ascii="Garamond" w:hAnsi="Garamond"/>
          <w:sz w:val="22"/>
          <w:szCs w:val="22"/>
        </w:rPr>
        <w:t>thir</w:t>
      </w:r>
      <w:r w:rsidR="00E06CB9">
        <w:rPr>
          <w:rFonts w:ascii="Garamond" w:hAnsi="Garamond"/>
          <w:sz w:val="22"/>
          <w:szCs w:val="22"/>
        </w:rPr>
        <w:t>d</w:t>
      </w:r>
      <w:r w:rsidRPr="00A32AB2">
        <w:rPr>
          <w:rFonts w:ascii="Garamond" w:hAnsi="Garamond"/>
          <w:sz w:val="22"/>
          <w:szCs w:val="22"/>
        </w:rPr>
        <w:t xml:space="preserve"> quarter of 2016</w:t>
      </w:r>
      <w:r w:rsidR="0086764D" w:rsidRPr="00A32AB2">
        <w:rPr>
          <w:rFonts w:ascii="Garamond" w:hAnsi="Garamond"/>
          <w:sz w:val="22"/>
          <w:szCs w:val="22"/>
          <w:lang w:val="hy-AM"/>
        </w:rPr>
        <w:t xml:space="preserve"> </w:t>
      </w:r>
      <w:r w:rsidR="00EA7BD8">
        <w:rPr>
          <w:rFonts w:ascii="Garamond" w:hAnsi="Garamond"/>
          <w:sz w:val="22"/>
          <w:szCs w:val="22"/>
        </w:rPr>
        <w:t>was</w:t>
      </w:r>
      <w:r w:rsidR="00AB2E19">
        <w:rPr>
          <w:rFonts w:ascii="Garamond" w:hAnsi="Garamond"/>
          <w:sz w:val="22"/>
          <w:szCs w:val="22"/>
        </w:rPr>
        <w:t xml:space="preserve"> </w:t>
      </w:r>
      <w:r w:rsidRPr="00A32AB2">
        <w:rPr>
          <w:rFonts w:ascii="Garamond" w:hAnsi="Garamond"/>
          <w:sz w:val="22"/>
          <w:szCs w:val="22"/>
        </w:rPr>
        <w:t>1.</w:t>
      </w:r>
      <w:r w:rsidR="00AB2E19">
        <w:rPr>
          <w:rFonts w:ascii="Garamond" w:hAnsi="Garamond"/>
          <w:sz w:val="22"/>
          <w:szCs w:val="22"/>
        </w:rPr>
        <w:t>6</w:t>
      </w:r>
      <w:r w:rsidRPr="00A32AB2">
        <w:rPr>
          <w:rFonts w:ascii="Garamond" w:hAnsi="Garamond"/>
          <w:sz w:val="22"/>
          <w:szCs w:val="22"/>
        </w:rPr>
        <w:t xml:space="preserve">% </w:t>
      </w:r>
      <w:r w:rsidR="00AB2E19">
        <w:rPr>
          <w:rFonts w:ascii="Garamond" w:hAnsi="Garamond"/>
          <w:sz w:val="22"/>
          <w:szCs w:val="22"/>
        </w:rPr>
        <w:t>(1</w:t>
      </w:r>
      <w:r w:rsidR="00E06CB9">
        <w:rPr>
          <w:rFonts w:ascii="Garamond" w:hAnsi="Garamond"/>
          <w:sz w:val="22"/>
          <w:szCs w:val="22"/>
        </w:rPr>
        <w:t>.</w:t>
      </w:r>
      <w:r w:rsidR="00AB2E19">
        <w:rPr>
          <w:rFonts w:ascii="Garamond" w:hAnsi="Garamond"/>
          <w:sz w:val="22"/>
          <w:szCs w:val="22"/>
        </w:rPr>
        <w:t>7</w:t>
      </w:r>
      <w:r w:rsidR="00E06CB9">
        <w:rPr>
          <w:rFonts w:ascii="Garamond" w:hAnsi="Garamond"/>
          <w:sz w:val="22"/>
          <w:szCs w:val="22"/>
        </w:rPr>
        <w:t>% y/y in the previous quarter</w:t>
      </w:r>
      <w:r w:rsidR="00AB2E19">
        <w:rPr>
          <w:rFonts w:ascii="Garamond" w:hAnsi="Garamond"/>
          <w:sz w:val="22"/>
          <w:szCs w:val="22"/>
        </w:rPr>
        <w:t>)</w:t>
      </w:r>
      <w:r w:rsidRPr="00A32AB2">
        <w:rPr>
          <w:rFonts w:ascii="Garamond" w:hAnsi="Garamond"/>
          <w:sz w:val="22"/>
          <w:szCs w:val="22"/>
        </w:rPr>
        <w:t xml:space="preserve">. </w:t>
      </w:r>
      <w:r w:rsidR="002002B9">
        <w:rPr>
          <w:rFonts w:ascii="Garamond" w:hAnsi="Garamond"/>
          <w:sz w:val="22"/>
          <w:szCs w:val="22"/>
        </w:rPr>
        <w:t>The s</w:t>
      </w:r>
      <w:r w:rsidR="002002B9" w:rsidRPr="002002B9">
        <w:rPr>
          <w:rFonts w:ascii="Garamond" w:hAnsi="Garamond"/>
          <w:sz w:val="22"/>
          <w:szCs w:val="22"/>
        </w:rPr>
        <w:t xml:space="preserve">trengthening </w:t>
      </w:r>
      <w:r w:rsidR="002002B9">
        <w:rPr>
          <w:rFonts w:ascii="Garamond" w:hAnsi="Garamond"/>
          <w:sz w:val="22"/>
          <w:szCs w:val="22"/>
        </w:rPr>
        <w:t xml:space="preserve">of </w:t>
      </w:r>
      <w:r w:rsidR="002002B9" w:rsidRPr="002002B9">
        <w:rPr>
          <w:rFonts w:ascii="Garamond" w:hAnsi="Garamond"/>
          <w:sz w:val="22"/>
          <w:szCs w:val="22"/>
        </w:rPr>
        <w:t>domestic demand</w:t>
      </w:r>
      <w:r w:rsidR="0043486A">
        <w:rPr>
          <w:rFonts w:ascii="Garamond" w:hAnsi="Garamond"/>
          <w:sz w:val="22"/>
          <w:szCs w:val="22"/>
        </w:rPr>
        <w:t xml:space="preserve"> and some growth in exports were the main </w:t>
      </w:r>
      <w:r w:rsidR="0043486A" w:rsidRPr="0043486A">
        <w:rPr>
          <w:rFonts w:ascii="Garamond" w:hAnsi="Garamond"/>
          <w:sz w:val="22"/>
          <w:szCs w:val="22"/>
        </w:rPr>
        <w:t>contribut</w:t>
      </w:r>
      <w:r w:rsidR="0043486A">
        <w:rPr>
          <w:rFonts w:ascii="Garamond" w:hAnsi="Garamond"/>
          <w:sz w:val="22"/>
          <w:szCs w:val="22"/>
        </w:rPr>
        <w:t xml:space="preserve">ion </w:t>
      </w:r>
      <w:r w:rsidR="0043486A" w:rsidRPr="0043486A">
        <w:rPr>
          <w:rFonts w:ascii="Garamond" w:hAnsi="Garamond"/>
          <w:sz w:val="22"/>
          <w:szCs w:val="22"/>
        </w:rPr>
        <w:t xml:space="preserve">to the </w:t>
      </w:r>
      <w:r w:rsidR="0043486A">
        <w:rPr>
          <w:rFonts w:ascii="Garamond" w:hAnsi="Garamond"/>
          <w:sz w:val="22"/>
          <w:szCs w:val="22"/>
        </w:rPr>
        <w:t xml:space="preserve">economic </w:t>
      </w:r>
      <w:r w:rsidR="0043486A" w:rsidRPr="0043486A">
        <w:rPr>
          <w:rFonts w:ascii="Garamond" w:hAnsi="Garamond"/>
          <w:sz w:val="22"/>
          <w:szCs w:val="22"/>
        </w:rPr>
        <w:t>growth</w:t>
      </w:r>
      <w:r w:rsidR="002002B9" w:rsidRPr="002002B9">
        <w:rPr>
          <w:rFonts w:ascii="Garamond" w:hAnsi="Garamond"/>
          <w:sz w:val="22"/>
          <w:szCs w:val="22"/>
        </w:rPr>
        <w:t>.</w:t>
      </w:r>
      <w:r w:rsidR="002002B9">
        <w:rPr>
          <w:rFonts w:ascii="Garamond" w:hAnsi="Garamond"/>
          <w:sz w:val="22"/>
          <w:szCs w:val="22"/>
        </w:rPr>
        <w:t xml:space="preserve"> </w:t>
      </w:r>
      <w:r w:rsidR="005F3B95">
        <w:rPr>
          <w:rFonts w:ascii="Garamond" w:hAnsi="Garamond"/>
          <w:sz w:val="22"/>
          <w:szCs w:val="22"/>
        </w:rPr>
        <w:t xml:space="preserve">However, </w:t>
      </w:r>
      <w:r w:rsidRPr="00A32AB2">
        <w:rPr>
          <w:rFonts w:ascii="Garamond" w:hAnsi="Garamond"/>
          <w:sz w:val="22"/>
          <w:szCs w:val="22"/>
        </w:rPr>
        <w:t xml:space="preserve">the inflation </w:t>
      </w:r>
      <w:r w:rsidR="001C02B8" w:rsidRPr="00A32AB2">
        <w:rPr>
          <w:rFonts w:ascii="Garamond" w:hAnsi="Garamond"/>
          <w:sz w:val="22"/>
          <w:szCs w:val="22"/>
        </w:rPr>
        <w:t xml:space="preserve">rate </w:t>
      </w:r>
      <w:r w:rsidR="005F3B95">
        <w:rPr>
          <w:rFonts w:ascii="Garamond" w:hAnsi="Garamond"/>
          <w:sz w:val="22"/>
          <w:szCs w:val="22"/>
        </w:rPr>
        <w:t xml:space="preserve">was </w:t>
      </w:r>
      <w:r w:rsidR="005F3B95" w:rsidRPr="005F3B95">
        <w:rPr>
          <w:rFonts w:ascii="Garamond" w:hAnsi="Garamond"/>
          <w:sz w:val="22"/>
          <w:szCs w:val="22"/>
        </w:rPr>
        <w:t xml:space="preserve">still </w:t>
      </w:r>
      <w:r w:rsidR="005F3B95">
        <w:rPr>
          <w:rFonts w:ascii="Garamond" w:hAnsi="Garamond"/>
          <w:sz w:val="22"/>
          <w:szCs w:val="22"/>
        </w:rPr>
        <w:t>far be</w:t>
      </w:r>
      <w:r w:rsidR="005F3B95" w:rsidRPr="005F3B95">
        <w:rPr>
          <w:rFonts w:ascii="Garamond" w:hAnsi="Garamond"/>
          <w:sz w:val="22"/>
          <w:szCs w:val="22"/>
        </w:rPr>
        <w:t>low its target</w:t>
      </w:r>
      <w:r w:rsidR="005F3B95">
        <w:rPr>
          <w:rFonts w:ascii="Garamond" w:hAnsi="Garamond"/>
          <w:sz w:val="22"/>
          <w:szCs w:val="22"/>
        </w:rPr>
        <w:t xml:space="preserve"> – in </w:t>
      </w:r>
      <w:r w:rsidR="00303F1E">
        <w:rPr>
          <w:rFonts w:ascii="Garamond" w:hAnsi="Garamond"/>
          <w:sz w:val="22"/>
          <w:szCs w:val="22"/>
        </w:rPr>
        <w:t xml:space="preserve">the </w:t>
      </w:r>
      <w:r w:rsidR="005F3B95">
        <w:rPr>
          <w:rFonts w:ascii="Garamond" w:hAnsi="Garamond"/>
          <w:sz w:val="22"/>
          <w:szCs w:val="22"/>
        </w:rPr>
        <w:t>third</w:t>
      </w:r>
      <w:r w:rsidR="00303F1E">
        <w:rPr>
          <w:rFonts w:ascii="Garamond" w:hAnsi="Garamond"/>
          <w:sz w:val="22"/>
          <w:szCs w:val="22"/>
        </w:rPr>
        <w:t xml:space="preserve"> quarter </w:t>
      </w:r>
      <w:r w:rsidR="005F3B95">
        <w:rPr>
          <w:rFonts w:ascii="Garamond" w:hAnsi="Garamond"/>
          <w:sz w:val="22"/>
          <w:szCs w:val="22"/>
        </w:rPr>
        <w:t xml:space="preserve">it amounted to </w:t>
      </w:r>
      <w:r w:rsidR="00303F1E">
        <w:rPr>
          <w:rFonts w:ascii="Garamond" w:hAnsi="Garamond"/>
          <w:sz w:val="22"/>
          <w:szCs w:val="22"/>
        </w:rPr>
        <w:t>0.</w:t>
      </w:r>
      <w:r w:rsidR="005F3B95">
        <w:rPr>
          <w:rFonts w:ascii="Garamond" w:hAnsi="Garamond"/>
          <w:sz w:val="22"/>
          <w:szCs w:val="22"/>
        </w:rPr>
        <w:t>3</w:t>
      </w:r>
      <w:r w:rsidR="00303F1E">
        <w:rPr>
          <w:rFonts w:ascii="Garamond" w:hAnsi="Garamond"/>
          <w:sz w:val="22"/>
          <w:szCs w:val="22"/>
        </w:rPr>
        <w:t xml:space="preserve">% </w:t>
      </w:r>
      <w:r w:rsidR="005F3B95">
        <w:rPr>
          <w:rFonts w:ascii="Garamond" w:hAnsi="Garamond"/>
          <w:sz w:val="22"/>
          <w:szCs w:val="22"/>
        </w:rPr>
        <w:t>against 0.1% of deflation recorded in the second quarter,</w:t>
      </w:r>
      <w:r w:rsidR="00C9745D">
        <w:rPr>
          <w:rFonts w:ascii="Garamond" w:hAnsi="Garamond"/>
          <w:sz w:val="22"/>
          <w:szCs w:val="22"/>
        </w:rPr>
        <w:t xml:space="preserve"> which still carries the influence of low oil prices</w:t>
      </w:r>
      <w:r w:rsidR="001C02B8" w:rsidRPr="00A32AB2">
        <w:rPr>
          <w:rFonts w:ascii="Garamond" w:hAnsi="Garamond"/>
          <w:sz w:val="22"/>
          <w:szCs w:val="22"/>
        </w:rPr>
        <w:t>.</w:t>
      </w:r>
      <w:r w:rsidRPr="00A32AB2">
        <w:rPr>
          <w:rFonts w:ascii="Garamond" w:hAnsi="Garamond"/>
          <w:sz w:val="22"/>
          <w:szCs w:val="22"/>
        </w:rPr>
        <w:t xml:space="preserve"> </w:t>
      </w:r>
      <w:r w:rsidR="00C9745D">
        <w:rPr>
          <w:rFonts w:ascii="Garamond" w:hAnsi="Garamond"/>
          <w:sz w:val="22"/>
          <w:szCs w:val="22"/>
        </w:rPr>
        <w:t xml:space="preserve">In the </w:t>
      </w:r>
      <w:r w:rsidR="005F3B95">
        <w:rPr>
          <w:rFonts w:ascii="Garamond" w:hAnsi="Garamond"/>
          <w:sz w:val="22"/>
          <w:szCs w:val="22"/>
        </w:rPr>
        <w:t>third</w:t>
      </w:r>
      <w:r w:rsidR="00C9745D">
        <w:rPr>
          <w:rFonts w:ascii="Garamond" w:hAnsi="Garamond"/>
          <w:sz w:val="22"/>
          <w:szCs w:val="22"/>
        </w:rPr>
        <w:t xml:space="preserve"> </w:t>
      </w:r>
      <w:r w:rsidRPr="00A32AB2">
        <w:rPr>
          <w:rFonts w:ascii="Garamond" w:hAnsi="Garamond"/>
          <w:sz w:val="22"/>
          <w:szCs w:val="22"/>
        </w:rPr>
        <w:t>quarter</w:t>
      </w:r>
      <w:r w:rsidR="005F3B95">
        <w:rPr>
          <w:rFonts w:ascii="Garamond" w:hAnsi="Garamond"/>
          <w:sz w:val="22"/>
          <w:szCs w:val="22"/>
        </w:rPr>
        <w:t xml:space="preserve"> too,</w:t>
      </w:r>
      <w:r w:rsidRPr="00A32AB2">
        <w:rPr>
          <w:rFonts w:ascii="Garamond" w:hAnsi="Garamond"/>
          <w:sz w:val="22"/>
          <w:szCs w:val="22"/>
        </w:rPr>
        <w:t xml:space="preserve"> </w:t>
      </w:r>
      <w:r w:rsidRPr="00A32AB2">
        <w:rPr>
          <w:rStyle w:val="longtext"/>
          <w:rFonts w:ascii="Garamond" w:hAnsi="Garamond"/>
          <w:sz w:val="22"/>
          <w:szCs w:val="22"/>
        </w:rPr>
        <w:t>the European Central Bank</w:t>
      </w:r>
      <w:r w:rsidR="0086764D" w:rsidRPr="00A32AB2">
        <w:rPr>
          <w:rStyle w:val="longtext"/>
          <w:rFonts w:ascii="Garamond" w:hAnsi="Garamond"/>
          <w:sz w:val="22"/>
          <w:szCs w:val="22"/>
          <w:lang w:val="hy-AM"/>
        </w:rPr>
        <w:t xml:space="preserve"> </w:t>
      </w:r>
      <w:r w:rsidR="00C9745D">
        <w:rPr>
          <w:rStyle w:val="longtext"/>
          <w:rFonts w:ascii="Garamond" w:hAnsi="Garamond"/>
          <w:sz w:val="22"/>
          <w:szCs w:val="22"/>
        </w:rPr>
        <w:t xml:space="preserve">kept </w:t>
      </w:r>
      <w:r w:rsidRPr="00A32AB2">
        <w:rPr>
          <w:rStyle w:val="longtext"/>
          <w:rFonts w:ascii="Garamond" w:hAnsi="Garamond"/>
          <w:sz w:val="22"/>
          <w:szCs w:val="22"/>
        </w:rPr>
        <w:t>the policy rate</w:t>
      </w:r>
      <w:r w:rsidR="001C02B8" w:rsidRPr="00A32AB2">
        <w:rPr>
          <w:rStyle w:val="longtext"/>
          <w:rFonts w:ascii="Garamond" w:hAnsi="Garamond"/>
          <w:sz w:val="22"/>
          <w:szCs w:val="22"/>
        </w:rPr>
        <w:t>s</w:t>
      </w:r>
      <w:r w:rsidR="00C9745D">
        <w:rPr>
          <w:rStyle w:val="longtext"/>
          <w:rFonts w:ascii="Garamond" w:hAnsi="Garamond"/>
          <w:sz w:val="22"/>
          <w:szCs w:val="22"/>
        </w:rPr>
        <w:t xml:space="preserve"> at </w:t>
      </w:r>
      <w:r w:rsidRPr="00A32AB2">
        <w:rPr>
          <w:rStyle w:val="longtext"/>
          <w:rFonts w:ascii="Garamond" w:hAnsi="Garamond"/>
          <w:sz w:val="22"/>
          <w:szCs w:val="22"/>
        </w:rPr>
        <w:t xml:space="preserve">the level of 0.0% </w:t>
      </w:r>
      <w:r w:rsidR="00C9745D">
        <w:rPr>
          <w:rStyle w:val="longtext"/>
          <w:rFonts w:ascii="Garamond" w:hAnsi="Garamond"/>
          <w:sz w:val="22"/>
          <w:szCs w:val="22"/>
        </w:rPr>
        <w:t xml:space="preserve">for </w:t>
      </w:r>
      <w:r w:rsidR="00C9745D" w:rsidRPr="00A32AB2">
        <w:rPr>
          <w:rStyle w:val="longtext"/>
          <w:rFonts w:ascii="Garamond" w:hAnsi="Garamond"/>
          <w:sz w:val="22"/>
          <w:szCs w:val="22"/>
        </w:rPr>
        <w:t xml:space="preserve">refinancing rate </w:t>
      </w:r>
      <w:r w:rsidR="00C9745D">
        <w:rPr>
          <w:rStyle w:val="longtext"/>
          <w:rFonts w:ascii="Garamond" w:hAnsi="Garamond"/>
          <w:sz w:val="22"/>
          <w:szCs w:val="22"/>
        </w:rPr>
        <w:t xml:space="preserve">and </w:t>
      </w:r>
      <w:r w:rsidR="00C9745D" w:rsidRPr="00A32AB2">
        <w:rPr>
          <w:rFonts w:ascii="Garamond" w:hAnsi="Garamond"/>
          <w:color w:val="000000"/>
          <w:sz w:val="22"/>
          <w:szCs w:val="22"/>
          <w:shd w:val="clear" w:color="auto" w:fill="FFFFFF"/>
        </w:rPr>
        <w:t>-</w:t>
      </w:r>
      <w:r w:rsidR="00C9745D" w:rsidRPr="00A32AB2">
        <w:rPr>
          <w:rStyle w:val="longtext"/>
          <w:rFonts w:ascii="Garamond" w:hAnsi="Garamond"/>
          <w:sz w:val="22"/>
          <w:szCs w:val="22"/>
        </w:rPr>
        <w:t>0.4%</w:t>
      </w:r>
      <w:r w:rsidR="00C9745D">
        <w:rPr>
          <w:rStyle w:val="longtext"/>
          <w:rFonts w:ascii="Garamond" w:hAnsi="Garamond"/>
          <w:sz w:val="22"/>
          <w:szCs w:val="22"/>
        </w:rPr>
        <w:t xml:space="preserve"> for </w:t>
      </w:r>
      <w:r w:rsidRPr="00A32AB2">
        <w:rPr>
          <w:rFonts w:ascii="Garamond" w:hAnsi="Garamond"/>
          <w:color w:val="000000"/>
          <w:sz w:val="22"/>
          <w:szCs w:val="22"/>
          <w:shd w:val="clear" w:color="auto" w:fill="FFFFFF"/>
        </w:rPr>
        <w:t>deposit facility rate</w:t>
      </w:r>
      <w:r w:rsidR="00C9745D">
        <w:rPr>
          <w:rFonts w:ascii="Garamond" w:hAnsi="Garamond"/>
          <w:color w:val="000000"/>
          <w:sz w:val="22"/>
          <w:szCs w:val="22"/>
          <w:shd w:val="clear" w:color="auto" w:fill="FFFFFF"/>
        </w:rPr>
        <w:t>.</w:t>
      </w:r>
      <w:r w:rsidRPr="00A32AB2">
        <w:rPr>
          <w:rStyle w:val="longtext"/>
          <w:rFonts w:ascii="Garamond" w:hAnsi="Garamond"/>
          <w:sz w:val="22"/>
          <w:szCs w:val="22"/>
        </w:rPr>
        <w:t xml:space="preserve"> </w:t>
      </w:r>
      <w:r w:rsidR="007E7CA8" w:rsidRPr="00A32AB2">
        <w:rPr>
          <w:rStyle w:val="longtext"/>
          <w:rFonts w:ascii="Garamond" w:hAnsi="Garamond"/>
          <w:sz w:val="22"/>
          <w:szCs w:val="22"/>
        </w:rPr>
        <w:t>At the same time, t</w:t>
      </w:r>
      <w:r w:rsidRPr="00A32AB2">
        <w:rPr>
          <w:rStyle w:val="longtext"/>
          <w:rFonts w:ascii="Garamond" w:hAnsi="Garamond"/>
          <w:sz w:val="22"/>
          <w:szCs w:val="22"/>
        </w:rPr>
        <w:t xml:space="preserve">he ECB </w:t>
      </w:r>
      <w:r w:rsidR="00C9745D">
        <w:rPr>
          <w:rStyle w:val="longtext"/>
          <w:rFonts w:ascii="Garamond" w:hAnsi="Garamond"/>
          <w:sz w:val="22"/>
          <w:szCs w:val="22"/>
        </w:rPr>
        <w:t xml:space="preserve">continued </w:t>
      </w:r>
      <w:r w:rsidR="007E7CA8" w:rsidRPr="00A32AB2">
        <w:rPr>
          <w:rStyle w:val="longtext"/>
          <w:rFonts w:ascii="Garamond" w:hAnsi="Garamond"/>
          <w:sz w:val="22"/>
          <w:szCs w:val="22"/>
        </w:rPr>
        <w:t xml:space="preserve">its </w:t>
      </w:r>
      <w:r w:rsidR="00C9745D">
        <w:rPr>
          <w:rStyle w:val="longtext"/>
          <w:rFonts w:ascii="Garamond" w:hAnsi="Garamond"/>
          <w:sz w:val="22"/>
          <w:szCs w:val="22"/>
        </w:rPr>
        <w:t xml:space="preserve">asset purchases </w:t>
      </w:r>
      <w:r w:rsidR="007E7CA8" w:rsidRPr="00A32AB2">
        <w:rPr>
          <w:rStyle w:val="longtext"/>
          <w:rFonts w:ascii="Garamond" w:hAnsi="Garamond"/>
          <w:sz w:val="22"/>
          <w:szCs w:val="22"/>
        </w:rPr>
        <w:t xml:space="preserve">program </w:t>
      </w:r>
      <w:r w:rsidR="00C9745D">
        <w:rPr>
          <w:rStyle w:val="longtext"/>
          <w:rFonts w:ascii="Garamond" w:hAnsi="Garamond"/>
          <w:sz w:val="22"/>
          <w:szCs w:val="22"/>
        </w:rPr>
        <w:t>at the amount of</w:t>
      </w:r>
      <w:r w:rsidR="007E7CA8" w:rsidRPr="00A32AB2">
        <w:rPr>
          <w:rStyle w:val="longtext"/>
          <w:rFonts w:ascii="Garamond" w:hAnsi="Garamond"/>
          <w:sz w:val="22"/>
          <w:szCs w:val="22"/>
        </w:rPr>
        <w:t xml:space="preserve"> EUR 80 billion a month</w:t>
      </w:r>
      <w:r w:rsidR="00C9745D">
        <w:rPr>
          <w:rStyle w:val="longtext"/>
          <w:rFonts w:ascii="Garamond" w:hAnsi="Garamond"/>
          <w:sz w:val="22"/>
          <w:szCs w:val="22"/>
        </w:rPr>
        <w:t>.</w:t>
      </w:r>
    </w:p>
    <w:p w14:paraId="21614EA8" w14:textId="77777777" w:rsidR="007E7CA8" w:rsidRPr="00A32AB2" w:rsidRDefault="007E7CA8" w:rsidP="0006101A">
      <w:pPr>
        <w:spacing w:line="360" w:lineRule="auto"/>
        <w:jc w:val="both"/>
        <w:rPr>
          <w:rStyle w:val="longtext"/>
          <w:rFonts w:ascii="Garamond" w:hAnsi="Garamond"/>
          <w:sz w:val="22"/>
          <w:szCs w:val="22"/>
        </w:rPr>
      </w:pPr>
    </w:p>
    <w:p w14:paraId="2D1356F4" w14:textId="77777777" w:rsidR="007E7CA8" w:rsidRPr="00A32AB2" w:rsidRDefault="007E7CA8" w:rsidP="0006101A">
      <w:pPr>
        <w:spacing w:line="360" w:lineRule="auto"/>
        <w:jc w:val="both"/>
        <w:rPr>
          <w:rStyle w:val="longtext"/>
          <w:rFonts w:ascii="Garamond" w:hAnsi="Garamond"/>
          <w:sz w:val="22"/>
          <w:szCs w:val="22"/>
        </w:rPr>
      </w:pPr>
      <w:r w:rsidRPr="00A32AB2">
        <w:rPr>
          <w:rStyle w:val="longtext"/>
          <w:rFonts w:ascii="Garamond" w:hAnsi="Garamond"/>
          <w:sz w:val="22"/>
          <w:szCs w:val="22"/>
        </w:rPr>
        <w:t xml:space="preserve">In the currency market in the </w:t>
      </w:r>
      <w:r w:rsidR="005F3B95">
        <w:rPr>
          <w:rStyle w:val="longtext"/>
          <w:rFonts w:ascii="Garamond" w:hAnsi="Garamond"/>
          <w:sz w:val="22"/>
          <w:szCs w:val="22"/>
        </w:rPr>
        <w:t>thir</w:t>
      </w:r>
      <w:r w:rsidR="0002241A">
        <w:rPr>
          <w:rStyle w:val="longtext"/>
          <w:rFonts w:ascii="Garamond" w:hAnsi="Garamond"/>
          <w:sz w:val="22"/>
          <w:szCs w:val="22"/>
        </w:rPr>
        <w:t>d</w:t>
      </w:r>
      <w:r w:rsidRPr="00A32AB2">
        <w:rPr>
          <w:rStyle w:val="longtext"/>
          <w:rFonts w:ascii="Garamond" w:hAnsi="Garamond"/>
          <w:sz w:val="22"/>
          <w:szCs w:val="22"/>
        </w:rPr>
        <w:t xml:space="preserve"> quarter of 2016</w:t>
      </w:r>
      <w:r w:rsidR="00C84135" w:rsidRPr="00A32AB2">
        <w:rPr>
          <w:rStyle w:val="longtext"/>
          <w:rFonts w:ascii="Garamond" w:hAnsi="Garamond"/>
          <w:sz w:val="22"/>
          <w:szCs w:val="22"/>
        </w:rPr>
        <w:t xml:space="preserve">, </w:t>
      </w:r>
      <w:r w:rsidR="005F3B95">
        <w:rPr>
          <w:rStyle w:val="longtext"/>
          <w:rFonts w:ascii="Garamond" w:hAnsi="Garamond"/>
          <w:sz w:val="22"/>
          <w:szCs w:val="22"/>
        </w:rPr>
        <w:t xml:space="preserve">the </w:t>
      </w:r>
      <w:r w:rsidR="00C84135" w:rsidRPr="00A32AB2">
        <w:rPr>
          <w:rStyle w:val="longtext"/>
          <w:rFonts w:ascii="Garamond" w:hAnsi="Garamond"/>
          <w:sz w:val="22"/>
          <w:szCs w:val="22"/>
        </w:rPr>
        <w:t>e</w:t>
      </w:r>
      <w:r w:rsidRPr="00A32AB2">
        <w:rPr>
          <w:rStyle w:val="longtext"/>
          <w:rFonts w:ascii="Garamond" w:hAnsi="Garamond"/>
          <w:sz w:val="22"/>
          <w:szCs w:val="22"/>
        </w:rPr>
        <w:t>uro</w:t>
      </w:r>
      <w:r w:rsidR="005F3B95">
        <w:rPr>
          <w:rStyle w:val="longtext"/>
          <w:rFonts w:ascii="Garamond" w:hAnsi="Garamond"/>
          <w:sz w:val="22"/>
          <w:szCs w:val="22"/>
        </w:rPr>
        <w:t xml:space="preserve"> depreciated aga</w:t>
      </w:r>
      <w:r w:rsidRPr="00A32AB2">
        <w:rPr>
          <w:rStyle w:val="longtext"/>
          <w:rFonts w:ascii="Garamond" w:hAnsi="Garamond"/>
          <w:sz w:val="22"/>
          <w:szCs w:val="22"/>
        </w:rPr>
        <w:t>inst the U.S. dollar</w:t>
      </w:r>
      <w:r w:rsidRPr="00A32AB2">
        <w:rPr>
          <w:rFonts w:ascii="Garamond" w:hAnsi="Garamond" w:cs="Sylfaen"/>
          <w:iCs/>
          <w:sz w:val="22"/>
          <w:szCs w:val="22"/>
        </w:rPr>
        <w:t xml:space="preserve"> </w:t>
      </w:r>
      <w:r w:rsidR="005F3B95">
        <w:rPr>
          <w:rFonts w:ascii="Garamond" w:hAnsi="Garamond" w:cs="Sylfaen"/>
          <w:iCs/>
          <w:sz w:val="22"/>
          <w:szCs w:val="22"/>
        </w:rPr>
        <w:t>by 1</w:t>
      </w:r>
      <w:r w:rsidRPr="00A32AB2">
        <w:rPr>
          <w:rFonts w:ascii="Garamond" w:hAnsi="Garamond" w:cs="Sylfaen"/>
          <w:iCs/>
          <w:sz w:val="22"/>
          <w:szCs w:val="22"/>
        </w:rPr>
        <w:t>.</w:t>
      </w:r>
      <w:r w:rsidR="005F3B95">
        <w:rPr>
          <w:rFonts w:ascii="Garamond" w:hAnsi="Garamond" w:cs="Sylfaen"/>
          <w:iCs/>
          <w:sz w:val="22"/>
          <w:szCs w:val="22"/>
        </w:rPr>
        <w:t>2</w:t>
      </w:r>
      <w:r w:rsidRPr="00A32AB2">
        <w:rPr>
          <w:rFonts w:ascii="Garamond" w:hAnsi="Garamond" w:cs="Sylfaen"/>
          <w:iCs/>
          <w:sz w:val="22"/>
          <w:szCs w:val="22"/>
        </w:rPr>
        <w:t>% q/q (</w:t>
      </w:r>
      <w:r w:rsidR="002A5F78" w:rsidRPr="00A32AB2">
        <w:rPr>
          <w:rFonts w:ascii="Garamond" w:hAnsi="Garamond" w:cs="Sylfaen"/>
          <w:iCs/>
          <w:sz w:val="22"/>
          <w:szCs w:val="22"/>
        </w:rPr>
        <w:t xml:space="preserve">with </w:t>
      </w:r>
      <w:r w:rsidRPr="00A32AB2">
        <w:rPr>
          <w:rFonts w:ascii="Garamond" w:hAnsi="Garamond" w:cs="Sylfaen"/>
          <w:iCs/>
          <w:sz w:val="22"/>
          <w:szCs w:val="22"/>
        </w:rPr>
        <w:t xml:space="preserve">y/y </w:t>
      </w:r>
      <w:r w:rsidR="0002241A">
        <w:rPr>
          <w:rFonts w:ascii="Garamond" w:hAnsi="Garamond" w:cs="Sylfaen"/>
          <w:iCs/>
          <w:sz w:val="22"/>
          <w:szCs w:val="22"/>
        </w:rPr>
        <w:t>ap</w:t>
      </w:r>
      <w:r w:rsidRPr="00A32AB2">
        <w:rPr>
          <w:rFonts w:ascii="Garamond" w:hAnsi="Garamond" w:cs="Sylfaen"/>
          <w:iCs/>
          <w:sz w:val="22"/>
          <w:szCs w:val="22"/>
        </w:rPr>
        <w:t>preciation</w:t>
      </w:r>
      <w:r w:rsidR="002A5F78" w:rsidRPr="00A32AB2">
        <w:rPr>
          <w:rFonts w:ascii="Garamond" w:hAnsi="Garamond" w:cs="Sylfaen"/>
          <w:iCs/>
          <w:sz w:val="22"/>
          <w:szCs w:val="22"/>
        </w:rPr>
        <w:t xml:space="preserve"> of </w:t>
      </w:r>
      <w:r w:rsidR="005F3B95">
        <w:rPr>
          <w:rFonts w:ascii="Garamond" w:hAnsi="Garamond" w:cs="Sylfaen"/>
          <w:iCs/>
          <w:sz w:val="22"/>
          <w:szCs w:val="22"/>
        </w:rPr>
        <w:t>0</w:t>
      </w:r>
      <w:r w:rsidRPr="00A32AB2">
        <w:rPr>
          <w:rFonts w:ascii="Garamond" w:hAnsi="Garamond" w:cs="Sylfaen"/>
          <w:iCs/>
          <w:sz w:val="22"/>
          <w:szCs w:val="22"/>
        </w:rPr>
        <w:t>.</w:t>
      </w:r>
      <w:r w:rsidR="005F3B95">
        <w:rPr>
          <w:rFonts w:ascii="Garamond" w:hAnsi="Garamond" w:cs="Sylfaen"/>
          <w:iCs/>
          <w:sz w:val="22"/>
          <w:szCs w:val="22"/>
        </w:rPr>
        <w:t>4</w:t>
      </w:r>
      <w:r w:rsidRPr="00A32AB2">
        <w:rPr>
          <w:rFonts w:ascii="Garamond" w:hAnsi="Garamond" w:cs="Sylfaen"/>
          <w:sz w:val="22"/>
          <w:szCs w:val="22"/>
        </w:rPr>
        <w:t>%)</w:t>
      </w:r>
      <w:r w:rsidR="002A5F78" w:rsidRPr="00A32AB2">
        <w:rPr>
          <w:rFonts w:ascii="Garamond" w:hAnsi="Garamond" w:cs="Sylfaen"/>
          <w:sz w:val="22"/>
          <w:szCs w:val="22"/>
        </w:rPr>
        <w:t xml:space="preserve">; the </w:t>
      </w:r>
      <w:r w:rsidRPr="00A32AB2">
        <w:rPr>
          <w:rStyle w:val="longtext"/>
          <w:rFonts w:ascii="Garamond" w:hAnsi="Garamond"/>
          <w:sz w:val="22"/>
          <w:szCs w:val="22"/>
        </w:rPr>
        <w:t xml:space="preserve">average exchange rate </w:t>
      </w:r>
      <w:r w:rsidR="002A5F78" w:rsidRPr="00A32AB2">
        <w:rPr>
          <w:rStyle w:val="longtext"/>
          <w:rFonts w:ascii="Garamond" w:hAnsi="Garamond"/>
          <w:sz w:val="22"/>
          <w:szCs w:val="22"/>
        </w:rPr>
        <w:t xml:space="preserve">reached </w:t>
      </w:r>
      <w:r w:rsidRPr="00A32AB2">
        <w:rPr>
          <w:rStyle w:val="longtext"/>
          <w:rFonts w:ascii="Garamond" w:hAnsi="Garamond"/>
          <w:sz w:val="22"/>
          <w:szCs w:val="22"/>
        </w:rPr>
        <w:t>1.</w:t>
      </w:r>
      <w:r w:rsidR="002A5F78" w:rsidRPr="00A32AB2">
        <w:rPr>
          <w:rStyle w:val="longtext"/>
          <w:rFonts w:ascii="Garamond" w:hAnsi="Garamond"/>
          <w:sz w:val="22"/>
          <w:szCs w:val="22"/>
        </w:rPr>
        <w:t>1</w:t>
      </w:r>
      <w:r w:rsidR="005F3B95">
        <w:rPr>
          <w:rStyle w:val="longtext"/>
          <w:rFonts w:ascii="Garamond" w:hAnsi="Garamond"/>
          <w:sz w:val="22"/>
          <w:szCs w:val="22"/>
        </w:rPr>
        <w:t>2</w:t>
      </w:r>
      <w:r w:rsidRPr="00A32AB2">
        <w:rPr>
          <w:rStyle w:val="longtext"/>
          <w:rFonts w:ascii="Garamond" w:hAnsi="Garamond"/>
          <w:sz w:val="22"/>
          <w:szCs w:val="22"/>
        </w:rPr>
        <w:t xml:space="preserve"> </w:t>
      </w:r>
      <w:r w:rsidR="000A48A7" w:rsidRPr="00A32AB2">
        <w:rPr>
          <w:rStyle w:val="longtext"/>
          <w:rFonts w:ascii="Garamond" w:hAnsi="Garamond"/>
          <w:sz w:val="22"/>
          <w:szCs w:val="22"/>
        </w:rPr>
        <w:t xml:space="preserve">dollars </w:t>
      </w:r>
      <w:r w:rsidRPr="00A32AB2">
        <w:rPr>
          <w:rStyle w:val="longtext"/>
          <w:rFonts w:ascii="Garamond" w:hAnsi="Garamond"/>
          <w:sz w:val="22"/>
          <w:szCs w:val="22"/>
        </w:rPr>
        <w:t xml:space="preserve">for one </w:t>
      </w:r>
      <w:r w:rsidR="002A5F78" w:rsidRPr="00A32AB2">
        <w:rPr>
          <w:rStyle w:val="longtext"/>
          <w:rFonts w:ascii="Garamond" w:hAnsi="Garamond"/>
          <w:sz w:val="22"/>
          <w:szCs w:val="22"/>
        </w:rPr>
        <w:t>euro</w:t>
      </w:r>
      <w:r w:rsidRPr="00A32AB2">
        <w:rPr>
          <w:rStyle w:val="longtext"/>
          <w:rFonts w:ascii="Garamond" w:hAnsi="Garamond"/>
          <w:sz w:val="22"/>
          <w:szCs w:val="22"/>
        </w:rPr>
        <w:t>.</w:t>
      </w:r>
    </w:p>
    <w:p w14:paraId="59FB92E6" w14:textId="77777777" w:rsidR="00C84135" w:rsidRPr="00A32AB2" w:rsidRDefault="00C84135" w:rsidP="0006101A">
      <w:pPr>
        <w:spacing w:line="360" w:lineRule="auto"/>
        <w:jc w:val="both"/>
        <w:rPr>
          <w:rStyle w:val="longtext"/>
          <w:rFonts w:ascii="Garamond" w:hAnsi="Garamond"/>
          <w:sz w:val="22"/>
          <w:szCs w:val="22"/>
        </w:rPr>
      </w:pPr>
    </w:p>
    <w:p w14:paraId="233F6D9A" w14:textId="77777777" w:rsidR="002278AA" w:rsidRPr="00A32AB2" w:rsidRDefault="00C84135" w:rsidP="0006101A">
      <w:pPr>
        <w:spacing w:line="360" w:lineRule="auto"/>
        <w:jc w:val="both"/>
        <w:rPr>
          <w:rFonts w:ascii="Garamond" w:hAnsi="Garamond"/>
          <w:sz w:val="22"/>
          <w:szCs w:val="22"/>
        </w:rPr>
      </w:pPr>
      <w:r w:rsidRPr="00A32AB2">
        <w:rPr>
          <w:rFonts w:ascii="Garamond" w:hAnsi="Garamond"/>
          <w:sz w:val="22"/>
          <w:szCs w:val="22"/>
        </w:rPr>
        <w:t>According to the preliminary estimates of State Statistics Service of</w:t>
      </w:r>
      <w:r w:rsidR="0086764D" w:rsidRPr="00A32AB2">
        <w:rPr>
          <w:rFonts w:ascii="Garamond" w:hAnsi="Garamond"/>
          <w:sz w:val="22"/>
          <w:szCs w:val="22"/>
          <w:lang w:val="hy-AM"/>
        </w:rPr>
        <w:t xml:space="preserve"> </w:t>
      </w:r>
      <w:r w:rsidRPr="00A32AB2">
        <w:rPr>
          <w:rFonts w:ascii="Garamond" w:hAnsi="Garamond"/>
          <w:b/>
          <w:sz w:val="22"/>
          <w:szCs w:val="22"/>
        </w:rPr>
        <w:t>Russian Federation</w:t>
      </w:r>
      <w:r w:rsidRPr="00A32AB2">
        <w:rPr>
          <w:rFonts w:ascii="Garamond" w:hAnsi="Garamond"/>
          <w:sz w:val="22"/>
          <w:szCs w:val="22"/>
        </w:rPr>
        <w:t xml:space="preserve">, </w:t>
      </w:r>
      <w:r w:rsidR="00BB1C12">
        <w:rPr>
          <w:rFonts w:ascii="Garamond" w:hAnsi="Garamond"/>
          <w:sz w:val="22"/>
          <w:szCs w:val="22"/>
        </w:rPr>
        <w:t xml:space="preserve">economic decline </w:t>
      </w:r>
      <w:r w:rsidR="002278AA" w:rsidRPr="00A32AB2">
        <w:rPr>
          <w:rFonts w:ascii="Garamond" w:hAnsi="Garamond"/>
          <w:sz w:val="22"/>
          <w:szCs w:val="22"/>
        </w:rPr>
        <w:t xml:space="preserve">in the </w:t>
      </w:r>
      <w:r w:rsidR="00DB22AE">
        <w:rPr>
          <w:rFonts w:ascii="Garamond" w:hAnsi="Garamond"/>
          <w:sz w:val="22"/>
          <w:szCs w:val="22"/>
        </w:rPr>
        <w:t>thir</w:t>
      </w:r>
      <w:r w:rsidR="00BB1C12">
        <w:rPr>
          <w:rFonts w:ascii="Garamond" w:hAnsi="Garamond"/>
          <w:sz w:val="22"/>
          <w:szCs w:val="22"/>
        </w:rPr>
        <w:t>d</w:t>
      </w:r>
      <w:r w:rsidR="002278AA" w:rsidRPr="00A32AB2">
        <w:rPr>
          <w:rFonts w:ascii="Garamond" w:hAnsi="Garamond"/>
          <w:sz w:val="22"/>
          <w:szCs w:val="22"/>
        </w:rPr>
        <w:t xml:space="preserve"> quarter of 2016 </w:t>
      </w:r>
      <w:r w:rsidR="00DB22AE">
        <w:rPr>
          <w:rFonts w:ascii="Garamond" w:hAnsi="Garamond"/>
          <w:sz w:val="22"/>
          <w:szCs w:val="22"/>
        </w:rPr>
        <w:t xml:space="preserve">decelerated to </w:t>
      </w:r>
      <w:r w:rsidR="00CB32F9">
        <w:rPr>
          <w:rFonts w:ascii="Garamond" w:hAnsi="Garamond"/>
          <w:sz w:val="22"/>
          <w:szCs w:val="22"/>
        </w:rPr>
        <w:t>0</w:t>
      </w:r>
      <w:r w:rsidRPr="00A32AB2">
        <w:rPr>
          <w:rFonts w:ascii="Garamond" w:hAnsi="Garamond"/>
          <w:sz w:val="22"/>
          <w:szCs w:val="22"/>
        </w:rPr>
        <w:t>.</w:t>
      </w:r>
      <w:r w:rsidR="00DB22AE">
        <w:rPr>
          <w:rFonts w:ascii="Garamond" w:hAnsi="Garamond"/>
          <w:sz w:val="22"/>
          <w:szCs w:val="22"/>
        </w:rPr>
        <w:t>4</w:t>
      </w:r>
      <w:r w:rsidRPr="00A32AB2">
        <w:rPr>
          <w:rFonts w:ascii="Garamond" w:hAnsi="Garamond"/>
          <w:sz w:val="22"/>
          <w:szCs w:val="22"/>
        </w:rPr>
        <w:t xml:space="preserve">% </w:t>
      </w:r>
      <w:r w:rsidR="00DB22AE">
        <w:rPr>
          <w:rFonts w:ascii="Garamond" w:hAnsi="Garamond"/>
          <w:sz w:val="22"/>
          <w:szCs w:val="22"/>
        </w:rPr>
        <w:t xml:space="preserve">from the </w:t>
      </w:r>
      <w:r w:rsidRPr="00A32AB2">
        <w:rPr>
          <w:rFonts w:ascii="Garamond" w:hAnsi="Garamond"/>
          <w:sz w:val="22"/>
          <w:szCs w:val="22"/>
        </w:rPr>
        <w:t>previous quarter’s d</w:t>
      </w:r>
      <w:r w:rsidR="002278AA" w:rsidRPr="00A32AB2">
        <w:rPr>
          <w:rFonts w:ascii="Garamond" w:hAnsi="Garamond"/>
          <w:sz w:val="22"/>
          <w:szCs w:val="22"/>
        </w:rPr>
        <w:t>ecline</w:t>
      </w:r>
      <w:r w:rsidR="00DB22AE">
        <w:rPr>
          <w:rFonts w:ascii="Garamond" w:hAnsi="Garamond"/>
          <w:sz w:val="22"/>
          <w:szCs w:val="22"/>
        </w:rPr>
        <w:t xml:space="preserve"> of 0.6%</w:t>
      </w:r>
      <w:r w:rsidRPr="00A32AB2">
        <w:rPr>
          <w:rFonts w:ascii="Garamond" w:hAnsi="Garamond"/>
          <w:sz w:val="22"/>
          <w:szCs w:val="22"/>
        </w:rPr>
        <w:t>.</w:t>
      </w:r>
      <w:r w:rsidR="002278AA" w:rsidRPr="00A32AB2">
        <w:rPr>
          <w:rFonts w:ascii="Garamond" w:hAnsi="Garamond"/>
          <w:sz w:val="22"/>
          <w:szCs w:val="22"/>
        </w:rPr>
        <w:t xml:space="preserve"> </w:t>
      </w:r>
      <w:r w:rsidR="00674919">
        <w:rPr>
          <w:rFonts w:ascii="Garamond" w:hAnsi="Garamond"/>
          <w:sz w:val="22"/>
          <w:szCs w:val="22"/>
        </w:rPr>
        <w:t xml:space="preserve">With international oil prices posting some rise, </w:t>
      </w:r>
      <w:r w:rsidR="002278AA" w:rsidRPr="00A32AB2">
        <w:rPr>
          <w:rFonts w:ascii="Garamond" w:hAnsi="Garamond"/>
          <w:sz w:val="22"/>
          <w:szCs w:val="22"/>
        </w:rPr>
        <w:t xml:space="preserve">the Russian ruble </w:t>
      </w:r>
      <w:r w:rsidR="00674919">
        <w:rPr>
          <w:rFonts w:ascii="Garamond" w:hAnsi="Garamond"/>
          <w:sz w:val="22"/>
          <w:szCs w:val="22"/>
        </w:rPr>
        <w:t xml:space="preserve">appreciated during the </w:t>
      </w:r>
      <w:r w:rsidR="00DB22AE">
        <w:rPr>
          <w:rFonts w:ascii="Garamond" w:hAnsi="Garamond"/>
          <w:sz w:val="22"/>
          <w:szCs w:val="22"/>
        </w:rPr>
        <w:t>thir</w:t>
      </w:r>
      <w:r w:rsidR="00674919">
        <w:rPr>
          <w:rFonts w:ascii="Garamond" w:hAnsi="Garamond"/>
          <w:sz w:val="22"/>
          <w:szCs w:val="22"/>
        </w:rPr>
        <w:t xml:space="preserve">d quarter </w:t>
      </w:r>
      <w:r w:rsidR="002278AA" w:rsidRPr="00A32AB2">
        <w:rPr>
          <w:rFonts w:ascii="Garamond" w:hAnsi="Garamond"/>
          <w:sz w:val="22"/>
          <w:szCs w:val="22"/>
        </w:rPr>
        <w:t xml:space="preserve">by </w:t>
      </w:r>
      <w:r w:rsidR="00DB22AE">
        <w:rPr>
          <w:rFonts w:ascii="Garamond" w:hAnsi="Garamond"/>
          <w:sz w:val="22"/>
          <w:szCs w:val="22"/>
        </w:rPr>
        <w:t>2</w:t>
      </w:r>
      <w:r w:rsidR="002278AA" w:rsidRPr="00A32AB2">
        <w:rPr>
          <w:rFonts w:ascii="Garamond" w:hAnsi="Garamond"/>
          <w:sz w:val="22"/>
          <w:szCs w:val="22"/>
        </w:rPr>
        <w:t>.</w:t>
      </w:r>
      <w:r w:rsidR="00DB22AE">
        <w:rPr>
          <w:rFonts w:ascii="Garamond" w:hAnsi="Garamond"/>
          <w:sz w:val="22"/>
          <w:szCs w:val="22"/>
        </w:rPr>
        <w:t>6</w:t>
      </w:r>
      <w:r w:rsidR="002278AA" w:rsidRPr="00A32AB2">
        <w:rPr>
          <w:rFonts w:ascii="Garamond" w:hAnsi="Garamond"/>
          <w:sz w:val="22"/>
          <w:szCs w:val="22"/>
        </w:rPr>
        <w:t>% q/q</w:t>
      </w:r>
      <w:r w:rsidR="00DB22AE">
        <w:rPr>
          <w:rFonts w:ascii="Garamond" w:hAnsi="Garamond"/>
          <w:sz w:val="22"/>
          <w:szCs w:val="22"/>
        </w:rPr>
        <w:t xml:space="preserve"> but it remains depreciated, 2.4%, relative to the same reference period last year</w:t>
      </w:r>
      <w:r w:rsidR="002278AA" w:rsidRPr="00A32AB2">
        <w:rPr>
          <w:rFonts w:ascii="Garamond" w:hAnsi="Garamond"/>
          <w:sz w:val="22"/>
          <w:szCs w:val="22"/>
        </w:rPr>
        <w:t xml:space="preserve">. </w:t>
      </w:r>
      <w:r w:rsidR="00DB22AE" w:rsidRPr="00DB22AE">
        <w:rPr>
          <w:rFonts w:ascii="Garamond" w:hAnsi="Garamond"/>
          <w:sz w:val="22"/>
          <w:szCs w:val="22"/>
        </w:rPr>
        <w:t>In the third quarter</w:t>
      </w:r>
      <w:r w:rsidR="00DB22AE">
        <w:rPr>
          <w:rFonts w:ascii="Garamond" w:hAnsi="Garamond"/>
          <w:sz w:val="22"/>
          <w:szCs w:val="22"/>
        </w:rPr>
        <w:t xml:space="preserve"> the </w:t>
      </w:r>
      <w:r w:rsidR="00DB22AE" w:rsidRPr="00DB22AE">
        <w:rPr>
          <w:rFonts w:ascii="Garamond" w:hAnsi="Garamond"/>
          <w:sz w:val="22"/>
          <w:szCs w:val="22"/>
        </w:rPr>
        <w:t xml:space="preserve">inflation </w:t>
      </w:r>
      <w:r w:rsidR="00DB22AE">
        <w:rPr>
          <w:rFonts w:ascii="Garamond" w:hAnsi="Garamond"/>
          <w:sz w:val="22"/>
          <w:szCs w:val="22"/>
        </w:rPr>
        <w:t xml:space="preserve">slowed down to 6.7% from the previous quarter’s relevant figure of 7.1% mostly because of a persisting weak demand </w:t>
      </w:r>
      <w:r w:rsidR="00DB22AE" w:rsidRPr="00DB22AE">
        <w:rPr>
          <w:rFonts w:ascii="Garamond" w:hAnsi="Garamond"/>
          <w:sz w:val="22"/>
          <w:szCs w:val="22"/>
        </w:rPr>
        <w:t>and</w:t>
      </w:r>
      <w:r w:rsidR="00DB22AE">
        <w:rPr>
          <w:rFonts w:ascii="Garamond" w:hAnsi="Garamond"/>
          <w:sz w:val="22"/>
          <w:szCs w:val="22"/>
        </w:rPr>
        <w:t>, consequently,</w:t>
      </w:r>
      <w:r w:rsidR="00DB22AE" w:rsidRPr="00DB22AE">
        <w:rPr>
          <w:rFonts w:ascii="Garamond" w:hAnsi="Garamond"/>
          <w:sz w:val="22"/>
          <w:szCs w:val="22"/>
        </w:rPr>
        <w:t xml:space="preserve"> </w:t>
      </w:r>
      <w:r w:rsidR="00DB22AE">
        <w:rPr>
          <w:rFonts w:ascii="Garamond" w:hAnsi="Garamond"/>
          <w:sz w:val="22"/>
          <w:szCs w:val="22"/>
        </w:rPr>
        <w:t>fallen prices of non-</w:t>
      </w:r>
      <w:r w:rsidR="00DB22AE" w:rsidRPr="00DB22AE">
        <w:rPr>
          <w:rFonts w:ascii="Garamond" w:hAnsi="Garamond"/>
          <w:sz w:val="22"/>
          <w:szCs w:val="22"/>
        </w:rPr>
        <w:t xml:space="preserve">food </w:t>
      </w:r>
      <w:r w:rsidR="00DB22AE">
        <w:rPr>
          <w:rFonts w:ascii="Garamond" w:hAnsi="Garamond"/>
          <w:sz w:val="22"/>
          <w:szCs w:val="22"/>
        </w:rPr>
        <w:t xml:space="preserve">products </w:t>
      </w:r>
      <w:r w:rsidR="00DB22AE" w:rsidRPr="00DB22AE">
        <w:rPr>
          <w:rFonts w:ascii="Garamond" w:hAnsi="Garamond"/>
          <w:sz w:val="22"/>
          <w:szCs w:val="22"/>
        </w:rPr>
        <w:t>and services.</w:t>
      </w:r>
      <w:r w:rsidR="00DB22AE">
        <w:rPr>
          <w:rFonts w:ascii="Garamond" w:hAnsi="Garamond"/>
          <w:sz w:val="22"/>
          <w:szCs w:val="22"/>
        </w:rPr>
        <w:t xml:space="preserve"> </w:t>
      </w:r>
      <w:r w:rsidR="00393C1D" w:rsidRPr="00A32AB2">
        <w:rPr>
          <w:rFonts w:ascii="Garamond" w:hAnsi="Garamond"/>
          <w:sz w:val="22"/>
          <w:szCs w:val="22"/>
        </w:rPr>
        <w:t xml:space="preserve">Under </w:t>
      </w:r>
      <w:r w:rsidR="002B30E4">
        <w:rPr>
          <w:rFonts w:ascii="Garamond" w:hAnsi="Garamond"/>
          <w:sz w:val="22"/>
          <w:szCs w:val="22"/>
        </w:rPr>
        <w:t xml:space="preserve">such circumstances as well as </w:t>
      </w:r>
      <w:r w:rsidR="00093D0F">
        <w:rPr>
          <w:rFonts w:ascii="Garamond" w:hAnsi="Garamond"/>
          <w:sz w:val="22"/>
          <w:szCs w:val="22"/>
        </w:rPr>
        <w:t xml:space="preserve">taking into account </w:t>
      </w:r>
      <w:r w:rsidR="002B30E4">
        <w:rPr>
          <w:rFonts w:ascii="Garamond" w:hAnsi="Garamond"/>
          <w:sz w:val="22"/>
          <w:szCs w:val="22"/>
        </w:rPr>
        <w:t xml:space="preserve">reducing </w:t>
      </w:r>
      <w:r w:rsidR="00015E64" w:rsidRPr="00A32AB2">
        <w:rPr>
          <w:rFonts w:ascii="Garamond" w:hAnsi="Garamond"/>
          <w:sz w:val="22"/>
          <w:szCs w:val="22"/>
        </w:rPr>
        <w:t>inflation</w:t>
      </w:r>
      <w:r w:rsidR="0086764D" w:rsidRPr="00A32AB2">
        <w:rPr>
          <w:rFonts w:ascii="Garamond" w:hAnsi="Garamond"/>
          <w:sz w:val="22"/>
          <w:szCs w:val="22"/>
          <w:lang w:val="hy-AM"/>
        </w:rPr>
        <w:t xml:space="preserve"> </w:t>
      </w:r>
      <w:r w:rsidR="00015E64" w:rsidRPr="00A32AB2">
        <w:rPr>
          <w:rFonts w:ascii="Garamond" w:hAnsi="Garamond"/>
          <w:sz w:val="22"/>
          <w:szCs w:val="22"/>
        </w:rPr>
        <w:t>expectations</w:t>
      </w:r>
      <w:r w:rsidR="002B30E4">
        <w:rPr>
          <w:rFonts w:ascii="Garamond" w:hAnsi="Garamond"/>
          <w:sz w:val="22"/>
          <w:szCs w:val="22"/>
        </w:rPr>
        <w:t>,</w:t>
      </w:r>
      <w:r w:rsidR="00015E64" w:rsidRPr="00A32AB2">
        <w:rPr>
          <w:rFonts w:ascii="Garamond" w:hAnsi="Garamond"/>
          <w:sz w:val="22"/>
          <w:szCs w:val="22"/>
        </w:rPr>
        <w:t xml:space="preserve"> </w:t>
      </w:r>
      <w:r w:rsidR="002278AA" w:rsidRPr="00A32AB2">
        <w:rPr>
          <w:rFonts w:ascii="Garamond" w:hAnsi="Garamond"/>
          <w:sz w:val="22"/>
          <w:szCs w:val="22"/>
        </w:rPr>
        <w:t xml:space="preserve">the Bank of Russia </w:t>
      </w:r>
      <w:r w:rsidR="002B30E4">
        <w:rPr>
          <w:rFonts w:ascii="Garamond" w:hAnsi="Garamond"/>
          <w:sz w:val="22"/>
          <w:szCs w:val="22"/>
        </w:rPr>
        <w:t>cut</w:t>
      </w:r>
      <w:r w:rsidR="00015E64" w:rsidRPr="00A32AB2">
        <w:rPr>
          <w:rFonts w:ascii="Garamond" w:hAnsi="Garamond"/>
          <w:sz w:val="22"/>
          <w:szCs w:val="22"/>
        </w:rPr>
        <w:t xml:space="preserve"> the policy rates </w:t>
      </w:r>
      <w:r w:rsidR="002B30E4">
        <w:rPr>
          <w:rFonts w:ascii="Garamond" w:hAnsi="Garamond"/>
          <w:sz w:val="22"/>
          <w:szCs w:val="22"/>
        </w:rPr>
        <w:t xml:space="preserve">by 0.5 pp to </w:t>
      </w:r>
      <w:r w:rsidR="002278AA" w:rsidRPr="00A32AB2">
        <w:rPr>
          <w:rFonts w:ascii="Garamond" w:hAnsi="Garamond"/>
          <w:sz w:val="22"/>
          <w:szCs w:val="22"/>
        </w:rPr>
        <w:t>1</w:t>
      </w:r>
      <w:r w:rsidR="002B30E4">
        <w:rPr>
          <w:rFonts w:ascii="Garamond" w:hAnsi="Garamond"/>
          <w:sz w:val="22"/>
          <w:szCs w:val="22"/>
        </w:rPr>
        <w:t>0</w:t>
      </w:r>
      <w:r w:rsidR="002278AA" w:rsidRPr="00A32AB2">
        <w:rPr>
          <w:rFonts w:ascii="Garamond" w:hAnsi="Garamond"/>
          <w:sz w:val="22"/>
          <w:szCs w:val="22"/>
        </w:rPr>
        <w:t>.</w:t>
      </w:r>
      <w:r w:rsidR="00093D0F">
        <w:rPr>
          <w:rFonts w:ascii="Garamond" w:hAnsi="Garamond"/>
          <w:sz w:val="22"/>
          <w:szCs w:val="22"/>
        </w:rPr>
        <w:t>0</w:t>
      </w:r>
      <w:r w:rsidR="002278AA" w:rsidRPr="00A32AB2">
        <w:rPr>
          <w:rFonts w:ascii="Garamond" w:hAnsi="Garamond"/>
          <w:sz w:val="22"/>
          <w:szCs w:val="22"/>
        </w:rPr>
        <w:t>%</w:t>
      </w:r>
      <w:r w:rsidR="002B30E4">
        <w:rPr>
          <w:rFonts w:ascii="Garamond" w:hAnsi="Garamond"/>
          <w:sz w:val="22"/>
          <w:szCs w:val="22"/>
        </w:rPr>
        <w:t xml:space="preserve"> in the </w:t>
      </w:r>
      <w:r w:rsidR="00093D0F">
        <w:rPr>
          <w:rFonts w:ascii="Garamond" w:hAnsi="Garamond"/>
          <w:sz w:val="22"/>
          <w:szCs w:val="22"/>
        </w:rPr>
        <w:t>third</w:t>
      </w:r>
      <w:r w:rsidR="002B30E4">
        <w:rPr>
          <w:rFonts w:ascii="Garamond" w:hAnsi="Garamond"/>
          <w:sz w:val="22"/>
          <w:szCs w:val="22"/>
        </w:rPr>
        <w:t xml:space="preserve"> quarter</w:t>
      </w:r>
      <w:r w:rsidR="002278AA" w:rsidRPr="00A32AB2">
        <w:rPr>
          <w:rFonts w:ascii="Garamond" w:hAnsi="Garamond"/>
          <w:sz w:val="22"/>
          <w:szCs w:val="22"/>
        </w:rPr>
        <w:t>.</w:t>
      </w:r>
    </w:p>
    <w:p w14:paraId="535C83F0" w14:textId="77777777" w:rsidR="00DB6B0F" w:rsidRPr="00A32AB2" w:rsidRDefault="00DB6B0F" w:rsidP="0006101A">
      <w:pPr>
        <w:spacing w:line="360" w:lineRule="auto"/>
        <w:jc w:val="both"/>
        <w:rPr>
          <w:rFonts w:ascii="Garamond" w:hAnsi="Garamond"/>
          <w:sz w:val="22"/>
          <w:szCs w:val="22"/>
        </w:rPr>
      </w:pPr>
    </w:p>
    <w:p w14:paraId="1F3E639C" w14:textId="77777777" w:rsidR="00093D0F" w:rsidRDefault="00DB6B0F" w:rsidP="0006101A">
      <w:pPr>
        <w:spacing w:line="360" w:lineRule="auto"/>
        <w:jc w:val="both"/>
        <w:rPr>
          <w:rFonts w:ascii="Garamond" w:hAnsi="Garamond"/>
          <w:sz w:val="22"/>
          <w:szCs w:val="22"/>
        </w:rPr>
      </w:pPr>
      <w:r w:rsidRPr="00A32AB2">
        <w:rPr>
          <w:rFonts w:ascii="Garamond" w:hAnsi="Garamond"/>
          <w:sz w:val="22"/>
          <w:szCs w:val="22"/>
        </w:rPr>
        <w:t xml:space="preserve">In the </w:t>
      </w:r>
      <w:r w:rsidR="00093D0F">
        <w:rPr>
          <w:rFonts w:ascii="Garamond" w:hAnsi="Garamond"/>
          <w:sz w:val="22"/>
          <w:szCs w:val="22"/>
        </w:rPr>
        <w:t>thir</w:t>
      </w:r>
      <w:r w:rsidR="007F35EA">
        <w:rPr>
          <w:rFonts w:ascii="Garamond" w:hAnsi="Garamond"/>
          <w:sz w:val="22"/>
          <w:szCs w:val="22"/>
        </w:rPr>
        <w:t>d</w:t>
      </w:r>
      <w:r w:rsidRPr="00A32AB2">
        <w:rPr>
          <w:rFonts w:ascii="Garamond" w:hAnsi="Garamond"/>
          <w:sz w:val="22"/>
          <w:szCs w:val="22"/>
        </w:rPr>
        <w:t xml:space="preserve"> quarter of 2016 the </w:t>
      </w:r>
      <w:r w:rsidRPr="00A32AB2">
        <w:rPr>
          <w:rFonts w:ascii="Garamond" w:hAnsi="Garamond"/>
          <w:b/>
          <w:sz w:val="22"/>
          <w:szCs w:val="22"/>
        </w:rPr>
        <w:t>price of Brent crude oil</w:t>
      </w:r>
      <w:r w:rsidRPr="00A32AB2">
        <w:rPr>
          <w:rFonts w:ascii="Garamond" w:hAnsi="Garamond"/>
          <w:sz w:val="22"/>
          <w:szCs w:val="22"/>
        </w:rPr>
        <w:t xml:space="preserve"> at </w:t>
      </w:r>
      <w:r w:rsidRPr="00A32AB2">
        <w:rPr>
          <w:rFonts w:ascii="Garamond" w:hAnsi="Garamond"/>
          <w:iCs/>
          <w:sz w:val="22"/>
          <w:szCs w:val="22"/>
        </w:rPr>
        <w:t xml:space="preserve">Intercontinental Exchange </w:t>
      </w:r>
      <w:r w:rsidR="00093D0F">
        <w:rPr>
          <w:rFonts w:ascii="Garamond" w:hAnsi="Garamond"/>
          <w:iCs/>
          <w:sz w:val="22"/>
          <w:szCs w:val="22"/>
        </w:rPr>
        <w:t xml:space="preserve">remained almost unchanged </w:t>
      </w:r>
      <w:r w:rsidR="00F91A6F">
        <w:rPr>
          <w:rFonts w:ascii="Garamond" w:hAnsi="Garamond"/>
          <w:iCs/>
          <w:sz w:val="22"/>
          <w:szCs w:val="22"/>
        </w:rPr>
        <w:t>against the previous quarter</w:t>
      </w:r>
      <w:r w:rsidR="00093D0F">
        <w:rPr>
          <w:rFonts w:ascii="Garamond" w:hAnsi="Garamond"/>
          <w:iCs/>
          <w:sz w:val="22"/>
          <w:szCs w:val="22"/>
        </w:rPr>
        <w:t>, averaging</w:t>
      </w:r>
      <w:r w:rsidR="00F91A6F">
        <w:rPr>
          <w:rFonts w:ascii="Garamond" w:hAnsi="Garamond"/>
          <w:iCs/>
          <w:sz w:val="22"/>
          <w:szCs w:val="22"/>
        </w:rPr>
        <w:t xml:space="preserve"> </w:t>
      </w:r>
      <w:r w:rsidRPr="00A32AB2">
        <w:rPr>
          <w:rFonts w:ascii="Garamond" w:hAnsi="Garamond"/>
          <w:sz w:val="22"/>
          <w:szCs w:val="22"/>
        </w:rPr>
        <w:t xml:space="preserve">USD </w:t>
      </w:r>
      <w:r w:rsidR="00F91A6F">
        <w:rPr>
          <w:rFonts w:ascii="Garamond" w:hAnsi="Garamond"/>
          <w:sz w:val="22"/>
          <w:szCs w:val="22"/>
        </w:rPr>
        <w:t>45</w:t>
      </w:r>
      <w:r w:rsidRPr="00A32AB2">
        <w:rPr>
          <w:rFonts w:ascii="Garamond" w:hAnsi="Garamond"/>
          <w:sz w:val="22"/>
          <w:szCs w:val="22"/>
        </w:rPr>
        <w:t>.</w:t>
      </w:r>
      <w:r w:rsidR="00093D0F">
        <w:rPr>
          <w:rFonts w:ascii="Garamond" w:hAnsi="Garamond"/>
          <w:sz w:val="22"/>
          <w:szCs w:val="22"/>
        </w:rPr>
        <w:t>8</w:t>
      </w:r>
      <w:r w:rsidRPr="00A32AB2">
        <w:rPr>
          <w:rFonts w:ascii="Garamond" w:hAnsi="Garamond"/>
          <w:sz w:val="22"/>
          <w:szCs w:val="22"/>
        </w:rPr>
        <w:t xml:space="preserve"> a barrel</w:t>
      </w:r>
      <w:r w:rsidR="00F91A6F">
        <w:rPr>
          <w:rFonts w:ascii="Garamond" w:hAnsi="Garamond"/>
          <w:sz w:val="22"/>
          <w:szCs w:val="22"/>
        </w:rPr>
        <w:t xml:space="preserve"> </w:t>
      </w:r>
      <w:r w:rsidRPr="00A32AB2">
        <w:rPr>
          <w:rFonts w:ascii="Garamond" w:hAnsi="Garamond"/>
          <w:sz w:val="22"/>
          <w:szCs w:val="22"/>
        </w:rPr>
        <w:t xml:space="preserve">(with </w:t>
      </w:r>
      <w:r w:rsidR="00F91A6F">
        <w:rPr>
          <w:rFonts w:ascii="Garamond" w:hAnsi="Garamond"/>
          <w:sz w:val="22"/>
          <w:szCs w:val="22"/>
        </w:rPr>
        <w:t>8.</w:t>
      </w:r>
      <w:r w:rsidR="00093D0F">
        <w:rPr>
          <w:rFonts w:ascii="Garamond" w:hAnsi="Garamond"/>
          <w:sz w:val="22"/>
          <w:szCs w:val="22"/>
        </w:rPr>
        <w:t>2</w:t>
      </w:r>
      <w:r w:rsidR="00F91A6F">
        <w:rPr>
          <w:rFonts w:ascii="Garamond" w:hAnsi="Garamond"/>
          <w:sz w:val="22"/>
          <w:szCs w:val="22"/>
        </w:rPr>
        <w:t xml:space="preserve">% y/y decrease). </w:t>
      </w:r>
      <w:r w:rsidR="00F91A6F" w:rsidRPr="00F91A6F">
        <w:rPr>
          <w:rFonts w:ascii="Garamond" w:hAnsi="Garamond"/>
          <w:sz w:val="22"/>
          <w:szCs w:val="22"/>
        </w:rPr>
        <w:t xml:space="preserve">The </w:t>
      </w:r>
      <w:r w:rsidR="00093D0F">
        <w:rPr>
          <w:rFonts w:ascii="Garamond" w:hAnsi="Garamond"/>
          <w:sz w:val="22"/>
          <w:szCs w:val="22"/>
        </w:rPr>
        <w:t xml:space="preserve">oil prices behaved this way primarily owing to supply factors and because the </w:t>
      </w:r>
      <w:r w:rsidR="00093D0F" w:rsidRPr="00093D0F">
        <w:rPr>
          <w:rFonts w:ascii="Garamond" w:hAnsi="Garamond"/>
          <w:sz w:val="22"/>
          <w:szCs w:val="22"/>
        </w:rPr>
        <w:t xml:space="preserve">OPEC </w:t>
      </w:r>
      <w:r w:rsidR="00093D0F">
        <w:rPr>
          <w:rFonts w:ascii="Garamond" w:hAnsi="Garamond"/>
          <w:sz w:val="22"/>
          <w:szCs w:val="22"/>
        </w:rPr>
        <w:t xml:space="preserve">reached an </w:t>
      </w:r>
      <w:r w:rsidR="00093D0F" w:rsidRPr="00093D0F">
        <w:rPr>
          <w:rFonts w:ascii="Garamond" w:hAnsi="Garamond"/>
          <w:sz w:val="22"/>
          <w:szCs w:val="22"/>
        </w:rPr>
        <w:t>agree</w:t>
      </w:r>
      <w:r w:rsidR="00093D0F">
        <w:rPr>
          <w:rFonts w:ascii="Garamond" w:hAnsi="Garamond"/>
          <w:sz w:val="22"/>
          <w:szCs w:val="22"/>
        </w:rPr>
        <w:t xml:space="preserve">ment to </w:t>
      </w:r>
      <w:r w:rsidR="00093D0F" w:rsidRPr="00093D0F">
        <w:rPr>
          <w:rFonts w:ascii="Garamond" w:hAnsi="Garamond"/>
          <w:sz w:val="22"/>
          <w:szCs w:val="22"/>
        </w:rPr>
        <w:t>reduc</w:t>
      </w:r>
      <w:r w:rsidR="00093D0F">
        <w:rPr>
          <w:rFonts w:ascii="Garamond" w:hAnsi="Garamond"/>
          <w:sz w:val="22"/>
          <w:szCs w:val="22"/>
        </w:rPr>
        <w:t xml:space="preserve">e oil production within its </w:t>
      </w:r>
      <w:r w:rsidR="00093D0F" w:rsidRPr="00093D0F">
        <w:rPr>
          <w:rFonts w:ascii="Garamond" w:hAnsi="Garamond"/>
          <w:sz w:val="22"/>
          <w:szCs w:val="22"/>
        </w:rPr>
        <w:t>member states</w:t>
      </w:r>
      <w:r w:rsidR="00093D0F">
        <w:rPr>
          <w:rFonts w:ascii="Garamond" w:hAnsi="Garamond"/>
          <w:sz w:val="22"/>
          <w:szCs w:val="22"/>
        </w:rPr>
        <w:t>.</w:t>
      </w:r>
    </w:p>
    <w:p w14:paraId="37800DD9" w14:textId="77777777" w:rsidR="00093D0F" w:rsidRDefault="00093D0F" w:rsidP="0006101A">
      <w:pPr>
        <w:spacing w:line="360" w:lineRule="auto"/>
        <w:jc w:val="both"/>
        <w:rPr>
          <w:rFonts w:ascii="Garamond" w:hAnsi="Garamond"/>
          <w:sz w:val="22"/>
          <w:szCs w:val="22"/>
        </w:rPr>
      </w:pPr>
    </w:p>
    <w:p w14:paraId="469FFDD2" w14:textId="77777777" w:rsidR="00E137D0" w:rsidRPr="00A32AB2" w:rsidRDefault="00E137D0" w:rsidP="0006101A">
      <w:pPr>
        <w:spacing w:line="360" w:lineRule="auto"/>
        <w:jc w:val="both"/>
        <w:rPr>
          <w:rFonts w:ascii="Garamond" w:hAnsi="Garamond"/>
          <w:sz w:val="22"/>
          <w:szCs w:val="22"/>
        </w:rPr>
      </w:pPr>
      <w:r w:rsidRPr="00A32AB2">
        <w:rPr>
          <w:rFonts w:ascii="Garamond" w:hAnsi="Garamond"/>
          <w:sz w:val="22"/>
          <w:szCs w:val="22"/>
        </w:rPr>
        <w:t xml:space="preserve">In the </w:t>
      </w:r>
      <w:r w:rsidR="00093D0F">
        <w:rPr>
          <w:rFonts w:ascii="Garamond" w:hAnsi="Garamond"/>
          <w:sz w:val="22"/>
          <w:szCs w:val="22"/>
        </w:rPr>
        <w:t>thir</w:t>
      </w:r>
      <w:r w:rsidR="004726FE">
        <w:rPr>
          <w:rFonts w:ascii="Garamond" w:hAnsi="Garamond"/>
          <w:sz w:val="22"/>
          <w:szCs w:val="22"/>
        </w:rPr>
        <w:t>d</w:t>
      </w:r>
      <w:r w:rsidRPr="00A32AB2">
        <w:rPr>
          <w:rFonts w:ascii="Garamond" w:hAnsi="Garamond"/>
          <w:sz w:val="22"/>
          <w:szCs w:val="22"/>
        </w:rPr>
        <w:t xml:space="preserve"> quarter of 2016 the </w:t>
      </w:r>
      <w:r w:rsidRPr="00A32AB2">
        <w:rPr>
          <w:rFonts w:ascii="Garamond" w:hAnsi="Garamond"/>
          <w:b/>
          <w:sz w:val="22"/>
          <w:szCs w:val="22"/>
        </w:rPr>
        <w:t>price of copper</w:t>
      </w:r>
      <w:r w:rsidRPr="00A32AB2">
        <w:rPr>
          <w:rFonts w:ascii="Garamond" w:hAnsi="Garamond"/>
          <w:sz w:val="22"/>
          <w:szCs w:val="22"/>
        </w:rPr>
        <w:t xml:space="preserve"> at the London Metal Exchange </w:t>
      </w:r>
      <w:r w:rsidR="004726FE">
        <w:rPr>
          <w:rFonts w:ascii="Garamond" w:hAnsi="Garamond"/>
          <w:sz w:val="22"/>
          <w:szCs w:val="22"/>
        </w:rPr>
        <w:t>grew</w:t>
      </w:r>
      <w:r w:rsidRPr="00A32AB2">
        <w:rPr>
          <w:rFonts w:ascii="Garamond" w:hAnsi="Garamond"/>
          <w:sz w:val="22"/>
          <w:szCs w:val="22"/>
        </w:rPr>
        <w:t xml:space="preserve"> </w:t>
      </w:r>
      <w:r w:rsidR="00093D0F">
        <w:rPr>
          <w:rFonts w:ascii="Garamond" w:hAnsi="Garamond"/>
          <w:sz w:val="22"/>
          <w:szCs w:val="22"/>
        </w:rPr>
        <w:t>a negligible 0</w:t>
      </w:r>
      <w:r w:rsidR="00F1147D" w:rsidRPr="00A32AB2">
        <w:rPr>
          <w:rFonts w:ascii="Garamond" w:hAnsi="Garamond"/>
          <w:sz w:val="22"/>
          <w:szCs w:val="22"/>
        </w:rPr>
        <w:t>.</w:t>
      </w:r>
      <w:r w:rsidR="00093D0F">
        <w:rPr>
          <w:rFonts w:ascii="Garamond" w:hAnsi="Garamond"/>
          <w:sz w:val="22"/>
          <w:szCs w:val="22"/>
        </w:rPr>
        <w:t xml:space="preserve">9% </w:t>
      </w:r>
      <w:r w:rsidR="00B01D01">
        <w:rPr>
          <w:rFonts w:ascii="Garamond" w:hAnsi="Garamond"/>
          <w:sz w:val="22"/>
          <w:szCs w:val="22"/>
        </w:rPr>
        <w:t xml:space="preserve">against the previous quarter </w:t>
      </w:r>
      <w:r w:rsidRPr="00A32AB2">
        <w:rPr>
          <w:rFonts w:ascii="Garamond" w:hAnsi="Garamond"/>
          <w:sz w:val="22"/>
          <w:szCs w:val="22"/>
        </w:rPr>
        <w:t xml:space="preserve">(with </w:t>
      </w:r>
      <w:r w:rsidR="00CF0734">
        <w:rPr>
          <w:rFonts w:ascii="Garamond" w:hAnsi="Garamond"/>
          <w:sz w:val="22"/>
          <w:szCs w:val="22"/>
        </w:rPr>
        <w:t>9</w:t>
      </w:r>
      <w:r w:rsidRPr="00A32AB2">
        <w:rPr>
          <w:rFonts w:ascii="Garamond" w:hAnsi="Garamond"/>
          <w:sz w:val="22"/>
          <w:szCs w:val="22"/>
        </w:rPr>
        <w:t>.</w:t>
      </w:r>
      <w:r w:rsidR="00CF0734">
        <w:rPr>
          <w:rFonts w:ascii="Garamond" w:hAnsi="Garamond"/>
          <w:sz w:val="22"/>
          <w:szCs w:val="22"/>
        </w:rPr>
        <w:t>2</w:t>
      </w:r>
      <w:r w:rsidRPr="00A32AB2">
        <w:rPr>
          <w:rFonts w:ascii="Garamond" w:hAnsi="Garamond"/>
          <w:sz w:val="22"/>
          <w:szCs w:val="22"/>
        </w:rPr>
        <w:t>% price decrease y/y</w:t>
      </w:r>
      <w:r w:rsidR="00B01D01">
        <w:rPr>
          <w:rFonts w:ascii="Garamond" w:hAnsi="Garamond"/>
          <w:sz w:val="22"/>
          <w:szCs w:val="22"/>
        </w:rPr>
        <w:t>)</w:t>
      </w:r>
      <w:r w:rsidR="00DE3DF0" w:rsidRPr="00A32AB2">
        <w:rPr>
          <w:rFonts w:ascii="Garamond" w:hAnsi="Garamond"/>
          <w:sz w:val="22"/>
          <w:szCs w:val="22"/>
        </w:rPr>
        <w:t xml:space="preserve">, which was </w:t>
      </w:r>
      <w:r w:rsidR="00B01D01">
        <w:rPr>
          <w:rFonts w:ascii="Garamond" w:hAnsi="Garamond"/>
          <w:sz w:val="22"/>
          <w:szCs w:val="22"/>
        </w:rPr>
        <w:t xml:space="preserve">mostly </w:t>
      </w:r>
      <w:r w:rsidR="00CF0734">
        <w:rPr>
          <w:rFonts w:ascii="Garamond" w:hAnsi="Garamond"/>
          <w:sz w:val="22"/>
          <w:szCs w:val="22"/>
        </w:rPr>
        <w:t>driven by somehow recovered demand in China</w:t>
      </w:r>
      <w:r w:rsidRPr="00A32AB2">
        <w:rPr>
          <w:rFonts w:ascii="Garamond" w:hAnsi="Garamond"/>
          <w:sz w:val="22"/>
          <w:szCs w:val="22"/>
        </w:rPr>
        <w:t>.</w:t>
      </w:r>
    </w:p>
    <w:p w14:paraId="02D93FC7" w14:textId="77777777" w:rsidR="00DE3DF0" w:rsidRPr="00A32AB2" w:rsidRDefault="00DE3DF0" w:rsidP="0006101A">
      <w:pPr>
        <w:spacing w:line="360" w:lineRule="auto"/>
        <w:jc w:val="both"/>
        <w:rPr>
          <w:rFonts w:ascii="Garamond" w:hAnsi="Garamond"/>
          <w:sz w:val="22"/>
          <w:szCs w:val="22"/>
        </w:rPr>
      </w:pPr>
    </w:p>
    <w:p w14:paraId="63706AA4" w14:textId="77777777" w:rsidR="002278AA" w:rsidRPr="00A32AB2" w:rsidRDefault="00DE3DF0" w:rsidP="0006101A">
      <w:pPr>
        <w:spacing w:line="360" w:lineRule="auto"/>
        <w:jc w:val="both"/>
        <w:rPr>
          <w:rStyle w:val="longtext"/>
          <w:rFonts w:ascii="Garamond" w:hAnsi="Garamond"/>
          <w:sz w:val="22"/>
          <w:szCs w:val="22"/>
          <w:shd w:val="clear" w:color="auto" w:fill="FFFFFF"/>
        </w:rPr>
      </w:pPr>
      <w:r w:rsidRPr="00A32AB2">
        <w:rPr>
          <w:rFonts w:ascii="Garamond" w:hAnsi="Garamond"/>
          <w:sz w:val="22"/>
          <w:szCs w:val="22"/>
        </w:rPr>
        <w:lastRenderedPageBreak/>
        <w:t>The e</w:t>
      </w:r>
      <w:r w:rsidRPr="00A32AB2">
        <w:rPr>
          <w:rStyle w:val="longtext"/>
          <w:rFonts w:ascii="Garamond" w:hAnsi="Garamond"/>
          <w:sz w:val="22"/>
          <w:szCs w:val="22"/>
          <w:shd w:val="clear" w:color="auto" w:fill="FFFFFF"/>
        </w:rPr>
        <w:t xml:space="preserve">xport price of </w:t>
      </w:r>
      <w:r w:rsidRPr="00A32AB2">
        <w:rPr>
          <w:rStyle w:val="longtext"/>
          <w:rFonts w:ascii="Garamond" w:hAnsi="Garamond"/>
          <w:b/>
          <w:sz w:val="22"/>
          <w:szCs w:val="22"/>
          <w:shd w:val="clear" w:color="auto" w:fill="FFFFFF"/>
        </w:rPr>
        <w:t xml:space="preserve">hard red wheat </w:t>
      </w:r>
      <w:r w:rsidR="003360CC" w:rsidRPr="003360CC">
        <w:rPr>
          <w:rStyle w:val="longtext"/>
          <w:rFonts w:ascii="Garamond" w:hAnsi="Garamond"/>
          <w:sz w:val="22"/>
          <w:szCs w:val="22"/>
          <w:shd w:val="clear" w:color="auto" w:fill="FFFFFF"/>
        </w:rPr>
        <w:t>foll</w:t>
      </w:r>
      <w:r w:rsidR="003360CC">
        <w:rPr>
          <w:rStyle w:val="longtext"/>
          <w:rFonts w:ascii="Garamond" w:hAnsi="Garamond"/>
          <w:sz w:val="22"/>
          <w:szCs w:val="22"/>
          <w:shd w:val="clear" w:color="auto" w:fill="FFFFFF"/>
        </w:rPr>
        <w:t xml:space="preserve">owed a downward path </w:t>
      </w:r>
      <w:r w:rsidRPr="00A32AB2">
        <w:rPr>
          <w:rStyle w:val="longtext"/>
          <w:rFonts w:ascii="Garamond" w:hAnsi="Garamond"/>
          <w:sz w:val="22"/>
          <w:szCs w:val="22"/>
          <w:shd w:val="clear" w:color="auto" w:fill="FFFFFF"/>
        </w:rPr>
        <w:t xml:space="preserve">during </w:t>
      </w:r>
      <w:r w:rsidRPr="00A32AB2">
        <w:rPr>
          <w:rFonts w:ascii="Garamond" w:hAnsi="Garamond"/>
          <w:sz w:val="22"/>
          <w:szCs w:val="22"/>
        </w:rPr>
        <w:t xml:space="preserve">the </w:t>
      </w:r>
      <w:r w:rsidR="00CF0734">
        <w:rPr>
          <w:rFonts w:ascii="Garamond" w:hAnsi="Garamond"/>
          <w:sz w:val="22"/>
          <w:szCs w:val="22"/>
        </w:rPr>
        <w:t>thir</w:t>
      </w:r>
      <w:r w:rsidR="003360CC">
        <w:rPr>
          <w:rFonts w:ascii="Garamond" w:hAnsi="Garamond"/>
          <w:sz w:val="22"/>
          <w:szCs w:val="22"/>
        </w:rPr>
        <w:t>d</w:t>
      </w:r>
      <w:r w:rsidRPr="00A32AB2">
        <w:rPr>
          <w:rFonts w:ascii="Garamond" w:hAnsi="Garamond"/>
          <w:sz w:val="22"/>
          <w:szCs w:val="22"/>
        </w:rPr>
        <w:t xml:space="preserve"> quarter </w:t>
      </w:r>
      <w:r w:rsidR="003360CC">
        <w:rPr>
          <w:rFonts w:ascii="Garamond" w:hAnsi="Garamond"/>
          <w:sz w:val="22"/>
          <w:szCs w:val="22"/>
        </w:rPr>
        <w:t xml:space="preserve">too, </w:t>
      </w:r>
      <w:r w:rsidR="00A95B49">
        <w:rPr>
          <w:rFonts w:ascii="Garamond" w:hAnsi="Garamond"/>
          <w:sz w:val="22"/>
          <w:szCs w:val="22"/>
        </w:rPr>
        <w:t>owing to</w:t>
      </w:r>
      <w:r w:rsidRPr="00A32AB2">
        <w:rPr>
          <w:rFonts w:ascii="Garamond" w:hAnsi="Garamond"/>
          <w:sz w:val="22"/>
          <w:szCs w:val="22"/>
        </w:rPr>
        <w:t xml:space="preserve"> </w:t>
      </w:r>
      <w:r w:rsidR="00CF0734">
        <w:rPr>
          <w:rFonts w:ascii="Garamond" w:hAnsi="Garamond"/>
          <w:sz w:val="22"/>
          <w:szCs w:val="22"/>
        </w:rPr>
        <w:t xml:space="preserve">persisting huge </w:t>
      </w:r>
      <w:r w:rsidRPr="00A32AB2">
        <w:rPr>
          <w:rStyle w:val="longtext"/>
          <w:rFonts w:ascii="Garamond" w:hAnsi="Garamond"/>
          <w:sz w:val="22"/>
          <w:szCs w:val="22"/>
        </w:rPr>
        <w:t xml:space="preserve">worldwide </w:t>
      </w:r>
      <w:r w:rsidR="00CF0734">
        <w:rPr>
          <w:rStyle w:val="longtext"/>
          <w:rFonts w:ascii="Garamond" w:hAnsi="Garamond"/>
          <w:sz w:val="22"/>
          <w:szCs w:val="22"/>
        </w:rPr>
        <w:t>output</w:t>
      </w:r>
      <w:r w:rsidRPr="00A32AB2">
        <w:rPr>
          <w:rStyle w:val="longtext"/>
          <w:rFonts w:ascii="Garamond" w:hAnsi="Garamond"/>
          <w:sz w:val="22"/>
          <w:szCs w:val="22"/>
        </w:rPr>
        <w:t xml:space="preserve"> and sizable inventories</w:t>
      </w:r>
      <w:r w:rsidR="003360CC">
        <w:rPr>
          <w:rStyle w:val="longtext"/>
          <w:rFonts w:ascii="Garamond" w:hAnsi="Garamond"/>
          <w:sz w:val="22"/>
          <w:szCs w:val="22"/>
        </w:rPr>
        <w:t>.</w:t>
      </w:r>
      <w:r w:rsidR="0086764D" w:rsidRPr="00A32AB2">
        <w:rPr>
          <w:rStyle w:val="longtext"/>
          <w:rFonts w:ascii="Garamond" w:hAnsi="Garamond"/>
          <w:sz w:val="22"/>
          <w:szCs w:val="22"/>
          <w:lang w:val="hy-AM"/>
        </w:rPr>
        <w:t xml:space="preserve"> </w:t>
      </w:r>
      <w:r w:rsidR="00A95B49">
        <w:rPr>
          <w:rStyle w:val="longtext"/>
          <w:rFonts w:ascii="Garamond" w:hAnsi="Garamond"/>
          <w:sz w:val="22"/>
          <w:szCs w:val="22"/>
        </w:rPr>
        <w:t>This</w:t>
      </w:r>
      <w:r w:rsidR="00A95B49" w:rsidRPr="00A95B49">
        <w:rPr>
          <w:rStyle w:val="longtext"/>
          <w:rFonts w:ascii="Garamond" w:hAnsi="Garamond"/>
          <w:sz w:val="22"/>
          <w:szCs w:val="22"/>
          <w:lang w:val="hy-AM"/>
        </w:rPr>
        <w:t xml:space="preserve"> quarter</w:t>
      </w:r>
      <w:r w:rsidR="00F1147D">
        <w:rPr>
          <w:rStyle w:val="longtext"/>
          <w:rFonts w:ascii="Garamond" w:hAnsi="Garamond"/>
          <w:sz w:val="22"/>
          <w:szCs w:val="22"/>
        </w:rPr>
        <w:t>,</w:t>
      </w:r>
      <w:r w:rsidR="00A95B49" w:rsidRPr="00A95B49">
        <w:rPr>
          <w:rStyle w:val="longtext"/>
          <w:rFonts w:ascii="Garamond" w:hAnsi="Garamond"/>
          <w:sz w:val="22"/>
          <w:szCs w:val="22"/>
          <w:lang w:val="hy-AM"/>
        </w:rPr>
        <w:t xml:space="preserve"> the wheat </w:t>
      </w:r>
      <w:r w:rsidR="00A95B49">
        <w:rPr>
          <w:rStyle w:val="longtext"/>
          <w:rFonts w:ascii="Garamond" w:hAnsi="Garamond"/>
          <w:sz w:val="22"/>
          <w:szCs w:val="22"/>
        </w:rPr>
        <w:t xml:space="preserve">price fell </w:t>
      </w:r>
      <w:r w:rsidR="00A95B49" w:rsidRPr="00A95B49">
        <w:rPr>
          <w:rStyle w:val="longtext"/>
          <w:rFonts w:ascii="Garamond" w:hAnsi="Garamond"/>
          <w:sz w:val="22"/>
          <w:szCs w:val="22"/>
          <w:lang w:val="hy-AM"/>
        </w:rPr>
        <w:t xml:space="preserve">by </w:t>
      </w:r>
      <w:r w:rsidR="00CF0734">
        <w:rPr>
          <w:rStyle w:val="longtext"/>
          <w:rFonts w:ascii="Garamond" w:hAnsi="Garamond"/>
          <w:sz w:val="22"/>
          <w:szCs w:val="22"/>
        </w:rPr>
        <w:t>19</w:t>
      </w:r>
      <w:r w:rsidR="00A95B49" w:rsidRPr="00A95B49">
        <w:rPr>
          <w:rStyle w:val="longtext"/>
          <w:rFonts w:ascii="Garamond" w:hAnsi="Garamond"/>
          <w:sz w:val="22"/>
          <w:szCs w:val="22"/>
          <w:lang w:val="hy-AM"/>
        </w:rPr>
        <w:t>.</w:t>
      </w:r>
      <w:r w:rsidR="00CF0734">
        <w:rPr>
          <w:rStyle w:val="longtext"/>
          <w:rFonts w:ascii="Garamond" w:hAnsi="Garamond"/>
          <w:sz w:val="22"/>
          <w:szCs w:val="22"/>
        </w:rPr>
        <w:t>5</w:t>
      </w:r>
      <w:r w:rsidR="00A95B49" w:rsidRPr="00A95B49">
        <w:rPr>
          <w:rStyle w:val="longtext"/>
          <w:rFonts w:ascii="Garamond" w:hAnsi="Garamond"/>
          <w:sz w:val="22"/>
          <w:szCs w:val="22"/>
          <w:lang w:val="hy-AM"/>
        </w:rPr>
        <w:t xml:space="preserve">% </w:t>
      </w:r>
      <w:r w:rsidR="00A95B49">
        <w:rPr>
          <w:rStyle w:val="longtext"/>
          <w:rFonts w:ascii="Garamond" w:hAnsi="Garamond"/>
          <w:sz w:val="22"/>
          <w:szCs w:val="22"/>
        </w:rPr>
        <w:t xml:space="preserve">against the previous quarter </w:t>
      </w:r>
      <w:r w:rsidR="00A95B49" w:rsidRPr="00A95B49">
        <w:rPr>
          <w:rStyle w:val="longtext"/>
          <w:rFonts w:ascii="Garamond" w:hAnsi="Garamond"/>
          <w:sz w:val="22"/>
          <w:szCs w:val="22"/>
          <w:lang w:val="hy-AM"/>
        </w:rPr>
        <w:t>(</w:t>
      </w:r>
      <w:r w:rsidR="00F1147D">
        <w:rPr>
          <w:rStyle w:val="longtext"/>
          <w:rFonts w:ascii="Garamond" w:hAnsi="Garamond"/>
          <w:sz w:val="22"/>
          <w:szCs w:val="22"/>
        </w:rPr>
        <w:t xml:space="preserve">with </w:t>
      </w:r>
      <w:r w:rsidR="00CF0734">
        <w:rPr>
          <w:rStyle w:val="longtext"/>
          <w:rFonts w:ascii="Garamond" w:hAnsi="Garamond"/>
          <w:sz w:val="22"/>
          <w:szCs w:val="22"/>
        </w:rPr>
        <w:t>2</w:t>
      </w:r>
      <w:r w:rsidR="00A95B49" w:rsidRPr="00A95B49">
        <w:rPr>
          <w:rStyle w:val="longtext"/>
          <w:rFonts w:ascii="Garamond" w:hAnsi="Garamond"/>
          <w:sz w:val="22"/>
          <w:szCs w:val="22"/>
          <w:lang w:val="hy-AM"/>
        </w:rPr>
        <w:t>8.</w:t>
      </w:r>
      <w:r w:rsidR="00CF0734">
        <w:rPr>
          <w:rStyle w:val="longtext"/>
          <w:rFonts w:ascii="Garamond" w:hAnsi="Garamond"/>
          <w:sz w:val="22"/>
          <w:szCs w:val="22"/>
        </w:rPr>
        <w:t>1</w:t>
      </w:r>
      <w:r w:rsidR="00A95B49" w:rsidRPr="00A95B49">
        <w:rPr>
          <w:rStyle w:val="longtext"/>
          <w:rFonts w:ascii="Garamond" w:hAnsi="Garamond"/>
          <w:sz w:val="22"/>
          <w:szCs w:val="22"/>
          <w:lang w:val="hy-AM"/>
        </w:rPr>
        <w:t>%</w:t>
      </w:r>
      <w:r w:rsidR="00F1147D">
        <w:rPr>
          <w:rStyle w:val="longtext"/>
          <w:rFonts w:ascii="Garamond" w:hAnsi="Garamond"/>
          <w:sz w:val="22"/>
          <w:szCs w:val="22"/>
        </w:rPr>
        <w:t xml:space="preserve"> decrease y/y</w:t>
      </w:r>
      <w:r w:rsidR="00A95B49" w:rsidRPr="00A95B49">
        <w:rPr>
          <w:rStyle w:val="longtext"/>
          <w:rFonts w:ascii="Garamond" w:hAnsi="Garamond"/>
          <w:sz w:val="22"/>
          <w:szCs w:val="22"/>
          <w:lang w:val="hy-AM"/>
        </w:rPr>
        <w:t>)</w:t>
      </w:r>
      <w:r w:rsidR="00F1147D">
        <w:rPr>
          <w:rStyle w:val="longtext"/>
          <w:rFonts w:ascii="Garamond" w:hAnsi="Garamond"/>
          <w:sz w:val="22"/>
          <w:szCs w:val="22"/>
        </w:rPr>
        <w:t xml:space="preserve"> </w:t>
      </w:r>
      <w:r w:rsidRPr="00A32AB2">
        <w:rPr>
          <w:rStyle w:val="longtext"/>
          <w:rFonts w:ascii="Garamond" w:hAnsi="Garamond"/>
          <w:sz w:val="22"/>
          <w:szCs w:val="22"/>
        </w:rPr>
        <w:t xml:space="preserve">to </w:t>
      </w:r>
      <w:r w:rsidRPr="00A32AB2">
        <w:rPr>
          <w:rStyle w:val="longtext"/>
          <w:rFonts w:ascii="Garamond" w:hAnsi="Garamond"/>
          <w:sz w:val="22"/>
          <w:szCs w:val="22"/>
          <w:shd w:val="clear" w:color="auto" w:fill="FFFFFF"/>
        </w:rPr>
        <w:t xml:space="preserve">USD </w:t>
      </w:r>
      <w:r w:rsidR="00CF0734">
        <w:rPr>
          <w:rStyle w:val="longtext"/>
          <w:rFonts w:ascii="Garamond" w:hAnsi="Garamond"/>
          <w:sz w:val="22"/>
          <w:szCs w:val="22"/>
          <w:shd w:val="clear" w:color="auto" w:fill="FFFFFF"/>
        </w:rPr>
        <w:t>3</w:t>
      </w:r>
      <w:r w:rsidRPr="00A32AB2">
        <w:rPr>
          <w:rStyle w:val="longtext"/>
          <w:rFonts w:ascii="Garamond" w:hAnsi="Garamond"/>
          <w:sz w:val="22"/>
          <w:szCs w:val="22"/>
          <w:shd w:val="clear" w:color="auto" w:fill="FFFFFF"/>
        </w:rPr>
        <w:t>.</w:t>
      </w:r>
      <w:r w:rsidR="00CF0734">
        <w:rPr>
          <w:rStyle w:val="longtext"/>
          <w:rFonts w:ascii="Garamond" w:hAnsi="Garamond"/>
          <w:sz w:val="22"/>
          <w:szCs w:val="22"/>
          <w:shd w:val="clear" w:color="auto" w:fill="FFFFFF"/>
        </w:rPr>
        <w:t>5</w:t>
      </w:r>
      <w:r w:rsidRPr="00A32AB2">
        <w:rPr>
          <w:rStyle w:val="longtext"/>
          <w:rFonts w:ascii="Garamond" w:hAnsi="Garamond"/>
          <w:sz w:val="22"/>
          <w:szCs w:val="22"/>
          <w:shd w:val="clear" w:color="auto" w:fill="FFFFFF"/>
        </w:rPr>
        <w:t xml:space="preserve"> a bushel</w:t>
      </w:r>
      <w:r w:rsidR="00F1147D">
        <w:rPr>
          <w:rStyle w:val="longtext"/>
          <w:rFonts w:ascii="Garamond" w:hAnsi="Garamond"/>
          <w:sz w:val="22"/>
          <w:szCs w:val="22"/>
          <w:shd w:val="clear" w:color="auto" w:fill="FFFFFF"/>
        </w:rPr>
        <w:t xml:space="preserve"> on average</w:t>
      </w:r>
      <w:r w:rsidRPr="00A32AB2">
        <w:rPr>
          <w:rStyle w:val="longtext"/>
          <w:rFonts w:ascii="Garamond" w:hAnsi="Garamond"/>
          <w:sz w:val="22"/>
          <w:szCs w:val="22"/>
          <w:shd w:val="clear" w:color="auto" w:fill="FFFFFF"/>
        </w:rPr>
        <w:t xml:space="preserve">. </w:t>
      </w:r>
    </w:p>
    <w:p w14:paraId="6AB7FC01" w14:textId="77777777" w:rsidR="00A36A51" w:rsidRPr="00A32AB2" w:rsidRDefault="00A36A51" w:rsidP="0006101A">
      <w:pPr>
        <w:spacing w:line="360" w:lineRule="auto"/>
        <w:jc w:val="both"/>
        <w:rPr>
          <w:rStyle w:val="longtext"/>
          <w:rFonts w:ascii="Garamond" w:hAnsi="Garamond"/>
          <w:sz w:val="22"/>
          <w:szCs w:val="22"/>
          <w:shd w:val="clear" w:color="auto" w:fill="FFFFFF"/>
        </w:rPr>
      </w:pPr>
    </w:p>
    <w:p w14:paraId="2F4BAED2" w14:textId="77777777" w:rsidR="00A36A51" w:rsidRPr="00A32AB2" w:rsidRDefault="00A36A51" w:rsidP="0006101A">
      <w:pPr>
        <w:spacing w:line="360" w:lineRule="auto"/>
        <w:jc w:val="both"/>
        <w:rPr>
          <w:rStyle w:val="longtext"/>
          <w:rFonts w:ascii="Garamond" w:hAnsi="Garamond"/>
          <w:sz w:val="22"/>
          <w:szCs w:val="22"/>
          <w:shd w:val="clear" w:color="auto" w:fill="FFFFFF"/>
        </w:rPr>
      </w:pPr>
      <w:r w:rsidRPr="00A32AB2">
        <w:rPr>
          <w:rStyle w:val="longtext"/>
          <w:rFonts w:ascii="Garamond" w:hAnsi="Garamond"/>
          <w:sz w:val="22"/>
          <w:szCs w:val="22"/>
        </w:rPr>
        <w:t xml:space="preserve">In the </w:t>
      </w:r>
      <w:r w:rsidR="00CF0734">
        <w:rPr>
          <w:rStyle w:val="longtext"/>
          <w:rFonts w:ascii="Garamond" w:hAnsi="Garamond"/>
          <w:sz w:val="22"/>
          <w:szCs w:val="22"/>
        </w:rPr>
        <w:t>thir</w:t>
      </w:r>
      <w:r w:rsidR="0001484B">
        <w:rPr>
          <w:rStyle w:val="longtext"/>
          <w:rFonts w:ascii="Garamond" w:hAnsi="Garamond"/>
          <w:sz w:val="22"/>
          <w:szCs w:val="22"/>
        </w:rPr>
        <w:t>d</w:t>
      </w:r>
      <w:r w:rsidRPr="00A32AB2">
        <w:rPr>
          <w:rStyle w:val="longtext"/>
          <w:rFonts w:ascii="Garamond" w:hAnsi="Garamond"/>
          <w:sz w:val="22"/>
          <w:szCs w:val="22"/>
        </w:rPr>
        <w:t xml:space="preserve"> quarter of 2016 the price index of </w:t>
      </w:r>
      <w:r w:rsidRPr="00A32AB2">
        <w:rPr>
          <w:rStyle w:val="longtext"/>
          <w:rFonts w:ascii="Garamond" w:hAnsi="Garamond"/>
          <w:b/>
          <w:sz w:val="22"/>
          <w:szCs w:val="22"/>
        </w:rPr>
        <w:t>unprocessed sugar</w:t>
      </w:r>
      <w:r w:rsidRPr="00A32AB2">
        <w:rPr>
          <w:rStyle w:val="longtext"/>
          <w:rFonts w:ascii="Garamond" w:hAnsi="Garamond"/>
          <w:sz w:val="22"/>
          <w:szCs w:val="22"/>
        </w:rPr>
        <w:t xml:space="preserve"> at the </w:t>
      </w:r>
      <w:r w:rsidRPr="00A32AB2">
        <w:rPr>
          <w:rFonts w:ascii="Garamond" w:eastAsia="MS Mincho" w:hAnsi="Garamond"/>
          <w:iCs/>
          <w:sz w:val="22"/>
          <w:szCs w:val="22"/>
        </w:rPr>
        <w:t>New York Board-Intercontinental Exchange</w:t>
      </w:r>
      <w:r w:rsidR="0086764D" w:rsidRPr="00A32AB2">
        <w:rPr>
          <w:rFonts w:ascii="Garamond" w:eastAsia="MS Mincho" w:hAnsi="Garamond"/>
          <w:iCs/>
          <w:sz w:val="22"/>
          <w:szCs w:val="22"/>
          <w:lang w:val="hy-AM"/>
        </w:rPr>
        <w:t xml:space="preserve"> </w:t>
      </w:r>
      <w:r w:rsidR="00CF0734">
        <w:rPr>
          <w:rFonts w:ascii="Garamond" w:eastAsia="MS Mincho" w:hAnsi="Garamond"/>
          <w:iCs/>
          <w:sz w:val="22"/>
          <w:szCs w:val="22"/>
        </w:rPr>
        <w:t>rose again</w:t>
      </w:r>
      <w:r w:rsidR="0001484B">
        <w:rPr>
          <w:rFonts w:ascii="Garamond" w:eastAsia="MS Mincho" w:hAnsi="Garamond"/>
          <w:iCs/>
          <w:sz w:val="22"/>
          <w:szCs w:val="22"/>
        </w:rPr>
        <w:t xml:space="preserve">, </w:t>
      </w:r>
      <w:r w:rsidR="00CF0734">
        <w:rPr>
          <w:rFonts w:ascii="Garamond" w:eastAsia="MS Mincho" w:hAnsi="Garamond"/>
          <w:iCs/>
          <w:sz w:val="22"/>
          <w:szCs w:val="22"/>
        </w:rPr>
        <w:t xml:space="preserve">reflecting </w:t>
      </w:r>
      <w:r w:rsidR="0001484B">
        <w:rPr>
          <w:rFonts w:ascii="Garamond" w:eastAsia="MS Mincho" w:hAnsi="Garamond"/>
          <w:iCs/>
          <w:sz w:val="22"/>
          <w:szCs w:val="22"/>
        </w:rPr>
        <w:t>contract</w:t>
      </w:r>
      <w:r w:rsidR="00CF0734">
        <w:rPr>
          <w:rFonts w:ascii="Garamond" w:eastAsia="MS Mincho" w:hAnsi="Garamond"/>
          <w:iCs/>
          <w:sz w:val="22"/>
          <w:szCs w:val="22"/>
        </w:rPr>
        <w:t xml:space="preserve">ed </w:t>
      </w:r>
      <w:r w:rsidR="0001484B">
        <w:rPr>
          <w:rFonts w:ascii="Garamond" w:eastAsia="MS Mincho" w:hAnsi="Garamond"/>
          <w:iCs/>
          <w:sz w:val="22"/>
          <w:szCs w:val="22"/>
        </w:rPr>
        <w:t xml:space="preserve">amount of harvest in </w:t>
      </w:r>
      <w:r w:rsidR="0001484B" w:rsidRPr="00A32AB2">
        <w:rPr>
          <w:rStyle w:val="longtext"/>
          <w:rFonts w:ascii="Garamond" w:hAnsi="Garamond"/>
          <w:sz w:val="22"/>
          <w:szCs w:val="22"/>
          <w:shd w:val="clear" w:color="auto" w:fill="FFFFFF"/>
        </w:rPr>
        <w:t>Brazil</w:t>
      </w:r>
      <w:r w:rsidR="0001484B">
        <w:rPr>
          <w:rStyle w:val="longtext"/>
          <w:rFonts w:ascii="Garamond" w:hAnsi="Garamond"/>
          <w:sz w:val="22"/>
          <w:szCs w:val="22"/>
          <w:shd w:val="clear" w:color="auto" w:fill="FFFFFF"/>
        </w:rPr>
        <w:t xml:space="preserve"> and </w:t>
      </w:r>
      <w:r w:rsidR="00CF0734">
        <w:rPr>
          <w:rStyle w:val="longtext"/>
          <w:rFonts w:ascii="Garamond" w:hAnsi="Garamond"/>
          <w:sz w:val="22"/>
          <w:szCs w:val="22"/>
          <w:shd w:val="clear" w:color="auto" w:fill="FFFFFF"/>
        </w:rPr>
        <w:t>Thailand</w:t>
      </w:r>
      <w:r w:rsidR="0001484B" w:rsidRPr="00A32AB2">
        <w:rPr>
          <w:rStyle w:val="longtext"/>
          <w:rFonts w:ascii="Garamond" w:hAnsi="Garamond"/>
          <w:sz w:val="22"/>
          <w:szCs w:val="22"/>
          <w:shd w:val="clear" w:color="auto" w:fill="FFFFFF"/>
        </w:rPr>
        <w:t>, main producer and exporter</w:t>
      </w:r>
      <w:r w:rsidR="0001484B" w:rsidRPr="00A32AB2">
        <w:rPr>
          <w:rStyle w:val="longtext"/>
          <w:rFonts w:ascii="Garamond" w:hAnsi="Garamond"/>
          <w:sz w:val="22"/>
          <w:szCs w:val="22"/>
        </w:rPr>
        <w:t xml:space="preserve"> </w:t>
      </w:r>
      <w:r w:rsidR="0001484B">
        <w:rPr>
          <w:rStyle w:val="longtext"/>
          <w:rFonts w:ascii="Garamond" w:hAnsi="Garamond"/>
          <w:sz w:val="22"/>
          <w:szCs w:val="22"/>
        </w:rPr>
        <w:t xml:space="preserve">countries. </w:t>
      </w:r>
      <w:r w:rsidR="0001484B" w:rsidRPr="0001484B">
        <w:rPr>
          <w:rStyle w:val="longtext"/>
          <w:rFonts w:ascii="Garamond" w:hAnsi="Garamond"/>
          <w:sz w:val="22"/>
          <w:szCs w:val="22"/>
        </w:rPr>
        <w:t xml:space="preserve">As a result, </w:t>
      </w:r>
      <w:r w:rsidR="0001484B">
        <w:rPr>
          <w:rStyle w:val="longtext"/>
          <w:rFonts w:ascii="Garamond" w:hAnsi="Garamond"/>
          <w:sz w:val="22"/>
          <w:szCs w:val="22"/>
        </w:rPr>
        <w:t xml:space="preserve">price growth of sugar </w:t>
      </w:r>
      <w:r w:rsidR="00CF0734">
        <w:rPr>
          <w:rStyle w:val="longtext"/>
          <w:rFonts w:ascii="Garamond" w:hAnsi="Garamond"/>
          <w:sz w:val="22"/>
          <w:szCs w:val="22"/>
        </w:rPr>
        <w:t>amounted to 20.5</w:t>
      </w:r>
      <w:r w:rsidR="0001484B" w:rsidRPr="0001484B">
        <w:rPr>
          <w:rStyle w:val="longtext"/>
          <w:rFonts w:ascii="Garamond" w:hAnsi="Garamond"/>
          <w:sz w:val="22"/>
          <w:szCs w:val="22"/>
        </w:rPr>
        <w:t>%</w:t>
      </w:r>
      <w:r w:rsidR="0001484B">
        <w:rPr>
          <w:rStyle w:val="longtext"/>
          <w:rFonts w:ascii="Garamond" w:hAnsi="Garamond"/>
          <w:sz w:val="22"/>
          <w:szCs w:val="22"/>
        </w:rPr>
        <w:t xml:space="preserve"> q/q and </w:t>
      </w:r>
      <w:r w:rsidR="00CF0734">
        <w:rPr>
          <w:rStyle w:val="longtext"/>
          <w:rFonts w:ascii="Garamond" w:hAnsi="Garamond"/>
          <w:sz w:val="22"/>
          <w:szCs w:val="22"/>
        </w:rPr>
        <w:t>77</w:t>
      </w:r>
      <w:r w:rsidR="0001484B" w:rsidRPr="0001484B">
        <w:rPr>
          <w:rStyle w:val="longtext"/>
          <w:rFonts w:ascii="Garamond" w:hAnsi="Garamond"/>
          <w:sz w:val="22"/>
          <w:szCs w:val="22"/>
        </w:rPr>
        <w:t>.</w:t>
      </w:r>
      <w:r w:rsidR="00CF0734">
        <w:rPr>
          <w:rStyle w:val="longtext"/>
          <w:rFonts w:ascii="Garamond" w:hAnsi="Garamond"/>
          <w:sz w:val="22"/>
          <w:szCs w:val="22"/>
        </w:rPr>
        <w:t>7</w:t>
      </w:r>
      <w:r w:rsidR="0001484B" w:rsidRPr="0001484B">
        <w:rPr>
          <w:rStyle w:val="longtext"/>
          <w:rFonts w:ascii="Garamond" w:hAnsi="Garamond"/>
          <w:sz w:val="22"/>
          <w:szCs w:val="22"/>
        </w:rPr>
        <w:t>%</w:t>
      </w:r>
      <w:r w:rsidR="0001484B">
        <w:rPr>
          <w:rStyle w:val="longtext"/>
          <w:rFonts w:ascii="Garamond" w:hAnsi="Garamond"/>
          <w:sz w:val="22"/>
          <w:szCs w:val="22"/>
        </w:rPr>
        <w:t xml:space="preserve"> y/y</w:t>
      </w:r>
      <w:r w:rsidR="0001484B" w:rsidRPr="0001484B">
        <w:rPr>
          <w:rStyle w:val="longtext"/>
          <w:rFonts w:ascii="Garamond" w:hAnsi="Garamond"/>
          <w:sz w:val="22"/>
          <w:szCs w:val="22"/>
        </w:rPr>
        <w:t>.</w:t>
      </w:r>
    </w:p>
    <w:p w14:paraId="057E7CD1" w14:textId="77777777" w:rsidR="00586351" w:rsidRPr="00A32AB2" w:rsidRDefault="00586351" w:rsidP="0006101A">
      <w:pPr>
        <w:spacing w:line="360" w:lineRule="auto"/>
        <w:jc w:val="both"/>
        <w:rPr>
          <w:rStyle w:val="longtext"/>
          <w:rFonts w:ascii="Garamond" w:hAnsi="Garamond"/>
          <w:sz w:val="22"/>
          <w:szCs w:val="22"/>
          <w:shd w:val="clear" w:color="auto" w:fill="FFFFFF"/>
        </w:rPr>
      </w:pPr>
    </w:p>
    <w:p w14:paraId="60871F30" w14:textId="77777777" w:rsidR="00586351" w:rsidRPr="00A32AB2" w:rsidRDefault="00586351" w:rsidP="0006101A">
      <w:pPr>
        <w:spacing w:line="360" w:lineRule="auto"/>
        <w:jc w:val="both"/>
        <w:rPr>
          <w:rStyle w:val="longtext"/>
          <w:rFonts w:ascii="Garamond" w:hAnsi="Garamond"/>
          <w:sz w:val="22"/>
          <w:szCs w:val="22"/>
        </w:rPr>
      </w:pPr>
      <w:r w:rsidRPr="00A32AB2">
        <w:rPr>
          <w:rStyle w:val="longtext"/>
          <w:rFonts w:ascii="Garamond" w:hAnsi="Garamond"/>
          <w:sz w:val="22"/>
          <w:szCs w:val="22"/>
          <w:shd w:val="clear" w:color="auto" w:fill="FFFFFF"/>
        </w:rPr>
        <w:t xml:space="preserve">In the </w:t>
      </w:r>
      <w:r w:rsidR="00F979AB">
        <w:rPr>
          <w:rStyle w:val="longtext"/>
          <w:rFonts w:ascii="Garamond" w:hAnsi="Garamond"/>
          <w:sz w:val="22"/>
          <w:szCs w:val="22"/>
          <w:shd w:val="clear" w:color="auto" w:fill="FFFFFF"/>
        </w:rPr>
        <w:t>thir</w:t>
      </w:r>
      <w:r w:rsidR="0001484B">
        <w:rPr>
          <w:rStyle w:val="longtext"/>
          <w:rFonts w:ascii="Garamond" w:hAnsi="Garamond"/>
          <w:sz w:val="22"/>
          <w:szCs w:val="22"/>
          <w:shd w:val="clear" w:color="auto" w:fill="FFFFFF"/>
        </w:rPr>
        <w:t>d</w:t>
      </w:r>
      <w:r w:rsidRPr="00A32AB2">
        <w:rPr>
          <w:rStyle w:val="longtext"/>
          <w:rFonts w:ascii="Garamond" w:hAnsi="Garamond"/>
          <w:sz w:val="22"/>
          <w:szCs w:val="22"/>
          <w:shd w:val="clear" w:color="auto" w:fill="FFFFFF"/>
        </w:rPr>
        <w:t xml:space="preserve"> </w:t>
      </w:r>
      <w:r w:rsidRPr="00A32AB2">
        <w:rPr>
          <w:rStyle w:val="longtext"/>
          <w:rFonts w:ascii="Garamond" w:hAnsi="Garamond"/>
          <w:sz w:val="22"/>
          <w:szCs w:val="22"/>
        </w:rPr>
        <w:t>quarter of 2016</w:t>
      </w:r>
      <w:r w:rsidR="0001484B">
        <w:rPr>
          <w:rStyle w:val="longtext"/>
          <w:rFonts w:ascii="Garamond" w:hAnsi="Garamond"/>
          <w:sz w:val="22"/>
          <w:szCs w:val="22"/>
        </w:rPr>
        <w:t xml:space="preserve"> </w:t>
      </w:r>
      <w:r w:rsidRPr="00A32AB2">
        <w:rPr>
          <w:rStyle w:val="longtext"/>
          <w:rFonts w:ascii="Garamond" w:hAnsi="Garamond"/>
          <w:sz w:val="22"/>
          <w:szCs w:val="22"/>
          <w:shd w:val="clear" w:color="auto" w:fill="FFFFFF"/>
        </w:rPr>
        <w:t>t</w:t>
      </w:r>
      <w:r w:rsidRPr="00A32AB2">
        <w:rPr>
          <w:rStyle w:val="longtext"/>
          <w:rFonts w:ascii="Garamond" w:hAnsi="Garamond"/>
          <w:sz w:val="22"/>
          <w:szCs w:val="22"/>
        </w:rPr>
        <w:t>he price of</w:t>
      </w:r>
      <w:r w:rsidR="0086764D" w:rsidRPr="00A32AB2">
        <w:rPr>
          <w:rStyle w:val="longtext"/>
          <w:rFonts w:ascii="Garamond" w:hAnsi="Garamond"/>
          <w:sz w:val="22"/>
          <w:szCs w:val="22"/>
          <w:lang w:val="hy-AM"/>
        </w:rPr>
        <w:t xml:space="preserve"> </w:t>
      </w:r>
      <w:r w:rsidRPr="00A32AB2">
        <w:rPr>
          <w:rStyle w:val="longtext"/>
          <w:rFonts w:ascii="Garamond" w:hAnsi="Garamond"/>
          <w:b/>
          <w:sz w:val="22"/>
          <w:szCs w:val="22"/>
        </w:rPr>
        <w:t>rice</w:t>
      </w:r>
      <w:r w:rsidRPr="00A32AB2">
        <w:rPr>
          <w:rStyle w:val="longtext"/>
          <w:rFonts w:ascii="Garamond" w:hAnsi="Garamond"/>
          <w:sz w:val="22"/>
          <w:szCs w:val="22"/>
        </w:rPr>
        <w:t xml:space="preserve"> at the Chicago Board of Trade </w:t>
      </w:r>
      <w:r w:rsidR="00B7152D">
        <w:rPr>
          <w:rStyle w:val="longtext"/>
          <w:rFonts w:ascii="Garamond" w:hAnsi="Garamond"/>
          <w:sz w:val="22"/>
          <w:szCs w:val="22"/>
        </w:rPr>
        <w:t xml:space="preserve">kept on </w:t>
      </w:r>
      <w:r w:rsidRPr="00A32AB2">
        <w:rPr>
          <w:rStyle w:val="longtext"/>
          <w:rFonts w:ascii="Garamond" w:hAnsi="Garamond"/>
          <w:sz w:val="22"/>
          <w:szCs w:val="22"/>
        </w:rPr>
        <w:t>gr</w:t>
      </w:r>
      <w:r w:rsidR="00B7152D">
        <w:rPr>
          <w:rStyle w:val="longtext"/>
          <w:rFonts w:ascii="Garamond" w:hAnsi="Garamond"/>
          <w:sz w:val="22"/>
          <w:szCs w:val="22"/>
        </w:rPr>
        <w:t>o</w:t>
      </w:r>
      <w:r w:rsidRPr="00A32AB2">
        <w:rPr>
          <w:rStyle w:val="longtext"/>
          <w:rFonts w:ascii="Garamond" w:hAnsi="Garamond"/>
          <w:sz w:val="22"/>
          <w:szCs w:val="22"/>
        </w:rPr>
        <w:t>w</w:t>
      </w:r>
      <w:r w:rsidR="00B7152D">
        <w:rPr>
          <w:rStyle w:val="longtext"/>
          <w:rFonts w:ascii="Garamond" w:hAnsi="Garamond"/>
          <w:sz w:val="22"/>
          <w:szCs w:val="22"/>
        </w:rPr>
        <w:t>ing</w:t>
      </w:r>
      <w:r w:rsidRPr="00A32AB2">
        <w:rPr>
          <w:rStyle w:val="longtext"/>
          <w:rFonts w:ascii="Garamond" w:hAnsi="Garamond"/>
          <w:sz w:val="22"/>
          <w:szCs w:val="22"/>
        </w:rPr>
        <w:t xml:space="preserve"> </w:t>
      </w:r>
      <w:r w:rsidR="00B7152D">
        <w:rPr>
          <w:rStyle w:val="longtext"/>
          <w:rFonts w:ascii="Garamond" w:hAnsi="Garamond"/>
          <w:sz w:val="22"/>
          <w:szCs w:val="22"/>
        </w:rPr>
        <w:t xml:space="preserve">on the back of persistently low production volumes; the price rose </w:t>
      </w:r>
      <w:r w:rsidRPr="00A32AB2">
        <w:rPr>
          <w:rStyle w:val="longtext"/>
          <w:rFonts w:ascii="Garamond" w:hAnsi="Garamond"/>
          <w:sz w:val="22"/>
          <w:szCs w:val="22"/>
        </w:rPr>
        <w:t xml:space="preserve">by </w:t>
      </w:r>
      <w:r w:rsidR="00F979AB">
        <w:rPr>
          <w:rStyle w:val="longtext"/>
          <w:rFonts w:ascii="Garamond" w:hAnsi="Garamond"/>
          <w:sz w:val="22"/>
          <w:szCs w:val="22"/>
        </w:rPr>
        <w:t>3</w:t>
      </w:r>
      <w:r w:rsidRPr="00A32AB2">
        <w:rPr>
          <w:rStyle w:val="longtext"/>
          <w:rFonts w:ascii="Garamond" w:hAnsi="Garamond"/>
          <w:sz w:val="22"/>
          <w:szCs w:val="22"/>
        </w:rPr>
        <w:t>.</w:t>
      </w:r>
      <w:r w:rsidR="00B7152D">
        <w:rPr>
          <w:rStyle w:val="longtext"/>
          <w:rFonts w:ascii="Garamond" w:hAnsi="Garamond"/>
          <w:sz w:val="22"/>
          <w:szCs w:val="22"/>
        </w:rPr>
        <w:t>9</w:t>
      </w:r>
      <w:r w:rsidRPr="00A32AB2">
        <w:rPr>
          <w:rStyle w:val="longtext"/>
          <w:rFonts w:ascii="Garamond" w:hAnsi="Garamond"/>
          <w:sz w:val="22"/>
          <w:szCs w:val="22"/>
        </w:rPr>
        <w:t>%</w:t>
      </w:r>
      <w:r w:rsidR="00B7152D">
        <w:rPr>
          <w:rStyle w:val="longtext"/>
          <w:rFonts w:ascii="Garamond" w:hAnsi="Garamond"/>
          <w:sz w:val="22"/>
          <w:szCs w:val="22"/>
        </w:rPr>
        <w:t xml:space="preserve"> </w:t>
      </w:r>
      <w:r w:rsidRPr="00A32AB2">
        <w:rPr>
          <w:rStyle w:val="longtext"/>
          <w:rFonts w:ascii="Garamond" w:hAnsi="Garamond"/>
          <w:sz w:val="22"/>
          <w:szCs w:val="22"/>
        </w:rPr>
        <w:t xml:space="preserve">to </w:t>
      </w:r>
      <w:r w:rsidRPr="00A32AB2">
        <w:rPr>
          <w:rStyle w:val="longtext"/>
          <w:rFonts w:ascii="Garamond" w:hAnsi="Garamond"/>
          <w:sz w:val="22"/>
          <w:szCs w:val="22"/>
          <w:shd w:val="clear" w:color="auto" w:fill="FFFFFF"/>
        </w:rPr>
        <w:t xml:space="preserve">USD </w:t>
      </w:r>
      <w:r w:rsidRPr="00A32AB2">
        <w:rPr>
          <w:rStyle w:val="longtext"/>
          <w:rFonts w:ascii="Garamond" w:hAnsi="Garamond"/>
          <w:sz w:val="22"/>
          <w:szCs w:val="22"/>
        </w:rPr>
        <w:t>1</w:t>
      </w:r>
      <w:r w:rsidR="00B7152D">
        <w:rPr>
          <w:rStyle w:val="longtext"/>
          <w:rFonts w:ascii="Garamond" w:hAnsi="Garamond"/>
          <w:sz w:val="22"/>
          <w:szCs w:val="22"/>
        </w:rPr>
        <w:t>8</w:t>
      </w:r>
      <w:r w:rsidRPr="00A32AB2">
        <w:rPr>
          <w:rStyle w:val="longtext"/>
          <w:rFonts w:ascii="Garamond" w:hAnsi="Garamond"/>
          <w:sz w:val="22"/>
          <w:szCs w:val="22"/>
        </w:rPr>
        <w:t>.</w:t>
      </w:r>
      <w:r w:rsidR="00F979AB">
        <w:rPr>
          <w:rStyle w:val="longtext"/>
          <w:rFonts w:ascii="Garamond" w:hAnsi="Garamond"/>
          <w:sz w:val="22"/>
          <w:szCs w:val="22"/>
        </w:rPr>
        <w:t>9</w:t>
      </w:r>
      <w:r w:rsidRPr="00A32AB2">
        <w:rPr>
          <w:rStyle w:val="longtext"/>
          <w:rFonts w:ascii="Garamond" w:hAnsi="Garamond"/>
          <w:sz w:val="22"/>
          <w:szCs w:val="22"/>
        </w:rPr>
        <w:t xml:space="preserve"> per U.S. hundredweight (45.4 kg)</w:t>
      </w:r>
      <w:r w:rsidR="00B7152D">
        <w:rPr>
          <w:rStyle w:val="longtext"/>
          <w:rFonts w:ascii="Garamond" w:hAnsi="Garamond"/>
          <w:sz w:val="22"/>
          <w:szCs w:val="22"/>
        </w:rPr>
        <w:t xml:space="preserve">, with the y/y growth reaching </w:t>
      </w:r>
      <w:r w:rsidR="00F979AB">
        <w:rPr>
          <w:rStyle w:val="longtext"/>
          <w:rFonts w:ascii="Garamond" w:hAnsi="Garamond"/>
          <w:sz w:val="22"/>
          <w:szCs w:val="22"/>
        </w:rPr>
        <w:t>11</w:t>
      </w:r>
      <w:r w:rsidR="00B7152D">
        <w:rPr>
          <w:rStyle w:val="longtext"/>
          <w:rFonts w:ascii="Garamond" w:hAnsi="Garamond"/>
          <w:sz w:val="22"/>
          <w:szCs w:val="22"/>
        </w:rPr>
        <w:t>.</w:t>
      </w:r>
      <w:r w:rsidR="00F979AB">
        <w:rPr>
          <w:rStyle w:val="longtext"/>
          <w:rFonts w:ascii="Garamond" w:hAnsi="Garamond"/>
          <w:sz w:val="22"/>
          <w:szCs w:val="22"/>
        </w:rPr>
        <w:t>6</w:t>
      </w:r>
      <w:r w:rsidR="00B7152D">
        <w:rPr>
          <w:rStyle w:val="longtext"/>
          <w:rFonts w:ascii="Garamond" w:hAnsi="Garamond"/>
          <w:sz w:val="22"/>
          <w:szCs w:val="22"/>
        </w:rPr>
        <w:t>%.</w:t>
      </w:r>
    </w:p>
    <w:p w14:paraId="3AC4564B" w14:textId="77777777" w:rsidR="00586351" w:rsidRPr="00A32AB2" w:rsidRDefault="00586351" w:rsidP="0006101A">
      <w:pPr>
        <w:spacing w:line="360" w:lineRule="auto"/>
        <w:jc w:val="both"/>
        <w:rPr>
          <w:rStyle w:val="longtext"/>
          <w:rFonts w:ascii="Garamond" w:hAnsi="Garamond"/>
          <w:sz w:val="22"/>
          <w:szCs w:val="22"/>
        </w:rPr>
      </w:pPr>
    </w:p>
    <w:p w14:paraId="192F5DA1" w14:textId="77777777" w:rsidR="00586351" w:rsidRPr="00A32AB2" w:rsidRDefault="00CF27FC" w:rsidP="0006101A">
      <w:pPr>
        <w:spacing w:line="360" w:lineRule="auto"/>
        <w:jc w:val="both"/>
        <w:rPr>
          <w:rFonts w:ascii="Garamond" w:hAnsi="Garamond" w:cs="Sylfaen"/>
          <w:b/>
          <w:sz w:val="22"/>
          <w:szCs w:val="22"/>
        </w:rPr>
      </w:pPr>
      <w:r>
        <w:rPr>
          <w:rFonts w:ascii="Garamond" w:hAnsi="Garamond" w:cs="Sylfaen"/>
          <w:b/>
          <w:sz w:val="22"/>
          <w:szCs w:val="22"/>
        </w:rPr>
        <w:t>Summary: inf</w:t>
      </w:r>
      <w:r w:rsidR="00586351" w:rsidRPr="00A32AB2">
        <w:rPr>
          <w:rFonts w:ascii="Garamond" w:hAnsi="Garamond" w:cs="Sylfaen"/>
          <w:b/>
          <w:sz w:val="22"/>
          <w:szCs w:val="22"/>
        </w:rPr>
        <w:t xml:space="preserve">lationary trends </w:t>
      </w:r>
      <w:r>
        <w:rPr>
          <w:rFonts w:ascii="Garamond" w:hAnsi="Garamond" w:cs="Sylfaen"/>
          <w:b/>
          <w:sz w:val="22"/>
          <w:szCs w:val="22"/>
        </w:rPr>
        <w:t xml:space="preserve">observable in </w:t>
      </w:r>
      <w:r w:rsidR="00586351" w:rsidRPr="00A32AB2">
        <w:rPr>
          <w:rFonts w:ascii="Garamond" w:hAnsi="Garamond" w:cs="Sylfaen"/>
          <w:b/>
          <w:sz w:val="22"/>
          <w:szCs w:val="22"/>
        </w:rPr>
        <w:t xml:space="preserve">the world’s commodity </w:t>
      </w:r>
      <w:r w:rsidR="006356C4" w:rsidRPr="00A32AB2">
        <w:rPr>
          <w:rFonts w:ascii="Garamond" w:hAnsi="Garamond" w:cs="Sylfaen"/>
          <w:b/>
          <w:sz w:val="22"/>
          <w:szCs w:val="22"/>
        </w:rPr>
        <w:t xml:space="preserve">and food product </w:t>
      </w:r>
      <w:r w:rsidR="00586351" w:rsidRPr="00A32AB2">
        <w:rPr>
          <w:rFonts w:ascii="Garamond" w:hAnsi="Garamond" w:cs="Sylfaen"/>
          <w:b/>
          <w:sz w:val="22"/>
          <w:szCs w:val="22"/>
        </w:rPr>
        <w:t xml:space="preserve">markets </w:t>
      </w:r>
      <w:r w:rsidR="006356C4" w:rsidRPr="00A32AB2">
        <w:rPr>
          <w:rFonts w:ascii="Garamond" w:hAnsi="Garamond" w:cs="Sylfaen"/>
          <w:b/>
          <w:sz w:val="22"/>
          <w:szCs w:val="22"/>
        </w:rPr>
        <w:t xml:space="preserve">in </w:t>
      </w:r>
      <w:r w:rsidR="00586351" w:rsidRPr="00A32AB2">
        <w:rPr>
          <w:rFonts w:ascii="Garamond" w:hAnsi="Garamond" w:cs="Sylfaen"/>
          <w:b/>
          <w:sz w:val="22"/>
          <w:szCs w:val="22"/>
        </w:rPr>
        <w:t xml:space="preserve">the </w:t>
      </w:r>
      <w:r w:rsidR="00F979AB">
        <w:rPr>
          <w:rFonts w:ascii="Garamond" w:hAnsi="Garamond" w:cs="Sylfaen"/>
          <w:b/>
          <w:sz w:val="22"/>
          <w:szCs w:val="22"/>
        </w:rPr>
        <w:t>thir</w:t>
      </w:r>
      <w:r>
        <w:rPr>
          <w:rFonts w:ascii="Garamond" w:hAnsi="Garamond" w:cs="Sylfaen"/>
          <w:b/>
          <w:sz w:val="22"/>
          <w:szCs w:val="22"/>
        </w:rPr>
        <w:t>d</w:t>
      </w:r>
      <w:r w:rsidR="00586351" w:rsidRPr="00A32AB2">
        <w:rPr>
          <w:rFonts w:ascii="Garamond" w:hAnsi="Garamond" w:cs="Sylfaen"/>
          <w:b/>
          <w:sz w:val="22"/>
          <w:szCs w:val="22"/>
        </w:rPr>
        <w:t xml:space="preserve"> quarter of 201</w:t>
      </w:r>
      <w:r w:rsidR="000B6343" w:rsidRPr="00A32AB2">
        <w:rPr>
          <w:rFonts w:ascii="Garamond" w:hAnsi="Garamond" w:cs="Sylfaen"/>
          <w:b/>
          <w:sz w:val="22"/>
          <w:szCs w:val="22"/>
        </w:rPr>
        <w:t>6</w:t>
      </w:r>
      <w:r>
        <w:rPr>
          <w:rFonts w:ascii="Garamond" w:hAnsi="Garamond" w:cs="Sylfaen"/>
          <w:b/>
          <w:sz w:val="22"/>
          <w:szCs w:val="22"/>
        </w:rPr>
        <w:t xml:space="preserve"> were</w:t>
      </w:r>
      <w:r w:rsidR="00586351" w:rsidRPr="00A32AB2">
        <w:rPr>
          <w:rFonts w:ascii="Garamond" w:hAnsi="Garamond" w:cs="Sylfaen"/>
          <w:b/>
          <w:sz w:val="22"/>
          <w:szCs w:val="22"/>
        </w:rPr>
        <w:t xml:space="preserve"> </w:t>
      </w:r>
      <w:r w:rsidR="006356C4" w:rsidRPr="00A32AB2">
        <w:rPr>
          <w:rFonts w:ascii="Garamond" w:hAnsi="Garamond" w:cs="Sylfaen"/>
          <w:b/>
          <w:sz w:val="22"/>
          <w:szCs w:val="22"/>
        </w:rPr>
        <w:t xml:space="preserve">mostly </w:t>
      </w:r>
      <w:r w:rsidR="00586351" w:rsidRPr="00A32AB2">
        <w:rPr>
          <w:rFonts w:ascii="Garamond" w:hAnsi="Garamond" w:cs="Sylfaen"/>
          <w:b/>
          <w:sz w:val="22"/>
          <w:szCs w:val="22"/>
        </w:rPr>
        <w:t>in line with the previous program’s forecast</w:t>
      </w:r>
      <w:r w:rsidR="006356C4" w:rsidRPr="00A32AB2">
        <w:rPr>
          <w:rFonts w:ascii="Garamond" w:hAnsi="Garamond" w:cs="Sylfaen"/>
          <w:b/>
          <w:sz w:val="22"/>
          <w:szCs w:val="22"/>
        </w:rPr>
        <w:t>s</w:t>
      </w:r>
      <w:r w:rsidR="004D5B22">
        <w:rPr>
          <w:rFonts w:ascii="Garamond" w:hAnsi="Garamond" w:cs="Sylfaen"/>
          <w:b/>
          <w:sz w:val="22"/>
          <w:szCs w:val="22"/>
        </w:rPr>
        <w:t>, a</w:t>
      </w:r>
      <w:r w:rsidR="004D5B22" w:rsidRPr="004D5B22">
        <w:rPr>
          <w:rFonts w:ascii="Garamond" w:hAnsi="Garamond" w:cs="Sylfaen"/>
          <w:b/>
          <w:sz w:val="22"/>
          <w:szCs w:val="22"/>
        </w:rPr>
        <w:t xml:space="preserve">lthough food </w:t>
      </w:r>
      <w:r w:rsidR="00F979AB">
        <w:rPr>
          <w:rFonts w:ascii="Garamond" w:hAnsi="Garamond" w:cs="Sylfaen"/>
          <w:b/>
          <w:sz w:val="22"/>
          <w:szCs w:val="22"/>
        </w:rPr>
        <w:t>markets saw</w:t>
      </w:r>
      <w:r w:rsidR="004D5B22">
        <w:rPr>
          <w:rFonts w:ascii="Garamond" w:hAnsi="Garamond" w:cs="Sylfaen"/>
          <w:b/>
          <w:sz w:val="22"/>
          <w:szCs w:val="22"/>
        </w:rPr>
        <w:t xml:space="preserve"> higher-than-</w:t>
      </w:r>
      <w:r w:rsidR="004D5B22" w:rsidRPr="004D5B22">
        <w:rPr>
          <w:rFonts w:ascii="Garamond" w:hAnsi="Garamond" w:cs="Sylfaen"/>
          <w:b/>
          <w:sz w:val="22"/>
          <w:szCs w:val="22"/>
        </w:rPr>
        <w:t>expected price growth.</w:t>
      </w:r>
    </w:p>
    <w:p w14:paraId="4927AFEC" w14:textId="77777777" w:rsidR="001A1846" w:rsidRPr="00A32AB2" w:rsidRDefault="001A1846" w:rsidP="0006101A">
      <w:pPr>
        <w:spacing w:line="360" w:lineRule="auto"/>
        <w:jc w:val="both"/>
        <w:rPr>
          <w:rFonts w:ascii="Garamond" w:hAnsi="Garamond" w:cs="Sylfaen"/>
          <w:b/>
          <w:sz w:val="22"/>
          <w:szCs w:val="22"/>
        </w:rPr>
      </w:pPr>
    </w:p>
    <w:p w14:paraId="1294C0B0" w14:textId="77777777" w:rsidR="001A1846" w:rsidRPr="00A32AB2" w:rsidRDefault="001A1846" w:rsidP="0006101A">
      <w:pPr>
        <w:spacing w:line="360" w:lineRule="auto"/>
        <w:jc w:val="both"/>
        <w:rPr>
          <w:rFonts w:ascii="Garamond" w:hAnsi="Garamond" w:cs="Sylfaen"/>
          <w:b/>
          <w:sz w:val="22"/>
          <w:szCs w:val="22"/>
        </w:rPr>
      </w:pPr>
      <w:r w:rsidRPr="00A32AB2">
        <w:rPr>
          <w:rFonts w:ascii="Garamond" w:hAnsi="Garamond" w:cs="Sylfaen"/>
          <w:b/>
          <w:sz w:val="22"/>
          <w:szCs w:val="22"/>
        </w:rPr>
        <w:t>4. Conclusion</w:t>
      </w:r>
    </w:p>
    <w:p w14:paraId="6FB0CC25" w14:textId="77777777" w:rsidR="001A1846" w:rsidRPr="00A32AB2" w:rsidRDefault="001A1846" w:rsidP="0006101A">
      <w:pPr>
        <w:spacing w:line="360" w:lineRule="auto"/>
        <w:jc w:val="both"/>
        <w:rPr>
          <w:rFonts w:ascii="Garamond" w:hAnsi="Garamond" w:cs="Sylfaen"/>
          <w:b/>
          <w:sz w:val="22"/>
          <w:szCs w:val="22"/>
        </w:rPr>
      </w:pPr>
    </w:p>
    <w:p w14:paraId="6C9487B9" w14:textId="77777777" w:rsidR="001A1846" w:rsidRPr="00A32AB2" w:rsidRDefault="001A1846" w:rsidP="0006101A">
      <w:pPr>
        <w:spacing w:line="360" w:lineRule="auto"/>
        <w:jc w:val="both"/>
        <w:rPr>
          <w:rStyle w:val="longtext"/>
          <w:rFonts w:ascii="Garamond" w:hAnsi="Garamond"/>
          <w:sz w:val="22"/>
          <w:szCs w:val="22"/>
          <w:shd w:val="clear" w:color="auto" w:fill="FFFFFF"/>
        </w:rPr>
      </w:pPr>
      <w:r w:rsidRPr="00A32AB2">
        <w:rPr>
          <w:rFonts w:ascii="Garamond" w:hAnsi="Garamond"/>
          <w:sz w:val="22"/>
          <w:szCs w:val="22"/>
        </w:rPr>
        <w:t xml:space="preserve">The </w:t>
      </w:r>
      <w:r w:rsidRPr="00A32AB2">
        <w:rPr>
          <w:rFonts w:ascii="Garamond" w:hAnsi="Garamond"/>
          <w:b/>
          <w:sz w:val="22"/>
          <w:szCs w:val="22"/>
        </w:rPr>
        <w:t>global economy</w:t>
      </w:r>
      <w:r w:rsidRPr="00A32AB2">
        <w:rPr>
          <w:rFonts w:ascii="Garamond" w:hAnsi="Garamond"/>
          <w:sz w:val="22"/>
          <w:szCs w:val="22"/>
        </w:rPr>
        <w:t xml:space="preserve"> remained on a slow-growth track </w:t>
      </w:r>
      <w:r w:rsidR="00D6328C">
        <w:rPr>
          <w:rFonts w:ascii="Garamond" w:hAnsi="Garamond"/>
          <w:sz w:val="22"/>
          <w:szCs w:val="22"/>
        </w:rPr>
        <w:t xml:space="preserve">in </w:t>
      </w:r>
      <w:r w:rsidRPr="00A32AB2">
        <w:rPr>
          <w:rFonts w:ascii="Garamond" w:hAnsi="Garamond"/>
          <w:sz w:val="22"/>
          <w:szCs w:val="22"/>
        </w:rPr>
        <w:t xml:space="preserve">the </w:t>
      </w:r>
      <w:r w:rsidR="00F979AB">
        <w:rPr>
          <w:rFonts w:ascii="Garamond" w:hAnsi="Garamond"/>
          <w:sz w:val="22"/>
          <w:szCs w:val="22"/>
        </w:rPr>
        <w:t>thir</w:t>
      </w:r>
      <w:r w:rsidR="00D6328C">
        <w:rPr>
          <w:rFonts w:ascii="Garamond" w:hAnsi="Garamond"/>
          <w:sz w:val="22"/>
          <w:szCs w:val="22"/>
        </w:rPr>
        <w:t>d</w:t>
      </w:r>
      <w:r w:rsidRPr="00A32AB2">
        <w:rPr>
          <w:rFonts w:ascii="Garamond" w:hAnsi="Garamond"/>
          <w:sz w:val="22"/>
          <w:szCs w:val="22"/>
        </w:rPr>
        <w:t xml:space="preserve"> quarter of 2016</w:t>
      </w:r>
      <w:r w:rsidR="00D6328C">
        <w:rPr>
          <w:rFonts w:ascii="Garamond" w:hAnsi="Garamond"/>
          <w:sz w:val="22"/>
          <w:szCs w:val="22"/>
        </w:rPr>
        <w:t xml:space="preserve">, too. </w:t>
      </w:r>
      <w:r w:rsidR="00F979AB" w:rsidRPr="00F979AB">
        <w:rPr>
          <w:rFonts w:ascii="Garamond" w:hAnsi="Garamond"/>
          <w:sz w:val="22"/>
          <w:szCs w:val="22"/>
        </w:rPr>
        <w:t xml:space="preserve">Main trade partners to Armenia saw their economic activity further accelerating </w:t>
      </w:r>
      <w:r w:rsidR="00FC5B82">
        <w:rPr>
          <w:rFonts w:ascii="Garamond" w:hAnsi="Garamond"/>
          <w:sz w:val="22"/>
          <w:szCs w:val="22"/>
        </w:rPr>
        <w:t xml:space="preserve">during the quarter, while minor inflationary developments were observable in world </w:t>
      </w:r>
      <w:r w:rsidR="00FC5B82" w:rsidRPr="00FC5B82">
        <w:rPr>
          <w:rFonts w:ascii="Garamond" w:hAnsi="Garamond"/>
          <w:sz w:val="22"/>
          <w:szCs w:val="22"/>
        </w:rPr>
        <w:t>commodity markets</w:t>
      </w:r>
      <w:r w:rsidR="00FC5B82">
        <w:rPr>
          <w:rFonts w:ascii="Garamond" w:hAnsi="Garamond"/>
          <w:sz w:val="22"/>
          <w:szCs w:val="22"/>
        </w:rPr>
        <w:t>.</w:t>
      </w:r>
      <w:r w:rsidR="00E572EF" w:rsidRPr="00A32AB2">
        <w:rPr>
          <w:rFonts w:ascii="Garamond" w:hAnsi="Garamond"/>
          <w:sz w:val="22"/>
          <w:szCs w:val="22"/>
        </w:rPr>
        <w:t xml:space="preserve"> In </w:t>
      </w:r>
      <w:r w:rsidRPr="00A32AB2">
        <w:rPr>
          <w:rFonts w:ascii="Garamond" w:hAnsi="Garamond"/>
          <w:sz w:val="22"/>
          <w:szCs w:val="22"/>
        </w:rPr>
        <w:t xml:space="preserve">the </w:t>
      </w:r>
      <w:r w:rsidR="00E572EF" w:rsidRPr="00A32AB2">
        <w:rPr>
          <w:rFonts w:ascii="Garamond" w:hAnsi="Garamond"/>
          <w:sz w:val="22"/>
          <w:szCs w:val="22"/>
        </w:rPr>
        <w:t>rest part of</w:t>
      </w:r>
      <w:r w:rsidRPr="00A32AB2">
        <w:rPr>
          <w:rFonts w:ascii="Garamond" w:hAnsi="Garamond"/>
          <w:sz w:val="22"/>
          <w:szCs w:val="22"/>
        </w:rPr>
        <w:t xml:space="preserve"> the forecast horizon, prices of goods in foreign markets will increase gradually </w:t>
      </w:r>
      <w:r w:rsidR="00FC5B82">
        <w:rPr>
          <w:rFonts w:ascii="Garamond" w:hAnsi="Garamond"/>
          <w:sz w:val="22"/>
          <w:szCs w:val="22"/>
        </w:rPr>
        <w:t xml:space="preserve">owing to supply factors and </w:t>
      </w:r>
      <w:r w:rsidRPr="00A32AB2">
        <w:rPr>
          <w:rFonts w:ascii="Garamond" w:hAnsi="Garamond"/>
          <w:sz w:val="22"/>
          <w:szCs w:val="22"/>
        </w:rPr>
        <w:t>some</w:t>
      </w:r>
      <w:r w:rsidR="00FC5B82">
        <w:rPr>
          <w:rFonts w:ascii="Garamond" w:hAnsi="Garamond"/>
          <w:sz w:val="22"/>
          <w:szCs w:val="22"/>
        </w:rPr>
        <w:t>what</w:t>
      </w:r>
      <w:r w:rsidRPr="00A32AB2">
        <w:rPr>
          <w:rFonts w:ascii="Garamond" w:hAnsi="Garamond"/>
          <w:sz w:val="22"/>
          <w:szCs w:val="22"/>
        </w:rPr>
        <w:t xml:space="preserve"> recover</w:t>
      </w:r>
      <w:r w:rsidR="00FC5B82">
        <w:rPr>
          <w:rFonts w:ascii="Garamond" w:hAnsi="Garamond"/>
          <w:sz w:val="22"/>
          <w:szCs w:val="22"/>
        </w:rPr>
        <w:t xml:space="preserve">ing </w:t>
      </w:r>
      <w:r w:rsidRPr="00A32AB2">
        <w:rPr>
          <w:rFonts w:ascii="Garamond" w:hAnsi="Garamond"/>
          <w:sz w:val="22"/>
          <w:szCs w:val="22"/>
        </w:rPr>
        <w:t xml:space="preserve">global demand. Therefore, </w:t>
      </w:r>
      <w:r w:rsidR="00E572EF" w:rsidRPr="00A32AB2">
        <w:rPr>
          <w:rFonts w:ascii="Garamond" w:hAnsi="Garamond"/>
          <w:sz w:val="22"/>
          <w:szCs w:val="22"/>
        </w:rPr>
        <w:t>i</w:t>
      </w:r>
      <w:r w:rsidRPr="00A32AB2">
        <w:rPr>
          <w:rStyle w:val="longtext"/>
          <w:rFonts w:ascii="Garamond" w:hAnsi="Garamond"/>
          <w:color w:val="000000"/>
          <w:sz w:val="22"/>
          <w:szCs w:val="22"/>
          <w:shd w:val="clear" w:color="auto" w:fill="FFFFFF"/>
        </w:rPr>
        <w:t xml:space="preserve">n the </w:t>
      </w:r>
      <w:r w:rsidRPr="00A32AB2">
        <w:rPr>
          <w:rStyle w:val="longtext"/>
          <w:rFonts w:ascii="Garamond" w:hAnsi="Garamond"/>
          <w:b/>
          <w:color w:val="000000"/>
          <w:sz w:val="22"/>
          <w:szCs w:val="22"/>
          <w:shd w:val="clear" w:color="auto" w:fill="FFFFFF"/>
        </w:rPr>
        <w:t>forecast horizon</w:t>
      </w:r>
      <w:r w:rsidRPr="00A32AB2">
        <w:rPr>
          <w:rStyle w:val="longtext"/>
          <w:rFonts w:ascii="Garamond" w:hAnsi="Garamond"/>
          <w:color w:val="000000"/>
          <w:sz w:val="22"/>
          <w:szCs w:val="22"/>
          <w:shd w:val="clear" w:color="auto" w:fill="FFFFFF"/>
        </w:rPr>
        <w:t xml:space="preserve">, </w:t>
      </w:r>
      <w:r w:rsidR="00E572EF" w:rsidRPr="00A32AB2">
        <w:rPr>
          <w:rStyle w:val="longtext"/>
          <w:rFonts w:ascii="Garamond" w:hAnsi="Garamond"/>
          <w:b/>
          <w:color w:val="000000"/>
          <w:sz w:val="22"/>
          <w:szCs w:val="22"/>
          <w:shd w:val="clear" w:color="auto" w:fill="FFFFFF"/>
        </w:rPr>
        <w:t xml:space="preserve">considerable </w:t>
      </w:r>
      <w:r w:rsidRPr="00A32AB2">
        <w:rPr>
          <w:rStyle w:val="longtext"/>
          <w:rFonts w:ascii="Garamond" w:hAnsi="Garamond"/>
          <w:b/>
          <w:sz w:val="22"/>
          <w:szCs w:val="22"/>
          <w:shd w:val="clear" w:color="auto" w:fill="FFFFFF"/>
        </w:rPr>
        <w:t xml:space="preserve">inflationary pressures </w:t>
      </w:r>
      <w:r w:rsidRPr="00A32AB2">
        <w:rPr>
          <w:rStyle w:val="longtext"/>
          <w:rFonts w:ascii="Garamond" w:hAnsi="Garamond"/>
          <w:sz w:val="22"/>
          <w:szCs w:val="22"/>
          <w:shd w:val="clear" w:color="auto" w:fill="FFFFFF"/>
        </w:rPr>
        <w:t>from the external environment</w:t>
      </w:r>
      <w:r w:rsidRPr="00A32AB2">
        <w:rPr>
          <w:rStyle w:val="longtext"/>
          <w:rFonts w:ascii="Garamond" w:hAnsi="Garamond"/>
          <w:b/>
          <w:sz w:val="22"/>
          <w:szCs w:val="22"/>
          <w:shd w:val="clear" w:color="auto" w:fill="FFFFFF"/>
        </w:rPr>
        <w:t xml:space="preserve"> are not likely</w:t>
      </w:r>
      <w:r w:rsidRPr="00A32AB2">
        <w:rPr>
          <w:rStyle w:val="longtext"/>
          <w:rFonts w:ascii="Garamond" w:hAnsi="Garamond"/>
          <w:sz w:val="22"/>
          <w:szCs w:val="22"/>
          <w:shd w:val="clear" w:color="auto" w:fill="FFFFFF"/>
        </w:rPr>
        <w:t>.</w:t>
      </w:r>
    </w:p>
    <w:p w14:paraId="1927ADC9" w14:textId="77777777" w:rsidR="00B67F25" w:rsidRPr="00A32AB2" w:rsidRDefault="00B67F25" w:rsidP="0006101A">
      <w:pPr>
        <w:spacing w:line="360" w:lineRule="auto"/>
        <w:jc w:val="both"/>
        <w:rPr>
          <w:rStyle w:val="longtext"/>
          <w:rFonts w:ascii="Garamond" w:hAnsi="Garamond"/>
          <w:sz w:val="22"/>
          <w:szCs w:val="22"/>
          <w:shd w:val="clear" w:color="auto" w:fill="FFFFFF"/>
        </w:rPr>
      </w:pPr>
    </w:p>
    <w:p w14:paraId="2242A8F3" w14:textId="77777777" w:rsidR="00B67F25" w:rsidRPr="00A32AB2" w:rsidRDefault="00FC5B82" w:rsidP="0006101A">
      <w:pPr>
        <w:spacing w:line="360" w:lineRule="auto"/>
        <w:jc w:val="both"/>
        <w:rPr>
          <w:rFonts w:ascii="Garamond" w:hAnsi="Garamond" w:cs="Sylfaen"/>
          <w:sz w:val="22"/>
          <w:szCs w:val="22"/>
        </w:rPr>
      </w:pPr>
      <w:r w:rsidRPr="00FC5B82">
        <w:rPr>
          <w:rStyle w:val="longtext"/>
          <w:rFonts w:ascii="Garamond" w:hAnsi="Garamond"/>
          <w:b/>
          <w:sz w:val="22"/>
          <w:szCs w:val="22"/>
          <w:shd w:val="clear" w:color="auto" w:fill="FFFFFF"/>
        </w:rPr>
        <w:t>T</w:t>
      </w:r>
      <w:r>
        <w:rPr>
          <w:rFonts w:ascii="Garamond" w:hAnsi="Garamond"/>
          <w:b/>
          <w:sz w:val="22"/>
          <w:szCs w:val="22"/>
        </w:rPr>
        <w:t xml:space="preserve">he </w:t>
      </w:r>
      <w:r w:rsidRPr="0088659E">
        <w:rPr>
          <w:rFonts w:ascii="Garamond" w:hAnsi="Garamond"/>
          <w:b/>
          <w:sz w:val="22"/>
          <w:szCs w:val="22"/>
        </w:rPr>
        <w:t>economic growth</w:t>
      </w:r>
      <w:r>
        <w:rPr>
          <w:rFonts w:ascii="Garamond" w:hAnsi="Garamond"/>
          <w:b/>
          <w:sz w:val="22"/>
          <w:szCs w:val="22"/>
        </w:rPr>
        <w:t xml:space="preserve"> was considerably lower </w:t>
      </w:r>
      <w:r w:rsidRPr="0088659E">
        <w:rPr>
          <w:rFonts w:ascii="Garamond" w:hAnsi="Garamond"/>
          <w:b/>
          <w:sz w:val="22"/>
          <w:szCs w:val="22"/>
        </w:rPr>
        <w:t>than expected</w:t>
      </w:r>
      <w:r>
        <w:rPr>
          <w:rFonts w:ascii="Garamond" w:hAnsi="Garamond"/>
          <w:b/>
          <w:sz w:val="22"/>
          <w:szCs w:val="22"/>
        </w:rPr>
        <w:t xml:space="preserve"> </w:t>
      </w:r>
      <w:r w:rsidRPr="00FC5B82">
        <w:rPr>
          <w:rFonts w:ascii="Garamond" w:hAnsi="Garamond"/>
          <w:sz w:val="22"/>
          <w:szCs w:val="22"/>
        </w:rPr>
        <w:t>in the third quarter</w:t>
      </w:r>
      <w:r w:rsidR="00675CCC">
        <w:rPr>
          <w:rFonts w:ascii="Garamond" w:hAnsi="Garamond"/>
          <w:sz w:val="22"/>
          <w:szCs w:val="22"/>
        </w:rPr>
        <w:t>. The e</w:t>
      </w:r>
      <w:r w:rsidR="00675CCC" w:rsidRPr="00675CCC">
        <w:rPr>
          <w:rFonts w:ascii="Garamond" w:hAnsi="Garamond"/>
          <w:sz w:val="22"/>
          <w:szCs w:val="22"/>
        </w:rPr>
        <w:t>conomic activity</w:t>
      </w:r>
      <w:r w:rsidR="00675CCC">
        <w:rPr>
          <w:rFonts w:ascii="Garamond" w:hAnsi="Garamond"/>
          <w:sz w:val="22"/>
          <w:szCs w:val="22"/>
        </w:rPr>
        <w:t xml:space="preserve"> indicator</w:t>
      </w:r>
      <w:r w:rsidR="00675CCC" w:rsidRPr="00675CCC">
        <w:rPr>
          <w:rFonts w:ascii="Garamond" w:hAnsi="Garamond"/>
          <w:sz w:val="22"/>
          <w:szCs w:val="22"/>
        </w:rPr>
        <w:t xml:space="preserve"> in the </w:t>
      </w:r>
      <w:r w:rsidR="00675CCC">
        <w:rPr>
          <w:rFonts w:ascii="Garamond" w:hAnsi="Garamond"/>
          <w:sz w:val="22"/>
          <w:szCs w:val="22"/>
        </w:rPr>
        <w:t>past</w:t>
      </w:r>
      <w:r w:rsidR="00675CCC" w:rsidRPr="00675CCC">
        <w:rPr>
          <w:rFonts w:ascii="Garamond" w:hAnsi="Garamond"/>
          <w:sz w:val="22"/>
          <w:szCs w:val="22"/>
        </w:rPr>
        <w:t xml:space="preserve"> nine months of </w:t>
      </w:r>
      <w:r w:rsidR="00675CCC">
        <w:rPr>
          <w:rFonts w:ascii="Garamond" w:hAnsi="Garamond"/>
          <w:sz w:val="22"/>
          <w:szCs w:val="22"/>
        </w:rPr>
        <w:t>2016 was</w:t>
      </w:r>
      <w:r w:rsidR="00675CCC" w:rsidRPr="00675CCC">
        <w:rPr>
          <w:rFonts w:ascii="Garamond" w:hAnsi="Garamond"/>
          <w:sz w:val="22"/>
          <w:szCs w:val="22"/>
        </w:rPr>
        <w:t xml:space="preserve"> </w:t>
      </w:r>
      <w:r w:rsidR="00675CCC" w:rsidRPr="00675CCC">
        <w:rPr>
          <w:rFonts w:ascii="Garamond" w:hAnsi="Garamond"/>
          <w:b/>
          <w:sz w:val="22"/>
          <w:szCs w:val="22"/>
        </w:rPr>
        <w:t>1.6%</w:t>
      </w:r>
      <w:r w:rsidR="00675CCC" w:rsidRPr="00675CCC">
        <w:rPr>
          <w:rFonts w:ascii="Garamond" w:hAnsi="Garamond"/>
          <w:sz w:val="22"/>
          <w:szCs w:val="22"/>
        </w:rPr>
        <w:t>, due mainly to slower growth in agriculture and industry sectors.</w:t>
      </w:r>
      <w:r w:rsidRPr="00A32AB2">
        <w:rPr>
          <w:rStyle w:val="longtext"/>
          <w:rFonts w:ascii="Garamond" w:hAnsi="Garamond"/>
          <w:b/>
          <w:sz w:val="22"/>
          <w:szCs w:val="22"/>
          <w:shd w:val="clear" w:color="auto" w:fill="FFFFFF"/>
        </w:rPr>
        <w:t xml:space="preserve"> </w:t>
      </w:r>
      <w:r w:rsidR="00B67F25" w:rsidRPr="00A32AB2">
        <w:rPr>
          <w:rFonts w:ascii="Garamond" w:hAnsi="Garamond" w:cs="Sylfaen"/>
          <w:sz w:val="22"/>
          <w:szCs w:val="22"/>
        </w:rPr>
        <w:t xml:space="preserve">Under this circumstance, </w:t>
      </w:r>
      <w:r w:rsidR="00B67F25" w:rsidRPr="00A32AB2">
        <w:rPr>
          <w:rFonts w:ascii="Garamond" w:hAnsi="Garamond" w:cs="Sylfaen"/>
          <w:b/>
          <w:sz w:val="22"/>
          <w:szCs w:val="22"/>
        </w:rPr>
        <w:t xml:space="preserve">economic growth </w:t>
      </w:r>
      <w:r w:rsidR="00B67F25" w:rsidRPr="00A32AB2">
        <w:rPr>
          <w:rFonts w:ascii="Garamond" w:hAnsi="Garamond" w:cs="Sylfaen"/>
          <w:sz w:val="22"/>
          <w:szCs w:val="22"/>
        </w:rPr>
        <w:t>is estimated</w:t>
      </w:r>
      <w:r w:rsidR="00AE761D" w:rsidRPr="00A32AB2">
        <w:rPr>
          <w:rFonts w:ascii="Garamond" w:hAnsi="Garamond" w:cs="Sylfaen"/>
          <w:sz w:val="22"/>
          <w:szCs w:val="22"/>
        </w:rPr>
        <w:t xml:space="preserve"> in the range of </w:t>
      </w:r>
      <w:r w:rsidR="00675CCC">
        <w:rPr>
          <w:rFonts w:ascii="Garamond" w:hAnsi="Garamond" w:cs="Sylfaen"/>
          <w:b/>
          <w:sz w:val="22"/>
          <w:szCs w:val="22"/>
        </w:rPr>
        <w:t>1</w:t>
      </w:r>
      <w:r w:rsidR="00AE761D" w:rsidRPr="00A32AB2">
        <w:rPr>
          <w:rFonts w:ascii="Garamond" w:hAnsi="Garamond" w:cs="Sylfaen"/>
          <w:b/>
          <w:sz w:val="22"/>
          <w:szCs w:val="22"/>
        </w:rPr>
        <w:t>.</w:t>
      </w:r>
      <w:r w:rsidR="00675CCC">
        <w:rPr>
          <w:rFonts w:ascii="Garamond" w:hAnsi="Garamond" w:cs="Sylfaen"/>
          <w:b/>
          <w:sz w:val="22"/>
          <w:szCs w:val="22"/>
        </w:rPr>
        <w:t>3</w:t>
      </w:r>
      <w:r w:rsidR="00AE761D" w:rsidRPr="00A32AB2">
        <w:rPr>
          <w:rFonts w:ascii="Garamond" w:hAnsi="Garamond" w:cs="Sylfaen"/>
          <w:b/>
          <w:sz w:val="22"/>
          <w:szCs w:val="22"/>
        </w:rPr>
        <w:t>-</w:t>
      </w:r>
      <w:r w:rsidR="00675CCC">
        <w:rPr>
          <w:rFonts w:ascii="Garamond" w:hAnsi="Garamond" w:cs="Sylfaen"/>
          <w:b/>
          <w:sz w:val="22"/>
          <w:szCs w:val="22"/>
        </w:rPr>
        <w:t>1</w:t>
      </w:r>
      <w:r w:rsidR="00AE761D" w:rsidRPr="00A32AB2">
        <w:rPr>
          <w:rFonts w:ascii="Garamond" w:hAnsi="Garamond" w:cs="Sylfaen"/>
          <w:b/>
          <w:sz w:val="22"/>
          <w:szCs w:val="22"/>
        </w:rPr>
        <w:t>.</w:t>
      </w:r>
      <w:r w:rsidR="00675CCC">
        <w:rPr>
          <w:rFonts w:ascii="Garamond" w:hAnsi="Garamond" w:cs="Sylfaen"/>
          <w:b/>
          <w:sz w:val="22"/>
          <w:szCs w:val="22"/>
        </w:rPr>
        <w:t>8</w:t>
      </w:r>
      <w:r w:rsidR="00AE761D" w:rsidRPr="00A32AB2">
        <w:rPr>
          <w:rFonts w:ascii="Garamond" w:hAnsi="Garamond" w:cs="Sylfaen"/>
          <w:sz w:val="22"/>
          <w:szCs w:val="22"/>
        </w:rPr>
        <w:t xml:space="preserve"> at the end of 2016 and </w:t>
      </w:r>
      <w:r w:rsidR="00675CCC">
        <w:rPr>
          <w:rFonts w:ascii="Garamond" w:hAnsi="Garamond" w:cs="Sylfaen"/>
          <w:b/>
          <w:sz w:val="22"/>
          <w:szCs w:val="22"/>
        </w:rPr>
        <w:t>2</w:t>
      </w:r>
      <w:r w:rsidR="00B67F25" w:rsidRPr="00A32AB2">
        <w:rPr>
          <w:rFonts w:ascii="Garamond" w:hAnsi="Garamond" w:cs="Sylfaen"/>
          <w:b/>
          <w:sz w:val="22"/>
          <w:szCs w:val="22"/>
        </w:rPr>
        <w:t>.</w:t>
      </w:r>
      <w:r w:rsidR="00675CCC">
        <w:rPr>
          <w:rFonts w:ascii="Garamond" w:hAnsi="Garamond" w:cs="Sylfaen"/>
          <w:b/>
          <w:sz w:val="22"/>
          <w:szCs w:val="22"/>
        </w:rPr>
        <w:t>8</w:t>
      </w:r>
      <w:r w:rsidR="00B67F25" w:rsidRPr="00A32AB2">
        <w:rPr>
          <w:rFonts w:ascii="Garamond" w:hAnsi="Garamond" w:cs="Sylfaen"/>
          <w:b/>
          <w:sz w:val="22"/>
          <w:szCs w:val="22"/>
        </w:rPr>
        <w:t>-</w:t>
      </w:r>
      <w:r w:rsidR="00AE761D" w:rsidRPr="00A32AB2">
        <w:rPr>
          <w:rFonts w:ascii="Garamond" w:hAnsi="Garamond" w:cs="Sylfaen"/>
          <w:b/>
          <w:sz w:val="22"/>
          <w:szCs w:val="22"/>
        </w:rPr>
        <w:t>4</w:t>
      </w:r>
      <w:r w:rsidR="00B67F25" w:rsidRPr="00A32AB2">
        <w:rPr>
          <w:rFonts w:ascii="Garamond" w:hAnsi="Garamond" w:cs="Sylfaen"/>
          <w:b/>
          <w:sz w:val="22"/>
          <w:szCs w:val="22"/>
        </w:rPr>
        <w:t>.</w:t>
      </w:r>
      <w:r w:rsidR="00675CCC">
        <w:rPr>
          <w:rFonts w:ascii="Garamond" w:hAnsi="Garamond" w:cs="Sylfaen"/>
          <w:b/>
          <w:sz w:val="22"/>
          <w:szCs w:val="22"/>
        </w:rPr>
        <w:t>3</w:t>
      </w:r>
      <w:r w:rsidR="00B67F25" w:rsidRPr="00A32AB2">
        <w:rPr>
          <w:rFonts w:ascii="Garamond" w:hAnsi="Garamond" w:cs="Sylfaen"/>
          <w:b/>
          <w:sz w:val="22"/>
          <w:szCs w:val="22"/>
        </w:rPr>
        <w:t>%</w:t>
      </w:r>
      <w:r w:rsidR="00F81F39">
        <w:rPr>
          <w:rFonts w:ascii="Garamond" w:hAnsi="Garamond" w:cs="Sylfaen"/>
          <w:b/>
          <w:sz w:val="22"/>
          <w:szCs w:val="22"/>
        </w:rPr>
        <w:t xml:space="preserve"> </w:t>
      </w:r>
      <w:r w:rsidR="00AE761D" w:rsidRPr="00A32AB2">
        <w:rPr>
          <w:rFonts w:ascii="Garamond" w:hAnsi="Garamond" w:cs="Sylfaen"/>
          <w:sz w:val="22"/>
          <w:szCs w:val="22"/>
        </w:rPr>
        <w:t>at the end of the forecast horizon.</w:t>
      </w:r>
    </w:p>
    <w:p w14:paraId="72583D34" w14:textId="77777777" w:rsidR="00425E31" w:rsidRPr="00A32AB2" w:rsidRDefault="00425E31" w:rsidP="0006101A">
      <w:pPr>
        <w:spacing w:line="360" w:lineRule="auto"/>
        <w:jc w:val="both"/>
        <w:rPr>
          <w:rFonts w:ascii="Garamond" w:hAnsi="Garamond" w:cs="Sylfaen"/>
          <w:sz w:val="22"/>
          <w:szCs w:val="22"/>
        </w:rPr>
      </w:pPr>
    </w:p>
    <w:p w14:paraId="3E30E64E" w14:textId="77777777" w:rsidR="00425E31" w:rsidRPr="00A32AB2" w:rsidRDefault="00526614" w:rsidP="00425E31">
      <w:pPr>
        <w:spacing w:line="360" w:lineRule="auto"/>
        <w:jc w:val="both"/>
        <w:rPr>
          <w:rFonts w:ascii="Garamond" w:hAnsi="Garamond" w:cs="GHEA Grapalat"/>
          <w:b/>
          <w:sz w:val="22"/>
          <w:szCs w:val="22"/>
        </w:rPr>
      </w:pPr>
      <w:r>
        <w:rPr>
          <w:rFonts w:ascii="Garamond" w:hAnsi="Garamond"/>
          <w:b/>
          <w:sz w:val="22"/>
          <w:szCs w:val="22"/>
        </w:rPr>
        <w:t>I</w:t>
      </w:r>
      <w:r w:rsidR="00425E31" w:rsidRPr="00A32AB2">
        <w:rPr>
          <w:rFonts w:ascii="Garamond" w:hAnsi="Garamond"/>
          <w:b/>
          <w:sz w:val="22"/>
          <w:szCs w:val="22"/>
        </w:rPr>
        <w:t>n the forecast horizon,</w:t>
      </w:r>
      <w:r w:rsidR="00425E31" w:rsidRPr="00A32AB2">
        <w:rPr>
          <w:rFonts w:ascii="Garamond" w:hAnsi="Garamond" w:cs="GHEA Grapalat"/>
          <w:b/>
          <w:sz w:val="22"/>
          <w:szCs w:val="22"/>
        </w:rPr>
        <w:t xml:space="preserve"> the impact of </w:t>
      </w:r>
      <w:r w:rsidR="00675CCC">
        <w:rPr>
          <w:rFonts w:ascii="Garamond" w:hAnsi="Garamond" w:cs="GHEA Grapalat"/>
          <w:b/>
          <w:sz w:val="22"/>
          <w:szCs w:val="22"/>
        </w:rPr>
        <w:t xml:space="preserve">domestic </w:t>
      </w:r>
      <w:r w:rsidR="00425E31" w:rsidRPr="00A32AB2">
        <w:rPr>
          <w:rFonts w:ascii="Garamond" w:hAnsi="Garamond" w:cs="GHEA Grapalat"/>
          <w:b/>
          <w:sz w:val="22"/>
          <w:szCs w:val="22"/>
        </w:rPr>
        <w:t xml:space="preserve">aggregate demand on domestic prices will be deflationary up until the </w:t>
      </w:r>
      <w:r w:rsidR="00675CCC">
        <w:rPr>
          <w:rFonts w:ascii="Garamond" w:hAnsi="Garamond" w:cs="GHEA Grapalat"/>
          <w:b/>
          <w:sz w:val="22"/>
          <w:szCs w:val="22"/>
        </w:rPr>
        <w:t>second</w:t>
      </w:r>
      <w:r>
        <w:rPr>
          <w:rFonts w:ascii="Garamond" w:hAnsi="Garamond" w:cs="GHEA Grapalat"/>
          <w:b/>
          <w:sz w:val="22"/>
          <w:szCs w:val="22"/>
        </w:rPr>
        <w:t xml:space="preserve"> quarter </w:t>
      </w:r>
      <w:r w:rsidR="00425E31" w:rsidRPr="00A32AB2">
        <w:rPr>
          <w:rFonts w:ascii="Garamond" w:hAnsi="Garamond" w:cs="GHEA Grapalat"/>
          <w:b/>
          <w:sz w:val="22"/>
          <w:szCs w:val="22"/>
        </w:rPr>
        <w:t>of 201</w:t>
      </w:r>
      <w:r w:rsidR="00675CCC">
        <w:rPr>
          <w:rFonts w:ascii="Garamond" w:hAnsi="Garamond" w:cs="GHEA Grapalat"/>
          <w:b/>
          <w:sz w:val="22"/>
          <w:szCs w:val="22"/>
        </w:rPr>
        <w:t>8</w:t>
      </w:r>
      <w:r w:rsidR="00425E31" w:rsidRPr="00A32AB2">
        <w:rPr>
          <w:rFonts w:ascii="Garamond" w:hAnsi="Garamond" w:cs="GHEA Grapalat"/>
          <w:b/>
          <w:sz w:val="22"/>
          <w:szCs w:val="22"/>
        </w:rPr>
        <w:t>; then it will grow into inflationary by the end of the horizon.</w:t>
      </w:r>
    </w:p>
    <w:p w14:paraId="75002642" w14:textId="77777777" w:rsidR="00425E31" w:rsidRPr="00A32AB2" w:rsidRDefault="00425E31" w:rsidP="00425E31">
      <w:pPr>
        <w:spacing w:line="360" w:lineRule="auto"/>
        <w:jc w:val="both"/>
        <w:rPr>
          <w:rFonts w:ascii="Garamond" w:hAnsi="Garamond" w:cs="GHEA Grapalat"/>
          <w:sz w:val="22"/>
          <w:szCs w:val="22"/>
        </w:rPr>
      </w:pPr>
    </w:p>
    <w:p w14:paraId="21C8AFB5" w14:textId="77777777" w:rsidR="00EF6EAC" w:rsidRDefault="00EF6EAC" w:rsidP="00425E31">
      <w:pPr>
        <w:spacing w:line="360" w:lineRule="auto"/>
        <w:jc w:val="both"/>
        <w:rPr>
          <w:rFonts w:ascii="Garamond" w:hAnsi="Garamond" w:cs="GHEA Grapalat"/>
          <w:sz w:val="22"/>
          <w:szCs w:val="22"/>
        </w:rPr>
      </w:pPr>
      <w:r w:rsidRPr="00A32AB2">
        <w:rPr>
          <w:rFonts w:ascii="Garamond" w:hAnsi="Garamond" w:cs="GHEA Grapalat"/>
          <w:sz w:val="22"/>
          <w:szCs w:val="22"/>
        </w:rPr>
        <w:lastRenderedPageBreak/>
        <w:t xml:space="preserve">At the end of </w:t>
      </w:r>
      <w:r w:rsidR="00675CCC">
        <w:rPr>
          <w:rFonts w:ascii="Garamond" w:hAnsi="Garamond" w:cs="GHEA Grapalat"/>
          <w:sz w:val="22"/>
          <w:szCs w:val="22"/>
        </w:rPr>
        <w:t>September</w:t>
      </w:r>
      <w:r w:rsidRPr="00A32AB2">
        <w:rPr>
          <w:rFonts w:ascii="Garamond" w:hAnsi="Garamond" w:cs="GHEA Grapalat"/>
          <w:sz w:val="22"/>
          <w:szCs w:val="22"/>
        </w:rPr>
        <w:t xml:space="preserve"> </w:t>
      </w:r>
      <w:r w:rsidR="00675CCC">
        <w:rPr>
          <w:rFonts w:ascii="Garamond" w:hAnsi="Garamond" w:cs="GHEA Grapalat"/>
          <w:sz w:val="22"/>
          <w:szCs w:val="22"/>
        </w:rPr>
        <w:t xml:space="preserve">of </w:t>
      </w:r>
      <w:r w:rsidRPr="00A32AB2">
        <w:rPr>
          <w:rFonts w:ascii="Garamond" w:hAnsi="Garamond" w:cs="GHEA Grapalat"/>
          <w:sz w:val="22"/>
          <w:szCs w:val="22"/>
        </w:rPr>
        <w:t>2016</w:t>
      </w:r>
      <w:r w:rsidR="00526614">
        <w:rPr>
          <w:rFonts w:ascii="Garamond" w:hAnsi="Garamond" w:cs="GHEA Grapalat"/>
          <w:sz w:val="22"/>
          <w:szCs w:val="22"/>
        </w:rPr>
        <w:t xml:space="preserve"> </w:t>
      </w:r>
      <w:r w:rsidRPr="00A32AB2">
        <w:rPr>
          <w:rFonts w:ascii="Garamond" w:hAnsi="Garamond" w:cs="GHEA Grapalat"/>
          <w:sz w:val="22"/>
          <w:szCs w:val="22"/>
        </w:rPr>
        <w:t>t</w:t>
      </w:r>
      <w:r w:rsidR="00425E31" w:rsidRPr="00A32AB2">
        <w:rPr>
          <w:rFonts w:ascii="Garamond" w:hAnsi="Garamond" w:cs="GHEA Grapalat"/>
          <w:sz w:val="22"/>
          <w:szCs w:val="22"/>
        </w:rPr>
        <w:t xml:space="preserve">he </w:t>
      </w:r>
      <w:r w:rsidR="00425E31" w:rsidRPr="00A32AB2">
        <w:rPr>
          <w:rFonts w:ascii="Garamond" w:hAnsi="Garamond" w:cs="GHEA Grapalat"/>
          <w:b/>
          <w:sz w:val="22"/>
          <w:szCs w:val="22"/>
        </w:rPr>
        <w:t>12-month inflation rate</w:t>
      </w:r>
      <w:r w:rsidR="0086764D" w:rsidRPr="00675CCC">
        <w:rPr>
          <w:rFonts w:ascii="Garamond" w:hAnsi="Garamond" w:cs="GHEA Grapalat"/>
          <w:b/>
          <w:sz w:val="22"/>
          <w:szCs w:val="22"/>
          <w:lang w:val="hy-AM"/>
        </w:rPr>
        <w:t xml:space="preserve"> </w:t>
      </w:r>
      <w:r w:rsidRPr="00675CCC">
        <w:rPr>
          <w:rFonts w:ascii="Garamond" w:hAnsi="Garamond" w:cs="GHEA Grapalat"/>
          <w:b/>
          <w:sz w:val="22"/>
          <w:szCs w:val="22"/>
        </w:rPr>
        <w:t>was -</w:t>
      </w:r>
      <w:r w:rsidR="00D6619B" w:rsidRPr="00675CCC">
        <w:rPr>
          <w:rFonts w:ascii="Garamond" w:hAnsi="Garamond" w:cs="GHEA Grapalat"/>
          <w:b/>
          <w:sz w:val="22"/>
          <w:szCs w:val="22"/>
        </w:rPr>
        <w:t>1</w:t>
      </w:r>
      <w:r w:rsidRPr="00675CCC">
        <w:rPr>
          <w:rFonts w:ascii="Garamond" w:hAnsi="Garamond" w:cs="GHEA Grapalat"/>
          <w:b/>
          <w:sz w:val="22"/>
          <w:szCs w:val="22"/>
        </w:rPr>
        <w:t>.</w:t>
      </w:r>
      <w:r w:rsidR="00675CCC">
        <w:rPr>
          <w:rFonts w:ascii="Garamond" w:hAnsi="Garamond" w:cs="GHEA Grapalat"/>
          <w:b/>
          <w:sz w:val="22"/>
          <w:szCs w:val="22"/>
        </w:rPr>
        <w:t>9</w:t>
      </w:r>
      <w:r w:rsidRPr="00A32AB2">
        <w:rPr>
          <w:rFonts w:ascii="Garamond" w:hAnsi="Garamond" w:cs="GHEA Grapalat"/>
          <w:b/>
          <w:sz w:val="22"/>
          <w:szCs w:val="22"/>
        </w:rPr>
        <w:t>%</w:t>
      </w:r>
      <w:r w:rsidR="00675CCC">
        <w:rPr>
          <w:rFonts w:ascii="Garamond" w:hAnsi="Garamond" w:cs="GHEA Grapalat"/>
          <w:b/>
          <w:sz w:val="22"/>
          <w:szCs w:val="22"/>
        </w:rPr>
        <w:t xml:space="preserve">. </w:t>
      </w:r>
      <w:r w:rsidRPr="00A32AB2">
        <w:rPr>
          <w:rFonts w:ascii="Garamond" w:hAnsi="Garamond" w:cs="GHEA Grapalat"/>
          <w:b/>
          <w:sz w:val="22"/>
          <w:szCs w:val="22"/>
        </w:rPr>
        <w:t>At the end of the forecast horizon</w:t>
      </w:r>
      <w:r w:rsidRPr="00A32AB2">
        <w:rPr>
          <w:rFonts w:ascii="Garamond" w:hAnsi="Garamond" w:cs="GHEA Grapalat"/>
          <w:sz w:val="22"/>
          <w:szCs w:val="22"/>
        </w:rPr>
        <w:t xml:space="preserve"> the 12-month inflation rate will stabilize around the 4% target. </w:t>
      </w:r>
      <w:r w:rsidR="00675CCC">
        <w:rPr>
          <w:rFonts w:ascii="Garamond" w:hAnsi="Garamond" w:cs="GHEA Grapalat"/>
          <w:sz w:val="22"/>
          <w:szCs w:val="22"/>
        </w:rPr>
        <w:t xml:space="preserve">At the closing of 2016, the </w:t>
      </w:r>
      <w:r w:rsidR="002F02CC">
        <w:rPr>
          <w:rFonts w:ascii="Garamond" w:hAnsi="Garamond" w:cs="GHEA Grapalat"/>
          <w:sz w:val="22"/>
          <w:szCs w:val="22"/>
        </w:rPr>
        <w:t xml:space="preserve">deflationary environment will </w:t>
      </w:r>
      <w:r w:rsidR="00675CCC">
        <w:rPr>
          <w:rFonts w:ascii="Garamond" w:hAnsi="Garamond" w:cs="GHEA Grapalat"/>
          <w:sz w:val="22"/>
          <w:szCs w:val="22"/>
        </w:rPr>
        <w:t xml:space="preserve">mitigate considerably and is estimated to </w:t>
      </w:r>
      <w:r w:rsidR="002F02CC">
        <w:rPr>
          <w:rFonts w:ascii="Garamond" w:hAnsi="Garamond" w:cs="GHEA Grapalat"/>
          <w:sz w:val="22"/>
          <w:szCs w:val="22"/>
        </w:rPr>
        <w:t xml:space="preserve">persist </w:t>
      </w:r>
      <w:r w:rsidR="00675CCC">
        <w:rPr>
          <w:rFonts w:ascii="Garamond" w:hAnsi="Garamond" w:cs="GHEA Grapalat"/>
          <w:sz w:val="22"/>
          <w:szCs w:val="22"/>
        </w:rPr>
        <w:t xml:space="preserve">over </w:t>
      </w:r>
      <w:r w:rsidR="002F02CC" w:rsidRPr="002F02CC">
        <w:rPr>
          <w:rFonts w:ascii="Garamond" w:hAnsi="Garamond" w:cs="GHEA Grapalat"/>
          <w:sz w:val="22"/>
          <w:szCs w:val="22"/>
        </w:rPr>
        <w:t xml:space="preserve">the </w:t>
      </w:r>
      <w:r w:rsidR="00675CCC">
        <w:rPr>
          <w:rFonts w:ascii="Garamond" w:hAnsi="Garamond" w:cs="GHEA Grapalat"/>
          <w:sz w:val="22"/>
          <w:szCs w:val="22"/>
        </w:rPr>
        <w:t xml:space="preserve">first </w:t>
      </w:r>
      <w:r w:rsidR="002F02CC" w:rsidRPr="002F02CC">
        <w:rPr>
          <w:rFonts w:ascii="Garamond" w:hAnsi="Garamond" w:cs="GHEA Grapalat"/>
          <w:sz w:val="22"/>
          <w:szCs w:val="22"/>
        </w:rPr>
        <w:t xml:space="preserve">quarter </w:t>
      </w:r>
      <w:r w:rsidR="002F02CC">
        <w:rPr>
          <w:rFonts w:ascii="Garamond" w:hAnsi="Garamond" w:cs="GHEA Grapalat"/>
          <w:sz w:val="22"/>
          <w:szCs w:val="22"/>
        </w:rPr>
        <w:t>of 201</w:t>
      </w:r>
      <w:r w:rsidR="00675CCC">
        <w:rPr>
          <w:rFonts w:ascii="Garamond" w:hAnsi="Garamond" w:cs="GHEA Grapalat"/>
          <w:sz w:val="22"/>
          <w:szCs w:val="22"/>
        </w:rPr>
        <w:t>7</w:t>
      </w:r>
      <w:r w:rsidR="002F02CC">
        <w:rPr>
          <w:rFonts w:ascii="Garamond" w:hAnsi="Garamond" w:cs="GHEA Grapalat"/>
          <w:sz w:val="22"/>
          <w:szCs w:val="22"/>
        </w:rPr>
        <w:t xml:space="preserve"> </w:t>
      </w:r>
      <w:r w:rsidR="00675CCC">
        <w:rPr>
          <w:rFonts w:ascii="Garamond" w:hAnsi="Garamond" w:cs="GHEA Grapalat"/>
          <w:sz w:val="22"/>
          <w:szCs w:val="22"/>
        </w:rPr>
        <w:t xml:space="preserve">due to reduced gas tariff. </w:t>
      </w:r>
      <w:r w:rsidR="00E71691">
        <w:rPr>
          <w:rFonts w:ascii="Garamond" w:hAnsi="Garamond" w:cs="GHEA Grapalat"/>
          <w:sz w:val="22"/>
          <w:szCs w:val="22"/>
        </w:rPr>
        <w:t xml:space="preserve">After, it will phase out in general and </w:t>
      </w:r>
      <w:r w:rsidR="002F02CC">
        <w:rPr>
          <w:rFonts w:ascii="Garamond" w:hAnsi="Garamond" w:cs="GHEA Grapalat"/>
          <w:sz w:val="22"/>
          <w:szCs w:val="22"/>
        </w:rPr>
        <w:t xml:space="preserve">the </w:t>
      </w:r>
      <w:r w:rsidR="002F02CC" w:rsidRPr="002F02CC">
        <w:rPr>
          <w:rFonts w:ascii="Garamond" w:hAnsi="Garamond" w:cs="GHEA Grapalat"/>
          <w:sz w:val="22"/>
          <w:szCs w:val="22"/>
        </w:rPr>
        <w:t xml:space="preserve">12-month </w:t>
      </w:r>
      <w:r w:rsidR="002F02CC">
        <w:rPr>
          <w:rFonts w:ascii="Garamond" w:hAnsi="Garamond" w:cs="GHEA Grapalat"/>
          <w:sz w:val="22"/>
          <w:szCs w:val="22"/>
        </w:rPr>
        <w:t xml:space="preserve">inflation rate </w:t>
      </w:r>
      <w:r w:rsidR="002F02CC" w:rsidRPr="002F02CC">
        <w:rPr>
          <w:rFonts w:ascii="Garamond" w:hAnsi="Garamond" w:cs="GHEA Grapalat"/>
          <w:sz w:val="22"/>
          <w:szCs w:val="22"/>
        </w:rPr>
        <w:t xml:space="preserve">will gradually </w:t>
      </w:r>
      <w:r w:rsidR="002F02CC" w:rsidRPr="00E71691">
        <w:rPr>
          <w:rFonts w:ascii="Garamond" w:hAnsi="Garamond" w:cs="GHEA Grapalat"/>
          <w:sz w:val="22"/>
          <w:szCs w:val="22"/>
        </w:rPr>
        <w:t>return to the target</w:t>
      </w:r>
      <w:r w:rsidR="00E71691" w:rsidRPr="00E71691">
        <w:rPr>
          <w:rFonts w:ascii="Garamond" w:hAnsi="Garamond" w:cs="GHEA Grapalat"/>
          <w:sz w:val="22"/>
          <w:szCs w:val="22"/>
        </w:rPr>
        <w:t xml:space="preserve"> in the forecast horizon</w:t>
      </w:r>
      <w:r w:rsidR="002F02CC" w:rsidRPr="00E71691">
        <w:rPr>
          <w:rFonts w:ascii="Garamond" w:hAnsi="Garamond" w:cs="GHEA Grapalat"/>
          <w:sz w:val="22"/>
          <w:szCs w:val="22"/>
        </w:rPr>
        <w:t>.</w:t>
      </w:r>
      <w:r w:rsidR="00E71691">
        <w:rPr>
          <w:rFonts w:ascii="Garamond" w:hAnsi="Garamond" w:cs="GHEA Grapalat"/>
          <w:sz w:val="22"/>
          <w:szCs w:val="22"/>
        </w:rPr>
        <w:t xml:space="preserve"> </w:t>
      </w:r>
      <w:r w:rsidR="002F02CC">
        <w:rPr>
          <w:rFonts w:ascii="Garamond" w:hAnsi="Garamond" w:cs="GHEA Grapalat"/>
          <w:sz w:val="22"/>
          <w:szCs w:val="22"/>
        </w:rPr>
        <w:t xml:space="preserve"> </w:t>
      </w:r>
    </w:p>
    <w:p w14:paraId="2B0984CD" w14:textId="77777777" w:rsidR="00E71691" w:rsidRDefault="00E71691" w:rsidP="00425E31">
      <w:pPr>
        <w:spacing w:line="360" w:lineRule="auto"/>
        <w:jc w:val="both"/>
        <w:rPr>
          <w:rFonts w:ascii="Garamond" w:hAnsi="Garamond" w:cs="GHEA Grapalat"/>
          <w:sz w:val="22"/>
          <w:szCs w:val="22"/>
        </w:rPr>
      </w:pPr>
    </w:p>
    <w:p w14:paraId="27388258" w14:textId="77777777" w:rsidR="00E71691" w:rsidRDefault="00E71691" w:rsidP="00E71691">
      <w:pPr>
        <w:spacing w:line="360" w:lineRule="auto"/>
        <w:jc w:val="both"/>
        <w:rPr>
          <w:rFonts w:ascii="Garamond" w:hAnsi="Garamond"/>
          <w:b/>
          <w:sz w:val="22"/>
          <w:szCs w:val="22"/>
        </w:rPr>
      </w:pPr>
      <w:r w:rsidRPr="00E71691">
        <w:rPr>
          <w:rFonts w:ascii="Garamond" w:hAnsi="Garamond"/>
          <w:sz w:val="22"/>
          <w:szCs w:val="22"/>
        </w:rPr>
        <w:t xml:space="preserve">Medium-term deflation risks largely persist, with the 2017 fiscal policy factor now added to them. So, </w:t>
      </w:r>
      <w:r w:rsidRPr="00E71691">
        <w:rPr>
          <w:rFonts w:ascii="Garamond" w:hAnsi="Garamond"/>
          <w:b/>
          <w:sz w:val="22"/>
          <w:szCs w:val="22"/>
        </w:rPr>
        <w:t>further</w:t>
      </w:r>
      <w:r w:rsidRPr="00612F44">
        <w:rPr>
          <w:rFonts w:ascii="Garamond" w:hAnsi="Garamond"/>
          <w:b/>
          <w:sz w:val="22"/>
          <w:szCs w:val="22"/>
        </w:rPr>
        <w:t xml:space="preserve"> easing of monetary conditions to some extent by the CBA </w:t>
      </w:r>
      <w:r>
        <w:rPr>
          <w:rFonts w:ascii="Garamond" w:hAnsi="Garamond"/>
          <w:b/>
          <w:sz w:val="22"/>
          <w:szCs w:val="22"/>
        </w:rPr>
        <w:t>in the fourth quarter of 2016 is relevant</w:t>
      </w:r>
      <w:r w:rsidRPr="00612F44">
        <w:rPr>
          <w:rFonts w:ascii="Garamond" w:hAnsi="Garamond"/>
          <w:sz w:val="22"/>
          <w:szCs w:val="22"/>
        </w:rPr>
        <w:t>.</w:t>
      </w:r>
      <w:r>
        <w:rPr>
          <w:rFonts w:ascii="Garamond" w:hAnsi="Garamond"/>
          <w:b/>
          <w:sz w:val="22"/>
          <w:szCs w:val="22"/>
        </w:rPr>
        <w:t xml:space="preserve"> </w:t>
      </w:r>
    </w:p>
    <w:p w14:paraId="3DED2397" w14:textId="77777777" w:rsidR="00E71691" w:rsidRPr="00DC32BE" w:rsidRDefault="00E71691" w:rsidP="00E71691">
      <w:pPr>
        <w:spacing w:line="360" w:lineRule="auto"/>
        <w:jc w:val="both"/>
        <w:rPr>
          <w:rFonts w:ascii="GHEA Grapalat" w:hAnsi="GHEA Grapalat"/>
          <w:b/>
          <w:i/>
          <w:sz w:val="14"/>
          <w:szCs w:val="14"/>
        </w:rPr>
      </w:pPr>
    </w:p>
    <w:p w14:paraId="4D7B257B" w14:textId="77777777" w:rsidR="00464E5A" w:rsidRDefault="00E71691" w:rsidP="00E71691">
      <w:pPr>
        <w:spacing w:line="360" w:lineRule="auto"/>
        <w:jc w:val="both"/>
        <w:rPr>
          <w:rFonts w:ascii="Garamond" w:hAnsi="Garamond" w:cs="GHEA Grapalat"/>
          <w:sz w:val="22"/>
          <w:szCs w:val="22"/>
        </w:rPr>
      </w:pPr>
      <w:r w:rsidRPr="00A32AB2">
        <w:rPr>
          <w:rFonts w:ascii="Garamond" w:hAnsi="Garamond"/>
          <w:b/>
          <w:sz w:val="22"/>
          <w:szCs w:val="22"/>
        </w:rPr>
        <w:t>Risks that inflation will deviate from the</w:t>
      </w:r>
      <w:r w:rsidRPr="00A32AB2">
        <w:rPr>
          <w:rFonts w:ascii="Garamond" w:hAnsi="Garamond"/>
          <w:b/>
          <w:sz w:val="22"/>
          <w:szCs w:val="22"/>
          <w:lang w:val="hy-AM"/>
        </w:rPr>
        <w:t xml:space="preserve"> </w:t>
      </w:r>
      <w:r w:rsidRPr="00A32AB2">
        <w:rPr>
          <w:rFonts w:ascii="Garamond" w:hAnsi="Garamond"/>
          <w:b/>
          <w:sz w:val="22"/>
          <w:szCs w:val="22"/>
        </w:rPr>
        <w:t>projected value</w:t>
      </w:r>
      <w:r w:rsidRPr="00A32AB2">
        <w:rPr>
          <w:rFonts w:ascii="Garamond" w:hAnsi="Garamond"/>
          <w:b/>
          <w:sz w:val="22"/>
          <w:szCs w:val="22"/>
          <w:lang w:val="hy-AM"/>
        </w:rPr>
        <w:t xml:space="preserve"> </w:t>
      </w:r>
      <w:r w:rsidRPr="00A32AB2">
        <w:rPr>
          <w:rFonts w:ascii="Garamond" w:hAnsi="Garamond"/>
          <w:b/>
          <w:sz w:val="22"/>
          <w:szCs w:val="22"/>
        </w:rPr>
        <w:t>are estimated to follow a down</w:t>
      </w:r>
      <w:r>
        <w:rPr>
          <w:rFonts w:ascii="Garamond" w:hAnsi="Garamond"/>
          <w:b/>
          <w:sz w:val="22"/>
          <w:szCs w:val="22"/>
        </w:rPr>
        <w:t>ward</w:t>
      </w:r>
      <w:r w:rsidRPr="00A32AB2">
        <w:rPr>
          <w:rFonts w:ascii="Garamond" w:hAnsi="Garamond"/>
          <w:b/>
          <w:sz w:val="22"/>
          <w:szCs w:val="22"/>
        </w:rPr>
        <w:t xml:space="preserve"> path in </w:t>
      </w:r>
      <w:r>
        <w:rPr>
          <w:rFonts w:ascii="Garamond" w:hAnsi="Garamond"/>
          <w:b/>
          <w:sz w:val="22"/>
          <w:szCs w:val="22"/>
        </w:rPr>
        <w:t xml:space="preserve">both </w:t>
      </w:r>
      <w:r w:rsidRPr="00A32AB2">
        <w:rPr>
          <w:rFonts w:ascii="Garamond" w:hAnsi="Garamond"/>
          <w:b/>
          <w:sz w:val="22"/>
          <w:szCs w:val="22"/>
        </w:rPr>
        <w:t xml:space="preserve">short </w:t>
      </w:r>
      <w:r>
        <w:rPr>
          <w:rFonts w:ascii="Garamond" w:hAnsi="Garamond"/>
          <w:b/>
          <w:sz w:val="22"/>
          <w:szCs w:val="22"/>
        </w:rPr>
        <w:t xml:space="preserve">and medium-term perspectives. </w:t>
      </w:r>
      <w:r w:rsidRPr="00351E8F">
        <w:rPr>
          <w:rFonts w:ascii="Garamond" w:hAnsi="Garamond"/>
          <w:b/>
          <w:color w:val="000000"/>
          <w:sz w:val="22"/>
          <w:szCs w:val="22"/>
        </w:rPr>
        <w:t>Risks deriving from external</w:t>
      </w:r>
      <w:r>
        <w:rPr>
          <w:rFonts w:ascii="Garamond" w:hAnsi="Garamond"/>
          <w:color w:val="000000"/>
          <w:sz w:val="22"/>
          <w:szCs w:val="22"/>
        </w:rPr>
        <w:t xml:space="preserve"> </w:t>
      </w:r>
      <w:r w:rsidRPr="00351E8F">
        <w:rPr>
          <w:rFonts w:ascii="Garamond" w:hAnsi="Garamond"/>
          <w:b/>
          <w:color w:val="000000"/>
          <w:sz w:val="22"/>
          <w:szCs w:val="22"/>
        </w:rPr>
        <w:t>sector are somewhat inflationary</w:t>
      </w:r>
      <w:r>
        <w:rPr>
          <w:rFonts w:ascii="Garamond" w:hAnsi="Garamond"/>
          <w:color w:val="000000"/>
          <w:sz w:val="22"/>
          <w:szCs w:val="22"/>
        </w:rPr>
        <w:t xml:space="preserve"> </w:t>
      </w:r>
      <w:r w:rsidRPr="00A32AB2">
        <w:rPr>
          <w:rFonts w:ascii="Garamond" w:hAnsi="Garamond"/>
          <w:color w:val="000000"/>
          <w:sz w:val="22"/>
          <w:szCs w:val="22"/>
        </w:rPr>
        <w:t xml:space="preserve">and </w:t>
      </w:r>
      <w:r>
        <w:rPr>
          <w:rFonts w:ascii="Garamond" w:hAnsi="Garamond"/>
          <w:color w:val="000000"/>
          <w:sz w:val="22"/>
          <w:szCs w:val="22"/>
        </w:rPr>
        <w:t xml:space="preserve">pertinent to </w:t>
      </w:r>
      <w:r w:rsidRPr="00A32AB2">
        <w:rPr>
          <w:rFonts w:ascii="Garamond" w:hAnsi="Garamond"/>
          <w:sz w:val="22"/>
          <w:szCs w:val="22"/>
        </w:rPr>
        <w:t xml:space="preserve">capital outflows from developing countries and, consequently, volatilities in financial markets, the processes in the European Union, a likely slowdown of global economic growth resulting from structural reformation of the Chinese economy as well as risks related to developments in international prices of raw materials and food products. </w:t>
      </w:r>
      <w:r w:rsidRPr="00A32AB2">
        <w:rPr>
          <w:rFonts w:ascii="Garamond" w:hAnsi="Garamond"/>
          <w:b/>
          <w:sz w:val="22"/>
          <w:szCs w:val="22"/>
        </w:rPr>
        <w:t>Risks deriving from the domestic sector</w:t>
      </w:r>
      <w:r>
        <w:rPr>
          <w:rFonts w:ascii="Garamond" w:hAnsi="Garamond"/>
          <w:b/>
          <w:sz w:val="22"/>
          <w:szCs w:val="22"/>
        </w:rPr>
        <w:t xml:space="preserve"> are estimated to be deflationary</w:t>
      </w:r>
      <w:r w:rsidRPr="00351E8F">
        <w:rPr>
          <w:rFonts w:ascii="Garamond" w:hAnsi="Garamond"/>
          <w:sz w:val="22"/>
          <w:szCs w:val="22"/>
        </w:rPr>
        <w:t>,</w:t>
      </w:r>
      <w:r w:rsidRPr="00A32AB2">
        <w:rPr>
          <w:rFonts w:ascii="Garamond" w:hAnsi="Garamond"/>
          <w:sz w:val="22"/>
          <w:szCs w:val="22"/>
        </w:rPr>
        <w:t xml:space="preserve"> </w:t>
      </w:r>
      <w:r>
        <w:rPr>
          <w:rFonts w:ascii="Garamond" w:hAnsi="Garamond"/>
          <w:sz w:val="22"/>
          <w:szCs w:val="22"/>
        </w:rPr>
        <w:t xml:space="preserve">with the </w:t>
      </w:r>
      <w:r w:rsidRPr="009464FC">
        <w:rPr>
          <w:rFonts w:ascii="Garamond" w:hAnsi="Garamond"/>
          <w:sz w:val="22"/>
          <w:szCs w:val="22"/>
        </w:rPr>
        <w:t>2017</w:t>
      </w:r>
      <w:r>
        <w:rPr>
          <w:rFonts w:ascii="Garamond" w:hAnsi="Garamond"/>
          <w:sz w:val="22"/>
          <w:szCs w:val="22"/>
        </w:rPr>
        <w:t xml:space="preserve"> </w:t>
      </w:r>
      <w:r w:rsidRPr="009464FC">
        <w:rPr>
          <w:rFonts w:ascii="Garamond" w:hAnsi="Garamond"/>
          <w:sz w:val="22"/>
          <w:szCs w:val="22"/>
        </w:rPr>
        <w:t>fiscal policy factor</w:t>
      </w:r>
      <w:r>
        <w:rPr>
          <w:rFonts w:ascii="Garamond" w:hAnsi="Garamond"/>
          <w:sz w:val="22"/>
          <w:szCs w:val="22"/>
        </w:rPr>
        <w:t xml:space="preserve"> and possible reduction of electricity tariff in the first quarter the same year now added to the existing ones. Risks outlined in the previous forecast carry on and </w:t>
      </w:r>
      <w:r w:rsidRPr="00A32AB2">
        <w:rPr>
          <w:rFonts w:ascii="Garamond" w:hAnsi="Garamond"/>
          <w:sz w:val="22"/>
          <w:szCs w:val="22"/>
        </w:rPr>
        <w:t>are</w:t>
      </w:r>
      <w:r w:rsidRPr="00A32AB2">
        <w:rPr>
          <w:rFonts w:ascii="Garamond" w:hAnsi="Garamond"/>
          <w:sz w:val="22"/>
          <w:szCs w:val="22"/>
          <w:lang w:val="hy-AM"/>
        </w:rPr>
        <w:t xml:space="preserve"> </w:t>
      </w:r>
      <w:r w:rsidRPr="00A32AB2">
        <w:rPr>
          <w:rFonts w:ascii="Garamond" w:hAnsi="Garamond"/>
          <w:color w:val="000000"/>
          <w:sz w:val="22"/>
          <w:szCs w:val="22"/>
        </w:rPr>
        <w:t xml:space="preserve">associated with the extent to which </w:t>
      </w:r>
      <w:r w:rsidRPr="00A32AB2">
        <w:rPr>
          <w:rFonts w:ascii="Garamond" w:hAnsi="Garamond"/>
          <w:sz w:val="22"/>
          <w:szCs w:val="22"/>
        </w:rPr>
        <w:t>external environment’s deflationary impact will spill over to the domestic prices,</w:t>
      </w:r>
      <w:r w:rsidRPr="00A32AB2">
        <w:rPr>
          <w:rFonts w:ascii="Garamond" w:hAnsi="Garamond"/>
          <w:sz w:val="22"/>
          <w:szCs w:val="22"/>
          <w:lang w:val="hy-AM"/>
        </w:rPr>
        <w:t xml:space="preserve"> </w:t>
      </w:r>
      <w:r w:rsidRPr="00A32AB2">
        <w:rPr>
          <w:rFonts w:ascii="Garamond" w:hAnsi="Garamond"/>
          <w:color w:val="000000"/>
          <w:sz w:val="22"/>
          <w:szCs w:val="22"/>
        </w:rPr>
        <w:t xml:space="preserve">developments in agriculture, a sector greatly depending on weather conditions, the pace at which domestic demand and private investments will recover, as well as </w:t>
      </w:r>
      <w:r>
        <w:rPr>
          <w:rFonts w:ascii="Garamond" w:hAnsi="Garamond"/>
          <w:color w:val="000000"/>
          <w:sz w:val="22"/>
          <w:szCs w:val="22"/>
        </w:rPr>
        <w:t xml:space="preserve">the </w:t>
      </w:r>
      <w:r w:rsidRPr="00A32AB2">
        <w:rPr>
          <w:rFonts w:ascii="Garamond" w:hAnsi="Garamond"/>
          <w:color w:val="000000"/>
          <w:sz w:val="22"/>
          <w:szCs w:val="22"/>
        </w:rPr>
        <w:t>Government-led structural reforms.</w:t>
      </w:r>
      <w:r w:rsidRPr="00A32AB2">
        <w:rPr>
          <w:rFonts w:ascii="Garamond" w:hAnsi="Garamond" w:cs="GHEA Grapalat"/>
          <w:sz w:val="22"/>
          <w:szCs w:val="22"/>
        </w:rPr>
        <w:t xml:space="preserve"> </w:t>
      </w:r>
    </w:p>
    <w:p w14:paraId="0859C06B" w14:textId="77777777" w:rsidR="00464E5A" w:rsidRDefault="00464E5A" w:rsidP="00E71691">
      <w:pPr>
        <w:spacing w:line="360" w:lineRule="auto"/>
        <w:jc w:val="both"/>
        <w:rPr>
          <w:rFonts w:ascii="Garamond" w:hAnsi="Garamond" w:cs="GHEA Grapalat"/>
          <w:sz w:val="22"/>
          <w:szCs w:val="22"/>
        </w:rPr>
      </w:pPr>
    </w:p>
    <w:p w14:paraId="76378F73" w14:textId="77777777" w:rsidR="00E71691" w:rsidRPr="00A32AB2" w:rsidRDefault="00E71691" w:rsidP="00E71691">
      <w:pPr>
        <w:spacing w:line="360" w:lineRule="auto"/>
        <w:jc w:val="both"/>
        <w:rPr>
          <w:rFonts w:ascii="Garamond" w:hAnsi="Garamond"/>
          <w:sz w:val="22"/>
          <w:szCs w:val="22"/>
        </w:rPr>
      </w:pPr>
      <w:r w:rsidRPr="00A32AB2">
        <w:rPr>
          <w:rFonts w:ascii="Garamond" w:hAnsi="Garamond"/>
          <w:sz w:val="22"/>
          <w:szCs w:val="22"/>
        </w:rPr>
        <w:t>If the aforementioned risks materialize, the CBA will react accordingly by maintaining the inflation target in the medium run.</w:t>
      </w:r>
    </w:p>
    <w:p w14:paraId="4C873306" w14:textId="77777777" w:rsidR="007E2033" w:rsidRPr="00A32AB2" w:rsidRDefault="007E2033" w:rsidP="00425E31">
      <w:pPr>
        <w:spacing w:line="360" w:lineRule="auto"/>
        <w:jc w:val="both"/>
        <w:rPr>
          <w:rFonts w:ascii="Garamond" w:hAnsi="Garamond"/>
          <w:sz w:val="22"/>
          <w:szCs w:val="22"/>
        </w:rPr>
      </w:pPr>
    </w:p>
    <w:sectPr w:rsidR="007E2033" w:rsidRPr="00A32AB2" w:rsidSect="004E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9B8F" w14:textId="77777777" w:rsidR="001A343F" w:rsidRDefault="001A343F" w:rsidP="004C715C">
      <w:r>
        <w:separator/>
      </w:r>
    </w:p>
  </w:endnote>
  <w:endnote w:type="continuationSeparator" w:id="0">
    <w:p w14:paraId="5CB60746" w14:textId="77777777" w:rsidR="001A343F" w:rsidRDefault="001A343F" w:rsidP="004C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GHEA Grapalat">
    <w:panose1 w:val="02000506050000020003"/>
    <w:charset w:val="00"/>
    <w:family w:val="modern"/>
    <w:notTrueType/>
    <w:pitch w:val="variable"/>
    <w:sig w:usb0="A00006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D5DF2" w14:textId="77777777" w:rsidR="001A343F" w:rsidRDefault="001A343F" w:rsidP="004C715C">
      <w:r>
        <w:separator/>
      </w:r>
    </w:p>
  </w:footnote>
  <w:footnote w:type="continuationSeparator" w:id="0">
    <w:p w14:paraId="0EC59359" w14:textId="77777777" w:rsidR="001A343F" w:rsidRDefault="001A343F" w:rsidP="004C715C">
      <w:r>
        <w:continuationSeparator/>
      </w:r>
    </w:p>
  </w:footnote>
  <w:footnote w:id="1">
    <w:p w14:paraId="4AC773F3" w14:textId="77777777" w:rsidR="001A343F" w:rsidRPr="0029012B" w:rsidRDefault="001A343F" w:rsidP="0029012B">
      <w:pPr>
        <w:pStyle w:val="FootnoteText"/>
        <w:jc w:val="both"/>
        <w:rPr>
          <w:rFonts w:ascii="Garamond" w:hAnsi="Garamond"/>
        </w:rPr>
      </w:pPr>
      <w:r w:rsidRPr="0029012B">
        <w:rPr>
          <w:rStyle w:val="FootnoteReference"/>
          <w:rFonts w:ascii="Garamond" w:hAnsi="Garamond"/>
        </w:rPr>
        <w:t>1</w:t>
      </w:r>
      <w:r w:rsidRPr="0029012B">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29012B">
        <w:rPr>
          <w:rFonts w:ascii="Garamond" w:hAnsi="Garamond"/>
          <w:lang w:val="hy-AM"/>
        </w:rPr>
        <w:t xml:space="preserve"> IMF, </w:t>
      </w:r>
      <w:r w:rsidRPr="0029012B">
        <w:rPr>
          <w:rFonts w:ascii="Garamond" w:hAnsi="Garamond"/>
        </w:rPr>
        <w:t xml:space="preserve">the </w:t>
      </w:r>
      <w:r w:rsidRPr="0029012B">
        <w:rPr>
          <w:rFonts w:ascii="Garamond" w:hAnsi="Garamond"/>
          <w:lang w:val="hy-AM"/>
        </w:rPr>
        <w:t xml:space="preserve">World Bank, The Economist, Economist </w:t>
      </w:r>
      <w:r w:rsidRPr="0029012B">
        <w:rPr>
          <w:rFonts w:ascii="Garamond" w:hAnsi="Garamond"/>
        </w:rPr>
        <w:t xml:space="preserve">Intelligence Unit, the </w:t>
      </w:r>
      <w:r w:rsidRPr="0029012B">
        <w:rPr>
          <w:rFonts w:ascii="Garamond" w:hAnsi="Garamond"/>
          <w:lang w:val="hy-AM"/>
        </w:rPr>
        <w:t xml:space="preserve">Global Insight, </w:t>
      </w:r>
      <w:r w:rsidRPr="0029012B">
        <w:rPr>
          <w:rFonts w:ascii="Garamond" w:hAnsi="Garamond"/>
        </w:rPr>
        <w:t xml:space="preserve">the </w:t>
      </w:r>
      <w:r w:rsidRPr="0029012B">
        <w:rPr>
          <w:rFonts w:ascii="Garamond" w:hAnsi="Garamond"/>
          <w:lang w:val="hy-AM"/>
        </w:rPr>
        <w:t xml:space="preserve">Financial Times, </w:t>
      </w:r>
      <w:r w:rsidRPr="0029012B">
        <w:rPr>
          <w:rFonts w:ascii="Garamond" w:hAnsi="Garamond"/>
        </w:rPr>
        <w:t>and so on).</w:t>
      </w:r>
    </w:p>
  </w:footnote>
  <w:footnote w:id="2">
    <w:p w14:paraId="60B8130F" w14:textId="77777777" w:rsidR="001A343F" w:rsidRPr="0029012B" w:rsidRDefault="001A343F" w:rsidP="0029012B">
      <w:pPr>
        <w:pStyle w:val="FootnoteText"/>
        <w:jc w:val="both"/>
        <w:rPr>
          <w:rFonts w:ascii="Garamond" w:hAnsi="Garamond"/>
        </w:rPr>
      </w:pPr>
      <w:r w:rsidRPr="0029012B">
        <w:rPr>
          <w:rStyle w:val="FootnoteReference"/>
          <w:rFonts w:ascii="Garamond" w:hAnsi="Garamond"/>
        </w:rPr>
        <w:t>2</w:t>
      </w:r>
      <w:r w:rsidRPr="0029012B">
        <w:rPr>
          <w:rFonts w:ascii="Garamond" w:hAnsi="Garamond"/>
        </w:rPr>
        <w:t xml:space="preserve"> The </w:t>
      </w:r>
      <w:r>
        <w:rPr>
          <w:rFonts w:ascii="Garamond" w:hAnsi="Garamond"/>
        </w:rPr>
        <w:t xml:space="preserve">adjusted </w:t>
      </w:r>
      <w:r w:rsidRPr="0029012B">
        <w:rPr>
          <w:rFonts w:ascii="Garamond" w:hAnsi="Garamond"/>
        </w:rPr>
        <w:t xml:space="preserve">forecast </w:t>
      </w:r>
      <w:r>
        <w:rPr>
          <w:rFonts w:ascii="Garamond" w:hAnsi="Garamond"/>
        </w:rPr>
        <w:t xml:space="preserve">is due mainly to the </w:t>
      </w:r>
      <w:r w:rsidRPr="0029012B">
        <w:rPr>
          <w:rFonts w:ascii="Garamond" w:hAnsi="Garamond"/>
        </w:rPr>
        <w:t xml:space="preserve">revision </w:t>
      </w:r>
      <w:r>
        <w:rPr>
          <w:rFonts w:ascii="Garamond" w:hAnsi="Garamond"/>
        </w:rPr>
        <w:t xml:space="preserve">of US historical economic growth data series by </w:t>
      </w:r>
      <w:r w:rsidRPr="0029012B">
        <w:rPr>
          <w:rFonts w:ascii="Garamond" w:hAnsi="Garamond"/>
        </w:rPr>
        <w:t>the US Office of Economic Studies Review.</w:t>
      </w:r>
    </w:p>
  </w:footnote>
  <w:footnote w:id="3">
    <w:p w14:paraId="10C001DD" w14:textId="77777777" w:rsidR="001A343F" w:rsidRPr="0029012B" w:rsidRDefault="001A343F" w:rsidP="0029012B">
      <w:pPr>
        <w:pStyle w:val="FootnoteText"/>
        <w:jc w:val="both"/>
        <w:rPr>
          <w:rFonts w:ascii="Garamond" w:hAnsi="Garamond"/>
        </w:rPr>
      </w:pPr>
      <w:r w:rsidRPr="0029012B">
        <w:rPr>
          <w:rStyle w:val="FootnoteReference"/>
          <w:rFonts w:ascii="Garamond" w:hAnsi="Garamond"/>
        </w:rPr>
        <w:t>3</w:t>
      </w:r>
      <w:r w:rsidRPr="0029012B">
        <w:rPr>
          <w:rFonts w:ascii="Garamond" w:hAnsi="Garamond"/>
        </w:rPr>
        <w:t xml:space="preserve"> All forecasts for the external environment are based on the information available as of 25.10.2016.</w:t>
      </w:r>
    </w:p>
  </w:footnote>
  <w:footnote w:id="4">
    <w:p w14:paraId="311445D7" w14:textId="77777777" w:rsidR="001A343F" w:rsidRPr="00400525" w:rsidRDefault="001A343F" w:rsidP="00400525">
      <w:pPr>
        <w:pStyle w:val="FootnoteText"/>
        <w:jc w:val="both"/>
        <w:rPr>
          <w:rFonts w:ascii="Garamond" w:hAnsi="Garamond"/>
          <w:lang w:val="pt-BR"/>
        </w:rPr>
      </w:pPr>
      <w:r>
        <w:rPr>
          <w:rStyle w:val="FootnoteReference"/>
        </w:rPr>
        <w:t>4</w:t>
      </w:r>
      <w:r>
        <w:t xml:space="preserve"> </w:t>
      </w:r>
      <w:r w:rsidRPr="00400525">
        <w:rPr>
          <w:rFonts w:ascii="Garamond" w:hAnsi="Garamond"/>
        </w:rPr>
        <w:t>See the 30% range in the Real GDP Growth (Cumulative</w:t>
      </w:r>
      <w:r>
        <w:rPr>
          <w:rFonts w:ascii="Garamond" w:hAnsi="Garamond"/>
        </w:rPr>
        <w:t xml:space="preserve">) </w:t>
      </w:r>
      <w:r w:rsidRPr="00400525">
        <w:rPr>
          <w:rFonts w:ascii="Garamond" w:hAnsi="Garamond"/>
        </w:rPr>
        <w:t>Projection Probability Distribution Chart.</w:t>
      </w:r>
    </w:p>
  </w:footnote>
  <w:footnote w:id="5">
    <w:p w14:paraId="71C818AD" w14:textId="77777777" w:rsidR="001A343F" w:rsidRPr="002D3505" w:rsidRDefault="001A343F" w:rsidP="002D3505">
      <w:pPr>
        <w:pStyle w:val="FootnoteText"/>
        <w:jc w:val="both"/>
        <w:rPr>
          <w:rFonts w:ascii="Garamond" w:hAnsi="Garamond"/>
          <w:lang w:val="pt-BR"/>
        </w:rPr>
      </w:pPr>
      <w:r>
        <w:rPr>
          <w:rStyle w:val="FootnoteReference"/>
        </w:rPr>
        <w:t>5</w:t>
      </w:r>
      <w:r>
        <w:t xml:space="preserve"> </w:t>
      </w:r>
      <w:r w:rsidRPr="002D3505">
        <w:rPr>
          <w:rFonts w:ascii="Garamond" w:hAnsi="Garamond"/>
        </w:rPr>
        <w:t>See the 30% range in the Real GDP Growth (Cumulative) Projection Probability Distribution Chart.</w:t>
      </w:r>
    </w:p>
  </w:footnote>
  <w:footnote w:id="6">
    <w:p w14:paraId="2467A14E" w14:textId="77777777" w:rsidR="001A343F" w:rsidRPr="005B6C26" w:rsidRDefault="001A343F" w:rsidP="00C70554">
      <w:pPr>
        <w:pStyle w:val="FootnoteText"/>
        <w:jc w:val="both"/>
        <w:rPr>
          <w:rFonts w:ascii="Garamond" w:hAnsi="Garamond"/>
          <w:lang w:val="pt-BR"/>
        </w:rPr>
      </w:pPr>
      <w:r>
        <w:rPr>
          <w:rStyle w:val="FootnoteReference"/>
        </w:rPr>
        <w:t>6</w:t>
      </w:r>
      <w:r w:rsidRPr="005B6C26">
        <w:rPr>
          <w:rFonts w:ascii="Garamond" w:hAnsi="Garamond"/>
        </w:rPr>
        <w:t xml:space="preserve"> The labor market data for 2016-201</w:t>
      </w:r>
      <w:r>
        <w:rPr>
          <w:rFonts w:ascii="Garamond" w:hAnsi="Garamond"/>
        </w:rPr>
        <w:t>9</w:t>
      </w:r>
      <w:r w:rsidRPr="005B6C26">
        <w:rPr>
          <w:rFonts w:ascii="Garamond" w:hAnsi="Garamond"/>
        </w:rPr>
        <w:t xml:space="preserve"> are the CBA projections which are based on the </w:t>
      </w:r>
      <w:r>
        <w:rPr>
          <w:rFonts w:ascii="Garamond" w:hAnsi="Garamond"/>
        </w:rPr>
        <w:t>second</w:t>
      </w:r>
      <w:r w:rsidRPr="005B6C26">
        <w:rPr>
          <w:rFonts w:ascii="Garamond" w:hAnsi="Garamond"/>
        </w:rPr>
        <w:t xml:space="preserve"> quarter of 2016 data and actual January-</w:t>
      </w:r>
      <w:r>
        <w:rPr>
          <w:rFonts w:ascii="Garamond" w:hAnsi="Garamond"/>
        </w:rPr>
        <w:t>August</w:t>
      </w:r>
      <w:r w:rsidRPr="005B6C26">
        <w:rPr>
          <w:rFonts w:ascii="Garamond" w:hAnsi="Garamond"/>
          <w:lang w:val="hy-AM"/>
        </w:rPr>
        <w:t xml:space="preserve"> </w:t>
      </w:r>
      <w:r w:rsidRPr="005B6C26">
        <w:rPr>
          <w:rFonts w:ascii="Garamond" w:hAnsi="Garamond"/>
        </w:rPr>
        <w:t>of 2016 figures. The growth indicators presented in this sub-section are relative to the same reference period last year, unless otherwise specified.</w:t>
      </w:r>
    </w:p>
  </w:footnote>
  <w:footnote w:id="7">
    <w:p w14:paraId="36A3FBF0" w14:textId="77777777" w:rsidR="001A343F" w:rsidRDefault="001A343F" w:rsidP="007971BE">
      <w:pPr>
        <w:pStyle w:val="FootnoteText"/>
        <w:jc w:val="both"/>
      </w:pPr>
      <w:r>
        <w:rPr>
          <w:rStyle w:val="FootnoteReference"/>
        </w:rPr>
        <w:t>7</w:t>
      </w:r>
      <w:r>
        <w:t xml:space="preserve"> </w:t>
      </w:r>
      <w:r w:rsidRPr="000069EE">
        <w:rPr>
          <w:rFonts w:ascii="Garamond" w:hAnsi="Garamond"/>
        </w:rPr>
        <w:t>Average nominal wage</w:t>
      </w:r>
      <w:r>
        <w:rPr>
          <w:rFonts w:ascii="Garamond" w:hAnsi="Garamond"/>
        </w:rPr>
        <w:t xml:space="preserve"> constitutes a grand sum of salary and salary equivalents </w:t>
      </w:r>
      <w:r w:rsidRPr="000069EE">
        <w:rPr>
          <w:rFonts w:ascii="Garamond" w:hAnsi="Garamond"/>
        </w:rPr>
        <w:t>(</w:t>
      </w:r>
      <w:r>
        <w:rPr>
          <w:rFonts w:ascii="Garamond" w:hAnsi="Garamond"/>
        </w:rPr>
        <w:t>premiums</w:t>
      </w:r>
      <w:r w:rsidRPr="000069EE">
        <w:rPr>
          <w:rFonts w:ascii="Garamond" w:hAnsi="Garamond"/>
        </w:rPr>
        <w:t xml:space="preserve">, allowances, bonuses, </w:t>
      </w:r>
      <w:r>
        <w:rPr>
          <w:rFonts w:ascii="Garamond" w:hAnsi="Garamond"/>
        </w:rPr>
        <w:t>one-time incentive pays</w:t>
      </w:r>
      <w:r w:rsidRPr="000069EE">
        <w:rPr>
          <w:rFonts w:ascii="Garamond" w:hAnsi="Garamond"/>
        </w:rPr>
        <w:t>, etc.)</w:t>
      </w:r>
      <w:r>
        <w:rPr>
          <w:rFonts w:ascii="Garamond" w:hAnsi="Garamond"/>
        </w:rPr>
        <w:t>.</w:t>
      </w:r>
    </w:p>
  </w:footnote>
  <w:footnote w:id="8">
    <w:p w14:paraId="4C04EE6B" w14:textId="77777777" w:rsidR="001A343F" w:rsidRPr="00D810B0" w:rsidRDefault="001A343F" w:rsidP="00D810B0">
      <w:pPr>
        <w:pStyle w:val="FootnoteText"/>
        <w:jc w:val="both"/>
        <w:rPr>
          <w:rFonts w:ascii="Garamond" w:hAnsi="Garamond"/>
        </w:rPr>
      </w:pPr>
      <w:r>
        <w:rPr>
          <w:rStyle w:val="FootnoteReference"/>
        </w:rPr>
        <w:t>8</w:t>
      </w:r>
      <w:r w:rsidRPr="00D810B0">
        <w:rPr>
          <w:rFonts w:ascii="Garamond" w:hAnsi="Garamond"/>
        </w:rPr>
        <w:t xml:space="preserve"> The data of real growth of private consumption and investments for 2016-201</w:t>
      </w:r>
      <w:r>
        <w:rPr>
          <w:rFonts w:ascii="Garamond" w:hAnsi="Garamond"/>
        </w:rPr>
        <w:t>9</w:t>
      </w:r>
      <w:r w:rsidRPr="00D810B0">
        <w:rPr>
          <w:rFonts w:ascii="Garamond" w:hAnsi="Garamond"/>
        </w:rPr>
        <w:t xml:space="preserve"> are the CBA estimates. These actual figures are as of the </w:t>
      </w:r>
      <w:r>
        <w:rPr>
          <w:rFonts w:ascii="Garamond" w:hAnsi="Garamond"/>
        </w:rPr>
        <w:t xml:space="preserve">second </w:t>
      </w:r>
      <w:r w:rsidRPr="00D810B0">
        <w:rPr>
          <w:rFonts w:ascii="Garamond" w:hAnsi="Garamond"/>
        </w:rPr>
        <w:t>quarter of 201</w:t>
      </w:r>
      <w:r>
        <w:rPr>
          <w:rFonts w:ascii="Garamond" w:hAnsi="Garamond"/>
        </w:rPr>
        <w:t>6</w:t>
      </w:r>
      <w:r w:rsidRPr="00D810B0">
        <w:rPr>
          <w:rFonts w:ascii="Garamond" w:hAnsi="Garamond"/>
        </w:rPr>
        <w:t xml:space="preserve"> published by the National Statistics Service of Armenia. The real growth indicators represented in this sub-section are relative to the same reference period last year, unless otherwise specified.</w:t>
      </w:r>
    </w:p>
  </w:footnote>
  <w:footnote w:id="9">
    <w:p w14:paraId="743B5C9B" w14:textId="77777777" w:rsidR="001A343F" w:rsidRPr="00902642" w:rsidRDefault="001A343F" w:rsidP="00777C96">
      <w:pPr>
        <w:pStyle w:val="FootnoteText"/>
        <w:jc w:val="both"/>
        <w:rPr>
          <w:rFonts w:ascii="Garamond" w:hAnsi="Garamond"/>
        </w:rPr>
      </w:pPr>
      <w:r w:rsidRPr="00902642">
        <w:rPr>
          <w:rStyle w:val="FootnoteReference"/>
          <w:rFonts w:ascii="Garamond" w:hAnsi="Garamond"/>
        </w:rPr>
        <w:t>10</w:t>
      </w:r>
      <w:r w:rsidRPr="00902642">
        <w:rPr>
          <w:rFonts w:ascii="Garamond" w:hAnsi="Garamond"/>
        </w:rPr>
        <w:t xml:space="preserve"> The letter of November 1, 2016 to the Public Services Regulatory Commission requested </w:t>
      </w:r>
      <w:r>
        <w:rPr>
          <w:rFonts w:ascii="Garamond" w:hAnsi="Garamond"/>
        </w:rPr>
        <w:t xml:space="preserve">a </w:t>
      </w:r>
      <w:r w:rsidRPr="00902642">
        <w:rPr>
          <w:rFonts w:ascii="Garamond" w:hAnsi="Garamond"/>
        </w:rPr>
        <w:t xml:space="preserve">revision of tariffs on natural gas “Gazprom Armenia” </w:t>
      </w:r>
      <w:r>
        <w:rPr>
          <w:rFonts w:ascii="Garamond" w:hAnsi="Garamond"/>
        </w:rPr>
        <w:t xml:space="preserve">sells to </w:t>
      </w:r>
      <w:r w:rsidRPr="00902642">
        <w:rPr>
          <w:rFonts w:ascii="Garamond" w:hAnsi="Garamond"/>
        </w:rPr>
        <w:t xml:space="preserve">consumers (http://www.psrc.am/images/News/2016/Gas/1.Dimum.pdf). In particular, it anticipated a decrease in gas tariff by AMD 7.7 per cubic meter for </w:t>
      </w:r>
      <w:r>
        <w:rPr>
          <w:rFonts w:ascii="Garamond" w:hAnsi="Garamond"/>
        </w:rPr>
        <w:t xml:space="preserve">those </w:t>
      </w:r>
      <w:r w:rsidRPr="00902642">
        <w:rPr>
          <w:rFonts w:ascii="Garamond" w:hAnsi="Garamond"/>
        </w:rPr>
        <w:t>consuming up to 10,000 cubic meters a month, and gas tariff to reduce from USD 257.6 per 1000 cubic meter</w:t>
      </w:r>
      <w:r>
        <w:rPr>
          <w:rFonts w:ascii="Garamond" w:hAnsi="Garamond"/>
        </w:rPr>
        <w:t>s</w:t>
      </w:r>
      <w:r w:rsidRPr="00902642">
        <w:rPr>
          <w:rFonts w:ascii="Garamond" w:hAnsi="Garamond"/>
        </w:rPr>
        <w:t xml:space="preserve"> to USD 242.1 per 1,000 cubic meters for </w:t>
      </w:r>
      <w:r>
        <w:rPr>
          <w:rFonts w:ascii="Garamond" w:hAnsi="Garamond"/>
        </w:rPr>
        <w:t xml:space="preserve">those consuming </w:t>
      </w:r>
      <w:r w:rsidRPr="00902642">
        <w:rPr>
          <w:rFonts w:ascii="Garamond" w:hAnsi="Garamond"/>
        </w:rPr>
        <w:t>over 10,000 cubic meters a month.</w:t>
      </w:r>
    </w:p>
  </w:footnote>
  <w:footnote w:id="10">
    <w:p w14:paraId="245C8911" w14:textId="77777777" w:rsidR="001A343F" w:rsidRPr="004A0D05" w:rsidRDefault="001A343F" w:rsidP="004A0D05">
      <w:pPr>
        <w:pStyle w:val="FootnoteText"/>
        <w:jc w:val="both"/>
        <w:rPr>
          <w:rFonts w:ascii="Garamond" w:eastAsia="Calibri" w:hAnsi="Garamond" w:cs="Sylfaen"/>
          <w:lang w:val="hy-AM"/>
        </w:rPr>
      </w:pPr>
      <w:r>
        <w:rPr>
          <w:rStyle w:val="FootnoteReference"/>
        </w:rPr>
        <w:t>11</w:t>
      </w:r>
      <w:r>
        <w:t xml:space="preserve"> </w:t>
      </w:r>
      <w:r w:rsidRPr="004A0D05">
        <w:rPr>
          <w:rFonts w:ascii="Garamond" w:eastAsia="Calibri" w:hAnsi="Garamond" w:cs="Sylfaen"/>
        </w:rPr>
        <w:t>T</w:t>
      </w:r>
      <w:r w:rsidRPr="004A0D05">
        <w:rPr>
          <w:rFonts w:ascii="Garamond" w:hAnsi="Garamond"/>
        </w:rPr>
        <w:t xml:space="preserve">he price index change </w:t>
      </w:r>
      <w:r>
        <w:rPr>
          <w:rFonts w:ascii="Garamond" w:hAnsi="Garamond"/>
        </w:rPr>
        <w:t xml:space="preserve">for </w:t>
      </w:r>
      <w:r w:rsidRPr="004A0D05">
        <w:rPr>
          <w:rFonts w:ascii="Garamond" w:hAnsi="Garamond"/>
        </w:rPr>
        <w:t>January-</w:t>
      </w:r>
      <w:r>
        <w:rPr>
          <w:rFonts w:ascii="Garamond" w:hAnsi="Garamond"/>
        </w:rPr>
        <w:t>September</w:t>
      </w:r>
      <w:r w:rsidRPr="004A0D05">
        <w:rPr>
          <w:rFonts w:ascii="Garamond" w:hAnsi="Garamond"/>
        </w:rPr>
        <w:t xml:space="preserve"> 201</w:t>
      </w:r>
      <w:r>
        <w:rPr>
          <w:rFonts w:ascii="Garamond" w:hAnsi="Garamond"/>
        </w:rPr>
        <w:t>6</w:t>
      </w:r>
      <w:r w:rsidRPr="004A0D05">
        <w:rPr>
          <w:rFonts w:ascii="Garamond" w:hAnsi="Garamond"/>
        </w:rPr>
        <w:t xml:space="preserve"> is relative to the same reference period last year, unless otherwise specified.</w:t>
      </w:r>
    </w:p>
  </w:footnote>
  <w:footnote w:id="11">
    <w:p w14:paraId="0D03143D" w14:textId="77777777" w:rsidR="001A343F" w:rsidRPr="00240A76" w:rsidRDefault="001A343F" w:rsidP="00240A76">
      <w:pPr>
        <w:pStyle w:val="FootnoteText"/>
        <w:jc w:val="both"/>
        <w:rPr>
          <w:rFonts w:ascii="Garamond" w:hAnsi="Garamond"/>
        </w:rPr>
      </w:pPr>
      <w:r w:rsidRPr="00240A76">
        <w:rPr>
          <w:rStyle w:val="FootnoteReference"/>
          <w:rFonts w:ascii="Garamond" w:hAnsi="Garamond"/>
        </w:rPr>
        <w:t>12</w:t>
      </w:r>
      <w:r w:rsidRPr="00240A76">
        <w:rPr>
          <w:rFonts w:ascii="Garamond" w:hAnsi="Garamond"/>
        </w:rPr>
        <w:t xml:space="preserve"> The tariff index does not cover the trunk pipeline.</w:t>
      </w:r>
    </w:p>
  </w:footnote>
  <w:footnote w:id="12">
    <w:p w14:paraId="4A2C3171" w14:textId="77777777" w:rsidR="001A343F" w:rsidRPr="00EC0F2E" w:rsidRDefault="001A343F" w:rsidP="00EC0F2E">
      <w:pPr>
        <w:pStyle w:val="FootnoteText"/>
        <w:jc w:val="both"/>
        <w:rPr>
          <w:rFonts w:ascii="Garamond" w:hAnsi="Garamond"/>
        </w:rPr>
      </w:pPr>
      <w:r>
        <w:rPr>
          <w:rStyle w:val="FootnoteReference"/>
        </w:rPr>
        <w:t>13</w:t>
      </w:r>
      <w:r w:rsidRPr="00EC0F2E">
        <w:rPr>
          <w:rFonts w:ascii="Garamond" w:hAnsi="Garamond"/>
        </w:rPr>
        <w:t xml:space="preserve"> The indicators of y/y real growth of value added in sectors of the economy for January-</w:t>
      </w:r>
      <w:r>
        <w:rPr>
          <w:rFonts w:ascii="Garamond" w:hAnsi="Garamond"/>
        </w:rPr>
        <w:t>September</w:t>
      </w:r>
      <w:r w:rsidRPr="00EC0F2E">
        <w:rPr>
          <w:rFonts w:ascii="Garamond" w:hAnsi="Garamond"/>
        </w:rPr>
        <w:t xml:space="preserve"> 201</w:t>
      </w:r>
      <w:r>
        <w:rPr>
          <w:rFonts w:ascii="Garamond" w:hAnsi="Garamond"/>
        </w:rPr>
        <w:t>6</w:t>
      </w:r>
      <w:r w:rsidRPr="00EC0F2E">
        <w:rPr>
          <w:rFonts w:ascii="Garamond" w:hAnsi="Garamond"/>
        </w:rPr>
        <w:t xml:space="preserve"> are the CBA forecasts, whereas the indicators of sub-sectors represent y/y growth rates in output volumes for January-</w:t>
      </w:r>
      <w:r>
        <w:rPr>
          <w:rFonts w:ascii="Garamond" w:hAnsi="Garamond"/>
        </w:rPr>
        <w:t xml:space="preserve">September </w:t>
      </w:r>
      <w:r w:rsidRPr="00EC0F2E">
        <w:rPr>
          <w:rFonts w:ascii="Garamond" w:hAnsi="Garamond"/>
        </w:rPr>
        <w:t>201</w:t>
      </w:r>
      <w:r>
        <w:rPr>
          <w:rFonts w:ascii="Garamond" w:hAnsi="Garamond"/>
        </w:rPr>
        <w:t>6</w:t>
      </w:r>
      <w:r w:rsidRPr="00EC0F2E">
        <w:rPr>
          <w:rFonts w:ascii="Garamond" w:hAnsi="Garamond"/>
        </w:rPr>
        <w:t>, unless otherwise specified.</w:t>
      </w:r>
    </w:p>
  </w:footnote>
  <w:footnote w:id="13">
    <w:p w14:paraId="1C718841" w14:textId="77777777" w:rsidR="001A343F" w:rsidRPr="00D65BB7" w:rsidRDefault="001A343F">
      <w:pPr>
        <w:pStyle w:val="FootnoteText"/>
        <w:rPr>
          <w:rFonts w:ascii="Garamond" w:hAnsi="Garamond"/>
        </w:rPr>
      </w:pPr>
      <w:r w:rsidRPr="00D65BB7">
        <w:rPr>
          <w:rStyle w:val="FootnoteReference"/>
          <w:rFonts w:ascii="Garamond" w:hAnsi="Garamond"/>
        </w:rPr>
        <w:t>14</w:t>
      </w:r>
      <w:r w:rsidRPr="00D65BB7">
        <w:rPr>
          <w:rFonts w:ascii="Garamond" w:hAnsi="Garamond"/>
        </w:rPr>
        <w:t xml:space="preserve"> </w:t>
      </w:r>
      <w:r w:rsidRPr="00D65BB7">
        <w:rPr>
          <w:rFonts w:ascii="Garamond" w:hAnsi="Garamond"/>
          <w:lang w:val="pt-BR"/>
        </w:rPr>
        <w:t>http://www.armstat.am/file/article/sv_06_16a_111.pdf.</w:t>
      </w:r>
    </w:p>
  </w:footnote>
  <w:footnote w:id="14">
    <w:p w14:paraId="4A84F509" w14:textId="77777777" w:rsidR="001A343F" w:rsidRPr="003E3E73" w:rsidRDefault="001A343F" w:rsidP="00C55DA1">
      <w:pPr>
        <w:pStyle w:val="FootnoteText"/>
        <w:jc w:val="both"/>
        <w:rPr>
          <w:rFonts w:ascii="Garamond" w:hAnsi="Garamond"/>
          <w:lang w:val="pt-BR"/>
        </w:rPr>
      </w:pPr>
      <w:r>
        <w:rPr>
          <w:rStyle w:val="FootnoteReference"/>
        </w:rPr>
        <w:t>15</w:t>
      </w:r>
      <w:r>
        <w:t xml:space="preserve"> </w:t>
      </w:r>
      <w:r w:rsidRPr="003E3E73">
        <w:rPr>
          <w:rFonts w:ascii="Garamond" w:hAnsi="Garamond"/>
        </w:rPr>
        <w:t xml:space="preserve">See the </w:t>
      </w:r>
      <w:r>
        <w:rPr>
          <w:rFonts w:ascii="Garamond" w:hAnsi="Garamond"/>
        </w:rPr>
        <w:t>3</w:t>
      </w:r>
      <w:r w:rsidRPr="003E3E73">
        <w:rPr>
          <w:rFonts w:ascii="Garamond" w:hAnsi="Garamond"/>
        </w:rPr>
        <w:t xml:space="preserve">0% range in Real GDP Growth (Cumulative) Projection Probability Distribution Chart. </w:t>
      </w:r>
    </w:p>
  </w:footnote>
  <w:footnote w:id="15">
    <w:p w14:paraId="69B948C9" w14:textId="77777777" w:rsidR="001A343F" w:rsidRPr="0065044E" w:rsidRDefault="001A343F" w:rsidP="0065044E">
      <w:pPr>
        <w:pStyle w:val="FootnoteText"/>
        <w:jc w:val="both"/>
        <w:rPr>
          <w:rFonts w:ascii="Garamond" w:hAnsi="Garamond"/>
        </w:rPr>
      </w:pPr>
      <w:r>
        <w:rPr>
          <w:rStyle w:val="FootnoteReference"/>
        </w:rPr>
        <w:t>16</w:t>
      </w:r>
      <w:r w:rsidRPr="0065044E">
        <w:rPr>
          <w:rFonts w:ascii="Garamond" w:hAnsi="Garamond"/>
        </w:rPr>
        <w:t xml:space="preserve"> The private spending, private consumption and private investment indicators for the </w:t>
      </w:r>
      <w:r>
        <w:rPr>
          <w:rFonts w:ascii="Garamond" w:hAnsi="Garamond"/>
        </w:rPr>
        <w:t xml:space="preserve">third </w:t>
      </w:r>
      <w:r w:rsidRPr="0065044E">
        <w:rPr>
          <w:rFonts w:ascii="Garamond" w:hAnsi="Garamond"/>
        </w:rPr>
        <w:t>quarter of 201</w:t>
      </w:r>
      <w:r>
        <w:rPr>
          <w:rFonts w:ascii="Garamond" w:hAnsi="Garamond"/>
        </w:rPr>
        <w:t>6</w:t>
      </w:r>
      <w:r w:rsidRPr="0065044E">
        <w:rPr>
          <w:rFonts w:ascii="Garamond" w:hAnsi="Garamond"/>
        </w:rPr>
        <w:t xml:space="preserve"> are the CBA estimates which are based on the </w:t>
      </w:r>
      <w:r>
        <w:rPr>
          <w:rFonts w:ascii="Garamond" w:hAnsi="Garamond"/>
        </w:rPr>
        <w:t xml:space="preserve">actual second </w:t>
      </w:r>
      <w:r w:rsidRPr="0065044E">
        <w:rPr>
          <w:rFonts w:ascii="Garamond" w:hAnsi="Garamond"/>
        </w:rPr>
        <w:t>quarter 201</w:t>
      </w:r>
      <w:r>
        <w:rPr>
          <w:rFonts w:ascii="Garamond" w:hAnsi="Garamond"/>
        </w:rPr>
        <w:t>6</w:t>
      </w:r>
      <w:r w:rsidRPr="0065044E">
        <w:rPr>
          <w:rFonts w:ascii="Garamond" w:hAnsi="Garamond"/>
        </w:rPr>
        <w:t xml:space="preserve"> data. The growth estimates provided in this sub-section are relative to the same reference period last year, unless otherwise specified.</w:t>
      </w:r>
    </w:p>
  </w:footnote>
  <w:footnote w:id="16">
    <w:p w14:paraId="042A4427" w14:textId="77777777" w:rsidR="001A343F" w:rsidRPr="00C270AF" w:rsidRDefault="001A343F">
      <w:pPr>
        <w:pStyle w:val="FootnoteText"/>
        <w:rPr>
          <w:rFonts w:ascii="Garamond" w:hAnsi="Garamond"/>
        </w:rPr>
      </w:pPr>
      <w:r>
        <w:rPr>
          <w:rStyle w:val="FootnoteReference"/>
        </w:rPr>
        <w:t>17</w:t>
      </w:r>
      <w:r>
        <w:t xml:space="preserve"> </w:t>
      </w:r>
      <w:r w:rsidRPr="00C270AF">
        <w:rPr>
          <w:rFonts w:ascii="Garamond" w:hAnsi="Garamond"/>
          <w:lang w:val="pt-BR"/>
        </w:rPr>
        <w:t>Real export and import growth indicators are the CBA estimates</w:t>
      </w:r>
      <w:r w:rsidRPr="00C270AF">
        <w:rPr>
          <w:rFonts w:ascii="Garamond" w:hAnsi="Garamond"/>
          <w:color w:val="000000"/>
        </w:rPr>
        <w:t>.</w:t>
      </w:r>
    </w:p>
  </w:footnote>
  <w:footnote w:id="17">
    <w:p w14:paraId="64854CAE" w14:textId="77777777" w:rsidR="001A343F" w:rsidRPr="002847C1" w:rsidRDefault="001A343F" w:rsidP="002847C1">
      <w:pPr>
        <w:pStyle w:val="FootnoteText"/>
        <w:jc w:val="both"/>
        <w:rPr>
          <w:rFonts w:ascii="Garamond" w:hAnsi="Garamond"/>
        </w:rPr>
      </w:pPr>
      <w:r>
        <w:rPr>
          <w:rStyle w:val="FootnoteReference"/>
        </w:rPr>
        <w:t>18</w:t>
      </w:r>
      <w:r w:rsidRPr="002847C1">
        <w:rPr>
          <w:rFonts w:ascii="Garamond" w:hAnsi="Garamond"/>
        </w:rPr>
        <w:t xml:space="preserve"> The labor market data for the </w:t>
      </w:r>
      <w:r>
        <w:rPr>
          <w:rFonts w:ascii="Garamond" w:hAnsi="Garamond"/>
        </w:rPr>
        <w:t xml:space="preserve">third </w:t>
      </w:r>
      <w:r w:rsidRPr="002847C1">
        <w:rPr>
          <w:rFonts w:ascii="Garamond" w:hAnsi="Garamond"/>
        </w:rPr>
        <w:t>quarter of 201</w:t>
      </w:r>
      <w:r>
        <w:rPr>
          <w:rFonts w:ascii="Garamond" w:hAnsi="Garamond"/>
        </w:rPr>
        <w:t>6</w:t>
      </w:r>
      <w:r w:rsidRPr="002847C1">
        <w:rPr>
          <w:rFonts w:ascii="Garamond" w:hAnsi="Garamond"/>
        </w:rPr>
        <w:t xml:space="preserve"> are the CBA estimates which are based on the </w:t>
      </w:r>
      <w:r>
        <w:rPr>
          <w:rFonts w:ascii="Garamond" w:hAnsi="Garamond"/>
        </w:rPr>
        <w:t>second quarter 2016</w:t>
      </w:r>
      <w:r w:rsidRPr="002847C1">
        <w:rPr>
          <w:rFonts w:ascii="Garamond" w:hAnsi="Garamond"/>
        </w:rPr>
        <w:t xml:space="preserve"> data and actual </w:t>
      </w:r>
      <w:r>
        <w:rPr>
          <w:rFonts w:ascii="Garamond" w:hAnsi="Garamond"/>
        </w:rPr>
        <w:t>January</w:t>
      </w:r>
      <w:r w:rsidRPr="002847C1">
        <w:rPr>
          <w:rFonts w:ascii="Garamond" w:hAnsi="Garamond"/>
        </w:rPr>
        <w:t>-</w:t>
      </w:r>
      <w:r>
        <w:rPr>
          <w:rFonts w:ascii="Garamond" w:hAnsi="Garamond"/>
        </w:rPr>
        <w:t>August</w:t>
      </w:r>
      <w:r w:rsidRPr="002847C1">
        <w:rPr>
          <w:rFonts w:ascii="Garamond" w:hAnsi="Garamond"/>
        </w:rPr>
        <w:t xml:space="preserve"> 201</w:t>
      </w:r>
      <w:r>
        <w:rPr>
          <w:rFonts w:ascii="Garamond" w:hAnsi="Garamond"/>
        </w:rPr>
        <w:t>6</w:t>
      </w:r>
      <w:r w:rsidRPr="002847C1">
        <w:rPr>
          <w:rFonts w:ascii="Garamond" w:hAnsi="Garamond"/>
        </w:rPr>
        <w:t xml:space="preserve"> figures. The growth indicators provided in this sub-section are relative to the same reference period last year, unless otherwise specified.</w:t>
      </w:r>
    </w:p>
  </w:footnote>
  <w:footnote w:id="18">
    <w:p w14:paraId="68DB981C" w14:textId="77777777" w:rsidR="001A343F" w:rsidRPr="008D531F" w:rsidRDefault="001A343F" w:rsidP="008D531F">
      <w:pPr>
        <w:pStyle w:val="FootnoteText"/>
        <w:jc w:val="both"/>
        <w:rPr>
          <w:rFonts w:ascii="Garamond" w:hAnsi="Garamond"/>
        </w:rPr>
      </w:pPr>
      <w:r>
        <w:rPr>
          <w:rStyle w:val="FootnoteReference"/>
        </w:rPr>
        <w:t>19</w:t>
      </w:r>
      <w:r>
        <w:t xml:space="preserve"> </w:t>
      </w:r>
      <w:r w:rsidRPr="008D531F">
        <w:rPr>
          <w:rFonts w:ascii="Garamond" w:hAnsi="Garamond"/>
          <w:iCs/>
        </w:rPr>
        <w:t xml:space="preserve">The review of the fiscal sector was done using preliminary actual consolidated budget indicators </w:t>
      </w:r>
      <w:r>
        <w:rPr>
          <w:rFonts w:ascii="Garamond" w:hAnsi="Garamond"/>
          <w:iCs/>
        </w:rPr>
        <w:t xml:space="preserve">(local budgets as an estimate) </w:t>
      </w:r>
      <w:r w:rsidRPr="008D531F">
        <w:rPr>
          <w:rFonts w:ascii="Garamond" w:hAnsi="Garamond"/>
          <w:iCs/>
        </w:rPr>
        <w:t xml:space="preserve">prepared on the basis of preliminary actual indicators of the </w:t>
      </w:r>
      <w:r>
        <w:rPr>
          <w:rFonts w:ascii="Garamond" w:hAnsi="Garamond"/>
          <w:iCs/>
        </w:rPr>
        <w:t>third quarter of 2016</w:t>
      </w:r>
      <w:r w:rsidRPr="008D531F">
        <w:rPr>
          <w:rFonts w:ascii="Garamond" w:hAnsi="Garamond"/>
          <w:iCs/>
        </w:rPr>
        <w:t xml:space="preserve"> (PIU funds included), excluding off-budgetary funds. The impact of revenues was calculated in respect of the nominal GDP indicator while the impact of expenditures, in respect of an estimated economic potential.</w:t>
      </w:r>
    </w:p>
  </w:footnote>
  <w:footnote w:id="19">
    <w:p w14:paraId="4B674F66" w14:textId="77777777" w:rsidR="001A343F" w:rsidRPr="00B24F76" w:rsidRDefault="001A343F" w:rsidP="00B24F76">
      <w:pPr>
        <w:pStyle w:val="FootnoteText"/>
        <w:jc w:val="both"/>
        <w:rPr>
          <w:rFonts w:ascii="Garamond" w:hAnsi="Garamond"/>
        </w:rPr>
      </w:pPr>
      <w:r>
        <w:rPr>
          <w:rStyle w:val="FootnoteReference"/>
        </w:rPr>
        <w:t>20</w:t>
      </w:r>
      <w:r w:rsidRPr="00201FF4">
        <w:rPr>
          <w:rFonts w:ascii="Garamond" w:hAnsi="Garamond"/>
        </w:rPr>
        <w:t xml:space="preserve"> A</w:t>
      </w:r>
      <w:r>
        <w:rPr>
          <w:rFonts w:ascii="Garamond" w:hAnsi="Garamond"/>
        </w:rPr>
        <w:t xml:space="preserve">ctual public sector indicators were compared with the CBA projections; note that the CBA projections on revenues </w:t>
      </w:r>
      <w:r w:rsidRPr="00B24F76">
        <w:rPr>
          <w:rFonts w:ascii="Garamond" w:hAnsi="Garamond"/>
        </w:rPr>
        <w:t>were in line with quarterly revenue proportions.</w:t>
      </w:r>
    </w:p>
  </w:footnote>
  <w:footnote w:id="20">
    <w:p w14:paraId="555DE51A" w14:textId="77777777" w:rsidR="001A343F" w:rsidRPr="00B24F76" w:rsidRDefault="001A343F" w:rsidP="00B24F76">
      <w:pPr>
        <w:pStyle w:val="FootnoteText"/>
        <w:jc w:val="both"/>
        <w:rPr>
          <w:rFonts w:ascii="Garamond" w:hAnsi="Garamond"/>
        </w:rPr>
      </w:pPr>
      <w:r w:rsidRPr="00B24F76">
        <w:rPr>
          <w:rStyle w:val="FootnoteReference"/>
          <w:rFonts w:ascii="Garamond" w:hAnsi="Garamond"/>
        </w:rPr>
        <w:t>21</w:t>
      </w:r>
      <w:r w:rsidRPr="00B24F76">
        <w:rPr>
          <w:rFonts w:ascii="Garamond" w:hAnsi="Garamond"/>
        </w:rPr>
        <w:t xml:space="preserve"> </w:t>
      </w:r>
      <w:r>
        <w:rPr>
          <w:rFonts w:ascii="Garamond" w:hAnsi="Garamond"/>
        </w:rPr>
        <w:t>The indicator</w:t>
      </w:r>
      <w:r w:rsidRPr="00B24F76">
        <w:rPr>
          <w:rFonts w:ascii="Garamond" w:hAnsi="Garamond"/>
        </w:rPr>
        <w:t xml:space="preserve"> stood behind the previous year’s figure due to the change in the principle of financing the preschool and general education establishments.</w:t>
      </w:r>
      <w:r>
        <w:rPr>
          <w:rFonts w:ascii="Garamond" w:hAnsi="Garamond"/>
        </w:rPr>
        <w:t xml:space="preserve"> </w:t>
      </w:r>
      <w:r w:rsidRPr="00A77641">
        <w:rPr>
          <w:rFonts w:ascii="Garamond" w:hAnsi="Garamond"/>
        </w:rPr>
        <w:t xml:space="preserve">Last year it was </w:t>
      </w:r>
      <w:r>
        <w:rPr>
          <w:rFonts w:ascii="Garamond" w:hAnsi="Garamond"/>
        </w:rPr>
        <w:t xml:space="preserve">regarded </w:t>
      </w:r>
      <w:r w:rsidRPr="00A77641">
        <w:rPr>
          <w:rFonts w:ascii="Garamond" w:hAnsi="Garamond"/>
        </w:rPr>
        <w:t xml:space="preserve">as </w:t>
      </w:r>
      <w:r>
        <w:rPr>
          <w:rFonts w:ascii="Garamond" w:hAnsi="Garamond"/>
        </w:rPr>
        <w:t xml:space="preserve">procurement of </w:t>
      </w:r>
      <w:r w:rsidRPr="00A77641">
        <w:rPr>
          <w:rFonts w:ascii="Garamond" w:hAnsi="Garamond"/>
        </w:rPr>
        <w:t>contractual services and</w:t>
      </w:r>
      <w:r>
        <w:rPr>
          <w:rFonts w:ascii="Garamond" w:hAnsi="Garamond"/>
        </w:rPr>
        <w:t>, starting from</w:t>
      </w:r>
      <w:r w:rsidRPr="00A77641">
        <w:rPr>
          <w:rFonts w:ascii="Garamond" w:hAnsi="Garamond"/>
        </w:rPr>
        <w:t xml:space="preserve"> 2016, as </w:t>
      </w:r>
      <w:r>
        <w:rPr>
          <w:rFonts w:ascii="Garamond" w:hAnsi="Garamond"/>
        </w:rPr>
        <w:t xml:space="preserve">providing of </w:t>
      </w:r>
      <w:r w:rsidRPr="00A77641">
        <w:rPr>
          <w:rFonts w:ascii="Garamond" w:hAnsi="Garamond"/>
        </w:rPr>
        <w:t>subsidies to these organizations.</w:t>
      </w:r>
    </w:p>
  </w:footnote>
  <w:footnote w:id="21">
    <w:p w14:paraId="0E2B099D" w14:textId="77777777" w:rsidR="001A343F" w:rsidRPr="00D32FBA" w:rsidRDefault="001A343F">
      <w:pPr>
        <w:pStyle w:val="FootnoteText"/>
        <w:rPr>
          <w:rFonts w:ascii="Garamond" w:hAnsi="Garamond"/>
        </w:rPr>
      </w:pPr>
      <w:r w:rsidRPr="00D32FBA">
        <w:rPr>
          <w:rStyle w:val="FootnoteReference"/>
          <w:rFonts w:ascii="Garamond" w:hAnsi="Garamond"/>
        </w:rPr>
        <w:t>22</w:t>
      </w:r>
      <w:r w:rsidRPr="00D32FBA">
        <w:rPr>
          <w:rFonts w:ascii="Garamond" w:hAnsi="Garamond"/>
        </w:rPr>
        <w:t xml:space="preserve"> For more details see </w:t>
      </w:r>
      <w:r>
        <w:rPr>
          <w:rFonts w:ascii="Garamond" w:hAnsi="Garamond"/>
        </w:rPr>
        <w:t>“</w:t>
      </w:r>
      <w:r w:rsidRPr="00D32FBA">
        <w:rPr>
          <w:rFonts w:ascii="Garamond" w:hAnsi="Garamond"/>
        </w:rPr>
        <w:t>Financial Stability Report of the Central Bank of Armenia</w:t>
      </w:r>
      <w:r>
        <w:rPr>
          <w:rFonts w:ascii="Garamond" w:hAnsi="Garamond"/>
        </w:rPr>
        <w:t>”</w:t>
      </w:r>
      <w:r w:rsidRPr="00D32FBA">
        <w:rPr>
          <w:rFonts w:ascii="Garamond" w:hAnsi="Garamond"/>
        </w:rPr>
        <w:t>, first half of 2016.</w:t>
      </w:r>
    </w:p>
  </w:footnote>
  <w:footnote w:id="22">
    <w:p w14:paraId="241C867B" w14:textId="77777777" w:rsidR="001A343F" w:rsidRPr="00277BE5" w:rsidRDefault="001A343F" w:rsidP="00FD4627">
      <w:pPr>
        <w:pStyle w:val="FootnoteText"/>
        <w:jc w:val="both"/>
        <w:rPr>
          <w:rFonts w:ascii="Garamond" w:hAnsi="Garamond"/>
        </w:rPr>
      </w:pPr>
      <w:r>
        <w:rPr>
          <w:rStyle w:val="FootnoteReference"/>
        </w:rPr>
        <w:t>23</w:t>
      </w:r>
      <w:r>
        <w:t xml:space="preserve"> </w:t>
      </w:r>
      <w:r w:rsidRPr="00277BE5">
        <w:rPr>
          <w:rFonts w:ascii="Garamond" w:hAnsi="Garamond"/>
        </w:rPr>
        <w:t xml:space="preserve">The </w:t>
      </w:r>
      <w:r>
        <w:rPr>
          <w:rFonts w:ascii="Garamond" w:hAnsi="Garamond"/>
        </w:rPr>
        <w:t xml:space="preserve">third </w:t>
      </w:r>
      <w:r w:rsidRPr="00277BE5">
        <w:rPr>
          <w:rFonts w:ascii="Garamond" w:hAnsi="Garamond"/>
        </w:rPr>
        <w:t>quarter 201</w:t>
      </w:r>
      <w:r>
        <w:rPr>
          <w:rFonts w:ascii="Garamond" w:hAnsi="Garamond"/>
        </w:rPr>
        <w:t>6</w:t>
      </w:r>
      <w:r w:rsidRPr="00277BE5">
        <w:rPr>
          <w:rFonts w:ascii="Garamond" w:hAnsi="Garamond"/>
        </w:rPr>
        <w:t xml:space="preserve"> indicator of the real exchange rate is the CBA estimate.</w:t>
      </w:r>
    </w:p>
  </w:footnote>
  <w:footnote w:id="23">
    <w:p w14:paraId="755FEA3B" w14:textId="77777777" w:rsidR="001A343F" w:rsidRPr="00D154B0" w:rsidRDefault="001A343F" w:rsidP="00D154B0">
      <w:pPr>
        <w:pStyle w:val="FootnoteText"/>
        <w:jc w:val="both"/>
        <w:rPr>
          <w:rFonts w:ascii="Garamond" w:hAnsi="Garamond"/>
        </w:rPr>
      </w:pPr>
      <w:r>
        <w:rPr>
          <w:rStyle w:val="FootnoteReference"/>
        </w:rPr>
        <w:t>24</w:t>
      </w:r>
      <w:r>
        <w:t xml:space="preserve"> </w:t>
      </w:r>
      <w:r w:rsidRPr="004C1B43">
        <w:rPr>
          <w:rFonts w:ascii="Garamond" w:hAnsi="Garamond"/>
        </w:rPr>
        <w:t xml:space="preserve">The </w:t>
      </w:r>
      <w:r>
        <w:rPr>
          <w:rFonts w:ascii="Garamond" w:hAnsi="Garamond"/>
        </w:rPr>
        <w:t>third</w:t>
      </w:r>
      <w:r w:rsidRPr="004C1B43">
        <w:rPr>
          <w:rFonts w:ascii="Garamond" w:hAnsi="Garamond"/>
        </w:rPr>
        <w:t xml:space="preserve"> quarter </w:t>
      </w:r>
      <w:r>
        <w:rPr>
          <w:rFonts w:ascii="Garamond" w:hAnsi="Garamond"/>
        </w:rPr>
        <w:t xml:space="preserve">2016 </w:t>
      </w:r>
      <w:r w:rsidRPr="004C1B43">
        <w:rPr>
          <w:rFonts w:ascii="Garamond" w:hAnsi="Garamond"/>
        </w:rPr>
        <w:t>balance of payments</w:t>
      </w:r>
      <w:r>
        <w:rPr>
          <w:rFonts w:ascii="Sylfaen" w:hAnsi="Sylfaen"/>
          <w:lang w:val="hy-AM"/>
        </w:rPr>
        <w:t xml:space="preserve"> </w:t>
      </w:r>
      <w:r w:rsidRPr="004C1B43">
        <w:rPr>
          <w:rFonts w:ascii="Garamond" w:hAnsi="Garamond"/>
        </w:rPr>
        <w:t xml:space="preserve">will be </w:t>
      </w:r>
      <w:r>
        <w:rPr>
          <w:rFonts w:ascii="Garamond" w:hAnsi="Garamond"/>
        </w:rPr>
        <w:t xml:space="preserve">published at the end of December 2016, according to the </w:t>
      </w:r>
      <w:r w:rsidRPr="00D154B0">
        <w:rPr>
          <w:rFonts w:ascii="Garamond" w:hAnsi="Garamond"/>
        </w:rPr>
        <w:t xml:space="preserve">timetable. The </w:t>
      </w:r>
      <w:r>
        <w:rPr>
          <w:rFonts w:ascii="Garamond" w:hAnsi="Garamond"/>
        </w:rPr>
        <w:t>thir</w:t>
      </w:r>
      <w:r w:rsidRPr="00D154B0">
        <w:rPr>
          <w:rFonts w:ascii="Garamond" w:hAnsi="Garamond"/>
        </w:rPr>
        <w:t>d quarter 2016 indicators are the CBA’s forecasts and estimates.</w:t>
      </w:r>
    </w:p>
  </w:footnote>
  <w:footnote w:id="24">
    <w:p w14:paraId="7BA9D98F" w14:textId="77777777" w:rsidR="001A343F" w:rsidRPr="00587E3E" w:rsidRDefault="001A343F" w:rsidP="00587E3E">
      <w:pPr>
        <w:pStyle w:val="FootnoteText"/>
        <w:jc w:val="both"/>
        <w:rPr>
          <w:rFonts w:ascii="Garamond" w:hAnsi="Garamond"/>
        </w:rPr>
      </w:pPr>
      <w:r w:rsidRPr="00587E3E">
        <w:rPr>
          <w:rStyle w:val="FootnoteReference"/>
          <w:rFonts w:ascii="Garamond" w:hAnsi="Garamond"/>
        </w:rPr>
        <w:t>25</w:t>
      </w:r>
      <w:r w:rsidRPr="00587E3E">
        <w:rPr>
          <w:rFonts w:ascii="Garamond" w:hAnsi="Garamond"/>
        </w:rPr>
        <w:t xml:space="preserve"> The export and import indicators are represented on a balance-of-payments basis, i.e. by credit and debit, respectively.</w:t>
      </w:r>
    </w:p>
  </w:footnote>
  <w:footnote w:id="25">
    <w:p w14:paraId="3E0C342B" w14:textId="77777777" w:rsidR="001A343F" w:rsidRPr="00587E3E" w:rsidRDefault="001A343F" w:rsidP="00587E3E">
      <w:pPr>
        <w:pStyle w:val="FootnoteText"/>
        <w:jc w:val="both"/>
        <w:rPr>
          <w:rFonts w:ascii="Garamond" w:hAnsi="Garamond"/>
        </w:rPr>
      </w:pPr>
      <w:r w:rsidRPr="00587E3E">
        <w:rPr>
          <w:rStyle w:val="FootnoteReference"/>
          <w:rFonts w:ascii="Garamond" w:hAnsi="Garamond"/>
        </w:rPr>
        <w:t>26</w:t>
      </w:r>
      <w:r w:rsidRPr="00587E3E">
        <w:rPr>
          <w:rFonts w:ascii="Garamond" w:hAnsi="Garamond"/>
        </w:rPr>
        <w:t xml:space="preserve"> </w:t>
      </w:r>
      <w:r>
        <w:rPr>
          <w:rFonts w:ascii="Garamond" w:hAnsi="Garamond"/>
        </w:rPr>
        <w:t>A new sub-item “O</w:t>
      </w:r>
      <w:r w:rsidRPr="00587E3E">
        <w:rPr>
          <w:rFonts w:ascii="Garamond" w:hAnsi="Garamond"/>
        </w:rPr>
        <w:t>ther</w:t>
      </w:r>
      <w:r>
        <w:rPr>
          <w:rFonts w:ascii="Garamond" w:hAnsi="Garamond"/>
        </w:rPr>
        <w:t xml:space="preserve"> product of precious metals and metals” has been added to the export since December 2015</w:t>
      </w:r>
      <w:r w:rsidRPr="00587E3E">
        <w:rPr>
          <w:rFonts w:ascii="Garamond" w:hAnsi="Garamond"/>
        </w:rPr>
        <w:t>.</w:t>
      </w:r>
    </w:p>
  </w:footnote>
  <w:footnote w:id="26">
    <w:p w14:paraId="753A1AC7" w14:textId="77777777" w:rsidR="001A343F" w:rsidRPr="00587E3E" w:rsidRDefault="001A343F" w:rsidP="00587E3E">
      <w:pPr>
        <w:pStyle w:val="FootnoteText"/>
        <w:jc w:val="both"/>
        <w:rPr>
          <w:rFonts w:ascii="Garamond" w:hAnsi="Garamond"/>
        </w:rPr>
      </w:pPr>
      <w:r w:rsidRPr="00587E3E">
        <w:rPr>
          <w:rStyle w:val="FootnoteReference"/>
          <w:rFonts w:ascii="Garamond" w:hAnsi="Garamond"/>
        </w:rPr>
        <w:t>27</w:t>
      </w:r>
      <w:r w:rsidRPr="00587E3E">
        <w:rPr>
          <w:rFonts w:ascii="Garamond" w:hAnsi="Garamond"/>
        </w:rPr>
        <w:t xml:space="preserve"> The deficit of trade balance was calculated on a balance-of-payments basis, where export is credit, import debit.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E34"/>
    <w:rsid w:val="000015E3"/>
    <w:rsid w:val="0000246A"/>
    <w:rsid w:val="00003FDA"/>
    <w:rsid w:val="000069A7"/>
    <w:rsid w:val="000069EE"/>
    <w:rsid w:val="00007E90"/>
    <w:rsid w:val="00013DD6"/>
    <w:rsid w:val="0001484B"/>
    <w:rsid w:val="00015474"/>
    <w:rsid w:val="00015E64"/>
    <w:rsid w:val="00021FED"/>
    <w:rsid w:val="0002241A"/>
    <w:rsid w:val="0002372B"/>
    <w:rsid w:val="0002455C"/>
    <w:rsid w:val="00027123"/>
    <w:rsid w:val="00027AFD"/>
    <w:rsid w:val="000325E1"/>
    <w:rsid w:val="00032D90"/>
    <w:rsid w:val="000330B4"/>
    <w:rsid w:val="000359CC"/>
    <w:rsid w:val="0004107C"/>
    <w:rsid w:val="00041212"/>
    <w:rsid w:val="0004316E"/>
    <w:rsid w:val="00043B62"/>
    <w:rsid w:val="00046660"/>
    <w:rsid w:val="00046A8D"/>
    <w:rsid w:val="00046C53"/>
    <w:rsid w:val="00046E56"/>
    <w:rsid w:val="000471F2"/>
    <w:rsid w:val="00050B69"/>
    <w:rsid w:val="00051ACE"/>
    <w:rsid w:val="0005368A"/>
    <w:rsid w:val="00053725"/>
    <w:rsid w:val="00054262"/>
    <w:rsid w:val="000547DE"/>
    <w:rsid w:val="00054E5F"/>
    <w:rsid w:val="00057357"/>
    <w:rsid w:val="00057FE2"/>
    <w:rsid w:val="0006101A"/>
    <w:rsid w:val="00061597"/>
    <w:rsid w:val="00061A2D"/>
    <w:rsid w:val="0006206E"/>
    <w:rsid w:val="0006381A"/>
    <w:rsid w:val="0006417D"/>
    <w:rsid w:val="00064FDD"/>
    <w:rsid w:val="0006729F"/>
    <w:rsid w:val="000672E1"/>
    <w:rsid w:val="0006742C"/>
    <w:rsid w:val="00067ACB"/>
    <w:rsid w:val="000704AE"/>
    <w:rsid w:val="00072000"/>
    <w:rsid w:val="000724EF"/>
    <w:rsid w:val="00073136"/>
    <w:rsid w:val="00073B73"/>
    <w:rsid w:val="000742A1"/>
    <w:rsid w:val="000749EE"/>
    <w:rsid w:val="0007729A"/>
    <w:rsid w:val="00080A7F"/>
    <w:rsid w:val="00081224"/>
    <w:rsid w:val="00081238"/>
    <w:rsid w:val="00082416"/>
    <w:rsid w:val="0008391C"/>
    <w:rsid w:val="00087190"/>
    <w:rsid w:val="00087B4E"/>
    <w:rsid w:val="00091128"/>
    <w:rsid w:val="000917CA"/>
    <w:rsid w:val="000930D8"/>
    <w:rsid w:val="0009353E"/>
    <w:rsid w:val="00093D0F"/>
    <w:rsid w:val="00097B79"/>
    <w:rsid w:val="000A20A2"/>
    <w:rsid w:val="000A2AB2"/>
    <w:rsid w:val="000A2C22"/>
    <w:rsid w:val="000A2E88"/>
    <w:rsid w:val="000A2F1E"/>
    <w:rsid w:val="000A48A7"/>
    <w:rsid w:val="000A60FF"/>
    <w:rsid w:val="000A73C7"/>
    <w:rsid w:val="000B069A"/>
    <w:rsid w:val="000B24F7"/>
    <w:rsid w:val="000B4301"/>
    <w:rsid w:val="000B52F7"/>
    <w:rsid w:val="000B6343"/>
    <w:rsid w:val="000B65B8"/>
    <w:rsid w:val="000B6A81"/>
    <w:rsid w:val="000B6E34"/>
    <w:rsid w:val="000B791C"/>
    <w:rsid w:val="000C4B1B"/>
    <w:rsid w:val="000C7D93"/>
    <w:rsid w:val="000D07A7"/>
    <w:rsid w:val="000D08EA"/>
    <w:rsid w:val="000D1179"/>
    <w:rsid w:val="000D1448"/>
    <w:rsid w:val="000D14E4"/>
    <w:rsid w:val="000D1C9B"/>
    <w:rsid w:val="000D20D6"/>
    <w:rsid w:val="000D6BB2"/>
    <w:rsid w:val="000E025E"/>
    <w:rsid w:val="000E4A76"/>
    <w:rsid w:val="000E504C"/>
    <w:rsid w:val="000E5483"/>
    <w:rsid w:val="000E5E10"/>
    <w:rsid w:val="000E72F2"/>
    <w:rsid w:val="000F2DFD"/>
    <w:rsid w:val="000F4AA2"/>
    <w:rsid w:val="000F5B41"/>
    <w:rsid w:val="000F60CD"/>
    <w:rsid w:val="000F6DDC"/>
    <w:rsid w:val="000F6E4D"/>
    <w:rsid w:val="000F744F"/>
    <w:rsid w:val="00100842"/>
    <w:rsid w:val="00102D2B"/>
    <w:rsid w:val="001030B5"/>
    <w:rsid w:val="001039DC"/>
    <w:rsid w:val="00106C08"/>
    <w:rsid w:val="00107D1A"/>
    <w:rsid w:val="00110FB8"/>
    <w:rsid w:val="00112D54"/>
    <w:rsid w:val="001151D0"/>
    <w:rsid w:val="0012120D"/>
    <w:rsid w:val="00121565"/>
    <w:rsid w:val="00123862"/>
    <w:rsid w:val="001256B7"/>
    <w:rsid w:val="0012594D"/>
    <w:rsid w:val="00125C0A"/>
    <w:rsid w:val="00125E97"/>
    <w:rsid w:val="00125EBA"/>
    <w:rsid w:val="00127AC7"/>
    <w:rsid w:val="00127D3C"/>
    <w:rsid w:val="00127DE6"/>
    <w:rsid w:val="001317A3"/>
    <w:rsid w:val="00132731"/>
    <w:rsid w:val="00132EED"/>
    <w:rsid w:val="00133A63"/>
    <w:rsid w:val="00134A83"/>
    <w:rsid w:val="001361C9"/>
    <w:rsid w:val="001368A5"/>
    <w:rsid w:val="00137211"/>
    <w:rsid w:val="001400E2"/>
    <w:rsid w:val="00140E92"/>
    <w:rsid w:val="001416A4"/>
    <w:rsid w:val="00144320"/>
    <w:rsid w:val="00144DC5"/>
    <w:rsid w:val="00147E8E"/>
    <w:rsid w:val="001503AC"/>
    <w:rsid w:val="00152132"/>
    <w:rsid w:val="00153D45"/>
    <w:rsid w:val="00154ACF"/>
    <w:rsid w:val="00155C05"/>
    <w:rsid w:val="001576AE"/>
    <w:rsid w:val="001577E3"/>
    <w:rsid w:val="00160A11"/>
    <w:rsid w:val="00162C9B"/>
    <w:rsid w:val="00164749"/>
    <w:rsid w:val="00166A0A"/>
    <w:rsid w:val="00167B8F"/>
    <w:rsid w:val="00170831"/>
    <w:rsid w:val="001711FF"/>
    <w:rsid w:val="00171EEE"/>
    <w:rsid w:val="001725FE"/>
    <w:rsid w:val="00174ADA"/>
    <w:rsid w:val="00177B94"/>
    <w:rsid w:val="00181D5F"/>
    <w:rsid w:val="00183124"/>
    <w:rsid w:val="00183E51"/>
    <w:rsid w:val="0018680E"/>
    <w:rsid w:val="00186A58"/>
    <w:rsid w:val="001876C6"/>
    <w:rsid w:val="00187B89"/>
    <w:rsid w:val="001910F6"/>
    <w:rsid w:val="00191BEF"/>
    <w:rsid w:val="00192F8D"/>
    <w:rsid w:val="00193B82"/>
    <w:rsid w:val="00193D63"/>
    <w:rsid w:val="00195151"/>
    <w:rsid w:val="00195814"/>
    <w:rsid w:val="001968B5"/>
    <w:rsid w:val="00197AEE"/>
    <w:rsid w:val="001A146B"/>
    <w:rsid w:val="001A1846"/>
    <w:rsid w:val="001A2F04"/>
    <w:rsid w:val="001A32D2"/>
    <w:rsid w:val="001A3426"/>
    <w:rsid w:val="001A343F"/>
    <w:rsid w:val="001A5F83"/>
    <w:rsid w:val="001B0CE1"/>
    <w:rsid w:val="001B2A01"/>
    <w:rsid w:val="001B3B55"/>
    <w:rsid w:val="001B5AA1"/>
    <w:rsid w:val="001C02B8"/>
    <w:rsid w:val="001C28A9"/>
    <w:rsid w:val="001C3604"/>
    <w:rsid w:val="001C4340"/>
    <w:rsid w:val="001C43BA"/>
    <w:rsid w:val="001C4B04"/>
    <w:rsid w:val="001C595E"/>
    <w:rsid w:val="001C59A8"/>
    <w:rsid w:val="001C741D"/>
    <w:rsid w:val="001D0EF9"/>
    <w:rsid w:val="001D0F31"/>
    <w:rsid w:val="001D1E8D"/>
    <w:rsid w:val="001D2573"/>
    <w:rsid w:val="001D300B"/>
    <w:rsid w:val="001D381B"/>
    <w:rsid w:val="001D4949"/>
    <w:rsid w:val="001D57F3"/>
    <w:rsid w:val="001D74AC"/>
    <w:rsid w:val="001D7CB5"/>
    <w:rsid w:val="001E25C2"/>
    <w:rsid w:val="001E499D"/>
    <w:rsid w:val="001E5B26"/>
    <w:rsid w:val="001F25A9"/>
    <w:rsid w:val="001F303A"/>
    <w:rsid w:val="001F34AC"/>
    <w:rsid w:val="001F5018"/>
    <w:rsid w:val="001F6105"/>
    <w:rsid w:val="001F6E3F"/>
    <w:rsid w:val="002002B9"/>
    <w:rsid w:val="00200EF8"/>
    <w:rsid w:val="00201050"/>
    <w:rsid w:val="00201A71"/>
    <w:rsid w:val="00201FF4"/>
    <w:rsid w:val="00202757"/>
    <w:rsid w:val="00202A42"/>
    <w:rsid w:val="002039B9"/>
    <w:rsid w:val="0020769A"/>
    <w:rsid w:val="00210C68"/>
    <w:rsid w:val="00211DA2"/>
    <w:rsid w:val="002128F2"/>
    <w:rsid w:val="00212976"/>
    <w:rsid w:val="002130E0"/>
    <w:rsid w:val="00213EC8"/>
    <w:rsid w:val="00215850"/>
    <w:rsid w:val="00215B58"/>
    <w:rsid w:val="00215B7C"/>
    <w:rsid w:val="00220E40"/>
    <w:rsid w:val="00222235"/>
    <w:rsid w:val="00222C21"/>
    <w:rsid w:val="00223057"/>
    <w:rsid w:val="00223AAF"/>
    <w:rsid w:val="00225172"/>
    <w:rsid w:val="002278AA"/>
    <w:rsid w:val="002278EE"/>
    <w:rsid w:val="0023070D"/>
    <w:rsid w:val="00231DC1"/>
    <w:rsid w:val="00232E26"/>
    <w:rsid w:val="00233015"/>
    <w:rsid w:val="00234079"/>
    <w:rsid w:val="00235FE1"/>
    <w:rsid w:val="00236A23"/>
    <w:rsid w:val="00237D6F"/>
    <w:rsid w:val="002405A7"/>
    <w:rsid w:val="00240A76"/>
    <w:rsid w:val="00240D65"/>
    <w:rsid w:val="00241C4F"/>
    <w:rsid w:val="00241F5F"/>
    <w:rsid w:val="00244247"/>
    <w:rsid w:val="0024485F"/>
    <w:rsid w:val="00245D79"/>
    <w:rsid w:val="00246E16"/>
    <w:rsid w:val="00247CA1"/>
    <w:rsid w:val="00251231"/>
    <w:rsid w:val="00251551"/>
    <w:rsid w:val="00251CAF"/>
    <w:rsid w:val="00251F39"/>
    <w:rsid w:val="002525CE"/>
    <w:rsid w:val="00253686"/>
    <w:rsid w:val="0025529A"/>
    <w:rsid w:val="0025631D"/>
    <w:rsid w:val="00257B58"/>
    <w:rsid w:val="0026014A"/>
    <w:rsid w:val="00262ABF"/>
    <w:rsid w:val="00262EF6"/>
    <w:rsid w:val="00265F5B"/>
    <w:rsid w:val="002664BE"/>
    <w:rsid w:val="002667B0"/>
    <w:rsid w:val="002712F3"/>
    <w:rsid w:val="00271625"/>
    <w:rsid w:val="00275761"/>
    <w:rsid w:val="00275AB5"/>
    <w:rsid w:val="002762A2"/>
    <w:rsid w:val="00276ADF"/>
    <w:rsid w:val="00277838"/>
    <w:rsid w:val="00277BE5"/>
    <w:rsid w:val="00280C40"/>
    <w:rsid w:val="00282573"/>
    <w:rsid w:val="00282CDE"/>
    <w:rsid w:val="00284736"/>
    <w:rsid w:val="002847C1"/>
    <w:rsid w:val="00284EE4"/>
    <w:rsid w:val="002862F9"/>
    <w:rsid w:val="0028678D"/>
    <w:rsid w:val="00286BB6"/>
    <w:rsid w:val="002871A6"/>
    <w:rsid w:val="0029012B"/>
    <w:rsid w:val="00290291"/>
    <w:rsid w:val="00290AB8"/>
    <w:rsid w:val="00290B98"/>
    <w:rsid w:val="00290C7F"/>
    <w:rsid w:val="00291537"/>
    <w:rsid w:val="00293B44"/>
    <w:rsid w:val="00294ED3"/>
    <w:rsid w:val="0029667E"/>
    <w:rsid w:val="00296F05"/>
    <w:rsid w:val="00297F63"/>
    <w:rsid w:val="00297FDF"/>
    <w:rsid w:val="002A098D"/>
    <w:rsid w:val="002A0B0B"/>
    <w:rsid w:val="002A1012"/>
    <w:rsid w:val="002A11DD"/>
    <w:rsid w:val="002A3B1E"/>
    <w:rsid w:val="002A52AC"/>
    <w:rsid w:val="002A5F78"/>
    <w:rsid w:val="002A6B43"/>
    <w:rsid w:val="002A7713"/>
    <w:rsid w:val="002B2148"/>
    <w:rsid w:val="002B235A"/>
    <w:rsid w:val="002B258A"/>
    <w:rsid w:val="002B30E4"/>
    <w:rsid w:val="002B458B"/>
    <w:rsid w:val="002B57F4"/>
    <w:rsid w:val="002C1A9C"/>
    <w:rsid w:val="002C20A8"/>
    <w:rsid w:val="002C2ACB"/>
    <w:rsid w:val="002C3366"/>
    <w:rsid w:val="002C34C7"/>
    <w:rsid w:val="002C49F7"/>
    <w:rsid w:val="002C5781"/>
    <w:rsid w:val="002C6448"/>
    <w:rsid w:val="002C6CE2"/>
    <w:rsid w:val="002C6D47"/>
    <w:rsid w:val="002D34D2"/>
    <w:rsid w:val="002D3505"/>
    <w:rsid w:val="002D3865"/>
    <w:rsid w:val="002D5CC6"/>
    <w:rsid w:val="002D68FD"/>
    <w:rsid w:val="002D7862"/>
    <w:rsid w:val="002E14BA"/>
    <w:rsid w:val="002E3D03"/>
    <w:rsid w:val="002E7E19"/>
    <w:rsid w:val="002F02CC"/>
    <w:rsid w:val="002F084F"/>
    <w:rsid w:val="002F1EDA"/>
    <w:rsid w:val="002F1F35"/>
    <w:rsid w:val="002F35D6"/>
    <w:rsid w:val="002F44CD"/>
    <w:rsid w:val="002F4EEA"/>
    <w:rsid w:val="002F4FEC"/>
    <w:rsid w:val="002F7498"/>
    <w:rsid w:val="003012F2"/>
    <w:rsid w:val="00303F1E"/>
    <w:rsid w:val="003046CA"/>
    <w:rsid w:val="0030500E"/>
    <w:rsid w:val="00305723"/>
    <w:rsid w:val="00305DB7"/>
    <w:rsid w:val="003063B8"/>
    <w:rsid w:val="003078C9"/>
    <w:rsid w:val="00307BE9"/>
    <w:rsid w:val="003100A4"/>
    <w:rsid w:val="00312EC1"/>
    <w:rsid w:val="003144A8"/>
    <w:rsid w:val="003147F5"/>
    <w:rsid w:val="00315AA3"/>
    <w:rsid w:val="00315DF6"/>
    <w:rsid w:val="00322300"/>
    <w:rsid w:val="00322BA3"/>
    <w:rsid w:val="003253BD"/>
    <w:rsid w:val="00325A21"/>
    <w:rsid w:val="003279A4"/>
    <w:rsid w:val="00330491"/>
    <w:rsid w:val="00331036"/>
    <w:rsid w:val="00332437"/>
    <w:rsid w:val="003360CC"/>
    <w:rsid w:val="00337802"/>
    <w:rsid w:val="00337E9B"/>
    <w:rsid w:val="00340201"/>
    <w:rsid w:val="0034270F"/>
    <w:rsid w:val="00343FCB"/>
    <w:rsid w:val="00344292"/>
    <w:rsid w:val="00345F88"/>
    <w:rsid w:val="0034638E"/>
    <w:rsid w:val="00347413"/>
    <w:rsid w:val="00347AC8"/>
    <w:rsid w:val="00347B30"/>
    <w:rsid w:val="00347C30"/>
    <w:rsid w:val="0035146E"/>
    <w:rsid w:val="00351E8F"/>
    <w:rsid w:val="00354945"/>
    <w:rsid w:val="003562CE"/>
    <w:rsid w:val="003603CD"/>
    <w:rsid w:val="00363061"/>
    <w:rsid w:val="00364A36"/>
    <w:rsid w:val="00366569"/>
    <w:rsid w:val="00367884"/>
    <w:rsid w:val="00370025"/>
    <w:rsid w:val="003702D9"/>
    <w:rsid w:val="003735BC"/>
    <w:rsid w:val="00373CE0"/>
    <w:rsid w:val="0037593B"/>
    <w:rsid w:val="0037679E"/>
    <w:rsid w:val="00377763"/>
    <w:rsid w:val="00377DC5"/>
    <w:rsid w:val="00380B84"/>
    <w:rsid w:val="00381DE7"/>
    <w:rsid w:val="00382FA3"/>
    <w:rsid w:val="003831CF"/>
    <w:rsid w:val="00383887"/>
    <w:rsid w:val="00384986"/>
    <w:rsid w:val="00385474"/>
    <w:rsid w:val="00385D40"/>
    <w:rsid w:val="00385D6B"/>
    <w:rsid w:val="00386395"/>
    <w:rsid w:val="0038729D"/>
    <w:rsid w:val="00392A3D"/>
    <w:rsid w:val="00392C0F"/>
    <w:rsid w:val="00393C1D"/>
    <w:rsid w:val="003940EB"/>
    <w:rsid w:val="00394A76"/>
    <w:rsid w:val="003A0393"/>
    <w:rsid w:val="003A0502"/>
    <w:rsid w:val="003A0906"/>
    <w:rsid w:val="003A2219"/>
    <w:rsid w:val="003A2A39"/>
    <w:rsid w:val="003A2B37"/>
    <w:rsid w:val="003A3BC5"/>
    <w:rsid w:val="003A44FA"/>
    <w:rsid w:val="003A4B8A"/>
    <w:rsid w:val="003A4F6C"/>
    <w:rsid w:val="003A7A94"/>
    <w:rsid w:val="003B032D"/>
    <w:rsid w:val="003B0C7D"/>
    <w:rsid w:val="003B0DC1"/>
    <w:rsid w:val="003B3280"/>
    <w:rsid w:val="003B5819"/>
    <w:rsid w:val="003B583C"/>
    <w:rsid w:val="003B6F4B"/>
    <w:rsid w:val="003B7186"/>
    <w:rsid w:val="003B7412"/>
    <w:rsid w:val="003B7483"/>
    <w:rsid w:val="003C05E3"/>
    <w:rsid w:val="003C2EB6"/>
    <w:rsid w:val="003C2ED0"/>
    <w:rsid w:val="003C304D"/>
    <w:rsid w:val="003C329C"/>
    <w:rsid w:val="003C4F0C"/>
    <w:rsid w:val="003C63F3"/>
    <w:rsid w:val="003C718B"/>
    <w:rsid w:val="003C73A7"/>
    <w:rsid w:val="003C7CC1"/>
    <w:rsid w:val="003D0CAE"/>
    <w:rsid w:val="003D238F"/>
    <w:rsid w:val="003D2E75"/>
    <w:rsid w:val="003D3B6B"/>
    <w:rsid w:val="003D4491"/>
    <w:rsid w:val="003D47FF"/>
    <w:rsid w:val="003D52B1"/>
    <w:rsid w:val="003D5A71"/>
    <w:rsid w:val="003D6B47"/>
    <w:rsid w:val="003D791F"/>
    <w:rsid w:val="003D7D01"/>
    <w:rsid w:val="003D7EC2"/>
    <w:rsid w:val="003E0FC6"/>
    <w:rsid w:val="003E1A5D"/>
    <w:rsid w:val="003E2200"/>
    <w:rsid w:val="003E3E73"/>
    <w:rsid w:val="003E6532"/>
    <w:rsid w:val="003E6782"/>
    <w:rsid w:val="003E7A84"/>
    <w:rsid w:val="003F0BDB"/>
    <w:rsid w:val="003F12D9"/>
    <w:rsid w:val="003F283B"/>
    <w:rsid w:val="003F3873"/>
    <w:rsid w:val="003F3BA2"/>
    <w:rsid w:val="003F4B76"/>
    <w:rsid w:val="003F7B10"/>
    <w:rsid w:val="00400525"/>
    <w:rsid w:val="004027E1"/>
    <w:rsid w:val="00404010"/>
    <w:rsid w:val="004048CF"/>
    <w:rsid w:val="004053C4"/>
    <w:rsid w:val="0041099B"/>
    <w:rsid w:val="00410A65"/>
    <w:rsid w:val="00412CA9"/>
    <w:rsid w:val="00414223"/>
    <w:rsid w:val="00414562"/>
    <w:rsid w:val="004150BC"/>
    <w:rsid w:val="00416086"/>
    <w:rsid w:val="00417635"/>
    <w:rsid w:val="00417AA7"/>
    <w:rsid w:val="004208A2"/>
    <w:rsid w:val="00420C07"/>
    <w:rsid w:val="00422A33"/>
    <w:rsid w:val="00422B72"/>
    <w:rsid w:val="00423538"/>
    <w:rsid w:val="004236E7"/>
    <w:rsid w:val="004250AA"/>
    <w:rsid w:val="004258B2"/>
    <w:rsid w:val="00425B30"/>
    <w:rsid w:val="00425E31"/>
    <w:rsid w:val="004303E9"/>
    <w:rsid w:val="0043068E"/>
    <w:rsid w:val="00430CFB"/>
    <w:rsid w:val="00431888"/>
    <w:rsid w:val="00432A35"/>
    <w:rsid w:val="00433B8F"/>
    <w:rsid w:val="004346DE"/>
    <w:rsid w:val="0043486A"/>
    <w:rsid w:val="0043651F"/>
    <w:rsid w:val="00437821"/>
    <w:rsid w:val="00437A01"/>
    <w:rsid w:val="0044181F"/>
    <w:rsid w:val="00442FCA"/>
    <w:rsid w:val="00443ACF"/>
    <w:rsid w:val="0044404F"/>
    <w:rsid w:val="00444E23"/>
    <w:rsid w:val="00446522"/>
    <w:rsid w:val="00446B4F"/>
    <w:rsid w:val="00447C48"/>
    <w:rsid w:val="004506E9"/>
    <w:rsid w:val="004520EB"/>
    <w:rsid w:val="004535B0"/>
    <w:rsid w:val="00454718"/>
    <w:rsid w:val="00454FFC"/>
    <w:rsid w:val="00455F3D"/>
    <w:rsid w:val="00457554"/>
    <w:rsid w:val="00462227"/>
    <w:rsid w:val="00464E5A"/>
    <w:rsid w:val="004659BE"/>
    <w:rsid w:val="00467085"/>
    <w:rsid w:val="00467C15"/>
    <w:rsid w:val="004726FE"/>
    <w:rsid w:val="00474127"/>
    <w:rsid w:val="00481359"/>
    <w:rsid w:val="0048353C"/>
    <w:rsid w:val="00484009"/>
    <w:rsid w:val="004844E2"/>
    <w:rsid w:val="00486266"/>
    <w:rsid w:val="0048633B"/>
    <w:rsid w:val="00487893"/>
    <w:rsid w:val="0049042F"/>
    <w:rsid w:val="00490CF9"/>
    <w:rsid w:val="00492AFD"/>
    <w:rsid w:val="00493463"/>
    <w:rsid w:val="00493A0E"/>
    <w:rsid w:val="004956C9"/>
    <w:rsid w:val="00495A83"/>
    <w:rsid w:val="00496CC1"/>
    <w:rsid w:val="004A0D05"/>
    <w:rsid w:val="004A18CF"/>
    <w:rsid w:val="004A3B43"/>
    <w:rsid w:val="004A3B8E"/>
    <w:rsid w:val="004A4E1C"/>
    <w:rsid w:val="004A6421"/>
    <w:rsid w:val="004A66A1"/>
    <w:rsid w:val="004A730F"/>
    <w:rsid w:val="004A7D99"/>
    <w:rsid w:val="004B103C"/>
    <w:rsid w:val="004B1E9C"/>
    <w:rsid w:val="004B6192"/>
    <w:rsid w:val="004B6BF4"/>
    <w:rsid w:val="004B6C1D"/>
    <w:rsid w:val="004B722B"/>
    <w:rsid w:val="004C090B"/>
    <w:rsid w:val="004C0CA3"/>
    <w:rsid w:val="004C1B43"/>
    <w:rsid w:val="004C22DC"/>
    <w:rsid w:val="004C2D90"/>
    <w:rsid w:val="004C3474"/>
    <w:rsid w:val="004C38A3"/>
    <w:rsid w:val="004C3AE8"/>
    <w:rsid w:val="004C715C"/>
    <w:rsid w:val="004C7B38"/>
    <w:rsid w:val="004D09C9"/>
    <w:rsid w:val="004D48DE"/>
    <w:rsid w:val="004D5B22"/>
    <w:rsid w:val="004D7651"/>
    <w:rsid w:val="004E202E"/>
    <w:rsid w:val="004E3BA7"/>
    <w:rsid w:val="004E5D71"/>
    <w:rsid w:val="004E7752"/>
    <w:rsid w:val="004F215F"/>
    <w:rsid w:val="004F2476"/>
    <w:rsid w:val="004F30C0"/>
    <w:rsid w:val="004F33C6"/>
    <w:rsid w:val="004F346B"/>
    <w:rsid w:val="004F349B"/>
    <w:rsid w:val="004F4927"/>
    <w:rsid w:val="004F5E13"/>
    <w:rsid w:val="004F623C"/>
    <w:rsid w:val="004F776B"/>
    <w:rsid w:val="004F78DC"/>
    <w:rsid w:val="005029F4"/>
    <w:rsid w:val="0050397E"/>
    <w:rsid w:val="00504667"/>
    <w:rsid w:val="00504B62"/>
    <w:rsid w:val="0050565E"/>
    <w:rsid w:val="00507533"/>
    <w:rsid w:val="00511AE3"/>
    <w:rsid w:val="00512D47"/>
    <w:rsid w:val="005152A6"/>
    <w:rsid w:val="005163CB"/>
    <w:rsid w:val="005171CE"/>
    <w:rsid w:val="00520437"/>
    <w:rsid w:val="0052080A"/>
    <w:rsid w:val="005218A5"/>
    <w:rsid w:val="00523597"/>
    <w:rsid w:val="0052421F"/>
    <w:rsid w:val="00525378"/>
    <w:rsid w:val="005259C0"/>
    <w:rsid w:val="00526614"/>
    <w:rsid w:val="00530B3A"/>
    <w:rsid w:val="00530CE8"/>
    <w:rsid w:val="00531341"/>
    <w:rsid w:val="005341FC"/>
    <w:rsid w:val="005355D1"/>
    <w:rsid w:val="00535682"/>
    <w:rsid w:val="00537305"/>
    <w:rsid w:val="005461F6"/>
    <w:rsid w:val="00550497"/>
    <w:rsid w:val="00551648"/>
    <w:rsid w:val="0055383A"/>
    <w:rsid w:val="00553BC9"/>
    <w:rsid w:val="00555ADF"/>
    <w:rsid w:val="00555FFC"/>
    <w:rsid w:val="0055635D"/>
    <w:rsid w:val="00556C32"/>
    <w:rsid w:val="00561725"/>
    <w:rsid w:val="00562146"/>
    <w:rsid w:val="005623DD"/>
    <w:rsid w:val="0056430E"/>
    <w:rsid w:val="00567054"/>
    <w:rsid w:val="005711CF"/>
    <w:rsid w:val="005712B4"/>
    <w:rsid w:val="0057315C"/>
    <w:rsid w:val="00573367"/>
    <w:rsid w:val="00577965"/>
    <w:rsid w:val="0058057F"/>
    <w:rsid w:val="00581F38"/>
    <w:rsid w:val="00583366"/>
    <w:rsid w:val="0058366E"/>
    <w:rsid w:val="005858AE"/>
    <w:rsid w:val="00585EE7"/>
    <w:rsid w:val="00586351"/>
    <w:rsid w:val="00587E3E"/>
    <w:rsid w:val="00590A8F"/>
    <w:rsid w:val="00590C92"/>
    <w:rsid w:val="005911A1"/>
    <w:rsid w:val="00592BBF"/>
    <w:rsid w:val="00593603"/>
    <w:rsid w:val="005947CE"/>
    <w:rsid w:val="00595B32"/>
    <w:rsid w:val="005973A3"/>
    <w:rsid w:val="00597C08"/>
    <w:rsid w:val="005A0098"/>
    <w:rsid w:val="005A1CAD"/>
    <w:rsid w:val="005A26ED"/>
    <w:rsid w:val="005A4407"/>
    <w:rsid w:val="005A4C03"/>
    <w:rsid w:val="005A5A7D"/>
    <w:rsid w:val="005A5C2F"/>
    <w:rsid w:val="005B014E"/>
    <w:rsid w:val="005B0FF8"/>
    <w:rsid w:val="005B304B"/>
    <w:rsid w:val="005B492E"/>
    <w:rsid w:val="005B5728"/>
    <w:rsid w:val="005B6C26"/>
    <w:rsid w:val="005B71D4"/>
    <w:rsid w:val="005C13AE"/>
    <w:rsid w:val="005C40A7"/>
    <w:rsid w:val="005C4780"/>
    <w:rsid w:val="005C5202"/>
    <w:rsid w:val="005C7EAB"/>
    <w:rsid w:val="005D2065"/>
    <w:rsid w:val="005D3B98"/>
    <w:rsid w:val="005D4A2B"/>
    <w:rsid w:val="005D7302"/>
    <w:rsid w:val="005E09C2"/>
    <w:rsid w:val="005E1B6A"/>
    <w:rsid w:val="005E2744"/>
    <w:rsid w:val="005E4964"/>
    <w:rsid w:val="005E7050"/>
    <w:rsid w:val="005E7B96"/>
    <w:rsid w:val="005F25EC"/>
    <w:rsid w:val="005F3B95"/>
    <w:rsid w:val="005F49EB"/>
    <w:rsid w:val="005F6DF3"/>
    <w:rsid w:val="005F742B"/>
    <w:rsid w:val="0060114E"/>
    <w:rsid w:val="0060136B"/>
    <w:rsid w:val="00601435"/>
    <w:rsid w:val="0060157B"/>
    <w:rsid w:val="00601F50"/>
    <w:rsid w:val="006021FA"/>
    <w:rsid w:val="00603367"/>
    <w:rsid w:val="00607E10"/>
    <w:rsid w:val="006104F0"/>
    <w:rsid w:val="00610C0D"/>
    <w:rsid w:val="00610D1F"/>
    <w:rsid w:val="006117AE"/>
    <w:rsid w:val="00612B5F"/>
    <w:rsid w:val="00612F44"/>
    <w:rsid w:val="0061514B"/>
    <w:rsid w:val="006203FB"/>
    <w:rsid w:val="00621421"/>
    <w:rsid w:val="00624325"/>
    <w:rsid w:val="006251FD"/>
    <w:rsid w:val="00625FEC"/>
    <w:rsid w:val="00627C60"/>
    <w:rsid w:val="00630551"/>
    <w:rsid w:val="006313F6"/>
    <w:rsid w:val="00631797"/>
    <w:rsid w:val="006346C5"/>
    <w:rsid w:val="006356C4"/>
    <w:rsid w:val="00637FC0"/>
    <w:rsid w:val="00642749"/>
    <w:rsid w:val="006460AE"/>
    <w:rsid w:val="00646A73"/>
    <w:rsid w:val="006501FB"/>
    <w:rsid w:val="0065044E"/>
    <w:rsid w:val="006507E5"/>
    <w:rsid w:val="00652B80"/>
    <w:rsid w:val="00655B0C"/>
    <w:rsid w:val="00656D9F"/>
    <w:rsid w:val="00656DB6"/>
    <w:rsid w:val="00657889"/>
    <w:rsid w:val="00660D91"/>
    <w:rsid w:val="00660DB8"/>
    <w:rsid w:val="0066332E"/>
    <w:rsid w:val="00664339"/>
    <w:rsid w:val="006652C5"/>
    <w:rsid w:val="0066543D"/>
    <w:rsid w:val="00667AD6"/>
    <w:rsid w:val="00667C70"/>
    <w:rsid w:val="00667D96"/>
    <w:rsid w:val="006727D1"/>
    <w:rsid w:val="006727F8"/>
    <w:rsid w:val="00672812"/>
    <w:rsid w:val="006728B4"/>
    <w:rsid w:val="00674919"/>
    <w:rsid w:val="00674C4D"/>
    <w:rsid w:val="00675CCC"/>
    <w:rsid w:val="00676B75"/>
    <w:rsid w:val="00677F76"/>
    <w:rsid w:val="00686DFC"/>
    <w:rsid w:val="0069027D"/>
    <w:rsid w:val="0069285E"/>
    <w:rsid w:val="00694C2A"/>
    <w:rsid w:val="00695318"/>
    <w:rsid w:val="00696E1F"/>
    <w:rsid w:val="006A0B32"/>
    <w:rsid w:val="006A0C40"/>
    <w:rsid w:val="006A18CE"/>
    <w:rsid w:val="006A39D2"/>
    <w:rsid w:val="006A39D3"/>
    <w:rsid w:val="006A4D5F"/>
    <w:rsid w:val="006A562D"/>
    <w:rsid w:val="006A648E"/>
    <w:rsid w:val="006A66DE"/>
    <w:rsid w:val="006A7967"/>
    <w:rsid w:val="006A7E57"/>
    <w:rsid w:val="006B14C9"/>
    <w:rsid w:val="006B2799"/>
    <w:rsid w:val="006B3671"/>
    <w:rsid w:val="006B4624"/>
    <w:rsid w:val="006B5568"/>
    <w:rsid w:val="006B5AED"/>
    <w:rsid w:val="006C2E3C"/>
    <w:rsid w:val="006C2F1E"/>
    <w:rsid w:val="006C3C4F"/>
    <w:rsid w:val="006D048A"/>
    <w:rsid w:val="006D0708"/>
    <w:rsid w:val="006D0D1C"/>
    <w:rsid w:val="006D1765"/>
    <w:rsid w:val="006D17A5"/>
    <w:rsid w:val="006D4343"/>
    <w:rsid w:val="006D4423"/>
    <w:rsid w:val="006D4540"/>
    <w:rsid w:val="006E21E2"/>
    <w:rsid w:val="006E25F7"/>
    <w:rsid w:val="006E3C27"/>
    <w:rsid w:val="006E410B"/>
    <w:rsid w:val="006E5077"/>
    <w:rsid w:val="006E66FC"/>
    <w:rsid w:val="006E6DC7"/>
    <w:rsid w:val="006E715B"/>
    <w:rsid w:val="006F0733"/>
    <w:rsid w:val="006F0967"/>
    <w:rsid w:val="006F4CA9"/>
    <w:rsid w:val="006F4F16"/>
    <w:rsid w:val="006F5C7B"/>
    <w:rsid w:val="006F6790"/>
    <w:rsid w:val="006F687A"/>
    <w:rsid w:val="006F7E2F"/>
    <w:rsid w:val="00701809"/>
    <w:rsid w:val="00703248"/>
    <w:rsid w:val="00707909"/>
    <w:rsid w:val="007149A1"/>
    <w:rsid w:val="00714C05"/>
    <w:rsid w:val="00715C5B"/>
    <w:rsid w:val="00715CAB"/>
    <w:rsid w:val="007174FC"/>
    <w:rsid w:val="007177CF"/>
    <w:rsid w:val="00720607"/>
    <w:rsid w:val="00720C09"/>
    <w:rsid w:val="00720FE0"/>
    <w:rsid w:val="00721072"/>
    <w:rsid w:val="0072219E"/>
    <w:rsid w:val="00724223"/>
    <w:rsid w:val="00725594"/>
    <w:rsid w:val="00727D5A"/>
    <w:rsid w:val="0073075D"/>
    <w:rsid w:val="00731645"/>
    <w:rsid w:val="00731916"/>
    <w:rsid w:val="00732B64"/>
    <w:rsid w:val="00733691"/>
    <w:rsid w:val="00735337"/>
    <w:rsid w:val="00735B72"/>
    <w:rsid w:val="007361B0"/>
    <w:rsid w:val="00736695"/>
    <w:rsid w:val="00740F1A"/>
    <w:rsid w:val="00746CFB"/>
    <w:rsid w:val="00750214"/>
    <w:rsid w:val="00750F76"/>
    <w:rsid w:val="0075154D"/>
    <w:rsid w:val="00751B76"/>
    <w:rsid w:val="00753EF4"/>
    <w:rsid w:val="0075478D"/>
    <w:rsid w:val="00754CC8"/>
    <w:rsid w:val="00757B83"/>
    <w:rsid w:val="00762D82"/>
    <w:rsid w:val="00763244"/>
    <w:rsid w:val="007640C7"/>
    <w:rsid w:val="007653F3"/>
    <w:rsid w:val="00767DAA"/>
    <w:rsid w:val="007703CF"/>
    <w:rsid w:val="00770546"/>
    <w:rsid w:val="00771723"/>
    <w:rsid w:val="0077297C"/>
    <w:rsid w:val="00772E0A"/>
    <w:rsid w:val="007748E0"/>
    <w:rsid w:val="00777C96"/>
    <w:rsid w:val="00777E10"/>
    <w:rsid w:val="007800EB"/>
    <w:rsid w:val="00781208"/>
    <w:rsid w:val="0078191B"/>
    <w:rsid w:val="00781D10"/>
    <w:rsid w:val="007825BC"/>
    <w:rsid w:val="007826AB"/>
    <w:rsid w:val="007845A6"/>
    <w:rsid w:val="00784773"/>
    <w:rsid w:val="00785232"/>
    <w:rsid w:val="007864FD"/>
    <w:rsid w:val="0079065E"/>
    <w:rsid w:val="007910ED"/>
    <w:rsid w:val="007913D9"/>
    <w:rsid w:val="00791F62"/>
    <w:rsid w:val="00794D69"/>
    <w:rsid w:val="007971BE"/>
    <w:rsid w:val="007A00DC"/>
    <w:rsid w:val="007A195E"/>
    <w:rsid w:val="007A2661"/>
    <w:rsid w:val="007A334D"/>
    <w:rsid w:val="007A5E4F"/>
    <w:rsid w:val="007A7963"/>
    <w:rsid w:val="007B0C01"/>
    <w:rsid w:val="007B1F64"/>
    <w:rsid w:val="007B35DB"/>
    <w:rsid w:val="007B5328"/>
    <w:rsid w:val="007B6235"/>
    <w:rsid w:val="007C1708"/>
    <w:rsid w:val="007C2671"/>
    <w:rsid w:val="007C5238"/>
    <w:rsid w:val="007C6A1A"/>
    <w:rsid w:val="007C6E9B"/>
    <w:rsid w:val="007C71CE"/>
    <w:rsid w:val="007D12F9"/>
    <w:rsid w:val="007D38C4"/>
    <w:rsid w:val="007D3AD8"/>
    <w:rsid w:val="007D4556"/>
    <w:rsid w:val="007D4EF1"/>
    <w:rsid w:val="007E2033"/>
    <w:rsid w:val="007E3F00"/>
    <w:rsid w:val="007E4AEC"/>
    <w:rsid w:val="007E71BE"/>
    <w:rsid w:val="007E7CA8"/>
    <w:rsid w:val="007F0C12"/>
    <w:rsid w:val="007F1BA5"/>
    <w:rsid w:val="007F2F4D"/>
    <w:rsid w:val="007F35EA"/>
    <w:rsid w:val="007F57CF"/>
    <w:rsid w:val="0080160D"/>
    <w:rsid w:val="00804A54"/>
    <w:rsid w:val="00804AFD"/>
    <w:rsid w:val="008050A1"/>
    <w:rsid w:val="0080512E"/>
    <w:rsid w:val="00805360"/>
    <w:rsid w:val="00805C31"/>
    <w:rsid w:val="00811309"/>
    <w:rsid w:val="0081627D"/>
    <w:rsid w:val="0081713A"/>
    <w:rsid w:val="00817BAF"/>
    <w:rsid w:val="00820043"/>
    <w:rsid w:val="008233C2"/>
    <w:rsid w:val="00823881"/>
    <w:rsid w:val="0082623D"/>
    <w:rsid w:val="00826FC7"/>
    <w:rsid w:val="00827F77"/>
    <w:rsid w:val="00831B10"/>
    <w:rsid w:val="008320C5"/>
    <w:rsid w:val="00832B91"/>
    <w:rsid w:val="008337C7"/>
    <w:rsid w:val="00833EDB"/>
    <w:rsid w:val="008364DE"/>
    <w:rsid w:val="0083770B"/>
    <w:rsid w:val="00843AF7"/>
    <w:rsid w:val="00844655"/>
    <w:rsid w:val="00844810"/>
    <w:rsid w:val="00844E51"/>
    <w:rsid w:val="0084681C"/>
    <w:rsid w:val="00847264"/>
    <w:rsid w:val="00850014"/>
    <w:rsid w:val="0085120F"/>
    <w:rsid w:val="00851D27"/>
    <w:rsid w:val="00852FBB"/>
    <w:rsid w:val="00856023"/>
    <w:rsid w:val="00856DF9"/>
    <w:rsid w:val="00857EA9"/>
    <w:rsid w:val="008600DA"/>
    <w:rsid w:val="00860D7D"/>
    <w:rsid w:val="00860E8B"/>
    <w:rsid w:val="00861ACA"/>
    <w:rsid w:val="0086764D"/>
    <w:rsid w:val="00870300"/>
    <w:rsid w:val="00870A61"/>
    <w:rsid w:val="00871951"/>
    <w:rsid w:val="00872C35"/>
    <w:rsid w:val="00880749"/>
    <w:rsid w:val="00880925"/>
    <w:rsid w:val="00880C18"/>
    <w:rsid w:val="00883A18"/>
    <w:rsid w:val="0088659E"/>
    <w:rsid w:val="008911F9"/>
    <w:rsid w:val="00891283"/>
    <w:rsid w:val="008917C7"/>
    <w:rsid w:val="00892532"/>
    <w:rsid w:val="008931CF"/>
    <w:rsid w:val="00895770"/>
    <w:rsid w:val="008958B5"/>
    <w:rsid w:val="0089667B"/>
    <w:rsid w:val="008977BC"/>
    <w:rsid w:val="008A19C9"/>
    <w:rsid w:val="008A45A4"/>
    <w:rsid w:val="008A627C"/>
    <w:rsid w:val="008A662E"/>
    <w:rsid w:val="008A6B03"/>
    <w:rsid w:val="008A728A"/>
    <w:rsid w:val="008B0104"/>
    <w:rsid w:val="008B0DAA"/>
    <w:rsid w:val="008B1A36"/>
    <w:rsid w:val="008B2854"/>
    <w:rsid w:val="008B3876"/>
    <w:rsid w:val="008B3C72"/>
    <w:rsid w:val="008B46FC"/>
    <w:rsid w:val="008B4B41"/>
    <w:rsid w:val="008B4CFA"/>
    <w:rsid w:val="008B5B1D"/>
    <w:rsid w:val="008B6991"/>
    <w:rsid w:val="008C028D"/>
    <w:rsid w:val="008C1056"/>
    <w:rsid w:val="008C2077"/>
    <w:rsid w:val="008C4457"/>
    <w:rsid w:val="008C4463"/>
    <w:rsid w:val="008C5362"/>
    <w:rsid w:val="008C57FB"/>
    <w:rsid w:val="008C7485"/>
    <w:rsid w:val="008D16C8"/>
    <w:rsid w:val="008D1C78"/>
    <w:rsid w:val="008D1D08"/>
    <w:rsid w:val="008D312C"/>
    <w:rsid w:val="008D531F"/>
    <w:rsid w:val="008D5718"/>
    <w:rsid w:val="008D6235"/>
    <w:rsid w:val="008D794A"/>
    <w:rsid w:val="008E1499"/>
    <w:rsid w:val="008E3E8C"/>
    <w:rsid w:val="008E5A34"/>
    <w:rsid w:val="008F049B"/>
    <w:rsid w:val="008F0F9D"/>
    <w:rsid w:val="008F2F5C"/>
    <w:rsid w:val="008F3FB7"/>
    <w:rsid w:val="008F4C50"/>
    <w:rsid w:val="008F6268"/>
    <w:rsid w:val="009004A3"/>
    <w:rsid w:val="00902642"/>
    <w:rsid w:val="0090268C"/>
    <w:rsid w:val="009035E3"/>
    <w:rsid w:val="0090492A"/>
    <w:rsid w:val="00907B56"/>
    <w:rsid w:val="00907F05"/>
    <w:rsid w:val="00910A0D"/>
    <w:rsid w:val="00913120"/>
    <w:rsid w:val="0091461F"/>
    <w:rsid w:val="00920858"/>
    <w:rsid w:val="00921068"/>
    <w:rsid w:val="009213E1"/>
    <w:rsid w:val="0092387B"/>
    <w:rsid w:val="00925BD9"/>
    <w:rsid w:val="00936344"/>
    <w:rsid w:val="00936B90"/>
    <w:rsid w:val="00937789"/>
    <w:rsid w:val="009418DB"/>
    <w:rsid w:val="0094352D"/>
    <w:rsid w:val="009438E2"/>
    <w:rsid w:val="00943D04"/>
    <w:rsid w:val="009464FC"/>
    <w:rsid w:val="00946621"/>
    <w:rsid w:val="009471FB"/>
    <w:rsid w:val="0095116E"/>
    <w:rsid w:val="00952A1A"/>
    <w:rsid w:val="00953886"/>
    <w:rsid w:val="0095506C"/>
    <w:rsid w:val="00955EC3"/>
    <w:rsid w:val="009620E3"/>
    <w:rsid w:val="00963FAA"/>
    <w:rsid w:val="00965804"/>
    <w:rsid w:val="009659DF"/>
    <w:rsid w:val="00965C3E"/>
    <w:rsid w:val="00966537"/>
    <w:rsid w:val="009667B0"/>
    <w:rsid w:val="009667F0"/>
    <w:rsid w:val="00967AE1"/>
    <w:rsid w:val="009709BC"/>
    <w:rsid w:val="00971BDD"/>
    <w:rsid w:val="00972F5A"/>
    <w:rsid w:val="009738A0"/>
    <w:rsid w:val="00973B4A"/>
    <w:rsid w:val="00975A03"/>
    <w:rsid w:val="00976E2E"/>
    <w:rsid w:val="00982761"/>
    <w:rsid w:val="00982CAE"/>
    <w:rsid w:val="009867FE"/>
    <w:rsid w:val="00991582"/>
    <w:rsid w:val="00992045"/>
    <w:rsid w:val="00992786"/>
    <w:rsid w:val="00992E67"/>
    <w:rsid w:val="00993E0B"/>
    <w:rsid w:val="009942D1"/>
    <w:rsid w:val="00995280"/>
    <w:rsid w:val="0099608A"/>
    <w:rsid w:val="009960FD"/>
    <w:rsid w:val="0099631A"/>
    <w:rsid w:val="0099740A"/>
    <w:rsid w:val="009A0C5D"/>
    <w:rsid w:val="009A15E1"/>
    <w:rsid w:val="009A2E19"/>
    <w:rsid w:val="009A5A72"/>
    <w:rsid w:val="009A5B93"/>
    <w:rsid w:val="009A67FD"/>
    <w:rsid w:val="009B3BFF"/>
    <w:rsid w:val="009B3C35"/>
    <w:rsid w:val="009B52FB"/>
    <w:rsid w:val="009B5348"/>
    <w:rsid w:val="009B54D7"/>
    <w:rsid w:val="009B57DB"/>
    <w:rsid w:val="009B71E5"/>
    <w:rsid w:val="009C1A54"/>
    <w:rsid w:val="009C2498"/>
    <w:rsid w:val="009C2669"/>
    <w:rsid w:val="009C6B91"/>
    <w:rsid w:val="009C7703"/>
    <w:rsid w:val="009D2F92"/>
    <w:rsid w:val="009D33C4"/>
    <w:rsid w:val="009D385B"/>
    <w:rsid w:val="009D41D9"/>
    <w:rsid w:val="009D685F"/>
    <w:rsid w:val="009E00FF"/>
    <w:rsid w:val="009E2E4A"/>
    <w:rsid w:val="009E3780"/>
    <w:rsid w:val="009E68A2"/>
    <w:rsid w:val="009F06FA"/>
    <w:rsid w:val="009F13D7"/>
    <w:rsid w:val="009F264E"/>
    <w:rsid w:val="009F3168"/>
    <w:rsid w:val="009F3866"/>
    <w:rsid w:val="00A00F56"/>
    <w:rsid w:val="00A0249E"/>
    <w:rsid w:val="00A067FA"/>
    <w:rsid w:val="00A06E1C"/>
    <w:rsid w:val="00A11EDE"/>
    <w:rsid w:val="00A124AF"/>
    <w:rsid w:val="00A13E8F"/>
    <w:rsid w:val="00A140AF"/>
    <w:rsid w:val="00A20863"/>
    <w:rsid w:val="00A22BB5"/>
    <w:rsid w:val="00A25235"/>
    <w:rsid w:val="00A25C29"/>
    <w:rsid w:val="00A269AB"/>
    <w:rsid w:val="00A3265C"/>
    <w:rsid w:val="00A32AB2"/>
    <w:rsid w:val="00A36A51"/>
    <w:rsid w:val="00A37C42"/>
    <w:rsid w:val="00A40624"/>
    <w:rsid w:val="00A40D3A"/>
    <w:rsid w:val="00A41E9D"/>
    <w:rsid w:val="00A4251D"/>
    <w:rsid w:val="00A4502A"/>
    <w:rsid w:val="00A46093"/>
    <w:rsid w:val="00A47859"/>
    <w:rsid w:val="00A47F2B"/>
    <w:rsid w:val="00A52AB3"/>
    <w:rsid w:val="00A541E3"/>
    <w:rsid w:val="00A54CB5"/>
    <w:rsid w:val="00A56248"/>
    <w:rsid w:val="00A568EB"/>
    <w:rsid w:val="00A57178"/>
    <w:rsid w:val="00A60998"/>
    <w:rsid w:val="00A62DC1"/>
    <w:rsid w:val="00A63A11"/>
    <w:rsid w:val="00A64499"/>
    <w:rsid w:val="00A666FC"/>
    <w:rsid w:val="00A66EF4"/>
    <w:rsid w:val="00A67283"/>
    <w:rsid w:val="00A70330"/>
    <w:rsid w:val="00A705C3"/>
    <w:rsid w:val="00A71E7E"/>
    <w:rsid w:val="00A73BBC"/>
    <w:rsid w:val="00A753F4"/>
    <w:rsid w:val="00A75718"/>
    <w:rsid w:val="00A766F8"/>
    <w:rsid w:val="00A772D2"/>
    <w:rsid w:val="00A77641"/>
    <w:rsid w:val="00A80F21"/>
    <w:rsid w:val="00A814B7"/>
    <w:rsid w:val="00A83C67"/>
    <w:rsid w:val="00A83FE2"/>
    <w:rsid w:val="00A84952"/>
    <w:rsid w:val="00A8585C"/>
    <w:rsid w:val="00A9096B"/>
    <w:rsid w:val="00A9243C"/>
    <w:rsid w:val="00A94297"/>
    <w:rsid w:val="00A95A01"/>
    <w:rsid w:val="00A95B49"/>
    <w:rsid w:val="00A96CCB"/>
    <w:rsid w:val="00A97807"/>
    <w:rsid w:val="00AA0240"/>
    <w:rsid w:val="00AA3811"/>
    <w:rsid w:val="00AA7020"/>
    <w:rsid w:val="00AB2767"/>
    <w:rsid w:val="00AB2E19"/>
    <w:rsid w:val="00AB41B8"/>
    <w:rsid w:val="00AB4579"/>
    <w:rsid w:val="00AB4F41"/>
    <w:rsid w:val="00AB58B1"/>
    <w:rsid w:val="00AB63DE"/>
    <w:rsid w:val="00AC1083"/>
    <w:rsid w:val="00AC22BB"/>
    <w:rsid w:val="00AC238F"/>
    <w:rsid w:val="00AC2FAF"/>
    <w:rsid w:val="00AC37B4"/>
    <w:rsid w:val="00AC45B2"/>
    <w:rsid w:val="00AC743D"/>
    <w:rsid w:val="00AC74F4"/>
    <w:rsid w:val="00AD038A"/>
    <w:rsid w:val="00AD087E"/>
    <w:rsid w:val="00AD2484"/>
    <w:rsid w:val="00AD26C4"/>
    <w:rsid w:val="00AD458C"/>
    <w:rsid w:val="00AD5403"/>
    <w:rsid w:val="00AD644C"/>
    <w:rsid w:val="00AD742C"/>
    <w:rsid w:val="00AD7591"/>
    <w:rsid w:val="00AD778E"/>
    <w:rsid w:val="00AD780C"/>
    <w:rsid w:val="00AD7FBC"/>
    <w:rsid w:val="00AE080E"/>
    <w:rsid w:val="00AE0B4A"/>
    <w:rsid w:val="00AE1718"/>
    <w:rsid w:val="00AE343D"/>
    <w:rsid w:val="00AE3586"/>
    <w:rsid w:val="00AE6881"/>
    <w:rsid w:val="00AE761D"/>
    <w:rsid w:val="00AF1697"/>
    <w:rsid w:val="00AF221A"/>
    <w:rsid w:val="00AF22E1"/>
    <w:rsid w:val="00AF2805"/>
    <w:rsid w:val="00AF2F46"/>
    <w:rsid w:val="00AF328F"/>
    <w:rsid w:val="00AF3E86"/>
    <w:rsid w:val="00AF5912"/>
    <w:rsid w:val="00AF5BA8"/>
    <w:rsid w:val="00B01C5D"/>
    <w:rsid w:val="00B01D01"/>
    <w:rsid w:val="00B0387B"/>
    <w:rsid w:val="00B04247"/>
    <w:rsid w:val="00B04E2F"/>
    <w:rsid w:val="00B05EAA"/>
    <w:rsid w:val="00B074AD"/>
    <w:rsid w:val="00B07AD9"/>
    <w:rsid w:val="00B07D8A"/>
    <w:rsid w:val="00B117C8"/>
    <w:rsid w:val="00B12789"/>
    <w:rsid w:val="00B12CCE"/>
    <w:rsid w:val="00B141FB"/>
    <w:rsid w:val="00B155A9"/>
    <w:rsid w:val="00B1566C"/>
    <w:rsid w:val="00B15F2B"/>
    <w:rsid w:val="00B164AF"/>
    <w:rsid w:val="00B237AC"/>
    <w:rsid w:val="00B24F76"/>
    <w:rsid w:val="00B26AF5"/>
    <w:rsid w:val="00B31431"/>
    <w:rsid w:val="00B326BB"/>
    <w:rsid w:val="00B33FB1"/>
    <w:rsid w:val="00B37CB4"/>
    <w:rsid w:val="00B432B3"/>
    <w:rsid w:val="00B43F6E"/>
    <w:rsid w:val="00B45B5F"/>
    <w:rsid w:val="00B47D0E"/>
    <w:rsid w:val="00B50260"/>
    <w:rsid w:val="00B5129B"/>
    <w:rsid w:val="00B51400"/>
    <w:rsid w:val="00B517E0"/>
    <w:rsid w:val="00B550FB"/>
    <w:rsid w:val="00B560EC"/>
    <w:rsid w:val="00B568B2"/>
    <w:rsid w:val="00B56FA0"/>
    <w:rsid w:val="00B57C33"/>
    <w:rsid w:val="00B60003"/>
    <w:rsid w:val="00B6080C"/>
    <w:rsid w:val="00B609B3"/>
    <w:rsid w:val="00B61925"/>
    <w:rsid w:val="00B62113"/>
    <w:rsid w:val="00B62906"/>
    <w:rsid w:val="00B62C86"/>
    <w:rsid w:val="00B63FB0"/>
    <w:rsid w:val="00B6486D"/>
    <w:rsid w:val="00B64AED"/>
    <w:rsid w:val="00B67F25"/>
    <w:rsid w:val="00B70240"/>
    <w:rsid w:val="00B705A8"/>
    <w:rsid w:val="00B7152D"/>
    <w:rsid w:val="00B71614"/>
    <w:rsid w:val="00B73306"/>
    <w:rsid w:val="00B754FA"/>
    <w:rsid w:val="00B7707D"/>
    <w:rsid w:val="00B83A1F"/>
    <w:rsid w:val="00B87843"/>
    <w:rsid w:val="00B90835"/>
    <w:rsid w:val="00B9097E"/>
    <w:rsid w:val="00B915E2"/>
    <w:rsid w:val="00B91BD5"/>
    <w:rsid w:val="00B93ECF"/>
    <w:rsid w:val="00B95189"/>
    <w:rsid w:val="00BA0C37"/>
    <w:rsid w:val="00BA3E6A"/>
    <w:rsid w:val="00BA472E"/>
    <w:rsid w:val="00BA51A7"/>
    <w:rsid w:val="00BA5700"/>
    <w:rsid w:val="00BA697A"/>
    <w:rsid w:val="00BB1C12"/>
    <w:rsid w:val="00BB259A"/>
    <w:rsid w:val="00BB25D6"/>
    <w:rsid w:val="00BB4AE9"/>
    <w:rsid w:val="00BB637D"/>
    <w:rsid w:val="00BB6AC4"/>
    <w:rsid w:val="00BB71DD"/>
    <w:rsid w:val="00BC0952"/>
    <w:rsid w:val="00BC0EEE"/>
    <w:rsid w:val="00BC20D7"/>
    <w:rsid w:val="00BC32F9"/>
    <w:rsid w:val="00BC3DCD"/>
    <w:rsid w:val="00BC44A9"/>
    <w:rsid w:val="00BC5001"/>
    <w:rsid w:val="00BD0E7F"/>
    <w:rsid w:val="00BD4FDE"/>
    <w:rsid w:val="00BD5220"/>
    <w:rsid w:val="00BE23D0"/>
    <w:rsid w:val="00BE7257"/>
    <w:rsid w:val="00BF0570"/>
    <w:rsid w:val="00BF149B"/>
    <w:rsid w:val="00BF1ADB"/>
    <w:rsid w:val="00BF1B10"/>
    <w:rsid w:val="00BF1B40"/>
    <w:rsid w:val="00BF1D1D"/>
    <w:rsid w:val="00BF2ED0"/>
    <w:rsid w:val="00BF42D2"/>
    <w:rsid w:val="00BF72C5"/>
    <w:rsid w:val="00C005EF"/>
    <w:rsid w:val="00C008E3"/>
    <w:rsid w:val="00C06588"/>
    <w:rsid w:val="00C067D0"/>
    <w:rsid w:val="00C077A5"/>
    <w:rsid w:val="00C100B1"/>
    <w:rsid w:val="00C10C7D"/>
    <w:rsid w:val="00C11F74"/>
    <w:rsid w:val="00C12708"/>
    <w:rsid w:val="00C12895"/>
    <w:rsid w:val="00C133B7"/>
    <w:rsid w:val="00C13B8F"/>
    <w:rsid w:val="00C15113"/>
    <w:rsid w:val="00C1693B"/>
    <w:rsid w:val="00C211EC"/>
    <w:rsid w:val="00C21A3D"/>
    <w:rsid w:val="00C21F9D"/>
    <w:rsid w:val="00C255F1"/>
    <w:rsid w:val="00C268C4"/>
    <w:rsid w:val="00C26C15"/>
    <w:rsid w:val="00C270AF"/>
    <w:rsid w:val="00C273D4"/>
    <w:rsid w:val="00C278BD"/>
    <w:rsid w:val="00C27AF7"/>
    <w:rsid w:val="00C317EB"/>
    <w:rsid w:val="00C322EA"/>
    <w:rsid w:val="00C348DE"/>
    <w:rsid w:val="00C35118"/>
    <w:rsid w:val="00C36E7C"/>
    <w:rsid w:val="00C3783D"/>
    <w:rsid w:val="00C40009"/>
    <w:rsid w:val="00C43431"/>
    <w:rsid w:val="00C4551D"/>
    <w:rsid w:val="00C47E98"/>
    <w:rsid w:val="00C50087"/>
    <w:rsid w:val="00C50F25"/>
    <w:rsid w:val="00C545CE"/>
    <w:rsid w:val="00C55DA1"/>
    <w:rsid w:val="00C56670"/>
    <w:rsid w:val="00C57636"/>
    <w:rsid w:val="00C577CD"/>
    <w:rsid w:val="00C57A01"/>
    <w:rsid w:val="00C57F35"/>
    <w:rsid w:val="00C61BAE"/>
    <w:rsid w:val="00C62516"/>
    <w:rsid w:val="00C634D5"/>
    <w:rsid w:val="00C634EB"/>
    <w:rsid w:val="00C64491"/>
    <w:rsid w:val="00C64DA5"/>
    <w:rsid w:val="00C661EF"/>
    <w:rsid w:val="00C704BE"/>
    <w:rsid w:val="00C70554"/>
    <w:rsid w:val="00C70FB2"/>
    <w:rsid w:val="00C71775"/>
    <w:rsid w:val="00C71DA3"/>
    <w:rsid w:val="00C74C75"/>
    <w:rsid w:val="00C750DB"/>
    <w:rsid w:val="00C7610B"/>
    <w:rsid w:val="00C81FC7"/>
    <w:rsid w:val="00C821A3"/>
    <w:rsid w:val="00C82592"/>
    <w:rsid w:val="00C82894"/>
    <w:rsid w:val="00C84135"/>
    <w:rsid w:val="00C86693"/>
    <w:rsid w:val="00C869F4"/>
    <w:rsid w:val="00C874A8"/>
    <w:rsid w:val="00C87EAE"/>
    <w:rsid w:val="00C87EB6"/>
    <w:rsid w:val="00C951E1"/>
    <w:rsid w:val="00C959AE"/>
    <w:rsid w:val="00C95BB3"/>
    <w:rsid w:val="00C95F08"/>
    <w:rsid w:val="00C961E2"/>
    <w:rsid w:val="00C96A90"/>
    <w:rsid w:val="00C9745D"/>
    <w:rsid w:val="00CA0B40"/>
    <w:rsid w:val="00CA1BFB"/>
    <w:rsid w:val="00CA2C67"/>
    <w:rsid w:val="00CA5AB0"/>
    <w:rsid w:val="00CA5D68"/>
    <w:rsid w:val="00CA7F9D"/>
    <w:rsid w:val="00CB1AD5"/>
    <w:rsid w:val="00CB1B9E"/>
    <w:rsid w:val="00CB32F9"/>
    <w:rsid w:val="00CB3EAF"/>
    <w:rsid w:val="00CB40D2"/>
    <w:rsid w:val="00CB4E02"/>
    <w:rsid w:val="00CC235C"/>
    <w:rsid w:val="00CC279B"/>
    <w:rsid w:val="00CC6ADE"/>
    <w:rsid w:val="00CC6C39"/>
    <w:rsid w:val="00CC73A5"/>
    <w:rsid w:val="00CC79DD"/>
    <w:rsid w:val="00CD29E8"/>
    <w:rsid w:val="00CD2EC4"/>
    <w:rsid w:val="00CD3390"/>
    <w:rsid w:val="00CD3666"/>
    <w:rsid w:val="00CD3FCC"/>
    <w:rsid w:val="00CD441A"/>
    <w:rsid w:val="00CD4B2A"/>
    <w:rsid w:val="00CD5D9F"/>
    <w:rsid w:val="00CD5F9E"/>
    <w:rsid w:val="00CD78BA"/>
    <w:rsid w:val="00CE038A"/>
    <w:rsid w:val="00CE0941"/>
    <w:rsid w:val="00CE0A67"/>
    <w:rsid w:val="00CE1134"/>
    <w:rsid w:val="00CE19EB"/>
    <w:rsid w:val="00CE1E50"/>
    <w:rsid w:val="00CE23E3"/>
    <w:rsid w:val="00CE2FF3"/>
    <w:rsid w:val="00CE346D"/>
    <w:rsid w:val="00CE3E92"/>
    <w:rsid w:val="00CE41D3"/>
    <w:rsid w:val="00CE4CC8"/>
    <w:rsid w:val="00CE4D65"/>
    <w:rsid w:val="00CE52D9"/>
    <w:rsid w:val="00CE5743"/>
    <w:rsid w:val="00CE5EEB"/>
    <w:rsid w:val="00CE66DD"/>
    <w:rsid w:val="00CF0734"/>
    <w:rsid w:val="00CF0C0C"/>
    <w:rsid w:val="00CF1E07"/>
    <w:rsid w:val="00CF27FC"/>
    <w:rsid w:val="00CF2BD0"/>
    <w:rsid w:val="00CF2EC9"/>
    <w:rsid w:val="00CF60ED"/>
    <w:rsid w:val="00D028EF"/>
    <w:rsid w:val="00D03B70"/>
    <w:rsid w:val="00D04752"/>
    <w:rsid w:val="00D0709E"/>
    <w:rsid w:val="00D07B25"/>
    <w:rsid w:val="00D11F44"/>
    <w:rsid w:val="00D12E95"/>
    <w:rsid w:val="00D147C0"/>
    <w:rsid w:val="00D14EA8"/>
    <w:rsid w:val="00D154B0"/>
    <w:rsid w:val="00D15808"/>
    <w:rsid w:val="00D16501"/>
    <w:rsid w:val="00D17C48"/>
    <w:rsid w:val="00D23264"/>
    <w:rsid w:val="00D23FFF"/>
    <w:rsid w:val="00D256FE"/>
    <w:rsid w:val="00D25F84"/>
    <w:rsid w:val="00D26DAC"/>
    <w:rsid w:val="00D26ECD"/>
    <w:rsid w:val="00D26F61"/>
    <w:rsid w:val="00D27583"/>
    <w:rsid w:val="00D27BB4"/>
    <w:rsid w:val="00D30922"/>
    <w:rsid w:val="00D32052"/>
    <w:rsid w:val="00D327A4"/>
    <w:rsid w:val="00D32FBA"/>
    <w:rsid w:val="00D3403C"/>
    <w:rsid w:val="00D34A05"/>
    <w:rsid w:val="00D34A3A"/>
    <w:rsid w:val="00D366B4"/>
    <w:rsid w:val="00D37098"/>
    <w:rsid w:val="00D374D8"/>
    <w:rsid w:val="00D4161C"/>
    <w:rsid w:val="00D42100"/>
    <w:rsid w:val="00D46DA9"/>
    <w:rsid w:val="00D47B58"/>
    <w:rsid w:val="00D50622"/>
    <w:rsid w:val="00D529AD"/>
    <w:rsid w:val="00D52C21"/>
    <w:rsid w:val="00D53CE7"/>
    <w:rsid w:val="00D54899"/>
    <w:rsid w:val="00D55F8B"/>
    <w:rsid w:val="00D56A1D"/>
    <w:rsid w:val="00D60F57"/>
    <w:rsid w:val="00D60FE6"/>
    <w:rsid w:val="00D62F83"/>
    <w:rsid w:val="00D62F87"/>
    <w:rsid w:val="00D6328C"/>
    <w:rsid w:val="00D63327"/>
    <w:rsid w:val="00D64DCC"/>
    <w:rsid w:val="00D65BB7"/>
    <w:rsid w:val="00D6619B"/>
    <w:rsid w:val="00D71242"/>
    <w:rsid w:val="00D723DA"/>
    <w:rsid w:val="00D724A0"/>
    <w:rsid w:val="00D72519"/>
    <w:rsid w:val="00D72A2E"/>
    <w:rsid w:val="00D731F9"/>
    <w:rsid w:val="00D74A08"/>
    <w:rsid w:val="00D76692"/>
    <w:rsid w:val="00D770B1"/>
    <w:rsid w:val="00D80B0A"/>
    <w:rsid w:val="00D810B0"/>
    <w:rsid w:val="00D81CA7"/>
    <w:rsid w:val="00D81DBC"/>
    <w:rsid w:val="00D82287"/>
    <w:rsid w:val="00D83B69"/>
    <w:rsid w:val="00D83F2B"/>
    <w:rsid w:val="00D84536"/>
    <w:rsid w:val="00D84CB5"/>
    <w:rsid w:val="00D8536E"/>
    <w:rsid w:val="00D86695"/>
    <w:rsid w:val="00D8723D"/>
    <w:rsid w:val="00D90B8B"/>
    <w:rsid w:val="00D970C2"/>
    <w:rsid w:val="00DA3928"/>
    <w:rsid w:val="00DA6002"/>
    <w:rsid w:val="00DB0661"/>
    <w:rsid w:val="00DB1A8B"/>
    <w:rsid w:val="00DB22AE"/>
    <w:rsid w:val="00DB24EA"/>
    <w:rsid w:val="00DB26F7"/>
    <w:rsid w:val="00DB53EF"/>
    <w:rsid w:val="00DB55C0"/>
    <w:rsid w:val="00DB6B0F"/>
    <w:rsid w:val="00DB7671"/>
    <w:rsid w:val="00DC2DD1"/>
    <w:rsid w:val="00DC2F31"/>
    <w:rsid w:val="00DC32BE"/>
    <w:rsid w:val="00DC347D"/>
    <w:rsid w:val="00DC3ACE"/>
    <w:rsid w:val="00DC3C73"/>
    <w:rsid w:val="00DC3F0A"/>
    <w:rsid w:val="00DC501D"/>
    <w:rsid w:val="00DC6307"/>
    <w:rsid w:val="00DC74DD"/>
    <w:rsid w:val="00DD125B"/>
    <w:rsid w:val="00DD3369"/>
    <w:rsid w:val="00DD54DF"/>
    <w:rsid w:val="00DD628C"/>
    <w:rsid w:val="00DD675A"/>
    <w:rsid w:val="00DD68EA"/>
    <w:rsid w:val="00DD7D99"/>
    <w:rsid w:val="00DE2A48"/>
    <w:rsid w:val="00DE363D"/>
    <w:rsid w:val="00DE377A"/>
    <w:rsid w:val="00DE3DF0"/>
    <w:rsid w:val="00DE53E5"/>
    <w:rsid w:val="00DE5AD8"/>
    <w:rsid w:val="00DE5D6F"/>
    <w:rsid w:val="00DE6172"/>
    <w:rsid w:val="00DF15B3"/>
    <w:rsid w:val="00DF25A9"/>
    <w:rsid w:val="00E00977"/>
    <w:rsid w:val="00E00CD2"/>
    <w:rsid w:val="00E02B39"/>
    <w:rsid w:val="00E06CB9"/>
    <w:rsid w:val="00E1126A"/>
    <w:rsid w:val="00E11304"/>
    <w:rsid w:val="00E137D0"/>
    <w:rsid w:val="00E14046"/>
    <w:rsid w:val="00E14715"/>
    <w:rsid w:val="00E1750E"/>
    <w:rsid w:val="00E23111"/>
    <w:rsid w:val="00E23D05"/>
    <w:rsid w:val="00E26826"/>
    <w:rsid w:val="00E27D6D"/>
    <w:rsid w:val="00E31CBC"/>
    <w:rsid w:val="00E323A5"/>
    <w:rsid w:val="00E33507"/>
    <w:rsid w:val="00E33FF4"/>
    <w:rsid w:val="00E35770"/>
    <w:rsid w:val="00E3577F"/>
    <w:rsid w:val="00E3634A"/>
    <w:rsid w:val="00E36407"/>
    <w:rsid w:val="00E36B10"/>
    <w:rsid w:val="00E41FE2"/>
    <w:rsid w:val="00E44D7B"/>
    <w:rsid w:val="00E4515D"/>
    <w:rsid w:val="00E452AD"/>
    <w:rsid w:val="00E4663C"/>
    <w:rsid w:val="00E51C4E"/>
    <w:rsid w:val="00E5404F"/>
    <w:rsid w:val="00E5405B"/>
    <w:rsid w:val="00E545F0"/>
    <w:rsid w:val="00E5460C"/>
    <w:rsid w:val="00E5467D"/>
    <w:rsid w:val="00E546C4"/>
    <w:rsid w:val="00E55DC0"/>
    <w:rsid w:val="00E57266"/>
    <w:rsid w:val="00E572EF"/>
    <w:rsid w:val="00E57496"/>
    <w:rsid w:val="00E57CFA"/>
    <w:rsid w:val="00E60CAE"/>
    <w:rsid w:val="00E614AF"/>
    <w:rsid w:val="00E6187B"/>
    <w:rsid w:val="00E61E62"/>
    <w:rsid w:val="00E62397"/>
    <w:rsid w:val="00E63C6F"/>
    <w:rsid w:val="00E6549E"/>
    <w:rsid w:val="00E66FB0"/>
    <w:rsid w:val="00E70FBB"/>
    <w:rsid w:val="00E711E8"/>
    <w:rsid w:val="00E71516"/>
    <w:rsid w:val="00E71524"/>
    <w:rsid w:val="00E71691"/>
    <w:rsid w:val="00E731CF"/>
    <w:rsid w:val="00E75071"/>
    <w:rsid w:val="00E760B4"/>
    <w:rsid w:val="00E763F8"/>
    <w:rsid w:val="00E76CF8"/>
    <w:rsid w:val="00E807D1"/>
    <w:rsid w:val="00E80B6B"/>
    <w:rsid w:val="00E8152B"/>
    <w:rsid w:val="00E81BB3"/>
    <w:rsid w:val="00E83594"/>
    <w:rsid w:val="00E837D8"/>
    <w:rsid w:val="00E842D6"/>
    <w:rsid w:val="00E869D9"/>
    <w:rsid w:val="00E87661"/>
    <w:rsid w:val="00E91BCE"/>
    <w:rsid w:val="00E930A8"/>
    <w:rsid w:val="00E9467F"/>
    <w:rsid w:val="00E94D91"/>
    <w:rsid w:val="00E96F50"/>
    <w:rsid w:val="00EA20AD"/>
    <w:rsid w:val="00EA242F"/>
    <w:rsid w:val="00EA27A3"/>
    <w:rsid w:val="00EA31C1"/>
    <w:rsid w:val="00EA7BD8"/>
    <w:rsid w:val="00EA7D96"/>
    <w:rsid w:val="00EB0768"/>
    <w:rsid w:val="00EB11F5"/>
    <w:rsid w:val="00EB1BBB"/>
    <w:rsid w:val="00EB564C"/>
    <w:rsid w:val="00EB790F"/>
    <w:rsid w:val="00EB7DBD"/>
    <w:rsid w:val="00EC0192"/>
    <w:rsid w:val="00EC0F2E"/>
    <w:rsid w:val="00EC15E0"/>
    <w:rsid w:val="00EC2202"/>
    <w:rsid w:val="00EC2B0F"/>
    <w:rsid w:val="00EC45CF"/>
    <w:rsid w:val="00EC4EEE"/>
    <w:rsid w:val="00EC7096"/>
    <w:rsid w:val="00EC7736"/>
    <w:rsid w:val="00EC7803"/>
    <w:rsid w:val="00ED0008"/>
    <w:rsid w:val="00ED1479"/>
    <w:rsid w:val="00ED2067"/>
    <w:rsid w:val="00ED2DD0"/>
    <w:rsid w:val="00ED37D9"/>
    <w:rsid w:val="00ED4F25"/>
    <w:rsid w:val="00EE150F"/>
    <w:rsid w:val="00EE226C"/>
    <w:rsid w:val="00EE5831"/>
    <w:rsid w:val="00EE7B3F"/>
    <w:rsid w:val="00EE7CBE"/>
    <w:rsid w:val="00EF05C0"/>
    <w:rsid w:val="00EF23F7"/>
    <w:rsid w:val="00EF2B48"/>
    <w:rsid w:val="00EF316E"/>
    <w:rsid w:val="00EF3CB3"/>
    <w:rsid w:val="00EF6EAC"/>
    <w:rsid w:val="00EF7984"/>
    <w:rsid w:val="00F005A8"/>
    <w:rsid w:val="00F0285E"/>
    <w:rsid w:val="00F028AC"/>
    <w:rsid w:val="00F028F0"/>
    <w:rsid w:val="00F035F5"/>
    <w:rsid w:val="00F04444"/>
    <w:rsid w:val="00F0568A"/>
    <w:rsid w:val="00F056E6"/>
    <w:rsid w:val="00F05785"/>
    <w:rsid w:val="00F06A7E"/>
    <w:rsid w:val="00F1147D"/>
    <w:rsid w:val="00F11522"/>
    <w:rsid w:val="00F12835"/>
    <w:rsid w:val="00F1319F"/>
    <w:rsid w:val="00F1359D"/>
    <w:rsid w:val="00F136FD"/>
    <w:rsid w:val="00F149E0"/>
    <w:rsid w:val="00F15C23"/>
    <w:rsid w:val="00F1637D"/>
    <w:rsid w:val="00F16A10"/>
    <w:rsid w:val="00F2030E"/>
    <w:rsid w:val="00F210BE"/>
    <w:rsid w:val="00F244DB"/>
    <w:rsid w:val="00F2493D"/>
    <w:rsid w:val="00F27451"/>
    <w:rsid w:val="00F2750C"/>
    <w:rsid w:val="00F30B77"/>
    <w:rsid w:val="00F30CE8"/>
    <w:rsid w:val="00F31E88"/>
    <w:rsid w:val="00F33532"/>
    <w:rsid w:val="00F349B9"/>
    <w:rsid w:val="00F36833"/>
    <w:rsid w:val="00F3762E"/>
    <w:rsid w:val="00F40311"/>
    <w:rsid w:val="00F42198"/>
    <w:rsid w:val="00F4313E"/>
    <w:rsid w:val="00F45468"/>
    <w:rsid w:val="00F458E9"/>
    <w:rsid w:val="00F45A7D"/>
    <w:rsid w:val="00F50850"/>
    <w:rsid w:val="00F50B3C"/>
    <w:rsid w:val="00F5151D"/>
    <w:rsid w:val="00F51B36"/>
    <w:rsid w:val="00F51B85"/>
    <w:rsid w:val="00F5537E"/>
    <w:rsid w:val="00F5538C"/>
    <w:rsid w:val="00F56008"/>
    <w:rsid w:val="00F61806"/>
    <w:rsid w:val="00F61E8B"/>
    <w:rsid w:val="00F64C5B"/>
    <w:rsid w:val="00F653FC"/>
    <w:rsid w:val="00F665A6"/>
    <w:rsid w:val="00F6771F"/>
    <w:rsid w:val="00F67C4C"/>
    <w:rsid w:val="00F67D2B"/>
    <w:rsid w:val="00F67D8C"/>
    <w:rsid w:val="00F7220A"/>
    <w:rsid w:val="00F72A58"/>
    <w:rsid w:val="00F72DAA"/>
    <w:rsid w:val="00F731A9"/>
    <w:rsid w:val="00F75123"/>
    <w:rsid w:val="00F7763A"/>
    <w:rsid w:val="00F77B3C"/>
    <w:rsid w:val="00F80712"/>
    <w:rsid w:val="00F81F39"/>
    <w:rsid w:val="00F82782"/>
    <w:rsid w:val="00F83784"/>
    <w:rsid w:val="00F856C1"/>
    <w:rsid w:val="00F85B59"/>
    <w:rsid w:val="00F85FAD"/>
    <w:rsid w:val="00F90453"/>
    <w:rsid w:val="00F91A6F"/>
    <w:rsid w:val="00F91EB5"/>
    <w:rsid w:val="00F929C6"/>
    <w:rsid w:val="00F95DF1"/>
    <w:rsid w:val="00F95F2A"/>
    <w:rsid w:val="00F9789A"/>
    <w:rsid w:val="00F979AB"/>
    <w:rsid w:val="00FA1779"/>
    <w:rsid w:val="00FA22AC"/>
    <w:rsid w:val="00FA234E"/>
    <w:rsid w:val="00FA2775"/>
    <w:rsid w:val="00FA27EE"/>
    <w:rsid w:val="00FA2DBA"/>
    <w:rsid w:val="00FA387A"/>
    <w:rsid w:val="00FA4DBB"/>
    <w:rsid w:val="00FA4E48"/>
    <w:rsid w:val="00FA5448"/>
    <w:rsid w:val="00FA63DA"/>
    <w:rsid w:val="00FA6FA7"/>
    <w:rsid w:val="00FB006B"/>
    <w:rsid w:val="00FB0EF7"/>
    <w:rsid w:val="00FB1CCD"/>
    <w:rsid w:val="00FB246E"/>
    <w:rsid w:val="00FB5314"/>
    <w:rsid w:val="00FB5853"/>
    <w:rsid w:val="00FC1344"/>
    <w:rsid w:val="00FC2E34"/>
    <w:rsid w:val="00FC5B82"/>
    <w:rsid w:val="00FD0429"/>
    <w:rsid w:val="00FD3669"/>
    <w:rsid w:val="00FD37D2"/>
    <w:rsid w:val="00FD4627"/>
    <w:rsid w:val="00FE26B2"/>
    <w:rsid w:val="00FE4604"/>
    <w:rsid w:val="00FE5317"/>
    <w:rsid w:val="00FE6E82"/>
    <w:rsid w:val="00FE773A"/>
    <w:rsid w:val="00FF11D2"/>
    <w:rsid w:val="00FF1A48"/>
    <w:rsid w:val="00FF1B7C"/>
    <w:rsid w:val="00FF2209"/>
    <w:rsid w:val="00FF254D"/>
    <w:rsid w:val="00FF3CD9"/>
    <w:rsid w:val="00FF4C44"/>
    <w:rsid w:val="00FF7337"/>
    <w:rsid w:val="00FF7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A0AF"/>
  <w15:docId w15:val="{06416E29-804D-48DD-B82B-AA3DDC50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2"/>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27451"/>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27451"/>
    <w:pPr>
      <w:keepNext/>
      <w:spacing w:line="360" w:lineRule="auto"/>
      <w:ind w:firstLine="540"/>
      <w:jc w:val="right"/>
      <w:outlineLvl w:val="1"/>
    </w:pPr>
    <w:rPr>
      <w:rFonts w:ascii="Times Armenian" w:hAnsi="Times Armenian" w:cs="Arial"/>
      <w:i/>
      <w:iCs/>
      <w:color w:val="000000"/>
      <w:szCs w:val="20"/>
      <w:lang w:val="hy-AM"/>
    </w:rPr>
  </w:style>
  <w:style w:type="paragraph" w:styleId="Heading7">
    <w:name w:val="heading 7"/>
    <w:basedOn w:val="Normal"/>
    <w:next w:val="Normal"/>
    <w:link w:val="Heading7Char"/>
    <w:qFormat/>
    <w:rsid w:val="00F27451"/>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414562"/>
  </w:style>
  <w:style w:type="paragraph" w:styleId="ListParagraph">
    <w:name w:val="List Paragraph"/>
    <w:basedOn w:val="Normal"/>
    <w:uiPriority w:val="34"/>
    <w:qFormat/>
    <w:rsid w:val="002F4FEC"/>
    <w:pPr>
      <w:ind w:left="720"/>
      <w:contextualSpacing/>
    </w:pPr>
  </w:style>
  <w:style w:type="paragraph" w:styleId="FootnoteText">
    <w:name w:val="footnote text"/>
    <w:basedOn w:val="Normal"/>
    <w:link w:val="FootnoteTextChar"/>
    <w:unhideWhenUsed/>
    <w:rsid w:val="004C715C"/>
    <w:rPr>
      <w:sz w:val="20"/>
      <w:szCs w:val="20"/>
    </w:rPr>
  </w:style>
  <w:style w:type="character" w:customStyle="1" w:styleId="FootnoteTextChar">
    <w:name w:val="Footnote Text Char"/>
    <w:basedOn w:val="DefaultParagraphFont"/>
    <w:link w:val="FootnoteText"/>
    <w:uiPriority w:val="99"/>
    <w:semiHidden/>
    <w:rsid w:val="004C715C"/>
    <w:rPr>
      <w:rFonts w:ascii="Times LatArm" w:eastAsia="Times New Roman" w:hAnsi="Times LatArm" w:cs="Times New Roman"/>
      <w:sz w:val="20"/>
      <w:szCs w:val="20"/>
    </w:rPr>
  </w:style>
  <w:style w:type="character" w:styleId="FootnoteReference">
    <w:name w:val="footnote reference"/>
    <w:basedOn w:val="DefaultParagraphFont"/>
    <w:unhideWhenUsed/>
    <w:rsid w:val="004C715C"/>
    <w:rPr>
      <w:vertAlign w:val="superscript"/>
    </w:rPr>
  </w:style>
  <w:style w:type="table" w:styleId="TableGrid">
    <w:name w:val="Table Grid"/>
    <w:basedOn w:val="TableNormal"/>
    <w:uiPriority w:val="59"/>
    <w:rsid w:val="002A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2">
    <w:name w:val="Footnote Text Char2"/>
    <w:semiHidden/>
    <w:rsid w:val="00400525"/>
    <w:rPr>
      <w:rFonts w:ascii="Times Armenian" w:hAnsi="Times Armenian"/>
      <w:lang w:val="en-US" w:eastAsia="en-US" w:bidi="ar-SA"/>
    </w:rPr>
  </w:style>
  <w:style w:type="character" w:styleId="Hyperlink">
    <w:name w:val="Hyperlink"/>
    <w:rsid w:val="00431888"/>
    <w:rPr>
      <w:color w:val="0000FF"/>
      <w:u w:val="single"/>
    </w:rPr>
  </w:style>
  <w:style w:type="paragraph" w:styleId="Header">
    <w:name w:val="header"/>
    <w:basedOn w:val="Normal"/>
    <w:link w:val="HeaderChar"/>
    <w:uiPriority w:val="99"/>
    <w:unhideWhenUsed/>
    <w:rsid w:val="008D531F"/>
    <w:pPr>
      <w:tabs>
        <w:tab w:val="center" w:pos="4680"/>
        <w:tab w:val="right" w:pos="9360"/>
      </w:tabs>
    </w:pPr>
  </w:style>
  <w:style w:type="character" w:customStyle="1" w:styleId="HeaderChar">
    <w:name w:val="Header Char"/>
    <w:basedOn w:val="DefaultParagraphFont"/>
    <w:link w:val="Header"/>
    <w:uiPriority w:val="99"/>
    <w:rsid w:val="008D531F"/>
    <w:rPr>
      <w:rFonts w:ascii="Times LatArm" w:eastAsia="Times New Roman" w:hAnsi="Times LatArm" w:cs="Times New Roman"/>
      <w:sz w:val="24"/>
      <w:szCs w:val="24"/>
    </w:rPr>
  </w:style>
  <w:style w:type="paragraph" w:styleId="Footer">
    <w:name w:val="footer"/>
    <w:basedOn w:val="Normal"/>
    <w:link w:val="FooterChar"/>
    <w:uiPriority w:val="99"/>
    <w:unhideWhenUsed/>
    <w:rsid w:val="008D531F"/>
    <w:pPr>
      <w:tabs>
        <w:tab w:val="center" w:pos="4680"/>
        <w:tab w:val="right" w:pos="9360"/>
      </w:tabs>
    </w:pPr>
  </w:style>
  <w:style w:type="character" w:customStyle="1" w:styleId="FooterChar">
    <w:name w:val="Footer Char"/>
    <w:basedOn w:val="DefaultParagraphFont"/>
    <w:link w:val="Footer"/>
    <w:uiPriority w:val="99"/>
    <w:rsid w:val="008D531F"/>
    <w:rPr>
      <w:rFonts w:ascii="Times LatArm" w:eastAsia="Times New Roman" w:hAnsi="Times LatArm" w:cs="Times New Roman"/>
      <w:sz w:val="24"/>
      <w:szCs w:val="24"/>
    </w:rPr>
  </w:style>
  <w:style w:type="character" w:customStyle="1" w:styleId="apple-converted-space">
    <w:name w:val="apple-converted-space"/>
    <w:basedOn w:val="DefaultParagraphFont"/>
    <w:rsid w:val="00051ACE"/>
  </w:style>
  <w:style w:type="paragraph" w:styleId="BodyText">
    <w:name w:val="Body Text"/>
    <w:basedOn w:val="Normal"/>
    <w:link w:val="BodyTextChar"/>
    <w:uiPriority w:val="99"/>
    <w:unhideWhenUsed/>
    <w:rsid w:val="006A7E57"/>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6A7E57"/>
    <w:rPr>
      <w:rFonts w:ascii="GHEA Grapalat" w:eastAsia="Calibri" w:hAnsi="GHEA Grapalat" w:cs="Times New Roman"/>
    </w:rPr>
  </w:style>
  <w:style w:type="character" w:customStyle="1" w:styleId="Heading1Char">
    <w:name w:val="Heading 1 Char"/>
    <w:basedOn w:val="DefaultParagraphFont"/>
    <w:link w:val="Heading1"/>
    <w:rsid w:val="00F27451"/>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27451"/>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27451"/>
    <w:rPr>
      <w:rFonts w:ascii="Arial Armenian" w:eastAsia="Times New Roman" w:hAnsi="Arial Armenian" w:cs="Times New Roman"/>
      <w:b/>
      <w:spacing w:val="40"/>
      <w:szCs w:val="23"/>
    </w:rPr>
  </w:style>
  <w:style w:type="paragraph" w:styleId="BalloonText">
    <w:name w:val="Balloon Text"/>
    <w:basedOn w:val="Normal"/>
    <w:link w:val="BalloonTextChar"/>
    <w:uiPriority w:val="99"/>
    <w:semiHidden/>
    <w:unhideWhenUsed/>
    <w:rsid w:val="00AD2484"/>
    <w:rPr>
      <w:rFonts w:ascii="Tahoma" w:hAnsi="Tahoma" w:cs="Tahoma"/>
      <w:sz w:val="16"/>
      <w:szCs w:val="16"/>
    </w:rPr>
  </w:style>
  <w:style w:type="character" w:customStyle="1" w:styleId="BalloonTextChar">
    <w:name w:val="Balloon Text Char"/>
    <w:basedOn w:val="DefaultParagraphFont"/>
    <w:link w:val="BalloonText"/>
    <w:uiPriority w:val="99"/>
    <w:semiHidden/>
    <w:rsid w:val="00AD24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5D52F-B8FC-4FE3-B5D1-EECD4D82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36</Pages>
  <Words>13122</Words>
  <Characters>74801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13</cp:revision>
  <dcterms:created xsi:type="dcterms:W3CDTF">2016-12-20T06:05:00Z</dcterms:created>
  <dcterms:modified xsi:type="dcterms:W3CDTF">2024-02-02T13:04:00Z</dcterms:modified>
</cp:coreProperties>
</file>