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1054" w14:textId="77777777" w:rsidR="00A4793E" w:rsidRPr="00320DDF" w:rsidRDefault="00A4793E" w:rsidP="0064300B">
      <w:pPr>
        <w:pStyle w:val="IntenseQuote"/>
        <w:rPr>
          <w:w w:val="110"/>
        </w:rPr>
      </w:pPr>
      <w:r w:rsidRPr="00320DDF">
        <w:rPr>
          <w:w w:val="110"/>
        </w:rPr>
        <w:t xml:space="preserve">THE CENTRAL BANK </w:t>
      </w:r>
    </w:p>
    <w:p w14:paraId="4CE32CDF" w14:textId="77777777" w:rsidR="00A4793E" w:rsidRPr="00320DDF" w:rsidRDefault="00A4793E" w:rsidP="00A4793E">
      <w:pPr>
        <w:pStyle w:val="Heading1"/>
        <w:spacing w:line="312" w:lineRule="auto"/>
        <w:ind w:right="336" w:firstLine="1300"/>
        <w:jc w:val="right"/>
        <w:rPr>
          <w:rFonts w:ascii="Garamond" w:hAnsi="Garamond"/>
          <w:color w:val="auto"/>
          <w:spacing w:val="20"/>
          <w:w w:val="110"/>
          <w:sz w:val="22"/>
          <w:szCs w:val="22"/>
          <w:u w:val="none"/>
        </w:rPr>
      </w:pPr>
      <w:r w:rsidRPr="00320DDF">
        <w:rPr>
          <w:rFonts w:ascii="Garamond" w:hAnsi="Garamond" w:cs="Sylfaen"/>
          <w:color w:val="auto"/>
          <w:spacing w:val="20"/>
          <w:w w:val="110"/>
          <w:sz w:val="22"/>
          <w:szCs w:val="22"/>
          <w:u w:val="none"/>
          <w:lang w:val="en-US"/>
        </w:rPr>
        <w:t>OF THE REPUBLIC OF ARMENIA</w:t>
      </w:r>
    </w:p>
    <w:p w14:paraId="423D565B"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4626B7C0"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566420A8"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5A45BA0D" w14:textId="77777777" w:rsidR="00A4793E" w:rsidRPr="00320DDF" w:rsidRDefault="00A4793E" w:rsidP="00A4793E">
      <w:pPr>
        <w:pStyle w:val="Heading7"/>
        <w:spacing w:line="312" w:lineRule="auto"/>
        <w:ind w:right="336" w:firstLine="400"/>
        <w:jc w:val="right"/>
        <w:rPr>
          <w:rFonts w:ascii="Garamond" w:hAnsi="Garamond" w:cs="Sylfaen"/>
          <w:b w:val="0"/>
          <w:spacing w:val="10"/>
          <w:w w:val="110"/>
          <w:szCs w:val="22"/>
        </w:rPr>
      </w:pPr>
      <w:r w:rsidRPr="00320DDF">
        <w:rPr>
          <w:rFonts w:ascii="Garamond" w:hAnsi="Garamond" w:cs="Sylfaen"/>
          <w:b w:val="0"/>
          <w:spacing w:val="10"/>
          <w:w w:val="110"/>
          <w:szCs w:val="22"/>
        </w:rPr>
        <w:t>Approved under Board of the Central Bank Resolution No. 116A,</w:t>
      </w:r>
    </w:p>
    <w:p w14:paraId="3FFF6994" w14:textId="77777777" w:rsidR="00A4793E" w:rsidRPr="00320DDF" w:rsidRDefault="00A4793E" w:rsidP="00A4793E">
      <w:pPr>
        <w:pStyle w:val="Heading7"/>
        <w:spacing w:line="312" w:lineRule="auto"/>
        <w:ind w:right="328" w:firstLine="400"/>
        <w:jc w:val="right"/>
        <w:rPr>
          <w:rFonts w:ascii="Garamond" w:hAnsi="Garamond"/>
          <w:b w:val="0"/>
          <w:i/>
          <w:spacing w:val="10"/>
          <w:w w:val="110"/>
          <w:szCs w:val="22"/>
          <w:lang w:val="hy-AM"/>
        </w:rPr>
      </w:pPr>
      <w:r w:rsidRPr="00320DDF">
        <w:rPr>
          <w:rFonts w:ascii="Garamond" w:hAnsi="Garamond" w:cs="Sylfaen"/>
          <w:b w:val="0"/>
          <w:spacing w:val="10"/>
          <w:w w:val="110"/>
          <w:szCs w:val="22"/>
        </w:rPr>
        <w:t>dated May 26, 2017</w:t>
      </w:r>
    </w:p>
    <w:p w14:paraId="448218F9"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4E04E9DD"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2D8CA239"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07381D82"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0ED0AB91"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76529B03"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5A11AAEA" w14:textId="77777777" w:rsidR="00A4793E" w:rsidRPr="00320DDF" w:rsidRDefault="00A4793E" w:rsidP="00A4793E">
      <w:pPr>
        <w:tabs>
          <w:tab w:val="left" w:pos="600"/>
        </w:tabs>
        <w:spacing w:line="312" w:lineRule="auto"/>
        <w:ind w:right="336" w:firstLine="400"/>
        <w:jc w:val="center"/>
        <w:rPr>
          <w:rFonts w:ascii="Garamond" w:hAnsi="Garamond"/>
          <w:sz w:val="22"/>
          <w:szCs w:val="22"/>
        </w:rPr>
      </w:pPr>
    </w:p>
    <w:p w14:paraId="72D6B157" w14:textId="77777777" w:rsidR="00A4793E" w:rsidRPr="00320DDF" w:rsidRDefault="00A4793E" w:rsidP="00A4793E">
      <w:pPr>
        <w:ind w:right="336"/>
        <w:jc w:val="center"/>
        <w:rPr>
          <w:rFonts w:ascii="Garamond" w:hAnsi="Garamond"/>
          <w:sz w:val="22"/>
          <w:szCs w:val="22"/>
        </w:rPr>
      </w:pPr>
      <w:r w:rsidRPr="00320DDF">
        <w:rPr>
          <w:rFonts w:ascii="Garamond" w:hAnsi="Garamond"/>
          <w:sz w:val="22"/>
          <w:szCs w:val="22"/>
        </w:rPr>
        <w:tab/>
      </w:r>
    </w:p>
    <w:p w14:paraId="315E4ABF" w14:textId="77777777" w:rsidR="00A4793E" w:rsidRPr="00320DDF" w:rsidRDefault="00A4793E" w:rsidP="00A4793E">
      <w:pPr>
        <w:pStyle w:val="Heading2"/>
        <w:spacing w:line="240" w:lineRule="auto"/>
        <w:ind w:right="336" w:firstLine="0"/>
        <w:rPr>
          <w:rFonts w:ascii="Garamond" w:hAnsi="Garamond"/>
          <w:b/>
          <w:i w:val="0"/>
          <w:iCs w:val="0"/>
          <w:color w:val="auto"/>
          <w:spacing w:val="40"/>
          <w:w w:val="110"/>
          <w:sz w:val="22"/>
          <w:szCs w:val="22"/>
        </w:rPr>
      </w:pPr>
      <w:r w:rsidRPr="00320DDF">
        <w:rPr>
          <w:rFonts w:ascii="Garamond" w:hAnsi="Garamond"/>
          <w:b/>
          <w:i w:val="0"/>
          <w:iCs w:val="0"/>
          <w:color w:val="auto"/>
          <w:spacing w:val="40"/>
          <w:w w:val="110"/>
          <w:sz w:val="22"/>
          <w:szCs w:val="22"/>
          <w:lang w:val="en-US"/>
        </w:rPr>
        <w:t>Inflation Report</w:t>
      </w:r>
      <w:r w:rsidRPr="00320DDF">
        <w:rPr>
          <w:rFonts w:ascii="Garamond" w:hAnsi="Garamond"/>
          <w:b/>
          <w:i w:val="0"/>
          <w:iCs w:val="0"/>
          <w:color w:val="auto"/>
          <w:spacing w:val="40"/>
          <w:w w:val="110"/>
          <w:sz w:val="22"/>
          <w:szCs w:val="22"/>
        </w:rPr>
        <w:t xml:space="preserve"> </w:t>
      </w:r>
    </w:p>
    <w:p w14:paraId="096649D9" w14:textId="77777777" w:rsidR="00A4793E" w:rsidRPr="00320DDF" w:rsidRDefault="00A4793E" w:rsidP="00A4793E">
      <w:pPr>
        <w:pStyle w:val="Heading2"/>
        <w:spacing w:line="240" w:lineRule="auto"/>
        <w:ind w:right="336" w:firstLine="0"/>
        <w:rPr>
          <w:rFonts w:ascii="Garamond" w:hAnsi="Garamond"/>
          <w:i w:val="0"/>
          <w:iCs w:val="0"/>
          <w:color w:val="auto"/>
          <w:sz w:val="22"/>
          <w:szCs w:val="22"/>
        </w:rPr>
      </w:pPr>
    </w:p>
    <w:p w14:paraId="342BAFBF" w14:textId="77777777" w:rsidR="00A4793E" w:rsidRPr="00320DDF" w:rsidRDefault="00A4793E" w:rsidP="00A4793E">
      <w:pPr>
        <w:pStyle w:val="Heading2"/>
        <w:spacing w:line="240" w:lineRule="auto"/>
        <w:ind w:right="336" w:firstLine="0"/>
        <w:rPr>
          <w:rFonts w:ascii="Garamond" w:hAnsi="Garamond"/>
          <w:i w:val="0"/>
          <w:iCs w:val="0"/>
          <w:color w:val="auto"/>
          <w:sz w:val="22"/>
          <w:szCs w:val="22"/>
        </w:rPr>
      </w:pPr>
    </w:p>
    <w:p w14:paraId="0B0208C8" w14:textId="77777777" w:rsidR="00A4793E" w:rsidRPr="00320DDF" w:rsidRDefault="00A4793E" w:rsidP="00A4793E">
      <w:pPr>
        <w:ind w:right="336"/>
        <w:rPr>
          <w:rFonts w:ascii="Garamond" w:hAnsi="Garamond"/>
          <w:sz w:val="22"/>
          <w:szCs w:val="22"/>
          <w:lang w:val="hy-AM"/>
        </w:rPr>
      </w:pPr>
    </w:p>
    <w:p w14:paraId="6817A4B0" w14:textId="77777777" w:rsidR="00A4793E" w:rsidRPr="00320DDF" w:rsidRDefault="00A4793E" w:rsidP="00A4793E">
      <w:pPr>
        <w:ind w:right="336"/>
        <w:rPr>
          <w:rFonts w:ascii="Garamond" w:hAnsi="Garamond"/>
          <w:sz w:val="22"/>
          <w:szCs w:val="22"/>
          <w:lang w:val="hy-AM"/>
        </w:rPr>
      </w:pPr>
    </w:p>
    <w:p w14:paraId="6E15F171" w14:textId="77777777" w:rsidR="00A4793E" w:rsidRPr="00320DDF" w:rsidRDefault="00A4793E" w:rsidP="00A4793E">
      <w:pPr>
        <w:ind w:right="336"/>
        <w:rPr>
          <w:rFonts w:ascii="Garamond" w:hAnsi="Garamond"/>
          <w:sz w:val="22"/>
          <w:szCs w:val="22"/>
          <w:lang w:val="hy-AM"/>
        </w:rPr>
      </w:pPr>
    </w:p>
    <w:p w14:paraId="5ADC5F68" w14:textId="77777777" w:rsidR="00A4793E" w:rsidRPr="00320DDF" w:rsidRDefault="00A4793E" w:rsidP="00A4793E">
      <w:pPr>
        <w:ind w:right="336"/>
        <w:rPr>
          <w:rFonts w:ascii="Garamond" w:hAnsi="Garamond"/>
          <w:sz w:val="22"/>
          <w:szCs w:val="22"/>
          <w:lang w:val="hy-AM"/>
        </w:rPr>
      </w:pPr>
    </w:p>
    <w:p w14:paraId="5344ED39" w14:textId="77777777" w:rsidR="00A4793E" w:rsidRPr="00320DDF" w:rsidRDefault="00A4793E" w:rsidP="00A4793E">
      <w:pPr>
        <w:ind w:right="336"/>
        <w:rPr>
          <w:rFonts w:ascii="Garamond" w:hAnsi="Garamond"/>
          <w:sz w:val="22"/>
          <w:szCs w:val="22"/>
          <w:lang w:val="hy-AM"/>
        </w:rPr>
      </w:pPr>
    </w:p>
    <w:p w14:paraId="164D98BF" w14:textId="77777777" w:rsidR="00A4793E" w:rsidRPr="00320DDF" w:rsidRDefault="00A4793E" w:rsidP="00A4793E">
      <w:pPr>
        <w:ind w:right="336"/>
        <w:rPr>
          <w:rFonts w:ascii="Garamond" w:hAnsi="Garamond"/>
          <w:sz w:val="22"/>
          <w:szCs w:val="22"/>
          <w:lang w:val="hy-AM"/>
        </w:rPr>
      </w:pPr>
    </w:p>
    <w:p w14:paraId="39E9A696" w14:textId="77777777" w:rsidR="00A4793E" w:rsidRPr="00320DDF" w:rsidRDefault="00A4793E" w:rsidP="00A4793E">
      <w:pPr>
        <w:ind w:right="336"/>
        <w:rPr>
          <w:rFonts w:ascii="Garamond" w:hAnsi="Garamond"/>
          <w:sz w:val="22"/>
          <w:szCs w:val="22"/>
        </w:rPr>
      </w:pPr>
    </w:p>
    <w:p w14:paraId="53A8A21B" w14:textId="77777777" w:rsidR="00A4793E" w:rsidRPr="00320DDF" w:rsidRDefault="00A4793E" w:rsidP="00A4793E">
      <w:pPr>
        <w:ind w:right="336"/>
        <w:rPr>
          <w:rFonts w:ascii="Garamond" w:hAnsi="Garamond"/>
          <w:sz w:val="22"/>
          <w:szCs w:val="22"/>
        </w:rPr>
      </w:pPr>
    </w:p>
    <w:p w14:paraId="075FC8F1" w14:textId="77777777" w:rsidR="00A4793E" w:rsidRPr="00320DDF" w:rsidRDefault="00A4793E" w:rsidP="00A4793E">
      <w:pPr>
        <w:ind w:right="336"/>
        <w:rPr>
          <w:rFonts w:ascii="Garamond" w:hAnsi="Garamond"/>
          <w:sz w:val="22"/>
          <w:szCs w:val="22"/>
        </w:rPr>
      </w:pPr>
    </w:p>
    <w:p w14:paraId="00AC84F2" w14:textId="77777777" w:rsidR="00A4793E" w:rsidRPr="00320DDF" w:rsidRDefault="00A4793E" w:rsidP="00A4793E">
      <w:pPr>
        <w:ind w:right="336"/>
        <w:rPr>
          <w:rFonts w:ascii="Garamond" w:hAnsi="Garamond"/>
          <w:sz w:val="22"/>
          <w:szCs w:val="22"/>
          <w:lang w:val="hy-AM"/>
        </w:rPr>
      </w:pPr>
    </w:p>
    <w:p w14:paraId="7574DEA6" w14:textId="77777777" w:rsidR="00A4793E" w:rsidRPr="00320DDF" w:rsidRDefault="00A4793E" w:rsidP="00A4793E">
      <w:pPr>
        <w:ind w:right="336"/>
        <w:rPr>
          <w:rFonts w:ascii="Garamond" w:hAnsi="Garamond"/>
          <w:sz w:val="22"/>
          <w:szCs w:val="22"/>
          <w:lang w:val="hy-AM"/>
        </w:rPr>
      </w:pPr>
    </w:p>
    <w:p w14:paraId="1F8E82FD" w14:textId="77777777" w:rsidR="00A4793E" w:rsidRPr="00320DDF" w:rsidRDefault="00A4793E" w:rsidP="00A4793E">
      <w:pPr>
        <w:pStyle w:val="Heading2"/>
        <w:spacing w:line="240" w:lineRule="auto"/>
        <w:ind w:right="336" w:firstLine="0"/>
        <w:rPr>
          <w:rFonts w:ascii="Garamond" w:hAnsi="Garamond"/>
          <w:sz w:val="22"/>
          <w:szCs w:val="22"/>
          <w:lang w:val="en-US"/>
        </w:rPr>
      </w:pPr>
      <w:r w:rsidRPr="00320DDF">
        <w:rPr>
          <w:rFonts w:ascii="Garamond" w:hAnsi="Garamond"/>
          <w:iCs w:val="0"/>
          <w:color w:val="auto"/>
          <w:sz w:val="22"/>
          <w:szCs w:val="22"/>
          <w:lang w:val="en-US"/>
        </w:rPr>
        <w:t>Monetary Policy Program, Q2, 2017</w:t>
      </w:r>
    </w:p>
    <w:p w14:paraId="3943EC84" w14:textId="77777777" w:rsidR="00A4793E" w:rsidRPr="00320DDF" w:rsidRDefault="00A4793E" w:rsidP="00A4793E">
      <w:pPr>
        <w:ind w:right="336" w:firstLine="403"/>
        <w:rPr>
          <w:rFonts w:ascii="Garamond" w:hAnsi="Garamond" w:cs="Sylfaen"/>
          <w:b/>
          <w:i/>
          <w:spacing w:val="40"/>
          <w:w w:val="150"/>
          <w:sz w:val="22"/>
          <w:szCs w:val="22"/>
        </w:rPr>
      </w:pPr>
    </w:p>
    <w:p w14:paraId="7DD55E2A" w14:textId="77777777" w:rsidR="00A4793E" w:rsidRPr="00320DDF" w:rsidRDefault="00A4793E" w:rsidP="00A4793E">
      <w:pPr>
        <w:spacing w:line="312" w:lineRule="auto"/>
        <w:ind w:right="336" w:firstLine="400"/>
        <w:jc w:val="right"/>
        <w:rPr>
          <w:rFonts w:ascii="Garamond" w:hAnsi="Garamond" w:cs="Sylfaen"/>
          <w:b/>
          <w:sz w:val="22"/>
          <w:szCs w:val="22"/>
        </w:rPr>
      </w:pPr>
      <w:r w:rsidRPr="00320DDF">
        <w:rPr>
          <w:rFonts w:ascii="Garamond" w:hAnsi="Garamond" w:cs="Sylfaen"/>
          <w:b/>
          <w:sz w:val="22"/>
          <w:szCs w:val="22"/>
        </w:rPr>
        <w:sym w:font="Wingdings 2" w:char="F0E7"/>
      </w:r>
    </w:p>
    <w:p w14:paraId="7D8A65C5" w14:textId="77777777" w:rsidR="00A4793E" w:rsidRPr="00320DDF" w:rsidRDefault="00A4793E" w:rsidP="00A4793E">
      <w:pPr>
        <w:autoSpaceDE w:val="0"/>
        <w:autoSpaceDN w:val="0"/>
        <w:adjustRightInd w:val="0"/>
        <w:spacing w:after="120" w:line="360" w:lineRule="auto"/>
        <w:ind w:left="720"/>
        <w:jc w:val="right"/>
        <w:rPr>
          <w:rFonts w:ascii="Garamond" w:hAnsi="Garamond"/>
          <w:sz w:val="22"/>
          <w:szCs w:val="22"/>
        </w:rPr>
      </w:pPr>
      <w:r w:rsidRPr="00320DDF">
        <w:rPr>
          <w:rFonts w:ascii="Garamond" w:hAnsi="Garamond"/>
          <w:iCs/>
          <w:sz w:val="22"/>
          <w:szCs w:val="22"/>
        </w:rPr>
        <w:t xml:space="preserve">      Status Report on Implementation of the Monetary Policy Program, Q1, 2017</w:t>
      </w:r>
    </w:p>
    <w:p w14:paraId="416F21CA"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5F701986"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6A900D08"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3350E691"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41AA096A"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3337FEF3"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063C8925" w14:textId="77777777" w:rsidR="00A4793E" w:rsidRPr="00320DDF" w:rsidRDefault="00A4793E" w:rsidP="00A4793E">
      <w:pPr>
        <w:autoSpaceDE w:val="0"/>
        <w:autoSpaceDN w:val="0"/>
        <w:adjustRightInd w:val="0"/>
        <w:spacing w:after="120" w:line="360" w:lineRule="auto"/>
        <w:jc w:val="both"/>
        <w:rPr>
          <w:rFonts w:ascii="Garamond" w:hAnsi="Garamond"/>
          <w:sz w:val="22"/>
          <w:szCs w:val="22"/>
        </w:rPr>
      </w:pPr>
    </w:p>
    <w:p w14:paraId="5B661440" w14:textId="77777777" w:rsidR="00A4793E" w:rsidRPr="00320DDF" w:rsidRDefault="00A4793E" w:rsidP="00A4793E">
      <w:pPr>
        <w:autoSpaceDE w:val="0"/>
        <w:autoSpaceDN w:val="0"/>
        <w:adjustRightInd w:val="0"/>
        <w:spacing w:after="120" w:line="360" w:lineRule="auto"/>
        <w:jc w:val="both"/>
        <w:rPr>
          <w:rFonts w:ascii="Garamond" w:hAnsi="Garamond" w:cs="Sylfaen"/>
          <w:sz w:val="22"/>
          <w:szCs w:val="22"/>
        </w:rPr>
      </w:pPr>
      <w:r w:rsidRPr="00320DDF">
        <w:rPr>
          <w:rFonts w:ascii="Garamond" w:hAnsi="Garamond"/>
          <w:sz w:val="22"/>
          <w:szCs w:val="22"/>
        </w:rPr>
        <w:t xml:space="preserve">The inflation targeting strategy of the Central Bank of Armenia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Pr="00320DDF">
        <w:rPr>
          <w:rStyle w:val="longtext"/>
          <w:rFonts w:ascii="Garamond" w:hAnsi="Garamond"/>
          <w:color w:val="000000"/>
          <w:sz w:val="22"/>
          <w:szCs w:val="22"/>
          <w:shd w:val="clear" w:color="auto" w:fill="FFFFFF"/>
        </w:rPr>
        <w:t>status report on implementation of the monetary policy</w:t>
      </w:r>
      <w:r w:rsidRPr="00320DDF">
        <w:rPr>
          <w:rFonts w:ascii="Garamond" w:hAnsi="Garamond"/>
          <w:sz w:val="22"/>
          <w:szCs w:val="22"/>
        </w:rPr>
        <w:t xml:space="preserve"> program</w:t>
      </w:r>
      <w:r w:rsidRPr="00320DDF">
        <w:rPr>
          <w:rStyle w:val="longtext"/>
          <w:rFonts w:ascii="Garamond" w:hAnsi="Garamond"/>
          <w:color w:val="000000"/>
          <w:sz w:val="22"/>
          <w:szCs w:val="22"/>
          <w:shd w:val="clear" w:color="auto" w:fill="FFFFFF"/>
        </w:rPr>
        <w:t xml:space="preserve"> of the previous quarter, which covers actual economic and monetary developments.</w:t>
      </w:r>
    </w:p>
    <w:p w14:paraId="7623C3D9" w14:textId="77777777" w:rsidR="00A4793E" w:rsidRPr="00320DDF" w:rsidRDefault="00A4793E" w:rsidP="00A4793E">
      <w:pPr>
        <w:autoSpaceDE w:val="0"/>
        <w:autoSpaceDN w:val="0"/>
        <w:adjustRightInd w:val="0"/>
        <w:spacing w:after="120" w:line="360" w:lineRule="auto"/>
        <w:jc w:val="both"/>
        <w:rPr>
          <w:rFonts w:ascii="Garamond" w:hAnsi="Garamond" w:cs="Sylfaen"/>
          <w:sz w:val="22"/>
          <w:szCs w:val="22"/>
        </w:rPr>
      </w:pPr>
      <w:r w:rsidRPr="00320DDF">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551D4B8D" w14:textId="77777777" w:rsidR="00A4793E" w:rsidRPr="00320DDF" w:rsidRDefault="00A4793E" w:rsidP="00A4793E">
      <w:pPr>
        <w:autoSpaceDE w:val="0"/>
        <w:autoSpaceDN w:val="0"/>
        <w:adjustRightInd w:val="0"/>
        <w:spacing w:after="120" w:line="360" w:lineRule="auto"/>
        <w:jc w:val="both"/>
        <w:rPr>
          <w:rFonts w:ascii="Garamond" w:hAnsi="Garamond" w:cs="Sylfaen"/>
          <w:sz w:val="22"/>
          <w:szCs w:val="22"/>
        </w:rPr>
      </w:pPr>
      <w:r w:rsidRPr="00320DDF">
        <w:rPr>
          <w:rFonts w:ascii="Garamond" w:hAnsi="Garamond"/>
          <w:sz w:val="22"/>
          <w:szCs w:val="22"/>
        </w:rPr>
        <w:t xml:space="preserve">Under the inflation targeting strategy, the Bank publishes the non-conditional inflation for a 3-year time horizon after each publication, whereby the monetary policy is steered to minimize any deviations of potential inflation from a 4 % target. </w:t>
      </w:r>
    </w:p>
    <w:p w14:paraId="5FE83377" w14:textId="77777777" w:rsidR="00A4793E" w:rsidRPr="00320DDF" w:rsidRDefault="00A4793E" w:rsidP="00A4793E">
      <w:pPr>
        <w:autoSpaceDE w:val="0"/>
        <w:autoSpaceDN w:val="0"/>
        <w:adjustRightInd w:val="0"/>
        <w:spacing w:after="120" w:line="360" w:lineRule="auto"/>
        <w:jc w:val="both"/>
        <w:rPr>
          <w:rFonts w:ascii="Garamond" w:hAnsi="Garamond" w:cs="Sylfaen"/>
          <w:sz w:val="22"/>
          <w:szCs w:val="22"/>
        </w:rPr>
      </w:pPr>
      <w:r w:rsidRPr="00320DDF">
        <w:rPr>
          <w:rFonts w:ascii="Garamond" w:hAnsi="Garamond"/>
          <w:sz w:val="22"/>
          <w:szCs w:val="22"/>
        </w:rPr>
        <w:t xml:space="preserve">Projections in this report are based on the factual information available by May 16, 2017, i.e. the day on which the refinancing rate was set, the results of a survey conducted by the Bank and the judgment made pursuant to the information on future developments of the macroeconomic environment. </w:t>
      </w:r>
    </w:p>
    <w:p w14:paraId="6A0B54DD" w14:textId="77777777" w:rsidR="00A4793E" w:rsidRPr="00320DDF" w:rsidRDefault="00A4793E" w:rsidP="00A4793E">
      <w:pPr>
        <w:spacing w:line="360" w:lineRule="auto"/>
        <w:jc w:val="both"/>
        <w:rPr>
          <w:rFonts w:ascii="Garamond" w:hAnsi="Garamond"/>
          <w:sz w:val="22"/>
          <w:szCs w:val="22"/>
        </w:rPr>
      </w:pPr>
      <w:r w:rsidRPr="00320DDF">
        <w:rPr>
          <w:rFonts w:ascii="Garamond" w:hAnsi="Garamond"/>
          <w:sz w:val="22"/>
          <w:szCs w:val="22"/>
        </w:rPr>
        <w:t>All inflation reports which have been published to date are available on the Bank’s website which also contains monetary policy-related publications.</w:t>
      </w:r>
    </w:p>
    <w:p w14:paraId="4FC38D0F" w14:textId="77777777" w:rsidR="00A4793E" w:rsidRPr="00320DDF" w:rsidRDefault="00A4793E" w:rsidP="00A4793E">
      <w:pPr>
        <w:spacing w:line="360" w:lineRule="auto"/>
        <w:jc w:val="both"/>
        <w:rPr>
          <w:rFonts w:ascii="Garamond" w:hAnsi="Garamond"/>
          <w:sz w:val="22"/>
          <w:szCs w:val="22"/>
        </w:rPr>
      </w:pPr>
    </w:p>
    <w:p w14:paraId="1C074C12" w14:textId="77777777" w:rsidR="00A4793E" w:rsidRPr="00320DDF" w:rsidRDefault="00A4793E" w:rsidP="00A4793E">
      <w:pPr>
        <w:spacing w:line="360" w:lineRule="auto"/>
        <w:jc w:val="both"/>
        <w:rPr>
          <w:rFonts w:ascii="Garamond" w:hAnsi="Garamond"/>
          <w:b/>
          <w:sz w:val="22"/>
          <w:szCs w:val="22"/>
        </w:rPr>
      </w:pPr>
      <w:r w:rsidRPr="00320DDF">
        <w:rPr>
          <w:rFonts w:ascii="Garamond" w:hAnsi="Garamond"/>
          <w:b/>
          <w:sz w:val="22"/>
          <w:szCs w:val="22"/>
        </w:rPr>
        <w:t>1. Executive Summary</w:t>
      </w:r>
    </w:p>
    <w:p w14:paraId="5EFE1D4A" w14:textId="77777777" w:rsidR="00A4793E" w:rsidRPr="00320DDF" w:rsidRDefault="00A4793E" w:rsidP="00A4793E">
      <w:pPr>
        <w:spacing w:line="360" w:lineRule="auto"/>
        <w:jc w:val="both"/>
        <w:rPr>
          <w:rFonts w:ascii="Garamond" w:hAnsi="Garamond"/>
          <w:sz w:val="22"/>
          <w:szCs w:val="22"/>
        </w:rPr>
      </w:pPr>
    </w:p>
    <w:p w14:paraId="55B6760D" w14:textId="1FACD048" w:rsidR="00A4793E" w:rsidRPr="00320DDF" w:rsidRDefault="00A4793E" w:rsidP="00A4793E">
      <w:pPr>
        <w:spacing w:line="360" w:lineRule="auto"/>
        <w:jc w:val="both"/>
        <w:rPr>
          <w:rFonts w:ascii="Garamond" w:hAnsi="Garamond"/>
          <w:b/>
          <w:sz w:val="22"/>
          <w:szCs w:val="22"/>
        </w:rPr>
      </w:pPr>
      <w:r w:rsidRPr="00320DDF">
        <w:rPr>
          <w:rFonts w:ascii="Garamond" w:hAnsi="Garamond"/>
          <w:b/>
          <w:sz w:val="22"/>
          <w:szCs w:val="22"/>
        </w:rPr>
        <w:t xml:space="preserve">The economic activity in the first quarter of 2017 has been strong enough compared with the forecasts, primarily due to higher output in industry and services sectors. Consequently, the Central Bank of the Republic of Armenia (“the Central Bank”) has revised the 2017 economic growth forecast upside. In the forecast horizon the economic growth will accelerate, gradually approaching the long-term equilibrium. In the first quarter of 2017 the deflationary environment largely phased out, and the 12-month inflation rate stood at -0.1% in late March </w:t>
      </w:r>
      <w:r w:rsidR="00B509E7">
        <w:rPr>
          <w:rFonts w:ascii="Garamond" w:hAnsi="Garamond"/>
          <w:b/>
          <w:sz w:val="22"/>
          <w:szCs w:val="22"/>
        </w:rPr>
        <w:t>and</w:t>
      </w:r>
      <w:r w:rsidR="00B509E7" w:rsidRPr="00320DDF">
        <w:rPr>
          <w:rFonts w:ascii="Garamond" w:hAnsi="Garamond"/>
          <w:b/>
          <w:sz w:val="22"/>
          <w:szCs w:val="22"/>
        </w:rPr>
        <w:t xml:space="preserve"> </w:t>
      </w:r>
      <w:r w:rsidRPr="00320DDF">
        <w:rPr>
          <w:rFonts w:ascii="Garamond" w:hAnsi="Garamond"/>
          <w:b/>
          <w:sz w:val="22"/>
          <w:szCs w:val="22"/>
        </w:rPr>
        <w:t xml:space="preserve">continued increasing up to 1.2% in April. Up until the yearend the inflation will continue to expand, shaping within the lower bound of the confidence band, and in the forecast horizon it is expected to stabilize around the target. </w:t>
      </w:r>
    </w:p>
    <w:p w14:paraId="53DBA637" w14:textId="77777777" w:rsidR="00A4793E" w:rsidRPr="00320DDF" w:rsidRDefault="00A4793E" w:rsidP="00A4793E">
      <w:pPr>
        <w:spacing w:line="360" w:lineRule="auto"/>
        <w:jc w:val="both"/>
        <w:rPr>
          <w:rFonts w:ascii="Garamond" w:hAnsi="Garamond"/>
          <w:b/>
          <w:sz w:val="22"/>
          <w:szCs w:val="22"/>
        </w:rPr>
      </w:pPr>
    </w:p>
    <w:p w14:paraId="2C846F7D" w14:textId="77777777" w:rsidR="00A4793E" w:rsidRPr="00320DDF" w:rsidRDefault="00A4793E" w:rsidP="00A4793E">
      <w:pPr>
        <w:spacing w:line="360" w:lineRule="auto"/>
        <w:jc w:val="both"/>
        <w:rPr>
          <w:rFonts w:ascii="Garamond" w:hAnsi="Garamond" w:cs="Sylfaen"/>
          <w:sz w:val="22"/>
          <w:szCs w:val="22"/>
        </w:rPr>
      </w:pPr>
      <w:r w:rsidRPr="00320DDF">
        <w:rPr>
          <w:rFonts w:ascii="Garamond" w:hAnsi="Garamond" w:cs="Sylfaen"/>
          <w:sz w:val="22"/>
          <w:szCs w:val="22"/>
        </w:rPr>
        <w:lastRenderedPageBreak/>
        <w:t xml:space="preserve">The economic activity in the first quarter of 2017 significantly exceeded the Central Bank’s predictions as it amounted to </w:t>
      </w:r>
      <w:r w:rsidRPr="00320DDF">
        <w:rPr>
          <w:rFonts w:ascii="Garamond" w:hAnsi="Garamond" w:cs="Sylfaen"/>
          <w:b/>
          <w:sz w:val="22"/>
          <w:szCs w:val="22"/>
        </w:rPr>
        <w:t>6.6%</w:t>
      </w:r>
      <w:r w:rsidRPr="00320DDF">
        <w:rPr>
          <w:rFonts w:ascii="Garamond" w:hAnsi="Garamond" w:cs="Sylfaen"/>
          <w:sz w:val="22"/>
          <w:szCs w:val="22"/>
        </w:rPr>
        <w:t xml:space="preserve">, in which case the first quarter’s economic growth was revised upside, in the </w:t>
      </w:r>
      <w:r w:rsidRPr="00320DDF">
        <w:rPr>
          <w:rFonts w:ascii="Garamond" w:hAnsi="Garamond" w:cs="Sylfaen"/>
          <w:b/>
          <w:sz w:val="22"/>
          <w:szCs w:val="22"/>
        </w:rPr>
        <w:t>5.0-5.4%</w:t>
      </w:r>
      <w:r w:rsidRPr="00320DDF">
        <w:rPr>
          <w:rFonts w:ascii="Garamond" w:hAnsi="Garamond" w:cs="Sylfaen"/>
          <w:sz w:val="22"/>
          <w:szCs w:val="22"/>
        </w:rPr>
        <w:t xml:space="preserve"> range. Expansionary monetary and fiscal policies implemented by the Central Bank and the Government of Armenia in 2015-2016 have contributed to the recovery of domestic demand, which resulted in revised </w:t>
      </w:r>
      <w:r w:rsidRPr="00320DDF">
        <w:rPr>
          <w:rFonts w:ascii="Garamond" w:hAnsi="Garamond" w:cs="Sylfaen"/>
          <w:b/>
          <w:sz w:val="22"/>
          <w:szCs w:val="22"/>
        </w:rPr>
        <w:t>private consumption</w:t>
      </w:r>
      <w:r w:rsidRPr="00320DDF">
        <w:rPr>
          <w:rFonts w:ascii="Garamond" w:hAnsi="Garamond" w:cs="Sylfaen"/>
          <w:sz w:val="22"/>
          <w:szCs w:val="22"/>
        </w:rPr>
        <w:t xml:space="preserve"> and </w:t>
      </w:r>
      <w:r w:rsidRPr="00320DDF">
        <w:rPr>
          <w:rFonts w:ascii="Garamond" w:hAnsi="Garamond" w:cs="Sylfaen"/>
          <w:b/>
          <w:sz w:val="22"/>
          <w:szCs w:val="22"/>
        </w:rPr>
        <w:t>private investment</w:t>
      </w:r>
      <w:r w:rsidRPr="00320DDF">
        <w:rPr>
          <w:rFonts w:ascii="Garamond" w:hAnsi="Garamond" w:cs="Sylfaen"/>
          <w:sz w:val="22"/>
          <w:szCs w:val="22"/>
        </w:rPr>
        <w:t xml:space="preserve"> figures, amounting to 5.0% and 3.7% in real terms (3.0 and 2.0 percentage points higher than previous forecast, accordingly). It should be noted that domestic demand was recovering at a faster pace. In the first quarter of 2017 the </w:t>
      </w:r>
      <w:r w:rsidRPr="00320DDF">
        <w:rPr>
          <w:rFonts w:ascii="Garamond" w:hAnsi="Garamond" w:cs="Sylfaen"/>
          <w:b/>
          <w:sz w:val="22"/>
          <w:szCs w:val="22"/>
        </w:rPr>
        <w:t>net real export indicator</w:t>
      </w:r>
      <w:r w:rsidRPr="00320DDF">
        <w:rPr>
          <w:rFonts w:ascii="Garamond" w:hAnsi="Garamond" w:cs="Sylfaen"/>
          <w:sz w:val="22"/>
          <w:szCs w:val="22"/>
        </w:rPr>
        <w:t xml:space="preserve"> declined in the light of high real growth in import of goods and services and is an estimated 11.5%, whereas real export of goods and services grew by 1.5%.</w:t>
      </w:r>
    </w:p>
    <w:p w14:paraId="6FB5CA46" w14:textId="77777777" w:rsidR="00A4793E" w:rsidRPr="00320DDF" w:rsidRDefault="00A4793E" w:rsidP="00A4793E">
      <w:pPr>
        <w:spacing w:line="360" w:lineRule="auto"/>
        <w:jc w:val="both"/>
        <w:rPr>
          <w:rFonts w:ascii="Garamond" w:hAnsi="Garamond" w:cs="Sylfaen"/>
          <w:sz w:val="22"/>
          <w:szCs w:val="22"/>
        </w:rPr>
      </w:pPr>
    </w:p>
    <w:p w14:paraId="2C1DE4A7" w14:textId="43BF19C5" w:rsidR="00A4793E" w:rsidRPr="00320DDF" w:rsidRDefault="00A4793E" w:rsidP="00A4793E">
      <w:pPr>
        <w:spacing w:line="360" w:lineRule="auto"/>
        <w:jc w:val="both"/>
        <w:rPr>
          <w:rFonts w:ascii="Garamond" w:hAnsi="Garamond" w:cs="Sylfaen"/>
          <w:sz w:val="22"/>
          <w:szCs w:val="22"/>
        </w:rPr>
      </w:pPr>
      <w:r w:rsidRPr="00320DDF">
        <w:rPr>
          <w:rFonts w:ascii="Garamond" w:hAnsi="Garamond" w:cs="Sylfaen"/>
          <w:sz w:val="22"/>
          <w:szCs w:val="22"/>
        </w:rPr>
        <w:t xml:space="preserve">In the first quarter of 2017 the deflationary environment almost phased out, while the </w:t>
      </w:r>
      <w:r w:rsidRPr="00320DDF">
        <w:rPr>
          <w:rFonts w:ascii="Garamond" w:hAnsi="Garamond" w:cs="Sylfaen"/>
          <w:b/>
          <w:sz w:val="22"/>
          <w:szCs w:val="22"/>
        </w:rPr>
        <w:t>12-month inflation rate</w:t>
      </w:r>
      <w:r w:rsidRPr="00320DDF">
        <w:rPr>
          <w:rFonts w:ascii="Garamond" w:hAnsi="Garamond" w:cs="Sylfaen"/>
          <w:sz w:val="22"/>
          <w:szCs w:val="22"/>
        </w:rPr>
        <w:t xml:space="preserve"> stood at </w:t>
      </w:r>
      <w:r w:rsidRPr="00320DDF">
        <w:rPr>
          <w:rFonts w:ascii="Garamond" w:hAnsi="Garamond" w:cs="Sylfaen"/>
          <w:b/>
          <w:sz w:val="22"/>
          <w:szCs w:val="22"/>
        </w:rPr>
        <w:t>-0.1%</w:t>
      </w:r>
      <w:r w:rsidRPr="00320DDF">
        <w:rPr>
          <w:rFonts w:ascii="Garamond" w:hAnsi="Garamond" w:cs="Sylfaen"/>
          <w:sz w:val="22"/>
          <w:szCs w:val="22"/>
        </w:rPr>
        <w:t xml:space="preserve"> in late March </w:t>
      </w:r>
      <w:r w:rsidR="008044D0">
        <w:rPr>
          <w:rFonts w:ascii="Garamond" w:hAnsi="Garamond" w:cs="Sylfaen"/>
          <w:sz w:val="22"/>
          <w:szCs w:val="22"/>
        </w:rPr>
        <w:t xml:space="preserve">and </w:t>
      </w:r>
      <w:r w:rsidRPr="00320DDF">
        <w:rPr>
          <w:rFonts w:ascii="Garamond" w:hAnsi="Garamond" w:cs="Sylfaen"/>
          <w:sz w:val="22"/>
          <w:szCs w:val="22"/>
        </w:rPr>
        <w:t xml:space="preserve">it rose up to 1.2% in April. Because inflation was likely to follow somewhat a slower path to target in consideration of lower prices expected for some non-food products compared with the previous forecast as well as reduced gas and electricity tariffs since January and February, accordingly, the Central Bank lowered the refinancing rate by 0.25 pp in February to </w:t>
      </w:r>
      <w:r w:rsidRPr="00320DDF">
        <w:rPr>
          <w:rFonts w:ascii="Garamond" w:hAnsi="Garamond" w:cs="Sylfaen"/>
          <w:b/>
          <w:sz w:val="22"/>
          <w:szCs w:val="22"/>
        </w:rPr>
        <w:t>6.0%</w:t>
      </w:r>
      <w:r w:rsidRPr="00320DDF">
        <w:rPr>
          <w:rFonts w:ascii="Garamond" w:hAnsi="Garamond" w:cs="Sylfaen"/>
          <w:sz w:val="22"/>
          <w:szCs w:val="22"/>
        </w:rPr>
        <w:t xml:space="preserve"> but left it unchanged in March, since some inflationary risks were beginning to materialize </w:t>
      </w:r>
      <w:r w:rsidRPr="00320DDF">
        <w:rPr>
          <w:rFonts w:ascii="Garamond" w:hAnsi="Garamond"/>
          <w:sz w:val="22"/>
          <w:szCs w:val="22"/>
        </w:rPr>
        <w:t>(see details in section “3.1.1. Actual inflation and fulfillment of the inflation target”).</w:t>
      </w:r>
    </w:p>
    <w:p w14:paraId="11D9B303" w14:textId="77777777" w:rsidR="00A4793E" w:rsidRPr="00320DDF" w:rsidRDefault="00A4793E" w:rsidP="00A4793E">
      <w:pPr>
        <w:spacing w:line="360" w:lineRule="auto"/>
        <w:jc w:val="both"/>
        <w:rPr>
          <w:rFonts w:ascii="Garamond" w:hAnsi="Garamond" w:cs="Sylfaen"/>
          <w:sz w:val="22"/>
          <w:szCs w:val="22"/>
        </w:rPr>
      </w:pPr>
    </w:p>
    <w:p w14:paraId="67B5337C" w14:textId="77777777" w:rsidR="00A4793E" w:rsidRPr="00320DDF" w:rsidRDefault="00A4793E" w:rsidP="00A4793E">
      <w:pPr>
        <w:spacing w:line="360" w:lineRule="auto"/>
        <w:jc w:val="both"/>
        <w:rPr>
          <w:rFonts w:ascii="Garamond" w:hAnsi="Garamond"/>
          <w:sz w:val="22"/>
          <w:szCs w:val="22"/>
        </w:rPr>
      </w:pPr>
      <w:r w:rsidRPr="00320DDF">
        <w:rPr>
          <w:rFonts w:ascii="Garamond" w:hAnsi="Garamond"/>
          <w:b/>
          <w:sz w:val="22"/>
          <w:szCs w:val="22"/>
        </w:rPr>
        <w:t>According to the Central Bank forecasts</w:t>
      </w:r>
      <w:r w:rsidRPr="00320DDF">
        <w:rPr>
          <w:rFonts w:ascii="Garamond" w:hAnsi="Garamond"/>
          <w:sz w:val="22"/>
          <w:szCs w:val="22"/>
        </w:rPr>
        <w:t>,</w:t>
      </w:r>
      <w:r w:rsidRPr="00320DDF">
        <w:rPr>
          <w:rFonts w:ascii="Garamond" w:hAnsi="Garamond"/>
          <w:b/>
          <w:sz w:val="22"/>
          <w:szCs w:val="22"/>
        </w:rPr>
        <w:t xml:space="preserve"> </w:t>
      </w:r>
      <w:r w:rsidRPr="00320DDF">
        <w:rPr>
          <w:rFonts w:ascii="Garamond" w:hAnsi="Garamond"/>
          <w:sz w:val="22"/>
          <w:szCs w:val="22"/>
        </w:rPr>
        <w:t xml:space="preserve">no significant changes are forecast for global economic growth rates and developments in international commodity markets. However, indicators of remittances of individuals were adjusted upward owing to continued recovery of the Russian economy and revision of the ruble appreciation. In this circumstance, </w:t>
      </w:r>
      <w:r w:rsidRPr="00320DDF">
        <w:rPr>
          <w:rFonts w:ascii="Garamond" w:hAnsi="Garamond"/>
          <w:b/>
          <w:sz w:val="22"/>
          <w:szCs w:val="22"/>
        </w:rPr>
        <w:t xml:space="preserve">minor </w:t>
      </w:r>
      <w:r w:rsidRPr="00320DDF">
        <w:rPr>
          <w:rStyle w:val="longtext"/>
          <w:rFonts w:ascii="Garamond" w:hAnsi="Garamond"/>
          <w:b/>
          <w:sz w:val="22"/>
          <w:szCs w:val="22"/>
          <w:shd w:val="clear" w:color="auto" w:fill="FFFFFF"/>
        </w:rPr>
        <w:t>inflationary pressures from the external environment are likely</w:t>
      </w:r>
      <w:r w:rsidRPr="00320DDF">
        <w:rPr>
          <w:rStyle w:val="longtext"/>
          <w:rFonts w:ascii="Garamond" w:hAnsi="Garamond"/>
          <w:sz w:val="22"/>
          <w:szCs w:val="22"/>
          <w:shd w:val="clear" w:color="auto" w:fill="FFFFFF"/>
        </w:rPr>
        <w:t>.</w:t>
      </w:r>
    </w:p>
    <w:p w14:paraId="2D84FB22" w14:textId="77777777" w:rsidR="00A4793E" w:rsidRPr="00320DDF" w:rsidRDefault="00A4793E" w:rsidP="00A4793E">
      <w:pPr>
        <w:spacing w:line="360" w:lineRule="auto"/>
        <w:jc w:val="both"/>
        <w:rPr>
          <w:rFonts w:ascii="Garamond" w:hAnsi="Garamond"/>
          <w:b/>
          <w:sz w:val="22"/>
          <w:szCs w:val="22"/>
        </w:rPr>
      </w:pPr>
    </w:p>
    <w:p w14:paraId="61A30E15" w14:textId="77777777" w:rsidR="00A4793E" w:rsidRPr="00320DDF" w:rsidRDefault="00A4793E" w:rsidP="00A4793E">
      <w:pPr>
        <w:spacing w:line="360" w:lineRule="auto"/>
        <w:jc w:val="both"/>
        <w:rPr>
          <w:rFonts w:ascii="Garamond" w:hAnsi="Garamond"/>
          <w:sz w:val="22"/>
          <w:szCs w:val="22"/>
        </w:rPr>
      </w:pPr>
      <w:r w:rsidRPr="00320DDF">
        <w:rPr>
          <w:rFonts w:ascii="Garamond" w:hAnsi="Garamond" w:cs="GHEA Grapalat"/>
          <w:sz w:val="22"/>
          <w:szCs w:val="22"/>
        </w:rPr>
        <w:t>The Central Bank’s estimates of the 2017 economic growth rates were revised upside</w:t>
      </w:r>
      <w:r w:rsidRPr="00320DDF">
        <w:rPr>
          <w:rFonts w:ascii="Garamond" w:hAnsi="Garamond" w:cs="GHEA Grapalat"/>
          <w:sz w:val="22"/>
          <w:szCs w:val="22"/>
          <w:lang w:val="hy-AM"/>
        </w:rPr>
        <w:t xml:space="preserve"> </w:t>
      </w:r>
      <w:r w:rsidRPr="00320DDF">
        <w:rPr>
          <w:rFonts w:ascii="Garamond" w:hAnsi="Garamond" w:cs="GHEA Grapalat"/>
          <w:sz w:val="22"/>
          <w:szCs w:val="22"/>
        </w:rPr>
        <w:t xml:space="preserve">mostly thanks to much higher economic activity registered in the first quarter of 2017 and materialization of some of the risks to growth outlined in the previous monetary policy program. As a result, the </w:t>
      </w:r>
      <w:r w:rsidRPr="00320DDF">
        <w:rPr>
          <w:rFonts w:ascii="Garamond" w:hAnsi="Garamond" w:cs="GHEA Grapalat"/>
          <w:b/>
          <w:sz w:val="22"/>
          <w:szCs w:val="22"/>
        </w:rPr>
        <w:t>2017</w:t>
      </w:r>
      <w:r w:rsidRPr="00320DDF">
        <w:rPr>
          <w:rFonts w:ascii="Garamond" w:hAnsi="Garamond" w:cs="GHEA Grapalat"/>
          <w:sz w:val="22"/>
          <w:szCs w:val="22"/>
        </w:rPr>
        <w:t xml:space="preserve"> </w:t>
      </w:r>
      <w:r w:rsidRPr="00320DDF">
        <w:rPr>
          <w:rFonts w:ascii="Garamond" w:hAnsi="Garamond" w:cs="GHEA Grapalat"/>
          <w:b/>
          <w:sz w:val="22"/>
          <w:szCs w:val="22"/>
        </w:rPr>
        <w:t>economic growth is expected within 3.3-4.8%</w:t>
      </w:r>
      <w:r w:rsidRPr="00320DDF">
        <w:rPr>
          <w:rFonts w:ascii="Garamond" w:hAnsi="Garamond" w:cs="GHEA Grapalat"/>
          <w:sz w:val="22"/>
          <w:szCs w:val="22"/>
        </w:rPr>
        <w:t xml:space="preserve">, and the increase is driven solely by domestic demand. What is more, such high growth will offset in part the effect of decline in external demand because of deteriorated net exports. In the structure of domestic demand, private consumption is forecast to grow by 4.3%, private investment, by 6.0%, as well as export and import of goods and services in real terms, within 3.0-5.0% and 4.0-6.0%, respectively. In the meantime, the fiscal policy is predicted to leave a 3.0 </w:t>
      </w:r>
      <w:r w:rsidR="005908C2" w:rsidRPr="00320DDF">
        <w:rPr>
          <w:rFonts w:ascii="Garamond" w:hAnsi="Garamond" w:cs="Sylfaen"/>
          <w:sz w:val="22"/>
          <w:szCs w:val="22"/>
        </w:rPr>
        <w:t>percentage point</w:t>
      </w:r>
      <w:r w:rsidR="005908C2">
        <w:rPr>
          <w:rFonts w:ascii="Garamond" w:hAnsi="Garamond" w:cs="Sylfaen"/>
          <w:sz w:val="22"/>
          <w:szCs w:val="22"/>
        </w:rPr>
        <w:t xml:space="preserve"> </w:t>
      </w:r>
      <w:r w:rsidRPr="00320DDF">
        <w:rPr>
          <w:rFonts w:ascii="Garamond" w:hAnsi="Garamond" w:cs="GHEA Grapalat"/>
          <w:sz w:val="22"/>
          <w:szCs w:val="22"/>
        </w:rPr>
        <w:t xml:space="preserve">contractionary impact on aggregate demand during the year, compared to last year (former forecast remained unchanged). This, however, will be adjusted, depending on the pace of implementation of fiscal policy. From the supply perspective, the growth in industry and agriculture will contribute to the economic growth on the whole. The </w:t>
      </w:r>
      <w:r w:rsidRPr="00320DDF">
        <w:rPr>
          <w:rFonts w:ascii="Garamond" w:hAnsi="Garamond" w:cs="GHEA Grapalat"/>
          <w:b/>
          <w:sz w:val="22"/>
          <w:szCs w:val="22"/>
        </w:rPr>
        <w:lastRenderedPageBreak/>
        <w:t>medium-term forecasts have not been revised</w:t>
      </w:r>
      <w:r w:rsidRPr="00320DDF">
        <w:rPr>
          <w:rFonts w:ascii="Garamond" w:hAnsi="Garamond" w:cs="GHEA Grapalat"/>
          <w:sz w:val="22"/>
          <w:szCs w:val="22"/>
        </w:rPr>
        <w:t xml:space="preserve">; the economic growth will be in the range of </w:t>
      </w:r>
      <w:r w:rsidRPr="00320DDF">
        <w:rPr>
          <w:rFonts w:ascii="Garamond" w:hAnsi="Garamond" w:cs="GHEA Grapalat"/>
          <w:b/>
          <w:sz w:val="22"/>
          <w:szCs w:val="22"/>
        </w:rPr>
        <w:t>2.7-4.5%</w:t>
      </w:r>
      <w:r w:rsidRPr="00320DDF">
        <w:rPr>
          <w:rFonts w:ascii="Garamond" w:hAnsi="Garamond" w:cs="GHEA Grapalat"/>
          <w:sz w:val="22"/>
          <w:szCs w:val="22"/>
        </w:rPr>
        <w:t xml:space="preserve"> in 2018, and </w:t>
      </w:r>
      <w:r w:rsidRPr="00320DDF">
        <w:rPr>
          <w:rFonts w:ascii="Garamond" w:hAnsi="Garamond" w:cs="GHEA Grapalat"/>
          <w:b/>
          <w:sz w:val="22"/>
          <w:szCs w:val="22"/>
        </w:rPr>
        <w:t>3.1-5.2%</w:t>
      </w:r>
      <w:r w:rsidRPr="00320DDF">
        <w:rPr>
          <w:rFonts w:ascii="Garamond" w:hAnsi="Garamond" w:cs="GHEA Grapalat"/>
          <w:sz w:val="22"/>
          <w:szCs w:val="22"/>
        </w:rPr>
        <w:t xml:space="preserve"> in 2019. However, if current high rates of economic growth are maintained, the medium-term forecasts will be revised upward, too.</w:t>
      </w:r>
    </w:p>
    <w:p w14:paraId="47602773" w14:textId="77777777" w:rsidR="00A4793E" w:rsidRPr="00320DDF" w:rsidRDefault="00A4793E" w:rsidP="00A4793E">
      <w:pPr>
        <w:spacing w:line="360" w:lineRule="auto"/>
        <w:jc w:val="both"/>
        <w:rPr>
          <w:rFonts w:ascii="Garamond" w:hAnsi="Garamond"/>
          <w:b/>
          <w:i/>
          <w:sz w:val="22"/>
          <w:szCs w:val="22"/>
        </w:rPr>
      </w:pPr>
    </w:p>
    <w:p w14:paraId="4ED64F3A" w14:textId="77777777" w:rsidR="00A4793E" w:rsidRPr="00320DDF" w:rsidRDefault="00A4793E" w:rsidP="00A4793E">
      <w:pPr>
        <w:spacing w:line="360" w:lineRule="auto"/>
        <w:jc w:val="both"/>
        <w:rPr>
          <w:rFonts w:ascii="Garamond" w:hAnsi="Garamond"/>
          <w:b/>
          <w:sz w:val="22"/>
          <w:szCs w:val="22"/>
        </w:rPr>
      </w:pPr>
      <w:r w:rsidRPr="00320DDF">
        <w:rPr>
          <w:rFonts w:ascii="Garamond" w:hAnsi="Garamond"/>
          <w:sz w:val="22"/>
          <w:szCs w:val="22"/>
        </w:rPr>
        <w:t>Thus,</w:t>
      </w:r>
      <w:r w:rsidRPr="00320DDF">
        <w:rPr>
          <w:rFonts w:ascii="Garamond" w:hAnsi="Garamond"/>
          <w:b/>
          <w:sz w:val="22"/>
          <w:szCs w:val="22"/>
        </w:rPr>
        <w:t xml:space="preserve"> in the forecast horizon up to the second quarter of 2018, the domestic demand’s deflationary impact on domestic prices will gradually weaken. Then, up until the end of the forecast horizon, it will turn into that of inflationary, which is in line with the forecast of the previous program.</w:t>
      </w:r>
    </w:p>
    <w:p w14:paraId="0EAA45DB" w14:textId="77777777" w:rsidR="00A4793E" w:rsidRPr="00320DDF" w:rsidRDefault="00A4793E" w:rsidP="00A4793E">
      <w:pPr>
        <w:spacing w:line="360" w:lineRule="auto"/>
        <w:jc w:val="both"/>
        <w:rPr>
          <w:rFonts w:ascii="Garamond" w:hAnsi="Garamond"/>
          <w:b/>
          <w:sz w:val="22"/>
          <w:szCs w:val="22"/>
        </w:rPr>
      </w:pPr>
    </w:p>
    <w:p w14:paraId="3546979C" w14:textId="154C7C93" w:rsidR="00A4793E" w:rsidRPr="00320DDF" w:rsidRDefault="00A4793E" w:rsidP="00A4793E">
      <w:pPr>
        <w:spacing w:line="360" w:lineRule="auto"/>
        <w:jc w:val="both"/>
        <w:rPr>
          <w:rFonts w:ascii="Garamond" w:hAnsi="Garamond"/>
          <w:sz w:val="22"/>
          <w:szCs w:val="22"/>
        </w:rPr>
      </w:pPr>
      <w:r w:rsidRPr="00320DDF">
        <w:rPr>
          <w:rFonts w:ascii="Garamond" w:hAnsi="Garamond"/>
          <w:b/>
          <w:sz w:val="22"/>
          <w:szCs w:val="22"/>
        </w:rPr>
        <w:t>According to the Central Bank forecasts</w:t>
      </w:r>
      <w:r w:rsidRPr="00320DDF">
        <w:rPr>
          <w:rFonts w:ascii="Garamond" w:hAnsi="Garamond"/>
          <w:sz w:val="22"/>
          <w:szCs w:val="22"/>
        </w:rPr>
        <w:t xml:space="preserve">, the inflation indicator forecast for end-2017 was revised upside driven by higher-than-expected prices of seasonal products on the one hand and in anticipation of faster recovering prices of non-food products and services during 2017 amid accelerating pace of recovery in aggregate demand on the other. The Central Bank estimates that by the end of the year the </w:t>
      </w:r>
      <w:r w:rsidRPr="00320DDF">
        <w:rPr>
          <w:rFonts w:ascii="Garamond" w:hAnsi="Garamond"/>
          <w:b/>
          <w:sz w:val="22"/>
          <w:szCs w:val="22"/>
        </w:rPr>
        <w:t>12-month inflation rate</w:t>
      </w:r>
      <w:r w:rsidRPr="00320DDF">
        <w:rPr>
          <w:rFonts w:ascii="Garamond" w:hAnsi="Garamond"/>
          <w:sz w:val="22"/>
          <w:szCs w:val="22"/>
        </w:rPr>
        <w:t xml:space="preserve"> will be within the lower bound of the confidence </w:t>
      </w:r>
      <w:proofErr w:type="gramStart"/>
      <w:r w:rsidRPr="00320DDF">
        <w:rPr>
          <w:rFonts w:ascii="Garamond" w:hAnsi="Garamond"/>
          <w:sz w:val="22"/>
          <w:szCs w:val="22"/>
        </w:rPr>
        <w:t xml:space="preserve">band </w:t>
      </w:r>
      <w:r w:rsidR="002E7657">
        <w:rPr>
          <w:rFonts w:ascii="Garamond" w:hAnsi="Garamond"/>
          <w:sz w:val="22"/>
          <w:szCs w:val="22"/>
        </w:rPr>
        <w:t xml:space="preserve"> and</w:t>
      </w:r>
      <w:proofErr w:type="gramEnd"/>
      <w:r w:rsidR="002E7657" w:rsidRPr="00320DDF">
        <w:rPr>
          <w:rFonts w:ascii="Garamond" w:hAnsi="Garamond"/>
          <w:sz w:val="22"/>
          <w:szCs w:val="22"/>
        </w:rPr>
        <w:t xml:space="preserve"> </w:t>
      </w:r>
      <w:r w:rsidRPr="00320DDF">
        <w:rPr>
          <w:rFonts w:ascii="Garamond" w:hAnsi="Garamond"/>
          <w:sz w:val="22"/>
          <w:szCs w:val="22"/>
        </w:rPr>
        <w:t xml:space="preserve">in the rest of forecast horizon it will gradually stabilize around the 4% target. </w:t>
      </w:r>
    </w:p>
    <w:p w14:paraId="70330639" w14:textId="77777777" w:rsidR="00A4793E" w:rsidRPr="00320DDF" w:rsidRDefault="00A4793E" w:rsidP="00A4793E">
      <w:pPr>
        <w:spacing w:line="360" w:lineRule="auto"/>
        <w:jc w:val="both"/>
        <w:rPr>
          <w:rFonts w:ascii="Garamond" w:hAnsi="Garamond"/>
          <w:sz w:val="22"/>
          <w:szCs w:val="22"/>
        </w:rPr>
      </w:pPr>
    </w:p>
    <w:p w14:paraId="7082AEA4" w14:textId="77777777" w:rsidR="00A4793E" w:rsidRPr="00320DDF" w:rsidRDefault="00A4793E" w:rsidP="00A4793E">
      <w:pPr>
        <w:spacing w:line="360" w:lineRule="auto"/>
        <w:jc w:val="both"/>
        <w:rPr>
          <w:rFonts w:ascii="Garamond" w:hAnsi="Garamond"/>
          <w:sz w:val="22"/>
          <w:szCs w:val="22"/>
        </w:rPr>
      </w:pPr>
      <w:r w:rsidRPr="00320DDF">
        <w:rPr>
          <w:rFonts w:ascii="Garamond" w:hAnsi="Garamond"/>
          <w:sz w:val="22"/>
          <w:szCs w:val="22"/>
        </w:rPr>
        <w:t xml:space="preserve">Given the assessment that current monetary conditions are still stimulating and facilitate the recovery of aggregate demand and help the inflation stabilize around the target, the </w:t>
      </w:r>
      <w:r w:rsidRPr="00320DDF">
        <w:rPr>
          <w:rFonts w:ascii="Garamond" w:hAnsi="Garamond"/>
          <w:b/>
          <w:sz w:val="22"/>
          <w:szCs w:val="22"/>
        </w:rPr>
        <w:t>Central Bank considers it appropriate to</w:t>
      </w:r>
      <w:r w:rsidRPr="00320DDF">
        <w:rPr>
          <w:rFonts w:ascii="Garamond" w:hAnsi="Garamond"/>
          <w:sz w:val="22"/>
          <w:szCs w:val="22"/>
        </w:rPr>
        <w:t xml:space="preserve"> </w:t>
      </w:r>
      <w:r w:rsidRPr="00320DDF">
        <w:rPr>
          <w:rFonts w:ascii="Garamond" w:hAnsi="Garamond"/>
          <w:b/>
          <w:sz w:val="22"/>
          <w:szCs w:val="22"/>
        </w:rPr>
        <w:t>leave monetary conditions unchanged in the second quarter of 2017</w:t>
      </w:r>
      <w:r w:rsidRPr="00320DDF">
        <w:rPr>
          <w:rFonts w:ascii="Garamond" w:hAnsi="Garamond"/>
          <w:sz w:val="22"/>
          <w:szCs w:val="22"/>
        </w:rPr>
        <w:t xml:space="preserve">. </w:t>
      </w:r>
    </w:p>
    <w:p w14:paraId="6072C62F" w14:textId="77777777" w:rsidR="00A4793E" w:rsidRPr="00320DDF" w:rsidRDefault="00A4793E" w:rsidP="00A4793E">
      <w:pPr>
        <w:spacing w:line="360" w:lineRule="auto"/>
        <w:jc w:val="both"/>
        <w:rPr>
          <w:rFonts w:ascii="Garamond" w:hAnsi="Garamond"/>
          <w:sz w:val="22"/>
          <w:szCs w:val="22"/>
        </w:rPr>
      </w:pPr>
    </w:p>
    <w:p w14:paraId="2E29D59D" w14:textId="77777777" w:rsidR="00A4793E" w:rsidRPr="00320DDF" w:rsidRDefault="00A4793E" w:rsidP="00A4793E">
      <w:pPr>
        <w:spacing w:line="360" w:lineRule="auto"/>
        <w:jc w:val="both"/>
        <w:rPr>
          <w:rFonts w:ascii="Garamond" w:hAnsi="Garamond"/>
          <w:sz w:val="22"/>
          <w:szCs w:val="22"/>
        </w:rPr>
      </w:pPr>
      <w:r w:rsidRPr="00320DDF">
        <w:rPr>
          <w:rFonts w:ascii="Garamond" w:hAnsi="Garamond"/>
          <w:sz w:val="22"/>
          <w:szCs w:val="22"/>
        </w:rPr>
        <w:t>Risks that inflation will deviate from the</w:t>
      </w:r>
      <w:r w:rsidRPr="00320DDF">
        <w:rPr>
          <w:rFonts w:ascii="Garamond" w:hAnsi="Garamond"/>
          <w:sz w:val="22"/>
          <w:szCs w:val="22"/>
          <w:lang w:val="hy-AM"/>
        </w:rPr>
        <w:t xml:space="preserve"> </w:t>
      </w:r>
      <w:r w:rsidRPr="00320DDF">
        <w:rPr>
          <w:rFonts w:ascii="Garamond" w:hAnsi="Garamond"/>
          <w:sz w:val="22"/>
          <w:szCs w:val="22"/>
        </w:rPr>
        <w:t>projected value</w:t>
      </w:r>
      <w:r w:rsidRPr="00320DDF">
        <w:rPr>
          <w:rFonts w:ascii="Garamond" w:hAnsi="Garamond"/>
          <w:sz w:val="22"/>
          <w:szCs w:val="22"/>
          <w:lang w:val="hy-AM"/>
        </w:rPr>
        <w:t xml:space="preserve"> </w:t>
      </w:r>
      <w:r w:rsidRPr="00320DDF">
        <w:rPr>
          <w:rFonts w:ascii="Garamond" w:hAnsi="Garamond"/>
          <w:sz w:val="22"/>
          <w:szCs w:val="22"/>
        </w:rPr>
        <w:t xml:space="preserve">are generally balanced in both short and medium-term perspectives. </w:t>
      </w:r>
    </w:p>
    <w:p w14:paraId="15F4A807" w14:textId="77777777" w:rsidR="00A4793E" w:rsidRPr="00320DDF" w:rsidRDefault="00A4793E" w:rsidP="00A4793E">
      <w:pPr>
        <w:spacing w:line="360" w:lineRule="auto"/>
        <w:jc w:val="both"/>
        <w:rPr>
          <w:rFonts w:ascii="Garamond" w:hAnsi="Garamond"/>
          <w:sz w:val="22"/>
          <w:szCs w:val="22"/>
        </w:rPr>
      </w:pPr>
    </w:p>
    <w:p w14:paraId="65DECCAA" w14:textId="77777777" w:rsidR="00A4793E" w:rsidRPr="00320DDF" w:rsidRDefault="00A4793E" w:rsidP="00A4793E">
      <w:pPr>
        <w:spacing w:line="360" w:lineRule="auto"/>
        <w:jc w:val="both"/>
        <w:rPr>
          <w:rFonts w:ascii="Garamond" w:hAnsi="Garamond"/>
          <w:color w:val="000000"/>
          <w:sz w:val="22"/>
          <w:szCs w:val="22"/>
        </w:rPr>
      </w:pPr>
      <w:r w:rsidRPr="00320DDF">
        <w:rPr>
          <w:rFonts w:ascii="Garamond" w:hAnsi="Garamond"/>
          <w:color w:val="000000"/>
          <w:sz w:val="22"/>
          <w:szCs w:val="22"/>
        </w:rPr>
        <w:t xml:space="preserve">Risks deriving from external and domestic sectors amid gradually rebounding global economy and the aforementioned developments in the domestic sector are generally estimated </w:t>
      </w:r>
      <w:r w:rsidR="00C33FED" w:rsidRPr="00320DDF">
        <w:rPr>
          <w:rFonts w:ascii="Garamond" w:hAnsi="Garamond"/>
          <w:color w:val="000000"/>
          <w:sz w:val="22"/>
          <w:szCs w:val="22"/>
        </w:rPr>
        <w:t xml:space="preserve">as </w:t>
      </w:r>
      <w:r w:rsidRPr="00320DDF">
        <w:rPr>
          <w:rFonts w:ascii="Garamond" w:hAnsi="Garamond"/>
          <w:color w:val="000000"/>
          <w:sz w:val="22"/>
          <w:szCs w:val="22"/>
        </w:rPr>
        <w:t xml:space="preserve">balanced as well. </w:t>
      </w:r>
    </w:p>
    <w:p w14:paraId="2F5E7179" w14:textId="77777777" w:rsidR="00A4793E" w:rsidRPr="00320DDF" w:rsidRDefault="00A4793E" w:rsidP="00A4793E">
      <w:pPr>
        <w:spacing w:line="360" w:lineRule="auto"/>
        <w:jc w:val="both"/>
        <w:rPr>
          <w:rFonts w:ascii="Garamond" w:hAnsi="Garamond"/>
          <w:color w:val="000000"/>
          <w:sz w:val="22"/>
          <w:szCs w:val="22"/>
        </w:rPr>
      </w:pPr>
    </w:p>
    <w:p w14:paraId="5533EF05" w14:textId="77777777" w:rsidR="00A4793E" w:rsidRPr="00320DDF" w:rsidRDefault="00A4793E" w:rsidP="00A4793E">
      <w:pPr>
        <w:spacing w:line="360" w:lineRule="auto"/>
        <w:jc w:val="both"/>
        <w:rPr>
          <w:rFonts w:ascii="Garamond" w:hAnsi="Garamond"/>
          <w:b/>
          <w:sz w:val="22"/>
          <w:szCs w:val="22"/>
        </w:rPr>
      </w:pPr>
      <w:r w:rsidRPr="00320DDF">
        <w:rPr>
          <w:rFonts w:ascii="Garamond" w:hAnsi="Garamond"/>
          <w:sz w:val="22"/>
          <w:szCs w:val="22"/>
        </w:rPr>
        <w:t>If these risks materialize, the Central Bank will react accordingly by maintaining the inflation target in the medium run.</w:t>
      </w:r>
    </w:p>
    <w:p w14:paraId="44657845" w14:textId="77777777" w:rsidR="00A4793E" w:rsidRPr="00320DDF" w:rsidRDefault="00A4793E" w:rsidP="00B117C8">
      <w:pPr>
        <w:spacing w:line="360" w:lineRule="auto"/>
        <w:jc w:val="both"/>
        <w:rPr>
          <w:rFonts w:ascii="Garamond" w:hAnsi="Garamond"/>
          <w:b/>
          <w:sz w:val="22"/>
          <w:szCs w:val="22"/>
        </w:rPr>
      </w:pPr>
    </w:p>
    <w:p w14:paraId="03C3C6A9" w14:textId="77777777" w:rsidR="004F78DC" w:rsidRPr="00320DDF" w:rsidRDefault="004F78DC" w:rsidP="00B117C8">
      <w:pPr>
        <w:spacing w:line="360" w:lineRule="auto"/>
        <w:jc w:val="both"/>
        <w:rPr>
          <w:rFonts w:ascii="Garamond" w:hAnsi="Garamond" w:cs="GHEA Grapalat"/>
          <w:sz w:val="22"/>
          <w:szCs w:val="22"/>
        </w:rPr>
      </w:pPr>
      <w:r w:rsidRPr="00320DDF">
        <w:rPr>
          <w:rFonts w:ascii="Garamond" w:hAnsi="Garamond"/>
          <w:b/>
          <w:sz w:val="22"/>
          <w:szCs w:val="22"/>
        </w:rPr>
        <w:t>2. Forecast, Forecast Changes and Risks</w:t>
      </w:r>
    </w:p>
    <w:p w14:paraId="08A901D6" w14:textId="77777777" w:rsidR="004F78DC" w:rsidRPr="00320DDF" w:rsidRDefault="004F78DC" w:rsidP="00B117C8">
      <w:pPr>
        <w:spacing w:line="360" w:lineRule="auto"/>
        <w:jc w:val="both"/>
        <w:rPr>
          <w:rStyle w:val="FootnoteReference"/>
          <w:rFonts w:ascii="Garamond" w:hAnsi="Garamond"/>
          <w:b/>
          <w:sz w:val="22"/>
          <w:szCs w:val="22"/>
        </w:rPr>
      </w:pPr>
      <w:r w:rsidRPr="00320DDF">
        <w:rPr>
          <w:rFonts w:ascii="Garamond" w:hAnsi="Garamond"/>
          <w:b/>
          <w:sz w:val="22"/>
          <w:szCs w:val="22"/>
        </w:rPr>
        <w:t>2.1. External environment</w:t>
      </w:r>
      <w:r w:rsidR="004C715C" w:rsidRPr="00320DDF">
        <w:rPr>
          <w:rStyle w:val="FootnoteReference"/>
          <w:rFonts w:ascii="Garamond" w:hAnsi="Garamond"/>
          <w:b/>
          <w:sz w:val="22"/>
          <w:szCs w:val="22"/>
        </w:rPr>
        <w:footnoteReference w:customMarkFollows="1" w:id="1"/>
        <w:t>1</w:t>
      </w:r>
    </w:p>
    <w:p w14:paraId="56B82A4F" w14:textId="77777777" w:rsidR="00B15F2B" w:rsidRPr="00320DDF" w:rsidRDefault="00B15F2B" w:rsidP="00B117C8">
      <w:pPr>
        <w:spacing w:line="360" w:lineRule="auto"/>
        <w:jc w:val="both"/>
        <w:rPr>
          <w:rFonts w:ascii="Garamond" w:hAnsi="Garamond"/>
          <w:b/>
          <w:sz w:val="22"/>
          <w:szCs w:val="22"/>
        </w:rPr>
      </w:pPr>
    </w:p>
    <w:p w14:paraId="723C020C" w14:textId="77777777" w:rsidR="00B15F2B" w:rsidRPr="00320DDF" w:rsidRDefault="00CD18CA" w:rsidP="00B117C8">
      <w:pPr>
        <w:spacing w:line="360" w:lineRule="auto"/>
        <w:jc w:val="both"/>
        <w:rPr>
          <w:rFonts w:ascii="Garamond" w:hAnsi="Garamond" w:cs="Sylfaen"/>
          <w:b/>
          <w:sz w:val="22"/>
          <w:szCs w:val="22"/>
        </w:rPr>
      </w:pPr>
      <w:r w:rsidRPr="00320DDF">
        <w:rPr>
          <w:rFonts w:ascii="Garamond" w:hAnsi="Garamond" w:cs="Sylfaen"/>
          <w:b/>
          <w:sz w:val="22"/>
          <w:szCs w:val="22"/>
        </w:rPr>
        <w:lastRenderedPageBreak/>
        <w:t xml:space="preserve">The world economy </w:t>
      </w:r>
      <w:r w:rsidR="0009011E">
        <w:rPr>
          <w:rFonts w:ascii="Garamond" w:hAnsi="Garamond" w:cs="Sylfaen"/>
          <w:b/>
          <w:sz w:val="22"/>
          <w:szCs w:val="22"/>
        </w:rPr>
        <w:t xml:space="preserve">is expected to </w:t>
      </w:r>
      <w:r w:rsidR="00512667" w:rsidRPr="00320DDF">
        <w:rPr>
          <w:rFonts w:ascii="Garamond" w:hAnsi="Garamond" w:cs="Sylfaen"/>
          <w:b/>
          <w:sz w:val="22"/>
          <w:szCs w:val="22"/>
        </w:rPr>
        <w:t>g</w:t>
      </w:r>
      <w:r w:rsidRPr="00320DDF">
        <w:rPr>
          <w:rFonts w:ascii="Garamond" w:hAnsi="Garamond" w:cs="Sylfaen"/>
          <w:b/>
          <w:sz w:val="22"/>
          <w:szCs w:val="22"/>
        </w:rPr>
        <w:t>row more rapidly in 2017</w:t>
      </w:r>
      <w:r w:rsidR="00512667" w:rsidRPr="00320DDF">
        <w:rPr>
          <w:rFonts w:ascii="Garamond" w:hAnsi="Garamond" w:cs="Sylfaen"/>
          <w:b/>
          <w:sz w:val="22"/>
          <w:szCs w:val="22"/>
        </w:rPr>
        <w:t>.</w:t>
      </w:r>
      <w:r w:rsidRPr="00320DDF">
        <w:rPr>
          <w:rFonts w:ascii="Garamond" w:hAnsi="Garamond" w:cs="Sylfaen"/>
          <w:b/>
          <w:sz w:val="22"/>
          <w:szCs w:val="22"/>
        </w:rPr>
        <w:t xml:space="preserve"> In particular, </w:t>
      </w:r>
      <w:r w:rsidR="00512667" w:rsidRPr="00320DDF">
        <w:rPr>
          <w:rFonts w:ascii="Garamond" w:hAnsi="Garamond" w:cs="Sylfaen"/>
          <w:b/>
          <w:sz w:val="22"/>
          <w:szCs w:val="22"/>
        </w:rPr>
        <w:t xml:space="preserve">faster </w:t>
      </w:r>
      <w:r w:rsidRPr="00320DDF">
        <w:rPr>
          <w:rFonts w:ascii="Garamond" w:hAnsi="Garamond" w:cs="Sylfaen"/>
          <w:b/>
          <w:sz w:val="22"/>
          <w:szCs w:val="22"/>
        </w:rPr>
        <w:t xml:space="preserve">economic growth </w:t>
      </w:r>
      <w:r w:rsidR="00512667" w:rsidRPr="00320DDF">
        <w:rPr>
          <w:rFonts w:ascii="Garamond" w:hAnsi="Garamond" w:cs="Sylfaen"/>
          <w:b/>
          <w:sz w:val="22"/>
          <w:szCs w:val="22"/>
        </w:rPr>
        <w:t xml:space="preserve">rates are expected </w:t>
      </w:r>
      <w:r w:rsidRPr="00320DDF">
        <w:rPr>
          <w:rFonts w:ascii="Garamond" w:hAnsi="Garamond" w:cs="Sylfaen"/>
          <w:b/>
          <w:sz w:val="22"/>
          <w:szCs w:val="22"/>
        </w:rPr>
        <w:t>in the USA</w:t>
      </w:r>
      <w:r w:rsidR="00512667" w:rsidRPr="00320DDF">
        <w:rPr>
          <w:rFonts w:ascii="Garamond" w:hAnsi="Garamond" w:cs="Sylfaen"/>
          <w:b/>
          <w:sz w:val="22"/>
          <w:szCs w:val="22"/>
        </w:rPr>
        <w:t xml:space="preserve"> and Russian Federation – principal trade partners to Armenia</w:t>
      </w:r>
      <w:r w:rsidRPr="00320DDF">
        <w:rPr>
          <w:rFonts w:ascii="Garamond" w:hAnsi="Garamond" w:cs="Sylfaen"/>
          <w:b/>
          <w:sz w:val="22"/>
          <w:szCs w:val="22"/>
        </w:rPr>
        <w:t xml:space="preserve">, </w:t>
      </w:r>
      <w:r w:rsidR="00DC405B" w:rsidRPr="00320DDF">
        <w:rPr>
          <w:rFonts w:ascii="Garamond" w:hAnsi="Garamond" w:cs="Sylfaen"/>
          <w:b/>
          <w:sz w:val="22"/>
          <w:szCs w:val="22"/>
        </w:rPr>
        <w:t xml:space="preserve">and </w:t>
      </w:r>
      <w:r w:rsidR="00E70851" w:rsidRPr="00320DDF">
        <w:rPr>
          <w:rFonts w:ascii="Garamond" w:hAnsi="Garamond" w:cs="Sylfaen"/>
          <w:b/>
          <w:sz w:val="22"/>
          <w:szCs w:val="22"/>
        </w:rPr>
        <w:t xml:space="preserve">somewhat a slower growth in </w:t>
      </w:r>
      <w:r w:rsidRPr="00320DDF">
        <w:rPr>
          <w:rFonts w:ascii="Garamond" w:hAnsi="Garamond" w:cs="Sylfaen"/>
          <w:b/>
          <w:sz w:val="22"/>
          <w:szCs w:val="22"/>
        </w:rPr>
        <w:t xml:space="preserve">the </w:t>
      </w:r>
      <w:r w:rsidR="00E70851" w:rsidRPr="00320DDF">
        <w:rPr>
          <w:rFonts w:ascii="Garamond" w:hAnsi="Garamond" w:cs="Sylfaen"/>
          <w:b/>
          <w:sz w:val="22"/>
          <w:szCs w:val="22"/>
        </w:rPr>
        <w:t>E</w:t>
      </w:r>
      <w:r w:rsidRPr="00320DDF">
        <w:rPr>
          <w:rFonts w:ascii="Garamond" w:hAnsi="Garamond" w:cs="Sylfaen"/>
          <w:b/>
          <w:sz w:val="22"/>
          <w:szCs w:val="22"/>
        </w:rPr>
        <w:t>uro</w:t>
      </w:r>
      <w:r w:rsidR="00E70851" w:rsidRPr="00320DDF">
        <w:rPr>
          <w:rFonts w:ascii="Garamond" w:hAnsi="Garamond" w:cs="Sylfaen"/>
          <w:b/>
          <w:sz w:val="22"/>
          <w:szCs w:val="22"/>
        </w:rPr>
        <w:t>zone</w:t>
      </w:r>
      <w:r w:rsidR="00B15F2B" w:rsidRPr="00320DDF">
        <w:rPr>
          <w:rFonts w:ascii="Garamond" w:hAnsi="Garamond" w:cs="Sylfaen"/>
          <w:b/>
          <w:sz w:val="22"/>
          <w:szCs w:val="22"/>
        </w:rPr>
        <w:t xml:space="preserve">. </w:t>
      </w:r>
    </w:p>
    <w:p w14:paraId="03276F0A" w14:textId="77777777" w:rsidR="00B15F2B" w:rsidRPr="00320DDF" w:rsidRDefault="00B15F2B" w:rsidP="00B117C8">
      <w:pPr>
        <w:spacing w:line="360" w:lineRule="auto"/>
        <w:jc w:val="both"/>
        <w:rPr>
          <w:rFonts w:ascii="Garamond" w:hAnsi="Garamond" w:cs="Sylfaen"/>
          <w:b/>
          <w:i/>
          <w:sz w:val="22"/>
          <w:szCs w:val="22"/>
        </w:rPr>
      </w:pPr>
    </w:p>
    <w:p w14:paraId="1ADB7CAC" w14:textId="77777777" w:rsidR="00B15F2B" w:rsidRPr="00320DDF" w:rsidRDefault="00DC405B" w:rsidP="00B117C8">
      <w:pPr>
        <w:spacing w:line="360" w:lineRule="auto"/>
        <w:jc w:val="both"/>
        <w:rPr>
          <w:rFonts w:ascii="Garamond" w:hAnsi="Garamond"/>
          <w:b/>
          <w:sz w:val="22"/>
          <w:szCs w:val="22"/>
        </w:rPr>
      </w:pPr>
      <w:r w:rsidRPr="00320DDF">
        <w:rPr>
          <w:rFonts w:ascii="Garamond" w:hAnsi="Garamond"/>
          <w:b/>
          <w:sz w:val="22"/>
          <w:szCs w:val="22"/>
        </w:rPr>
        <w:t>Minor i</w:t>
      </w:r>
      <w:r w:rsidR="00315AA3" w:rsidRPr="00320DDF">
        <w:rPr>
          <w:rFonts w:ascii="Garamond" w:hAnsi="Garamond"/>
          <w:b/>
          <w:sz w:val="22"/>
          <w:szCs w:val="22"/>
        </w:rPr>
        <w:t>n</w:t>
      </w:r>
      <w:r w:rsidR="00A83FE2" w:rsidRPr="00320DDF">
        <w:rPr>
          <w:rFonts w:ascii="Garamond" w:hAnsi="Garamond"/>
          <w:b/>
          <w:sz w:val="22"/>
          <w:szCs w:val="22"/>
        </w:rPr>
        <w:t xml:space="preserve">flationary </w:t>
      </w:r>
      <w:r w:rsidR="00315AA3" w:rsidRPr="00320DDF">
        <w:rPr>
          <w:rFonts w:ascii="Garamond" w:hAnsi="Garamond"/>
          <w:b/>
          <w:sz w:val="22"/>
          <w:szCs w:val="22"/>
        </w:rPr>
        <w:t>patterns</w:t>
      </w:r>
      <w:r w:rsidR="00A83FE2" w:rsidRPr="00320DDF">
        <w:rPr>
          <w:rFonts w:ascii="Garamond" w:hAnsi="Garamond"/>
          <w:b/>
          <w:sz w:val="22"/>
          <w:szCs w:val="22"/>
        </w:rPr>
        <w:t xml:space="preserve"> </w:t>
      </w:r>
      <w:r w:rsidR="00A40624" w:rsidRPr="00320DDF">
        <w:rPr>
          <w:rFonts w:ascii="Garamond" w:hAnsi="Garamond"/>
          <w:b/>
          <w:sz w:val="22"/>
          <w:szCs w:val="22"/>
        </w:rPr>
        <w:t xml:space="preserve">will </w:t>
      </w:r>
      <w:r w:rsidR="00E70851" w:rsidRPr="00320DDF">
        <w:rPr>
          <w:rFonts w:ascii="Garamond" w:hAnsi="Garamond"/>
          <w:b/>
          <w:sz w:val="22"/>
          <w:szCs w:val="22"/>
        </w:rPr>
        <w:t xml:space="preserve">be observable </w:t>
      </w:r>
      <w:r w:rsidR="004D7E21" w:rsidRPr="00320DDF">
        <w:rPr>
          <w:rFonts w:ascii="Garamond" w:hAnsi="Garamond"/>
          <w:b/>
          <w:sz w:val="22"/>
          <w:szCs w:val="22"/>
        </w:rPr>
        <w:t xml:space="preserve">this year </w:t>
      </w:r>
      <w:r w:rsidR="00A83FE2" w:rsidRPr="00320DDF">
        <w:rPr>
          <w:rFonts w:ascii="Garamond" w:hAnsi="Garamond"/>
          <w:b/>
          <w:sz w:val="22"/>
          <w:szCs w:val="22"/>
        </w:rPr>
        <w:t>in international markets of raw materials and food products</w:t>
      </w:r>
      <w:r w:rsidR="00A40624" w:rsidRPr="00320DDF">
        <w:rPr>
          <w:rFonts w:ascii="Garamond" w:hAnsi="Garamond"/>
          <w:b/>
          <w:sz w:val="22"/>
          <w:szCs w:val="22"/>
        </w:rPr>
        <w:t xml:space="preserve">, except for the </w:t>
      </w:r>
      <w:r w:rsidRPr="00320DDF">
        <w:rPr>
          <w:rFonts w:ascii="Garamond" w:hAnsi="Garamond"/>
          <w:b/>
          <w:sz w:val="22"/>
          <w:szCs w:val="22"/>
        </w:rPr>
        <w:t xml:space="preserve">copper </w:t>
      </w:r>
      <w:r w:rsidR="00A40624" w:rsidRPr="00320DDF">
        <w:rPr>
          <w:rFonts w:ascii="Garamond" w:hAnsi="Garamond"/>
          <w:b/>
          <w:sz w:val="22"/>
          <w:szCs w:val="22"/>
        </w:rPr>
        <w:t>market</w:t>
      </w:r>
      <w:r w:rsidRPr="00320DDF">
        <w:rPr>
          <w:rFonts w:ascii="Garamond" w:hAnsi="Garamond"/>
          <w:b/>
          <w:sz w:val="22"/>
          <w:szCs w:val="22"/>
        </w:rPr>
        <w:t xml:space="preserve"> which will be highly inflationary. Inflationary trends previously observed in the sugar market will slow down</w:t>
      </w:r>
      <w:r w:rsidR="00A83FE2" w:rsidRPr="00320DDF">
        <w:rPr>
          <w:rFonts w:ascii="Garamond" w:hAnsi="Garamond"/>
          <w:b/>
          <w:sz w:val="22"/>
          <w:szCs w:val="22"/>
        </w:rPr>
        <w:t xml:space="preserve">. </w:t>
      </w:r>
    </w:p>
    <w:p w14:paraId="714A8223" w14:textId="77777777" w:rsidR="00F028F0" w:rsidRPr="00320DDF" w:rsidRDefault="00F028F0" w:rsidP="00B117C8">
      <w:pPr>
        <w:spacing w:line="360" w:lineRule="auto"/>
        <w:jc w:val="both"/>
        <w:rPr>
          <w:rFonts w:ascii="Garamond" w:hAnsi="Garamond"/>
          <w:b/>
          <w:i/>
          <w:sz w:val="22"/>
          <w:szCs w:val="22"/>
        </w:rPr>
      </w:pPr>
    </w:p>
    <w:p w14:paraId="526F7DA3" w14:textId="77777777" w:rsidR="00C322EA" w:rsidRPr="00320DDF" w:rsidRDefault="00F028F0" w:rsidP="00B117C8">
      <w:pPr>
        <w:spacing w:line="360" w:lineRule="auto"/>
        <w:jc w:val="both"/>
        <w:rPr>
          <w:rFonts w:ascii="Garamond" w:hAnsi="Garamond" w:cs="Sylfaen"/>
          <w:color w:val="000000"/>
          <w:sz w:val="22"/>
          <w:szCs w:val="22"/>
        </w:rPr>
      </w:pPr>
      <w:r w:rsidRPr="00320DDF">
        <w:rPr>
          <w:rFonts w:ascii="Garamond" w:hAnsi="Garamond" w:cs="Sylfaen"/>
          <w:sz w:val="22"/>
          <w:szCs w:val="22"/>
        </w:rPr>
        <w:t xml:space="preserve">Economic growth in the </w:t>
      </w:r>
      <w:r w:rsidRPr="00320DDF">
        <w:rPr>
          <w:rFonts w:ascii="Garamond" w:hAnsi="Garamond" w:cs="Sylfaen"/>
          <w:b/>
          <w:sz w:val="22"/>
          <w:szCs w:val="22"/>
        </w:rPr>
        <w:t>U.S.A.</w:t>
      </w:r>
      <w:r w:rsidRPr="00320DDF">
        <w:rPr>
          <w:rFonts w:ascii="Garamond" w:hAnsi="Garamond" w:cs="Sylfaen"/>
          <w:sz w:val="22"/>
          <w:szCs w:val="22"/>
        </w:rPr>
        <w:t xml:space="preserve"> </w:t>
      </w:r>
      <w:r w:rsidR="004D7E21" w:rsidRPr="00320DDF">
        <w:rPr>
          <w:rFonts w:ascii="Garamond" w:hAnsi="Garamond" w:cs="Sylfaen"/>
          <w:sz w:val="22"/>
          <w:szCs w:val="22"/>
        </w:rPr>
        <w:t xml:space="preserve">is </w:t>
      </w:r>
      <w:r w:rsidRPr="00320DDF">
        <w:rPr>
          <w:rFonts w:ascii="Garamond" w:hAnsi="Garamond" w:cs="Sylfaen"/>
          <w:sz w:val="22"/>
          <w:szCs w:val="22"/>
        </w:rPr>
        <w:t xml:space="preserve">forecast </w:t>
      </w:r>
      <w:r w:rsidR="00D0709E" w:rsidRPr="00320DDF">
        <w:rPr>
          <w:rFonts w:ascii="Garamond" w:hAnsi="Garamond" w:cs="Sylfaen"/>
          <w:sz w:val="22"/>
          <w:szCs w:val="22"/>
        </w:rPr>
        <w:t xml:space="preserve">to be </w:t>
      </w:r>
      <w:r w:rsidR="004D7E21" w:rsidRPr="00320DDF">
        <w:rPr>
          <w:rFonts w:ascii="Garamond" w:hAnsi="Garamond" w:cs="Sylfaen"/>
          <w:sz w:val="22"/>
          <w:szCs w:val="22"/>
        </w:rPr>
        <w:t>2</w:t>
      </w:r>
      <w:r w:rsidRPr="00320DDF">
        <w:rPr>
          <w:rFonts w:ascii="Garamond" w:hAnsi="Garamond" w:cs="Sylfaen"/>
          <w:sz w:val="22"/>
          <w:szCs w:val="22"/>
        </w:rPr>
        <w:t>.</w:t>
      </w:r>
      <w:r w:rsidR="00DC405B" w:rsidRPr="00320DDF">
        <w:rPr>
          <w:rFonts w:ascii="Garamond" w:hAnsi="Garamond" w:cs="Sylfaen"/>
          <w:sz w:val="22"/>
          <w:szCs w:val="22"/>
        </w:rPr>
        <w:t>4</w:t>
      </w:r>
      <w:r w:rsidRPr="00320DDF">
        <w:rPr>
          <w:rFonts w:ascii="Garamond" w:hAnsi="Garamond" w:cs="Sylfaen"/>
          <w:sz w:val="22"/>
          <w:szCs w:val="22"/>
        </w:rPr>
        <w:t>%</w:t>
      </w:r>
      <w:r w:rsidR="004D7E21" w:rsidRPr="00320DDF">
        <w:rPr>
          <w:rFonts w:ascii="Garamond" w:hAnsi="Garamond" w:cs="Sylfaen"/>
          <w:sz w:val="22"/>
          <w:szCs w:val="22"/>
        </w:rPr>
        <w:t xml:space="preserve"> in 2017 </w:t>
      </w:r>
      <w:r w:rsidR="00DC405B" w:rsidRPr="00320DDF">
        <w:rPr>
          <w:rFonts w:ascii="Garamond" w:hAnsi="Garamond" w:cs="Sylfaen"/>
          <w:sz w:val="22"/>
          <w:szCs w:val="22"/>
        </w:rPr>
        <w:t>against a</w:t>
      </w:r>
      <w:r w:rsidR="004D7E21" w:rsidRPr="00320DDF">
        <w:rPr>
          <w:rFonts w:ascii="Garamond" w:hAnsi="Garamond" w:cs="Sylfaen"/>
          <w:sz w:val="22"/>
          <w:szCs w:val="22"/>
        </w:rPr>
        <w:t xml:space="preserve"> </w:t>
      </w:r>
      <w:r w:rsidR="00DC405B" w:rsidRPr="00320DDF">
        <w:rPr>
          <w:rFonts w:ascii="Garamond" w:hAnsi="Garamond" w:cs="Sylfaen"/>
          <w:sz w:val="22"/>
          <w:szCs w:val="22"/>
        </w:rPr>
        <w:t>former prediction of 2</w:t>
      </w:r>
      <w:r w:rsidR="004D7E21" w:rsidRPr="00320DDF">
        <w:rPr>
          <w:rFonts w:ascii="Garamond" w:hAnsi="Garamond" w:cs="Sylfaen"/>
          <w:sz w:val="22"/>
          <w:szCs w:val="22"/>
        </w:rPr>
        <w:t>.</w:t>
      </w:r>
      <w:r w:rsidR="00DC405B" w:rsidRPr="00320DDF">
        <w:rPr>
          <w:rFonts w:ascii="Garamond" w:hAnsi="Garamond" w:cs="Sylfaen"/>
          <w:sz w:val="22"/>
          <w:szCs w:val="22"/>
        </w:rPr>
        <w:t>3</w:t>
      </w:r>
      <w:r w:rsidR="004D7E21" w:rsidRPr="00320DDF">
        <w:rPr>
          <w:rFonts w:ascii="Garamond" w:hAnsi="Garamond" w:cs="Sylfaen"/>
          <w:sz w:val="22"/>
          <w:szCs w:val="22"/>
        </w:rPr>
        <w:t>% growth</w:t>
      </w:r>
      <w:r w:rsidR="00DC405B" w:rsidRPr="00320DDF">
        <w:rPr>
          <w:rFonts w:ascii="Garamond" w:hAnsi="Garamond" w:cs="Sylfaen"/>
          <w:sz w:val="22"/>
          <w:szCs w:val="22"/>
        </w:rPr>
        <w:t xml:space="preserve">, </w:t>
      </w:r>
      <w:r w:rsidR="004D7E21" w:rsidRPr="00320DDF">
        <w:rPr>
          <w:rFonts w:ascii="Garamond" w:hAnsi="Garamond" w:cs="Sylfaen"/>
          <w:sz w:val="22"/>
          <w:szCs w:val="22"/>
        </w:rPr>
        <w:t xml:space="preserve">and </w:t>
      </w:r>
      <w:r w:rsidR="004D7E21" w:rsidRPr="00320DDF">
        <w:rPr>
          <w:rFonts w:ascii="Garamond" w:hAnsi="Garamond" w:cs="Sylfaen"/>
          <w:color w:val="000000"/>
          <w:sz w:val="22"/>
          <w:szCs w:val="22"/>
        </w:rPr>
        <w:t xml:space="preserve">in the medium-term it is expected to </w:t>
      </w:r>
      <w:r w:rsidR="00DC405B" w:rsidRPr="00320DDF">
        <w:rPr>
          <w:rFonts w:ascii="Garamond" w:hAnsi="Garamond" w:cs="Sylfaen"/>
          <w:color w:val="000000"/>
          <w:sz w:val="22"/>
          <w:szCs w:val="22"/>
        </w:rPr>
        <w:t>follow a path consistent with previous forecasts</w:t>
      </w:r>
      <w:r w:rsidR="00CB434E" w:rsidRPr="00320DDF">
        <w:rPr>
          <w:rStyle w:val="FootnoteReference"/>
          <w:rFonts w:ascii="Garamond" w:hAnsi="Garamond" w:cs="Sylfaen"/>
          <w:color w:val="000000"/>
          <w:sz w:val="22"/>
          <w:szCs w:val="22"/>
        </w:rPr>
        <w:footnoteReference w:customMarkFollows="1" w:id="2"/>
        <w:t>2</w:t>
      </w:r>
      <w:r w:rsidR="0018680E" w:rsidRPr="00320DDF">
        <w:rPr>
          <w:rFonts w:ascii="Garamond" w:hAnsi="Garamond" w:cs="Sylfaen"/>
          <w:color w:val="000000"/>
          <w:sz w:val="22"/>
          <w:szCs w:val="22"/>
        </w:rPr>
        <w:t xml:space="preserve">. </w:t>
      </w:r>
    </w:p>
    <w:p w14:paraId="1A33B90C" w14:textId="77777777" w:rsidR="00C322EA" w:rsidRPr="00320DDF" w:rsidRDefault="00C322EA" w:rsidP="00B117C8">
      <w:pPr>
        <w:spacing w:line="360" w:lineRule="auto"/>
        <w:jc w:val="both"/>
        <w:rPr>
          <w:rFonts w:ascii="Garamond" w:hAnsi="Garamond" w:cs="Sylfaen"/>
          <w:color w:val="000000"/>
          <w:sz w:val="22"/>
          <w:szCs w:val="22"/>
        </w:rPr>
      </w:pPr>
    </w:p>
    <w:p w14:paraId="4D4ECB3D" w14:textId="77777777" w:rsidR="00C11F74" w:rsidRPr="00320DDF" w:rsidRDefault="00C11F74" w:rsidP="00B117C8">
      <w:pPr>
        <w:spacing w:line="360" w:lineRule="auto"/>
        <w:jc w:val="both"/>
        <w:rPr>
          <w:rFonts w:ascii="Garamond" w:hAnsi="Garamond"/>
          <w:sz w:val="22"/>
          <w:szCs w:val="22"/>
        </w:rPr>
      </w:pPr>
      <w:r w:rsidRPr="00320DDF">
        <w:rPr>
          <w:rFonts w:ascii="Garamond" w:hAnsi="Garamond"/>
          <w:sz w:val="22"/>
          <w:szCs w:val="22"/>
        </w:rPr>
        <w:t xml:space="preserve">Economic growth in </w:t>
      </w:r>
      <w:r w:rsidRPr="00320DDF">
        <w:rPr>
          <w:rFonts w:ascii="Garamond" w:hAnsi="Garamond"/>
          <w:b/>
          <w:sz w:val="22"/>
          <w:szCs w:val="22"/>
        </w:rPr>
        <w:t>Eurozone</w:t>
      </w:r>
      <w:r w:rsidRPr="00320DDF">
        <w:rPr>
          <w:rFonts w:ascii="Garamond" w:hAnsi="Garamond"/>
          <w:sz w:val="22"/>
          <w:szCs w:val="22"/>
        </w:rPr>
        <w:t xml:space="preserve"> in 201</w:t>
      </w:r>
      <w:r w:rsidR="00CB434E" w:rsidRPr="00320DDF">
        <w:rPr>
          <w:rFonts w:ascii="Garamond" w:hAnsi="Garamond"/>
          <w:sz w:val="22"/>
          <w:szCs w:val="22"/>
        </w:rPr>
        <w:t>7</w:t>
      </w:r>
      <w:r w:rsidRPr="00320DDF">
        <w:rPr>
          <w:rFonts w:ascii="Garamond" w:hAnsi="Garamond"/>
          <w:sz w:val="22"/>
          <w:szCs w:val="22"/>
        </w:rPr>
        <w:t xml:space="preserve"> is predicted to </w:t>
      </w:r>
      <w:r w:rsidR="00AE080E" w:rsidRPr="00320DDF">
        <w:rPr>
          <w:rFonts w:ascii="Garamond" w:hAnsi="Garamond"/>
          <w:sz w:val="22"/>
          <w:szCs w:val="22"/>
        </w:rPr>
        <w:t>be 1</w:t>
      </w:r>
      <w:r w:rsidRPr="00320DDF">
        <w:rPr>
          <w:rFonts w:ascii="Garamond" w:hAnsi="Garamond"/>
          <w:sz w:val="22"/>
          <w:szCs w:val="22"/>
        </w:rPr>
        <w:t>.</w:t>
      </w:r>
      <w:r w:rsidR="00DC405B" w:rsidRPr="00320DDF">
        <w:rPr>
          <w:rFonts w:ascii="Garamond" w:hAnsi="Garamond"/>
          <w:sz w:val="22"/>
          <w:szCs w:val="22"/>
        </w:rPr>
        <w:t>2</w:t>
      </w:r>
      <w:r w:rsidRPr="00320DDF">
        <w:rPr>
          <w:rFonts w:ascii="Garamond" w:hAnsi="Garamond"/>
          <w:sz w:val="22"/>
          <w:szCs w:val="22"/>
        </w:rPr>
        <w:t xml:space="preserve">% </w:t>
      </w:r>
      <w:r w:rsidR="00CB434E" w:rsidRPr="00320DDF">
        <w:rPr>
          <w:rFonts w:ascii="Garamond" w:hAnsi="Garamond"/>
          <w:sz w:val="22"/>
          <w:szCs w:val="22"/>
        </w:rPr>
        <w:t xml:space="preserve">compared to </w:t>
      </w:r>
      <w:r w:rsidR="00E247D4" w:rsidRPr="00320DDF">
        <w:rPr>
          <w:rFonts w:ascii="Garamond" w:hAnsi="Garamond"/>
          <w:sz w:val="22"/>
          <w:szCs w:val="22"/>
        </w:rPr>
        <w:t xml:space="preserve">the previous growth forecast of </w:t>
      </w:r>
      <w:r w:rsidR="00CB434E" w:rsidRPr="00320DDF">
        <w:rPr>
          <w:rFonts w:ascii="Garamond" w:hAnsi="Garamond"/>
          <w:sz w:val="22"/>
          <w:szCs w:val="22"/>
        </w:rPr>
        <w:t>1.</w:t>
      </w:r>
      <w:r w:rsidR="00DC405B" w:rsidRPr="00320DDF">
        <w:rPr>
          <w:rFonts w:ascii="Garamond" w:hAnsi="Garamond"/>
          <w:sz w:val="22"/>
          <w:szCs w:val="22"/>
        </w:rPr>
        <w:t>3</w:t>
      </w:r>
      <w:r w:rsidR="00D724A0" w:rsidRPr="00320DDF">
        <w:rPr>
          <w:rFonts w:ascii="Garamond" w:hAnsi="Garamond"/>
          <w:sz w:val="22"/>
          <w:szCs w:val="22"/>
        </w:rPr>
        <w:t xml:space="preserve">%. </w:t>
      </w:r>
      <w:r w:rsidR="00E247D4" w:rsidRPr="00320DDF">
        <w:rPr>
          <w:rFonts w:ascii="Garamond" w:hAnsi="Garamond"/>
          <w:sz w:val="22"/>
          <w:szCs w:val="22"/>
        </w:rPr>
        <w:t xml:space="preserve">This small revision mainly owes to the domestic demand rebounding at a slower pace. </w:t>
      </w:r>
      <w:r w:rsidR="00057FE2" w:rsidRPr="00320DDF">
        <w:rPr>
          <w:rFonts w:ascii="Garamond" w:hAnsi="Garamond"/>
          <w:sz w:val="22"/>
          <w:szCs w:val="22"/>
        </w:rPr>
        <w:t>I</w:t>
      </w:r>
      <w:r w:rsidR="00E869D9" w:rsidRPr="00320DDF">
        <w:rPr>
          <w:rFonts w:ascii="Garamond" w:hAnsi="Garamond" w:cs="Sylfaen"/>
          <w:color w:val="000000"/>
          <w:sz w:val="22"/>
          <w:szCs w:val="22"/>
        </w:rPr>
        <w:t>n the medium term</w:t>
      </w:r>
      <w:r w:rsidR="00C71775" w:rsidRPr="00320DDF">
        <w:rPr>
          <w:rFonts w:ascii="Garamond" w:hAnsi="Garamond" w:cs="Sylfaen"/>
          <w:color w:val="000000"/>
          <w:sz w:val="22"/>
          <w:szCs w:val="22"/>
        </w:rPr>
        <w:t>,</w:t>
      </w:r>
      <w:r w:rsidR="00E869D9" w:rsidRPr="00320DDF">
        <w:rPr>
          <w:rFonts w:ascii="Garamond" w:hAnsi="Garamond" w:cs="Sylfaen"/>
          <w:color w:val="000000"/>
          <w:sz w:val="22"/>
          <w:szCs w:val="22"/>
        </w:rPr>
        <w:t xml:space="preserve"> </w:t>
      </w:r>
      <w:r w:rsidR="00185F10" w:rsidRPr="00320DDF">
        <w:rPr>
          <w:rFonts w:ascii="Garamond" w:hAnsi="Garamond" w:cs="Sylfaen"/>
          <w:color w:val="000000"/>
          <w:sz w:val="22"/>
          <w:szCs w:val="22"/>
        </w:rPr>
        <w:t xml:space="preserve">the economic </w:t>
      </w:r>
      <w:r w:rsidR="00C71775" w:rsidRPr="00320DDF">
        <w:rPr>
          <w:rFonts w:ascii="Garamond" w:hAnsi="Garamond" w:cs="Sylfaen"/>
          <w:color w:val="000000"/>
          <w:sz w:val="22"/>
          <w:szCs w:val="22"/>
        </w:rPr>
        <w:t xml:space="preserve">growth </w:t>
      </w:r>
      <w:r w:rsidR="00185F10" w:rsidRPr="00320DDF">
        <w:rPr>
          <w:rFonts w:ascii="Garamond" w:hAnsi="Garamond" w:cs="Sylfaen"/>
          <w:color w:val="000000"/>
          <w:sz w:val="22"/>
          <w:szCs w:val="22"/>
        </w:rPr>
        <w:t xml:space="preserve">will </w:t>
      </w:r>
      <w:r w:rsidR="00E247D4" w:rsidRPr="00320DDF">
        <w:rPr>
          <w:rFonts w:ascii="Garamond" w:hAnsi="Garamond" w:cs="Sylfaen"/>
          <w:color w:val="000000"/>
          <w:sz w:val="22"/>
          <w:szCs w:val="22"/>
        </w:rPr>
        <w:t>not change, averaging around a 1.4</w:t>
      </w:r>
      <w:r w:rsidR="00E869D9" w:rsidRPr="00320DDF">
        <w:rPr>
          <w:rFonts w:ascii="Garamond" w:hAnsi="Garamond" w:cs="Sylfaen"/>
          <w:color w:val="000000"/>
          <w:sz w:val="22"/>
          <w:szCs w:val="22"/>
        </w:rPr>
        <w:t>%</w:t>
      </w:r>
      <w:r w:rsidR="00E247D4" w:rsidRPr="00320DDF">
        <w:rPr>
          <w:rFonts w:ascii="Garamond" w:hAnsi="Garamond" w:cs="Sylfaen"/>
          <w:color w:val="000000"/>
          <w:sz w:val="22"/>
          <w:szCs w:val="22"/>
        </w:rPr>
        <w:t xml:space="preserve"> level</w:t>
      </w:r>
      <w:r w:rsidR="00E869D9" w:rsidRPr="00320DDF">
        <w:rPr>
          <w:rFonts w:ascii="Garamond" w:hAnsi="Garamond" w:cs="Sylfaen"/>
          <w:color w:val="000000"/>
          <w:sz w:val="22"/>
          <w:szCs w:val="22"/>
        </w:rPr>
        <w:t xml:space="preserve">. </w:t>
      </w:r>
    </w:p>
    <w:p w14:paraId="62D7C0BE" w14:textId="77777777" w:rsidR="00F11522" w:rsidRPr="00320DDF" w:rsidRDefault="00F11522" w:rsidP="00B117C8">
      <w:pPr>
        <w:spacing w:line="360" w:lineRule="auto"/>
        <w:jc w:val="both"/>
        <w:rPr>
          <w:rFonts w:ascii="Garamond" w:hAnsi="Garamond"/>
          <w:sz w:val="22"/>
          <w:szCs w:val="22"/>
        </w:rPr>
      </w:pPr>
    </w:p>
    <w:p w14:paraId="0A0A3436" w14:textId="77777777" w:rsidR="00114AC1" w:rsidRPr="00320DDF" w:rsidRDefault="00E247D4" w:rsidP="00B117C8">
      <w:pPr>
        <w:spacing w:line="360" w:lineRule="auto"/>
        <w:jc w:val="both"/>
        <w:rPr>
          <w:rFonts w:ascii="Garamond" w:hAnsi="Garamond" w:cs="Sylfaen"/>
          <w:sz w:val="22"/>
          <w:szCs w:val="22"/>
        </w:rPr>
      </w:pPr>
      <w:r w:rsidRPr="00320DDF">
        <w:rPr>
          <w:rFonts w:ascii="Garamond" w:hAnsi="Garamond" w:cs="Sylfaen"/>
          <w:sz w:val="22"/>
          <w:szCs w:val="22"/>
        </w:rPr>
        <w:t>E</w:t>
      </w:r>
      <w:r w:rsidR="00F11522" w:rsidRPr="00320DDF">
        <w:rPr>
          <w:rFonts w:ascii="Garamond" w:hAnsi="Garamond" w:cs="Sylfaen"/>
          <w:sz w:val="22"/>
          <w:szCs w:val="22"/>
        </w:rPr>
        <w:t xml:space="preserve">conomic </w:t>
      </w:r>
      <w:r w:rsidR="00DC55A0" w:rsidRPr="00320DDF">
        <w:rPr>
          <w:rFonts w:ascii="Garamond" w:hAnsi="Garamond" w:cs="Sylfaen"/>
          <w:sz w:val="22"/>
          <w:szCs w:val="22"/>
        </w:rPr>
        <w:t xml:space="preserve">growth </w:t>
      </w:r>
      <w:r w:rsidR="00F11522" w:rsidRPr="00320DDF">
        <w:rPr>
          <w:rFonts w:ascii="Garamond" w:hAnsi="Garamond" w:cs="Sylfaen"/>
          <w:sz w:val="22"/>
          <w:szCs w:val="22"/>
        </w:rPr>
        <w:t xml:space="preserve">in </w:t>
      </w:r>
      <w:r w:rsidR="00F11522" w:rsidRPr="00320DDF">
        <w:rPr>
          <w:rFonts w:ascii="Garamond" w:hAnsi="Garamond" w:cs="Sylfaen"/>
          <w:b/>
          <w:sz w:val="22"/>
          <w:szCs w:val="22"/>
        </w:rPr>
        <w:t>Russia</w:t>
      </w:r>
      <w:r w:rsidR="00F11522" w:rsidRPr="00320DDF">
        <w:rPr>
          <w:rFonts w:ascii="Garamond" w:hAnsi="Garamond" w:cs="Sylfaen"/>
          <w:sz w:val="22"/>
          <w:szCs w:val="22"/>
        </w:rPr>
        <w:t xml:space="preserve"> </w:t>
      </w:r>
      <w:r w:rsidR="00195151" w:rsidRPr="00320DDF">
        <w:rPr>
          <w:rFonts w:ascii="Garamond" w:hAnsi="Garamond" w:cs="Sylfaen"/>
          <w:sz w:val="22"/>
          <w:szCs w:val="22"/>
        </w:rPr>
        <w:t>i</w:t>
      </w:r>
      <w:r w:rsidR="00DC55A0" w:rsidRPr="00320DDF">
        <w:rPr>
          <w:rFonts w:ascii="Garamond" w:hAnsi="Garamond" w:cs="Sylfaen"/>
          <w:sz w:val="22"/>
          <w:szCs w:val="22"/>
        </w:rPr>
        <w:t xml:space="preserve">n 2017 </w:t>
      </w:r>
      <w:r w:rsidRPr="00320DDF">
        <w:rPr>
          <w:rFonts w:ascii="Garamond" w:hAnsi="Garamond" w:cs="Sylfaen"/>
          <w:sz w:val="22"/>
          <w:szCs w:val="22"/>
        </w:rPr>
        <w:t>is predicted to be 1.6% compared with a previous forecast of 1</w:t>
      </w:r>
      <w:r w:rsidR="00195151" w:rsidRPr="00320DDF">
        <w:rPr>
          <w:rFonts w:ascii="Garamond" w:hAnsi="Garamond" w:cs="Sylfaen"/>
          <w:color w:val="000000"/>
          <w:sz w:val="22"/>
          <w:szCs w:val="22"/>
        </w:rPr>
        <w:t>.</w:t>
      </w:r>
      <w:r w:rsidRPr="00320DDF">
        <w:rPr>
          <w:rFonts w:ascii="Garamond" w:hAnsi="Garamond" w:cs="Sylfaen"/>
          <w:color w:val="000000"/>
          <w:sz w:val="22"/>
          <w:szCs w:val="22"/>
        </w:rPr>
        <w:t>8</w:t>
      </w:r>
      <w:r w:rsidR="00195151" w:rsidRPr="00320DDF">
        <w:rPr>
          <w:rFonts w:ascii="Garamond" w:hAnsi="Garamond" w:cs="Sylfaen"/>
          <w:color w:val="000000"/>
          <w:sz w:val="22"/>
          <w:szCs w:val="22"/>
        </w:rPr>
        <w:t>%</w:t>
      </w:r>
      <w:r w:rsidR="00337C74" w:rsidRPr="00320DDF">
        <w:rPr>
          <w:rFonts w:ascii="Garamond" w:hAnsi="Garamond" w:cs="Sylfaen"/>
          <w:color w:val="000000"/>
          <w:sz w:val="22"/>
          <w:szCs w:val="22"/>
        </w:rPr>
        <w:t xml:space="preserve">, </w:t>
      </w:r>
      <w:r w:rsidRPr="00320DDF">
        <w:rPr>
          <w:rFonts w:ascii="Garamond" w:hAnsi="Garamond" w:cs="Sylfaen"/>
          <w:color w:val="000000"/>
          <w:sz w:val="22"/>
          <w:szCs w:val="22"/>
        </w:rPr>
        <w:t xml:space="preserve">which is attributable to </w:t>
      </w:r>
      <w:r w:rsidR="00337C74" w:rsidRPr="00320DDF">
        <w:rPr>
          <w:rFonts w:ascii="Garamond" w:hAnsi="Garamond" w:cs="Sylfaen"/>
          <w:color w:val="000000"/>
          <w:sz w:val="22"/>
          <w:szCs w:val="22"/>
        </w:rPr>
        <w:t xml:space="preserve">lower </w:t>
      </w:r>
      <w:r w:rsidRPr="00320DDF">
        <w:rPr>
          <w:rFonts w:ascii="Garamond" w:hAnsi="Garamond" w:cs="Sylfaen"/>
          <w:color w:val="000000"/>
          <w:sz w:val="22"/>
          <w:szCs w:val="22"/>
        </w:rPr>
        <w:t xml:space="preserve">economic growth </w:t>
      </w:r>
      <w:r w:rsidR="00337C74" w:rsidRPr="00320DDF">
        <w:rPr>
          <w:rFonts w:ascii="Garamond" w:hAnsi="Garamond" w:cs="Sylfaen"/>
          <w:color w:val="000000"/>
          <w:sz w:val="22"/>
          <w:szCs w:val="22"/>
        </w:rPr>
        <w:t xml:space="preserve">reported </w:t>
      </w:r>
      <w:r w:rsidRPr="00320DDF">
        <w:rPr>
          <w:rFonts w:ascii="Garamond" w:hAnsi="Garamond" w:cs="Sylfaen"/>
          <w:color w:val="000000"/>
          <w:sz w:val="22"/>
          <w:szCs w:val="22"/>
        </w:rPr>
        <w:t>in the first quarter</w:t>
      </w:r>
      <w:r w:rsidR="00DC55A0" w:rsidRPr="00320DDF">
        <w:rPr>
          <w:rFonts w:ascii="Garamond" w:hAnsi="Garamond" w:cs="Sylfaen"/>
          <w:color w:val="000000"/>
          <w:sz w:val="22"/>
          <w:szCs w:val="22"/>
        </w:rPr>
        <w:t xml:space="preserve">. </w:t>
      </w:r>
      <w:r w:rsidR="00337C74" w:rsidRPr="00320DDF">
        <w:rPr>
          <w:rFonts w:ascii="Garamond" w:hAnsi="Garamond" w:cs="Sylfaen"/>
          <w:color w:val="000000"/>
          <w:sz w:val="22"/>
          <w:szCs w:val="22"/>
        </w:rPr>
        <w:t>The inflation continues trending downward and is expected to reach its target earlier than anticipated, i.e. the second quarter of 2017. In the medium term, the inflation will be around 4%. The Bank of Russia is likely to continue implementing an expansionary monetary policy</w:t>
      </w:r>
      <w:r w:rsidR="003A4003" w:rsidRPr="00320DDF">
        <w:rPr>
          <w:rFonts w:ascii="Garamond" w:hAnsi="Garamond" w:cs="Sylfaen"/>
          <w:color w:val="000000"/>
          <w:sz w:val="22"/>
          <w:szCs w:val="22"/>
        </w:rPr>
        <w:t xml:space="preserve"> during 2017 </w:t>
      </w:r>
      <w:r w:rsidR="00337C74" w:rsidRPr="00320DDF">
        <w:rPr>
          <w:rFonts w:ascii="Garamond" w:hAnsi="Garamond" w:cs="Sylfaen"/>
          <w:color w:val="000000"/>
          <w:sz w:val="22"/>
          <w:szCs w:val="22"/>
        </w:rPr>
        <w:t>but it will be slightly more expansionary</w:t>
      </w:r>
      <w:r w:rsidR="00D602C6" w:rsidRPr="00320DDF">
        <w:rPr>
          <w:rFonts w:ascii="Garamond" w:hAnsi="Garamond" w:cs="Sylfaen"/>
          <w:color w:val="000000"/>
          <w:sz w:val="22"/>
          <w:szCs w:val="22"/>
        </w:rPr>
        <w:t xml:space="preserve"> compared with the previous forecast</w:t>
      </w:r>
      <w:r w:rsidR="00337C74" w:rsidRPr="00320DDF">
        <w:rPr>
          <w:rFonts w:ascii="Garamond" w:hAnsi="Garamond" w:cs="Sylfaen"/>
          <w:color w:val="000000"/>
          <w:sz w:val="22"/>
          <w:szCs w:val="22"/>
        </w:rPr>
        <w:t xml:space="preserve">.                      </w:t>
      </w:r>
    </w:p>
    <w:p w14:paraId="4481A068" w14:textId="77777777" w:rsidR="00275AB5" w:rsidRPr="00320DDF" w:rsidRDefault="00275AB5" w:rsidP="00B117C8">
      <w:pPr>
        <w:spacing w:line="360" w:lineRule="auto"/>
        <w:jc w:val="both"/>
        <w:rPr>
          <w:rFonts w:ascii="Garamond" w:hAnsi="Garamond" w:cs="Sylfaen"/>
          <w:sz w:val="22"/>
          <w:szCs w:val="22"/>
        </w:rPr>
      </w:pPr>
    </w:p>
    <w:p w14:paraId="3BF396BD" w14:textId="77777777" w:rsidR="001C3604" w:rsidRPr="00320DDF" w:rsidRDefault="003603CD" w:rsidP="00B117C8">
      <w:pPr>
        <w:spacing w:line="360" w:lineRule="auto"/>
        <w:jc w:val="both"/>
        <w:rPr>
          <w:rFonts w:ascii="Garamond" w:hAnsi="Garamond" w:cs="Sylfaen"/>
          <w:color w:val="000000"/>
          <w:sz w:val="22"/>
          <w:szCs w:val="22"/>
        </w:rPr>
      </w:pPr>
      <w:r w:rsidRPr="00320DDF">
        <w:rPr>
          <w:rFonts w:ascii="Garamond" w:hAnsi="Garamond" w:cs="Sylfaen"/>
          <w:color w:val="000000"/>
          <w:sz w:val="22"/>
          <w:szCs w:val="22"/>
        </w:rPr>
        <w:t xml:space="preserve">According to the IMF </w:t>
      </w:r>
      <w:r w:rsidR="00D602C6" w:rsidRPr="00320DDF">
        <w:rPr>
          <w:rFonts w:ascii="Garamond" w:hAnsi="Garamond" w:cs="Sylfaen"/>
          <w:color w:val="000000"/>
          <w:sz w:val="22"/>
          <w:szCs w:val="22"/>
        </w:rPr>
        <w:t xml:space="preserve">April </w:t>
      </w:r>
      <w:r w:rsidRPr="00320DDF">
        <w:rPr>
          <w:rFonts w:ascii="Garamond" w:hAnsi="Garamond" w:cs="Sylfaen"/>
          <w:color w:val="000000"/>
          <w:sz w:val="22"/>
          <w:szCs w:val="22"/>
        </w:rPr>
        <w:t>201</w:t>
      </w:r>
      <w:r w:rsidR="00114AC1" w:rsidRPr="00320DDF">
        <w:rPr>
          <w:rFonts w:ascii="Garamond" w:hAnsi="Garamond" w:cs="Sylfaen"/>
          <w:color w:val="000000"/>
          <w:sz w:val="22"/>
          <w:szCs w:val="22"/>
        </w:rPr>
        <w:t>7</w:t>
      </w:r>
      <w:r w:rsidRPr="00320DDF">
        <w:rPr>
          <w:rFonts w:ascii="Garamond" w:hAnsi="Garamond" w:cs="Sylfaen"/>
          <w:color w:val="000000"/>
          <w:sz w:val="22"/>
          <w:szCs w:val="22"/>
        </w:rPr>
        <w:t xml:space="preserve"> report “</w:t>
      </w:r>
      <w:r w:rsidR="00274690" w:rsidRPr="00320DDF">
        <w:rPr>
          <w:rFonts w:ascii="Garamond" w:hAnsi="Garamond" w:cs="Sylfaen"/>
          <w:color w:val="000000"/>
          <w:sz w:val="22"/>
          <w:szCs w:val="22"/>
        </w:rPr>
        <w:t>World</w:t>
      </w:r>
      <w:r w:rsidRPr="00320DDF">
        <w:rPr>
          <w:rFonts w:ascii="Garamond" w:hAnsi="Garamond" w:cs="Sylfaen"/>
          <w:color w:val="000000"/>
          <w:sz w:val="22"/>
          <w:szCs w:val="22"/>
        </w:rPr>
        <w:t xml:space="preserve"> Economic Outlook”, world econom</w:t>
      </w:r>
      <w:r w:rsidR="00A73BBC" w:rsidRPr="00320DDF">
        <w:rPr>
          <w:rFonts w:ascii="Garamond" w:hAnsi="Garamond" w:cs="Sylfaen"/>
          <w:color w:val="000000"/>
          <w:sz w:val="22"/>
          <w:szCs w:val="22"/>
        </w:rPr>
        <w:t>ic growth</w:t>
      </w:r>
      <w:r w:rsidR="00114AC1" w:rsidRPr="00320DDF">
        <w:rPr>
          <w:rFonts w:ascii="Garamond" w:hAnsi="Garamond" w:cs="Sylfaen"/>
          <w:color w:val="000000"/>
          <w:sz w:val="22"/>
          <w:szCs w:val="22"/>
        </w:rPr>
        <w:t xml:space="preserve"> forecast for 2017 is 3.</w:t>
      </w:r>
      <w:r w:rsidR="00D602C6" w:rsidRPr="00320DDF">
        <w:rPr>
          <w:rFonts w:ascii="Garamond" w:hAnsi="Garamond" w:cs="Sylfaen"/>
          <w:color w:val="000000"/>
          <w:sz w:val="22"/>
          <w:szCs w:val="22"/>
        </w:rPr>
        <w:t>5</w:t>
      </w:r>
      <w:r w:rsidR="003D7EC2" w:rsidRPr="00320DDF">
        <w:rPr>
          <w:rFonts w:ascii="Garamond" w:hAnsi="Garamond" w:cs="Sylfaen"/>
          <w:color w:val="000000"/>
          <w:sz w:val="22"/>
          <w:szCs w:val="22"/>
        </w:rPr>
        <w:t xml:space="preserve">%, which is </w:t>
      </w:r>
      <w:r w:rsidR="00D602C6" w:rsidRPr="00320DDF">
        <w:rPr>
          <w:rFonts w:ascii="Garamond" w:hAnsi="Garamond" w:cs="Sylfaen"/>
          <w:color w:val="000000"/>
          <w:sz w:val="22"/>
          <w:szCs w:val="22"/>
        </w:rPr>
        <w:t xml:space="preserve">0.1 pp higher than the figure published in </w:t>
      </w:r>
      <w:r w:rsidRPr="00320DDF">
        <w:rPr>
          <w:rFonts w:ascii="Garamond" w:hAnsi="Garamond" w:cs="Sylfaen"/>
          <w:color w:val="000000"/>
          <w:sz w:val="22"/>
          <w:szCs w:val="22"/>
        </w:rPr>
        <w:t xml:space="preserve">the previous report </w:t>
      </w:r>
      <w:r w:rsidR="00E37D3F" w:rsidRPr="00320DDF">
        <w:rPr>
          <w:rFonts w:ascii="Garamond" w:hAnsi="Garamond" w:cs="Sylfaen"/>
          <w:color w:val="000000"/>
          <w:sz w:val="22"/>
          <w:szCs w:val="22"/>
        </w:rPr>
        <w:t xml:space="preserve">released </w:t>
      </w:r>
      <w:r w:rsidRPr="00320DDF">
        <w:rPr>
          <w:rFonts w:ascii="Garamond" w:hAnsi="Garamond" w:cs="Sylfaen"/>
          <w:color w:val="000000"/>
          <w:sz w:val="22"/>
          <w:szCs w:val="22"/>
        </w:rPr>
        <w:t xml:space="preserve">in </w:t>
      </w:r>
      <w:r w:rsidR="00D602C6" w:rsidRPr="00320DDF">
        <w:rPr>
          <w:rFonts w:ascii="Garamond" w:hAnsi="Garamond" w:cs="Sylfaen"/>
          <w:color w:val="000000"/>
          <w:sz w:val="22"/>
          <w:szCs w:val="22"/>
        </w:rPr>
        <w:t>January 2017</w:t>
      </w:r>
      <w:r w:rsidR="001C3604" w:rsidRPr="00320DDF">
        <w:rPr>
          <w:rFonts w:ascii="Garamond" w:hAnsi="Garamond" w:cs="Sylfaen"/>
          <w:color w:val="000000"/>
          <w:sz w:val="22"/>
          <w:szCs w:val="22"/>
        </w:rPr>
        <w:t>.</w:t>
      </w:r>
    </w:p>
    <w:p w14:paraId="0AEAAC27" w14:textId="77777777" w:rsidR="001C3604" w:rsidRPr="00320DDF" w:rsidRDefault="001C3604" w:rsidP="00B117C8">
      <w:pPr>
        <w:spacing w:line="360" w:lineRule="auto"/>
        <w:jc w:val="both"/>
        <w:rPr>
          <w:rFonts w:ascii="Garamond" w:hAnsi="Garamond" w:cs="Sylfaen"/>
          <w:color w:val="000000"/>
          <w:sz w:val="22"/>
          <w:szCs w:val="22"/>
        </w:rPr>
      </w:pPr>
    </w:p>
    <w:p w14:paraId="67DAFF53" w14:textId="77777777" w:rsidR="00751B76" w:rsidRPr="00320DDF" w:rsidRDefault="00E37D3F" w:rsidP="00B117C8">
      <w:pPr>
        <w:spacing w:line="360" w:lineRule="auto"/>
        <w:jc w:val="both"/>
        <w:rPr>
          <w:rFonts w:ascii="Garamond" w:hAnsi="Garamond" w:cs="Sylfaen"/>
          <w:sz w:val="22"/>
          <w:szCs w:val="22"/>
        </w:rPr>
      </w:pPr>
      <w:r w:rsidRPr="00320DDF">
        <w:rPr>
          <w:rFonts w:ascii="Garamond" w:hAnsi="Garamond" w:cs="Sylfaen"/>
          <w:sz w:val="22"/>
          <w:szCs w:val="22"/>
        </w:rPr>
        <w:t xml:space="preserve">A significant recovery in global demand as well as the agreement reached on reducing oil production </w:t>
      </w:r>
      <w:r w:rsidR="00841BED" w:rsidRPr="00320DDF">
        <w:rPr>
          <w:rFonts w:ascii="Garamond" w:hAnsi="Garamond" w:cs="Sylfaen"/>
          <w:sz w:val="22"/>
          <w:szCs w:val="22"/>
        </w:rPr>
        <w:t xml:space="preserve">led </w:t>
      </w:r>
      <w:r w:rsidRPr="00320DDF">
        <w:rPr>
          <w:rFonts w:ascii="Garamond" w:hAnsi="Garamond" w:cs="Sylfaen"/>
          <w:sz w:val="22"/>
          <w:szCs w:val="22"/>
        </w:rPr>
        <w:t xml:space="preserve">international prices </w:t>
      </w:r>
      <w:r w:rsidRPr="00320DDF">
        <w:rPr>
          <w:rFonts w:ascii="Garamond" w:hAnsi="Garamond" w:cs="Sylfaen"/>
          <w:b/>
          <w:sz w:val="22"/>
          <w:szCs w:val="22"/>
        </w:rPr>
        <w:t>in commodity and food product markets</w:t>
      </w:r>
      <w:r w:rsidRPr="00320DDF">
        <w:rPr>
          <w:rFonts w:ascii="Garamond" w:hAnsi="Garamond" w:cs="Sylfaen"/>
          <w:sz w:val="22"/>
          <w:szCs w:val="22"/>
        </w:rPr>
        <w:t xml:space="preserve"> </w:t>
      </w:r>
      <w:r w:rsidR="00841BED" w:rsidRPr="00320DDF">
        <w:rPr>
          <w:rFonts w:ascii="Garamond" w:hAnsi="Garamond" w:cs="Sylfaen"/>
          <w:sz w:val="22"/>
          <w:szCs w:val="22"/>
        </w:rPr>
        <w:t>to</w:t>
      </w:r>
      <w:r w:rsidRPr="00320DDF">
        <w:rPr>
          <w:rFonts w:ascii="Garamond" w:hAnsi="Garamond" w:cs="Sylfaen"/>
          <w:sz w:val="22"/>
          <w:szCs w:val="22"/>
        </w:rPr>
        <w:t xml:space="preserve"> </w:t>
      </w:r>
      <w:r w:rsidR="00841BED" w:rsidRPr="00320DDF">
        <w:rPr>
          <w:rFonts w:ascii="Garamond" w:hAnsi="Garamond" w:cs="Sylfaen"/>
          <w:sz w:val="22"/>
          <w:szCs w:val="22"/>
        </w:rPr>
        <w:t>restore from their lows observable in 2016. I</w:t>
      </w:r>
      <w:r w:rsidRPr="00320DDF">
        <w:rPr>
          <w:rFonts w:ascii="Garamond" w:hAnsi="Garamond" w:cs="Sylfaen"/>
          <w:sz w:val="22"/>
          <w:szCs w:val="22"/>
        </w:rPr>
        <w:t>n</w:t>
      </w:r>
      <w:r w:rsidR="00841BED" w:rsidRPr="00320DDF">
        <w:rPr>
          <w:rFonts w:ascii="Garamond" w:hAnsi="Garamond" w:cs="Sylfaen"/>
          <w:sz w:val="22"/>
          <w:szCs w:val="22"/>
        </w:rPr>
        <w:t xml:space="preserve"> 2017</w:t>
      </w:r>
      <w:r w:rsidR="00BE367A" w:rsidRPr="00320DDF">
        <w:rPr>
          <w:rFonts w:ascii="Garamond" w:hAnsi="Garamond" w:cs="Sylfaen"/>
          <w:sz w:val="22"/>
          <w:szCs w:val="22"/>
        </w:rPr>
        <w:t>,</w:t>
      </w:r>
      <w:r w:rsidR="00841BED" w:rsidRPr="00320DDF">
        <w:rPr>
          <w:rFonts w:ascii="Garamond" w:hAnsi="Garamond" w:cs="Sylfaen"/>
          <w:sz w:val="22"/>
          <w:szCs w:val="22"/>
        </w:rPr>
        <w:t xml:space="preserve"> in</w:t>
      </w:r>
      <w:r w:rsidRPr="00320DDF">
        <w:rPr>
          <w:rFonts w:ascii="Garamond" w:hAnsi="Garamond" w:cs="Sylfaen"/>
          <w:sz w:val="22"/>
          <w:szCs w:val="22"/>
        </w:rPr>
        <w:t>ternational price</w:t>
      </w:r>
      <w:r w:rsidR="00841BED" w:rsidRPr="00320DDF">
        <w:rPr>
          <w:rFonts w:ascii="Garamond" w:hAnsi="Garamond" w:cs="Sylfaen"/>
          <w:sz w:val="22"/>
          <w:szCs w:val="22"/>
        </w:rPr>
        <w:t xml:space="preserve"> expectations</w:t>
      </w:r>
      <w:r w:rsidRPr="00320DDF">
        <w:rPr>
          <w:rFonts w:ascii="Garamond" w:hAnsi="Garamond" w:cs="Sylfaen"/>
          <w:sz w:val="22"/>
          <w:szCs w:val="22"/>
        </w:rPr>
        <w:t xml:space="preserve">, as </w:t>
      </w:r>
      <w:r w:rsidR="00BE367A" w:rsidRPr="00320DDF">
        <w:rPr>
          <w:rFonts w:ascii="Garamond" w:hAnsi="Garamond" w:cs="Sylfaen"/>
          <w:sz w:val="22"/>
          <w:szCs w:val="22"/>
        </w:rPr>
        <w:t xml:space="preserve">was </w:t>
      </w:r>
      <w:r w:rsidRPr="00320DDF">
        <w:rPr>
          <w:rFonts w:ascii="Garamond" w:hAnsi="Garamond" w:cs="Sylfaen"/>
          <w:sz w:val="22"/>
          <w:szCs w:val="22"/>
        </w:rPr>
        <w:t xml:space="preserve">predicted earlier, </w:t>
      </w:r>
      <w:r w:rsidR="00841BED" w:rsidRPr="00320DDF">
        <w:rPr>
          <w:rFonts w:ascii="Garamond" w:hAnsi="Garamond" w:cs="Sylfaen"/>
          <w:sz w:val="22"/>
          <w:szCs w:val="22"/>
        </w:rPr>
        <w:t xml:space="preserve">shaped relatively high levels </w:t>
      </w:r>
      <w:r w:rsidR="00BE367A" w:rsidRPr="00320DDF">
        <w:rPr>
          <w:rFonts w:ascii="Garamond" w:hAnsi="Garamond" w:cs="Sylfaen"/>
          <w:sz w:val="22"/>
          <w:szCs w:val="22"/>
        </w:rPr>
        <w:t xml:space="preserve">for prices of </w:t>
      </w:r>
      <w:r w:rsidR="00841BED" w:rsidRPr="00320DDF">
        <w:rPr>
          <w:rFonts w:ascii="Garamond" w:hAnsi="Garamond" w:cs="Sylfaen"/>
          <w:sz w:val="22"/>
          <w:szCs w:val="22"/>
        </w:rPr>
        <w:t>r</w:t>
      </w:r>
      <w:r w:rsidRPr="00320DDF">
        <w:rPr>
          <w:rFonts w:ascii="Garamond" w:hAnsi="Garamond" w:cs="Sylfaen"/>
          <w:sz w:val="22"/>
          <w:szCs w:val="22"/>
        </w:rPr>
        <w:t xml:space="preserve">aw materials and </w:t>
      </w:r>
      <w:r w:rsidR="00BE367A" w:rsidRPr="00320DDF">
        <w:rPr>
          <w:rFonts w:ascii="Garamond" w:hAnsi="Garamond" w:cs="Sylfaen"/>
          <w:sz w:val="22"/>
          <w:szCs w:val="22"/>
        </w:rPr>
        <w:t xml:space="preserve">certain </w:t>
      </w:r>
      <w:r w:rsidRPr="00320DDF">
        <w:rPr>
          <w:rFonts w:ascii="Garamond" w:hAnsi="Garamond" w:cs="Sylfaen"/>
          <w:sz w:val="22"/>
          <w:szCs w:val="22"/>
        </w:rPr>
        <w:t>food products.</w:t>
      </w:r>
      <w:r w:rsidR="00841BED" w:rsidRPr="00320DDF">
        <w:rPr>
          <w:rFonts w:ascii="Garamond" w:hAnsi="Garamond" w:cs="Sylfaen"/>
          <w:sz w:val="22"/>
          <w:szCs w:val="22"/>
        </w:rPr>
        <w:t xml:space="preserve"> </w:t>
      </w:r>
      <w:r w:rsidR="0006742C" w:rsidRPr="00320DDF">
        <w:rPr>
          <w:rFonts w:ascii="Garamond" w:hAnsi="Garamond" w:cs="Sylfaen"/>
          <w:sz w:val="22"/>
          <w:szCs w:val="22"/>
        </w:rPr>
        <w:t xml:space="preserve">Risks to the developments in </w:t>
      </w:r>
      <w:r w:rsidR="00F340A0" w:rsidRPr="00320DDF">
        <w:rPr>
          <w:rFonts w:ascii="Garamond" w:hAnsi="Garamond" w:cs="Sylfaen"/>
          <w:sz w:val="22"/>
          <w:szCs w:val="22"/>
        </w:rPr>
        <w:t xml:space="preserve">international prices of commodities and food products </w:t>
      </w:r>
      <w:r w:rsidR="00B615D6" w:rsidRPr="00320DDF">
        <w:rPr>
          <w:rFonts w:ascii="Garamond" w:hAnsi="Garamond" w:cs="Sylfaen"/>
          <w:sz w:val="22"/>
          <w:szCs w:val="22"/>
        </w:rPr>
        <w:t xml:space="preserve">are </w:t>
      </w:r>
      <w:r w:rsidR="00F340A0" w:rsidRPr="00320DDF">
        <w:rPr>
          <w:rFonts w:ascii="Garamond" w:hAnsi="Garamond" w:cs="Sylfaen"/>
          <w:sz w:val="22"/>
          <w:szCs w:val="22"/>
        </w:rPr>
        <w:t xml:space="preserve">positioned upward due to political motives in the USA and the dollar depreciation. </w:t>
      </w:r>
    </w:p>
    <w:p w14:paraId="578204F8" w14:textId="77777777" w:rsidR="003B583C" w:rsidRPr="00320DDF" w:rsidRDefault="003B583C" w:rsidP="00B117C8">
      <w:pPr>
        <w:spacing w:line="360" w:lineRule="auto"/>
        <w:jc w:val="both"/>
        <w:rPr>
          <w:rFonts w:ascii="Garamond" w:hAnsi="Garamond"/>
          <w:sz w:val="22"/>
          <w:szCs w:val="22"/>
        </w:rPr>
      </w:pPr>
    </w:p>
    <w:p w14:paraId="32057490" w14:textId="77777777" w:rsidR="00400525" w:rsidRPr="00320DDF" w:rsidRDefault="00400525" w:rsidP="00B117C8">
      <w:pPr>
        <w:spacing w:line="360" w:lineRule="auto"/>
        <w:jc w:val="both"/>
        <w:rPr>
          <w:rFonts w:ascii="Garamond" w:hAnsi="Garamond"/>
          <w:b/>
          <w:sz w:val="22"/>
          <w:szCs w:val="22"/>
        </w:rPr>
      </w:pPr>
      <w:r w:rsidRPr="00320DDF">
        <w:rPr>
          <w:rFonts w:ascii="Garamond" w:hAnsi="Garamond"/>
          <w:b/>
          <w:sz w:val="22"/>
          <w:szCs w:val="22"/>
        </w:rPr>
        <w:t>2.2. Aggregate supply and aggregate demand</w:t>
      </w:r>
    </w:p>
    <w:p w14:paraId="16558352" w14:textId="77777777" w:rsidR="00400525" w:rsidRPr="00320DDF" w:rsidRDefault="00400525" w:rsidP="00B117C8">
      <w:pPr>
        <w:spacing w:line="360" w:lineRule="auto"/>
        <w:jc w:val="both"/>
        <w:rPr>
          <w:rFonts w:ascii="Garamond" w:hAnsi="Garamond"/>
          <w:sz w:val="22"/>
          <w:szCs w:val="22"/>
        </w:rPr>
      </w:pPr>
      <w:r w:rsidRPr="00320DDF">
        <w:rPr>
          <w:rFonts w:ascii="Garamond" w:hAnsi="Garamond"/>
          <w:b/>
          <w:sz w:val="22"/>
          <w:szCs w:val="22"/>
        </w:rPr>
        <w:t>Aggregate supply</w:t>
      </w:r>
    </w:p>
    <w:p w14:paraId="699B8D72" w14:textId="77777777" w:rsidR="00344292" w:rsidRPr="00320DDF" w:rsidRDefault="00344292" w:rsidP="00B117C8">
      <w:pPr>
        <w:spacing w:line="360" w:lineRule="auto"/>
        <w:jc w:val="both"/>
        <w:rPr>
          <w:rFonts w:ascii="Garamond" w:hAnsi="Garamond"/>
          <w:b/>
          <w:spacing w:val="20"/>
          <w:sz w:val="22"/>
          <w:szCs w:val="22"/>
        </w:rPr>
      </w:pPr>
    </w:p>
    <w:p w14:paraId="0F8E3226" w14:textId="77777777" w:rsidR="004F1D2A" w:rsidRPr="00320DDF" w:rsidRDefault="00400525" w:rsidP="00B117C8">
      <w:pPr>
        <w:spacing w:line="360" w:lineRule="auto"/>
        <w:jc w:val="both"/>
        <w:rPr>
          <w:rFonts w:ascii="Garamond" w:hAnsi="Garamond"/>
          <w:sz w:val="22"/>
          <w:szCs w:val="22"/>
        </w:rPr>
      </w:pPr>
      <w:r w:rsidRPr="00320DDF">
        <w:rPr>
          <w:rFonts w:ascii="Garamond" w:hAnsi="Garamond"/>
          <w:bCs/>
          <w:iCs/>
          <w:sz w:val="22"/>
          <w:szCs w:val="22"/>
        </w:rPr>
        <w:t xml:space="preserve">The </w:t>
      </w:r>
      <w:r w:rsidR="004B6192" w:rsidRPr="00320DDF">
        <w:rPr>
          <w:rFonts w:ascii="Garamond" w:hAnsi="Garamond"/>
          <w:bCs/>
          <w:iCs/>
          <w:sz w:val="22"/>
          <w:szCs w:val="22"/>
        </w:rPr>
        <w:t>C</w:t>
      </w:r>
      <w:r w:rsidR="006C681A" w:rsidRPr="00320DDF">
        <w:rPr>
          <w:rFonts w:ascii="Garamond" w:hAnsi="Garamond"/>
          <w:bCs/>
          <w:iCs/>
          <w:sz w:val="22"/>
          <w:szCs w:val="22"/>
        </w:rPr>
        <w:t xml:space="preserve">entral </w:t>
      </w:r>
      <w:r w:rsidR="004B6192" w:rsidRPr="00320DDF">
        <w:rPr>
          <w:rFonts w:ascii="Garamond" w:hAnsi="Garamond"/>
          <w:bCs/>
          <w:iCs/>
          <w:sz w:val="22"/>
          <w:szCs w:val="22"/>
        </w:rPr>
        <w:t>B</w:t>
      </w:r>
      <w:r w:rsidR="006C681A" w:rsidRPr="00320DDF">
        <w:rPr>
          <w:rFonts w:ascii="Garamond" w:hAnsi="Garamond"/>
          <w:bCs/>
          <w:iCs/>
          <w:sz w:val="22"/>
          <w:szCs w:val="22"/>
        </w:rPr>
        <w:t>ank</w:t>
      </w:r>
      <w:r w:rsidR="004B6192" w:rsidRPr="00320DDF">
        <w:rPr>
          <w:rFonts w:ascii="Garamond" w:hAnsi="Garamond"/>
          <w:bCs/>
          <w:iCs/>
          <w:sz w:val="22"/>
          <w:szCs w:val="22"/>
        </w:rPr>
        <w:t xml:space="preserve"> forecasts of </w:t>
      </w:r>
      <w:r w:rsidRPr="00320DDF">
        <w:rPr>
          <w:rFonts w:ascii="Garamond" w:hAnsi="Garamond"/>
          <w:bCs/>
          <w:iCs/>
          <w:sz w:val="22"/>
          <w:szCs w:val="22"/>
        </w:rPr>
        <w:t xml:space="preserve">economic growth </w:t>
      </w:r>
      <w:r w:rsidR="004B6192" w:rsidRPr="00320DDF">
        <w:rPr>
          <w:rFonts w:ascii="Garamond" w:hAnsi="Garamond"/>
          <w:bCs/>
          <w:iCs/>
          <w:sz w:val="22"/>
          <w:szCs w:val="22"/>
        </w:rPr>
        <w:t>for 201</w:t>
      </w:r>
      <w:r w:rsidR="000E2114" w:rsidRPr="00320DDF">
        <w:rPr>
          <w:rFonts w:ascii="Garamond" w:hAnsi="Garamond"/>
          <w:bCs/>
          <w:iCs/>
          <w:sz w:val="22"/>
          <w:szCs w:val="22"/>
        </w:rPr>
        <w:t>7</w:t>
      </w:r>
      <w:r w:rsidR="004B6192" w:rsidRPr="00320DDF">
        <w:rPr>
          <w:rFonts w:ascii="Garamond" w:hAnsi="Garamond"/>
          <w:bCs/>
          <w:iCs/>
          <w:sz w:val="22"/>
          <w:szCs w:val="22"/>
        </w:rPr>
        <w:t xml:space="preserve"> </w:t>
      </w:r>
      <w:r w:rsidR="00C74C75" w:rsidRPr="00320DDF">
        <w:rPr>
          <w:rFonts w:ascii="Garamond" w:hAnsi="Garamond"/>
          <w:bCs/>
          <w:iCs/>
          <w:sz w:val="22"/>
          <w:szCs w:val="22"/>
        </w:rPr>
        <w:t xml:space="preserve">were revised </w:t>
      </w:r>
      <w:r w:rsidR="000E2114" w:rsidRPr="00320DDF">
        <w:rPr>
          <w:rFonts w:ascii="Garamond" w:hAnsi="Garamond"/>
          <w:bCs/>
          <w:iCs/>
          <w:sz w:val="22"/>
          <w:szCs w:val="22"/>
        </w:rPr>
        <w:t>up</w:t>
      </w:r>
      <w:r w:rsidR="00C74C75" w:rsidRPr="00320DDF">
        <w:rPr>
          <w:rFonts w:ascii="Garamond" w:hAnsi="Garamond"/>
          <w:bCs/>
          <w:iCs/>
          <w:sz w:val="22"/>
          <w:szCs w:val="22"/>
        </w:rPr>
        <w:t>side</w:t>
      </w:r>
      <w:r w:rsidR="000E2114" w:rsidRPr="00320DDF">
        <w:rPr>
          <w:rFonts w:ascii="Garamond" w:hAnsi="Garamond"/>
          <w:bCs/>
          <w:iCs/>
          <w:sz w:val="22"/>
          <w:szCs w:val="22"/>
        </w:rPr>
        <w:t xml:space="preserve"> mostly due to </w:t>
      </w:r>
      <w:r w:rsidR="00177B94" w:rsidRPr="00320DDF">
        <w:rPr>
          <w:rFonts w:ascii="Garamond" w:hAnsi="Garamond"/>
          <w:bCs/>
          <w:iCs/>
          <w:sz w:val="22"/>
          <w:szCs w:val="22"/>
        </w:rPr>
        <w:t>h</w:t>
      </w:r>
      <w:r w:rsidR="000E2114" w:rsidRPr="00320DDF">
        <w:rPr>
          <w:rFonts w:ascii="Garamond" w:hAnsi="Garamond"/>
          <w:bCs/>
          <w:iCs/>
          <w:sz w:val="22"/>
          <w:szCs w:val="22"/>
        </w:rPr>
        <w:t xml:space="preserve">igher economic activity reported </w:t>
      </w:r>
      <w:r w:rsidR="004B6192" w:rsidRPr="00320DDF">
        <w:rPr>
          <w:rFonts w:ascii="Garamond" w:hAnsi="Garamond"/>
          <w:bCs/>
          <w:iCs/>
          <w:sz w:val="22"/>
          <w:szCs w:val="22"/>
        </w:rPr>
        <w:t xml:space="preserve">in the </w:t>
      </w:r>
      <w:r w:rsidR="000E2114" w:rsidRPr="00320DDF">
        <w:rPr>
          <w:rFonts w:ascii="Garamond" w:hAnsi="Garamond"/>
          <w:bCs/>
          <w:iCs/>
          <w:sz w:val="22"/>
          <w:szCs w:val="22"/>
        </w:rPr>
        <w:t xml:space="preserve">first quarter </w:t>
      </w:r>
      <w:r w:rsidR="00901189" w:rsidRPr="00320DDF">
        <w:rPr>
          <w:rFonts w:ascii="Garamond" w:hAnsi="Garamond"/>
          <w:bCs/>
          <w:iCs/>
          <w:sz w:val="22"/>
          <w:szCs w:val="22"/>
        </w:rPr>
        <w:t>of the year</w:t>
      </w:r>
      <w:r w:rsidR="001956F7" w:rsidRPr="00320DDF">
        <w:rPr>
          <w:rFonts w:ascii="Garamond" w:hAnsi="Garamond"/>
          <w:bCs/>
          <w:iCs/>
          <w:sz w:val="22"/>
          <w:szCs w:val="22"/>
        </w:rPr>
        <w:t>,</w:t>
      </w:r>
      <w:r w:rsidR="00363F81" w:rsidRPr="00320DDF">
        <w:rPr>
          <w:rFonts w:ascii="Garamond" w:hAnsi="Garamond"/>
          <w:bCs/>
          <w:iCs/>
          <w:sz w:val="22"/>
          <w:szCs w:val="22"/>
        </w:rPr>
        <w:t xml:space="preserve"> which </w:t>
      </w:r>
      <w:r w:rsidR="00900BD5" w:rsidRPr="00320DDF">
        <w:rPr>
          <w:rFonts w:ascii="Garamond" w:hAnsi="Garamond"/>
          <w:bCs/>
          <w:iCs/>
          <w:sz w:val="22"/>
          <w:szCs w:val="22"/>
        </w:rPr>
        <w:t>in turn is attributable to emergence of</w:t>
      </w:r>
      <w:r w:rsidR="00A11EDE" w:rsidRPr="00320DDF">
        <w:rPr>
          <w:rFonts w:ascii="Garamond" w:hAnsi="Garamond"/>
          <w:bCs/>
          <w:iCs/>
          <w:sz w:val="22"/>
          <w:szCs w:val="22"/>
        </w:rPr>
        <w:t xml:space="preserve"> </w:t>
      </w:r>
      <w:r w:rsidR="004B6192" w:rsidRPr="00320DDF">
        <w:rPr>
          <w:rFonts w:ascii="Garamond" w:hAnsi="Garamond"/>
          <w:bCs/>
          <w:iCs/>
          <w:sz w:val="22"/>
          <w:szCs w:val="22"/>
        </w:rPr>
        <w:t xml:space="preserve">risks to </w:t>
      </w:r>
      <w:r w:rsidR="001956F7" w:rsidRPr="00320DDF">
        <w:rPr>
          <w:rFonts w:ascii="Garamond" w:hAnsi="Garamond"/>
          <w:bCs/>
          <w:iCs/>
          <w:sz w:val="22"/>
          <w:szCs w:val="22"/>
        </w:rPr>
        <w:t xml:space="preserve">added </w:t>
      </w:r>
      <w:r w:rsidR="004B6192" w:rsidRPr="00320DDF">
        <w:rPr>
          <w:rFonts w:ascii="Garamond" w:hAnsi="Garamond"/>
          <w:bCs/>
          <w:iCs/>
          <w:sz w:val="22"/>
          <w:szCs w:val="22"/>
        </w:rPr>
        <w:t xml:space="preserve">output in </w:t>
      </w:r>
      <w:r w:rsidR="001956F7" w:rsidRPr="00320DDF">
        <w:rPr>
          <w:rFonts w:ascii="Garamond" w:hAnsi="Garamond"/>
          <w:bCs/>
          <w:iCs/>
          <w:sz w:val="22"/>
          <w:szCs w:val="22"/>
        </w:rPr>
        <w:t xml:space="preserve">services and industry, as had been </w:t>
      </w:r>
      <w:r w:rsidR="004B6192" w:rsidRPr="00320DDF">
        <w:rPr>
          <w:rFonts w:ascii="Garamond" w:hAnsi="Garamond"/>
          <w:bCs/>
          <w:iCs/>
          <w:sz w:val="22"/>
          <w:szCs w:val="22"/>
        </w:rPr>
        <w:t xml:space="preserve">outlined in </w:t>
      </w:r>
      <w:r w:rsidR="00A11EDE" w:rsidRPr="00320DDF">
        <w:rPr>
          <w:rFonts w:ascii="Garamond" w:hAnsi="Garamond"/>
          <w:bCs/>
          <w:iCs/>
          <w:sz w:val="22"/>
          <w:szCs w:val="22"/>
        </w:rPr>
        <w:t>previous m</w:t>
      </w:r>
      <w:r w:rsidR="004B6192" w:rsidRPr="00320DDF">
        <w:rPr>
          <w:rFonts w:ascii="Garamond" w:hAnsi="Garamond"/>
          <w:bCs/>
          <w:iCs/>
          <w:sz w:val="22"/>
          <w:szCs w:val="22"/>
        </w:rPr>
        <w:t xml:space="preserve">onetary </w:t>
      </w:r>
      <w:r w:rsidR="00A11EDE" w:rsidRPr="00320DDF">
        <w:rPr>
          <w:rFonts w:ascii="Garamond" w:hAnsi="Garamond"/>
          <w:bCs/>
          <w:iCs/>
          <w:sz w:val="22"/>
          <w:szCs w:val="22"/>
        </w:rPr>
        <w:t xml:space="preserve">policy programs. </w:t>
      </w:r>
      <w:r w:rsidRPr="00320DDF">
        <w:rPr>
          <w:rFonts w:ascii="Garamond" w:hAnsi="Garamond"/>
          <w:sz w:val="22"/>
          <w:szCs w:val="22"/>
        </w:rPr>
        <w:t>As a result, the 201</w:t>
      </w:r>
      <w:r w:rsidR="004F1D2A" w:rsidRPr="00320DDF">
        <w:rPr>
          <w:rFonts w:ascii="Garamond" w:hAnsi="Garamond"/>
          <w:sz w:val="22"/>
          <w:szCs w:val="22"/>
        </w:rPr>
        <w:t>7</w:t>
      </w:r>
      <w:r w:rsidRPr="00320DDF">
        <w:rPr>
          <w:rFonts w:ascii="Garamond" w:hAnsi="Garamond"/>
          <w:sz w:val="22"/>
          <w:szCs w:val="22"/>
        </w:rPr>
        <w:t xml:space="preserve"> economic growth is </w:t>
      </w:r>
      <w:r w:rsidR="003E2200" w:rsidRPr="00320DDF">
        <w:rPr>
          <w:rFonts w:ascii="Garamond" w:hAnsi="Garamond"/>
          <w:sz w:val="22"/>
          <w:szCs w:val="22"/>
        </w:rPr>
        <w:t xml:space="preserve">estimated </w:t>
      </w:r>
      <w:r w:rsidRPr="00320DDF">
        <w:rPr>
          <w:rFonts w:ascii="Garamond" w:hAnsi="Garamond"/>
          <w:sz w:val="22"/>
          <w:szCs w:val="22"/>
        </w:rPr>
        <w:t xml:space="preserve">in the range of </w:t>
      </w:r>
      <w:r w:rsidR="004F1D2A" w:rsidRPr="00320DDF">
        <w:rPr>
          <w:rFonts w:ascii="Garamond" w:hAnsi="Garamond"/>
          <w:sz w:val="22"/>
          <w:szCs w:val="22"/>
        </w:rPr>
        <w:t>3</w:t>
      </w:r>
      <w:r w:rsidRPr="00320DDF">
        <w:rPr>
          <w:rFonts w:ascii="Garamond" w:hAnsi="Garamond"/>
          <w:sz w:val="22"/>
          <w:szCs w:val="22"/>
        </w:rPr>
        <w:t>.</w:t>
      </w:r>
      <w:r w:rsidR="00A11EDE" w:rsidRPr="00320DDF">
        <w:rPr>
          <w:rFonts w:ascii="Garamond" w:hAnsi="Garamond"/>
          <w:sz w:val="22"/>
          <w:szCs w:val="22"/>
        </w:rPr>
        <w:t>3</w:t>
      </w:r>
      <w:r w:rsidRPr="00320DDF">
        <w:rPr>
          <w:rFonts w:ascii="Garamond" w:hAnsi="Garamond"/>
          <w:sz w:val="22"/>
          <w:szCs w:val="22"/>
        </w:rPr>
        <w:t>-</w:t>
      </w:r>
      <w:r w:rsidR="004F1D2A" w:rsidRPr="00320DDF">
        <w:rPr>
          <w:rFonts w:ascii="Garamond" w:hAnsi="Garamond"/>
          <w:sz w:val="22"/>
          <w:szCs w:val="22"/>
        </w:rPr>
        <w:t>4</w:t>
      </w:r>
      <w:r w:rsidRPr="00320DDF">
        <w:rPr>
          <w:rFonts w:ascii="Garamond" w:hAnsi="Garamond"/>
          <w:sz w:val="22"/>
          <w:szCs w:val="22"/>
        </w:rPr>
        <w:t>.</w:t>
      </w:r>
      <w:r w:rsidR="004F1D2A" w:rsidRPr="00320DDF">
        <w:rPr>
          <w:rFonts w:ascii="Garamond" w:hAnsi="Garamond"/>
          <w:sz w:val="22"/>
          <w:szCs w:val="22"/>
        </w:rPr>
        <w:t>8</w:t>
      </w:r>
      <w:r w:rsidRPr="00320DDF">
        <w:rPr>
          <w:rFonts w:ascii="Garamond" w:hAnsi="Garamond"/>
          <w:sz w:val="22"/>
          <w:szCs w:val="22"/>
        </w:rPr>
        <w:t xml:space="preserve">%. </w:t>
      </w:r>
      <w:r w:rsidR="004F1D2A" w:rsidRPr="00320DDF">
        <w:rPr>
          <w:rFonts w:ascii="Garamond" w:hAnsi="Garamond"/>
          <w:sz w:val="22"/>
          <w:szCs w:val="22"/>
        </w:rPr>
        <w:t xml:space="preserve">Medium-term forecasts have not been revised: economic growth in 2018 will be within 2.7-4.5%, in 2019, in the range of 3.1-5.2%. However, if the current high rates of economic growth are maintained, the medium-term forecasts will be revised upward, too. </w:t>
      </w:r>
      <w:r w:rsidR="004F1D2A" w:rsidRPr="00320DDF">
        <w:rPr>
          <w:rFonts w:ascii="Garamond" w:hAnsi="Garamond"/>
          <w:bCs/>
          <w:iCs/>
          <w:color w:val="000000"/>
          <w:sz w:val="22"/>
          <w:szCs w:val="22"/>
        </w:rPr>
        <w:t xml:space="preserve">Also, in expectation of the dynamics of economic fundamentals in the domestic </w:t>
      </w:r>
      <w:r w:rsidR="00C15421" w:rsidRPr="00320DDF">
        <w:rPr>
          <w:rFonts w:ascii="Garamond" w:hAnsi="Garamond"/>
          <w:bCs/>
          <w:iCs/>
          <w:color w:val="000000"/>
          <w:sz w:val="22"/>
          <w:szCs w:val="22"/>
        </w:rPr>
        <w:t xml:space="preserve">and external environment, </w:t>
      </w:r>
      <w:r w:rsidR="004F1D2A" w:rsidRPr="00320DDF">
        <w:rPr>
          <w:rFonts w:ascii="Garamond" w:hAnsi="Garamond"/>
          <w:bCs/>
          <w:iCs/>
          <w:color w:val="000000"/>
          <w:sz w:val="22"/>
          <w:szCs w:val="22"/>
        </w:rPr>
        <w:t xml:space="preserve">Armenia’s long-term economic growth equilibrium is estimated within </w:t>
      </w:r>
      <w:r w:rsidR="004F1D2A" w:rsidRPr="00320DDF">
        <w:rPr>
          <w:rFonts w:ascii="Garamond" w:eastAsia="Calibri" w:hAnsi="Garamond" w:cs="Sylfaen"/>
          <w:sz w:val="22"/>
          <w:szCs w:val="22"/>
        </w:rPr>
        <w:t>4-5%</w:t>
      </w:r>
      <w:r w:rsidR="00C15421" w:rsidRPr="00320DDF">
        <w:rPr>
          <w:rFonts w:ascii="Garamond" w:eastAsia="Calibri" w:hAnsi="Garamond" w:cs="Sylfaen"/>
          <w:sz w:val="22"/>
          <w:szCs w:val="22"/>
        </w:rPr>
        <w:t>.</w:t>
      </w:r>
    </w:p>
    <w:p w14:paraId="5D268636" w14:textId="77777777" w:rsidR="004F1D2A" w:rsidRPr="00320DDF" w:rsidRDefault="004F1D2A" w:rsidP="00B117C8">
      <w:pPr>
        <w:spacing w:line="360" w:lineRule="auto"/>
        <w:jc w:val="both"/>
        <w:rPr>
          <w:rFonts w:ascii="Garamond" w:hAnsi="Garamond"/>
          <w:sz w:val="22"/>
          <w:szCs w:val="22"/>
        </w:rPr>
      </w:pPr>
    </w:p>
    <w:p w14:paraId="29F7BE7A" w14:textId="77777777" w:rsidR="008B46FC" w:rsidRPr="00320DDF" w:rsidRDefault="008B46FC" w:rsidP="00B117C8">
      <w:pPr>
        <w:spacing w:line="360" w:lineRule="auto"/>
        <w:jc w:val="both"/>
        <w:rPr>
          <w:rFonts w:ascii="Garamond" w:eastAsia="Calibri" w:hAnsi="Garamond" w:cs="Sylfaen"/>
          <w:sz w:val="22"/>
          <w:szCs w:val="22"/>
        </w:rPr>
      </w:pPr>
      <w:r w:rsidRPr="00320DDF">
        <w:rPr>
          <w:rFonts w:ascii="Garamond" w:eastAsia="Calibri" w:hAnsi="Garamond" w:cs="Sylfaen"/>
          <w:sz w:val="22"/>
          <w:szCs w:val="22"/>
        </w:rPr>
        <w:t>The following developments are expected in the sectors of the domestic economy in the forecast horizon:</w:t>
      </w:r>
    </w:p>
    <w:p w14:paraId="205327A3" w14:textId="77777777" w:rsidR="000B52F7" w:rsidRPr="00320DDF" w:rsidRDefault="000B52F7" w:rsidP="00B117C8">
      <w:pPr>
        <w:spacing w:line="360" w:lineRule="auto"/>
        <w:jc w:val="both"/>
        <w:rPr>
          <w:rFonts w:ascii="Garamond" w:eastAsia="Calibri" w:hAnsi="Garamond" w:cs="Sylfaen"/>
          <w:sz w:val="22"/>
          <w:szCs w:val="22"/>
        </w:rPr>
      </w:pPr>
    </w:p>
    <w:p w14:paraId="31245F79" w14:textId="77777777" w:rsidR="00F56008" w:rsidRPr="00320DDF" w:rsidRDefault="000B52F7" w:rsidP="00B117C8">
      <w:pPr>
        <w:spacing w:line="360" w:lineRule="auto"/>
        <w:jc w:val="both"/>
        <w:rPr>
          <w:rFonts w:ascii="Garamond" w:hAnsi="Garamond"/>
          <w:sz w:val="22"/>
          <w:szCs w:val="22"/>
        </w:rPr>
      </w:pPr>
      <w:r w:rsidRPr="00320DDF">
        <w:rPr>
          <w:rFonts w:ascii="Garamond" w:hAnsi="Garamond"/>
          <w:bCs/>
          <w:iCs/>
          <w:color w:val="000000"/>
          <w:sz w:val="22"/>
          <w:szCs w:val="22"/>
        </w:rPr>
        <w:t xml:space="preserve">For </w:t>
      </w:r>
      <w:r w:rsidRPr="00320DDF">
        <w:rPr>
          <w:rFonts w:ascii="Garamond" w:hAnsi="Garamond"/>
          <w:b/>
          <w:bCs/>
          <w:iCs/>
          <w:color w:val="000000"/>
          <w:sz w:val="22"/>
          <w:szCs w:val="22"/>
        </w:rPr>
        <w:t>Industry</w:t>
      </w:r>
      <w:r w:rsidRPr="00320DDF">
        <w:rPr>
          <w:rFonts w:ascii="Garamond" w:hAnsi="Garamond"/>
          <w:bCs/>
          <w:iCs/>
          <w:color w:val="000000"/>
          <w:sz w:val="22"/>
          <w:szCs w:val="22"/>
        </w:rPr>
        <w:t xml:space="preserve">, the forecasts were revised </w:t>
      </w:r>
      <w:r w:rsidR="004B11F4" w:rsidRPr="00320DDF">
        <w:rPr>
          <w:rFonts w:ascii="Garamond" w:hAnsi="Garamond"/>
          <w:bCs/>
          <w:iCs/>
          <w:color w:val="000000"/>
          <w:sz w:val="22"/>
          <w:szCs w:val="22"/>
        </w:rPr>
        <w:t>considerably</w:t>
      </w:r>
      <w:r w:rsidR="00B520F5" w:rsidRPr="00320DDF">
        <w:rPr>
          <w:rFonts w:ascii="Garamond" w:hAnsi="Garamond"/>
          <w:bCs/>
          <w:iCs/>
          <w:color w:val="000000"/>
          <w:sz w:val="22"/>
          <w:szCs w:val="22"/>
        </w:rPr>
        <w:t xml:space="preserve"> up</w:t>
      </w:r>
      <w:r w:rsidRPr="00320DDF">
        <w:rPr>
          <w:rFonts w:ascii="Garamond" w:hAnsi="Garamond"/>
          <w:bCs/>
          <w:iCs/>
          <w:color w:val="000000"/>
          <w:sz w:val="22"/>
          <w:szCs w:val="22"/>
        </w:rPr>
        <w:t xml:space="preserve">side </w:t>
      </w:r>
      <w:r w:rsidR="004B11F4" w:rsidRPr="00320DDF">
        <w:rPr>
          <w:rFonts w:ascii="Garamond" w:hAnsi="Garamond"/>
          <w:bCs/>
          <w:iCs/>
          <w:color w:val="000000"/>
          <w:sz w:val="22"/>
          <w:szCs w:val="22"/>
        </w:rPr>
        <w:t xml:space="preserve">owing to </w:t>
      </w:r>
      <w:r w:rsidR="00B520F5" w:rsidRPr="00320DDF">
        <w:rPr>
          <w:rFonts w:ascii="Garamond" w:hAnsi="Garamond"/>
          <w:bCs/>
          <w:iCs/>
          <w:color w:val="000000"/>
          <w:sz w:val="22"/>
          <w:szCs w:val="22"/>
        </w:rPr>
        <w:t xml:space="preserve">high economic activity observed in the processing industry </w:t>
      </w:r>
      <w:r w:rsidR="004B11F4" w:rsidRPr="00320DDF">
        <w:rPr>
          <w:rFonts w:ascii="Garamond" w:hAnsi="Garamond"/>
          <w:bCs/>
          <w:iCs/>
          <w:color w:val="000000"/>
          <w:sz w:val="22"/>
          <w:szCs w:val="22"/>
        </w:rPr>
        <w:t xml:space="preserve">since the start of the year </w:t>
      </w:r>
      <w:r w:rsidR="00B520F5" w:rsidRPr="00320DDF">
        <w:rPr>
          <w:rFonts w:ascii="Garamond" w:hAnsi="Garamond"/>
          <w:bCs/>
          <w:iCs/>
          <w:color w:val="000000"/>
          <w:sz w:val="22"/>
          <w:szCs w:val="22"/>
        </w:rPr>
        <w:t xml:space="preserve">and </w:t>
      </w:r>
      <w:r w:rsidR="004B11F4" w:rsidRPr="00320DDF">
        <w:rPr>
          <w:rFonts w:ascii="Garamond" w:hAnsi="Garamond"/>
          <w:bCs/>
          <w:iCs/>
          <w:color w:val="000000"/>
          <w:sz w:val="22"/>
          <w:szCs w:val="22"/>
        </w:rPr>
        <w:t>in anticipation of even higher prices of ore and minerals.</w:t>
      </w:r>
      <w:r w:rsidR="00BD5220" w:rsidRPr="00320DDF">
        <w:rPr>
          <w:rFonts w:ascii="Garamond" w:hAnsi="Garamond"/>
          <w:bCs/>
          <w:iCs/>
          <w:color w:val="000000"/>
          <w:sz w:val="22"/>
          <w:szCs w:val="22"/>
        </w:rPr>
        <w:t xml:space="preserve"> </w:t>
      </w:r>
      <w:r w:rsidRPr="00320DDF">
        <w:rPr>
          <w:rFonts w:ascii="Garamond" w:hAnsi="Garamond"/>
          <w:sz w:val="22"/>
          <w:szCs w:val="22"/>
        </w:rPr>
        <w:t>As a result, in 201</w:t>
      </w:r>
      <w:r w:rsidR="00B520F5" w:rsidRPr="00320DDF">
        <w:rPr>
          <w:rFonts w:ascii="Garamond" w:hAnsi="Garamond"/>
          <w:sz w:val="22"/>
          <w:szCs w:val="22"/>
        </w:rPr>
        <w:t>7</w:t>
      </w:r>
      <w:r w:rsidRPr="00320DDF">
        <w:rPr>
          <w:rFonts w:ascii="Garamond" w:hAnsi="Garamond"/>
          <w:sz w:val="22"/>
          <w:szCs w:val="22"/>
        </w:rPr>
        <w:t xml:space="preserve"> the value added in industry is forecast to grow </w:t>
      </w:r>
      <w:r w:rsidR="004B11F4" w:rsidRPr="00320DDF">
        <w:rPr>
          <w:rFonts w:ascii="Garamond" w:hAnsi="Garamond"/>
          <w:sz w:val="22"/>
          <w:szCs w:val="22"/>
        </w:rPr>
        <w:t>in the range of 7</w:t>
      </w:r>
      <w:r w:rsidRPr="00320DDF">
        <w:rPr>
          <w:rFonts w:ascii="Garamond" w:hAnsi="Garamond"/>
          <w:sz w:val="22"/>
          <w:szCs w:val="22"/>
        </w:rPr>
        <w:t>.</w:t>
      </w:r>
      <w:r w:rsidR="004B11F4" w:rsidRPr="00320DDF">
        <w:rPr>
          <w:rFonts w:ascii="Garamond" w:hAnsi="Garamond"/>
          <w:sz w:val="22"/>
          <w:szCs w:val="22"/>
        </w:rPr>
        <w:t>2</w:t>
      </w:r>
      <w:r w:rsidRPr="00320DDF">
        <w:rPr>
          <w:rFonts w:ascii="Garamond" w:hAnsi="Garamond"/>
          <w:sz w:val="22"/>
          <w:szCs w:val="22"/>
        </w:rPr>
        <w:t>-</w:t>
      </w:r>
      <w:r w:rsidR="004B11F4" w:rsidRPr="00320DDF">
        <w:rPr>
          <w:rFonts w:ascii="Garamond" w:hAnsi="Garamond"/>
          <w:sz w:val="22"/>
          <w:szCs w:val="22"/>
        </w:rPr>
        <w:t>8</w:t>
      </w:r>
      <w:r w:rsidRPr="00320DDF">
        <w:rPr>
          <w:rFonts w:ascii="Garamond" w:hAnsi="Garamond"/>
          <w:sz w:val="22"/>
          <w:szCs w:val="22"/>
        </w:rPr>
        <w:t>.</w:t>
      </w:r>
      <w:r w:rsidR="004B11F4" w:rsidRPr="00320DDF">
        <w:rPr>
          <w:rFonts w:ascii="Garamond" w:hAnsi="Garamond"/>
          <w:sz w:val="22"/>
          <w:szCs w:val="22"/>
        </w:rPr>
        <w:t>4</w:t>
      </w:r>
      <w:r w:rsidRPr="00320DDF">
        <w:rPr>
          <w:rFonts w:ascii="Garamond" w:hAnsi="Garamond"/>
          <w:sz w:val="22"/>
          <w:szCs w:val="22"/>
        </w:rPr>
        <w:t>%</w:t>
      </w:r>
      <w:r w:rsidR="007A334D" w:rsidRPr="00320DDF">
        <w:rPr>
          <w:rFonts w:ascii="Garamond" w:hAnsi="Garamond"/>
          <w:sz w:val="22"/>
          <w:szCs w:val="22"/>
        </w:rPr>
        <w:t>.</w:t>
      </w:r>
      <w:r w:rsidRPr="00320DDF">
        <w:rPr>
          <w:rFonts w:ascii="Garamond" w:hAnsi="Garamond"/>
          <w:sz w:val="22"/>
          <w:szCs w:val="22"/>
        </w:rPr>
        <w:t xml:space="preserve"> </w:t>
      </w:r>
      <w:r w:rsidR="00B520F5" w:rsidRPr="00320DDF">
        <w:rPr>
          <w:rFonts w:ascii="Garamond" w:hAnsi="Garamond"/>
          <w:sz w:val="22"/>
          <w:szCs w:val="22"/>
        </w:rPr>
        <w:t xml:space="preserve">In </w:t>
      </w:r>
      <w:r w:rsidR="004B11F4" w:rsidRPr="00320DDF">
        <w:rPr>
          <w:rFonts w:ascii="Garamond" w:hAnsi="Garamond"/>
          <w:sz w:val="22"/>
          <w:szCs w:val="22"/>
        </w:rPr>
        <w:t xml:space="preserve">2018-2019 </w:t>
      </w:r>
      <w:r w:rsidR="00B520F5" w:rsidRPr="00320DDF">
        <w:rPr>
          <w:rFonts w:ascii="Garamond" w:hAnsi="Garamond"/>
          <w:sz w:val="22"/>
          <w:szCs w:val="22"/>
        </w:rPr>
        <w:t xml:space="preserve">the </w:t>
      </w:r>
      <w:r w:rsidR="00D90B8B" w:rsidRPr="00320DDF">
        <w:rPr>
          <w:rFonts w:ascii="Garamond" w:hAnsi="Garamond"/>
          <w:sz w:val="22"/>
          <w:szCs w:val="22"/>
        </w:rPr>
        <w:t xml:space="preserve">growth in </w:t>
      </w:r>
      <w:r w:rsidR="00D90B8B" w:rsidRPr="00320DDF">
        <w:rPr>
          <w:rFonts w:ascii="Garamond" w:hAnsi="Garamond"/>
          <w:bCs/>
          <w:iCs/>
          <w:color w:val="000000"/>
          <w:sz w:val="22"/>
          <w:szCs w:val="22"/>
        </w:rPr>
        <w:t xml:space="preserve">industry sector </w:t>
      </w:r>
      <w:r w:rsidR="00B520F5" w:rsidRPr="00320DDF">
        <w:rPr>
          <w:rFonts w:ascii="Garamond" w:hAnsi="Garamond"/>
          <w:bCs/>
          <w:iCs/>
          <w:color w:val="000000"/>
          <w:sz w:val="22"/>
          <w:szCs w:val="22"/>
        </w:rPr>
        <w:t xml:space="preserve">will stabilize </w:t>
      </w:r>
      <w:r w:rsidR="004B11F4" w:rsidRPr="00320DDF">
        <w:rPr>
          <w:rFonts w:ascii="Garamond" w:hAnsi="Garamond"/>
          <w:bCs/>
          <w:iCs/>
          <w:color w:val="000000"/>
          <w:sz w:val="22"/>
          <w:szCs w:val="22"/>
        </w:rPr>
        <w:t xml:space="preserve">within </w:t>
      </w:r>
      <w:r w:rsidR="00B520F5" w:rsidRPr="00320DDF">
        <w:rPr>
          <w:rFonts w:ascii="Garamond" w:hAnsi="Garamond"/>
          <w:bCs/>
          <w:iCs/>
          <w:color w:val="000000"/>
          <w:sz w:val="22"/>
          <w:szCs w:val="22"/>
        </w:rPr>
        <w:t>6</w:t>
      </w:r>
      <w:r w:rsidR="004B11F4" w:rsidRPr="00320DDF">
        <w:rPr>
          <w:rFonts w:ascii="Garamond" w:hAnsi="Garamond"/>
          <w:bCs/>
          <w:iCs/>
          <w:color w:val="000000"/>
          <w:sz w:val="22"/>
          <w:szCs w:val="22"/>
        </w:rPr>
        <w:t>.0</w:t>
      </w:r>
      <w:r w:rsidR="00B520F5" w:rsidRPr="00320DDF">
        <w:rPr>
          <w:rFonts w:ascii="Garamond" w:hAnsi="Garamond"/>
          <w:bCs/>
          <w:iCs/>
          <w:color w:val="000000"/>
          <w:sz w:val="22"/>
          <w:szCs w:val="22"/>
        </w:rPr>
        <w:t>-</w:t>
      </w:r>
      <w:r w:rsidR="004B11F4" w:rsidRPr="00320DDF">
        <w:rPr>
          <w:rFonts w:ascii="Garamond" w:hAnsi="Garamond"/>
          <w:bCs/>
          <w:iCs/>
          <w:color w:val="000000"/>
          <w:sz w:val="22"/>
          <w:szCs w:val="22"/>
        </w:rPr>
        <w:t>7</w:t>
      </w:r>
      <w:r w:rsidR="00B520F5" w:rsidRPr="00320DDF">
        <w:rPr>
          <w:rFonts w:ascii="Garamond" w:hAnsi="Garamond"/>
          <w:bCs/>
          <w:iCs/>
          <w:color w:val="000000"/>
          <w:sz w:val="22"/>
          <w:szCs w:val="22"/>
        </w:rPr>
        <w:t>.0%,</w:t>
      </w:r>
      <w:r w:rsidR="00735337" w:rsidRPr="00320DDF">
        <w:rPr>
          <w:rFonts w:ascii="Garamond" w:hAnsi="Garamond"/>
          <w:bCs/>
          <w:iCs/>
          <w:color w:val="000000"/>
          <w:sz w:val="22"/>
          <w:szCs w:val="22"/>
        </w:rPr>
        <w:t xml:space="preserve"> </w:t>
      </w:r>
      <w:r w:rsidR="00B520F5" w:rsidRPr="00320DDF">
        <w:rPr>
          <w:rFonts w:ascii="Garamond" w:hAnsi="Garamond"/>
          <w:bCs/>
          <w:iCs/>
          <w:color w:val="000000"/>
          <w:sz w:val="22"/>
          <w:szCs w:val="22"/>
        </w:rPr>
        <w:t xml:space="preserve">which </w:t>
      </w:r>
      <w:r w:rsidR="004B11F4" w:rsidRPr="00320DDF">
        <w:rPr>
          <w:rFonts w:ascii="Garamond" w:hAnsi="Garamond"/>
          <w:bCs/>
          <w:iCs/>
          <w:color w:val="000000"/>
          <w:sz w:val="22"/>
          <w:szCs w:val="22"/>
        </w:rPr>
        <w:t>is close to</w:t>
      </w:r>
      <w:r w:rsidR="00EC7C52" w:rsidRPr="00320DDF">
        <w:rPr>
          <w:rFonts w:ascii="Garamond" w:hAnsi="Garamond"/>
          <w:bCs/>
          <w:iCs/>
          <w:color w:val="000000"/>
          <w:sz w:val="22"/>
          <w:szCs w:val="22"/>
        </w:rPr>
        <w:t xml:space="preserve"> the</w:t>
      </w:r>
      <w:r w:rsidR="004B11F4" w:rsidRPr="00320DDF">
        <w:rPr>
          <w:rFonts w:ascii="Garamond" w:hAnsi="Garamond"/>
          <w:bCs/>
          <w:iCs/>
          <w:color w:val="000000"/>
          <w:sz w:val="22"/>
          <w:szCs w:val="22"/>
        </w:rPr>
        <w:t xml:space="preserve"> previous forecasts. </w:t>
      </w:r>
    </w:p>
    <w:p w14:paraId="5B6F74D4" w14:textId="77777777" w:rsidR="00D81CA7" w:rsidRPr="00320DDF" w:rsidRDefault="00D81CA7" w:rsidP="00B117C8">
      <w:pPr>
        <w:spacing w:line="360" w:lineRule="auto"/>
        <w:jc w:val="both"/>
        <w:rPr>
          <w:rFonts w:ascii="Garamond" w:hAnsi="Garamond"/>
          <w:sz w:val="22"/>
          <w:szCs w:val="22"/>
        </w:rPr>
      </w:pPr>
    </w:p>
    <w:p w14:paraId="5DE1DAFB" w14:textId="77777777" w:rsidR="00EC7C52" w:rsidRPr="00320DDF" w:rsidRDefault="00FF1B7C" w:rsidP="00B117C8">
      <w:pPr>
        <w:spacing w:line="360" w:lineRule="auto"/>
        <w:jc w:val="both"/>
        <w:rPr>
          <w:rFonts w:ascii="Garamond" w:hAnsi="Garamond"/>
          <w:bCs/>
          <w:iCs/>
          <w:color w:val="000000"/>
          <w:sz w:val="22"/>
          <w:szCs w:val="22"/>
        </w:rPr>
      </w:pPr>
      <w:r w:rsidRPr="00320DDF">
        <w:rPr>
          <w:rFonts w:ascii="Garamond" w:hAnsi="Garamond"/>
          <w:bCs/>
          <w:iCs/>
          <w:color w:val="000000"/>
          <w:sz w:val="22"/>
          <w:szCs w:val="22"/>
        </w:rPr>
        <w:t xml:space="preserve">For </w:t>
      </w:r>
      <w:r w:rsidRPr="00320DDF">
        <w:rPr>
          <w:rFonts w:ascii="Garamond" w:hAnsi="Garamond"/>
          <w:b/>
          <w:bCs/>
          <w:iCs/>
          <w:color w:val="000000"/>
          <w:sz w:val="22"/>
          <w:szCs w:val="22"/>
        </w:rPr>
        <w:t>Construction</w:t>
      </w:r>
      <w:r w:rsidR="00EC7C52" w:rsidRPr="00320DDF">
        <w:rPr>
          <w:rFonts w:ascii="Garamond" w:hAnsi="Garamond"/>
          <w:b/>
          <w:bCs/>
          <w:iCs/>
          <w:color w:val="000000"/>
          <w:sz w:val="22"/>
          <w:szCs w:val="22"/>
        </w:rPr>
        <w:t xml:space="preserve"> </w:t>
      </w:r>
      <w:r w:rsidR="00EC7C52" w:rsidRPr="00320DDF">
        <w:rPr>
          <w:rFonts w:ascii="Garamond" w:hAnsi="Garamond"/>
          <w:bCs/>
          <w:iCs/>
          <w:color w:val="000000"/>
          <w:sz w:val="22"/>
          <w:szCs w:val="22"/>
        </w:rPr>
        <w:t>and</w:t>
      </w:r>
      <w:r w:rsidR="00EC7C52" w:rsidRPr="00320DDF">
        <w:rPr>
          <w:rFonts w:ascii="Garamond" w:hAnsi="Garamond"/>
          <w:b/>
          <w:bCs/>
          <w:iCs/>
          <w:color w:val="000000"/>
          <w:sz w:val="22"/>
          <w:szCs w:val="22"/>
        </w:rPr>
        <w:t xml:space="preserve"> agriculture</w:t>
      </w:r>
      <w:r w:rsidRPr="00320DDF">
        <w:rPr>
          <w:rFonts w:ascii="Garamond" w:hAnsi="Garamond"/>
          <w:bCs/>
          <w:iCs/>
          <w:color w:val="000000"/>
          <w:sz w:val="22"/>
          <w:szCs w:val="22"/>
        </w:rPr>
        <w:t>, the 201</w:t>
      </w:r>
      <w:r w:rsidR="005D3434" w:rsidRPr="00320DDF">
        <w:rPr>
          <w:rFonts w:ascii="Garamond" w:hAnsi="Garamond"/>
          <w:bCs/>
          <w:iCs/>
          <w:color w:val="000000"/>
          <w:sz w:val="22"/>
          <w:szCs w:val="22"/>
        </w:rPr>
        <w:t>7</w:t>
      </w:r>
      <w:r w:rsidRPr="00320DDF">
        <w:rPr>
          <w:rFonts w:ascii="Garamond" w:hAnsi="Garamond"/>
          <w:bCs/>
          <w:iCs/>
          <w:color w:val="000000"/>
          <w:sz w:val="22"/>
          <w:szCs w:val="22"/>
        </w:rPr>
        <w:t xml:space="preserve"> forecasts of value added </w:t>
      </w:r>
      <w:r w:rsidR="00E475C7" w:rsidRPr="00320DDF">
        <w:rPr>
          <w:rFonts w:ascii="Garamond" w:hAnsi="Garamond"/>
          <w:bCs/>
          <w:iCs/>
          <w:color w:val="000000"/>
          <w:sz w:val="22"/>
          <w:szCs w:val="22"/>
        </w:rPr>
        <w:t>did not change much in comparison with previous forecasts. In particular, t</w:t>
      </w:r>
      <w:r w:rsidR="00EC7C52" w:rsidRPr="00320DDF">
        <w:rPr>
          <w:rFonts w:ascii="Garamond" w:hAnsi="Garamond"/>
          <w:bCs/>
          <w:iCs/>
          <w:color w:val="000000"/>
          <w:sz w:val="22"/>
          <w:szCs w:val="22"/>
        </w:rPr>
        <w:t>he decrease of</w:t>
      </w:r>
      <w:r w:rsidR="0077297C" w:rsidRPr="00320DDF">
        <w:rPr>
          <w:rFonts w:ascii="Garamond" w:hAnsi="Garamond"/>
          <w:bCs/>
          <w:iCs/>
          <w:color w:val="000000"/>
          <w:sz w:val="22"/>
          <w:szCs w:val="22"/>
        </w:rPr>
        <w:t xml:space="preserve"> value added </w:t>
      </w:r>
      <w:r w:rsidR="00EC7C52" w:rsidRPr="00320DDF">
        <w:rPr>
          <w:rFonts w:ascii="Garamond" w:hAnsi="Garamond"/>
          <w:bCs/>
          <w:iCs/>
          <w:color w:val="000000"/>
          <w:sz w:val="22"/>
          <w:szCs w:val="22"/>
        </w:rPr>
        <w:t xml:space="preserve">in </w:t>
      </w:r>
      <w:r w:rsidR="0077297C" w:rsidRPr="00320DDF">
        <w:rPr>
          <w:rFonts w:ascii="Garamond" w:hAnsi="Garamond"/>
          <w:bCs/>
          <w:iCs/>
          <w:color w:val="000000"/>
          <w:sz w:val="22"/>
          <w:szCs w:val="22"/>
        </w:rPr>
        <w:t xml:space="preserve">construction is expected in the range of </w:t>
      </w:r>
      <w:r w:rsidR="00EC7C52" w:rsidRPr="00320DDF">
        <w:rPr>
          <w:rFonts w:ascii="Garamond" w:hAnsi="Garamond"/>
          <w:bCs/>
          <w:iCs/>
          <w:color w:val="000000"/>
          <w:sz w:val="22"/>
          <w:szCs w:val="22"/>
        </w:rPr>
        <w:t>1</w:t>
      </w:r>
      <w:r w:rsidR="0077297C" w:rsidRPr="00320DDF">
        <w:rPr>
          <w:rFonts w:ascii="Garamond" w:hAnsi="Garamond"/>
          <w:bCs/>
          <w:iCs/>
          <w:color w:val="000000"/>
          <w:sz w:val="22"/>
          <w:szCs w:val="22"/>
        </w:rPr>
        <w:t>.</w:t>
      </w:r>
      <w:r w:rsidR="00EC7C52" w:rsidRPr="00320DDF">
        <w:rPr>
          <w:rFonts w:ascii="Garamond" w:hAnsi="Garamond"/>
          <w:bCs/>
          <w:iCs/>
          <w:color w:val="000000"/>
          <w:sz w:val="22"/>
          <w:szCs w:val="22"/>
        </w:rPr>
        <w:t>8</w:t>
      </w:r>
      <w:r w:rsidR="0077297C" w:rsidRPr="00320DDF">
        <w:rPr>
          <w:rFonts w:ascii="Garamond" w:hAnsi="Garamond"/>
          <w:bCs/>
          <w:iCs/>
          <w:color w:val="000000"/>
          <w:sz w:val="22"/>
          <w:szCs w:val="22"/>
        </w:rPr>
        <w:t>-</w:t>
      </w:r>
      <w:r w:rsidR="00EC7C52" w:rsidRPr="00320DDF">
        <w:rPr>
          <w:rFonts w:ascii="Garamond" w:hAnsi="Garamond"/>
          <w:bCs/>
          <w:iCs/>
          <w:color w:val="000000"/>
          <w:sz w:val="22"/>
          <w:szCs w:val="22"/>
        </w:rPr>
        <w:t>2</w:t>
      </w:r>
      <w:r w:rsidR="0077297C" w:rsidRPr="00320DDF">
        <w:rPr>
          <w:rFonts w:ascii="Garamond" w:hAnsi="Garamond"/>
          <w:bCs/>
          <w:iCs/>
          <w:color w:val="000000"/>
          <w:sz w:val="22"/>
          <w:szCs w:val="22"/>
        </w:rPr>
        <w:t>.</w:t>
      </w:r>
      <w:r w:rsidR="00EC7C52" w:rsidRPr="00320DDF">
        <w:rPr>
          <w:rFonts w:ascii="Garamond" w:hAnsi="Garamond"/>
          <w:bCs/>
          <w:iCs/>
          <w:color w:val="000000"/>
          <w:sz w:val="22"/>
          <w:szCs w:val="22"/>
        </w:rPr>
        <w:t>5</w:t>
      </w:r>
      <w:r w:rsidR="0077297C" w:rsidRPr="00320DDF">
        <w:rPr>
          <w:rFonts w:ascii="Garamond" w:hAnsi="Garamond"/>
          <w:bCs/>
          <w:iCs/>
          <w:color w:val="000000"/>
          <w:sz w:val="22"/>
          <w:szCs w:val="22"/>
        </w:rPr>
        <w:t>%</w:t>
      </w:r>
      <w:r w:rsidR="00EC7C52" w:rsidRPr="00320DDF">
        <w:rPr>
          <w:rFonts w:ascii="Garamond" w:hAnsi="Garamond"/>
          <w:bCs/>
          <w:iCs/>
          <w:color w:val="000000"/>
          <w:sz w:val="22"/>
          <w:szCs w:val="22"/>
        </w:rPr>
        <w:t>, and the growth of value added in agriculture, in the range of 3.6-4.4%. In 2018-2019 the growth in these sectors will stabilize within 1.8-2.2% and 4.5-5.6%, respectively, which is close to the previous forecasts.</w:t>
      </w:r>
    </w:p>
    <w:p w14:paraId="3C9AB397" w14:textId="77777777" w:rsidR="00EC7C52" w:rsidRPr="00320DDF" w:rsidRDefault="00EC7C52" w:rsidP="00B117C8">
      <w:pPr>
        <w:spacing w:line="360" w:lineRule="auto"/>
        <w:jc w:val="both"/>
        <w:rPr>
          <w:rFonts w:ascii="Garamond" w:hAnsi="Garamond"/>
          <w:bCs/>
          <w:iCs/>
          <w:color w:val="000000"/>
          <w:sz w:val="22"/>
          <w:szCs w:val="22"/>
        </w:rPr>
      </w:pPr>
    </w:p>
    <w:p w14:paraId="15E86A9F" w14:textId="77777777" w:rsidR="00AC22BB" w:rsidRPr="00320DDF" w:rsidRDefault="009B3C35" w:rsidP="00B117C8">
      <w:pPr>
        <w:spacing w:line="360" w:lineRule="auto"/>
        <w:jc w:val="both"/>
        <w:rPr>
          <w:rFonts w:ascii="Garamond" w:hAnsi="Garamond"/>
          <w:sz w:val="22"/>
          <w:szCs w:val="22"/>
        </w:rPr>
      </w:pPr>
      <w:r w:rsidRPr="00320DDF">
        <w:rPr>
          <w:rFonts w:ascii="Garamond" w:hAnsi="Garamond"/>
          <w:bCs/>
          <w:iCs/>
          <w:color w:val="000000"/>
          <w:sz w:val="22"/>
          <w:szCs w:val="22"/>
        </w:rPr>
        <w:t xml:space="preserve">For </w:t>
      </w:r>
      <w:r w:rsidRPr="00320DDF">
        <w:rPr>
          <w:rFonts w:ascii="Garamond" w:hAnsi="Garamond"/>
          <w:b/>
          <w:bCs/>
          <w:iCs/>
          <w:color w:val="000000"/>
          <w:sz w:val="22"/>
          <w:szCs w:val="22"/>
        </w:rPr>
        <w:t>Services</w:t>
      </w:r>
      <w:r w:rsidRPr="00320DDF">
        <w:rPr>
          <w:rFonts w:ascii="Garamond" w:hAnsi="Garamond"/>
          <w:bCs/>
          <w:iCs/>
          <w:color w:val="000000"/>
          <w:sz w:val="22"/>
          <w:szCs w:val="22"/>
        </w:rPr>
        <w:t>, the 201</w:t>
      </w:r>
      <w:r w:rsidR="00C642F3" w:rsidRPr="00320DDF">
        <w:rPr>
          <w:rFonts w:ascii="Garamond" w:hAnsi="Garamond"/>
          <w:bCs/>
          <w:iCs/>
          <w:color w:val="000000"/>
          <w:sz w:val="22"/>
          <w:szCs w:val="22"/>
        </w:rPr>
        <w:t>7</w:t>
      </w:r>
      <w:r w:rsidR="00071477" w:rsidRPr="00320DDF">
        <w:rPr>
          <w:rFonts w:ascii="Garamond" w:hAnsi="Garamond"/>
          <w:bCs/>
          <w:iCs/>
          <w:color w:val="000000"/>
          <w:sz w:val="22"/>
          <w:szCs w:val="22"/>
        </w:rPr>
        <w:t xml:space="preserve"> </w:t>
      </w:r>
      <w:r w:rsidRPr="00320DDF">
        <w:rPr>
          <w:rFonts w:ascii="Garamond" w:hAnsi="Garamond"/>
          <w:bCs/>
          <w:iCs/>
          <w:color w:val="000000"/>
          <w:sz w:val="22"/>
          <w:szCs w:val="22"/>
        </w:rPr>
        <w:t>value</w:t>
      </w:r>
      <w:r w:rsidR="00C642F3" w:rsidRPr="00320DDF">
        <w:rPr>
          <w:rFonts w:ascii="Garamond" w:hAnsi="Garamond"/>
          <w:bCs/>
          <w:iCs/>
          <w:color w:val="000000"/>
          <w:sz w:val="22"/>
          <w:szCs w:val="22"/>
        </w:rPr>
        <w:t xml:space="preserve"> added </w:t>
      </w:r>
      <w:r w:rsidR="00071477" w:rsidRPr="00320DDF">
        <w:rPr>
          <w:rFonts w:ascii="Garamond" w:hAnsi="Garamond"/>
          <w:bCs/>
          <w:iCs/>
          <w:color w:val="000000"/>
          <w:sz w:val="22"/>
          <w:szCs w:val="22"/>
        </w:rPr>
        <w:t xml:space="preserve">is estimated in the range of 3.4-4.0%, which is higher compared to the previous forecasts and explained by strong economic activity reported in services in the first quarter of 2017. In 2018-2019, the growth in services is expected to stabilize in the range of 2.8-3.7%, which is in line with previous forecasts. </w:t>
      </w:r>
    </w:p>
    <w:p w14:paraId="104F032C" w14:textId="77777777" w:rsidR="00AC22BB" w:rsidRPr="00320DDF" w:rsidRDefault="00AC22BB" w:rsidP="00B117C8">
      <w:pPr>
        <w:spacing w:line="360" w:lineRule="auto"/>
        <w:jc w:val="both"/>
        <w:rPr>
          <w:rFonts w:ascii="Garamond" w:hAnsi="Garamond"/>
          <w:sz w:val="22"/>
          <w:szCs w:val="22"/>
        </w:rPr>
      </w:pPr>
    </w:p>
    <w:p w14:paraId="4239654F" w14:textId="77777777" w:rsidR="00290291" w:rsidRPr="00320DDF" w:rsidRDefault="00071477" w:rsidP="00B117C8">
      <w:pPr>
        <w:spacing w:line="360" w:lineRule="auto"/>
        <w:jc w:val="both"/>
        <w:rPr>
          <w:rFonts w:ascii="Garamond" w:hAnsi="Garamond"/>
          <w:sz w:val="22"/>
          <w:szCs w:val="22"/>
        </w:rPr>
      </w:pPr>
      <w:r w:rsidRPr="00320DDF">
        <w:rPr>
          <w:rFonts w:ascii="Garamond" w:hAnsi="Garamond"/>
          <w:sz w:val="22"/>
          <w:szCs w:val="22"/>
        </w:rPr>
        <w:t>I</w:t>
      </w:r>
      <w:r w:rsidR="00290291" w:rsidRPr="00320DDF">
        <w:rPr>
          <w:rFonts w:ascii="Garamond" w:hAnsi="Garamond"/>
          <w:sz w:val="22"/>
          <w:szCs w:val="22"/>
        </w:rPr>
        <w:t xml:space="preserve">n the forecast horizon, </w:t>
      </w:r>
      <w:r w:rsidR="001678F7" w:rsidRPr="00320DDF">
        <w:rPr>
          <w:rFonts w:ascii="Garamond" w:hAnsi="Garamond"/>
          <w:sz w:val="22"/>
          <w:szCs w:val="22"/>
        </w:rPr>
        <w:t xml:space="preserve">while </w:t>
      </w:r>
      <w:r w:rsidR="00290291" w:rsidRPr="00320DDF">
        <w:rPr>
          <w:rFonts w:ascii="Garamond" w:hAnsi="Garamond"/>
          <w:bCs/>
          <w:iCs/>
          <w:color w:val="000000"/>
          <w:sz w:val="22"/>
          <w:szCs w:val="22"/>
        </w:rPr>
        <w:t>risks to the economic growth are dual-sided</w:t>
      </w:r>
      <w:r w:rsidR="001678F7" w:rsidRPr="00320DDF">
        <w:rPr>
          <w:rFonts w:ascii="Garamond" w:hAnsi="Garamond"/>
          <w:bCs/>
          <w:iCs/>
          <w:color w:val="000000"/>
          <w:sz w:val="22"/>
          <w:szCs w:val="22"/>
        </w:rPr>
        <w:t xml:space="preserve">, </w:t>
      </w:r>
      <w:r w:rsidR="001678F7" w:rsidRPr="00320DDF">
        <w:rPr>
          <w:rFonts w:ascii="Garamond" w:hAnsi="Garamond"/>
          <w:b/>
          <w:bCs/>
          <w:iCs/>
          <w:color w:val="000000"/>
          <w:sz w:val="22"/>
          <w:szCs w:val="22"/>
        </w:rPr>
        <w:t xml:space="preserve">upside risks to </w:t>
      </w:r>
      <w:r w:rsidR="000C2AE7" w:rsidRPr="00320DDF">
        <w:rPr>
          <w:rFonts w:ascii="Garamond" w:hAnsi="Garamond"/>
          <w:b/>
          <w:bCs/>
          <w:iCs/>
          <w:color w:val="000000"/>
          <w:sz w:val="22"/>
          <w:szCs w:val="22"/>
        </w:rPr>
        <w:t xml:space="preserve">the </w:t>
      </w:r>
      <w:r w:rsidR="001678F7" w:rsidRPr="00320DDF">
        <w:rPr>
          <w:rFonts w:ascii="Garamond" w:hAnsi="Garamond"/>
          <w:b/>
          <w:bCs/>
          <w:iCs/>
          <w:color w:val="000000"/>
          <w:sz w:val="22"/>
          <w:szCs w:val="22"/>
        </w:rPr>
        <w:t>growth prevail</w:t>
      </w:r>
      <w:r w:rsidR="001678F7" w:rsidRPr="00320DDF">
        <w:rPr>
          <w:rFonts w:ascii="Garamond" w:hAnsi="Garamond"/>
          <w:bCs/>
          <w:iCs/>
          <w:color w:val="000000"/>
          <w:sz w:val="22"/>
          <w:szCs w:val="22"/>
        </w:rPr>
        <w:t xml:space="preserve">. </w:t>
      </w:r>
    </w:p>
    <w:p w14:paraId="2EF055A0" w14:textId="77777777" w:rsidR="00290291" w:rsidRPr="00320DDF" w:rsidRDefault="00290291" w:rsidP="00B117C8">
      <w:pPr>
        <w:spacing w:line="360" w:lineRule="auto"/>
        <w:jc w:val="both"/>
        <w:rPr>
          <w:rFonts w:ascii="Garamond" w:hAnsi="Garamond"/>
          <w:b/>
          <w:sz w:val="22"/>
          <w:szCs w:val="22"/>
        </w:rPr>
      </w:pPr>
    </w:p>
    <w:p w14:paraId="5511B15E" w14:textId="77777777" w:rsidR="00290291" w:rsidRPr="00320DDF" w:rsidRDefault="00290291" w:rsidP="00B117C8">
      <w:pPr>
        <w:spacing w:line="360" w:lineRule="auto"/>
        <w:jc w:val="both"/>
        <w:rPr>
          <w:rFonts w:ascii="Garamond" w:hAnsi="Garamond"/>
          <w:sz w:val="22"/>
          <w:szCs w:val="22"/>
        </w:rPr>
      </w:pPr>
      <w:r w:rsidRPr="00320DDF">
        <w:rPr>
          <w:rFonts w:ascii="Garamond" w:hAnsi="Garamond"/>
          <w:sz w:val="22"/>
          <w:szCs w:val="22"/>
        </w:rPr>
        <w:t xml:space="preserve">Among upside risks, most prominent </w:t>
      </w:r>
      <w:r w:rsidR="001678F7" w:rsidRPr="00320DDF">
        <w:rPr>
          <w:rFonts w:ascii="Garamond" w:hAnsi="Garamond"/>
          <w:sz w:val="22"/>
          <w:szCs w:val="22"/>
        </w:rPr>
        <w:t>is</w:t>
      </w:r>
      <w:r w:rsidRPr="00320DDF">
        <w:rPr>
          <w:rFonts w:ascii="Garamond" w:hAnsi="Garamond"/>
          <w:sz w:val="22"/>
          <w:szCs w:val="22"/>
        </w:rPr>
        <w:t xml:space="preserve"> the </w:t>
      </w:r>
      <w:r w:rsidR="001678F7" w:rsidRPr="00320DDF">
        <w:rPr>
          <w:rFonts w:ascii="Garamond" w:hAnsi="Garamond"/>
          <w:sz w:val="22"/>
          <w:szCs w:val="22"/>
        </w:rPr>
        <w:t xml:space="preserve">implementation of a number of projects </w:t>
      </w:r>
      <w:r w:rsidR="00071477" w:rsidRPr="00320DDF">
        <w:rPr>
          <w:rFonts w:ascii="Garamond" w:hAnsi="Garamond"/>
          <w:sz w:val="22"/>
          <w:szCs w:val="22"/>
        </w:rPr>
        <w:t xml:space="preserve">by the Government of Armenia </w:t>
      </w:r>
      <w:r w:rsidR="001678F7" w:rsidRPr="00320DDF">
        <w:rPr>
          <w:rFonts w:ascii="Garamond" w:hAnsi="Garamond"/>
          <w:sz w:val="22"/>
          <w:szCs w:val="22"/>
        </w:rPr>
        <w:t xml:space="preserve">aimed at improving the business climate and </w:t>
      </w:r>
      <w:r w:rsidR="00093826" w:rsidRPr="00320DDF">
        <w:rPr>
          <w:rFonts w:ascii="Garamond" w:hAnsi="Garamond"/>
          <w:sz w:val="22"/>
          <w:szCs w:val="22"/>
        </w:rPr>
        <w:t xml:space="preserve">promoting export-oriented businesses and how </w:t>
      </w:r>
      <w:r w:rsidR="00071477" w:rsidRPr="00320DDF">
        <w:rPr>
          <w:rFonts w:ascii="Garamond" w:hAnsi="Garamond"/>
          <w:sz w:val="22"/>
          <w:szCs w:val="22"/>
        </w:rPr>
        <w:t xml:space="preserve">it </w:t>
      </w:r>
      <w:r w:rsidR="00093826" w:rsidRPr="00320DDF">
        <w:rPr>
          <w:rFonts w:ascii="Garamond" w:hAnsi="Garamond"/>
          <w:sz w:val="22"/>
          <w:szCs w:val="22"/>
        </w:rPr>
        <w:t xml:space="preserve">will affect the economic growth. The domestic economic agents </w:t>
      </w:r>
      <w:r w:rsidR="00170831" w:rsidRPr="00320DDF">
        <w:rPr>
          <w:rFonts w:ascii="Garamond" w:hAnsi="Garamond"/>
          <w:sz w:val="22"/>
          <w:szCs w:val="22"/>
        </w:rPr>
        <w:t>exploring new export markets</w:t>
      </w:r>
      <w:r w:rsidR="00071477" w:rsidRPr="00320DDF">
        <w:rPr>
          <w:rFonts w:ascii="Garamond" w:hAnsi="Garamond"/>
          <w:sz w:val="22"/>
          <w:szCs w:val="22"/>
        </w:rPr>
        <w:t xml:space="preserve"> and creating new products in order to bolster the GDP potential </w:t>
      </w:r>
      <w:r w:rsidR="00093826" w:rsidRPr="00320DDF">
        <w:rPr>
          <w:rFonts w:ascii="Garamond" w:hAnsi="Garamond"/>
          <w:sz w:val="22"/>
          <w:szCs w:val="22"/>
        </w:rPr>
        <w:t>are other positive risks to the growth.</w:t>
      </w:r>
    </w:p>
    <w:p w14:paraId="22CE3F9D" w14:textId="77777777" w:rsidR="006203FB" w:rsidRPr="00320DDF" w:rsidRDefault="006203FB" w:rsidP="00B117C8">
      <w:pPr>
        <w:spacing w:line="360" w:lineRule="auto"/>
        <w:jc w:val="both"/>
        <w:rPr>
          <w:rFonts w:ascii="Garamond" w:hAnsi="Garamond"/>
          <w:sz w:val="22"/>
          <w:szCs w:val="22"/>
        </w:rPr>
      </w:pPr>
    </w:p>
    <w:p w14:paraId="5D6B230E" w14:textId="77777777" w:rsidR="006203FB" w:rsidRPr="00320DDF" w:rsidRDefault="00A33C4E" w:rsidP="00B117C8">
      <w:pPr>
        <w:spacing w:line="360" w:lineRule="auto"/>
        <w:jc w:val="both"/>
        <w:rPr>
          <w:rFonts w:ascii="Garamond" w:hAnsi="Garamond"/>
          <w:sz w:val="22"/>
          <w:szCs w:val="22"/>
        </w:rPr>
      </w:pPr>
      <w:r w:rsidRPr="00320DDF">
        <w:rPr>
          <w:rFonts w:ascii="Garamond" w:hAnsi="Garamond"/>
          <w:sz w:val="22"/>
          <w:szCs w:val="22"/>
        </w:rPr>
        <w:lastRenderedPageBreak/>
        <w:t>A</w:t>
      </w:r>
      <w:r w:rsidR="00422B72" w:rsidRPr="00320DDF">
        <w:rPr>
          <w:rFonts w:ascii="Garamond" w:hAnsi="Garamond"/>
          <w:sz w:val="22"/>
          <w:szCs w:val="22"/>
        </w:rPr>
        <w:t xml:space="preserve"> </w:t>
      </w:r>
      <w:r w:rsidR="00CE0A67" w:rsidRPr="00320DDF">
        <w:rPr>
          <w:rFonts w:ascii="Garamond" w:hAnsi="Garamond"/>
          <w:sz w:val="22"/>
          <w:szCs w:val="22"/>
        </w:rPr>
        <w:t xml:space="preserve">slower-than-expected recovery of private demand in </w:t>
      </w:r>
      <w:r w:rsidR="00422B72" w:rsidRPr="00320DDF">
        <w:rPr>
          <w:rFonts w:ascii="Garamond" w:hAnsi="Garamond"/>
          <w:sz w:val="22"/>
          <w:szCs w:val="22"/>
        </w:rPr>
        <w:t>the medium run</w:t>
      </w:r>
      <w:r w:rsidRPr="00320DDF">
        <w:rPr>
          <w:rFonts w:ascii="Garamond" w:hAnsi="Garamond"/>
          <w:sz w:val="22"/>
          <w:szCs w:val="22"/>
        </w:rPr>
        <w:t xml:space="preserve"> is a downside risk. </w:t>
      </w:r>
      <w:r w:rsidR="00625F3B" w:rsidRPr="00320DDF">
        <w:rPr>
          <w:rFonts w:ascii="Garamond" w:hAnsi="Garamond"/>
          <w:sz w:val="22"/>
          <w:szCs w:val="22"/>
        </w:rPr>
        <w:t>A faster global economic recovery compared to the baseline scenario, adverse weather conditions</w:t>
      </w:r>
      <w:r w:rsidR="00422B72" w:rsidRPr="00320DDF">
        <w:rPr>
          <w:rFonts w:ascii="Garamond" w:hAnsi="Garamond"/>
          <w:sz w:val="22"/>
          <w:szCs w:val="22"/>
        </w:rPr>
        <w:t xml:space="preserve"> </w:t>
      </w:r>
      <w:r w:rsidR="00CE0A67" w:rsidRPr="00320DDF">
        <w:rPr>
          <w:rFonts w:ascii="Garamond" w:hAnsi="Garamond"/>
          <w:sz w:val="22"/>
          <w:szCs w:val="22"/>
        </w:rPr>
        <w:t>and</w:t>
      </w:r>
      <w:r w:rsidR="006203FB" w:rsidRPr="00320DDF">
        <w:rPr>
          <w:rFonts w:ascii="Garamond" w:hAnsi="Garamond"/>
          <w:sz w:val="22"/>
          <w:szCs w:val="22"/>
        </w:rPr>
        <w:t xml:space="preserve"> </w:t>
      </w:r>
      <w:r w:rsidR="00625F3B" w:rsidRPr="00320DDF">
        <w:rPr>
          <w:rFonts w:ascii="Garamond" w:hAnsi="Garamond"/>
          <w:sz w:val="22"/>
          <w:szCs w:val="22"/>
        </w:rPr>
        <w:t xml:space="preserve">the </w:t>
      </w:r>
      <w:r w:rsidR="006203FB" w:rsidRPr="00320DDF">
        <w:rPr>
          <w:rFonts w:ascii="Garamond" w:hAnsi="Garamond"/>
          <w:sz w:val="22"/>
          <w:szCs w:val="22"/>
        </w:rPr>
        <w:t xml:space="preserve">pace of </w:t>
      </w:r>
      <w:r w:rsidR="005623DD" w:rsidRPr="00320DDF">
        <w:rPr>
          <w:rFonts w:ascii="Garamond" w:hAnsi="Garamond"/>
          <w:sz w:val="22"/>
          <w:szCs w:val="22"/>
        </w:rPr>
        <w:t xml:space="preserve">pushing ahead with </w:t>
      </w:r>
      <w:r w:rsidR="006203FB" w:rsidRPr="00320DDF">
        <w:rPr>
          <w:rFonts w:ascii="Garamond" w:hAnsi="Garamond"/>
          <w:sz w:val="22"/>
          <w:szCs w:val="22"/>
        </w:rPr>
        <w:t>structural reforms</w:t>
      </w:r>
      <w:r w:rsidR="005623DD" w:rsidRPr="00320DDF">
        <w:rPr>
          <w:rFonts w:ascii="Garamond" w:hAnsi="Garamond"/>
          <w:sz w:val="22"/>
          <w:szCs w:val="22"/>
        </w:rPr>
        <w:t xml:space="preserve"> for economic growth</w:t>
      </w:r>
      <w:r w:rsidR="00625F3B" w:rsidRPr="00320DDF">
        <w:rPr>
          <w:rFonts w:ascii="Garamond" w:hAnsi="Garamond"/>
          <w:sz w:val="22"/>
          <w:szCs w:val="22"/>
        </w:rPr>
        <w:t xml:space="preserve"> are dual-sided risks</w:t>
      </w:r>
      <w:r w:rsidR="006203FB" w:rsidRPr="00320DDF">
        <w:rPr>
          <w:rFonts w:ascii="Garamond" w:hAnsi="Garamond"/>
          <w:sz w:val="22"/>
          <w:szCs w:val="22"/>
        </w:rPr>
        <w:t>.</w:t>
      </w:r>
    </w:p>
    <w:p w14:paraId="722CB2B0" w14:textId="77777777" w:rsidR="00C70554" w:rsidRPr="00320DDF" w:rsidRDefault="00C70554" w:rsidP="00B117C8">
      <w:pPr>
        <w:spacing w:line="360" w:lineRule="auto"/>
        <w:jc w:val="both"/>
        <w:rPr>
          <w:rFonts w:ascii="Garamond" w:hAnsi="Garamond"/>
          <w:sz w:val="22"/>
          <w:szCs w:val="22"/>
        </w:rPr>
      </w:pPr>
    </w:p>
    <w:p w14:paraId="37D00BA4" w14:textId="77777777" w:rsidR="00C70554" w:rsidRPr="00320DDF" w:rsidRDefault="00C70554" w:rsidP="00B117C8">
      <w:pPr>
        <w:spacing w:line="360" w:lineRule="auto"/>
        <w:jc w:val="both"/>
        <w:rPr>
          <w:rFonts w:ascii="Garamond" w:hAnsi="Garamond"/>
          <w:sz w:val="22"/>
          <w:szCs w:val="22"/>
        </w:rPr>
      </w:pPr>
      <w:r w:rsidRPr="00320DDF">
        <w:rPr>
          <w:rFonts w:ascii="Garamond" w:hAnsi="Garamond" w:cs="Sylfaen"/>
          <w:b/>
          <w:iCs/>
          <w:sz w:val="22"/>
          <w:szCs w:val="22"/>
        </w:rPr>
        <w:t>Labor market:</w:t>
      </w:r>
      <w:r w:rsidR="00625F3B" w:rsidRPr="00320DDF">
        <w:rPr>
          <w:rStyle w:val="FootnoteReference"/>
          <w:rFonts w:ascii="Garamond" w:hAnsi="Garamond" w:cs="Sylfaen"/>
          <w:iCs/>
          <w:sz w:val="22"/>
          <w:szCs w:val="22"/>
        </w:rPr>
        <w:footnoteReference w:customMarkFollows="1" w:id="3"/>
        <w:t>3</w:t>
      </w:r>
      <w:r w:rsidRPr="00320DDF">
        <w:rPr>
          <w:rFonts w:ascii="Garamond" w:hAnsi="Garamond" w:cs="Sylfaen"/>
          <w:iCs/>
          <w:sz w:val="22"/>
          <w:szCs w:val="22"/>
        </w:rPr>
        <w:t xml:space="preserve"> The </w:t>
      </w:r>
      <w:r w:rsidR="00E14046" w:rsidRPr="00320DDF">
        <w:rPr>
          <w:rFonts w:ascii="Garamond" w:hAnsi="Garamond" w:cs="Sylfaen"/>
          <w:iCs/>
          <w:sz w:val="22"/>
          <w:szCs w:val="22"/>
        </w:rPr>
        <w:t>average nominal wage</w:t>
      </w:r>
      <w:r w:rsidR="00446630" w:rsidRPr="00320DDF">
        <w:rPr>
          <w:rStyle w:val="FootnoteReference"/>
          <w:rFonts w:ascii="Garamond" w:hAnsi="Garamond" w:cs="Sylfaen"/>
          <w:iCs/>
          <w:sz w:val="22"/>
          <w:szCs w:val="22"/>
        </w:rPr>
        <w:footnoteReference w:customMarkFollows="1" w:id="4"/>
        <w:t>4</w:t>
      </w:r>
      <w:r w:rsidR="00E14046" w:rsidRPr="00320DDF">
        <w:rPr>
          <w:rFonts w:ascii="Garamond" w:hAnsi="Garamond" w:cs="Sylfaen"/>
          <w:iCs/>
          <w:sz w:val="22"/>
          <w:szCs w:val="22"/>
        </w:rPr>
        <w:t xml:space="preserve"> forecasts for </w:t>
      </w:r>
      <w:r w:rsidRPr="00320DDF">
        <w:rPr>
          <w:rFonts w:ascii="Garamond" w:hAnsi="Garamond" w:cs="Sylfaen"/>
          <w:iCs/>
          <w:sz w:val="22"/>
          <w:szCs w:val="22"/>
        </w:rPr>
        <w:t>201</w:t>
      </w:r>
      <w:r w:rsidR="008E001C" w:rsidRPr="00320DDF">
        <w:rPr>
          <w:rFonts w:ascii="Garamond" w:hAnsi="Garamond" w:cs="Sylfaen"/>
          <w:iCs/>
          <w:sz w:val="22"/>
          <w:szCs w:val="22"/>
        </w:rPr>
        <w:t>7</w:t>
      </w:r>
      <w:r w:rsidRPr="00320DDF">
        <w:rPr>
          <w:rFonts w:ascii="Garamond" w:hAnsi="Garamond" w:cs="Sylfaen"/>
          <w:iCs/>
          <w:sz w:val="22"/>
          <w:szCs w:val="22"/>
        </w:rPr>
        <w:t>-201</w:t>
      </w:r>
      <w:r w:rsidR="00E14046" w:rsidRPr="00320DDF">
        <w:rPr>
          <w:rFonts w:ascii="Garamond" w:hAnsi="Garamond" w:cs="Sylfaen"/>
          <w:iCs/>
          <w:sz w:val="22"/>
          <w:szCs w:val="22"/>
        </w:rPr>
        <w:t>9</w:t>
      </w:r>
      <w:r w:rsidRPr="00320DDF">
        <w:rPr>
          <w:rFonts w:ascii="Garamond" w:hAnsi="Garamond" w:cs="Sylfaen"/>
          <w:iCs/>
          <w:sz w:val="22"/>
          <w:szCs w:val="22"/>
        </w:rPr>
        <w:t xml:space="preserve"> </w:t>
      </w:r>
      <w:r w:rsidR="00E14046" w:rsidRPr="00320DDF">
        <w:rPr>
          <w:rFonts w:ascii="Garamond" w:hAnsi="Garamond" w:cs="Sylfaen"/>
          <w:iCs/>
          <w:sz w:val="22"/>
          <w:szCs w:val="22"/>
        </w:rPr>
        <w:t xml:space="preserve">were adjusted </w:t>
      </w:r>
      <w:r w:rsidR="00446630" w:rsidRPr="00320DDF">
        <w:rPr>
          <w:rFonts w:ascii="Garamond" w:hAnsi="Garamond" w:cs="Sylfaen"/>
          <w:iCs/>
          <w:sz w:val="22"/>
          <w:szCs w:val="22"/>
        </w:rPr>
        <w:t>up</w:t>
      </w:r>
      <w:r w:rsidR="00E14046" w:rsidRPr="00320DDF">
        <w:rPr>
          <w:rFonts w:ascii="Garamond" w:hAnsi="Garamond" w:cs="Sylfaen"/>
          <w:iCs/>
          <w:sz w:val="22"/>
          <w:szCs w:val="22"/>
        </w:rPr>
        <w:t xml:space="preserve">side </w:t>
      </w:r>
      <w:r w:rsidR="00446630" w:rsidRPr="00320DDF">
        <w:rPr>
          <w:rFonts w:ascii="Garamond" w:hAnsi="Garamond" w:cs="Sylfaen"/>
          <w:iCs/>
          <w:sz w:val="22"/>
          <w:szCs w:val="22"/>
        </w:rPr>
        <w:t xml:space="preserve">but forecasts for the unemployment rate, downside. </w:t>
      </w:r>
    </w:p>
    <w:p w14:paraId="435B563D" w14:textId="77777777" w:rsidR="000F60CD" w:rsidRPr="00320DDF" w:rsidRDefault="000F60CD" w:rsidP="00B117C8">
      <w:pPr>
        <w:spacing w:line="360" w:lineRule="auto"/>
        <w:jc w:val="both"/>
        <w:rPr>
          <w:rFonts w:ascii="Garamond" w:hAnsi="Garamond"/>
          <w:sz w:val="22"/>
          <w:szCs w:val="22"/>
        </w:rPr>
      </w:pPr>
    </w:p>
    <w:p w14:paraId="22083CD3" w14:textId="77777777" w:rsidR="00C20845" w:rsidRPr="00320DDF" w:rsidRDefault="00C20845" w:rsidP="00B117C8">
      <w:pPr>
        <w:spacing w:line="360" w:lineRule="auto"/>
        <w:jc w:val="both"/>
        <w:rPr>
          <w:rFonts w:ascii="Garamond" w:hAnsi="Garamond"/>
          <w:sz w:val="22"/>
          <w:szCs w:val="22"/>
        </w:rPr>
      </w:pPr>
      <w:r w:rsidRPr="00320DDF">
        <w:rPr>
          <w:rFonts w:ascii="Garamond" w:hAnsi="Garamond"/>
          <w:sz w:val="22"/>
          <w:szCs w:val="22"/>
        </w:rPr>
        <w:t xml:space="preserve">The forecasts of average nominal wage growth in the </w:t>
      </w:r>
      <w:r w:rsidRPr="00320DDF">
        <w:rPr>
          <w:rFonts w:ascii="Garamond" w:hAnsi="Garamond"/>
          <w:b/>
          <w:sz w:val="22"/>
          <w:szCs w:val="22"/>
        </w:rPr>
        <w:t>private sector</w:t>
      </w:r>
      <w:r w:rsidRPr="00320DDF">
        <w:rPr>
          <w:rFonts w:ascii="Garamond" w:hAnsi="Garamond"/>
          <w:sz w:val="22"/>
          <w:szCs w:val="22"/>
        </w:rPr>
        <w:t xml:space="preserve"> were adjusted 0.4-0.6 pp upside for 2017-2019 due to the revised inflation and economic growth forecasts. Thus, average nominal wage in the private sector is forecast to grow by 4.2% in 2017, 5.2% in 2018 and 6.5% in 2019. </w:t>
      </w:r>
    </w:p>
    <w:p w14:paraId="31123C40" w14:textId="77777777" w:rsidR="00C20845" w:rsidRPr="00320DDF" w:rsidRDefault="00C20845" w:rsidP="00B117C8">
      <w:pPr>
        <w:spacing w:line="360" w:lineRule="auto"/>
        <w:jc w:val="both"/>
        <w:rPr>
          <w:rFonts w:ascii="Garamond" w:hAnsi="Garamond"/>
          <w:sz w:val="22"/>
          <w:szCs w:val="22"/>
        </w:rPr>
      </w:pPr>
    </w:p>
    <w:p w14:paraId="239E35AC" w14:textId="77777777" w:rsidR="00945824" w:rsidRPr="00320DDF" w:rsidRDefault="00A26DB6" w:rsidP="00B117C8">
      <w:pPr>
        <w:spacing w:line="360" w:lineRule="auto"/>
        <w:jc w:val="both"/>
        <w:rPr>
          <w:rFonts w:ascii="Garamond" w:hAnsi="Garamond"/>
          <w:sz w:val="22"/>
          <w:szCs w:val="22"/>
        </w:rPr>
      </w:pPr>
      <w:r w:rsidRPr="00320DDF">
        <w:rPr>
          <w:rFonts w:ascii="Garamond" w:hAnsi="Garamond"/>
          <w:sz w:val="22"/>
          <w:szCs w:val="22"/>
        </w:rPr>
        <w:t>In 201</w:t>
      </w:r>
      <w:r w:rsidR="00C07F9D" w:rsidRPr="00320DDF">
        <w:rPr>
          <w:rFonts w:ascii="Garamond" w:hAnsi="Garamond"/>
          <w:sz w:val="22"/>
          <w:szCs w:val="22"/>
        </w:rPr>
        <w:t>7</w:t>
      </w:r>
      <w:r w:rsidRPr="00320DDF">
        <w:rPr>
          <w:rFonts w:ascii="Garamond" w:hAnsi="Garamond"/>
          <w:sz w:val="22"/>
          <w:szCs w:val="22"/>
        </w:rPr>
        <w:t xml:space="preserve"> the average salary of employees in the </w:t>
      </w:r>
      <w:r w:rsidRPr="00320DDF">
        <w:rPr>
          <w:rFonts w:ascii="Garamond" w:hAnsi="Garamond"/>
          <w:b/>
          <w:sz w:val="22"/>
          <w:szCs w:val="22"/>
        </w:rPr>
        <w:t>public sector</w:t>
      </w:r>
      <w:r w:rsidRPr="00320DDF">
        <w:rPr>
          <w:rFonts w:ascii="Garamond" w:hAnsi="Garamond"/>
          <w:sz w:val="22"/>
          <w:szCs w:val="22"/>
        </w:rPr>
        <w:t xml:space="preserve"> </w:t>
      </w:r>
      <w:r w:rsidR="00C07F9D" w:rsidRPr="00320DDF">
        <w:rPr>
          <w:rFonts w:ascii="Garamond" w:hAnsi="Garamond"/>
          <w:sz w:val="22"/>
          <w:szCs w:val="22"/>
        </w:rPr>
        <w:t xml:space="preserve">is predicted to reduce by 0.7% instead of a previous 1% decline forecast. </w:t>
      </w:r>
      <w:r w:rsidR="00945824" w:rsidRPr="00320DDF">
        <w:rPr>
          <w:rFonts w:ascii="Garamond" w:hAnsi="Garamond"/>
          <w:sz w:val="22"/>
          <w:szCs w:val="22"/>
        </w:rPr>
        <w:t xml:space="preserve">The public sector salary forecasts for 2018-2019 were revised 0.4-0.5 pp upside, which is explained by revision of wage forecasts in the private sector, and amounted to 3.4% and 4.9%, respectively. </w:t>
      </w:r>
    </w:p>
    <w:p w14:paraId="077DD9D6" w14:textId="77777777" w:rsidR="00945824" w:rsidRPr="00320DDF" w:rsidRDefault="00945824" w:rsidP="00B117C8">
      <w:pPr>
        <w:spacing w:line="360" w:lineRule="auto"/>
        <w:jc w:val="both"/>
        <w:rPr>
          <w:rFonts w:ascii="Garamond" w:hAnsi="Garamond"/>
          <w:sz w:val="22"/>
          <w:szCs w:val="22"/>
        </w:rPr>
      </w:pPr>
    </w:p>
    <w:p w14:paraId="021A8BC3" w14:textId="77777777" w:rsidR="00E23D05" w:rsidRPr="00320DDF" w:rsidRDefault="00692B20" w:rsidP="00B117C8">
      <w:pPr>
        <w:spacing w:line="360" w:lineRule="auto"/>
        <w:jc w:val="both"/>
        <w:rPr>
          <w:rFonts w:ascii="Garamond" w:hAnsi="Garamond" w:cs="Sylfaen"/>
          <w:sz w:val="22"/>
          <w:szCs w:val="22"/>
        </w:rPr>
      </w:pPr>
      <w:r w:rsidRPr="00320DDF">
        <w:rPr>
          <w:rFonts w:ascii="Garamond" w:hAnsi="Garamond" w:cs="Sylfaen"/>
          <w:sz w:val="22"/>
          <w:szCs w:val="22"/>
        </w:rPr>
        <w:t xml:space="preserve">On the back of </w:t>
      </w:r>
      <w:r w:rsidR="00A665F1" w:rsidRPr="00320DDF">
        <w:rPr>
          <w:rFonts w:ascii="Garamond" w:hAnsi="Garamond" w:cs="Sylfaen"/>
          <w:sz w:val="22"/>
          <w:szCs w:val="22"/>
        </w:rPr>
        <w:t>the aforementioned private and public sector wage developments, t</w:t>
      </w:r>
      <w:r w:rsidR="00E23D05" w:rsidRPr="00320DDF">
        <w:rPr>
          <w:rFonts w:ascii="Garamond" w:hAnsi="Garamond" w:cs="Sylfaen"/>
          <w:sz w:val="22"/>
          <w:szCs w:val="22"/>
        </w:rPr>
        <w:t xml:space="preserve">he </w:t>
      </w:r>
      <w:r w:rsidR="00E23D05" w:rsidRPr="00320DDF">
        <w:rPr>
          <w:rFonts w:ascii="Garamond" w:hAnsi="Garamond" w:cs="Sylfaen"/>
          <w:b/>
          <w:sz w:val="22"/>
          <w:szCs w:val="22"/>
        </w:rPr>
        <w:t xml:space="preserve">average nominal wage </w:t>
      </w:r>
      <w:r w:rsidR="00087190" w:rsidRPr="00320DDF">
        <w:rPr>
          <w:rFonts w:ascii="Garamond" w:hAnsi="Garamond" w:cs="Sylfaen"/>
          <w:b/>
          <w:sz w:val="22"/>
          <w:szCs w:val="22"/>
        </w:rPr>
        <w:t xml:space="preserve">is expected to grow </w:t>
      </w:r>
      <w:r w:rsidR="00E23D05" w:rsidRPr="00320DDF">
        <w:rPr>
          <w:rFonts w:ascii="Garamond" w:hAnsi="Garamond" w:cs="Sylfaen"/>
          <w:b/>
          <w:sz w:val="22"/>
          <w:szCs w:val="22"/>
        </w:rPr>
        <w:t xml:space="preserve">by </w:t>
      </w:r>
      <w:r w:rsidR="00945824" w:rsidRPr="00320DDF">
        <w:rPr>
          <w:rFonts w:ascii="Garamond" w:hAnsi="Garamond" w:cs="Sylfaen"/>
          <w:b/>
          <w:sz w:val="22"/>
          <w:szCs w:val="22"/>
        </w:rPr>
        <w:t>nearly 2</w:t>
      </w:r>
      <w:r w:rsidR="00E23D05" w:rsidRPr="00320DDF">
        <w:rPr>
          <w:rFonts w:ascii="Garamond" w:hAnsi="Garamond" w:cs="Sylfaen"/>
          <w:b/>
          <w:sz w:val="22"/>
          <w:szCs w:val="22"/>
        </w:rPr>
        <w:t>% in 2017</w:t>
      </w:r>
      <w:r w:rsidR="00087190" w:rsidRPr="00320DDF">
        <w:rPr>
          <w:rFonts w:ascii="Garamond" w:hAnsi="Garamond" w:cs="Sylfaen"/>
          <w:b/>
          <w:sz w:val="22"/>
          <w:szCs w:val="22"/>
        </w:rPr>
        <w:t xml:space="preserve">, </w:t>
      </w:r>
      <w:r w:rsidR="00945824" w:rsidRPr="00320DDF">
        <w:rPr>
          <w:rFonts w:ascii="Garamond" w:hAnsi="Garamond" w:cs="Sylfaen"/>
          <w:b/>
          <w:sz w:val="22"/>
          <w:szCs w:val="22"/>
        </w:rPr>
        <w:t>in the range of 4</w:t>
      </w:r>
      <w:r w:rsidR="00A665F1" w:rsidRPr="00320DDF">
        <w:rPr>
          <w:rFonts w:ascii="Garamond" w:hAnsi="Garamond" w:cs="Sylfaen"/>
          <w:b/>
          <w:sz w:val="22"/>
          <w:szCs w:val="22"/>
        </w:rPr>
        <w:t>.</w:t>
      </w:r>
      <w:r w:rsidR="00945824" w:rsidRPr="00320DDF">
        <w:rPr>
          <w:rFonts w:ascii="Garamond" w:hAnsi="Garamond" w:cs="Sylfaen"/>
          <w:b/>
          <w:sz w:val="22"/>
          <w:szCs w:val="22"/>
        </w:rPr>
        <w:t>0</w:t>
      </w:r>
      <w:r w:rsidR="00A665F1" w:rsidRPr="00320DDF">
        <w:rPr>
          <w:rFonts w:ascii="Garamond" w:hAnsi="Garamond" w:cs="Sylfaen"/>
          <w:b/>
          <w:sz w:val="22"/>
          <w:szCs w:val="22"/>
        </w:rPr>
        <w:t>-4.</w:t>
      </w:r>
      <w:r w:rsidR="00945824" w:rsidRPr="00320DDF">
        <w:rPr>
          <w:rFonts w:ascii="Garamond" w:hAnsi="Garamond" w:cs="Sylfaen"/>
          <w:b/>
          <w:sz w:val="22"/>
          <w:szCs w:val="22"/>
        </w:rPr>
        <w:t>4</w:t>
      </w:r>
      <w:r w:rsidR="00087190" w:rsidRPr="00320DDF">
        <w:rPr>
          <w:rFonts w:ascii="Garamond" w:hAnsi="Garamond" w:cs="Sylfaen"/>
          <w:b/>
          <w:sz w:val="22"/>
          <w:szCs w:val="22"/>
        </w:rPr>
        <w:t>% in 2018,</w:t>
      </w:r>
      <w:r w:rsidR="00E23D05" w:rsidRPr="00320DDF">
        <w:rPr>
          <w:rFonts w:ascii="Garamond" w:hAnsi="Garamond" w:cs="Sylfaen"/>
          <w:b/>
          <w:sz w:val="22"/>
          <w:szCs w:val="22"/>
        </w:rPr>
        <w:t xml:space="preserve"> and </w:t>
      </w:r>
      <w:r w:rsidR="00945824" w:rsidRPr="00320DDF">
        <w:rPr>
          <w:rFonts w:ascii="Garamond" w:hAnsi="Garamond" w:cs="Sylfaen"/>
          <w:b/>
          <w:sz w:val="22"/>
          <w:szCs w:val="22"/>
        </w:rPr>
        <w:t>5</w:t>
      </w:r>
      <w:r w:rsidR="00A665F1" w:rsidRPr="00320DDF">
        <w:rPr>
          <w:rFonts w:ascii="Garamond" w:hAnsi="Garamond" w:cs="Sylfaen"/>
          <w:b/>
          <w:sz w:val="22"/>
          <w:szCs w:val="22"/>
        </w:rPr>
        <w:t>.</w:t>
      </w:r>
      <w:r w:rsidR="00945824" w:rsidRPr="00320DDF">
        <w:rPr>
          <w:rFonts w:ascii="Garamond" w:hAnsi="Garamond" w:cs="Sylfaen"/>
          <w:b/>
          <w:sz w:val="22"/>
          <w:szCs w:val="22"/>
        </w:rPr>
        <w:t>4</w:t>
      </w:r>
      <w:r w:rsidR="00A665F1" w:rsidRPr="00320DDF">
        <w:rPr>
          <w:rFonts w:ascii="Garamond" w:hAnsi="Garamond" w:cs="Sylfaen"/>
          <w:b/>
          <w:sz w:val="22"/>
          <w:szCs w:val="22"/>
        </w:rPr>
        <w:t>-5</w:t>
      </w:r>
      <w:r w:rsidR="00087190" w:rsidRPr="00320DDF">
        <w:rPr>
          <w:rFonts w:ascii="Garamond" w:hAnsi="Garamond" w:cs="Sylfaen"/>
          <w:b/>
          <w:sz w:val="22"/>
          <w:szCs w:val="22"/>
        </w:rPr>
        <w:t>.</w:t>
      </w:r>
      <w:r w:rsidR="00945824" w:rsidRPr="00320DDF">
        <w:rPr>
          <w:rFonts w:ascii="Garamond" w:hAnsi="Garamond" w:cs="Sylfaen"/>
          <w:b/>
          <w:sz w:val="22"/>
          <w:szCs w:val="22"/>
        </w:rPr>
        <w:t>8</w:t>
      </w:r>
      <w:r w:rsidR="00E23D05" w:rsidRPr="00320DDF">
        <w:rPr>
          <w:rFonts w:ascii="Garamond" w:hAnsi="Garamond" w:cs="Sylfaen"/>
          <w:b/>
          <w:sz w:val="22"/>
          <w:szCs w:val="22"/>
        </w:rPr>
        <w:t>% in 201</w:t>
      </w:r>
      <w:r w:rsidR="00087190" w:rsidRPr="00320DDF">
        <w:rPr>
          <w:rFonts w:ascii="Garamond" w:hAnsi="Garamond" w:cs="Sylfaen"/>
          <w:b/>
          <w:sz w:val="22"/>
          <w:szCs w:val="22"/>
        </w:rPr>
        <w:t>9</w:t>
      </w:r>
      <w:r w:rsidR="00E23D05" w:rsidRPr="00320DDF">
        <w:rPr>
          <w:rFonts w:ascii="Garamond" w:hAnsi="Garamond" w:cs="Sylfaen"/>
          <w:sz w:val="22"/>
          <w:szCs w:val="22"/>
        </w:rPr>
        <w:t>.</w:t>
      </w:r>
    </w:p>
    <w:p w14:paraId="4F7060FA" w14:textId="77777777" w:rsidR="00E23D05" w:rsidRPr="00320DDF" w:rsidRDefault="00E23D05" w:rsidP="00B117C8">
      <w:pPr>
        <w:spacing w:line="360" w:lineRule="auto"/>
        <w:jc w:val="both"/>
        <w:rPr>
          <w:rFonts w:ascii="Garamond" w:hAnsi="Garamond" w:cs="Sylfaen"/>
          <w:sz w:val="22"/>
          <w:szCs w:val="22"/>
        </w:rPr>
      </w:pPr>
    </w:p>
    <w:p w14:paraId="254525F3" w14:textId="77777777" w:rsidR="0054755B" w:rsidRPr="00320DDF" w:rsidRDefault="00A9096B" w:rsidP="00B117C8">
      <w:pPr>
        <w:spacing w:line="360" w:lineRule="auto"/>
        <w:jc w:val="both"/>
        <w:rPr>
          <w:rFonts w:ascii="Garamond" w:hAnsi="Garamond" w:cs="Sylfaen"/>
          <w:sz w:val="22"/>
          <w:szCs w:val="22"/>
        </w:rPr>
      </w:pPr>
      <w:r w:rsidRPr="00320DDF">
        <w:rPr>
          <w:rFonts w:ascii="Garamond" w:hAnsi="Garamond" w:cs="Sylfaen"/>
          <w:b/>
          <w:sz w:val="22"/>
          <w:szCs w:val="22"/>
        </w:rPr>
        <w:t>In 201</w:t>
      </w:r>
      <w:r w:rsidR="00467FAB" w:rsidRPr="00320DDF">
        <w:rPr>
          <w:rFonts w:ascii="Garamond" w:hAnsi="Garamond" w:cs="Sylfaen"/>
          <w:b/>
          <w:sz w:val="22"/>
          <w:szCs w:val="22"/>
        </w:rPr>
        <w:t>7</w:t>
      </w:r>
      <w:r w:rsidRPr="00320DDF">
        <w:rPr>
          <w:rFonts w:ascii="Garamond" w:hAnsi="Garamond" w:cs="Sylfaen"/>
          <w:b/>
          <w:sz w:val="22"/>
          <w:szCs w:val="22"/>
        </w:rPr>
        <w:t xml:space="preserve"> the unemployment rate </w:t>
      </w:r>
      <w:r w:rsidR="00945824" w:rsidRPr="00320DDF">
        <w:rPr>
          <w:rFonts w:ascii="Garamond" w:hAnsi="Garamond" w:cs="Sylfaen"/>
          <w:b/>
          <w:sz w:val="22"/>
          <w:szCs w:val="22"/>
        </w:rPr>
        <w:t>forecast wa</w:t>
      </w:r>
      <w:r w:rsidR="002A0B0B" w:rsidRPr="00320DDF">
        <w:rPr>
          <w:rFonts w:ascii="Garamond" w:hAnsi="Garamond" w:cs="Sylfaen"/>
          <w:b/>
          <w:sz w:val="22"/>
          <w:szCs w:val="22"/>
        </w:rPr>
        <w:t xml:space="preserve">s </w:t>
      </w:r>
      <w:r w:rsidR="00945824" w:rsidRPr="00320DDF">
        <w:rPr>
          <w:rFonts w:ascii="Garamond" w:hAnsi="Garamond" w:cs="Sylfaen"/>
          <w:b/>
          <w:sz w:val="22"/>
          <w:szCs w:val="22"/>
        </w:rPr>
        <w:t xml:space="preserve">adjusted </w:t>
      </w:r>
      <w:r w:rsidR="0092723C" w:rsidRPr="00320DDF">
        <w:rPr>
          <w:rFonts w:ascii="Garamond" w:hAnsi="Garamond" w:cs="Sylfaen"/>
          <w:b/>
          <w:sz w:val="22"/>
          <w:szCs w:val="22"/>
        </w:rPr>
        <w:t xml:space="preserve">0.8 pp downside and is estimated at </w:t>
      </w:r>
      <w:r w:rsidR="002A0B0B" w:rsidRPr="00320DDF">
        <w:rPr>
          <w:rFonts w:ascii="Garamond" w:hAnsi="Garamond" w:cs="Sylfaen"/>
          <w:b/>
          <w:sz w:val="22"/>
          <w:szCs w:val="22"/>
        </w:rPr>
        <w:t>1</w:t>
      </w:r>
      <w:r w:rsidR="0092723C" w:rsidRPr="00320DDF">
        <w:rPr>
          <w:rFonts w:ascii="Garamond" w:hAnsi="Garamond" w:cs="Sylfaen"/>
          <w:b/>
          <w:sz w:val="22"/>
          <w:szCs w:val="22"/>
        </w:rPr>
        <w:t>7</w:t>
      </w:r>
      <w:r w:rsidR="002A0B0B" w:rsidRPr="00320DDF">
        <w:rPr>
          <w:rFonts w:ascii="Garamond" w:hAnsi="Garamond" w:cs="Sylfaen"/>
          <w:b/>
          <w:sz w:val="22"/>
          <w:szCs w:val="22"/>
        </w:rPr>
        <w:t>.</w:t>
      </w:r>
      <w:r w:rsidR="0092723C" w:rsidRPr="00320DDF">
        <w:rPr>
          <w:rFonts w:ascii="Garamond" w:hAnsi="Garamond" w:cs="Sylfaen"/>
          <w:b/>
          <w:sz w:val="22"/>
          <w:szCs w:val="22"/>
        </w:rPr>
        <w:t>7</w:t>
      </w:r>
      <w:r w:rsidR="002A0B0B" w:rsidRPr="00320DDF">
        <w:rPr>
          <w:rFonts w:ascii="Garamond" w:hAnsi="Garamond" w:cs="Sylfaen"/>
          <w:b/>
          <w:sz w:val="22"/>
          <w:szCs w:val="22"/>
        </w:rPr>
        <w:t>%</w:t>
      </w:r>
      <w:r w:rsidR="009B3BFF" w:rsidRPr="00320DDF">
        <w:rPr>
          <w:rFonts w:ascii="Garamond" w:hAnsi="Garamond" w:cs="Sylfaen"/>
          <w:sz w:val="22"/>
          <w:szCs w:val="22"/>
        </w:rPr>
        <w:t xml:space="preserve">. </w:t>
      </w:r>
      <w:r w:rsidR="0054755B" w:rsidRPr="00320DDF">
        <w:rPr>
          <w:rFonts w:ascii="Garamond" w:hAnsi="Garamond" w:cs="Sylfaen"/>
          <w:sz w:val="22"/>
          <w:szCs w:val="22"/>
        </w:rPr>
        <w:t>In 2018 and 2019 the unemployment rate will stand at 17.0-17.3% and 16.7-17.0%, respectively, which is 0.9-1.0 pp lower from the previous forecasts. Revision of the forecasts is due to actual developments as well as adjusted economic growth forecasts.</w:t>
      </w:r>
    </w:p>
    <w:p w14:paraId="68CD9E90" w14:textId="77777777" w:rsidR="0054755B" w:rsidRPr="00320DDF" w:rsidRDefault="0054755B" w:rsidP="00B117C8">
      <w:pPr>
        <w:spacing w:line="360" w:lineRule="auto"/>
        <w:jc w:val="both"/>
        <w:rPr>
          <w:rFonts w:ascii="Garamond" w:hAnsi="Garamond" w:cs="Sylfaen"/>
          <w:sz w:val="22"/>
          <w:szCs w:val="22"/>
        </w:rPr>
      </w:pPr>
    </w:p>
    <w:p w14:paraId="3348D880" w14:textId="77777777" w:rsidR="003C2ED0" w:rsidRPr="00320DDF" w:rsidRDefault="000918EC" w:rsidP="00B117C8">
      <w:pPr>
        <w:spacing w:line="360" w:lineRule="auto"/>
        <w:jc w:val="both"/>
        <w:rPr>
          <w:rFonts w:ascii="Garamond" w:hAnsi="Garamond" w:cs="Sylfaen"/>
          <w:sz w:val="22"/>
          <w:szCs w:val="22"/>
        </w:rPr>
      </w:pPr>
      <w:r w:rsidRPr="00320DDF">
        <w:rPr>
          <w:rFonts w:ascii="Garamond" w:hAnsi="Garamond" w:cs="Sylfaen"/>
          <w:sz w:val="22"/>
          <w:szCs w:val="22"/>
        </w:rPr>
        <w:t xml:space="preserve">As a result of the above-mentioned developments, </w:t>
      </w:r>
      <w:r w:rsidR="003C2ED0" w:rsidRPr="00320DDF">
        <w:rPr>
          <w:rFonts w:ascii="Garamond" w:hAnsi="Garamond" w:cs="Sylfaen"/>
          <w:b/>
          <w:sz w:val="22"/>
          <w:szCs w:val="22"/>
        </w:rPr>
        <w:t xml:space="preserve">the </w:t>
      </w:r>
      <w:r w:rsidRPr="00320DDF">
        <w:rPr>
          <w:rFonts w:ascii="Garamond" w:hAnsi="Garamond" w:cs="Sylfaen"/>
          <w:b/>
          <w:sz w:val="22"/>
          <w:szCs w:val="22"/>
        </w:rPr>
        <w:t xml:space="preserve">wage growth </w:t>
      </w:r>
      <w:r w:rsidR="00EF27CC" w:rsidRPr="00320DDF">
        <w:rPr>
          <w:rFonts w:ascii="Garamond" w:hAnsi="Garamond" w:cs="Sylfaen"/>
          <w:b/>
          <w:sz w:val="22"/>
          <w:szCs w:val="22"/>
        </w:rPr>
        <w:t xml:space="preserve">rate </w:t>
      </w:r>
      <w:r w:rsidR="003C2ED0" w:rsidRPr="00320DDF">
        <w:rPr>
          <w:rFonts w:ascii="Garamond" w:hAnsi="Garamond" w:cs="Sylfaen"/>
          <w:b/>
          <w:sz w:val="22"/>
          <w:szCs w:val="22"/>
        </w:rPr>
        <w:t xml:space="preserve">will </w:t>
      </w:r>
      <w:r w:rsidR="00EF27CC" w:rsidRPr="00320DDF">
        <w:rPr>
          <w:rFonts w:ascii="Garamond" w:hAnsi="Garamond" w:cs="Sylfaen"/>
          <w:b/>
          <w:sz w:val="22"/>
          <w:szCs w:val="22"/>
        </w:rPr>
        <w:t xml:space="preserve">outstrip </w:t>
      </w:r>
      <w:r w:rsidRPr="00320DDF">
        <w:rPr>
          <w:rFonts w:ascii="Garamond" w:hAnsi="Garamond" w:cs="Sylfaen"/>
          <w:b/>
          <w:sz w:val="22"/>
          <w:szCs w:val="22"/>
        </w:rPr>
        <w:t>the productivity growth</w:t>
      </w:r>
      <w:r w:rsidR="00EF27CC" w:rsidRPr="00320DDF">
        <w:rPr>
          <w:rFonts w:ascii="Garamond" w:hAnsi="Garamond" w:cs="Sylfaen"/>
          <w:b/>
          <w:sz w:val="22"/>
          <w:szCs w:val="22"/>
        </w:rPr>
        <w:t xml:space="preserve"> rate</w:t>
      </w:r>
      <w:r w:rsidR="003D2829" w:rsidRPr="00320DDF">
        <w:rPr>
          <w:rFonts w:ascii="Garamond" w:hAnsi="Garamond" w:cs="Sylfaen"/>
          <w:b/>
          <w:sz w:val="22"/>
          <w:szCs w:val="22"/>
        </w:rPr>
        <w:t xml:space="preserve"> in 2017, driving </w:t>
      </w:r>
      <w:r w:rsidR="003D2829" w:rsidRPr="00320DDF">
        <w:rPr>
          <w:rFonts w:ascii="Garamond" w:eastAsia="Calibri" w:hAnsi="Garamond"/>
          <w:b/>
          <w:sz w:val="22"/>
          <w:szCs w:val="22"/>
        </w:rPr>
        <w:t>the consumer market to suffer</w:t>
      </w:r>
      <w:r w:rsidR="003C2ED0" w:rsidRPr="00320DDF">
        <w:rPr>
          <w:rFonts w:ascii="Garamond" w:hAnsi="Garamond" w:cs="Sylfaen"/>
          <w:b/>
          <w:sz w:val="22"/>
          <w:szCs w:val="22"/>
        </w:rPr>
        <w:t xml:space="preserve"> </w:t>
      </w:r>
      <w:r w:rsidR="003D2829" w:rsidRPr="00320DDF">
        <w:rPr>
          <w:rFonts w:ascii="Garamond" w:hAnsi="Garamond" w:cs="Sylfaen"/>
          <w:b/>
          <w:sz w:val="22"/>
          <w:szCs w:val="22"/>
        </w:rPr>
        <w:t xml:space="preserve">some </w:t>
      </w:r>
      <w:r w:rsidR="003C2ED0" w:rsidRPr="00320DDF">
        <w:rPr>
          <w:rFonts w:ascii="Garamond" w:hAnsi="Garamond" w:cs="Sylfaen"/>
          <w:b/>
          <w:sz w:val="22"/>
          <w:szCs w:val="22"/>
        </w:rPr>
        <w:t>0.</w:t>
      </w:r>
      <w:r w:rsidR="00E80A61" w:rsidRPr="00320DDF">
        <w:rPr>
          <w:rFonts w:ascii="Garamond" w:hAnsi="Garamond" w:cs="Sylfaen"/>
          <w:b/>
          <w:sz w:val="22"/>
          <w:szCs w:val="22"/>
        </w:rPr>
        <w:t>3</w:t>
      </w:r>
      <w:r w:rsidR="003C2ED0" w:rsidRPr="00320DDF">
        <w:rPr>
          <w:rFonts w:ascii="Garamond" w:hAnsi="Garamond" w:cs="Sylfaen"/>
          <w:b/>
          <w:sz w:val="22"/>
          <w:szCs w:val="22"/>
        </w:rPr>
        <w:t>-0.</w:t>
      </w:r>
      <w:r w:rsidR="00E80A61" w:rsidRPr="00320DDF">
        <w:rPr>
          <w:rFonts w:ascii="Garamond" w:hAnsi="Garamond" w:cs="Sylfaen"/>
          <w:b/>
          <w:sz w:val="22"/>
          <w:szCs w:val="22"/>
        </w:rPr>
        <w:t>5</w:t>
      </w:r>
      <w:r w:rsidR="003C2ED0" w:rsidRPr="00320DDF">
        <w:rPr>
          <w:rFonts w:ascii="Garamond" w:eastAsia="Calibri" w:hAnsi="Garamond"/>
          <w:b/>
          <w:sz w:val="22"/>
          <w:szCs w:val="22"/>
        </w:rPr>
        <w:t xml:space="preserve">% of </w:t>
      </w:r>
      <w:r w:rsidR="00E80A61" w:rsidRPr="00320DDF">
        <w:rPr>
          <w:rFonts w:ascii="Garamond" w:eastAsia="Calibri" w:hAnsi="Garamond"/>
          <w:b/>
          <w:sz w:val="22"/>
          <w:szCs w:val="22"/>
        </w:rPr>
        <w:t>in</w:t>
      </w:r>
      <w:r w:rsidR="003C2ED0" w:rsidRPr="00320DDF">
        <w:rPr>
          <w:rFonts w:ascii="Garamond" w:eastAsia="Calibri" w:hAnsi="Garamond"/>
          <w:b/>
          <w:sz w:val="22"/>
          <w:szCs w:val="22"/>
        </w:rPr>
        <w:t xml:space="preserve">flationary </w:t>
      </w:r>
      <w:r w:rsidR="004A3B8E" w:rsidRPr="00320DDF">
        <w:rPr>
          <w:rFonts w:ascii="Garamond" w:eastAsia="Calibri" w:hAnsi="Garamond"/>
          <w:b/>
          <w:sz w:val="22"/>
          <w:szCs w:val="22"/>
        </w:rPr>
        <w:t>pressures</w:t>
      </w:r>
      <w:r w:rsidR="003D2829" w:rsidRPr="00320DDF">
        <w:rPr>
          <w:rFonts w:ascii="Garamond" w:eastAsia="Calibri" w:hAnsi="Garamond"/>
          <w:sz w:val="22"/>
          <w:szCs w:val="22"/>
        </w:rPr>
        <w:t>, which is slightly higher than the indicator of the previous forecast</w:t>
      </w:r>
      <w:r w:rsidRPr="00320DDF">
        <w:rPr>
          <w:rFonts w:ascii="Garamond" w:eastAsia="Calibri" w:hAnsi="Garamond"/>
          <w:sz w:val="22"/>
          <w:szCs w:val="22"/>
        </w:rPr>
        <w:t xml:space="preserve">. </w:t>
      </w:r>
      <w:r w:rsidR="003D2829" w:rsidRPr="00320DDF">
        <w:rPr>
          <w:rFonts w:ascii="Garamond" w:eastAsia="Calibri" w:hAnsi="Garamond"/>
          <w:sz w:val="22"/>
          <w:szCs w:val="22"/>
        </w:rPr>
        <w:t xml:space="preserve">Consistent with former projections, </w:t>
      </w:r>
      <w:r w:rsidR="003C2ED0" w:rsidRPr="00320DDF">
        <w:rPr>
          <w:rFonts w:ascii="Garamond" w:hAnsi="Garamond" w:cs="Sylfaen"/>
          <w:sz w:val="22"/>
          <w:szCs w:val="22"/>
        </w:rPr>
        <w:t>the labor market’s impact on the inflation is estimated to be neutral</w:t>
      </w:r>
      <w:r w:rsidR="003D2829" w:rsidRPr="00320DDF">
        <w:rPr>
          <w:rFonts w:ascii="Garamond" w:hAnsi="Garamond" w:cs="Sylfaen"/>
          <w:sz w:val="22"/>
          <w:szCs w:val="22"/>
        </w:rPr>
        <w:t xml:space="preserve"> in 2018-2019</w:t>
      </w:r>
      <w:r w:rsidR="003C2ED0" w:rsidRPr="00320DDF">
        <w:rPr>
          <w:rFonts w:ascii="Garamond" w:hAnsi="Garamond" w:cs="Sylfaen"/>
          <w:sz w:val="22"/>
          <w:szCs w:val="22"/>
        </w:rPr>
        <w:t>.</w:t>
      </w:r>
    </w:p>
    <w:p w14:paraId="0CA66658" w14:textId="77777777" w:rsidR="00D810B0" w:rsidRPr="00320DDF" w:rsidRDefault="00D810B0" w:rsidP="00B117C8">
      <w:pPr>
        <w:spacing w:line="360" w:lineRule="auto"/>
        <w:jc w:val="both"/>
        <w:rPr>
          <w:rFonts w:ascii="Garamond" w:hAnsi="Garamond" w:cs="Sylfaen"/>
          <w:sz w:val="22"/>
          <w:szCs w:val="22"/>
        </w:rPr>
      </w:pPr>
    </w:p>
    <w:p w14:paraId="66B0E827" w14:textId="77777777" w:rsidR="00D810B0" w:rsidRPr="00320DDF" w:rsidRDefault="00D810B0" w:rsidP="00B117C8">
      <w:pPr>
        <w:spacing w:line="360" w:lineRule="auto"/>
        <w:jc w:val="both"/>
        <w:rPr>
          <w:rFonts w:ascii="Garamond" w:hAnsi="Garamond" w:cs="Sylfaen"/>
          <w:b/>
          <w:sz w:val="22"/>
          <w:szCs w:val="22"/>
        </w:rPr>
      </w:pPr>
      <w:r w:rsidRPr="00320DDF">
        <w:rPr>
          <w:rFonts w:ascii="Garamond" w:hAnsi="Garamond" w:cs="Sylfaen"/>
          <w:b/>
          <w:sz w:val="22"/>
          <w:szCs w:val="22"/>
        </w:rPr>
        <w:t>Aggregate demand</w:t>
      </w:r>
      <w:r w:rsidR="003D2829" w:rsidRPr="00320DDF">
        <w:rPr>
          <w:rStyle w:val="FootnoteReference"/>
          <w:rFonts w:ascii="Garamond" w:hAnsi="Garamond" w:cs="Sylfaen"/>
          <w:b/>
          <w:sz w:val="22"/>
          <w:szCs w:val="22"/>
        </w:rPr>
        <w:footnoteReference w:customMarkFollows="1" w:id="5"/>
        <w:t>5</w:t>
      </w:r>
    </w:p>
    <w:p w14:paraId="2BC70420" w14:textId="77777777" w:rsidR="00C659D7" w:rsidRPr="00320DDF" w:rsidRDefault="00032592" w:rsidP="00B117C8">
      <w:pPr>
        <w:spacing w:line="360" w:lineRule="auto"/>
        <w:jc w:val="both"/>
        <w:rPr>
          <w:rFonts w:ascii="Garamond" w:hAnsi="Garamond" w:cs="Sylfaen"/>
          <w:b/>
          <w:iCs/>
          <w:sz w:val="22"/>
          <w:szCs w:val="22"/>
        </w:rPr>
      </w:pPr>
      <w:r w:rsidRPr="00320DDF">
        <w:rPr>
          <w:rFonts w:ascii="Garamond" w:hAnsi="Garamond" w:cs="Sylfaen"/>
          <w:b/>
          <w:iCs/>
          <w:sz w:val="22"/>
          <w:szCs w:val="22"/>
        </w:rPr>
        <w:lastRenderedPageBreak/>
        <w:t xml:space="preserve">On the back of growth in remittances from the Russian Federation, as well as the Government of Armenia investment promotion policy and </w:t>
      </w:r>
      <w:r w:rsidR="00C659D7" w:rsidRPr="00320DDF">
        <w:rPr>
          <w:rFonts w:ascii="Garamond" w:hAnsi="Garamond" w:cs="Sylfaen"/>
          <w:b/>
          <w:iCs/>
          <w:sz w:val="22"/>
          <w:szCs w:val="22"/>
        </w:rPr>
        <w:t xml:space="preserve">influence from </w:t>
      </w:r>
      <w:r w:rsidRPr="00320DDF">
        <w:rPr>
          <w:rFonts w:ascii="Garamond" w:hAnsi="Garamond" w:cs="Sylfaen"/>
          <w:b/>
          <w:iCs/>
          <w:sz w:val="22"/>
          <w:szCs w:val="22"/>
        </w:rPr>
        <w:t>loosened monetary conditions</w:t>
      </w:r>
      <w:r w:rsidR="00C659D7" w:rsidRPr="00320DDF">
        <w:rPr>
          <w:rFonts w:ascii="Garamond" w:hAnsi="Garamond" w:cs="Sylfaen"/>
          <w:b/>
          <w:iCs/>
          <w:sz w:val="22"/>
          <w:szCs w:val="22"/>
        </w:rPr>
        <w:t>,</w:t>
      </w:r>
      <w:r w:rsidRPr="00320DDF">
        <w:rPr>
          <w:rFonts w:ascii="Garamond" w:hAnsi="Garamond" w:cs="Sylfaen"/>
          <w:b/>
          <w:iCs/>
          <w:sz w:val="22"/>
          <w:szCs w:val="22"/>
        </w:rPr>
        <w:t xml:space="preserve"> th</w:t>
      </w:r>
      <w:r w:rsidR="00C659D7" w:rsidRPr="00320DDF">
        <w:rPr>
          <w:rFonts w:ascii="Garamond" w:hAnsi="Garamond" w:cs="Sylfaen"/>
          <w:b/>
          <w:iCs/>
          <w:sz w:val="22"/>
          <w:szCs w:val="22"/>
        </w:rPr>
        <w:t xml:space="preserve">e </w:t>
      </w:r>
      <w:r w:rsidRPr="00320DDF">
        <w:rPr>
          <w:rFonts w:ascii="Garamond" w:hAnsi="Garamond" w:cs="Sylfaen"/>
          <w:b/>
          <w:iCs/>
          <w:sz w:val="22"/>
          <w:szCs w:val="22"/>
        </w:rPr>
        <w:t xml:space="preserve">private </w:t>
      </w:r>
      <w:r w:rsidR="00C659D7" w:rsidRPr="00320DDF">
        <w:rPr>
          <w:rFonts w:ascii="Garamond" w:hAnsi="Garamond" w:cs="Sylfaen"/>
          <w:b/>
          <w:iCs/>
          <w:sz w:val="22"/>
          <w:szCs w:val="22"/>
        </w:rPr>
        <w:t>spending is predicted to</w:t>
      </w:r>
      <w:r w:rsidRPr="00320DDF">
        <w:rPr>
          <w:rFonts w:ascii="Garamond" w:hAnsi="Garamond" w:cs="Sylfaen"/>
          <w:b/>
          <w:iCs/>
          <w:sz w:val="22"/>
          <w:szCs w:val="22"/>
        </w:rPr>
        <w:t xml:space="preserve"> grow faster in 2017 </w:t>
      </w:r>
      <w:r w:rsidR="00C659D7" w:rsidRPr="00320DDF">
        <w:rPr>
          <w:rFonts w:ascii="Garamond" w:hAnsi="Garamond" w:cs="Sylfaen"/>
          <w:b/>
          <w:iCs/>
          <w:sz w:val="22"/>
          <w:szCs w:val="22"/>
        </w:rPr>
        <w:t xml:space="preserve">and </w:t>
      </w:r>
      <w:r w:rsidRPr="00320DDF">
        <w:rPr>
          <w:rFonts w:ascii="Garamond" w:hAnsi="Garamond" w:cs="Sylfaen"/>
          <w:b/>
          <w:iCs/>
          <w:sz w:val="22"/>
          <w:szCs w:val="22"/>
        </w:rPr>
        <w:t>amount to 4.4-4.8%, which is 2.6 pp</w:t>
      </w:r>
      <w:r w:rsidR="00C659D7" w:rsidRPr="00320DDF">
        <w:rPr>
          <w:rFonts w:ascii="Garamond" w:hAnsi="Garamond" w:cs="Sylfaen"/>
          <w:b/>
          <w:iCs/>
          <w:sz w:val="22"/>
          <w:szCs w:val="22"/>
        </w:rPr>
        <w:t xml:space="preserve"> </w:t>
      </w:r>
      <w:r w:rsidRPr="00320DDF">
        <w:rPr>
          <w:rFonts w:ascii="Garamond" w:hAnsi="Garamond" w:cs="Sylfaen"/>
          <w:b/>
          <w:iCs/>
          <w:sz w:val="22"/>
          <w:szCs w:val="22"/>
        </w:rPr>
        <w:t>higher than the previous forecasts.</w:t>
      </w:r>
      <w:r w:rsidR="00C659D7" w:rsidRPr="00320DDF">
        <w:rPr>
          <w:rFonts w:ascii="Garamond" w:hAnsi="Garamond" w:cs="Sylfaen"/>
          <w:b/>
          <w:iCs/>
          <w:sz w:val="22"/>
          <w:szCs w:val="22"/>
        </w:rPr>
        <w:t xml:space="preserve"> In view of the goal of debt sustainability in the medium-term perspective, the budget deficit</w:t>
      </w:r>
      <w:r w:rsidR="00675C6E" w:rsidRPr="00320DDF">
        <w:rPr>
          <w:rFonts w:ascii="Garamond" w:hAnsi="Garamond" w:cs="Sylfaen"/>
          <w:b/>
          <w:iCs/>
          <w:sz w:val="22"/>
          <w:szCs w:val="22"/>
        </w:rPr>
        <w:t xml:space="preserve"> in 2017 </w:t>
      </w:r>
      <w:r w:rsidR="00C659D7" w:rsidRPr="00320DDF">
        <w:rPr>
          <w:rFonts w:ascii="Garamond" w:hAnsi="Garamond" w:cs="Sylfaen"/>
          <w:b/>
          <w:iCs/>
          <w:sz w:val="22"/>
          <w:szCs w:val="22"/>
        </w:rPr>
        <w:t>is expected to decrease</w:t>
      </w:r>
      <w:r w:rsidR="00675C6E" w:rsidRPr="00320DDF">
        <w:rPr>
          <w:rFonts w:ascii="Garamond" w:hAnsi="Garamond" w:cs="Sylfaen"/>
          <w:b/>
          <w:iCs/>
          <w:sz w:val="22"/>
          <w:szCs w:val="22"/>
        </w:rPr>
        <w:t>,</w:t>
      </w:r>
      <w:r w:rsidR="00C659D7" w:rsidRPr="00320DDF">
        <w:rPr>
          <w:rFonts w:ascii="Garamond" w:hAnsi="Garamond" w:cs="Sylfaen"/>
          <w:b/>
          <w:iCs/>
          <w:sz w:val="22"/>
          <w:szCs w:val="22"/>
        </w:rPr>
        <w:t xml:space="preserve"> which, although set to leave a dampening effect on domestic demand in the short run, will </w:t>
      </w:r>
      <w:r w:rsidR="008E0324" w:rsidRPr="00320DDF">
        <w:rPr>
          <w:rFonts w:ascii="Garamond" w:hAnsi="Garamond" w:cs="Sylfaen"/>
          <w:b/>
          <w:iCs/>
          <w:sz w:val="22"/>
          <w:szCs w:val="22"/>
        </w:rPr>
        <w:t>contribute to increasing confidence in the long run, sustainability of public finances and investment and economic activity</w:t>
      </w:r>
      <w:r w:rsidR="00C659D7" w:rsidRPr="00320DDF">
        <w:rPr>
          <w:rFonts w:ascii="Garamond" w:hAnsi="Garamond" w:cs="Sylfaen"/>
          <w:b/>
          <w:iCs/>
          <w:sz w:val="22"/>
          <w:szCs w:val="22"/>
        </w:rPr>
        <w:t xml:space="preserve">. </w:t>
      </w:r>
      <w:r w:rsidR="008E0324" w:rsidRPr="00320DDF">
        <w:rPr>
          <w:rFonts w:ascii="Garamond" w:hAnsi="Garamond" w:cs="Sylfaen"/>
          <w:b/>
          <w:iCs/>
          <w:sz w:val="22"/>
          <w:szCs w:val="22"/>
        </w:rPr>
        <w:t xml:space="preserve">The above-described developments in the private and public sectors suggest </w:t>
      </w:r>
      <w:r w:rsidR="00675C6E" w:rsidRPr="00320DDF">
        <w:rPr>
          <w:rFonts w:ascii="Garamond" w:hAnsi="Garamond" w:cs="Sylfaen"/>
          <w:b/>
          <w:iCs/>
          <w:sz w:val="22"/>
          <w:szCs w:val="22"/>
        </w:rPr>
        <w:t xml:space="preserve">that the growth of </w:t>
      </w:r>
      <w:r w:rsidR="008E0324" w:rsidRPr="00320DDF">
        <w:rPr>
          <w:rFonts w:ascii="Garamond" w:hAnsi="Garamond" w:cs="Sylfaen"/>
          <w:b/>
          <w:iCs/>
          <w:sz w:val="22"/>
          <w:szCs w:val="22"/>
        </w:rPr>
        <w:t xml:space="preserve">domestic demand </w:t>
      </w:r>
      <w:r w:rsidR="00675C6E" w:rsidRPr="00320DDF">
        <w:rPr>
          <w:rFonts w:ascii="Garamond" w:hAnsi="Garamond" w:cs="Sylfaen"/>
          <w:b/>
          <w:iCs/>
          <w:sz w:val="22"/>
          <w:szCs w:val="22"/>
        </w:rPr>
        <w:t xml:space="preserve">in 2017 </w:t>
      </w:r>
      <w:r w:rsidR="008E0324" w:rsidRPr="00320DDF">
        <w:rPr>
          <w:rFonts w:ascii="Garamond" w:hAnsi="Garamond" w:cs="Sylfaen"/>
          <w:b/>
          <w:iCs/>
          <w:sz w:val="22"/>
          <w:szCs w:val="22"/>
        </w:rPr>
        <w:t xml:space="preserve">will </w:t>
      </w:r>
      <w:r w:rsidR="00675C6E" w:rsidRPr="00320DDF">
        <w:rPr>
          <w:rFonts w:ascii="Garamond" w:hAnsi="Garamond" w:cs="Sylfaen"/>
          <w:b/>
          <w:iCs/>
          <w:sz w:val="22"/>
          <w:szCs w:val="22"/>
        </w:rPr>
        <w:t>be within 3.0-3.4%</w:t>
      </w:r>
      <w:r w:rsidR="008E0324" w:rsidRPr="00320DDF">
        <w:rPr>
          <w:rFonts w:ascii="Garamond" w:hAnsi="Garamond" w:cs="Sylfaen"/>
          <w:b/>
          <w:iCs/>
          <w:sz w:val="22"/>
          <w:szCs w:val="22"/>
        </w:rPr>
        <w:t xml:space="preserve">, </w:t>
      </w:r>
      <w:r w:rsidR="00675C6E" w:rsidRPr="00320DDF">
        <w:rPr>
          <w:rFonts w:ascii="Garamond" w:hAnsi="Garamond" w:cs="Sylfaen"/>
          <w:b/>
          <w:iCs/>
          <w:sz w:val="22"/>
          <w:szCs w:val="22"/>
        </w:rPr>
        <w:t xml:space="preserve">which is </w:t>
      </w:r>
      <w:r w:rsidR="00274016" w:rsidRPr="00320DDF">
        <w:rPr>
          <w:rFonts w:ascii="Garamond" w:hAnsi="Garamond" w:cs="Sylfaen"/>
          <w:b/>
          <w:iCs/>
          <w:sz w:val="22"/>
          <w:szCs w:val="22"/>
        </w:rPr>
        <w:t>more than 3.0 pp higher than the previous forecasts. In anticipation of a faster growth, the negative gap of domestic demand in 2017 will shrink considerably compared with previous forecasts and eliminate in early 2018. Consistent with previous forecasts, it is expected that domestic demand will run slightly above the equilibrium in 2018-2019, creating a positive gap.</w:t>
      </w:r>
    </w:p>
    <w:p w14:paraId="0CF5FEF1" w14:textId="77777777" w:rsidR="00C659D7" w:rsidRPr="00320DDF" w:rsidRDefault="00C659D7" w:rsidP="00B117C8">
      <w:pPr>
        <w:spacing w:line="360" w:lineRule="auto"/>
        <w:jc w:val="both"/>
        <w:rPr>
          <w:rFonts w:ascii="Garamond" w:hAnsi="Garamond" w:cs="Sylfaen"/>
          <w:b/>
          <w:iCs/>
          <w:sz w:val="22"/>
          <w:szCs w:val="22"/>
        </w:rPr>
      </w:pPr>
    </w:p>
    <w:p w14:paraId="544229AF" w14:textId="77777777" w:rsidR="00F458E9" w:rsidRPr="00320DDF" w:rsidRDefault="00F458E9" w:rsidP="00B117C8">
      <w:pPr>
        <w:spacing w:line="360" w:lineRule="auto"/>
        <w:jc w:val="both"/>
        <w:rPr>
          <w:rFonts w:ascii="Garamond" w:hAnsi="Garamond" w:cs="Sylfaen"/>
          <w:b/>
          <w:iCs/>
          <w:sz w:val="22"/>
          <w:szCs w:val="22"/>
        </w:rPr>
      </w:pPr>
      <w:r w:rsidRPr="00320DDF">
        <w:rPr>
          <w:rFonts w:ascii="Garamond" w:hAnsi="Garamond" w:cs="Sylfaen"/>
          <w:b/>
          <w:iCs/>
          <w:sz w:val="22"/>
          <w:szCs w:val="22"/>
        </w:rPr>
        <w:t>Private sector spending</w:t>
      </w:r>
    </w:p>
    <w:p w14:paraId="0945F904" w14:textId="77777777" w:rsidR="00791BB3" w:rsidRPr="00320DDF" w:rsidRDefault="009738A0" w:rsidP="00B117C8">
      <w:pPr>
        <w:spacing w:line="360" w:lineRule="auto"/>
        <w:jc w:val="both"/>
        <w:rPr>
          <w:rFonts w:ascii="Garamond" w:hAnsi="Garamond" w:cs="Sylfaen"/>
          <w:sz w:val="22"/>
          <w:szCs w:val="22"/>
        </w:rPr>
      </w:pPr>
      <w:r w:rsidRPr="00320DDF">
        <w:rPr>
          <w:rFonts w:ascii="Garamond" w:hAnsi="Garamond"/>
          <w:sz w:val="22"/>
          <w:szCs w:val="22"/>
        </w:rPr>
        <w:t xml:space="preserve">An anticipated </w:t>
      </w:r>
      <w:r w:rsidR="00B60487" w:rsidRPr="00320DDF">
        <w:rPr>
          <w:rFonts w:ascii="Garamond" w:hAnsi="Garamond"/>
          <w:sz w:val="22"/>
          <w:szCs w:val="22"/>
        </w:rPr>
        <w:t xml:space="preserve">increase </w:t>
      </w:r>
      <w:r w:rsidR="004F349B" w:rsidRPr="00320DDF">
        <w:rPr>
          <w:rFonts w:ascii="Garamond" w:hAnsi="Garamond"/>
          <w:sz w:val="22"/>
          <w:szCs w:val="22"/>
        </w:rPr>
        <w:t xml:space="preserve">in </w:t>
      </w:r>
      <w:r w:rsidR="004F349B" w:rsidRPr="00320DDF">
        <w:rPr>
          <w:rFonts w:ascii="Garamond" w:hAnsi="Garamond" w:cs="Sylfaen"/>
          <w:sz w:val="22"/>
          <w:szCs w:val="22"/>
        </w:rPr>
        <w:t>private transfers</w:t>
      </w:r>
      <w:r w:rsidR="004F349B" w:rsidRPr="00320DDF">
        <w:rPr>
          <w:rFonts w:ascii="Garamond" w:hAnsi="Garamond"/>
          <w:sz w:val="22"/>
          <w:szCs w:val="22"/>
        </w:rPr>
        <w:t xml:space="preserve"> from </w:t>
      </w:r>
      <w:r w:rsidR="008A77AF" w:rsidRPr="00320DDF">
        <w:rPr>
          <w:rFonts w:ascii="Garamond" w:hAnsi="Garamond"/>
          <w:sz w:val="22"/>
          <w:szCs w:val="22"/>
        </w:rPr>
        <w:t xml:space="preserve">the </w:t>
      </w:r>
      <w:r w:rsidR="004F349B" w:rsidRPr="00320DDF">
        <w:rPr>
          <w:rFonts w:ascii="Garamond" w:hAnsi="Garamond"/>
          <w:sz w:val="22"/>
          <w:szCs w:val="22"/>
        </w:rPr>
        <w:t>Russia</w:t>
      </w:r>
      <w:r w:rsidR="008A77AF" w:rsidRPr="00320DDF">
        <w:rPr>
          <w:rFonts w:ascii="Garamond" w:hAnsi="Garamond"/>
          <w:sz w:val="22"/>
          <w:szCs w:val="22"/>
        </w:rPr>
        <w:t xml:space="preserve">n Federation, somewhat higher in comparison with the relevant indicator outlined in the previous monetary policy program, </w:t>
      </w:r>
      <w:r w:rsidR="00B60487" w:rsidRPr="00320DDF">
        <w:rPr>
          <w:rFonts w:ascii="Garamond" w:hAnsi="Garamond"/>
          <w:sz w:val="22"/>
          <w:szCs w:val="22"/>
        </w:rPr>
        <w:t xml:space="preserve">as well as </w:t>
      </w:r>
      <w:r w:rsidR="00A33C9E" w:rsidRPr="00320DDF">
        <w:rPr>
          <w:rFonts w:ascii="Garamond" w:hAnsi="Garamond"/>
          <w:sz w:val="22"/>
          <w:szCs w:val="22"/>
        </w:rPr>
        <w:t xml:space="preserve">expectation for stronger growth </w:t>
      </w:r>
      <w:r w:rsidR="00B60487" w:rsidRPr="00320DDF">
        <w:rPr>
          <w:rFonts w:ascii="Garamond" w:hAnsi="Garamond"/>
          <w:sz w:val="22"/>
          <w:szCs w:val="22"/>
        </w:rPr>
        <w:t xml:space="preserve">in the domestic economy </w:t>
      </w:r>
      <w:r w:rsidR="004F349B" w:rsidRPr="00320DDF">
        <w:rPr>
          <w:rFonts w:ascii="Garamond" w:hAnsi="Garamond" w:cs="Sylfaen"/>
          <w:sz w:val="22"/>
          <w:szCs w:val="22"/>
        </w:rPr>
        <w:t xml:space="preserve">will </w:t>
      </w:r>
      <w:r w:rsidR="00A33C9E" w:rsidRPr="00320DDF">
        <w:rPr>
          <w:rFonts w:ascii="Garamond" w:hAnsi="Garamond" w:cs="Sylfaen"/>
          <w:sz w:val="22"/>
          <w:szCs w:val="22"/>
        </w:rPr>
        <w:t xml:space="preserve">bolster real </w:t>
      </w:r>
      <w:r w:rsidR="004F349B" w:rsidRPr="00320DDF">
        <w:rPr>
          <w:rFonts w:ascii="Garamond" w:hAnsi="Garamond" w:cs="Sylfaen"/>
          <w:sz w:val="22"/>
          <w:szCs w:val="22"/>
        </w:rPr>
        <w:t>household incomes</w:t>
      </w:r>
      <w:r w:rsidR="00490CF9" w:rsidRPr="00320DDF">
        <w:rPr>
          <w:rFonts w:ascii="Garamond" w:hAnsi="Garamond" w:cs="Sylfaen"/>
          <w:sz w:val="22"/>
          <w:szCs w:val="22"/>
        </w:rPr>
        <w:t xml:space="preserve"> in 201</w:t>
      </w:r>
      <w:r w:rsidR="00B60487" w:rsidRPr="00320DDF">
        <w:rPr>
          <w:rFonts w:ascii="Garamond" w:hAnsi="Garamond" w:cs="Sylfaen"/>
          <w:sz w:val="22"/>
          <w:szCs w:val="22"/>
        </w:rPr>
        <w:t>7</w:t>
      </w:r>
      <w:r w:rsidR="004F349B" w:rsidRPr="00320DDF">
        <w:rPr>
          <w:rFonts w:ascii="Garamond" w:hAnsi="Garamond" w:cs="Sylfaen"/>
          <w:sz w:val="22"/>
          <w:szCs w:val="22"/>
        </w:rPr>
        <w:t>.</w:t>
      </w:r>
      <w:r w:rsidR="00791BB3" w:rsidRPr="00320DDF">
        <w:rPr>
          <w:rFonts w:ascii="Garamond" w:hAnsi="Garamond" w:cs="Sylfaen"/>
          <w:sz w:val="22"/>
          <w:szCs w:val="22"/>
        </w:rPr>
        <w:t xml:space="preserve"> Given these factors, as well as the expected increase in lending in 2017, private consumption growth is expected to be around 2.5 pp higher compared with the previous forecast, amounting to 4.3%. In line with previous forecasts, in 2018-2019 private consumption is expected to increase by 2.2-2.6% and 2.5-2.9%, respectively. </w:t>
      </w:r>
    </w:p>
    <w:p w14:paraId="5C6ECB25" w14:textId="77777777" w:rsidR="00E828A1" w:rsidRPr="00320DDF" w:rsidRDefault="00E828A1" w:rsidP="00B117C8">
      <w:pPr>
        <w:spacing w:line="360" w:lineRule="auto"/>
        <w:jc w:val="both"/>
        <w:rPr>
          <w:rFonts w:ascii="Garamond" w:hAnsi="Garamond" w:cs="Sylfaen"/>
          <w:sz w:val="22"/>
          <w:szCs w:val="22"/>
        </w:rPr>
      </w:pPr>
    </w:p>
    <w:p w14:paraId="2174293A" w14:textId="77777777" w:rsidR="00791BB3" w:rsidRPr="00320DDF" w:rsidRDefault="00E828A1" w:rsidP="00B117C8">
      <w:pPr>
        <w:spacing w:line="360" w:lineRule="auto"/>
        <w:jc w:val="both"/>
        <w:rPr>
          <w:rFonts w:ascii="Garamond" w:hAnsi="Garamond" w:cs="Sylfaen"/>
          <w:sz w:val="22"/>
          <w:szCs w:val="22"/>
        </w:rPr>
      </w:pPr>
      <w:r w:rsidRPr="00320DDF">
        <w:rPr>
          <w:rFonts w:ascii="Garamond" w:hAnsi="Garamond" w:cs="Sylfaen"/>
          <w:sz w:val="22"/>
          <w:szCs w:val="22"/>
        </w:rPr>
        <w:t>In</w:t>
      </w:r>
      <w:r w:rsidR="00E735BA" w:rsidRPr="00320DDF">
        <w:rPr>
          <w:rFonts w:ascii="Garamond" w:hAnsi="Garamond" w:cs="Sylfaen"/>
          <w:sz w:val="22"/>
          <w:szCs w:val="22"/>
        </w:rPr>
        <w:t xml:space="preserve"> 2017 in</w:t>
      </w:r>
      <w:r w:rsidRPr="00320DDF">
        <w:rPr>
          <w:rFonts w:ascii="Garamond" w:hAnsi="Garamond" w:cs="Sylfaen"/>
          <w:sz w:val="22"/>
          <w:szCs w:val="22"/>
        </w:rPr>
        <w:t>vestment activity is expected to recover a</w:t>
      </w:r>
      <w:r w:rsidR="00E735BA" w:rsidRPr="00320DDF">
        <w:rPr>
          <w:rFonts w:ascii="Garamond" w:hAnsi="Garamond" w:cs="Sylfaen"/>
          <w:sz w:val="22"/>
          <w:szCs w:val="22"/>
        </w:rPr>
        <w:t xml:space="preserve">long with </w:t>
      </w:r>
      <w:r w:rsidRPr="00320DDF">
        <w:rPr>
          <w:rFonts w:ascii="Garamond" w:hAnsi="Garamond" w:cs="Sylfaen"/>
          <w:sz w:val="22"/>
          <w:szCs w:val="22"/>
        </w:rPr>
        <w:t xml:space="preserve">about 6% </w:t>
      </w:r>
      <w:r w:rsidR="00E735BA" w:rsidRPr="00320DDF">
        <w:rPr>
          <w:rFonts w:ascii="Garamond" w:hAnsi="Garamond" w:cs="Sylfaen"/>
          <w:sz w:val="22"/>
          <w:szCs w:val="22"/>
        </w:rPr>
        <w:t>growth of</w:t>
      </w:r>
      <w:r w:rsidRPr="00320DDF">
        <w:rPr>
          <w:rFonts w:ascii="Garamond" w:hAnsi="Garamond" w:cs="Sylfaen"/>
          <w:sz w:val="22"/>
          <w:szCs w:val="22"/>
        </w:rPr>
        <w:t xml:space="preserve"> private investment, which is around 3.0 p</w:t>
      </w:r>
      <w:r w:rsidR="00A4507B" w:rsidRPr="00320DDF">
        <w:rPr>
          <w:rFonts w:ascii="Garamond" w:hAnsi="Garamond" w:cs="Sylfaen"/>
          <w:sz w:val="22"/>
          <w:szCs w:val="22"/>
        </w:rPr>
        <w:t>p</w:t>
      </w:r>
      <w:r w:rsidRPr="00320DDF">
        <w:rPr>
          <w:rFonts w:ascii="Garamond" w:hAnsi="Garamond" w:cs="Sylfaen"/>
          <w:sz w:val="22"/>
          <w:szCs w:val="22"/>
        </w:rPr>
        <w:t xml:space="preserve"> higher than</w:t>
      </w:r>
      <w:r w:rsidR="00A4507B" w:rsidRPr="00320DDF">
        <w:rPr>
          <w:rFonts w:ascii="Garamond" w:hAnsi="Garamond" w:cs="Sylfaen"/>
          <w:sz w:val="22"/>
          <w:szCs w:val="22"/>
        </w:rPr>
        <w:t xml:space="preserve"> the</w:t>
      </w:r>
      <w:r w:rsidRPr="00320DDF">
        <w:rPr>
          <w:rFonts w:ascii="Garamond" w:hAnsi="Garamond" w:cs="Sylfaen"/>
          <w:sz w:val="22"/>
          <w:szCs w:val="22"/>
        </w:rPr>
        <w:t xml:space="preserve"> previous forecasts. The revision </w:t>
      </w:r>
      <w:r w:rsidR="00A4507B" w:rsidRPr="00320DDF">
        <w:rPr>
          <w:rFonts w:ascii="Garamond" w:hAnsi="Garamond" w:cs="Sylfaen"/>
          <w:sz w:val="22"/>
          <w:szCs w:val="22"/>
        </w:rPr>
        <w:t>i</w:t>
      </w:r>
      <w:r w:rsidRPr="00320DDF">
        <w:rPr>
          <w:rFonts w:ascii="Garamond" w:hAnsi="Garamond" w:cs="Sylfaen"/>
          <w:sz w:val="22"/>
          <w:szCs w:val="22"/>
        </w:rPr>
        <w:t>s d</w:t>
      </w:r>
      <w:r w:rsidR="00A4507B" w:rsidRPr="00320DDF">
        <w:rPr>
          <w:rFonts w:ascii="Garamond" w:hAnsi="Garamond" w:cs="Sylfaen"/>
          <w:sz w:val="22"/>
          <w:szCs w:val="22"/>
        </w:rPr>
        <w:t>riven by new investment projects to</w:t>
      </w:r>
      <w:r w:rsidR="00232D4E" w:rsidRPr="00320DDF">
        <w:rPr>
          <w:rFonts w:ascii="Garamond" w:hAnsi="Garamond" w:cs="Sylfaen"/>
          <w:sz w:val="22"/>
          <w:szCs w:val="22"/>
        </w:rPr>
        <w:t xml:space="preserve"> </w:t>
      </w:r>
      <w:r w:rsidR="00A4507B" w:rsidRPr="00320DDF">
        <w:rPr>
          <w:rFonts w:ascii="Garamond" w:hAnsi="Garamond" w:cs="Sylfaen"/>
          <w:sz w:val="22"/>
          <w:szCs w:val="22"/>
        </w:rPr>
        <w:t xml:space="preserve">be carried out in the field of </w:t>
      </w:r>
      <w:r w:rsidRPr="00320DDF">
        <w:rPr>
          <w:rFonts w:ascii="Garamond" w:hAnsi="Garamond" w:cs="Sylfaen"/>
          <w:sz w:val="22"/>
          <w:szCs w:val="22"/>
        </w:rPr>
        <w:t xml:space="preserve">traditional and alternative energy, agriculture and water </w:t>
      </w:r>
      <w:r w:rsidR="00A4507B" w:rsidRPr="00320DDF">
        <w:rPr>
          <w:rFonts w:ascii="Garamond" w:hAnsi="Garamond" w:cs="Sylfaen"/>
          <w:sz w:val="22"/>
          <w:szCs w:val="22"/>
        </w:rPr>
        <w:t>management</w:t>
      </w:r>
      <w:r w:rsidRPr="00320DDF">
        <w:rPr>
          <w:rFonts w:ascii="Garamond" w:hAnsi="Garamond" w:cs="Sylfaen"/>
          <w:sz w:val="22"/>
          <w:szCs w:val="22"/>
        </w:rPr>
        <w:t xml:space="preserve">. </w:t>
      </w:r>
      <w:r w:rsidR="00232D4E" w:rsidRPr="00320DDF">
        <w:rPr>
          <w:rFonts w:ascii="Garamond" w:hAnsi="Garamond" w:cs="Sylfaen"/>
          <w:sz w:val="22"/>
          <w:szCs w:val="22"/>
        </w:rPr>
        <w:t xml:space="preserve">Consistent with </w:t>
      </w:r>
      <w:r w:rsidRPr="00320DDF">
        <w:rPr>
          <w:rFonts w:ascii="Garamond" w:hAnsi="Garamond" w:cs="Sylfaen"/>
          <w:sz w:val="22"/>
          <w:szCs w:val="22"/>
        </w:rPr>
        <w:t xml:space="preserve">previous forecasts, </w:t>
      </w:r>
      <w:r w:rsidR="00232D4E" w:rsidRPr="00320DDF">
        <w:rPr>
          <w:rFonts w:ascii="Garamond" w:hAnsi="Garamond" w:cs="Sylfaen"/>
          <w:sz w:val="22"/>
          <w:szCs w:val="22"/>
        </w:rPr>
        <w:t xml:space="preserve">the growth of private investment </w:t>
      </w:r>
      <w:r w:rsidRPr="00320DDF">
        <w:rPr>
          <w:rFonts w:ascii="Garamond" w:hAnsi="Garamond" w:cs="Sylfaen"/>
          <w:sz w:val="22"/>
          <w:szCs w:val="22"/>
        </w:rPr>
        <w:t xml:space="preserve">in 2018-2019 is expected </w:t>
      </w:r>
      <w:r w:rsidR="00232D4E" w:rsidRPr="00320DDF">
        <w:rPr>
          <w:rFonts w:ascii="Garamond" w:hAnsi="Garamond" w:cs="Sylfaen"/>
          <w:sz w:val="22"/>
          <w:szCs w:val="22"/>
        </w:rPr>
        <w:t xml:space="preserve">in the range of </w:t>
      </w:r>
      <w:r w:rsidRPr="00320DDF">
        <w:rPr>
          <w:rFonts w:ascii="Garamond" w:hAnsi="Garamond" w:cs="Sylfaen"/>
          <w:sz w:val="22"/>
          <w:szCs w:val="22"/>
        </w:rPr>
        <w:t>3.9-4.3% and 4.1-4.5%</w:t>
      </w:r>
      <w:r w:rsidR="00232D4E" w:rsidRPr="00320DDF">
        <w:rPr>
          <w:rFonts w:ascii="Garamond" w:hAnsi="Garamond" w:cs="Sylfaen"/>
          <w:sz w:val="22"/>
          <w:szCs w:val="22"/>
        </w:rPr>
        <w:t>,</w:t>
      </w:r>
      <w:r w:rsidRPr="00320DDF">
        <w:rPr>
          <w:rFonts w:ascii="Garamond" w:hAnsi="Garamond" w:cs="Sylfaen"/>
          <w:sz w:val="22"/>
          <w:szCs w:val="22"/>
        </w:rPr>
        <w:t xml:space="preserve"> respectively</w:t>
      </w:r>
      <w:r w:rsidR="00232D4E" w:rsidRPr="00320DDF">
        <w:rPr>
          <w:rFonts w:ascii="Garamond" w:hAnsi="Garamond" w:cs="Sylfaen"/>
          <w:sz w:val="22"/>
          <w:szCs w:val="22"/>
        </w:rPr>
        <w:t>.</w:t>
      </w:r>
    </w:p>
    <w:p w14:paraId="005E674C" w14:textId="77777777" w:rsidR="005046F7" w:rsidRPr="00320DDF" w:rsidRDefault="005046F7" w:rsidP="00B117C8">
      <w:pPr>
        <w:spacing w:line="360" w:lineRule="auto"/>
        <w:jc w:val="both"/>
        <w:rPr>
          <w:rFonts w:ascii="Garamond" w:hAnsi="Garamond" w:cs="Sylfaen"/>
          <w:sz w:val="22"/>
          <w:szCs w:val="22"/>
        </w:rPr>
      </w:pPr>
    </w:p>
    <w:p w14:paraId="40AD7E30" w14:textId="77777777" w:rsidR="00831789" w:rsidRPr="00320DDF" w:rsidRDefault="005046F7" w:rsidP="00B117C8">
      <w:pPr>
        <w:spacing w:line="360" w:lineRule="auto"/>
        <w:jc w:val="both"/>
        <w:rPr>
          <w:rFonts w:ascii="Garamond" w:hAnsi="Garamond"/>
          <w:sz w:val="22"/>
          <w:szCs w:val="22"/>
        </w:rPr>
      </w:pPr>
      <w:r w:rsidRPr="00320DDF">
        <w:rPr>
          <w:rFonts w:ascii="Garamond" w:hAnsi="Garamond"/>
          <w:sz w:val="22"/>
          <w:szCs w:val="22"/>
        </w:rPr>
        <w:t xml:space="preserve">The aforementioned developments with private consumption and investment will result in a 4.6% increase in private spending in 2017, which is 2.6 pp higher than the previous forecast. In 2018-2019 </w:t>
      </w:r>
      <w:r w:rsidR="00831789" w:rsidRPr="00320DDF">
        <w:rPr>
          <w:rFonts w:ascii="Garamond" w:hAnsi="Garamond"/>
          <w:sz w:val="22"/>
          <w:szCs w:val="22"/>
        </w:rPr>
        <w:t xml:space="preserve">private expenditures will grow </w:t>
      </w:r>
      <w:r w:rsidRPr="00320DDF">
        <w:rPr>
          <w:rFonts w:ascii="Garamond" w:hAnsi="Garamond"/>
          <w:sz w:val="22"/>
          <w:szCs w:val="22"/>
        </w:rPr>
        <w:t>by 2.</w:t>
      </w:r>
      <w:r w:rsidR="00831789" w:rsidRPr="00320DDF">
        <w:rPr>
          <w:rFonts w:ascii="Garamond" w:hAnsi="Garamond"/>
          <w:sz w:val="22"/>
          <w:szCs w:val="22"/>
        </w:rPr>
        <w:t>5</w:t>
      </w:r>
      <w:r w:rsidRPr="00320DDF">
        <w:rPr>
          <w:rFonts w:ascii="Garamond" w:hAnsi="Garamond"/>
          <w:sz w:val="22"/>
          <w:szCs w:val="22"/>
        </w:rPr>
        <w:t>-2.</w:t>
      </w:r>
      <w:r w:rsidR="00831789" w:rsidRPr="00320DDF">
        <w:rPr>
          <w:rFonts w:ascii="Garamond" w:hAnsi="Garamond"/>
          <w:sz w:val="22"/>
          <w:szCs w:val="22"/>
        </w:rPr>
        <w:t>9</w:t>
      </w:r>
      <w:r w:rsidRPr="00320DDF">
        <w:rPr>
          <w:rFonts w:ascii="Garamond" w:hAnsi="Garamond"/>
          <w:sz w:val="22"/>
          <w:szCs w:val="22"/>
        </w:rPr>
        <w:t>% and 2.</w:t>
      </w:r>
      <w:r w:rsidR="00831789" w:rsidRPr="00320DDF">
        <w:rPr>
          <w:rFonts w:ascii="Garamond" w:hAnsi="Garamond"/>
          <w:sz w:val="22"/>
          <w:szCs w:val="22"/>
        </w:rPr>
        <w:t>8</w:t>
      </w:r>
      <w:r w:rsidRPr="00320DDF">
        <w:rPr>
          <w:rFonts w:ascii="Garamond" w:hAnsi="Garamond"/>
          <w:sz w:val="22"/>
          <w:szCs w:val="22"/>
        </w:rPr>
        <w:t>-3.</w:t>
      </w:r>
      <w:r w:rsidR="00831789" w:rsidRPr="00320DDF">
        <w:rPr>
          <w:rFonts w:ascii="Garamond" w:hAnsi="Garamond"/>
          <w:sz w:val="22"/>
          <w:szCs w:val="22"/>
        </w:rPr>
        <w:t xml:space="preserve">2%, respectively, which is consistent with previous projections. </w:t>
      </w:r>
    </w:p>
    <w:p w14:paraId="5ACEDE64" w14:textId="77777777" w:rsidR="00831789" w:rsidRPr="00320DDF" w:rsidRDefault="00831789" w:rsidP="00B117C8">
      <w:pPr>
        <w:spacing w:line="360" w:lineRule="auto"/>
        <w:jc w:val="both"/>
        <w:rPr>
          <w:rFonts w:ascii="Garamond" w:hAnsi="Garamond"/>
          <w:sz w:val="22"/>
          <w:szCs w:val="22"/>
        </w:rPr>
      </w:pPr>
    </w:p>
    <w:p w14:paraId="4D367A38" w14:textId="77777777" w:rsidR="00831789" w:rsidRPr="00320DDF" w:rsidRDefault="00831789" w:rsidP="00B117C8">
      <w:pPr>
        <w:spacing w:line="360" w:lineRule="auto"/>
        <w:jc w:val="both"/>
        <w:rPr>
          <w:rFonts w:ascii="Garamond" w:hAnsi="Garamond"/>
          <w:sz w:val="22"/>
          <w:szCs w:val="22"/>
        </w:rPr>
      </w:pPr>
      <w:r w:rsidRPr="00320DDF">
        <w:rPr>
          <w:rFonts w:ascii="Garamond" w:hAnsi="Garamond"/>
          <w:sz w:val="22"/>
          <w:szCs w:val="22"/>
        </w:rPr>
        <w:lastRenderedPageBreak/>
        <w:t xml:space="preserve">The above developments with private expenditures suggest that by the end of 2017 the private spending gap will eliminate. From the first quarter of 2018 to the end of the forecast horizon, the private spending gap is estimated to be positive. So, up until the start of 2018, the </w:t>
      </w:r>
      <w:r w:rsidRPr="00320DDF">
        <w:rPr>
          <w:rFonts w:ascii="Garamond" w:hAnsi="Garamond"/>
          <w:b/>
          <w:sz w:val="22"/>
          <w:szCs w:val="22"/>
        </w:rPr>
        <w:t xml:space="preserve">private spending gap will create an average </w:t>
      </w:r>
      <w:r w:rsidR="001B3D95" w:rsidRPr="00320DDF">
        <w:rPr>
          <w:rFonts w:ascii="Garamond" w:hAnsi="Garamond"/>
          <w:b/>
          <w:sz w:val="22"/>
          <w:szCs w:val="22"/>
        </w:rPr>
        <w:t xml:space="preserve">of </w:t>
      </w:r>
      <w:r w:rsidRPr="00320DDF">
        <w:rPr>
          <w:rFonts w:ascii="Garamond" w:hAnsi="Garamond"/>
          <w:b/>
          <w:sz w:val="22"/>
          <w:szCs w:val="22"/>
        </w:rPr>
        <w:t>0.3-0.5 pp contractionary impact on inflation</w:t>
      </w:r>
      <w:r w:rsidRPr="00320DDF">
        <w:rPr>
          <w:rFonts w:ascii="Garamond" w:hAnsi="Garamond"/>
          <w:sz w:val="22"/>
          <w:szCs w:val="22"/>
        </w:rPr>
        <w:t>, which is</w:t>
      </w:r>
      <w:r w:rsidR="001B3D95" w:rsidRPr="00320DDF">
        <w:rPr>
          <w:rFonts w:ascii="Garamond" w:hAnsi="Garamond"/>
          <w:sz w:val="22"/>
          <w:szCs w:val="22"/>
        </w:rPr>
        <w:t xml:space="preserve"> smaller from the indicator outlined in previous forecasts.</w:t>
      </w:r>
      <w:r w:rsidRPr="00320DDF">
        <w:rPr>
          <w:rFonts w:ascii="Garamond" w:hAnsi="Garamond"/>
          <w:sz w:val="22"/>
          <w:szCs w:val="22"/>
        </w:rPr>
        <w:t xml:space="preserve"> </w:t>
      </w:r>
      <w:r w:rsidR="001B3D95" w:rsidRPr="00320DDF">
        <w:rPr>
          <w:rFonts w:ascii="Garamond" w:hAnsi="Garamond"/>
          <w:sz w:val="22"/>
          <w:szCs w:val="22"/>
        </w:rPr>
        <w:t>F</w:t>
      </w:r>
      <w:r w:rsidRPr="00320DDF">
        <w:rPr>
          <w:rFonts w:ascii="Garamond" w:hAnsi="Garamond"/>
          <w:sz w:val="22"/>
          <w:szCs w:val="22"/>
        </w:rPr>
        <w:t xml:space="preserve">rom the second quarter of 2018 to the end of the forecast horizon, </w:t>
      </w:r>
      <w:r w:rsidRPr="00320DDF">
        <w:rPr>
          <w:rFonts w:ascii="Garamond" w:hAnsi="Garamond"/>
          <w:b/>
          <w:sz w:val="22"/>
          <w:szCs w:val="22"/>
        </w:rPr>
        <w:t xml:space="preserve">it will </w:t>
      </w:r>
      <w:r w:rsidR="001B3D95" w:rsidRPr="00320DDF">
        <w:rPr>
          <w:rFonts w:ascii="Garamond" w:hAnsi="Garamond"/>
          <w:b/>
          <w:sz w:val="22"/>
          <w:szCs w:val="22"/>
        </w:rPr>
        <w:t xml:space="preserve">turn into </w:t>
      </w:r>
      <w:r w:rsidRPr="00320DDF">
        <w:rPr>
          <w:rFonts w:ascii="Garamond" w:hAnsi="Garamond"/>
          <w:b/>
          <w:sz w:val="22"/>
          <w:szCs w:val="22"/>
        </w:rPr>
        <w:t>inflationary</w:t>
      </w:r>
      <w:r w:rsidR="001B3D95" w:rsidRPr="00320DDF">
        <w:rPr>
          <w:rFonts w:ascii="Garamond" w:hAnsi="Garamond"/>
          <w:b/>
          <w:sz w:val="22"/>
          <w:szCs w:val="22"/>
        </w:rPr>
        <w:t xml:space="preserve">, amounting to </w:t>
      </w:r>
      <w:r w:rsidRPr="00320DDF">
        <w:rPr>
          <w:rFonts w:ascii="Garamond" w:hAnsi="Garamond"/>
          <w:b/>
          <w:sz w:val="22"/>
          <w:szCs w:val="22"/>
        </w:rPr>
        <w:t>0.</w:t>
      </w:r>
      <w:r w:rsidR="001B3D95" w:rsidRPr="00320DDF">
        <w:rPr>
          <w:rFonts w:ascii="Garamond" w:hAnsi="Garamond"/>
          <w:b/>
          <w:sz w:val="22"/>
          <w:szCs w:val="22"/>
        </w:rPr>
        <w:t>5</w:t>
      </w:r>
      <w:r w:rsidRPr="00320DDF">
        <w:rPr>
          <w:rFonts w:ascii="Garamond" w:hAnsi="Garamond"/>
          <w:b/>
          <w:sz w:val="22"/>
          <w:szCs w:val="22"/>
        </w:rPr>
        <w:t>-</w:t>
      </w:r>
      <w:r w:rsidR="001B3D95" w:rsidRPr="00320DDF">
        <w:rPr>
          <w:rFonts w:ascii="Garamond" w:hAnsi="Garamond"/>
          <w:b/>
          <w:sz w:val="22"/>
          <w:szCs w:val="22"/>
        </w:rPr>
        <w:t>0</w:t>
      </w:r>
      <w:r w:rsidRPr="00320DDF">
        <w:rPr>
          <w:rFonts w:ascii="Garamond" w:hAnsi="Garamond"/>
          <w:b/>
          <w:sz w:val="22"/>
          <w:szCs w:val="22"/>
        </w:rPr>
        <w:t>.</w:t>
      </w:r>
      <w:r w:rsidR="001B3D95" w:rsidRPr="00320DDF">
        <w:rPr>
          <w:rFonts w:ascii="Garamond" w:hAnsi="Garamond"/>
          <w:b/>
          <w:sz w:val="22"/>
          <w:szCs w:val="22"/>
        </w:rPr>
        <w:t>7</w:t>
      </w:r>
      <w:r w:rsidRPr="00320DDF">
        <w:rPr>
          <w:rFonts w:ascii="Garamond" w:hAnsi="Garamond"/>
          <w:b/>
          <w:sz w:val="22"/>
          <w:szCs w:val="22"/>
        </w:rPr>
        <w:t xml:space="preserve"> pp on average</w:t>
      </w:r>
      <w:r w:rsidR="001B3D95" w:rsidRPr="00320DDF">
        <w:rPr>
          <w:rFonts w:ascii="Garamond" w:hAnsi="Garamond"/>
          <w:sz w:val="22"/>
          <w:szCs w:val="22"/>
        </w:rPr>
        <w:t>, which is below the previous forecasts, too</w:t>
      </w:r>
      <w:r w:rsidRPr="00320DDF">
        <w:rPr>
          <w:rFonts w:ascii="Garamond" w:hAnsi="Garamond"/>
          <w:sz w:val="22"/>
          <w:szCs w:val="22"/>
        </w:rPr>
        <w:t>.</w:t>
      </w:r>
    </w:p>
    <w:p w14:paraId="3DFB92A8" w14:textId="77777777" w:rsidR="00831789" w:rsidRPr="00320DDF" w:rsidRDefault="00831789" w:rsidP="00B117C8">
      <w:pPr>
        <w:spacing w:line="360" w:lineRule="auto"/>
        <w:jc w:val="both"/>
        <w:rPr>
          <w:rFonts w:ascii="Garamond" w:hAnsi="Garamond"/>
          <w:sz w:val="22"/>
          <w:szCs w:val="22"/>
        </w:rPr>
      </w:pPr>
    </w:p>
    <w:p w14:paraId="7736087A" w14:textId="77777777" w:rsidR="00B237AC" w:rsidRPr="00320DDF" w:rsidRDefault="00B237AC" w:rsidP="00B117C8">
      <w:pPr>
        <w:spacing w:line="360" w:lineRule="auto"/>
        <w:jc w:val="both"/>
        <w:rPr>
          <w:rFonts w:ascii="Garamond" w:hAnsi="Garamond"/>
          <w:b/>
          <w:sz w:val="22"/>
          <w:szCs w:val="22"/>
        </w:rPr>
      </w:pPr>
      <w:r w:rsidRPr="00320DDF">
        <w:rPr>
          <w:rFonts w:ascii="Garamond" w:hAnsi="Garamond"/>
          <w:b/>
          <w:sz w:val="22"/>
          <w:szCs w:val="22"/>
        </w:rPr>
        <w:t>Current account</w:t>
      </w:r>
    </w:p>
    <w:p w14:paraId="6EF01B2A" w14:textId="77777777" w:rsidR="008D7ACE" w:rsidRPr="00320DDF" w:rsidRDefault="00387B38" w:rsidP="00B117C8">
      <w:pPr>
        <w:spacing w:line="360" w:lineRule="auto"/>
        <w:jc w:val="both"/>
        <w:rPr>
          <w:rFonts w:ascii="Garamond" w:hAnsi="Garamond"/>
          <w:iCs/>
          <w:color w:val="000000"/>
          <w:sz w:val="22"/>
          <w:szCs w:val="22"/>
        </w:rPr>
      </w:pPr>
      <w:r w:rsidRPr="00320DDF">
        <w:rPr>
          <w:rFonts w:ascii="Garamond" w:hAnsi="Garamond"/>
          <w:iCs/>
          <w:color w:val="000000"/>
          <w:sz w:val="22"/>
          <w:szCs w:val="22"/>
        </w:rPr>
        <w:t>In the first quarter of 2017 growth rates in dollar value of export of goods</w:t>
      </w:r>
      <w:r w:rsidR="004921DD" w:rsidRPr="00320DDF">
        <w:rPr>
          <w:rFonts w:ascii="Garamond" w:hAnsi="Garamond"/>
          <w:iCs/>
          <w:color w:val="000000"/>
          <w:sz w:val="22"/>
          <w:szCs w:val="22"/>
        </w:rPr>
        <w:t xml:space="preserve"> were smaller compared to the </w:t>
      </w:r>
      <w:r w:rsidR="00DF1EBF">
        <w:rPr>
          <w:rFonts w:ascii="Garamond" w:hAnsi="Garamond"/>
          <w:iCs/>
          <w:color w:val="000000"/>
          <w:sz w:val="22"/>
          <w:szCs w:val="22"/>
        </w:rPr>
        <w:t xml:space="preserve">forecast in the </w:t>
      </w:r>
      <w:r w:rsidR="004921DD" w:rsidRPr="00320DDF">
        <w:rPr>
          <w:rFonts w:ascii="Garamond" w:hAnsi="Garamond"/>
          <w:iCs/>
          <w:color w:val="000000"/>
          <w:sz w:val="22"/>
          <w:szCs w:val="22"/>
        </w:rPr>
        <w:t>previous quarter</w:t>
      </w:r>
      <w:r w:rsidR="008D7ACE" w:rsidRPr="00320DDF">
        <w:rPr>
          <w:rFonts w:ascii="Garamond" w:hAnsi="Garamond"/>
          <w:iCs/>
          <w:color w:val="000000"/>
          <w:sz w:val="22"/>
          <w:szCs w:val="22"/>
        </w:rPr>
        <w:t>, according to Central Bank estimates</w:t>
      </w:r>
      <w:r w:rsidR="000826B0" w:rsidRPr="00320DDF">
        <w:rPr>
          <w:rFonts w:ascii="Garamond" w:hAnsi="Garamond"/>
          <w:iCs/>
          <w:color w:val="000000"/>
          <w:sz w:val="22"/>
          <w:szCs w:val="22"/>
        </w:rPr>
        <w:t>. This wa</w:t>
      </w:r>
      <w:r w:rsidR="008D7ACE" w:rsidRPr="00320DDF">
        <w:rPr>
          <w:rFonts w:ascii="Garamond" w:hAnsi="Garamond"/>
          <w:iCs/>
          <w:color w:val="000000"/>
          <w:sz w:val="22"/>
          <w:szCs w:val="22"/>
        </w:rPr>
        <w:t>s mainly due to a</w:t>
      </w:r>
      <w:r w:rsidR="000826B0" w:rsidRPr="00320DDF">
        <w:rPr>
          <w:rFonts w:ascii="Garamond" w:hAnsi="Garamond"/>
          <w:iCs/>
          <w:color w:val="000000"/>
          <w:sz w:val="22"/>
          <w:szCs w:val="22"/>
        </w:rPr>
        <w:t xml:space="preserve"> decrease in item</w:t>
      </w:r>
      <w:r w:rsidR="008D7ACE" w:rsidRPr="00320DDF">
        <w:rPr>
          <w:rFonts w:ascii="Garamond" w:hAnsi="Garamond"/>
          <w:iCs/>
          <w:color w:val="000000"/>
          <w:sz w:val="22"/>
          <w:szCs w:val="22"/>
        </w:rPr>
        <w:t xml:space="preserve"> </w:t>
      </w:r>
      <w:r w:rsidR="000826B0" w:rsidRPr="00320DDF">
        <w:rPr>
          <w:rFonts w:ascii="Garamond" w:hAnsi="Garamond"/>
          <w:iCs/>
          <w:color w:val="000000"/>
          <w:sz w:val="22"/>
          <w:szCs w:val="22"/>
        </w:rPr>
        <w:t>“Products of vegetables origin” and “P</w:t>
      </w:r>
      <w:r w:rsidR="008D7ACE" w:rsidRPr="00320DDF">
        <w:rPr>
          <w:rFonts w:ascii="Garamond" w:hAnsi="Garamond"/>
          <w:iCs/>
          <w:color w:val="000000"/>
          <w:sz w:val="22"/>
          <w:szCs w:val="22"/>
        </w:rPr>
        <w:t>recious stones and metals and articles thereof</w:t>
      </w:r>
      <w:r w:rsidR="000826B0" w:rsidRPr="00320DDF">
        <w:rPr>
          <w:rFonts w:ascii="Garamond" w:hAnsi="Garamond"/>
          <w:iCs/>
          <w:color w:val="000000"/>
          <w:sz w:val="22"/>
          <w:szCs w:val="22"/>
        </w:rPr>
        <w:t>”</w:t>
      </w:r>
      <w:r w:rsidR="000826B0" w:rsidRPr="00320DDF">
        <w:rPr>
          <w:rStyle w:val="FootnoteReference"/>
          <w:rFonts w:ascii="Garamond" w:hAnsi="Garamond"/>
          <w:iCs/>
          <w:color w:val="000000"/>
          <w:sz w:val="22"/>
          <w:szCs w:val="22"/>
        </w:rPr>
        <w:footnoteReference w:customMarkFollows="1" w:id="6"/>
        <w:t>6</w:t>
      </w:r>
      <w:r w:rsidR="008D7ACE" w:rsidRPr="00320DDF">
        <w:rPr>
          <w:rFonts w:ascii="Garamond" w:hAnsi="Garamond"/>
          <w:iCs/>
          <w:color w:val="000000"/>
          <w:sz w:val="22"/>
          <w:szCs w:val="22"/>
        </w:rPr>
        <w:t xml:space="preserve">. </w:t>
      </w:r>
      <w:r w:rsidR="000826B0" w:rsidRPr="00320DDF">
        <w:rPr>
          <w:rFonts w:ascii="Garamond" w:hAnsi="Garamond"/>
          <w:iCs/>
          <w:color w:val="000000"/>
          <w:sz w:val="22"/>
          <w:szCs w:val="22"/>
        </w:rPr>
        <w:t>Growth of export of a</w:t>
      </w:r>
      <w:r w:rsidR="00CC10FC" w:rsidRPr="00320DDF">
        <w:rPr>
          <w:rFonts w:ascii="Garamond" w:hAnsi="Garamond"/>
          <w:iCs/>
          <w:color w:val="000000"/>
          <w:sz w:val="22"/>
          <w:szCs w:val="22"/>
        </w:rPr>
        <w:t>lcohol and raw materials remained strong</w:t>
      </w:r>
      <w:r w:rsidR="008D7ACE" w:rsidRPr="00320DDF">
        <w:rPr>
          <w:rFonts w:ascii="Garamond" w:hAnsi="Garamond"/>
          <w:iCs/>
          <w:color w:val="000000"/>
          <w:sz w:val="22"/>
          <w:szCs w:val="22"/>
        </w:rPr>
        <w:t xml:space="preserve">. </w:t>
      </w:r>
      <w:r w:rsidR="006714C4" w:rsidRPr="00320DDF">
        <w:rPr>
          <w:rFonts w:ascii="Garamond" w:hAnsi="Garamond"/>
          <w:iCs/>
          <w:color w:val="000000"/>
          <w:sz w:val="22"/>
          <w:szCs w:val="22"/>
        </w:rPr>
        <w:t xml:space="preserve">Growth was also strong in respect of export of </w:t>
      </w:r>
      <w:r w:rsidR="008D7ACE" w:rsidRPr="00320DDF">
        <w:rPr>
          <w:rFonts w:ascii="Garamond" w:hAnsi="Garamond"/>
          <w:iCs/>
          <w:color w:val="000000"/>
          <w:sz w:val="22"/>
          <w:szCs w:val="22"/>
        </w:rPr>
        <w:t>services, according to estimates</w:t>
      </w:r>
      <w:r w:rsidR="006714C4" w:rsidRPr="00320DDF">
        <w:rPr>
          <w:rFonts w:ascii="Garamond" w:hAnsi="Garamond"/>
          <w:iCs/>
          <w:color w:val="000000"/>
          <w:sz w:val="22"/>
          <w:szCs w:val="22"/>
        </w:rPr>
        <w:t xml:space="preserve">. This was driven by </w:t>
      </w:r>
      <w:r w:rsidR="008D7ACE" w:rsidRPr="00320DDF">
        <w:rPr>
          <w:rFonts w:ascii="Garamond" w:hAnsi="Garamond"/>
          <w:iCs/>
          <w:color w:val="000000"/>
          <w:sz w:val="22"/>
          <w:szCs w:val="22"/>
        </w:rPr>
        <w:t xml:space="preserve">high growth in tourism which </w:t>
      </w:r>
      <w:r w:rsidR="006714C4" w:rsidRPr="00320DDF">
        <w:rPr>
          <w:rFonts w:ascii="Garamond" w:hAnsi="Garamond"/>
          <w:iCs/>
          <w:color w:val="000000"/>
          <w:sz w:val="22"/>
          <w:szCs w:val="22"/>
        </w:rPr>
        <w:t>o</w:t>
      </w:r>
      <w:r w:rsidR="008D7ACE" w:rsidRPr="00320DDF">
        <w:rPr>
          <w:rFonts w:ascii="Garamond" w:hAnsi="Garamond"/>
          <w:iCs/>
          <w:color w:val="000000"/>
          <w:sz w:val="22"/>
          <w:szCs w:val="22"/>
        </w:rPr>
        <w:t xml:space="preserve">ffset </w:t>
      </w:r>
      <w:r w:rsidR="006714C4" w:rsidRPr="00320DDF">
        <w:rPr>
          <w:rFonts w:ascii="Garamond" w:hAnsi="Garamond"/>
          <w:iCs/>
          <w:color w:val="000000"/>
          <w:sz w:val="22"/>
          <w:szCs w:val="22"/>
        </w:rPr>
        <w:t>slower-than-expected growth rates in export of goods</w:t>
      </w:r>
      <w:r w:rsidR="008D7ACE" w:rsidRPr="00320DDF">
        <w:rPr>
          <w:rFonts w:ascii="Garamond" w:hAnsi="Garamond"/>
          <w:iCs/>
          <w:color w:val="000000"/>
          <w:sz w:val="22"/>
          <w:szCs w:val="22"/>
        </w:rPr>
        <w:t>. Given the</w:t>
      </w:r>
      <w:r w:rsidR="006714C4" w:rsidRPr="00320DDF">
        <w:rPr>
          <w:rFonts w:ascii="Garamond" w:hAnsi="Garamond"/>
          <w:iCs/>
          <w:color w:val="000000"/>
          <w:sz w:val="22"/>
          <w:szCs w:val="22"/>
        </w:rPr>
        <w:t xml:space="preserve">se </w:t>
      </w:r>
      <w:r w:rsidR="008D7ACE" w:rsidRPr="00320DDF">
        <w:rPr>
          <w:rFonts w:ascii="Garamond" w:hAnsi="Garamond"/>
          <w:iCs/>
          <w:color w:val="000000"/>
          <w:sz w:val="22"/>
          <w:szCs w:val="22"/>
        </w:rPr>
        <w:t xml:space="preserve">developments </w:t>
      </w:r>
      <w:r w:rsidR="006714C4" w:rsidRPr="00320DDF">
        <w:rPr>
          <w:rFonts w:ascii="Garamond" w:hAnsi="Garamond"/>
          <w:iCs/>
          <w:color w:val="000000"/>
          <w:sz w:val="22"/>
          <w:szCs w:val="22"/>
        </w:rPr>
        <w:t xml:space="preserve">with </w:t>
      </w:r>
      <w:r w:rsidR="008D7ACE" w:rsidRPr="00320DDF">
        <w:rPr>
          <w:rFonts w:ascii="Garamond" w:hAnsi="Garamond"/>
          <w:iCs/>
          <w:color w:val="000000"/>
          <w:sz w:val="22"/>
          <w:szCs w:val="22"/>
        </w:rPr>
        <w:t>export of commodities</w:t>
      </w:r>
      <w:r w:rsidR="006714C4" w:rsidRPr="00320DDF">
        <w:rPr>
          <w:rFonts w:ascii="Garamond" w:hAnsi="Garamond"/>
          <w:iCs/>
          <w:color w:val="000000"/>
          <w:sz w:val="22"/>
          <w:szCs w:val="22"/>
        </w:rPr>
        <w:t xml:space="preserve"> as well as downside</w:t>
      </w:r>
      <w:r w:rsidR="008D7ACE" w:rsidRPr="00320DDF">
        <w:rPr>
          <w:rFonts w:ascii="Garamond" w:hAnsi="Garamond"/>
          <w:iCs/>
          <w:color w:val="000000"/>
          <w:sz w:val="22"/>
          <w:szCs w:val="22"/>
        </w:rPr>
        <w:t xml:space="preserve"> revisions to </w:t>
      </w:r>
      <w:r w:rsidR="006714C4" w:rsidRPr="00320DDF">
        <w:rPr>
          <w:rFonts w:ascii="Garamond" w:hAnsi="Garamond"/>
          <w:iCs/>
          <w:color w:val="000000"/>
          <w:sz w:val="22"/>
          <w:szCs w:val="22"/>
        </w:rPr>
        <w:t xml:space="preserve">the above two items, the 2017 forecasts for growth rates of real </w:t>
      </w:r>
      <w:r w:rsidR="008D7ACE" w:rsidRPr="00320DDF">
        <w:rPr>
          <w:rFonts w:ascii="Garamond" w:hAnsi="Garamond"/>
          <w:iCs/>
          <w:color w:val="000000"/>
          <w:sz w:val="22"/>
          <w:szCs w:val="22"/>
        </w:rPr>
        <w:t xml:space="preserve">export of goods and services </w:t>
      </w:r>
      <w:r w:rsidR="006714C4" w:rsidRPr="00320DDF">
        <w:rPr>
          <w:rFonts w:ascii="Garamond" w:hAnsi="Garamond"/>
          <w:iCs/>
          <w:color w:val="000000"/>
          <w:sz w:val="22"/>
          <w:szCs w:val="22"/>
        </w:rPr>
        <w:t>were adjusted downward to be</w:t>
      </w:r>
      <w:r w:rsidR="008D7ACE" w:rsidRPr="00320DDF">
        <w:rPr>
          <w:rFonts w:ascii="Garamond" w:hAnsi="Garamond"/>
          <w:iCs/>
          <w:color w:val="000000"/>
          <w:sz w:val="22"/>
          <w:szCs w:val="22"/>
        </w:rPr>
        <w:t xml:space="preserve"> in the range of 3.0-5.0%.</w:t>
      </w:r>
    </w:p>
    <w:p w14:paraId="0C4F1B5D" w14:textId="77777777" w:rsidR="00A72111" w:rsidRPr="00320DDF" w:rsidRDefault="00A72111" w:rsidP="00B117C8">
      <w:pPr>
        <w:spacing w:line="360" w:lineRule="auto"/>
        <w:jc w:val="both"/>
        <w:rPr>
          <w:rFonts w:ascii="Garamond" w:hAnsi="Garamond"/>
          <w:iCs/>
          <w:color w:val="000000"/>
          <w:sz w:val="22"/>
          <w:szCs w:val="22"/>
        </w:rPr>
      </w:pPr>
    </w:p>
    <w:p w14:paraId="51D97110" w14:textId="77777777" w:rsidR="00A72111" w:rsidRPr="00320DDF" w:rsidRDefault="00A72111" w:rsidP="00B117C8">
      <w:pPr>
        <w:spacing w:line="360" w:lineRule="auto"/>
        <w:jc w:val="both"/>
        <w:rPr>
          <w:rFonts w:ascii="Garamond" w:hAnsi="Garamond"/>
          <w:iCs/>
          <w:color w:val="000000"/>
          <w:sz w:val="22"/>
          <w:szCs w:val="22"/>
        </w:rPr>
      </w:pPr>
      <w:r w:rsidRPr="00320DDF">
        <w:rPr>
          <w:rFonts w:ascii="Garamond" w:hAnsi="Garamond"/>
          <w:iCs/>
          <w:color w:val="000000"/>
          <w:sz w:val="22"/>
          <w:szCs w:val="22"/>
        </w:rPr>
        <w:t>Imports have exceeded the expectations. The quarter saw a strong growth of import of goods and services</w:t>
      </w:r>
      <w:r w:rsidR="004778FB" w:rsidRPr="00320DDF">
        <w:rPr>
          <w:rFonts w:ascii="Garamond" w:hAnsi="Garamond"/>
          <w:iCs/>
          <w:color w:val="000000"/>
          <w:sz w:val="22"/>
          <w:szCs w:val="22"/>
        </w:rPr>
        <w:t xml:space="preserve">, incurring the effect of restored </w:t>
      </w:r>
      <w:r w:rsidRPr="00320DDF">
        <w:rPr>
          <w:rFonts w:ascii="Garamond" w:hAnsi="Garamond"/>
          <w:iCs/>
          <w:color w:val="000000"/>
          <w:sz w:val="22"/>
          <w:szCs w:val="22"/>
        </w:rPr>
        <w:t xml:space="preserve">consumption. Given the actual developments and </w:t>
      </w:r>
      <w:r w:rsidR="00F91349" w:rsidRPr="00320DDF">
        <w:rPr>
          <w:rFonts w:ascii="Garamond" w:hAnsi="Garamond"/>
          <w:iCs/>
          <w:color w:val="000000"/>
          <w:sz w:val="22"/>
          <w:szCs w:val="22"/>
        </w:rPr>
        <w:t>upside revisions to import in the upcoming quarters, t</w:t>
      </w:r>
      <w:r w:rsidRPr="00320DDF">
        <w:rPr>
          <w:rFonts w:ascii="Garamond" w:hAnsi="Garamond"/>
          <w:iCs/>
          <w:color w:val="000000"/>
          <w:sz w:val="22"/>
          <w:szCs w:val="22"/>
        </w:rPr>
        <w:t xml:space="preserve">he </w:t>
      </w:r>
      <w:r w:rsidR="00F91349" w:rsidRPr="00320DDF">
        <w:rPr>
          <w:rFonts w:ascii="Garamond" w:hAnsi="Garamond"/>
          <w:iCs/>
          <w:color w:val="000000"/>
          <w:sz w:val="22"/>
          <w:szCs w:val="22"/>
        </w:rPr>
        <w:t xml:space="preserve">real </w:t>
      </w:r>
      <w:r w:rsidRPr="00320DDF">
        <w:rPr>
          <w:rFonts w:ascii="Garamond" w:hAnsi="Garamond"/>
          <w:iCs/>
          <w:color w:val="000000"/>
          <w:sz w:val="22"/>
          <w:szCs w:val="22"/>
        </w:rPr>
        <w:t xml:space="preserve">growth of import of goods and services </w:t>
      </w:r>
      <w:r w:rsidR="00F91349" w:rsidRPr="00320DDF">
        <w:rPr>
          <w:rFonts w:ascii="Garamond" w:hAnsi="Garamond"/>
          <w:iCs/>
          <w:color w:val="000000"/>
          <w:sz w:val="22"/>
          <w:szCs w:val="22"/>
        </w:rPr>
        <w:t xml:space="preserve">in 2017 </w:t>
      </w:r>
      <w:r w:rsidRPr="00320DDF">
        <w:rPr>
          <w:rFonts w:ascii="Garamond" w:hAnsi="Garamond"/>
          <w:iCs/>
          <w:color w:val="000000"/>
          <w:sz w:val="22"/>
          <w:szCs w:val="22"/>
        </w:rPr>
        <w:t>will be in the range of 4.0-6.0%.</w:t>
      </w:r>
    </w:p>
    <w:p w14:paraId="1DD34815" w14:textId="77777777" w:rsidR="00F91349" w:rsidRPr="00320DDF" w:rsidRDefault="00F91349" w:rsidP="00B117C8">
      <w:pPr>
        <w:spacing w:line="360" w:lineRule="auto"/>
        <w:jc w:val="both"/>
        <w:rPr>
          <w:rFonts w:ascii="Garamond" w:hAnsi="Garamond"/>
          <w:iCs/>
          <w:color w:val="000000"/>
          <w:sz w:val="22"/>
          <w:szCs w:val="22"/>
        </w:rPr>
      </w:pPr>
    </w:p>
    <w:p w14:paraId="4D811C3A" w14:textId="77777777" w:rsidR="00F91349" w:rsidRPr="00320DDF" w:rsidRDefault="00F91349" w:rsidP="00B117C8">
      <w:pPr>
        <w:spacing w:line="360" w:lineRule="auto"/>
        <w:jc w:val="both"/>
        <w:rPr>
          <w:rFonts w:ascii="Garamond" w:hAnsi="Garamond"/>
          <w:iCs/>
          <w:color w:val="000000"/>
          <w:sz w:val="22"/>
          <w:szCs w:val="22"/>
        </w:rPr>
      </w:pPr>
      <w:r w:rsidRPr="00320DDF">
        <w:rPr>
          <w:rFonts w:ascii="Garamond" w:hAnsi="Garamond"/>
          <w:iCs/>
          <w:color w:val="000000"/>
          <w:sz w:val="22"/>
          <w:szCs w:val="22"/>
        </w:rPr>
        <w:t>Private transfers of individuals were revised upside and are forecast to be within14.0-16.0% during 2017. The increase will be</w:t>
      </w:r>
      <w:r w:rsidR="00E6445C" w:rsidRPr="00320DDF">
        <w:rPr>
          <w:rFonts w:ascii="Garamond" w:hAnsi="Garamond"/>
          <w:iCs/>
          <w:color w:val="000000"/>
          <w:sz w:val="22"/>
          <w:szCs w:val="22"/>
        </w:rPr>
        <w:t xml:space="preserve"> </w:t>
      </w:r>
      <w:r w:rsidRPr="00320DDF">
        <w:rPr>
          <w:rFonts w:ascii="Garamond" w:hAnsi="Garamond"/>
          <w:iCs/>
          <w:color w:val="000000"/>
          <w:sz w:val="22"/>
          <w:szCs w:val="22"/>
        </w:rPr>
        <w:t>determined by continu</w:t>
      </w:r>
      <w:r w:rsidR="00E6445C" w:rsidRPr="00320DDF">
        <w:rPr>
          <w:rFonts w:ascii="Garamond" w:hAnsi="Garamond"/>
          <w:iCs/>
          <w:color w:val="000000"/>
          <w:sz w:val="22"/>
          <w:szCs w:val="22"/>
        </w:rPr>
        <w:t xml:space="preserve">ed </w:t>
      </w:r>
      <w:r w:rsidRPr="00320DDF">
        <w:rPr>
          <w:rFonts w:ascii="Garamond" w:hAnsi="Garamond"/>
          <w:iCs/>
          <w:color w:val="000000"/>
          <w:sz w:val="22"/>
          <w:szCs w:val="22"/>
        </w:rPr>
        <w:t xml:space="preserve">recovery of the Russian economy and </w:t>
      </w:r>
      <w:r w:rsidR="00E6445C" w:rsidRPr="00320DDF">
        <w:rPr>
          <w:rFonts w:ascii="Garamond" w:hAnsi="Garamond"/>
          <w:iCs/>
          <w:color w:val="000000"/>
          <w:sz w:val="22"/>
          <w:szCs w:val="22"/>
        </w:rPr>
        <w:t xml:space="preserve">adjustment to </w:t>
      </w:r>
      <w:r w:rsidRPr="00320DDF">
        <w:rPr>
          <w:rFonts w:ascii="Garamond" w:hAnsi="Garamond"/>
          <w:iCs/>
          <w:color w:val="000000"/>
          <w:sz w:val="22"/>
          <w:szCs w:val="22"/>
        </w:rPr>
        <w:t>the ruble appreciation.</w:t>
      </w:r>
    </w:p>
    <w:p w14:paraId="6D24CBA9" w14:textId="77777777" w:rsidR="008D7ACE" w:rsidRPr="00320DDF" w:rsidRDefault="008D7ACE" w:rsidP="00B117C8">
      <w:pPr>
        <w:spacing w:line="360" w:lineRule="auto"/>
        <w:jc w:val="both"/>
        <w:rPr>
          <w:rFonts w:ascii="Garamond" w:hAnsi="Garamond"/>
          <w:iCs/>
          <w:color w:val="000000"/>
          <w:sz w:val="22"/>
          <w:szCs w:val="22"/>
        </w:rPr>
      </w:pPr>
    </w:p>
    <w:p w14:paraId="37A6167E" w14:textId="77777777" w:rsidR="00D9408D" w:rsidRPr="00320DDF" w:rsidRDefault="00D9408D" w:rsidP="00B117C8">
      <w:pPr>
        <w:spacing w:line="360" w:lineRule="auto"/>
        <w:jc w:val="both"/>
        <w:rPr>
          <w:rFonts w:ascii="Garamond" w:hAnsi="Garamond"/>
          <w:iCs/>
          <w:color w:val="000000"/>
          <w:sz w:val="22"/>
          <w:szCs w:val="22"/>
        </w:rPr>
      </w:pPr>
      <w:r w:rsidRPr="00320DDF">
        <w:rPr>
          <w:rFonts w:ascii="Garamond" w:hAnsi="Garamond"/>
          <w:iCs/>
          <w:color w:val="000000"/>
          <w:sz w:val="22"/>
          <w:szCs w:val="22"/>
        </w:rPr>
        <w:t>As a result, t</w:t>
      </w:r>
      <w:r w:rsidR="00FC14A0" w:rsidRPr="00320DDF">
        <w:rPr>
          <w:rFonts w:ascii="Garamond" w:hAnsi="Garamond"/>
          <w:iCs/>
          <w:color w:val="000000"/>
          <w:sz w:val="22"/>
          <w:szCs w:val="22"/>
        </w:rPr>
        <w:t xml:space="preserve">he </w:t>
      </w:r>
      <w:r w:rsidRPr="00320DDF">
        <w:rPr>
          <w:rFonts w:ascii="Garamond" w:hAnsi="Garamond"/>
          <w:iCs/>
          <w:color w:val="000000"/>
          <w:sz w:val="22"/>
          <w:szCs w:val="22"/>
        </w:rPr>
        <w:t xml:space="preserve">2017 </w:t>
      </w:r>
      <w:r w:rsidR="00A067FA" w:rsidRPr="00320DDF">
        <w:rPr>
          <w:rFonts w:ascii="Garamond" w:hAnsi="Garamond"/>
          <w:iCs/>
          <w:color w:val="000000"/>
          <w:sz w:val="22"/>
          <w:szCs w:val="22"/>
        </w:rPr>
        <w:t xml:space="preserve">current account deficit-to-GDP ratio </w:t>
      </w:r>
      <w:r w:rsidRPr="00320DDF">
        <w:rPr>
          <w:rFonts w:ascii="Garamond" w:hAnsi="Garamond"/>
          <w:iCs/>
          <w:color w:val="000000"/>
          <w:sz w:val="22"/>
          <w:szCs w:val="22"/>
        </w:rPr>
        <w:t xml:space="preserve">will deteriorate in comparison with the previous forecast and run in the range of 1.0-3.0%. </w:t>
      </w:r>
    </w:p>
    <w:p w14:paraId="79B9C29A" w14:textId="77777777" w:rsidR="00D9408D" w:rsidRPr="00320DDF" w:rsidRDefault="00D9408D" w:rsidP="00B117C8">
      <w:pPr>
        <w:spacing w:line="360" w:lineRule="auto"/>
        <w:jc w:val="both"/>
        <w:rPr>
          <w:rFonts w:ascii="Garamond" w:hAnsi="Garamond"/>
          <w:iCs/>
          <w:color w:val="000000"/>
          <w:sz w:val="22"/>
          <w:szCs w:val="22"/>
        </w:rPr>
      </w:pPr>
    </w:p>
    <w:p w14:paraId="666B7E30" w14:textId="77777777" w:rsidR="007F6373" w:rsidRPr="00320DDF" w:rsidRDefault="007F6373" w:rsidP="00B117C8">
      <w:pPr>
        <w:spacing w:line="360" w:lineRule="auto"/>
        <w:jc w:val="both"/>
        <w:rPr>
          <w:rFonts w:ascii="Garamond" w:hAnsi="Garamond"/>
          <w:b/>
          <w:iCs/>
          <w:color w:val="000000"/>
          <w:sz w:val="22"/>
          <w:szCs w:val="22"/>
        </w:rPr>
      </w:pPr>
      <w:r w:rsidRPr="00320DDF">
        <w:rPr>
          <w:rFonts w:ascii="Garamond" w:hAnsi="Garamond"/>
          <w:b/>
          <w:iCs/>
          <w:color w:val="000000"/>
          <w:sz w:val="22"/>
          <w:szCs w:val="22"/>
        </w:rPr>
        <w:t>The fiscal sector</w:t>
      </w:r>
    </w:p>
    <w:p w14:paraId="44D4D52C" w14:textId="77777777" w:rsidR="00031B30" w:rsidRPr="00320DDF" w:rsidRDefault="003301B0" w:rsidP="00B117C8">
      <w:pPr>
        <w:spacing w:line="360" w:lineRule="auto"/>
        <w:jc w:val="both"/>
        <w:rPr>
          <w:rFonts w:ascii="Garamond" w:hAnsi="Garamond"/>
          <w:iCs/>
          <w:color w:val="000000"/>
          <w:sz w:val="22"/>
          <w:szCs w:val="22"/>
        </w:rPr>
      </w:pPr>
      <w:r w:rsidRPr="00320DDF">
        <w:rPr>
          <w:rFonts w:ascii="Garamond" w:hAnsi="Garamond"/>
          <w:iCs/>
          <w:color w:val="000000"/>
          <w:sz w:val="22"/>
          <w:szCs w:val="22"/>
        </w:rPr>
        <w:lastRenderedPageBreak/>
        <w:t>T</w:t>
      </w:r>
      <w:r w:rsidR="00E058E9" w:rsidRPr="00320DDF">
        <w:rPr>
          <w:rFonts w:ascii="Garamond" w:hAnsi="Garamond"/>
          <w:iCs/>
          <w:color w:val="000000"/>
          <w:sz w:val="22"/>
          <w:szCs w:val="22"/>
        </w:rPr>
        <w:t>he fiscal policy’s impact on aggregate demand for</w:t>
      </w:r>
      <w:r w:rsidRPr="00320DDF">
        <w:rPr>
          <w:rFonts w:ascii="Garamond" w:hAnsi="Garamond"/>
          <w:iCs/>
          <w:color w:val="000000"/>
          <w:sz w:val="22"/>
          <w:szCs w:val="22"/>
        </w:rPr>
        <w:t xml:space="preserve"> 2017 has been estimated, using th</w:t>
      </w:r>
      <w:r w:rsidR="00E058E9" w:rsidRPr="00320DDF">
        <w:rPr>
          <w:rFonts w:ascii="Garamond" w:hAnsi="Garamond"/>
          <w:bCs/>
          <w:iCs/>
          <w:sz w:val="22"/>
          <w:szCs w:val="22"/>
        </w:rPr>
        <w:t>e indicators of the Republic of Armenia Law on “State Budget 2017”</w:t>
      </w:r>
      <w:r w:rsidR="004857C0" w:rsidRPr="00320DDF">
        <w:rPr>
          <w:rFonts w:ascii="Garamond" w:hAnsi="Garamond"/>
          <w:bCs/>
          <w:iCs/>
          <w:sz w:val="22"/>
          <w:szCs w:val="22"/>
        </w:rPr>
        <w:t xml:space="preserve"> and revenue and expenditure figures</w:t>
      </w:r>
      <w:r w:rsidR="00031B30" w:rsidRPr="00320DDF">
        <w:rPr>
          <w:rStyle w:val="FootnoteReference"/>
          <w:rFonts w:ascii="Garamond" w:hAnsi="Garamond"/>
          <w:bCs/>
          <w:iCs/>
          <w:sz w:val="22"/>
          <w:szCs w:val="22"/>
        </w:rPr>
        <w:footnoteReference w:customMarkFollows="1" w:id="7"/>
        <w:t>7</w:t>
      </w:r>
      <w:r w:rsidR="004857C0" w:rsidRPr="00320DDF">
        <w:rPr>
          <w:rFonts w:ascii="Garamond" w:hAnsi="Garamond"/>
          <w:bCs/>
          <w:iCs/>
          <w:sz w:val="22"/>
          <w:szCs w:val="22"/>
        </w:rPr>
        <w:t xml:space="preserve"> adjusted under </w:t>
      </w:r>
      <w:r w:rsidR="00110538" w:rsidRPr="00320DDF">
        <w:rPr>
          <w:rFonts w:ascii="Garamond" w:hAnsi="Garamond"/>
          <w:bCs/>
          <w:iCs/>
          <w:sz w:val="22"/>
          <w:szCs w:val="22"/>
        </w:rPr>
        <w:t xml:space="preserve">selected </w:t>
      </w:r>
      <w:r w:rsidR="004857C0" w:rsidRPr="00320DDF">
        <w:rPr>
          <w:rFonts w:ascii="Garamond" w:hAnsi="Garamond"/>
          <w:bCs/>
          <w:iCs/>
          <w:sz w:val="22"/>
          <w:szCs w:val="22"/>
        </w:rPr>
        <w:t>Government</w:t>
      </w:r>
      <w:r w:rsidR="00110538" w:rsidRPr="00320DDF">
        <w:rPr>
          <w:rFonts w:ascii="Garamond" w:hAnsi="Garamond"/>
          <w:bCs/>
          <w:iCs/>
          <w:sz w:val="22"/>
          <w:szCs w:val="22"/>
        </w:rPr>
        <w:t xml:space="preserve"> decrees</w:t>
      </w:r>
      <w:r w:rsidR="00E058E9" w:rsidRPr="00320DDF">
        <w:rPr>
          <w:rFonts w:ascii="Garamond" w:hAnsi="Garamond"/>
          <w:iCs/>
          <w:color w:val="000000"/>
          <w:sz w:val="22"/>
          <w:szCs w:val="22"/>
        </w:rPr>
        <w:t xml:space="preserve">. </w:t>
      </w:r>
    </w:p>
    <w:p w14:paraId="3402DBBE" w14:textId="77777777" w:rsidR="00031B30" w:rsidRPr="00320DDF" w:rsidRDefault="00031B30" w:rsidP="00B117C8">
      <w:pPr>
        <w:spacing w:line="360" w:lineRule="auto"/>
        <w:jc w:val="both"/>
        <w:rPr>
          <w:rFonts w:ascii="Garamond" w:hAnsi="Garamond"/>
          <w:iCs/>
          <w:color w:val="000000"/>
          <w:sz w:val="22"/>
          <w:szCs w:val="22"/>
        </w:rPr>
      </w:pPr>
    </w:p>
    <w:p w14:paraId="6CB4CAEF" w14:textId="77777777" w:rsidR="003354D2" w:rsidRPr="00320DDF" w:rsidRDefault="00031B30" w:rsidP="00B117C8">
      <w:pPr>
        <w:spacing w:line="360" w:lineRule="auto"/>
        <w:jc w:val="both"/>
        <w:rPr>
          <w:rFonts w:ascii="Garamond" w:hAnsi="Garamond"/>
          <w:bCs/>
          <w:iCs/>
          <w:sz w:val="22"/>
          <w:szCs w:val="22"/>
        </w:rPr>
      </w:pPr>
      <w:r w:rsidRPr="00320DDF">
        <w:rPr>
          <w:rFonts w:ascii="Garamond" w:hAnsi="Garamond"/>
          <w:bCs/>
          <w:iCs/>
          <w:sz w:val="22"/>
          <w:szCs w:val="22"/>
        </w:rPr>
        <w:t xml:space="preserve">Relative to the previous monetary policy program, the 2017 tax revenues and </w:t>
      </w:r>
      <w:r w:rsidR="00D01FBC" w:rsidRPr="00320DDF">
        <w:rPr>
          <w:rFonts w:ascii="Garamond" w:hAnsi="Garamond"/>
          <w:bCs/>
          <w:iCs/>
          <w:sz w:val="22"/>
          <w:szCs w:val="22"/>
        </w:rPr>
        <w:t xml:space="preserve">selected program </w:t>
      </w:r>
      <w:r w:rsidRPr="00320DDF">
        <w:rPr>
          <w:rFonts w:ascii="Garamond" w:hAnsi="Garamond"/>
          <w:bCs/>
          <w:iCs/>
          <w:sz w:val="22"/>
          <w:szCs w:val="22"/>
        </w:rPr>
        <w:t>expenditures</w:t>
      </w:r>
      <w:r w:rsidR="00D01FBC" w:rsidRPr="00320DDF">
        <w:rPr>
          <w:rFonts w:ascii="Garamond" w:hAnsi="Garamond"/>
          <w:bCs/>
          <w:iCs/>
          <w:sz w:val="22"/>
          <w:szCs w:val="22"/>
        </w:rPr>
        <w:t xml:space="preserve"> of the state budget</w:t>
      </w:r>
      <w:r w:rsidRPr="00320DDF">
        <w:rPr>
          <w:rFonts w:ascii="Garamond" w:hAnsi="Garamond"/>
          <w:bCs/>
          <w:iCs/>
          <w:sz w:val="22"/>
          <w:szCs w:val="22"/>
        </w:rPr>
        <w:t xml:space="preserve"> </w:t>
      </w:r>
      <w:r w:rsidR="00D01FBC" w:rsidRPr="00320DDF">
        <w:rPr>
          <w:rFonts w:ascii="Garamond" w:hAnsi="Garamond"/>
          <w:bCs/>
          <w:iCs/>
          <w:sz w:val="22"/>
          <w:szCs w:val="22"/>
        </w:rPr>
        <w:t xml:space="preserve">have increased by AMD </w:t>
      </w:r>
      <w:r w:rsidRPr="00320DDF">
        <w:rPr>
          <w:rFonts w:ascii="Garamond" w:hAnsi="Garamond"/>
          <w:bCs/>
          <w:iCs/>
          <w:sz w:val="22"/>
          <w:szCs w:val="22"/>
        </w:rPr>
        <w:t xml:space="preserve">57.1 billion each. </w:t>
      </w:r>
      <w:r w:rsidR="00D01FBC" w:rsidRPr="00320DDF">
        <w:rPr>
          <w:rFonts w:ascii="Garamond" w:hAnsi="Garamond"/>
          <w:bCs/>
          <w:iCs/>
          <w:sz w:val="22"/>
          <w:szCs w:val="22"/>
        </w:rPr>
        <w:t xml:space="preserve">The </w:t>
      </w:r>
      <w:r w:rsidR="001B4187" w:rsidRPr="00320DDF">
        <w:rPr>
          <w:rFonts w:ascii="Garamond" w:hAnsi="Garamond"/>
          <w:bCs/>
          <w:iCs/>
          <w:sz w:val="22"/>
          <w:szCs w:val="22"/>
        </w:rPr>
        <w:t xml:space="preserve">positive </w:t>
      </w:r>
      <w:r w:rsidR="00D01FBC" w:rsidRPr="00320DDF">
        <w:rPr>
          <w:rFonts w:ascii="Garamond" w:hAnsi="Garamond"/>
          <w:bCs/>
          <w:iCs/>
          <w:sz w:val="22"/>
          <w:szCs w:val="22"/>
        </w:rPr>
        <w:t xml:space="preserve">trend of tax collection </w:t>
      </w:r>
      <w:r w:rsidR="001B4187" w:rsidRPr="00320DDF">
        <w:rPr>
          <w:rFonts w:ascii="Garamond" w:hAnsi="Garamond"/>
          <w:bCs/>
          <w:iCs/>
          <w:sz w:val="22"/>
          <w:szCs w:val="22"/>
        </w:rPr>
        <w:t xml:space="preserve">observed in the first quarter of 2017 </w:t>
      </w:r>
      <w:r w:rsidR="00D01FBC" w:rsidRPr="00320DDF">
        <w:rPr>
          <w:rFonts w:ascii="Garamond" w:hAnsi="Garamond"/>
          <w:bCs/>
          <w:iCs/>
          <w:sz w:val="22"/>
          <w:szCs w:val="22"/>
        </w:rPr>
        <w:t xml:space="preserve">is </w:t>
      </w:r>
      <w:r w:rsidR="001B4187" w:rsidRPr="00320DDF">
        <w:rPr>
          <w:rFonts w:ascii="Garamond" w:hAnsi="Garamond"/>
          <w:bCs/>
          <w:iCs/>
          <w:sz w:val="22"/>
          <w:szCs w:val="22"/>
        </w:rPr>
        <w:t xml:space="preserve">predicted </w:t>
      </w:r>
      <w:r w:rsidR="00D01FBC" w:rsidRPr="00320DDF">
        <w:rPr>
          <w:rFonts w:ascii="Garamond" w:hAnsi="Garamond"/>
          <w:bCs/>
          <w:iCs/>
          <w:sz w:val="22"/>
          <w:szCs w:val="22"/>
        </w:rPr>
        <w:t xml:space="preserve">to remain </w:t>
      </w:r>
      <w:r w:rsidR="001B4187" w:rsidRPr="00320DDF">
        <w:rPr>
          <w:rFonts w:ascii="Garamond" w:hAnsi="Garamond"/>
          <w:bCs/>
          <w:iCs/>
          <w:sz w:val="22"/>
          <w:szCs w:val="22"/>
        </w:rPr>
        <w:t xml:space="preserve">so </w:t>
      </w:r>
      <w:r w:rsidR="00D01FBC" w:rsidRPr="00320DDF">
        <w:rPr>
          <w:rFonts w:ascii="Garamond" w:hAnsi="Garamond"/>
          <w:bCs/>
          <w:iCs/>
          <w:sz w:val="22"/>
          <w:szCs w:val="22"/>
        </w:rPr>
        <w:t xml:space="preserve">during the </w:t>
      </w:r>
      <w:r w:rsidR="001B4187" w:rsidRPr="00320DDF">
        <w:rPr>
          <w:rFonts w:ascii="Garamond" w:hAnsi="Garamond"/>
          <w:bCs/>
          <w:iCs/>
          <w:sz w:val="22"/>
          <w:szCs w:val="22"/>
        </w:rPr>
        <w:t xml:space="preserve">year in </w:t>
      </w:r>
      <w:r w:rsidR="00E85F7D" w:rsidRPr="00320DDF">
        <w:rPr>
          <w:rFonts w:ascii="Garamond" w:hAnsi="Garamond"/>
          <w:bCs/>
          <w:iCs/>
          <w:sz w:val="22"/>
          <w:szCs w:val="22"/>
        </w:rPr>
        <w:t xml:space="preserve">anticipation </w:t>
      </w:r>
      <w:r w:rsidR="001B4187" w:rsidRPr="00320DDF">
        <w:rPr>
          <w:rFonts w:ascii="Garamond" w:hAnsi="Garamond"/>
          <w:bCs/>
          <w:iCs/>
          <w:sz w:val="22"/>
          <w:szCs w:val="22"/>
        </w:rPr>
        <w:t xml:space="preserve">of </w:t>
      </w:r>
      <w:r w:rsidRPr="00320DDF">
        <w:rPr>
          <w:rFonts w:ascii="Garamond" w:hAnsi="Garamond"/>
          <w:bCs/>
          <w:iCs/>
          <w:sz w:val="22"/>
          <w:szCs w:val="22"/>
        </w:rPr>
        <w:t>higher economic growth.</w:t>
      </w:r>
      <w:r w:rsidR="001B4187" w:rsidRPr="00320DDF">
        <w:rPr>
          <w:rFonts w:ascii="Garamond" w:hAnsi="Garamond"/>
          <w:bCs/>
          <w:iCs/>
          <w:sz w:val="22"/>
          <w:szCs w:val="22"/>
        </w:rPr>
        <w:t xml:space="preserve"> </w:t>
      </w:r>
      <w:r w:rsidR="00E85F7D" w:rsidRPr="00320DDF">
        <w:rPr>
          <w:rFonts w:ascii="Garamond" w:hAnsi="Garamond"/>
          <w:bCs/>
          <w:iCs/>
          <w:sz w:val="22"/>
          <w:szCs w:val="22"/>
        </w:rPr>
        <w:t>T</w:t>
      </w:r>
      <w:r w:rsidR="00E058E9" w:rsidRPr="00320DDF">
        <w:rPr>
          <w:rFonts w:ascii="Garamond" w:hAnsi="Garamond"/>
          <w:bCs/>
          <w:iCs/>
          <w:sz w:val="22"/>
          <w:szCs w:val="22"/>
        </w:rPr>
        <w:t>he tax-to-GDP ratio</w:t>
      </w:r>
      <w:r w:rsidRPr="00320DDF">
        <w:rPr>
          <w:rStyle w:val="FootnoteReference"/>
          <w:rFonts w:ascii="Garamond" w:hAnsi="Garamond"/>
          <w:bCs/>
          <w:iCs/>
          <w:sz w:val="22"/>
          <w:szCs w:val="22"/>
        </w:rPr>
        <w:footnoteReference w:customMarkFollows="1" w:id="8"/>
        <w:t>8</w:t>
      </w:r>
      <w:r w:rsidR="00E85F7D" w:rsidRPr="00320DDF">
        <w:rPr>
          <w:rFonts w:ascii="Garamond" w:hAnsi="Garamond"/>
          <w:bCs/>
          <w:iCs/>
          <w:sz w:val="22"/>
          <w:szCs w:val="22"/>
        </w:rPr>
        <w:t xml:space="preserve"> is expected to rise by 1.0 pp whereas the expense-to-GDP ratio to decrease by 1.5 pp against 2016.</w:t>
      </w:r>
      <w:r w:rsidR="00656908" w:rsidRPr="00320DDF">
        <w:rPr>
          <w:rFonts w:ascii="Garamond" w:hAnsi="Garamond"/>
          <w:bCs/>
          <w:iCs/>
          <w:sz w:val="22"/>
          <w:szCs w:val="22"/>
        </w:rPr>
        <w:t xml:space="preserve"> </w:t>
      </w:r>
      <w:r w:rsidR="00E85F7D" w:rsidRPr="00320DDF">
        <w:rPr>
          <w:rFonts w:ascii="Garamond" w:hAnsi="Garamond"/>
          <w:bCs/>
          <w:iCs/>
          <w:sz w:val="22"/>
          <w:szCs w:val="22"/>
        </w:rPr>
        <w:t>The budget deficit will reach 2.8% of GDP as planned by the law.</w:t>
      </w:r>
      <w:r w:rsidR="003354D2" w:rsidRPr="00320DDF">
        <w:rPr>
          <w:rFonts w:ascii="Garamond" w:hAnsi="Garamond"/>
          <w:bCs/>
          <w:iCs/>
          <w:sz w:val="22"/>
          <w:szCs w:val="22"/>
        </w:rPr>
        <w:t xml:space="preserve"> </w:t>
      </w:r>
    </w:p>
    <w:p w14:paraId="6EDA1487" w14:textId="77777777" w:rsidR="003354D2" w:rsidRPr="00320DDF" w:rsidRDefault="003354D2" w:rsidP="00B117C8">
      <w:pPr>
        <w:spacing w:line="360" w:lineRule="auto"/>
        <w:jc w:val="both"/>
        <w:rPr>
          <w:rFonts w:ascii="Garamond" w:hAnsi="Garamond"/>
          <w:bCs/>
          <w:iCs/>
          <w:sz w:val="22"/>
          <w:szCs w:val="22"/>
        </w:rPr>
      </w:pPr>
    </w:p>
    <w:p w14:paraId="3F5279DA" w14:textId="77777777" w:rsidR="00DF3034" w:rsidRPr="00320DDF" w:rsidRDefault="00DF3034" w:rsidP="00CE19EB">
      <w:pPr>
        <w:spacing w:line="360" w:lineRule="auto"/>
        <w:jc w:val="both"/>
        <w:rPr>
          <w:rFonts w:ascii="Garamond" w:hAnsi="Garamond" w:cs="Sylfaen"/>
          <w:iCs/>
          <w:color w:val="000000"/>
          <w:sz w:val="22"/>
          <w:szCs w:val="22"/>
        </w:rPr>
      </w:pPr>
      <w:r w:rsidRPr="00320DDF">
        <w:rPr>
          <w:rFonts w:ascii="Garamond" w:hAnsi="Garamond" w:cs="Sylfaen"/>
          <w:iCs/>
          <w:color w:val="000000"/>
          <w:sz w:val="22"/>
          <w:szCs w:val="22"/>
        </w:rPr>
        <w:t xml:space="preserve">In 2017, relative to 2016, the </w:t>
      </w:r>
      <w:r w:rsidR="003354D2" w:rsidRPr="00320DDF">
        <w:rPr>
          <w:rFonts w:ascii="Garamond" w:hAnsi="Garamond" w:cs="Sylfaen"/>
          <w:iCs/>
          <w:color w:val="000000"/>
          <w:sz w:val="22"/>
          <w:szCs w:val="22"/>
        </w:rPr>
        <w:t xml:space="preserve">estimation of the </w:t>
      </w:r>
      <w:r w:rsidRPr="00320DDF">
        <w:rPr>
          <w:rFonts w:ascii="Garamond" w:hAnsi="Garamond" w:cs="Sylfaen"/>
          <w:iCs/>
          <w:color w:val="000000"/>
          <w:sz w:val="22"/>
          <w:szCs w:val="22"/>
        </w:rPr>
        <w:t>fiscal policy</w:t>
      </w:r>
      <w:r w:rsidR="003354D2" w:rsidRPr="00320DDF">
        <w:rPr>
          <w:rFonts w:ascii="Garamond" w:hAnsi="Garamond" w:cs="Sylfaen"/>
          <w:iCs/>
          <w:color w:val="000000"/>
          <w:sz w:val="22"/>
          <w:szCs w:val="22"/>
        </w:rPr>
        <w:t xml:space="preserve">’s impact on aggregate demand remained unchanged, </w:t>
      </w:r>
      <w:r w:rsidRPr="00320DDF">
        <w:rPr>
          <w:rFonts w:ascii="Garamond" w:hAnsi="Garamond" w:cs="Sylfaen"/>
          <w:iCs/>
          <w:color w:val="000000"/>
          <w:sz w:val="22"/>
          <w:szCs w:val="22"/>
        </w:rPr>
        <w:t xml:space="preserve">3.0 </w:t>
      </w:r>
      <w:r w:rsidR="002E7657" w:rsidRPr="00320DDF">
        <w:rPr>
          <w:rFonts w:ascii="Garamond" w:hAnsi="Garamond" w:cs="Sylfaen"/>
          <w:sz w:val="22"/>
          <w:szCs w:val="22"/>
        </w:rPr>
        <w:t>percentage point</w:t>
      </w:r>
      <w:r w:rsidR="002E7657" w:rsidRPr="00320DDF">
        <w:rPr>
          <w:rFonts w:ascii="Garamond" w:hAnsi="Garamond" w:cs="Sylfaen"/>
          <w:iCs/>
          <w:color w:val="000000"/>
          <w:sz w:val="22"/>
          <w:szCs w:val="22"/>
        </w:rPr>
        <w:t xml:space="preserve"> </w:t>
      </w:r>
      <w:r w:rsidRPr="00320DDF">
        <w:rPr>
          <w:rFonts w:ascii="Garamond" w:hAnsi="Garamond" w:cs="Sylfaen"/>
          <w:iCs/>
          <w:color w:val="000000"/>
          <w:sz w:val="22"/>
          <w:szCs w:val="22"/>
        </w:rPr>
        <w:t>contractionary</w:t>
      </w:r>
      <w:r w:rsidR="003354D2" w:rsidRPr="00320DDF">
        <w:rPr>
          <w:rFonts w:ascii="Garamond" w:hAnsi="Garamond" w:cs="Sylfaen"/>
          <w:iCs/>
          <w:color w:val="000000"/>
          <w:sz w:val="22"/>
          <w:szCs w:val="22"/>
        </w:rPr>
        <w:t xml:space="preserve">, </w:t>
      </w:r>
      <w:r w:rsidRPr="00320DDF">
        <w:rPr>
          <w:rFonts w:ascii="Garamond" w:hAnsi="Garamond" w:cs="Sylfaen"/>
          <w:iCs/>
          <w:color w:val="000000"/>
          <w:sz w:val="22"/>
          <w:szCs w:val="22"/>
        </w:rPr>
        <w:t xml:space="preserve">with the revenues </w:t>
      </w:r>
      <w:r w:rsidR="004933AC" w:rsidRPr="00320DDF">
        <w:rPr>
          <w:rFonts w:ascii="Garamond" w:hAnsi="Garamond" w:cs="Sylfaen"/>
          <w:iCs/>
          <w:color w:val="000000"/>
          <w:sz w:val="22"/>
          <w:szCs w:val="22"/>
        </w:rPr>
        <w:t>and expen</w:t>
      </w:r>
      <w:r w:rsidR="0009011E">
        <w:rPr>
          <w:rFonts w:ascii="Garamond" w:hAnsi="Garamond" w:cs="Sylfaen"/>
          <w:iCs/>
          <w:color w:val="000000"/>
          <w:sz w:val="22"/>
          <w:szCs w:val="22"/>
        </w:rPr>
        <w:t xml:space="preserve">ditures </w:t>
      </w:r>
      <w:r w:rsidRPr="00320DDF">
        <w:rPr>
          <w:rFonts w:ascii="Garamond" w:hAnsi="Garamond" w:cs="Sylfaen"/>
          <w:iCs/>
          <w:color w:val="000000"/>
          <w:sz w:val="22"/>
          <w:szCs w:val="22"/>
        </w:rPr>
        <w:t>leav</w:t>
      </w:r>
      <w:r w:rsidR="004933AC" w:rsidRPr="00320DDF">
        <w:rPr>
          <w:rFonts w:ascii="Garamond" w:hAnsi="Garamond" w:cs="Sylfaen"/>
          <w:iCs/>
          <w:color w:val="000000"/>
          <w:sz w:val="22"/>
          <w:szCs w:val="22"/>
        </w:rPr>
        <w:t>ing</w:t>
      </w:r>
      <w:r w:rsidRPr="00320DDF">
        <w:rPr>
          <w:rFonts w:ascii="Garamond" w:hAnsi="Garamond" w:cs="Sylfaen"/>
          <w:iCs/>
          <w:color w:val="000000"/>
          <w:sz w:val="22"/>
          <w:szCs w:val="22"/>
        </w:rPr>
        <w:t xml:space="preserve"> </w:t>
      </w:r>
      <w:r w:rsidR="003354D2" w:rsidRPr="00320DDF">
        <w:rPr>
          <w:rFonts w:ascii="Garamond" w:hAnsi="Garamond" w:cs="Sylfaen"/>
          <w:iCs/>
          <w:color w:val="000000"/>
          <w:sz w:val="22"/>
          <w:szCs w:val="22"/>
        </w:rPr>
        <w:t>1</w:t>
      </w:r>
      <w:r w:rsidRPr="00320DDF">
        <w:rPr>
          <w:rFonts w:ascii="Garamond" w:hAnsi="Garamond" w:cs="Sylfaen"/>
          <w:iCs/>
          <w:color w:val="000000"/>
          <w:sz w:val="22"/>
          <w:szCs w:val="22"/>
        </w:rPr>
        <w:t>.</w:t>
      </w:r>
      <w:r w:rsidR="003354D2" w:rsidRPr="00320DDF">
        <w:rPr>
          <w:rFonts w:ascii="Garamond" w:hAnsi="Garamond" w:cs="Sylfaen"/>
          <w:iCs/>
          <w:color w:val="000000"/>
          <w:sz w:val="22"/>
          <w:szCs w:val="22"/>
        </w:rPr>
        <w:t>2</w:t>
      </w:r>
      <w:r w:rsidRPr="00320DDF">
        <w:rPr>
          <w:rFonts w:ascii="Garamond" w:hAnsi="Garamond" w:cs="Sylfaen"/>
          <w:iCs/>
          <w:color w:val="000000"/>
          <w:sz w:val="22"/>
          <w:szCs w:val="22"/>
        </w:rPr>
        <w:t xml:space="preserve"> and </w:t>
      </w:r>
      <w:r w:rsidR="003354D2" w:rsidRPr="00320DDF">
        <w:rPr>
          <w:rFonts w:ascii="Garamond" w:hAnsi="Garamond" w:cs="Sylfaen"/>
          <w:iCs/>
          <w:color w:val="000000"/>
          <w:sz w:val="22"/>
          <w:szCs w:val="22"/>
        </w:rPr>
        <w:t>1</w:t>
      </w:r>
      <w:r w:rsidRPr="00320DDF">
        <w:rPr>
          <w:rFonts w:ascii="Garamond" w:hAnsi="Garamond" w:cs="Sylfaen"/>
          <w:iCs/>
          <w:color w:val="000000"/>
          <w:sz w:val="22"/>
          <w:szCs w:val="22"/>
        </w:rPr>
        <w:t>.</w:t>
      </w:r>
      <w:r w:rsidR="003354D2" w:rsidRPr="00320DDF">
        <w:rPr>
          <w:rFonts w:ascii="Garamond" w:hAnsi="Garamond" w:cs="Sylfaen"/>
          <w:iCs/>
          <w:color w:val="000000"/>
          <w:sz w:val="22"/>
          <w:szCs w:val="22"/>
        </w:rPr>
        <w:t>8</w:t>
      </w:r>
      <w:r w:rsidRPr="00320DDF">
        <w:rPr>
          <w:rFonts w:ascii="Garamond" w:hAnsi="Garamond" w:cs="Sylfaen"/>
          <w:iCs/>
          <w:color w:val="000000"/>
          <w:sz w:val="22"/>
          <w:szCs w:val="22"/>
        </w:rPr>
        <w:t xml:space="preserve"> </w:t>
      </w:r>
      <w:r w:rsidR="002E7657" w:rsidRPr="00320DDF">
        <w:rPr>
          <w:rFonts w:ascii="Garamond" w:hAnsi="Garamond" w:cs="Sylfaen"/>
          <w:sz w:val="22"/>
          <w:szCs w:val="22"/>
        </w:rPr>
        <w:t>percentage point</w:t>
      </w:r>
      <w:r w:rsidR="002E7657" w:rsidRPr="00320DDF">
        <w:rPr>
          <w:rFonts w:ascii="Garamond" w:hAnsi="Garamond" w:cs="Sylfaen"/>
          <w:iCs/>
          <w:color w:val="000000"/>
          <w:sz w:val="22"/>
          <w:szCs w:val="22"/>
        </w:rPr>
        <w:t xml:space="preserve"> </w:t>
      </w:r>
      <w:r w:rsidRPr="00320DDF">
        <w:rPr>
          <w:rFonts w:ascii="Garamond" w:hAnsi="Garamond" w:cs="Sylfaen"/>
          <w:iCs/>
          <w:color w:val="000000"/>
          <w:sz w:val="22"/>
          <w:szCs w:val="22"/>
        </w:rPr>
        <w:t xml:space="preserve">of </w:t>
      </w:r>
      <w:r w:rsidR="004933AC" w:rsidRPr="00320DDF">
        <w:rPr>
          <w:rFonts w:ascii="Garamond" w:hAnsi="Garamond" w:cs="Sylfaen"/>
          <w:iCs/>
          <w:color w:val="000000"/>
          <w:sz w:val="22"/>
          <w:szCs w:val="22"/>
        </w:rPr>
        <w:t xml:space="preserve">contractionary effects, respectively. </w:t>
      </w:r>
      <w:r w:rsidRPr="00320DDF">
        <w:rPr>
          <w:rFonts w:ascii="Garamond" w:hAnsi="Garamond" w:cs="Sylfaen"/>
          <w:iCs/>
          <w:color w:val="000000"/>
          <w:sz w:val="22"/>
          <w:szCs w:val="22"/>
        </w:rPr>
        <w:t xml:space="preserve">It should be noted that </w:t>
      </w:r>
      <w:r w:rsidR="004933AC" w:rsidRPr="00320DDF">
        <w:rPr>
          <w:rFonts w:ascii="Garamond" w:hAnsi="Garamond" w:cs="Sylfaen"/>
          <w:iCs/>
          <w:color w:val="000000"/>
          <w:sz w:val="22"/>
          <w:szCs w:val="22"/>
        </w:rPr>
        <w:t xml:space="preserve">such </w:t>
      </w:r>
      <w:r w:rsidR="00E8690A" w:rsidRPr="00320DDF">
        <w:rPr>
          <w:rFonts w:ascii="Garamond" w:hAnsi="Garamond" w:cs="Sylfaen"/>
          <w:iCs/>
          <w:color w:val="000000"/>
          <w:sz w:val="22"/>
          <w:szCs w:val="22"/>
        </w:rPr>
        <w:t xml:space="preserve">contractionary effects are </w:t>
      </w:r>
      <w:r w:rsidR="004933AC" w:rsidRPr="00320DDF">
        <w:rPr>
          <w:rFonts w:ascii="Garamond" w:hAnsi="Garamond" w:cs="Sylfaen"/>
          <w:iCs/>
          <w:color w:val="000000"/>
          <w:sz w:val="22"/>
          <w:szCs w:val="22"/>
        </w:rPr>
        <w:t xml:space="preserve">anticipated in </w:t>
      </w:r>
      <w:r w:rsidR="00E8690A" w:rsidRPr="00320DDF">
        <w:rPr>
          <w:rFonts w:ascii="Garamond" w:hAnsi="Garamond" w:cs="Sylfaen"/>
          <w:iCs/>
          <w:color w:val="000000"/>
          <w:sz w:val="22"/>
          <w:szCs w:val="22"/>
        </w:rPr>
        <w:t xml:space="preserve">the next two </w:t>
      </w:r>
      <w:r w:rsidR="004933AC" w:rsidRPr="00320DDF">
        <w:rPr>
          <w:rFonts w:ascii="Garamond" w:hAnsi="Garamond" w:cs="Sylfaen"/>
          <w:iCs/>
          <w:color w:val="000000"/>
          <w:sz w:val="22"/>
          <w:szCs w:val="22"/>
        </w:rPr>
        <w:t xml:space="preserve">quarters of </w:t>
      </w:r>
      <w:r w:rsidRPr="00320DDF">
        <w:rPr>
          <w:rFonts w:ascii="Garamond" w:hAnsi="Garamond" w:cs="Sylfaen"/>
          <w:iCs/>
          <w:color w:val="000000"/>
          <w:sz w:val="22"/>
          <w:szCs w:val="22"/>
        </w:rPr>
        <w:t xml:space="preserve">2017. </w:t>
      </w:r>
    </w:p>
    <w:p w14:paraId="5A196EF2" w14:textId="77777777" w:rsidR="00DF3034" w:rsidRPr="00320DDF" w:rsidRDefault="00DF3034" w:rsidP="00CE19EB">
      <w:pPr>
        <w:spacing w:line="360" w:lineRule="auto"/>
        <w:jc w:val="both"/>
        <w:rPr>
          <w:rFonts w:ascii="Garamond" w:hAnsi="Garamond" w:cs="Sylfaen"/>
          <w:iCs/>
          <w:color w:val="000000"/>
          <w:sz w:val="22"/>
          <w:szCs w:val="22"/>
        </w:rPr>
      </w:pPr>
    </w:p>
    <w:p w14:paraId="1CC21016" w14:textId="00CDF717" w:rsidR="004933AC" w:rsidRPr="00320DDF" w:rsidRDefault="004933AC" w:rsidP="00CE19EB">
      <w:pPr>
        <w:spacing w:line="360" w:lineRule="auto"/>
        <w:jc w:val="both"/>
        <w:rPr>
          <w:rFonts w:ascii="Garamond" w:hAnsi="Garamond" w:cs="Sylfaen"/>
          <w:iCs/>
          <w:color w:val="000000"/>
          <w:sz w:val="22"/>
          <w:szCs w:val="22"/>
        </w:rPr>
      </w:pPr>
      <w:r w:rsidRPr="00320DDF">
        <w:rPr>
          <w:rFonts w:ascii="Garamond" w:hAnsi="Garamond"/>
          <w:bCs/>
          <w:iCs/>
          <w:sz w:val="22"/>
          <w:szCs w:val="22"/>
        </w:rPr>
        <w:t>The fiscal policy’s forecast horizon</w:t>
      </w:r>
      <w:r w:rsidRPr="00320DDF">
        <w:rPr>
          <w:rFonts w:ascii="Garamond" w:hAnsi="Garamond"/>
          <w:b/>
          <w:bCs/>
          <w:iCs/>
          <w:sz w:val="22"/>
          <w:szCs w:val="22"/>
        </w:rPr>
        <w:t xml:space="preserve"> </w:t>
      </w:r>
      <w:r w:rsidRPr="00320DDF">
        <w:rPr>
          <w:rFonts w:ascii="Garamond" w:hAnsi="Garamond"/>
          <w:bCs/>
          <w:iCs/>
          <w:sz w:val="22"/>
          <w:szCs w:val="22"/>
        </w:rPr>
        <w:t xml:space="preserve">is based on the main indicators </w:t>
      </w:r>
      <w:r w:rsidR="00E8690A" w:rsidRPr="00320DDF">
        <w:rPr>
          <w:rFonts w:ascii="Garamond" w:hAnsi="Garamond"/>
          <w:bCs/>
          <w:iCs/>
          <w:sz w:val="22"/>
          <w:szCs w:val="22"/>
        </w:rPr>
        <w:t xml:space="preserve">to underlie </w:t>
      </w:r>
      <w:r w:rsidRPr="00320DDF">
        <w:rPr>
          <w:rFonts w:ascii="Garamond" w:hAnsi="Garamond" w:cs="Sylfaen"/>
          <w:iCs/>
          <w:color w:val="000000"/>
          <w:sz w:val="22"/>
          <w:szCs w:val="22"/>
        </w:rPr>
        <w:t xml:space="preserve">the </w:t>
      </w:r>
      <w:r w:rsidRPr="00320DDF">
        <w:rPr>
          <w:rFonts w:ascii="Garamond" w:hAnsi="Garamond"/>
          <w:b/>
          <w:bCs/>
          <w:iCs/>
          <w:sz w:val="22"/>
          <w:szCs w:val="22"/>
        </w:rPr>
        <w:t>Republic of Armenia “Medium-Term Public Expenditures Program for 201</w:t>
      </w:r>
      <w:r w:rsidR="00E8690A" w:rsidRPr="00320DDF">
        <w:rPr>
          <w:rFonts w:ascii="Garamond" w:hAnsi="Garamond"/>
          <w:b/>
          <w:bCs/>
          <w:iCs/>
          <w:sz w:val="22"/>
          <w:szCs w:val="22"/>
        </w:rPr>
        <w:t>8</w:t>
      </w:r>
      <w:r w:rsidRPr="00320DDF">
        <w:rPr>
          <w:rFonts w:ascii="Garamond" w:hAnsi="Garamond"/>
          <w:b/>
          <w:bCs/>
          <w:iCs/>
          <w:sz w:val="22"/>
          <w:szCs w:val="22"/>
        </w:rPr>
        <w:t>-20</w:t>
      </w:r>
      <w:r w:rsidR="00E8690A" w:rsidRPr="00320DDF">
        <w:rPr>
          <w:rFonts w:ascii="Garamond" w:hAnsi="Garamond"/>
          <w:b/>
          <w:bCs/>
          <w:iCs/>
          <w:sz w:val="22"/>
          <w:szCs w:val="22"/>
        </w:rPr>
        <w:t>20</w:t>
      </w:r>
      <w:r w:rsidRPr="00320DDF">
        <w:rPr>
          <w:rFonts w:ascii="Garamond" w:hAnsi="Garamond"/>
          <w:b/>
          <w:bCs/>
          <w:iCs/>
          <w:sz w:val="22"/>
          <w:szCs w:val="22"/>
        </w:rPr>
        <w:t>”</w:t>
      </w:r>
      <w:r w:rsidR="006A2082" w:rsidRPr="00320DDF">
        <w:rPr>
          <w:rFonts w:ascii="Garamond" w:hAnsi="Garamond"/>
          <w:bCs/>
          <w:iCs/>
          <w:sz w:val="22"/>
          <w:szCs w:val="22"/>
        </w:rPr>
        <w:t xml:space="preserve">. In the </w:t>
      </w:r>
      <w:r w:rsidR="006A2082" w:rsidRPr="00320DDF">
        <w:rPr>
          <w:rFonts w:ascii="Garamond" w:hAnsi="Garamond"/>
          <w:b/>
          <w:bCs/>
          <w:iCs/>
          <w:sz w:val="22"/>
          <w:szCs w:val="22"/>
        </w:rPr>
        <w:t>medium run</w:t>
      </w:r>
      <w:r w:rsidR="006A2082" w:rsidRPr="00320DDF">
        <w:rPr>
          <w:rFonts w:ascii="Garamond" w:hAnsi="Garamond"/>
          <w:bCs/>
          <w:iCs/>
          <w:sz w:val="22"/>
          <w:szCs w:val="22"/>
        </w:rPr>
        <w:t xml:space="preserve">, to achieve a sustainable debt </w:t>
      </w:r>
      <w:proofErr w:type="gramStart"/>
      <w:r w:rsidR="006A2082" w:rsidRPr="00320DDF">
        <w:rPr>
          <w:rFonts w:ascii="Garamond" w:hAnsi="Garamond"/>
          <w:bCs/>
          <w:iCs/>
          <w:sz w:val="22"/>
          <w:szCs w:val="22"/>
        </w:rPr>
        <w:t>environment</w:t>
      </w:r>
      <w:r w:rsidR="00803F3B" w:rsidRPr="00320DDF">
        <w:rPr>
          <w:rFonts w:ascii="Garamond" w:hAnsi="Garamond"/>
          <w:bCs/>
          <w:iCs/>
          <w:sz w:val="22"/>
          <w:szCs w:val="22"/>
        </w:rPr>
        <w:t xml:space="preserve"> </w:t>
      </w:r>
      <w:r w:rsidR="00994FA5">
        <w:rPr>
          <w:rFonts w:ascii="Garamond" w:hAnsi="Garamond"/>
          <w:bCs/>
          <w:iCs/>
          <w:sz w:val="22"/>
          <w:szCs w:val="22"/>
        </w:rPr>
        <w:t xml:space="preserve"> as</w:t>
      </w:r>
      <w:proofErr w:type="gramEnd"/>
      <w:r w:rsidR="00994FA5">
        <w:rPr>
          <w:rFonts w:ascii="Garamond" w:hAnsi="Garamond"/>
          <w:bCs/>
          <w:iCs/>
          <w:sz w:val="22"/>
          <w:szCs w:val="22"/>
        </w:rPr>
        <w:t xml:space="preserve"> in </w:t>
      </w:r>
      <w:r w:rsidR="00994FA5" w:rsidRPr="00320DDF">
        <w:rPr>
          <w:rFonts w:ascii="Garamond" w:hAnsi="Garamond"/>
          <w:bCs/>
          <w:iCs/>
          <w:sz w:val="22"/>
          <w:szCs w:val="22"/>
        </w:rPr>
        <w:t>2017-2019</w:t>
      </w:r>
      <w:r w:rsidR="00994FA5">
        <w:rPr>
          <w:rFonts w:ascii="Garamond" w:hAnsi="Garamond"/>
          <w:bCs/>
          <w:iCs/>
          <w:sz w:val="22"/>
          <w:szCs w:val="22"/>
        </w:rPr>
        <w:t>,</w:t>
      </w:r>
      <w:r w:rsidR="00994FA5" w:rsidRPr="00320DDF">
        <w:rPr>
          <w:rFonts w:ascii="Garamond" w:hAnsi="Garamond"/>
          <w:bCs/>
          <w:iCs/>
          <w:sz w:val="22"/>
          <w:szCs w:val="22"/>
        </w:rPr>
        <w:t xml:space="preserve"> </w:t>
      </w:r>
      <w:r w:rsidR="00994FA5">
        <w:rPr>
          <w:rFonts w:ascii="Garamond" w:hAnsi="Garamond"/>
          <w:bCs/>
          <w:iCs/>
          <w:sz w:val="22"/>
          <w:szCs w:val="22"/>
        </w:rPr>
        <w:t xml:space="preserve">as well </w:t>
      </w:r>
      <w:r w:rsidR="002E7657">
        <w:rPr>
          <w:rFonts w:ascii="Garamond" w:hAnsi="Garamond"/>
          <w:bCs/>
          <w:iCs/>
          <w:sz w:val="22"/>
          <w:szCs w:val="22"/>
        </w:rPr>
        <w:t xml:space="preserve"> </w:t>
      </w:r>
      <w:r w:rsidR="00994FA5">
        <w:rPr>
          <w:rFonts w:ascii="Garamond" w:hAnsi="Garamond"/>
          <w:bCs/>
          <w:iCs/>
          <w:sz w:val="22"/>
          <w:szCs w:val="22"/>
        </w:rPr>
        <w:t xml:space="preserve">in </w:t>
      </w:r>
      <w:r w:rsidR="00803F3B" w:rsidRPr="00320DDF">
        <w:rPr>
          <w:rFonts w:ascii="Garamond" w:hAnsi="Garamond"/>
          <w:bCs/>
          <w:iCs/>
          <w:sz w:val="22"/>
          <w:szCs w:val="22"/>
        </w:rPr>
        <w:t xml:space="preserve"> 2018-2020</w:t>
      </w:r>
      <w:r w:rsidR="00994FA5">
        <w:rPr>
          <w:rFonts w:ascii="Garamond" w:hAnsi="Garamond"/>
          <w:bCs/>
          <w:iCs/>
          <w:sz w:val="22"/>
          <w:szCs w:val="22"/>
        </w:rPr>
        <w:t xml:space="preserve"> </w:t>
      </w:r>
      <w:r w:rsidR="0032076D">
        <w:rPr>
          <w:rFonts w:ascii="Garamond" w:hAnsi="Garamond"/>
          <w:bCs/>
          <w:iCs/>
          <w:sz w:val="22"/>
          <w:szCs w:val="22"/>
        </w:rPr>
        <w:t>programs</w:t>
      </w:r>
      <w:r w:rsidR="006A2082" w:rsidRPr="00320DDF">
        <w:rPr>
          <w:rFonts w:ascii="Garamond" w:hAnsi="Garamond"/>
          <w:bCs/>
          <w:iCs/>
          <w:sz w:val="22"/>
          <w:szCs w:val="22"/>
        </w:rPr>
        <w:t>, the fiscal policy aims at gradual reduction of the deficit</w:t>
      </w:r>
      <w:r w:rsidR="00803F3B" w:rsidRPr="00320DDF">
        <w:rPr>
          <w:rFonts w:ascii="Garamond" w:hAnsi="Garamond"/>
          <w:bCs/>
          <w:iCs/>
          <w:sz w:val="22"/>
          <w:szCs w:val="22"/>
        </w:rPr>
        <w:t>.</w:t>
      </w:r>
      <w:r w:rsidR="006A2082" w:rsidRPr="00320DDF">
        <w:rPr>
          <w:rFonts w:ascii="Garamond" w:hAnsi="Garamond"/>
          <w:bCs/>
          <w:iCs/>
          <w:sz w:val="22"/>
          <w:szCs w:val="22"/>
        </w:rPr>
        <w:t xml:space="preserve"> </w:t>
      </w:r>
      <w:r w:rsidR="00803F3B" w:rsidRPr="00320DDF">
        <w:rPr>
          <w:rFonts w:ascii="Garamond" w:hAnsi="Garamond"/>
          <w:bCs/>
          <w:iCs/>
          <w:sz w:val="22"/>
          <w:szCs w:val="22"/>
        </w:rPr>
        <w:t xml:space="preserve">In 2018-2020 the deficit-to-GDP ratio is projected to reach </w:t>
      </w:r>
      <w:r w:rsidR="00F11A6F" w:rsidRPr="00320DDF">
        <w:rPr>
          <w:rFonts w:ascii="Garamond" w:hAnsi="Garamond"/>
          <w:bCs/>
          <w:iCs/>
          <w:sz w:val="22"/>
          <w:szCs w:val="22"/>
        </w:rPr>
        <w:t xml:space="preserve">an average </w:t>
      </w:r>
      <w:r w:rsidR="00803F3B" w:rsidRPr="00320DDF">
        <w:rPr>
          <w:rFonts w:ascii="Garamond" w:hAnsi="Garamond"/>
          <w:bCs/>
          <w:iCs/>
          <w:sz w:val="22"/>
          <w:szCs w:val="22"/>
        </w:rPr>
        <w:t xml:space="preserve">2.3% of GDP, which is higher </w:t>
      </w:r>
      <w:r w:rsidR="00F11A6F" w:rsidRPr="00320DDF">
        <w:rPr>
          <w:rFonts w:ascii="Garamond" w:hAnsi="Garamond"/>
          <w:bCs/>
          <w:iCs/>
          <w:sz w:val="22"/>
          <w:szCs w:val="22"/>
        </w:rPr>
        <w:t xml:space="preserve">from the relevant figure of </w:t>
      </w:r>
      <w:r w:rsidR="006A2082" w:rsidRPr="00320DDF">
        <w:rPr>
          <w:rFonts w:ascii="Garamond" w:hAnsi="Garamond"/>
          <w:bCs/>
          <w:iCs/>
          <w:sz w:val="22"/>
          <w:szCs w:val="22"/>
        </w:rPr>
        <w:t xml:space="preserve">1.85% </w:t>
      </w:r>
      <w:r w:rsidR="00F11A6F" w:rsidRPr="00320DDF">
        <w:rPr>
          <w:rFonts w:ascii="Garamond" w:hAnsi="Garamond"/>
          <w:bCs/>
          <w:iCs/>
          <w:sz w:val="22"/>
          <w:szCs w:val="22"/>
        </w:rPr>
        <w:t xml:space="preserve">outlined in the previous program for </w:t>
      </w:r>
      <w:r w:rsidR="006A2082" w:rsidRPr="00320DDF">
        <w:rPr>
          <w:rFonts w:ascii="Garamond" w:hAnsi="Garamond"/>
          <w:bCs/>
          <w:iCs/>
          <w:sz w:val="22"/>
          <w:szCs w:val="22"/>
        </w:rPr>
        <w:t xml:space="preserve">2018-2019. The impact of </w:t>
      </w:r>
      <w:r w:rsidR="00487E12" w:rsidRPr="00320DDF">
        <w:rPr>
          <w:rFonts w:ascii="Garamond" w:hAnsi="Garamond"/>
          <w:bCs/>
          <w:iCs/>
          <w:sz w:val="22"/>
          <w:szCs w:val="22"/>
        </w:rPr>
        <w:t xml:space="preserve">the </w:t>
      </w:r>
      <w:r w:rsidR="006A2082" w:rsidRPr="00320DDF">
        <w:rPr>
          <w:rFonts w:ascii="Garamond" w:hAnsi="Garamond"/>
          <w:bCs/>
          <w:iCs/>
          <w:sz w:val="22"/>
          <w:szCs w:val="22"/>
        </w:rPr>
        <w:t>fiscal policy on aggregate demand w</w:t>
      </w:r>
      <w:r w:rsidR="00487E12" w:rsidRPr="00320DDF">
        <w:rPr>
          <w:rFonts w:ascii="Garamond" w:hAnsi="Garamond"/>
          <w:bCs/>
          <w:iCs/>
          <w:sz w:val="22"/>
          <w:szCs w:val="22"/>
        </w:rPr>
        <w:t>ill b</w:t>
      </w:r>
      <w:r w:rsidR="006A2082" w:rsidRPr="00320DDF">
        <w:rPr>
          <w:rFonts w:ascii="Garamond" w:hAnsi="Garamond"/>
          <w:bCs/>
          <w:iCs/>
          <w:sz w:val="22"/>
          <w:szCs w:val="22"/>
        </w:rPr>
        <w:t xml:space="preserve">e </w:t>
      </w:r>
      <w:r w:rsidR="00487E12" w:rsidRPr="00320DDF">
        <w:rPr>
          <w:rFonts w:ascii="Garamond" w:hAnsi="Garamond"/>
          <w:bCs/>
          <w:iCs/>
          <w:sz w:val="22"/>
          <w:szCs w:val="22"/>
        </w:rPr>
        <w:t xml:space="preserve">contractionary </w:t>
      </w:r>
      <w:r w:rsidR="00412C4B" w:rsidRPr="00320DDF">
        <w:rPr>
          <w:rFonts w:ascii="Garamond" w:hAnsi="Garamond"/>
          <w:bCs/>
          <w:iCs/>
          <w:sz w:val="22"/>
          <w:szCs w:val="22"/>
        </w:rPr>
        <w:t xml:space="preserve">in the medium run </w:t>
      </w:r>
      <w:r w:rsidR="006A2082" w:rsidRPr="00320DDF">
        <w:rPr>
          <w:rFonts w:ascii="Garamond" w:hAnsi="Garamond"/>
          <w:bCs/>
          <w:iCs/>
          <w:sz w:val="22"/>
          <w:szCs w:val="22"/>
        </w:rPr>
        <w:t>and</w:t>
      </w:r>
      <w:r w:rsidR="00487E12" w:rsidRPr="00320DDF">
        <w:rPr>
          <w:rFonts w:ascii="Garamond" w:hAnsi="Garamond"/>
          <w:bCs/>
          <w:iCs/>
          <w:sz w:val="22"/>
          <w:szCs w:val="22"/>
        </w:rPr>
        <w:t>,</w:t>
      </w:r>
      <w:r w:rsidR="006A2082" w:rsidRPr="00320DDF">
        <w:rPr>
          <w:rFonts w:ascii="Garamond" w:hAnsi="Garamond"/>
          <w:bCs/>
          <w:iCs/>
          <w:sz w:val="22"/>
          <w:szCs w:val="22"/>
        </w:rPr>
        <w:t xml:space="preserve"> therefore</w:t>
      </w:r>
      <w:r w:rsidR="00487E12" w:rsidRPr="00320DDF">
        <w:rPr>
          <w:rFonts w:ascii="Garamond" w:hAnsi="Garamond"/>
          <w:bCs/>
          <w:iCs/>
          <w:sz w:val="22"/>
          <w:szCs w:val="22"/>
        </w:rPr>
        <w:t>,</w:t>
      </w:r>
      <w:r w:rsidR="006A2082" w:rsidRPr="00320DDF">
        <w:rPr>
          <w:rFonts w:ascii="Garamond" w:hAnsi="Garamond"/>
          <w:bCs/>
          <w:iCs/>
          <w:sz w:val="22"/>
          <w:szCs w:val="22"/>
        </w:rPr>
        <w:t xml:space="preserve"> no</w:t>
      </w:r>
      <w:r w:rsidR="00487E12" w:rsidRPr="00320DDF">
        <w:rPr>
          <w:rFonts w:ascii="Garamond" w:hAnsi="Garamond"/>
          <w:bCs/>
          <w:iCs/>
          <w:sz w:val="22"/>
          <w:szCs w:val="22"/>
        </w:rPr>
        <w:t>n-</w:t>
      </w:r>
      <w:r w:rsidR="006A2082" w:rsidRPr="00320DDF">
        <w:rPr>
          <w:rFonts w:ascii="Garamond" w:hAnsi="Garamond"/>
          <w:bCs/>
          <w:iCs/>
          <w:sz w:val="22"/>
          <w:szCs w:val="22"/>
        </w:rPr>
        <w:t>inflationary.</w:t>
      </w:r>
    </w:p>
    <w:p w14:paraId="5BEFCB1F" w14:textId="77777777" w:rsidR="00B62C86" w:rsidRPr="00320DDF" w:rsidRDefault="00B62C86" w:rsidP="00B117C8">
      <w:pPr>
        <w:spacing w:line="360" w:lineRule="auto"/>
        <w:jc w:val="both"/>
        <w:rPr>
          <w:rFonts w:ascii="Garamond" w:hAnsi="Garamond" w:cs="Sylfaen"/>
          <w:iCs/>
          <w:color w:val="000000"/>
          <w:sz w:val="22"/>
          <w:szCs w:val="22"/>
        </w:rPr>
      </w:pPr>
    </w:p>
    <w:p w14:paraId="195047C5" w14:textId="77777777" w:rsidR="00AF61E4" w:rsidRPr="00320DDF" w:rsidRDefault="00B62C86" w:rsidP="00B117C8">
      <w:pPr>
        <w:spacing w:line="360" w:lineRule="auto"/>
        <w:jc w:val="both"/>
        <w:rPr>
          <w:rFonts w:ascii="Garamond" w:hAnsi="Garamond"/>
          <w:b/>
          <w:bCs/>
          <w:iCs/>
          <w:sz w:val="22"/>
          <w:szCs w:val="22"/>
        </w:rPr>
      </w:pPr>
      <w:r w:rsidRPr="00320DDF">
        <w:rPr>
          <w:rFonts w:ascii="Garamond" w:hAnsi="Garamond" w:cs="Sylfaen"/>
          <w:b/>
          <w:sz w:val="22"/>
          <w:szCs w:val="22"/>
        </w:rPr>
        <w:t xml:space="preserve">Summary: </w:t>
      </w:r>
      <w:r w:rsidR="005E7CCB" w:rsidRPr="00320DDF">
        <w:rPr>
          <w:rFonts w:ascii="Garamond" w:hAnsi="Garamond" w:cs="Sylfaen"/>
          <w:b/>
          <w:sz w:val="22"/>
          <w:szCs w:val="22"/>
        </w:rPr>
        <w:t xml:space="preserve">from the second quarter of 2017 to the second quarter of 2018 the </w:t>
      </w:r>
      <w:r w:rsidR="007A22C3" w:rsidRPr="00320DDF">
        <w:rPr>
          <w:rFonts w:ascii="Garamond" w:hAnsi="Garamond" w:cs="Sylfaen"/>
          <w:b/>
          <w:sz w:val="22"/>
          <w:szCs w:val="22"/>
        </w:rPr>
        <w:t xml:space="preserve">aggregate demand </w:t>
      </w:r>
      <w:r w:rsidR="005E7CCB" w:rsidRPr="00320DDF">
        <w:rPr>
          <w:rFonts w:ascii="Garamond" w:hAnsi="Garamond" w:cs="Sylfaen"/>
          <w:b/>
          <w:sz w:val="22"/>
          <w:szCs w:val="22"/>
        </w:rPr>
        <w:t xml:space="preserve">and labor market developments will create minor deflationary pressures (0.6-0.8 pp on average) in the consumer market, which is smaller than the previous forecast. </w:t>
      </w:r>
      <w:r w:rsidR="00AF61E4" w:rsidRPr="00320DDF">
        <w:rPr>
          <w:rFonts w:ascii="Garamond" w:hAnsi="Garamond" w:cs="Sylfaen"/>
          <w:b/>
          <w:sz w:val="22"/>
          <w:szCs w:val="22"/>
        </w:rPr>
        <w:t>T</w:t>
      </w:r>
      <w:r w:rsidRPr="00320DDF">
        <w:rPr>
          <w:rFonts w:ascii="Garamond" w:hAnsi="Garamond"/>
          <w:b/>
          <w:bCs/>
          <w:iCs/>
          <w:sz w:val="22"/>
          <w:szCs w:val="22"/>
        </w:rPr>
        <w:t>he combined impact of the fiscal policy, private demand and labor market on domestic prices will be deflationary, 1.</w:t>
      </w:r>
      <w:r w:rsidR="00AF61E4" w:rsidRPr="00320DDF">
        <w:rPr>
          <w:rFonts w:ascii="Garamond" w:hAnsi="Garamond"/>
          <w:b/>
          <w:bCs/>
          <w:iCs/>
          <w:sz w:val="22"/>
          <w:szCs w:val="22"/>
        </w:rPr>
        <w:t>0</w:t>
      </w:r>
      <w:r w:rsidRPr="00320DDF">
        <w:rPr>
          <w:rFonts w:ascii="Garamond" w:hAnsi="Garamond"/>
          <w:b/>
          <w:bCs/>
          <w:iCs/>
          <w:sz w:val="22"/>
          <w:szCs w:val="22"/>
        </w:rPr>
        <w:t>-1.</w:t>
      </w:r>
      <w:r w:rsidR="00AF61E4" w:rsidRPr="00320DDF">
        <w:rPr>
          <w:rFonts w:ascii="Garamond" w:hAnsi="Garamond"/>
          <w:b/>
          <w:bCs/>
          <w:iCs/>
          <w:sz w:val="22"/>
          <w:szCs w:val="22"/>
        </w:rPr>
        <w:t>2 pp on average, and net external demand’s impact, 0.3-0.5 pp inflationary.</w:t>
      </w:r>
    </w:p>
    <w:p w14:paraId="37DE0C6F" w14:textId="77777777" w:rsidR="00BC6F44" w:rsidRPr="00320DDF" w:rsidRDefault="00BC6F44" w:rsidP="00840DC1">
      <w:pPr>
        <w:spacing w:line="360" w:lineRule="auto"/>
        <w:jc w:val="both"/>
        <w:rPr>
          <w:rFonts w:ascii="Garamond" w:hAnsi="Garamond"/>
          <w:b/>
          <w:bCs/>
          <w:iCs/>
          <w:sz w:val="22"/>
          <w:szCs w:val="22"/>
        </w:rPr>
      </w:pPr>
    </w:p>
    <w:p w14:paraId="5C8FDD2F" w14:textId="77777777" w:rsidR="00A70330" w:rsidRPr="00320DDF" w:rsidRDefault="004143E4" w:rsidP="00840DC1">
      <w:pPr>
        <w:spacing w:line="360" w:lineRule="auto"/>
        <w:jc w:val="both"/>
        <w:rPr>
          <w:rFonts w:ascii="Garamond" w:hAnsi="Garamond"/>
          <w:b/>
          <w:bCs/>
          <w:iCs/>
          <w:sz w:val="22"/>
          <w:szCs w:val="22"/>
        </w:rPr>
      </w:pPr>
      <w:r w:rsidRPr="00320DDF">
        <w:rPr>
          <w:rFonts w:ascii="Garamond" w:hAnsi="Garamond"/>
          <w:b/>
          <w:bCs/>
          <w:iCs/>
          <w:sz w:val="22"/>
          <w:szCs w:val="22"/>
        </w:rPr>
        <w:t xml:space="preserve">Driven by </w:t>
      </w:r>
      <w:r w:rsidR="00BC6F44" w:rsidRPr="00320DDF">
        <w:rPr>
          <w:rFonts w:ascii="Garamond" w:hAnsi="Garamond"/>
          <w:b/>
          <w:bCs/>
          <w:iCs/>
          <w:sz w:val="22"/>
          <w:szCs w:val="22"/>
        </w:rPr>
        <w:t>improv</w:t>
      </w:r>
      <w:r w:rsidRPr="00320DDF">
        <w:rPr>
          <w:rFonts w:ascii="Garamond" w:hAnsi="Garamond"/>
          <w:b/>
          <w:bCs/>
          <w:iCs/>
          <w:sz w:val="22"/>
          <w:szCs w:val="22"/>
        </w:rPr>
        <w:t>ing e</w:t>
      </w:r>
      <w:r w:rsidR="00BC6F44" w:rsidRPr="00320DDF">
        <w:rPr>
          <w:rFonts w:ascii="Garamond" w:hAnsi="Garamond"/>
          <w:b/>
          <w:bCs/>
          <w:iCs/>
          <w:sz w:val="22"/>
          <w:szCs w:val="22"/>
        </w:rPr>
        <w:t>conomic conditions in both external and domestic sectors</w:t>
      </w:r>
      <w:r w:rsidRPr="00320DDF">
        <w:rPr>
          <w:rFonts w:ascii="Garamond" w:hAnsi="Garamond"/>
          <w:b/>
          <w:bCs/>
          <w:iCs/>
          <w:sz w:val="22"/>
          <w:szCs w:val="22"/>
        </w:rPr>
        <w:t>,</w:t>
      </w:r>
      <w:r w:rsidR="00BC6F44" w:rsidRPr="00320DDF">
        <w:rPr>
          <w:rFonts w:ascii="Garamond" w:hAnsi="Garamond"/>
          <w:b/>
          <w:bCs/>
          <w:iCs/>
          <w:sz w:val="22"/>
          <w:szCs w:val="22"/>
        </w:rPr>
        <w:t xml:space="preserve"> </w:t>
      </w:r>
      <w:r w:rsidR="00840DC1" w:rsidRPr="00320DDF">
        <w:rPr>
          <w:rFonts w:ascii="Garamond" w:hAnsi="Garamond"/>
          <w:b/>
          <w:bCs/>
          <w:iCs/>
          <w:sz w:val="22"/>
          <w:szCs w:val="22"/>
        </w:rPr>
        <w:t xml:space="preserve">the aggregate demand will </w:t>
      </w:r>
      <w:r w:rsidRPr="00320DDF">
        <w:rPr>
          <w:rFonts w:ascii="Garamond" w:hAnsi="Garamond"/>
          <w:b/>
          <w:bCs/>
          <w:iCs/>
          <w:sz w:val="22"/>
          <w:szCs w:val="22"/>
        </w:rPr>
        <w:t xml:space="preserve">continue </w:t>
      </w:r>
      <w:r w:rsidR="00840DC1" w:rsidRPr="00320DDF">
        <w:rPr>
          <w:rFonts w:ascii="Garamond" w:hAnsi="Garamond"/>
          <w:b/>
          <w:bCs/>
          <w:iCs/>
          <w:sz w:val="22"/>
          <w:szCs w:val="22"/>
        </w:rPr>
        <w:t>recover</w:t>
      </w:r>
      <w:r w:rsidRPr="00320DDF">
        <w:rPr>
          <w:rFonts w:ascii="Garamond" w:hAnsi="Garamond"/>
          <w:b/>
          <w:bCs/>
          <w:iCs/>
          <w:sz w:val="22"/>
          <w:szCs w:val="22"/>
        </w:rPr>
        <w:t>ing with a positive gap. In the outcome, s</w:t>
      </w:r>
      <w:r w:rsidR="00A70330" w:rsidRPr="00320DDF">
        <w:rPr>
          <w:rFonts w:ascii="Garamond" w:hAnsi="Garamond"/>
          <w:b/>
          <w:bCs/>
          <w:iCs/>
          <w:sz w:val="22"/>
          <w:szCs w:val="22"/>
        </w:rPr>
        <w:t xml:space="preserve">tarting from the </w:t>
      </w:r>
      <w:r w:rsidR="007845A6" w:rsidRPr="00320DDF">
        <w:rPr>
          <w:rFonts w:ascii="Garamond" w:hAnsi="Garamond"/>
          <w:b/>
          <w:bCs/>
          <w:iCs/>
          <w:sz w:val="22"/>
          <w:szCs w:val="22"/>
        </w:rPr>
        <w:t xml:space="preserve">second quarter </w:t>
      </w:r>
      <w:r w:rsidR="00A70330" w:rsidRPr="00320DDF">
        <w:rPr>
          <w:rFonts w:ascii="Garamond" w:hAnsi="Garamond"/>
          <w:b/>
          <w:bCs/>
          <w:iCs/>
          <w:sz w:val="22"/>
          <w:szCs w:val="22"/>
        </w:rPr>
        <w:t>of 201</w:t>
      </w:r>
      <w:r w:rsidR="007845A6" w:rsidRPr="00320DDF">
        <w:rPr>
          <w:rFonts w:ascii="Garamond" w:hAnsi="Garamond"/>
          <w:b/>
          <w:bCs/>
          <w:iCs/>
          <w:sz w:val="22"/>
          <w:szCs w:val="22"/>
        </w:rPr>
        <w:t>8</w:t>
      </w:r>
      <w:r w:rsidR="00A70330" w:rsidRPr="00320DDF">
        <w:rPr>
          <w:rFonts w:ascii="Garamond" w:hAnsi="Garamond"/>
          <w:b/>
          <w:bCs/>
          <w:iCs/>
          <w:sz w:val="22"/>
          <w:szCs w:val="22"/>
        </w:rPr>
        <w:t xml:space="preserve"> up until the e</w:t>
      </w:r>
      <w:r w:rsidR="001D74AC" w:rsidRPr="00320DDF">
        <w:rPr>
          <w:rFonts w:ascii="Garamond" w:hAnsi="Garamond"/>
          <w:b/>
          <w:bCs/>
          <w:iCs/>
          <w:sz w:val="22"/>
          <w:szCs w:val="22"/>
        </w:rPr>
        <w:t xml:space="preserve">nd of the forecast horizon, the </w:t>
      </w:r>
      <w:r w:rsidR="00A70330" w:rsidRPr="00320DDF">
        <w:rPr>
          <w:rFonts w:ascii="Garamond" w:hAnsi="Garamond"/>
          <w:b/>
          <w:bCs/>
          <w:iCs/>
          <w:sz w:val="22"/>
          <w:szCs w:val="22"/>
        </w:rPr>
        <w:t xml:space="preserve">overall aggregate demand and labor </w:t>
      </w:r>
      <w:r w:rsidR="00A70330" w:rsidRPr="00320DDF">
        <w:rPr>
          <w:rFonts w:ascii="Garamond" w:hAnsi="Garamond"/>
          <w:b/>
          <w:bCs/>
          <w:iCs/>
          <w:sz w:val="22"/>
          <w:szCs w:val="22"/>
        </w:rPr>
        <w:lastRenderedPageBreak/>
        <w:t xml:space="preserve">market </w:t>
      </w:r>
      <w:r w:rsidR="001D74AC" w:rsidRPr="00320DDF">
        <w:rPr>
          <w:rFonts w:ascii="Garamond" w:hAnsi="Garamond"/>
          <w:b/>
          <w:bCs/>
          <w:iCs/>
          <w:sz w:val="22"/>
          <w:szCs w:val="22"/>
        </w:rPr>
        <w:t xml:space="preserve">will create </w:t>
      </w:r>
      <w:r w:rsidR="00037273" w:rsidRPr="00320DDF">
        <w:rPr>
          <w:rFonts w:ascii="Garamond" w:hAnsi="Garamond"/>
          <w:b/>
          <w:bCs/>
          <w:iCs/>
          <w:sz w:val="22"/>
          <w:szCs w:val="22"/>
        </w:rPr>
        <w:t>an average 0</w:t>
      </w:r>
      <w:r w:rsidR="007845A6" w:rsidRPr="00320DDF">
        <w:rPr>
          <w:rFonts w:ascii="Garamond" w:hAnsi="Garamond"/>
          <w:b/>
          <w:bCs/>
          <w:iCs/>
          <w:sz w:val="22"/>
          <w:szCs w:val="22"/>
        </w:rPr>
        <w:t>.</w:t>
      </w:r>
      <w:r w:rsidRPr="00320DDF">
        <w:rPr>
          <w:rFonts w:ascii="Garamond" w:hAnsi="Garamond"/>
          <w:b/>
          <w:bCs/>
          <w:iCs/>
          <w:sz w:val="22"/>
          <w:szCs w:val="22"/>
        </w:rPr>
        <w:t>6</w:t>
      </w:r>
      <w:r w:rsidR="007845A6" w:rsidRPr="00320DDF">
        <w:rPr>
          <w:rFonts w:ascii="Garamond" w:hAnsi="Garamond"/>
          <w:b/>
          <w:bCs/>
          <w:iCs/>
          <w:sz w:val="22"/>
          <w:szCs w:val="22"/>
        </w:rPr>
        <w:t>-</w:t>
      </w:r>
      <w:r w:rsidRPr="00320DDF">
        <w:rPr>
          <w:rFonts w:ascii="Garamond" w:hAnsi="Garamond"/>
          <w:b/>
          <w:bCs/>
          <w:iCs/>
          <w:sz w:val="22"/>
          <w:szCs w:val="22"/>
        </w:rPr>
        <w:t>0</w:t>
      </w:r>
      <w:r w:rsidR="007845A6" w:rsidRPr="00320DDF">
        <w:rPr>
          <w:rFonts w:ascii="Garamond" w:hAnsi="Garamond"/>
          <w:b/>
          <w:bCs/>
          <w:iCs/>
          <w:sz w:val="22"/>
          <w:szCs w:val="22"/>
        </w:rPr>
        <w:t>.</w:t>
      </w:r>
      <w:r w:rsidRPr="00320DDF">
        <w:rPr>
          <w:rFonts w:ascii="Garamond" w:hAnsi="Garamond"/>
          <w:b/>
          <w:bCs/>
          <w:iCs/>
          <w:sz w:val="22"/>
          <w:szCs w:val="22"/>
        </w:rPr>
        <w:t>8</w:t>
      </w:r>
      <w:r w:rsidR="007845A6" w:rsidRPr="00320DDF">
        <w:rPr>
          <w:rFonts w:ascii="Garamond" w:hAnsi="Garamond"/>
          <w:b/>
          <w:bCs/>
          <w:iCs/>
          <w:sz w:val="22"/>
          <w:szCs w:val="22"/>
        </w:rPr>
        <w:t xml:space="preserve"> pp of </w:t>
      </w:r>
      <w:r w:rsidR="00A70330" w:rsidRPr="00320DDF">
        <w:rPr>
          <w:rFonts w:ascii="Garamond" w:hAnsi="Garamond"/>
          <w:b/>
          <w:bCs/>
          <w:iCs/>
          <w:sz w:val="22"/>
          <w:szCs w:val="22"/>
        </w:rPr>
        <w:t>inflation</w:t>
      </w:r>
      <w:r w:rsidR="001D74AC" w:rsidRPr="00320DDF">
        <w:rPr>
          <w:rFonts w:ascii="Garamond" w:hAnsi="Garamond"/>
          <w:b/>
          <w:bCs/>
          <w:iCs/>
          <w:sz w:val="22"/>
          <w:szCs w:val="22"/>
        </w:rPr>
        <w:t xml:space="preserve">ary </w:t>
      </w:r>
      <w:r w:rsidR="007845A6" w:rsidRPr="00320DDF">
        <w:rPr>
          <w:rFonts w:ascii="Garamond" w:hAnsi="Garamond"/>
          <w:b/>
          <w:bCs/>
          <w:iCs/>
          <w:sz w:val="22"/>
          <w:szCs w:val="22"/>
        </w:rPr>
        <w:t>impact</w:t>
      </w:r>
      <w:r w:rsidRPr="00320DDF">
        <w:rPr>
          <w:rFonts w:ascii="Garamond" w:hAnsi="Garamond"/>
          <w:b/>
          <w:bCs/>
          <w:iCs/>
          <w:sz w:val="22"/>
          <w:szCs w:val="22"/>
        </w:rPr>
        <w:t xml:space="preserve"> which is smaller in comparison with the previous forecast</w:t>
      </w:r>
      <w:r w:rsidR="00A70330" w:rsidRPr="00320DDF">
        <w:rPr>
          <w:rFonts w:ascii="Garamond" w:hAnsi="Garamond"/>
          <w:b/>
          <w:bCs/>
          <w:iCs/>
          <w:sz w:val="22"/>
          <w:szCs w:val="22"/>
        </w:rPr>
        <w:t>.</w:t>
      </w:r>
    </w:p>
    <w:p w14:paraId="16252C45" w14:textId="77777777" w:rsidR="00CE2FF3" w:rsidRPr="00320DDF" w:rsidRDefault="00CE2FF3" w:rsidP="001D74AC">
      <w:pPr>
        <w:tabs>
          <w:tab w:val="left" w:pos="5850"/>
        </w:tabs>
        <w:spacing w:line="360" w:lineRule="auto"/>
        <w:jc w:val="both"/>
        <w:rPr>
          <w:rFonts w:ascii="Garamond" w:hAnsi="Garamond"/>
          <w:b/>
          <w:bCs/>
          <w:iCs/>
          <w:sz w:val="22"/>
          <w:szCs w:val="22"/>
        </w:rPr>
      </w:pPr>
    </w:p>
    <w:p w14:paraId="2B1FFE87" w14:textId="77777777" w:rsidR="009B54D7" w:rsidRPr="00320DDF" w:rsidRDefault="00CE2FF3" w:rsidP="00CE2FF3">
      <w:pPr>
        <w:tabs>
          <w:tab w:val="left" w:pos="5850"/>
        </w:tabs>
        <w:spacing w:line="360" w:lineRule="auto"/>
        <w:jc w:val="both"/>
        <w:rPr>
          <w:rFonts w:ascii="Garamond" w:hAnsi="Garamond"/>
          <w:b/>
          <w:bCs/>
          <w:iCs/>
          <w:sz w:val="22"/>
          <w:szCs w:val="22"/>
        </w:rPr>
      </w:pPr>
      <w:r w:rsidRPr="00320DDF">
        <w:rPr>
          <w:rFonts w:ascii="Garamond" w:hAnsi="Garamond"/>
          <w:b/>
          <w:bCs/>
          <w:iCs/>
          <w:sz w:val="22"/>
          <w:szCs w:val="22"/>
        </w:rPr>
        <w:t>2.3. Inflation forecasts and monetary policy directions in 3-year forecast horizon</w:t>
      </w:r>
    </w:p>
    <w:p w14:paraId="05744202" w14:textId="77777777" w:rsidR="00CE2FF3" w:rsidRPr="00320DDF" w:rsidRDefault="00CE2FF3" w:rsidP="00CE2FF3">
      <w:pPr>
        <w:tabs>
          <w:tab w:val="left" w:pos="5850"/>
        </w:tabs>
        <w:spacing w:line="360" w:lineRule="auto"/>
        <w:jc w:val="both"/>
        <w:rPr>
          <w:rFonts w:ascii="Garamond" w:hAnsi="Garamond"/>
          <w:b/>
          <w:bCs/>
          <w:iCs/>
          <w:sz w:val="22"/>
          <w:szCs w:val="22"/>
        </w:rPr>
      </w:pPr>
    </w:p>
    <w:p w14:paraId="58150CB5" w14:textId="77777777" w:rsidR="00CE2FF3" w:rsidRPr="00320DDF" w:rsidRDefault="00AE1191" w:rsidP="00CE2FF3">
      <w:pPr>
        <w:tabs>
          <w:tab w:val="left" w:pos="5850"/>
        </w:tabs>
        <w:spacing w:line="360" w:lineRule="auto"/>
        <w:jc w:val="both"/>
        <w:rPr>
          <w:rFonts w:ascii="Garamond" w:hAnsi="Garamond" w:cs="Sylfaen"/>
          <w:sz w:val="22"/>
          <w:szCs w:val="22"/>
        </w:rPr>
      </w:pPr>
      <w:r w:rsidRPr="00320DDF">
        <w:rPr>
          <w:rFonts w:ascii="Garamond" w:hAnsi="Garamond" w:cs="Sylfaen"/>
          <w:sz w:val="22"/>
          <w:szCs w:val="22"/>
        </w:rPr>
        <w:t xml:space="preserve">In 2017, relative to the previous forecasts, moderate inflationary pressures from the external sector are likely as </w:t>
      </w:r>
      <w:r w:rsidR="00CD29E8" w:rsidRPr="00320DDF">
        <w:rPr>
          <w:rFonts w:ascii="Garamond" w:hAnsi="Garamond" w:cs="Sylfaen"/>
          <w:sz w:val="22"/>
          <w:szCs w:val="22"/>
        </w:rPr>
        <w:t xml:space="preserve">the global demand </w:t>
      </w:r>
      <w:r w:rsidRPr="00320DDF">
        <w:rPr>
          <w:rFonts w:ascii="Garamond" w:hAnsi="Garamond" w:cs="Sylfaen"/>
          <w:sz w:val="22"/>
          <w:szCs w:val="22"/>
        </w:rPr>
        <w:t xml:space="preserve">recovers slightly faster and inflationary patterns </w:t>
      </w:r>
      <w:r w:rsidR="006427EB" w:rsidRPr="00320DDF">
        <w:rPr>
          <w:rFonts w:ascii="Garamond" w:hAnsi="Garamond" w:cs="Sylfaen"/>
          <w:sz w:val="22"/>
          <w:szCs w:val="22"/>
        </w:rPr>
        <w:t xml:space="preserve">continue to be seen </w:t>
      </w:r>
      <w:r w:rsidRPr="00320DDF">
        <w:rPr>
          <w:rFonts w:ascii="Garamond" w:hAnsi="Garamond" w:cs="Sylfaen"/>
          <w:sz w:val="22"/>
          <w:szCs w:val="22"/>
        </w:rPr>
        <w:t>in international markets of commodities and food products.</w:t>
      </w:r>
      <w:r w:rsidR="00CD29E8" w:rsidRPr="00320DDF">
        <w:rPr>
          <w:rFonts w:ascii="Garamond" w:hAnsi="Garamond" w:cs="Sylfaen"/>
          <w:sz w:val="22"/>
          <w:szCs w:val="22"/>
        </w:rPr>
        <w:t xml:space="preserve"> </w:t>
      </w:r>
      <w:r w:rsidR="008977BC" w:rsidRPr="00320DDF">
        <w:rPr>
          <w:rFonts w:ascii="Garamond" w:hAnsi="Garamond" w:cs="Sylfaen"/>
          <w:sz w:val="22"/>
          <w:szCs w:val="22"/>
        </w:rPr>
        <w:t>I</w:t>
      </w:r>
      <w:r w:rsidR="00AD644C" w:rsidRPr="00320DDF">
        <w:rPr>
          <w:rFonts w:ascii="Garamond" w:hAnsi="Garamond" w:cs="Sylfaen"/>
          <w:sz w:val="22"/>
          <w:szCs w:val="22"/>
        </w:rPr>
        <w:t>n the meantime,</w:t>
      </w:r>
      <w:r w:rsidR="008977BC" w:rsidRPr="00320DDF">
        <w:rPr>
          <w:rFonts w:ascii="Garamond" w:hAnsi="Garamond" w:cs="Sylfaen"/>
          <w:sz w:val="22"/>
          <w:szCs w:val="22"/>
        </w:rPr>
        <w:t xml:space="preserve"> </w:t>
      </w:r>
      <w:r w:rsidR="006427EB" w:rsidRPr="00320DDF">
        <w:rPr>
          <w:rFonts w:ascii="Garamond" w:hAnsi="Garamond" w:cs="Sylfaen"/>
          <w:sz w:val="22"/>
          <w:szCs w:val="22"/>
        </w:rPr>
        <w:t xml:space="preserve">the risks and uncertainties about the future pace of the world economy as outlined in previous forecasts generally persisted. </w:t>
      </w:r>
    </w:p>
    <w:p w14:paraId="3A956E9F" w14:textId="77777777" w:rsidR="006427EB" w:rsidRPr="00320DDF" w:rsidRDefault="006427EB" w:rsidP="00CE2FF3">
      <w:pPr>
        <w:tabs>
          <w:tab w:val="left" w:pos="5850"/>
        </w:tabs>
        <w:spacing w:line="360" w:lineRule="auto"/>
        <w:jc w:val="both"/>
        <w:rPr>
          <w:rFonts w:ascii="Garamond" w:hAnsi="Garamond" w:cs="Sylfaen"/>
          <w:sz w:val="22"/>
          <w:szCs w:val="22"/>
        </w:rPr>
      </w:pPr>
    </w:p>
    <w:p w14:paraId="11C18EB3" w14:textId="77777777" w:rsidR="006427EB" w:rsidRPr="00320DDF" w:rsidRDefault="00EA2166" w:rsidP="00CE2FF3">
      <w:pPr>
        <w:tabs>
          <w:tab w:val="left" w:pos="5850"/>
        </w:tabs>
        <w:spacing w:line="360" w:lineRule="auto"/>
        <w:jc w:val="both"/>
        <w:rPr>
          <w:rFonts w:ascii="Garamond" w:hAnsi="Garamond"/>
          <w:sz w:val="22"/>
          <w:szCs w:val="22"/>
        </w:rPr>
      </w:pPr>
      <w:r w:rsidRPr="00320DDF">
        <w:rPr>
          <w:rFonts w:ascii="Garamond" w:hAnsi="Garamond"/>
          <w:sz w:val="22"/>
          <w:szCs w:val="22"/>
        </w:rPr>
        <w:t xml:space="preserve">With </w:t>
      </w:r>
      <w:r w:rsidR="006427EB" w:rsidRPr="00320DDF">
        <w:rPr>
          <w:rFonts w:ascii="Garamond" w:hAnsi="Garamond"/>
          <w:sz w:val="22"/>
          <w:szCs w:val="22"/>
        </w:rPr>
        <w:t>the Russian economy recover</w:t>
      </w:r>
      <w:r w:rsidRPr="00320DDF">
        <w:rPr>
          <w:rFonts w:ascii="Garamond" w:hAnsi="Garamond"/>
          <w:sz w:val="22"/>
          <w:szCs w:val="22"/>
        </w:rPr>
        <w:t>ing</w:t>
      </w:r>
      <w:r w:rsidR="006427EB" w:rsidRPr="00320DDF">
        <w:rPr>
          <w:rFonts w:ascii="Garamond" w:hAnsi="Garamond"/>
          <w:sz w:val="22"/>
          <w:szCs w:val="22"/>
        </w:rPr>
        <w:t xml:space="preserve"> and the ruble appreciat</w:t>
      </w:r>
      <w:r w:rsidRPr="00320DDF">
        <w:rPr>
          <w:rFonts w:ascii="Garamond" w:hAnsi="Garamond"/>
          <w:sz w:val="22"/>
          <w:szCs w:val="22"/>
        </w:rPr>
        <w:t xml:space="preserve">ing </w:t>
      </w:r>
      <w:r w:rsidR="006427EB" w:rsidRPr="00320DDF">
        <w:rPr>
          <w:rFonts w:ascii="Garamond" w:hAnsi="Garamond"/>
          <w:sz w:val="22"/>
          <w:szCs w:val="22"/>
        </w:rPr>
        <w:t xml:space="preserve">vis-à-vis the US dollar, the first quarter of 2017 saw </w:t>
      </w:r>
      <w:r w:rsidR="005A7839" w:rsidRPr="00320DDF">
        <w:rPr>
          <w:rFonts w:ascii="Garamond" w:hAnsi="Garamond"/>
          <w:sz w:val="22"/>
          <w:szCs w:val="22"/>
        </w:rPr>
        <w:t>a strong growth in the</w:t>
      </w:r>
      <w:r w:rsidR="006427EB" w:rsidRPr="00320DDF">
        <w:rPr>
          <w:rFonts w:ascii="Garamond" w:hAnsi="Garamond"/>
          <w:sz w:val="22"/>
          <w:szCs w:val="22"/>
        </w:rPr>
        <w:t xml:space="preserve"> </w:t>
      </w:r>
      <w:r w:rsidR="006427EB" w:rsidRPr="00320DDF">
        <w:rPr>
          <w:rFonts w:ascii="Garamond" w:hAnsi="Garamond"/>
          <w:b/>
          <w:sz w:val="22"/>
          <w:szCs w:val="22"/>
        </w:rPr>
        <w:t>dollar value of</w:t>
      </w:r>
      <w:r w:rsidR="006427EB" w:rsidRPr="00320DDF">
        <w:rPr>
          <w:rFonts w:ascii="Garamond" w:hAnsi="Garamond"/>
          <w:b/>
          <w:sz w:val="22"/>
          <w:szCs w:val="22"/>
          <w:lang w:val="hy-AM"/>
        </w:rPr>
        <w:t xml:space="preserve"> </w:t>
      </w:r>
      <w:r w:rsidR="006427EB" w:rsidRPr="00320DDF">
        <w:rPr>
          <w:rFonts w:ascii="Garamond" w:hAnsi="Garamond"/>
          <w:b/>
          <w:sz w:val="22"/>
          <w:szCs w:val="22"/>
        </w:rPr>
        <w:t>net inflow of private remittances and seasonal worker pays growing strongly</w:t>
      </w:r>
      <w:r w:rsidRPr="00320DDF">
        <w:rPr>
          <w:rFonts w:ascii="Garamond" w:hAnsi="Garamond"/>
          <w:b/>
          <w:sz w:val="22"/>
          <w:szCs w:val="22"/>
        </w:rPr>
        <w:t xml:space="preserve"> </w:t>
      </w:r>
      <w:r w:rsidRPr="00320DDF">
        <w:rPr>
          <w:rFonts w:ascii="Garamond" w:hAnsi="Garamond"/>
          <w:sz w:val="22"/>
          <w:szCs w:val="22"/>
        </w:rPr>
        <w:t xml:space="preserve">which is forecast in the range of 14-16% in 2017. </w:t>
      </w:r>
      <w:r w:rsidR="006427EB" w:rsidRPr="00320DDF">
        <w:rPr>
          <w:rFonts w:ascii="Garamond" w:hAnsi="Garamond"/>
          <w:sz w:val="22"/>
          <w:szCs w:val="22"/>
        </w:rPr>
        <w:t xml:space="preserve">Under such conditions, the real private transfers </w:t>
      </w:r>
      <w:r w:rsidRPr="00320DDF">
        <w:rPr>
          <w:rFonts w:ascii="Garamond" w:hAnsi="Garamond"/>
          <w:sz w:val="22"/>
          <w:szCs w:val="22"/>
        </w:rPr>
        <w:t>gap in the first quarter of 2017 is estimated as positive</w:t>
      </w:r>
      <w:r w:rsidR="005A7839" w:rsidRPr="00320DDF">
        <w:rPr>
          <w:rFonts w:ascii="Garamond" w:hAnsi="Garamond"/>
          <w:sz w:val="22"/>
          <w:szCs w:val="22"/>
        </w:rPr>
        <w:t xml:space="preserve">, </w:t>
      </w:r>
      <w:r w:rsidR="00470096">
        <w:rPr>
          <w:rFonts w:ascii="Garamond" w:hAnsi="Garamond"/>
          <w:sz w:val="22"/>
          <w:szCs w:val="22"/>
        </w:rPr>
        <w:t xml:space="preserve">which </w:t>
      </w:r>
      <w:r w:rsidR="005A7839" w:rsidRPr="00320DDF">
        <w:rPr>
          <w:rFonts w:ascii="Garamond" w:hAnsi="Garamond"/>
          <w:sz w:val="22"/>
          <w:szCs w:val="22"/>
        </w:rPr>
        <w:t>is higher from previous expectations.</w:t>
      </w:r>
    </w:p>
    <w:p w14:paraId="498C20B3" w14:textId="77777777" w:rsidR="005A7839" w:rsidRPr="00320DDF" w:rsidRDefault="005A7839" w:rsidP="00CE2FF3">
      <w:pPr>
        <w:tabs>
          <w:tab w:val="left" w:pos="5850"/>
        </w:tabs>
        <w:spacing w:line="360" w:lineRule="auto"/>
        <w:jc w:val="both"/>
        <w:rPr>
          <w:rFonts w:ascii="Garamond" w:hAnsi="Garamond"/>
          <w:sz w:val="22"/>
          <w:szCs w:val="22"/>
        </w:rPr>
      </w:pPr>
    </w:p>
    <w:p w14:paraId="1FCF4B4C" w14:textId="77777777" w:rsidR="000C3992" w:rsidRPr="00320DDF" w:rsidRDefault="005A7839" w:rsidP="00CE2FF3">
      <w:pPr>
        <w:tabs>
          <w:tab w:val="left" w:pos="5850"/>
        </w:tabs>
        <w:spacing w:line="360" w:lineRule="auto"/>
        <w:jc w:val="both"/>
        <w:rPr>
          <w:rFonts w:ascii="Garamond" w:hAnsi="Garamond" w:cs="Sylfaen"/>
          <w:color w:val="000000"/>
          <w:sz w:val="22"/>
          <w:szCs w:val="22"/>
        </w:rPr>
      </w:pPr>
      <w:r w:rsidRPr="00320DDF">
        <w:rPr>
          <w:rFonts w:ascii="Garamond" w:hAnsi="Garamond" w:cs="Sylfaen"/>
          <w:color w:val="000000"/>
          <w:sz w:val="22"/>
          <w:szCs w:val="22"/>
        </w:rPr>
        <w:t xml:space="preserve">The economic growth rate published for the period January-December 2016 has been </w:t>
      </w:r>
      <w:r w:rsidRPr="00320DDF">
        <w:rPr>
          <w:rFonts w:ascii="Garamond" w:hAnsi="Garamond" w:cs="Sylfaen"/>
          <w:b/>
          <w:color w:val="000000"/>
          <w:sz w:val="22"/>
          <w:szCs w:val="22"/>
        </w:rPr>
        <w:t>0.2%</w:t>
      </w:r>
      <w:r w:rsidRPr="00320DDF">
        <w:rPr>
          <w:rFonts w:ascii="Garamond" w:hAnsi="Garamond" w:cs="Sylfaen"/>
          <w:color w:val="000000"/>
          <w:sz w:val="22"/>
          <w:szCs w:val="22"/>
        </w:rPr>
        <w:t xml:space="preserve">, which is in line with </w:t>
      </w:r>
      <w:r w:rsidR="004B6914" w:rsidRPr="00320DDF">
        <w:rPr>
          <w:rFonts w:ascii="Garamond" w:hAnsi="Garamond" w:cs="Sylfaen"/>
          <w:color w:val="000000"/>
          <w:sz w:val="22"/>
          <w:szCs w:val="22"/>
        </w:rPr>
        <w:t xml:space="preserve">previous estimates by </w:t>
      </w:r>
      <w:r w:rsidRPr="00320DDF">
        <w:rPr>
          <w:rFonts w:ascii="Garamond" w:hAnsi="Garamond" w:cs="Sylfaen"/>
          <w:color w:val="000000"/>
          <w:sz w:val="22"/>
          <w:szCs w:val="22"/>
        </w:rPr>
        <w:t xml:space="preserve">the Central Bank. </w:t>
      </w:r>
      <w:r w:rsidR="00C56A1B" w:rsidRPr="00320DDF">
        <w:rPr>
          <w:rFonts w:ascii="Garamond" w:hAnsi="Garamond" w:cs="Sylfaen"/>
          <w:color w:val="000000"/>
          <w:sz w:val="22"/>
          <w:szCs w:val="22"/>
        </w:rPr>
        <w:t xml:space="preserve">The economic activity indicator in the first quarter of 2017 was 6.6% </w:t>
      </w:r>
      <w:r w:rsidR="00A65F4C" w:rsidRPr="00320DDF">
        <w:rPr>
          <w:rFonts w:ascii="Garamond" w:hAnsi="Garamond" w:cs="Sylfaen"/>
          <w:color w:val="000000"/>
          <w:sz w:val="22"/>
          <w:szCs w:val="22"/>
        </w:rPr>
        <w:t xml:space="preserve">driven primarily by growth reported in </w:t>
      </w:r>
      <w:r w:rsidR="00C56A1B" w:rsidRPr="00320DDF">
        <w:rPr>
          <w:rFonts w:ascii="Garamond" w:hAnsi="Garamond" w:cs="Sylfaen"/>
          <w:color w:val="000000"/>
          <w:sz w:val="22"/>
          <w:szCs w:val="22"/>
        </w:rPr>
        <w:t xml:space="preserve">services, trade and </w:t>
      </w:r>
      <w:r w:rsidR="00A65F4C" w:rsidRPr="00320DDF">
        <w:rPr>
          <w:rFonts w:ascii="Garamond" w:hAnsi="Garamond" w:cs="Sylfaen"/>
          <w:color w:val="000000"/>
          <w:sz w:val="22"/>
          <w:szCs w:val="22"/>
        </w:rPr>
        <w:t>i</w:t>
      </w:r>
      <w:r w:rsidR="00C56A1B" w:rsidRPr="00320DDF">
        <w:rPr>
          <w:rFonts w:ascii="Garamond" w:hAnsi="Garamond" w:cs="Sylfaen"/>
          <w:color w:val="000000"/>
          <w:sz w:val="22"/>
          <w:szCs w:val="22"/>
        </w:rPr>
        <w:t>ndustr</w:t>
      </w:r>
      <w:r w:rsidR="00A65F4C" w:rsidRPr="00320DDF">
        <w:rPr>
          <w:rFonts w:ascii="Garamond" w:hAnsi="Garamond" w:cs="Sylfaen"/>
          <w:color w:val="000000"/>
          <w:sz w:val="22"/>
          <w:szCs w:val="22"/>
        </w:rPr>
        <w:t>y sectors</w:t>
      </w:r>
      <w:r w:rsidR="00C56A1B" w:rsidRPr="00320DDF">
        <w:rPr>
          <w:rFonts w:ascii="Garamond" w:hAnsi="Garamond" w:cs="Sylfaen"/>
          <w:color w:val="000000"/>
          <w:sz w:val="22"/>
          <w:szCs w:val="22"/>
        </w:rPr>
        <w:t>. In this c</w:t>
      </w:r>
      <w:r w:rsidR="00A65F4C" w:rsidRPr="00320DDF">
        <w:rPr>
          <w:rFonts w:ascii="Garamond" w:hAnsi="Garamond" w:cs="Sylfaen"/>
          <w:color w:val="000000"/>
          <w:sz w:val="22"/>
          <w:szCs w:val="22"/>
        </w:rPr>
        <w:t xml:space="preserve">ircumstance, the </w:t>
      </w:r>
      <w:r w:rsidR="00C56A1B" w:rsidRPr="00320DDF">
        <w:rPr>
          <w:rFonts w:ascii="Garamond" w:hAnsi="Garamond" w:cs="Sylfaen"/>
          <w:color w:val="000000"/>
          <w:sz w:val="22"/>
          <w:szCs w:val="22"/>
        </w:rPr>
        <w:t xml:space="preserve">economic growth </w:t>
      </w:r>
      <w:r w:rsidR="00A65F4C" w:rsidRPr="00320DDF">
        <w:rPr>
          <w:rFonts w:ascii="Garamond" w:hAnsi="Garamond" w:cs="Sylfaen"/>
          <w:color w:val="000000"/>
          <w:sz w:val="22"/>
          <w:szCs w:val="22"/>
        </w:rPr>
        <w:t xml:space="preserve">forecasts for the first quarter and entire year of 2017 </w:t>
      </w:r>
      <w:r w:rsidR="00C56A1B" w:rsidRPr="00320DDF">
        <w:rPr>
          <w:rFonts w:ascii="Garamond" w:hAnsi="Garamond" w:cs="Sylfaen"/>
          <w:color w:val="000000"/>
          <w:sz w:val="22"/>
          <w:szCs w:val="22"/>
        </w:rPr>
        <w:t>have been revised up</w:t>
      </w:r>
      <w:r w:rsidR="00A65F4C" w:rsidRPr="00320DDF">
        <w:rPr>
          <w:rFonts w:ascii="Garamond" w:hAnsi="Garamond" w:cs="Sylfaen"/>
          <w:color w:val="000000"/>
          <w:sz w:val="22"/>
          <w:szCs w:val="22"/>
        </w:rPr>
        <w:t>side</w:t>
      </w:r>
      <w:r w:rsidR="00C56A1B" w:rsidRPr="00320DDF">
        <w:rPr>
          <w:rFonts w:ascii="Garamond" w:hAnsi="Garamond" w:cs="Sylfaen"/>
          <w:color w:val="000000"/>
          <w:sz w:val="22"/>
          <w:szCs w:val="22"/>
        </w:rPr>
        <w:t xml:space="preserve">. According to current estimates, the </w:t>
      </w:r>
      <w:r w:rsidR="000C3992" w:rsidRPr="00320DDF">
        <w:rPr>
          <w:rFonts w:ascii="Garamond" w:hAnsi="Garamond" w:cs="Sylfaen"/>
          <w:color w:val="000000"/>
          <w:sz w:val="22"/>
          <w:szCs w:val="22"/>
        </w:rPr>
        <w:t xml:space="preserve">year’s </w:t>
      </w:r>
      <w:r w:rsidR="00C56A1B" w:rsidRPr="00320DDF">
        <w:rPr>
          <w:rFonts w:ascii="Garamond" w:hAnsi="Garamond" w:cs="Sylfaen"/>
          <w:color w:val="000000"/>
          <w:sz w:val="22"/>
          <w:szCs w:val="22"/>
        </w:rPr>
        <w:t xml:space="preserve">economic growth will be </w:t>
      </w:r>
      <w:r w:rsidR="000C3992" w:rsidRPr="00320DDF">
        <w:rPr>
          <w:rFonts w:ascii="Garamond" w:hAnsi="Garamond" w:cs="Sylfaen"/>
          <w:color w:val="000000"/>
          <w:sz w:val="22"/>
          <w:szCs w:val="22"/>
        </w:rPr>
        <w:t xml:space="preserve">in the range of </w:t>
      </w:r>
      <w:r w:rsidR="00C56A1B" w:rsidRPr="00320DDF">
        <w:rPr>
          <w:rFonts w:ascii="Garamond" w:hAnsi="Garamond" w:cs="Sylfaen"/>
          <w:color w:val="000000"/>
          <w:sz w:val="22"/>
          <w:szCs w:val="22"/>
        </w:rPr>
        <w:t>3.3-4.8</w:t>
      </w:r>
      <w:r w:rsidR="000C3992" w:rsidRPr="00320DDF">
        <w:rPr>
          <w:rFonts w:ascii="Garamond" w:hAnsi="Garamond" w:cs="Sylfaen"/>
          <w:color w:val="000000"/>
          <w:sz w:val="22"/>
          <w:szCs w:val="22"/>
        </w:rPr>
        <w:t>%</w:t>
      </w:r>
      <w:r w:rsidR="00C56A1B" w:rsidRPr="00320DDF">
        <w:rPr>
          <w:rFonts w:ascii="Garamond" w:hAnsi="Garamond" w:cs="Sylfaen"/>
          <w:color w:val="000000"/>
          <w:sz w:val="22"/>
          <w:szCs w:val="22"/>
        </w:rPr>
        <w:t xml:space="preserve">, </w:t>
      </w:r>
      <w:r w:rsidR="000C3992" w:rsidRPr="00320DDF">
        <w:rPr>
          <w:rFonts w:ascii="Garamond" w:hAnsi="Garamond" w:cs="Sylfaen"/>
          <w:color w:val="000000"/>
          <w:sz w:val="22"/>
          <w:szCs w:val="22"/>
        </w:rPr>
        <w:t xml:space="preserve">much above </w:t>
      </w:r>
      <w:r w:rsidR="00C56A1B" w:rsidRPr="00320DDF">
        <w:rPr>
          <w:rFonts w:ascii="Garamond" w:hAnsi="Garamond" w:cs="Sylfaen"/>
          <w:color w:val="000000"/>
          <w:sz w:val="22"/>
          <w:szCs w:val="22"/>
        </w:rPr>
        <w:t>th</w:t>
      </w:r>
      <w:r w:rsidR="000C3992" w:rsidRPr="00320DDF">
        <w:rPr>
          <w:rFonts w:ascii="Garamond" w:hAnsi="Garamond" w:cs="Sylfaen"/>
          <w:color w:val="000000"/>
          <w:sz w:val="22"/>
          <w:szCs w:val="22"/>
        </w:rPr>
        <w:t xml:space="preserve">e </w:t>
      </w:r>
      <w:r w:rsidR="00C56A1B" w:rsidRPr="00320DDF">
        <w:rPr>
          <w:rFonts w:ascii="Garamond" w:hAnsi="Garamond" w:cs="Sylfaen"/>
          <w:color w:val="000000"/>
          <w:sz w:val="22"/>
          <w:szCs w:val="22"/>
        </w:rPr>
        <w:t>previous estimates.</w:t>
      </w:r>
      <w:r w:rsidR="000C3992" w:rsidRPr="00320DDF">
        <w:rPr>
          <w:rFonts w:ascii="Garamond" w:hAnsi="Garamond" w:cs="Sylfaen"/>
          <w:color w:val="000000"/>
          <w:sz w:val="22"/>
          <w:szCs w:val="22"/>
        </w:rPr>
        <w:t xml:space="preserve"> </w:t>
      </w:r>
    </w:p>
    <w:p w14:paraId="6E885509" w14:textId="77777777" w:rsidR="00E91274" w:rsidRPr="00320DDF" w:rsidRDefault="00E91274" w:rsidP="00CE2FF3">
      <w:pPr>
        <w:tabs>
          <w:tab w:val="left" w:pos="5850"/>
        </w:tabs>
        <w:spacing w:line="360" w:lineRule="auto"/>
        <w:jc w:val="both"/>
        <w:rPr>
          <w:rFonts w:ascii="Garamond" w:hAnsi="Garamond" w:cs="Sylfaen"/>
          <w:color w:val="000000"/>
          <w:sz w:val="22"/>
          <w:szCs w:val="22"/>
        </w:rPr>
      </w:pPr>
    </w:p>
    <w:p w14:paraId="7F331D79" w14:textId="77777777" w:rsidR="00E91274" w:rsidRPr="00320DDF" w:rsidRDefault="00E91274" w:rsidP="00CE2FF3">
      <w:pPr>
        <w:tabs>
          <w:tab w:val="left" w:pos="5850"/>
        </w:tabs>
        <w:spacing w:line="360" w:lineRule="auto"/>
        <w:jc w:val="both"/>
        <w:rPr>
          <w:rFonts w:ascii="Garamond" w:hAnsi="Garamond" w:cs="Sylfaen"/>
          <w:color w:val="000000"/>
          <w:sz w:val="22"/>
          <w:szCs w:val="22"/>
        </w:rPr>
      </w:pPr>
      <w:r w:rsidRPr="00320DDF">
        <w:rPr>
          <w:rFonts w:ascii="Garamond" w:hAnsi="Garamond" w:cs="Sylfaen"/>
          <w:color w:val="000000"/>
          <w:sz w:val="22"/>
          <w:szCs w:val="22"/>
        </w:rPr>
        <w:t xml:space="preserve">It should be noted that the effect of expansionary monetary policy conducted in 2015-2016 further facilitates the recovery of domestic demand. As growth rates in remittances rebound and the services and lending volumes keep on increasing, the estimates of growth rates in private consumption </w:t>
      </w:r>
      <w:r w:rsidR="004B2020" w:rsidRPr="00320DDF">
        <w:rPr>
          <w:rFonts w:ascii="Garamond" w:hAnsi="Garamond" w:cs="Sylfaen"/>
          <w:color w:val="000000"/>
          <w:sz w:val="22"/>
          <w:szCs w:val="22"/>
        </w:rPr>
        <w:t>have been revised upside for the first quarter and entire year of 2017. On the other hand, projections denote a higher growth in investments in 2017 compared to previous forecasts</w:t>
      </w:r>
      <w:r w:rsidR="00A31E07" w:rsidRPr="00320DDF">
        <w:rPr>
          <w:rFonts w:ascii="Garamond" w:hAnsi="Garamond" w:cs="Sylfaen"/>
          <w:color w:val="000000"/>
          <w:sz w:val="22"/>
          <w:szCs w:val="22"/>
        </w:rPr>
        <w:t>,</w:t>
      </w:r>
      <w:r w:rsidR="004B2020" w:rsidRPr="00320DDF">
        <w:rPr>
          <w:rFonts w:ascii="Garamond" w:hAnsi="Garamond" w:cs="Sylfaen"/>
          <w:color w:val="000000"/>
          <w:sz w:val="22"/>
          <w:szCs w:val="22"/>
        </w:rPr>
        <w:t xml:space="preserve"> determined by a number of investment programs in the field of alternative energy, water management and other areas. In this case, </w:t>
      </w:r>
      <w:r w:rsidR="00A31E07" w:rsidRPr="00320DDF">
        <w:rPr>
          <w:rFonts w:ascii="Garamond" w:hAnsi="Garamond" w:cs="Sylfaen"/>
          <w:color w:val="000000"/>
          <w:sz w:val="22"/>
          <w:szCs w:val="22"/>
        </w:rPr>
        <w:t xml:space="preserve">the pace at which </w:t>
      </w:r>
      <w:r w:rsidR="004B2020" w:rsidRPr="00320DDF">
        <w:rPr>
          <w:rFonts w:ascii="Garamond" w:hAnsi="Garamond" w:cs="Sylfaen"/>
          <w:color w:val="000000"/>
          <w:sz w:val="22"/>
          <w:szCs w:val="22"/>
        </w:rPr>
        <w:t xml:space="preserve">private spending and domestic demand </w:t>
      </w:r>
      <w:r w:rsidR="00A31E07" w:rsidRPr="00320DDF">
        <w:rPr>
          <w:rFonts w:ascii="Garamond" w:hAnsi="Garamond" w:cs="Sylfaen"/>
          <w:color w:val="000000"/>
          <w:sz w:val="22"/>
          <w:szCs w:val="22"/>
        </w:rPr>
        <w:t xml:space="preserve">recovered during the quarter </w:t>
      </w:r>
      <w:r w:rsidR="004B2020" w:rsidRPr="00320DDF">
        <w:rPr>
          <w:rFonts w:ascii="Garamond" w:hAnsi="Garamond" w:cs="Sylfaen"/>
          <w:color w:val="000000"/>
          <w:sz w:val="22"/>
          <w:szCs w:val="22"/>
        </w:rPr>
        <w:t xml:space="preserve">has </w:t>
      </w:r>
      <w:r w:rsidR="00A31E07" w:rsidRPr="00320DDF">
        <w:rPr>
          <w:rFonts w:ascii="Garamond" w:hAnsi="Garamond" w:cs="Sylfaen"/>
          <w:color w:val="000000"/>
          <w:sz w:val="22"/>
          <w:szCs w:val="22"/>
        </w:rPr>
        <w:t xml:space="preserve">somewhat </w:t>
      </w:r>
      <w:r w:rsidR="004B2020" w:rsidRPr="00320DDF">
        <w:rPr>
          <w:rFonts w:ascii="Garamond" w:hAnsi="Garamond" w:cs="Sylfaen"/>
          <w:color w:val="000000"/>
          <w:sz w:val="22"/>
          <w:szCs w:val="22"/>
        </w:rPr>
        <w:t xml:space="preserve">accelerated compared to previous forecasts. Note also that </w:t>
      </w:r>
      <w:r w:rsidR="00A31E07" w:rsidRPr="00320DDF">
        <w:rPr>
          <w:rFonts w:ascii="Garamond" w:hAnsi="Garamond" w:cs="Sylfaen"/>
          <w:color w:val="000000"/>
          <w:sz w:val="22"/>
          <w:szCs w:val="22"/>
        </w:rPr>
        <w:t>real growth of export</w:t>
      </w:r>
      <w:r w:rsidR="004B2020" w:rsidRPr="00320DDF">
        <w:rPr>
          <w:rFonts w:ascii="Garamond" w:hAnsi="Garamond" w:cs="Sylfaen"/>
          <w:color w:val="000000"/>
          <w:sz w:val="22"/>
          <w:szCs w:val="22"/>
        </w:rPr>
        <w:t xml:space="preserve"> of goods and services </w:t>
      </w:r>
      <w:r w:rsidR="00A31E07" w:rsidRPr="00320DDF">
        <w:rPr>
          <w:rFonts w:ascii="Garamond" w:hAnsi="Garamond" w:cs="Sylfaen"/>
          <w:color w:val="000000"/>
          <w:sz w:val="22"/>
          <w:szCs w:val="22"/>
        </w:rPr>
        <w:t>in the first quarter of 2017 has been commensurate with previous forecasts</w:t>
      </w:r>
      <w:r w:rsidR="004B2020" w:rsidRPr="00320DDF">
        <w:rPr>
          <w:rFonts w:ascii="Garamond" w:hAnsi="Garamond" w:cs="Sylfaen"/>
          <w:color w:val="000000"/>
          <w:sz w:val="22"/>
          <w:szCs w:val="22"/>
        </w:rPr>
        <w:t xml:space="preserve">, while </w:t>
      </w:r>
      <w:r w:rsidR="00A31E07" w:rsidRPr="00320DDF">
        <w:rPr>
          <w:rFonts w:ascii="Garamond" w:hAnsi="Garamond" w:cs="Sylfaen"/>
          <w:color w:val="000000"/>
          <w:sz w:val="22"/>
          <w:szCs w:val="22"/>
        </w:rPr>
        <w:t xml:space="preserve">the </w:t>
      </w:r>
      <w:r w:rsidR="004B2020" w:rsidRPr="00320DDF">
        <w:rPr>
          <w:rFonts w:ascii="Garamond" w:hAnsi="Garamond" w:cs="Sylfaen"/>
          <w:color w:val="000000"/>
          <w:sz w:val="22"/>
          <w:szCs w:val="22"/>
        </w:rPr>
        <w:t xml:space="preserve">import </w:t>
      </w:r>
      <w:r w:rsidR="00A31E07" w:rsidRPr="00320DDF">
        <w:rPr>
          <w:rFonts w:ascii="Garamond" w:hAnsi="Garamond" w:cs="Sylfaen"/>
          <w:color w:val="000000"/>
          <w:sz w:val="22"/>
          <w:szCs w:val="22"/>
        </w:rPr>
        <w:t xml:space="preserve">indicators </w:t>
      </w:r>
      <w:r w:rsidR="004B2020" w:rsidRPr="00320DDF">
        <w:rPr>
          <w:rFonts w:ascii="Garamond" w:hAnsi="Garamond" w:cs="Sylfaen"/>
          <w:color w:val="000000"/>
          <w:sz w:val="22"/>
          <w:szCs w:val="22"/>
        </w:rPr>
        <w:t xml:space="preserve">exceeded </w:t>
      </w:r>
      <w:r w:rsidR="00A31E07" w:rsidRPr="00320DDF">
        <w:rPr>
          <w:rFonts w:ascii="Garamond" w:hAnsi="Garamond" w:cs="Sylfaen"/>
          <w:color w:val="000000"/>
          <w:sz w:val="22"/>
          <w:szCs w:val="22"/>
        </w:rPr>
        <w:t xml:space="preserve">the expectations. According to the </w:t>
      </w:r>
      <w:r w:rsidR="004B2020" w:rsidRPr="00320DDF">
        <w:rPr>
          <w:rFonts w:ascii="Garamond" w:hAnsi="Garamond" w:cs="Sylfaen"/>
          <w:color w:val="000000"/>
          <w:sz w:val="22"/>
          <w:szCs w:val="22"/>
        </w:rPr>
        <w:t>latest projections, the current account deficit</w:t>
      </w:r>
      <w:r w:rsidR="00A31E07" w:rsidRPr="00320DDF">
        <w:rPr>
          <w:rFonts w:ascii="Garamond" w:hAnsi="Garamond" w:cs="Sylfaen"/>
          <w:color w:val="000000"/>
          <w:sz w:val="22"/>
          <w:szCs w:val="22"/>
        </w:rPr>
        <w:t>-to-</w:t>
      </w:r>
      <w:r w:rsidR="004B2020" w:rsidRPr="00320DDF">
        <w:rPr>
          <w:rFonts w:ascii="Garamond" w:hAnsi="Garamond" w:cs="Sylfaen"/>
          <w:color w:val="000000"/>
          <w:sz w:val="22"/>
          <w:szCs w:val="22"/>
        </w:rPr>
        <w:t>GDP ratio will deteriorate</w:t>
      </w:r>
      <w:r w:rsidR="00A31E07" w:rsidRPr="00320DDF">
        <w:rPr>
          <w:rFonts w:ascii="Garamond" w:hAnsi="Garamond" w:cs="Sylfaen"/>
          <w:color w:val="000000"/>
          <w:sz w:val="22"/>
          <w:szCs w:val="22"/>
        </w:rPr>
        <w:t xml:space="preserve"> against </w:t>
      </w:r>
      <w:r w:rsidR="004B2020" w:rsidRPr="00320DDF">
        <w:rPr>
          <w:rFonts w:ascii="Garamond" w:hAnsi="Garamond" w:cs="Sylfaen"/>
          <w:color w:val="000000"/>
          <w:sz w:val="22"/>
          <w:szCs w:val="22"/>
        </w:rPr>
        <w:t>the previous forecast</w:t>
      </w:r>
      <w:r w:rsidR="00A31E07" w:rsidRPr="00320DDF">
        <w:rPr>
          <w:rFonts w:ascii="Garamond" w:hAnsi="Garamond" w:cs="Sylfaen"/>
          <w:color w:val="000000"/>
          <w:sz w:val="22"/>
          <w:szCs w:val="22"/>
        </w:rPr>
        <w:t xml:space="preserve"> to be in </w:t>
      </w:r>
      <w:r w:rsidR="004B2020" w:rsidRPr="00320DDF">
        <w:rPr>
          <w:rFonts w:ascii="Garamond" w:hAnsi="Garamond" w:cs="Sylfaen"/>
          <w:color w:val="000000"/>
          <w:sz w:val="22"/>
          <w:szCs w:val="22"/>
        </w:rPr>
        <w:t xml:space="preserve">the </w:t>
      </w:r>
      <w:r w:rsidR="00A31E07" w:rsidRPr="00320DDF">
        <w:rPr>
          <w:rFonts w:ascii="Garamond" w:hAnsi="Garamond" w:cs="Sylfaen"/>
          <w:color w:val="000000"/>
          <w:sz w:val="22"/>
          <w:szCs w:val="22"/>
        </w:rPr>
        <w:t xml:space="preserve">range of </w:t>
      </w:r>
      <w:r w:rsidR="004B2020" w:rsidRPr="00320DDF">
        <w:rPr>
          <w:rFonts w:ascii="Garamond" w:hAnsi="Garamond" w:cs="Sylfaen"/>
          <w:color w:val="000000"/>
          <w:sz w:val="22"/>
          <w:szCs w:val="22"/>
        </w:rPr>
        <w:t xml:space="preserve">1-3% </w:t>
      </w:r>
      <w:r w:rsidR="00A31E07" w:rsidRPr="00320DDF">
        <w:rPr>
          <w:rFonts w:ascii="Garamond" w:hAnsi="Garamond" w:cs="Sylfaen"/>
          <w:color w:val="000000"/>
          <w:sz w:val="22"/>
          <w:szCs w:val="22"/>
        </w:rPr>
        <w:t>in 2017</w:t>
      </w:r>
      <w:r w:rsidR="004B2020" w:rsidRPr="00320DDF">
        <w:rPr>
          <w:rFonts w:ascii="Garamond" w:hAnsi="Garamond" w:cs="Sylfaen"/>
          <w:color w:val="000000"/>
          <w:sz w:val="22"/>
          <w:szCs w:val="22"/>
        </w:rPr>
        <w:t>.</w:t>
      </w:r>
    </w:p>
    <w:p w14:paraId="66FE97AD" w14:textId="77777777" w:rsidR="0056744F" w:rsidRPr="00320DDF" w:rsidRDefault="0056744F" w:rsidP="00CE2FF3">
      <w:pPr>
        <w:tabs>
          <w:tab w:val="left" w:pos="5850"/>
        </w:tabs>
        <w:spacing w:line="360" w:lineRule="auto"/>
        <w:jc w:val="both"/>
        <w:rPr>
          <w:rFonts w:ascii="Garamond" w:hAnsi="Garamond" w:cs="Sylfaen"/>
          <w:color w:val="000000"/>
          <w:sz w:val="22"/>
          <w:szCs w:val="22"/>
        </w:rPr>
      </w:pPr>
    </w:p>
    <w:p w14:paraId="500DB744" w14:textId="77777777" w:rsidR="0056744F" w:rsidRPr="00320DDF" w:rsidRDefault="0056744F" w:rsidP="00CE2FF3">
      <w:pPr>
        <w:tabs>
          <w:tab w:val="left" w:pos="5850"/>
        </w:tabs>
        <w:spacing w:line="360" w:lineRule="auto"/>
        <w:jc w:val="both"/>
        <w:rPr>
          <w:rFonts w:ascii="Garamond" w:hAnsi="Garamond" w:cs="Sylfaen"/>
          <w:color w:val="000000"/>
          <w:sz w:val="22"/>
          <w:szCs w:val="22"/>
        </w:rPr>
      </w:pPr>
      <w:r w:rsidRPr="00320DDF">
        <w:rPr>
          <w:rFonts w:ascii="Garamond" w:hAnsi="Garamond" w:cs="Sylfaen"/>
          <w:color w:val="000000"/>
          <w:sz w:val="22"/>
          <w:szCs w:val="22"/>
        </w:rPr>
        <w:lastRenderedPageBreak/>
        <w:t>As a result of the aforementioned developments,</w:t>
      </w:r>
      <w:r w:rsidRPr="00320DDF">
        <w:rPr>
          <w:rFonts w:ascii="Garamond" w:hAnsi="Garamond" w:cs="Sylfaen"/>
          <w:b/>
          <w:color w:val="000000"/>
          <w:sz w:val="22"/>
          <w:szCs w:val="22"/>
        </w:rPr>
        <w:t xml:space="preserve"> </w:t>
      </w:r>
      <w:r w:rsidRPr="00320DDF">
        <w:rPr>
          <w:rFonts w:ascii="Garamond" w:hAnsi="Garamond" w:cs="Sylfaen"/>
          <w:color w:val="000000"/>
          <w:sz w:val="22"/>
          <w:szCs w:val="22"/>
        </w:rPr>
        <w:t>the</w:t>
      </w:r>
      <w:r w:rsidRPr="00320DDF">
        <w:rPr>
          <w:rFonts w:ascii="Garamond" w:hAnsi="Garamond" w:cs="Sylfaen"/>
          <w:b/>
          <w:color w:val="000000"/>
          <w:sz w:val="22"/>
          <w:szCs w:val="22"/>
        </w:rPr>
        <w:t xml:space="preserve"> GDP gap is positive </w:t>
      </w:r>
      <w:r w:rsidRPr="00320DDF">
        <w:rPr>
          <w:rFonts w:ascii="Garamond" w:hAnsi="Garamond" w:cs="Sylfaen"/>
          <w:color w:val="000000"/>
          <w:sz w:val="22"/>
          <w:szCs w:val="22"/>
        </w:rPr>
        <w:t>in the first quarter of 2017.</w:t>
      </w:r>
    </w:p>
    <w:p w14:paraId="393C895D" w14:textId="77777777" w:rsidR="0056744F" w:rsidRPr="00320DDF" w:rsidRDefault="0056744F" w:rsidP="00CE2FF3">
      <w:pPr>
        <w:tabs>
          <w:tab w:val="left" w:pos="5850"/>
        </w:tabs>
        <w:spacing w:line="360" w:lineRule="auto"/>
        <w:jc w:val="both"/>
        <w:rPr>
          <w:rFonts w:ascii="Garamond" w:hAnsi="Garamond" w:cs="Sylfaen"/>
          <w:color w:val="000000"/>
          <w:sz w:val="22"/>
          <w:szCs w:val="22"/>
        </w:rPr>
      </w:pPr>
    </w:p>
    <w:p w14:paraId="626E9092" w14:textId="77777777" w:rsidR="00085D5B" w:rsidRPr="00320DDF" w:rsidRDefault="00760D4B" w:rsidP="00CE2FF3">
      <w:pPr>
        <w:tabs>
          <w:tab w:val="left" w:pos="5850"/>
        </w:tabs>
        <w:spacing w:line="360" w:lineRule="auto"/>
        <w:jc w:val="both"/>
        <w:rPr>
          <w:rFonts w:ascii="Garamond" w:hAnsi="Garamond" w:cs="GHEA Grapalat"/>
          <w:sz w:val="22"/>
          <w:szCs w:val="22"/>
        </w:rPr>
      </w:pPr>
      <w:r w:rsidRPr="00320DDF">
        <w:rPr>
          <w:rFonts w:ascii="Garamond" w:hAnsi="Garamond" w:cs="Sylfaen"/>
          <w:color w:val="000000"/>
          <w:sz w:val="22"/>
          <w:szCs w:val="22"/>
        </w:rPr>
        <w:t>To give the aggregate demand and inflation extra incentives to rebound faster, t</w:t>
      </w:r>
      <w:r w:rsidRPr="00320DDF">
        <w:rPr>
          <w:rFonts w:ascii="Garamond" w:hAnsi="Garamond" w:cs="GHEA Grapalat"/>
          <w:sz w:val="22"/>
          <w:szCs w:val="22"/>
        </w:rPr>
        <w:t xml:space="preserve">he Central Bank continued loosening monetary conditions </w:t>
      </w:r>
      <w:r w:rsidRPr="00320DDF">
        <w:rPr>
          <w:rFonts w:ascii="Garamond" w:hAnsi="Garamond" w:cs="GHEA Grapalat"/>
          <w:b/>
          <w:sz w:val="22"/>
          <w:szCs w:val="22"/>
        </w:rPr>
        <w:t>in the first quarter of 2017</w:t>
      </w:r>
      <w:r w:rsidRPr="00320DDF">
        <w:rPr>
          <w:rFonts w:ascii="Garamond" w:hAnsi="Garamond" w:cs="Sylfaen"/>
          <w:color w:val="000000"/>
          <w:sz w:val="22"/>
          <w:szCs w:val="22"/>
        </w:rPr>
        <w:t xml:space="preserve"> </w:t>
      </w:r>
      <w:r w:rsidR="0056744F" w:rsidRPr="00320DDF">
        <w:rPr>
          <w:rFonts w:ascii="Garamond" w:hAnsi="Garamond" w:cs="GHEA Grapalat"/>
          <w:sz w:val="22"/>
          <w:szCs w:val="22"/>
        </w:rPr>
        <w:t xml:space="preserve">by reducing the refinancing rate in </w:t>
      </w:r>
      <w:r w:rsidRPr="00320DDF">
        <w:rPr>
          <w:rFonts w:ascii="Garamond" w:hAnsi="Garamond" w:cs="GHEA Grapalat"/>
          <w:sz w:val="22"/>
          <w:szCs w:val="22"/>
        </w:rPr>
        <w:t>February</w:t>
      </w:r>
      <w:r w:rsidR="0056744F" w:rsidRPr="00320DDF">
        <w:rPr>
          <w:rFonts w:ascii="Garamond" w:hAnsi="Garamond" w:cs="GHEA Grapalat"/>
          <w:sz w:val="22"/>
          <w:szCs w:val="22"/>
        </w:rPr>
        <w:t xml:space="preserve"> </w:t>
      </w:r>
      <w:r w:rsidRPr="00320DDF">
        <w:rPr>
          <w:rFonts w:ascii="Garamond" w:hAnsi="Garamond" w:cs="GHEA Grapalat"/>
          <w:b/>
          <w:sz w:val="22"/>
          <w:szCs w:val="22"/>
        </w:rPr>
        <w:t xml:space="preserve">by </w:t>
      </w:r>
      <w:r w:rsidR="0056744F" w:rsidRPr="00320DDF">
        <w:rPr>
          <w:rFonts w:ascii="Garamond" w:hAnsi="Garamond" w:cs="GHEA Grapalat"/>
          <w:b/>
          <w:sz w:val="22"/>
          <w:szCs w:val="22"/>
        </w:rPr>
        <w:t>0.</w:t>
      </w:r>
      <w:r w:rsidRPr="00320DDF">
        <w:rPr>
          <w:rFonts w:ascii="Garamond" w:hAnsi="Garamond" w:cs="GHEA Grapalat"/>
          <w:b/>
          <w:sz w:val="22"/>
          <w:szCs w:val="22"/>
        </w:rPr>
        <w:t>2</w:t>
      </w:r>
      <w:r w:rsidR="0056744F" w:rsidRPr="00320DDF">
        <w:rPr>
          <w:rFonts w:ascii="Garamond" w:hAnsi="Garamond" w:cs="GHEA Grapalat"/>
          <w:b/>
          <w:sz w:val="22"/>
          <w:szCs w:val="22"/>
        </w:rPr>
        <w:t>5 pp to 6%</w:t>
      </w:r>
      <w:r w:rsidRPr="00320DDF">
        <w:rPr>
          <w:rFonts w:ascii="Garamond" w:hAnsi="Garamond" w:cs="GHEA Grapalat"/>
          <w:b/>
          <w:sz w:val="22"/>
          <w:szCs w:val="22"/>
        </w:rPr>
        <w:t>.</w:t>
      </w:r>
      <w:r w:rsidR="0056744F" w:rsidRPr="00320DDF">
        <w:rPr>
          <w:rFonts w:ascii="Garamond" w:hAnsi="Garamond" w:cs="GHEA Grapalat"/>
          <w:sz w:val="22"/>
          <w:szCs w:val="22"/>
        </w:rPr>
        <w:t xml:space="preserve"> </w:t>
      </w:r>
    </w:p>
    <w:p w14:paraId="46AD1E6F" w14:textId="77777777" w:rsidR="00085D5B" w:rsidRPr="00320DDF" w:rsidRDefault="00085D5B" w:rsidP="0085120F">
      <w:pPr>
        <w:tabs>
          <w:tab w:val="left" w:pos="5850"/>
        </w:tabs>
        <w:spacing w:line="360" w:lineRule="auto"/>
        <w:jc w:val="both"/>
        <w:rPr>
          <w:rFonts w:ascii="Garamond" w:hAnsi="Garamond" w:cs="Times Armenian"/>
          <w:b/>
          <w:iCs/>
          <w:sz w:val="22"/>
          <w:szCs w:val="22"/>
        </w:rPr>
      </w:pPr>
    </w:p>
    <w:p w14:paraId="7A7569A7" w14:textId="77777777" w:rsidR="00374A46" w:rsidRPr="00320DDF" w:rsidRDefault="004E0858" w:rsidP="0085120F">
      <w:pPr>
        <w:tabs>
          <w:tab w:val="left" w:pos="5850"/>
        </w:tabs>
        <w:spacing w:line="360" w:lineRule="auto"/>
        <w:jc w:val="both"/>
        <w:rPr>
          <w:rFonts w:ascii="Garamond" w:hAnsi="Garamond" w:cs="Times Armenian"/>
          <w:iCs/>
          <w:sz w:val="22"/>
          <w:szCs w:val="22"/>
        </w:rPr>
      </w:pPr>
      <w:r w:rsidRPr="00320DDF">
        <w:rPr>
          <w:rFonts w:ascii="Garamond" w:hAnsi="Garamond" w:cs="Times Armenian"/>
          <w:b/>
          <w:iCs/>
          <w:sz w:val="22"/>
          <w:szCs w:val="22"/>
        </w:rPr>
        <w:t>M</w:t>
      </w:r>
      <w:r w:rsidR="00085D5B" w:rsidRPr="00320DDF">
        <w:rPr>
          <w:rFonts w:ascii="Garamond" w:hAnsi="Garamond" w:cs="Times Armenian"/>
          <w:b/>
          <w:iCs/>
          <w:sz w:val="22"/>
          <w:szCs w:val="22"/>
        </w:rPr>
        <w:t>edium-term m</w:t>
      </w:r>
      <w:r w:rsidR="008D1D08" w:rsidRPr="00320DDF">
        <w:rPr>
          <w:rFonts w:ascii="Garamond" w:hAnsi="Garamond" w:cs="Times Armenian"/>
          <w:b/>
          <w:iCs/>
          <w:sz w:val="22"/>
          <w:szCs w:val="22"/>
        </w:rPr>
        <w:t>acroeconomic forecasts by the C</w:t>
      </w:r>
      <w:r w:rsidR="005C2D85" w:rsidRPr="00320DDF">
        <w:rPr>
          <w:rFonts w:ascii="Garamond" w:hAnsi="Garamond" w:cs="Times Armenian"/>
          <w:b/>
          <w:iCs/>
          <w:sz w:val="22"/>
          <w:szCs w:val="22"/>
        </w:rPr>
        <w:t>entral Bank</w:t>
      </w:r>
      <w:r w:rsidRPr="00320DDF">
        <w:rPr>
          <w:rFonts w:ascii="Garamond" w:hAnsi="Garamond" w:cs="Times Armenian"/>
          <w:b/>
          <w:iCs/>
          <w:sz w:val="22"/>
          <w:szCs w:val="22"/>
        </w:rPr>
        <w:t xml:space="preserve"> </w:t>
      </w:r>
      <w:r w:rsidRPr="00320DDF">
        <w:rPr>
          <w:rFonts w:ascii="Garamond" w:hAnsi="Garamond" w:cs="Times Armenian"/>
          <w:iCs/>
          <w:sz w:val="22"/>
          <w:szCs w:val="22"/>
        </w:rPr>
        <w:t xml:space="preserve">suggest that </w:t>
      </w:r>
      <w:r w:rsidR="008D1D08" w:rsidRPr="00320DDF">
        <w:rPr>
          <w:rFonts w:ascii="Garamond" w:hAnsi="Garamond" w:cs="Times Armenian"/>
          <w:iCs/>
          <w:sz w:val="22"/>
          <w:szCs w:val="22"/>
        </w:rPr>
        <w:t>t</w:t>
      </w:r>
      <w:r w:rsidR="00251CAF" w:rsidRPr="00320DDF">
        <w:rPr>
          <w:rFonts w:ascii="Garamond" w:hAnsi="Garamond" w:cs="Times Armenian"/>
          <w:iCs/>
          <w:sz w:val="22"/>
          <w:szCs w:val="22"/>
        </w:rPr>
        <w:t xml:space="preserve">he </w:t>
      </w:r>
      <w:r w:rsidR="005C2D85" w:rsidRPr="00320DDF">
        <w:rPr>
          <w:rFonts w:ascii="Garamond" w:hAnsi="Garamond"/>
          <w:iCs/>
          <w:color w:val="000000"/>
          <w:sz w:val="22"/>
          <w:szCs w:val="22"/>
        </w:rPr>
        <w:t>dollar value of net inflow of remittances will</w:t>
      </w:r>
      <w:r w:rsidR="00644E6F" w:rsidRPr="00320DDF">
        <w:rPr>
          <w:rFonts w:ascii="Garamond" w:hAnsi="Garamond"/>
          <w:iCs/>
          <w:color w:val="000000"/>
          <w:sz w:val="22"/>
          <w:szCs w:val="22"/>
        </w:rPr>
        <w:t xml:space="preserve"> </w:t>
      </w:r>
      <w:r w:rsidRPr="00320DDF">
        <w:rPr>
          <w:rFonts w:ascii="Garamond" w:hAnsi="Garamond"/>
          <w:iCs/>
          <w:color w:val="000000"/>
          <w:sz w:val="22"/>
          <w:szCs w:val="22"/>
        </w:rPr>
        <w:t xml:space="preserve">keep on growing steadily in the period </w:t>
      </w:r>
      <w:r w:rsidR="00644E6F" w:rsidRPr="00320DDF">
        <w:rPr>
          <w:rFonts w:ascii="Garamond" w:hAnsi="Garamond" w:cs="Times Armenian"/>
          <w:iCs/>
          <w:sz w:val="22"/>
          <w:szCs w:val="22"/>
        </w:rPr>
        <w:t>2017</w:t>
      </w:r>
      <w:r w:rsidRPr="00320DDF">
        <w:rPr>
          <w:rFonts w:ascii="Garamond" w:hAnsi="Garamond" w:cs="Times Armenian"/>
          <w:iCs/>
          <w:sz w:val="22"/>
          <w:szCs w:val="22"/>
        </w:rPr>
        <w:t>-2019</w:t>
      </w:r>
      <w:r w:rsidR="00644E6F" w:rsidRPr="00320DDF">
        <w:rPr>
          <w:rFonts w:ascii="Garamond" w:hAnsi="Garamond" w:cs="Times Armenian"/>
          <w:iCs/>
          <w:sz w:val="22"/>
          <w:szCs w:val="22"/>
        </w:rPr>
        <w:t xml:space="preserve"> as the Russian economy </w:t>
      </w:r>
      <w:r w:rsidR="0076352E" w:rsidRPr="00320DDF">
        <w:rPr>
          <w:rFonts w:ascii="Garamond" w:hAnsi="Garamond" w:cs="Times Armenian"/>
          <w:iCs/>
          <w:sz w:val="22"/>
          <w:szCs w:val="22"/>
        </w:rPr>
        <w:t xml:space="preserve">slowly </w:t>
      </w:r>
      <w:r w:rsidR="00644E6F" w:rsidRPr="00320DDF">
        <w:rPr>
          <w:rFonts w:ascii="Garamond" w:hAnsi="Garamond" w:cs="Times Armenian"/>
          <w:iCs/>
          <w:sz w:val="22"/>
          <w:szCs w:val="22"/>
        </w:rPr>
        <w:t xml:space="preserve">recovers. </w:t>
      </w:r>
      <w:r w:rsidR="00126A1D" w:rsidRPr="00320DDF">
        <w:rPr>
          <w:rFonts w:ascii="Garamond" w:hAnsi="Garamond" w:cs="Times Armenian"/>
          <w:iCs/>
          <w:sz w:val="22"/>
          <w:szCs w:val="22"/>
        </w:rPr>
        <w:t xml:space="preserve">This will </w:t>
      </w:r>
      <w:r w:rsidR="0076352E" w:rsidRPr="00320DDF">
        <w:rPr>
          <w:rFonts w:ascii="Garamond" w:hAnsi="Garamond" w:cs="Times Armenian"/>
          <w:iCs/>
          <w:sz w:val="22"/>
          <w:szCs w:val="22"/>
        </w:rPr>
        <w:t xml:space="preserve">gradually </w:t>
      </w:r>
      <w:r w:rsidR="00126A1D" w:rsidRPr="00320DDF">
        <w:rPr>
          <w:rFonts w:ascii="Garamond" w:hAnsi="Garamond" w:cs="Times Armenian"/>
          <w:iCs/>
          <w:sz w:val="22"/>
          <w:szCs w:val="22"/>
        </w:rPr>
        <w:t>neutralize the negative impact of a significant d</w:t>
      </w:r>
      <w:r w:rsidR="0076352E" w:rsidRPr="00320DDF">
        <w:rPr>
          <w:rFonts w:ascii="Garamond" w:hAnsi="Garamond" w:cs="Times Armenian"/>
          <w:iCs/>
          <w:sz w:val="22"/>
          <w:szCs w:val="22"/>
        </w:rPr>
        <w:t xml:space="preserve">ecline </w:t>
      </w:r>
      <w:r w:rsidR="00126A1D" w:rsidRPr="00320DDF">
        <w:rPr>
          <w:rFonts w:ascii="Garamond" w:hAnsi="Garamond" w:cs="Times Armenian"/>
          <w:iCs/>
          <w:sz w:val="22"/>
          <w:szCs w:val="22"/>
        </w:rPr>
        <w:t xml:space="preserve">in remittances </w:t>
      </w:r>
      <w:r w:rsidR="0076352E" w:rsidRPr="00320DDF">
        <w:rPr>
          <w:rFonts w:ascii="Garamond" w:hAnsi="Garamond" w:cs="Times Armenian"/>
          <w:iCs/>
          <w:sz w:val="22"/>
          <w:szCs w:val="22"/>
        </w:rPr>
        <w:t>seen in recent years</w:t>
      </w:r>
      <w:r w:rsidR="00126A1D" w:rsidRPr="00320DDF">
        <w:rPr>
          <w:rFonts w:ascii="Garamond" w:hAnsi="Garamond" w:cs="Times Armenian"/>
          <w:iCs/>
          <w:sz w:val="22"/>
          <w:szCs w:val="22"/>
        </w:rPr>
        <w:t xml:space="preserve">, contributing positively to the GDP gap. On the other hand, the fiscal sector, as previously expected, will </w:t>
      </w:r>
      <w:r w:rsidR="0076352E" w:rsidRPr="00320DDF">
        <w:rPr>
          <w:rFonts w:ascii="Garamond" w:hAnsi="Garamond" w:cs="Times Armenian"/>
          <w:iCs/>
          <w:sz w:val="22"/>
          <w:szCs w:val="22"/>
        </w:rPr>
        <w:t xml:space="preserve">leave </w:t>
      </w:r>
      <w:r w:rsidR="00126A1D" w:rsidRPr="00320DDF">
        <w:rPr>
          <w:rFonts w:ascii="Garamond" w:hAnsi="Garamond" w:cs="Times Armenian"/>
          <w:iCs/>
          <w:sz w:val="22"/>
          <w:szCs w:val="22"/>
        </w:rPr>
        <w:t xml:space="preserve">a </w:t>
      </w:r>
      <w:r w:rsidR="0076352E" w:rsidRPr="00320DDF">
        <w:rPr>
          <w:rFonts w:ascii="Garamond" w:hAnsi="Garamond" w:cs="Times Armenian"/>
          <w:iCs/>
          <w:sz w:val="22"/>
          <w:szCs w:val="22"/>
        </w:rPr>
        <w:t xml:space="preserve">contractionary </w:t>
      </w:r>
      <w:r w:rsidR="00126A1D" w:rsidRPr="00320DDF">
        <w:rPr>
          <w:rFonts w:ascii="Garamond" w:hAnsi="Garamond" w:cs="Times Armenian"/>
          <w:iCs/>
          <w:sz w:val="22"/>
          <w:szCs w:val="22"/>
        </w:rPr>
        <w:t xml:space="preserve">effect on aggregate demand, </w:t>
      </w:r>
      <w:r w:rsidR="0076352E" w:rsidRPr="00320DDF">
        <w:rPr>
          <w:rFonts w:ascii="Garamond" w:hAnsi="Garamond" w:cs="Times Armenian"/>
          <w:iCs/>
          <w:sz w:val="22"/>
          <w:szCs w:val="22"/>
        </w:rPr>
        <w:t xml:space="preserve">dampening the positive </w:t>
      </w:r>
      <w:r w:rsidR="00126A1D" w:rsidRPr="00320DDF">
        <w:rPr>
          <w:rFonts w:ascii="Garamond" w:hAnsi="Garamond" w:cs="Times Armenian"/>
          <w:iCs/>
          <w:sz w:val="22"/>
          <w:szCs w:val="22"/>
        </w:rPr>
        <w:t xml:space="preserve">GDP gap </w:t>
      </w:r>
      <w:r w:rsidR="0076352E" w:rsidRPr="00320DDF">
        <w:rPr>
          <w:rFonts w:ascii="Garamond" w:hAnsi="Garamond" w:cs="Times Armenian"/>
          <w:iCs/>
          <w:sz w:val="22"/>
          <w:szCs w:val="22"/>
        </w:rPr>
        <w:t>hence the inflation path to recovery</w:t>
      </w:r>
      <w:r w:rsidR="00126A1D" w:rsidRPr="00320DDF">
        <w:rPr>
          <w:rFonts w:ascii="Garamond" w:hAnsi="Garamond" w:cs="Times Armenian"/>
          <w:iCs/>
          <w:sz w:val="22"/>
          <w:szCs w:val="22"/>
        </w:rPr>
        <w:t>. According to curr</w:t>
      </w:r>
      <w:r w:rsidR="00FA20E5" w:rsidRPr="00320DDF">
        <w:rPr>
          <w:rFonts w:ascii="Garamond" w:hAnsi="Garamond" w:cs="Times Armenian"/>
          <w:iCs/>
          <w:sz w:val="22"/>
          <w:szCs w:val="22"/>
        </w:rPr>
        <w:t>ent estimates, the Central Bank’</w:t>
      </w:r>
      <w:r w:rsidR="00126A1D" w:rsidRPr="00320DDF">
        <w:rPr>
          <w:rFonts w:ascii="Garamond" w:hAnsi="Garamond" w:cs="Times Armenian"/>
          <w:iCs/>
          <w:sz w:val="22"/>
          <w:szCs w:val="22"/>
        </w:rPr>
        <w:t xml:space="preserve">s </w:t>
      </w:r>
      <w:r w:rsidR="00374A46" w:rsidRPr="00320DDF">
        <w:rPr>
          <w:rFonts w:ascii="Garamond" w:hAnsi="Garamond" w:cs="Times Armenian"/>
          <w:iCs/>
          <w:sz w:val="22"/>
          <w:szCs w:val="22"/>
        </w:rPr>
        <w:t xml:space="preserve">policy rate further facilitates the restoration of </w:t>
      </w:r>
      <w:r w:rsidR="00126A1D" w:rsidRPr="00320DDF">
        <w:rPr>
          <w:rFonts w:ascii="Garamond" w:hAnsi="Garamond" w:cs="Times Armenian"/>
          <w:iCs/>
          <w:sz w:val="22"/>
          <w:szCs w:val="22"/>
        </w:rPr>
        <w:t>aggregate demand</w:t>
      </w:r>
      <w:r w:rsidR="00374A46" w:rsidRPr="00320DDF">
        <w:rPr>
          <w:rFonts w:ascii="Garamond" w:hAnsi="Garamond" w:cs="Times Armenian"/>
          <w:iCs/>
          <w:sz w:val="22"/>
          <w:szCs w:val="22"/>
        </w:rPr>
        <w:t xml:space="preserve">, helping the inflation </w:t>
      </w:r>
      <w:r w:rsidR="00126A1D" w:rsidRPr="00320DDF">
        <w:rPr>
          <w:rFonts w:ascii="Garamond" w:hAnsi="Garamond" w:cs="Times Armenian"/>
          <w:iCs/>
          <w:sz w:val="22"/>
          <w:szCs w:val="22"/>
        </w:rPr>
        <w:t xml:space="preserve">return </w:t>
      </w:r>
      <w:r w:rsidR="00374A46" w:rsidRPr="00320DDF">
        <w:rPr>
          <w:rFonts w:ascii="Garamond" w:hAnsi="Garamond" w:cs="Times Armenian"/>
          <w:iCs/>
          <w:sz w:val="22"/>
          <w:szCs w:val="22"/>
        </w:rPr>
        <w:t>to its target</w:t>
      </w:r>
      <w:r w:rsidR="00126A1D" w:rsidRPr="00320DDF">
        <w:rPr>
          <w:rFonts w:ascii="Garamond" w:hAnsi="Garamond" w:cs="Times Armenian"/>
          <w:iCs/>
          <w:sz w:val="22"/>
          <w:szCs w:val="22"/>
        </w:rPr>
        <w:t xml:space="preserve">. </w:t>
      </w:r>
      <w:r w:rsidR="00374A46" w:rsidRPr="00320DDF">
        <w:rPr>
          <w:rFonts w:ascii="Garamond" w:hAnsi="Garamond" w:cs="Times Armenian"/>
          <w:b/>
          <w:iCs/>
          <w:sz w:val="22"/>
          <w:szCs w:val="22"/>
        </w:rPr>
        <w:t xml:space="preserve">Under such circumstances, </w:t>
      </w:r>
      <w:r w:rsidR="00126A1D" w:rsidRPr="00320DDF">
        <w:rPr>
          <w:rFonts w:ascii="Garamond" w:hAnsi="Garamond" w:cs="Times Armenian"/>
          <w:b/>
          <w:iCs/>
          <w:sz w:val="22"/>
          <w:szCs w:val="22"/>
        </w:rPr>
        <w:t xml:space="preserve">the </w:t>
      </w:r>
      <w:r w:rsidR="00374A46" w:rsidRPr="00320DDF">
        <w:rPr>
          <w:rFonts w:ascii="Garamond" w:hAnsi="Garamond" w:cs="Times Armenian"/>
          <w:b/>
          <w:iCs/>
          <w:sz w:val="22"/>
          <w:szCs w:val="22"/>
        </w:rPr>
        <w:t>C</w:t>
      </w:r>
      <w:r w:rsidR="00126A1D" w:rsidRPr="00320DDF">
        <w:rPr>
          <w:rFonts w:ascii="Garamond" w:hAnsi="Garamond" w:cs="Times Armenian"/>
          <w:b/>
          <w:iCs/>
          <w:sz w:val="22"/>
          <w:szCs w:val="22"/>
        </w:rPr>
        <w:t xml:space="preserve">entral </w:t>
      </w:r>
      <w:r w:rsidR="00374A46" w:rsidRPr="00320DDF">
        <w:rPr>
          <w:rFonts w:ascii="Garamond" w:hAnsi="Garamond" w:cs="Times Armenian"/>
          <w:b/>
          <w:iCs/>
          <w:sz w:val="22"/>
          <w:szCs w:val="22"/>
        </w:rPr>
        <w:t>B</w:t>
      </w:r>
      <w:r w:rsidR="00126A1D" w:rsidRPr="00320DDF">
        <w:rPr>
          <w:rFonts w:ascii="Garamond" w:hAnsi="Garamond" w:cs="Times Armenian"/>
          <w:b/>
          <w:iCs/>
          <w:sz w:val="22"/>
          <w:szCs w:val="22"/>
        </w:rPr>
        <w:t xml:space="preserve">ank considers it </w:t>
      </w:r>
      <w:r w:rsidR="00374A46" w:rsidRPr="00320DDF">
        <w:rPr>
          <w:rFonts w:ascii="Garamond" w:hAnsi="Garamond" w:cs="Times Armenian"/>
          <w:b/>
          <w:iCs/>
          <w:sz w:val="22"/>
          <w:szCs w:val="22"/>
        </w:rPr>
        <w:t xml:space="preserve">reasonable </w:t>
      </w:r>
      <w:r w:rsidR="00126A1D" w:rsidRPr="00320DDF">
        <w:rPr>
          <w:rFonts w:ascii="Garamond" w:hAnsi="Garamond" w:cs="Times Armenian"/>
          <w:b/>
          <w:iCs/>
          <w:sz w:val="22"/>
          <w:szCs w:val="22"/>
        </w:rPr>
        <w:t>to leave monetary conditions unchanged in the second quarter.</w:t>
      </w:r>
      <w:r w:rsidR="00374A46" w:rsidRPr="00320DDF">
        <w:rPr>
          <w:rFonts w:ascii="Garamond" w:hAnsi="Garamond" w:cs="Times Armenian"/>
          <w:iCs/>
          <w:sz w:val="22"/>
          <w:szCs w:val="22"/>
        </w:rPr>
        <w:t xml:space="preserve"> </w:t>
      </w:r>
    </w:p>
    <w:p w14:paraId="05632A00" w14:textId="77777777" w:rsidR="00374A46" w:rsidRPr="00320DDF" w:rsidRDefault="00374A46" w:rsidP="0085120F">
      <w:pPr>
        <w:tabs>
          <w:tab w:val="left" w:pos="5850"/>
        </w:tabs>
        <w:spacing w:line="360" w:lineRule="auto"/>
        <w:jc w:val="both"/>
        <w:rPr>
          <w:rFonts w:ascii="Garamond" w:hAnsi="Garamond" w:cs="Times Armenian"/>
          <w:iCs/>
          <w:sz w:val="22"/>
          <w:szCs w:val="22"/>
        </w:rPr>
      </w:pPr>
    </w:p>
    <w:p w14:paraId="484EFF11" w14:textId="77777777" w:rsidR="00374A46" w:rsidRPr="00320DDF" w:rsidRDefault="006419FF" w:rsidP="0085120F">
      <w:pPr>
        <w:tabs>
          <w:tab w:val="left" w:pos="5850"/>
        </w:tabs>
        <w:spacing w:line="360" w:lineRule="auto"/>
        <w:jc w:val="both"/>
        <w:rPr>
          <w:rFonts w:ascii="Garamond" w:hAnsi="Garamond" w:cs="Times Armenian"/>
          <w:iCs/>
          <w:sz w:val="22"/>
          <w:szCs w:val="22"/>
        </w:rPr>
      </w:pPr>
      <w:r w:rsidRPr="00320DDF">
        <w:rPr>
          <w:rFonts w:ascii="Garamond" w:hAnsi="Garamond" w:cs="Times Armenian"/>
          <w:iCs/>
          <w:sz w:val="22"/>
          <w:szCs w:val="22"/>
        </w:rPr>
        <w:t xml:space="preserve">There has been an upward revision to the </w:t>
      </w:r>
      <w:r w:rsidR="00374A46" w:rsidRPr="00320DDF">
        <w:rPr>
          <w:rFonts w:ascii="Garamond" w:hAnsi="Garamond" w:cs="Times Armenian"/>
          <w:iCs/>
          <w:sz w:val="22"/>
          <w:szCs w:val="22"/>
        </w:rPr>
        <w:t xml:space="preserve">inflation </w:t>
      </w:r>
      <w:r w:rsidRPr="00320DDF">
        <w:rPr>
          <w:rFonts w:ascii="Garamond" w:hAnsi="Garamond" w:cs="Times Armenian"/>
          <w:iCs/>
          <w:sz w:val="22"/>
          <w:szCs w:val="22"/>
        </w:rPr>
        <w:t xml:space="preserve">forecast in relation to the </w:t>
      </w:r>
      <w:r w:rsidR="00374A46" w:rsidRPr="00320DDF">
        <w:rPr>
          <w:rFonts w:ascii="Garamond" w:hAnsi="Garamond" w:cs="Times Armenian"/>
          <w:iCs/>
          <w:sz w:val="22"/>
          <w:szCs w:val="22"/>
        </w:rPr>
        <w:t xml:space="preserve">projections outlined in </w:t>
      </w:r>
      <w:r w:rsidRPr="00320DDF">
        <w:rPr>
          <w:rFonts w:ascii="Garamond" w:hAnsi="Garamond" w:cs="Times Armenian"/>
          <w:iCs/>
          <w:sz w:val="22"/>
          <w:szCs w:val="22"/>
        </w:rPr>
        <w:t xml:space="preserve">the previous monetary policy program, which is driven by higher-than-expected </w:t>
      </w:r>
      <w:r w:rsidR="00374A46" w:rsidRPr="00320DDF">
        <w:rPr>
          <w:rFonts w:ascii="Garamond" w:hAnsi="Garamond" w:cs="Times Armenian"/>
          <w:iCs/>
          <w:sz w:val="22"/>
          <w:szCs w:val="22"/>
        </w:rPr>
        <w:t xml:space="preserve">seasonal </w:t>
      </w:r>
      <w:r w:rsidRPr="00320DDF">
        <w:rPr>
          <w:rFonts w:ascii="Garamond" w:hAnsi="Garamond" w:cs="Times Armenian"/>
          <w:iCs/>
          <w:sz w:val="22"/>
          <w:szCs w:val="22"/>
        </w:rPr>
        <w:t>product</w:t>
      </w:r>
      <w:r w:rsidR="00374A46" w:rsidRPr="00320DDF">
        <w:rPr>
          <w:rFonts w:ascii="Garamond" w:hAnsi="Garamond" w:cs="Times Armenian"/>
          <w:iCs/>
          <w:sz w:val="22"/>
          <w:szCs w:val="22"/>
        </w:rPr>
        <w:t xml:space="preserve"> prices</w:t>
      </w:r>
      <w:r w:rsidRPr="00320DDF">
        <w:rPr>
          <w:rFonts w:ascii="Garamond" w:hAnsi="Garamond" w:cs="Times Armenian"/>
          <w:iCs/>
          <w:sz w:val="22"/>
          <w:szCs w:val="22"/>
        </w:rPr>
        <w:t xml:space="preserve"> and anticipation that prices of non-food products and services would recover </w:t>
      </w:r>
      <w:r w:rsidR="009F26BF" w:rsidRPr="00320DDF">
        <w:rPr>
          <w:rFonts w:ascii="Garamond" w:hAnsi="Garamond" w:cs="Times Armenian"/>
          <w:iCs/>
          <w:sz w:val="22"/>
          <w:szCs w:val="22"/>
        </w:rPr>
        <w:t xml:space="preserve">quicker in 2017 amid </w:t>
      </w:r>
      <w:r w:rsidRPr="00320DDF">
        <w:rPr>
          <w:rFonts w:ascii="Garamond" w:hAnsi="Garamond" w:cs="Times Armenian"/>
          <w:iCs/>
          <w:sz w:val="22"/>
          <w:szCs w:val="22"/>
        </w:rPr>
        <w:t>faster</w:t>
      </w:r>
      <w:r w:rsidR="009F26BF" w:rsidRPr="00320DDF">
        <w:rPr>
          <w:rFonts w:ascii="Garamond" w:hAnsi="Garamond" w:cs="Times Armenian"/>
          <w:iCs/>
          <w:sz w:val="22"/>
          <w:szCs w:val="22"/>
        </w:rPr>
        <w:t xml:space="preserve"> restoring d</w:t>
      </w:r>
      <w:r w:rsidR="00374A46" w:rsidRPr="00320DDF">
        <w:rPr>
          <w:rFonts w:ascii="Garamond" w:hAnsi="Garamond" w:cs="Times Armenian"/>
          <w:iCs/>
          <w:sz w:val="22"/>
          <w:szCs w:val="22"/>
        </w:rPr>
        <w:t xml:space="preserve">emand. </w:t>
      </w:r>
      <w:r w:rsidR="009F26BF" w:rsidRPr="00320DDF">
        <w:rPr>
          <w:rFonts w:ascii="Garamond" w:hAnsi="Garamond" w:cs="Times Armenian"/>
          <w:iCs/>
          <w:sz w:val="22"/>
          <w:szCs w:val="22"/>
        </w:rPr>
        <w:t>B</w:t>
      </w:r>
      <w:r w:rsidR="00374A46" w:rsidRPr="00320DDF">
        <w:rPr>
          <w:rFonts w:ascii="Garamond" w:hAnsi="Garamond" w:cs="Times Armenian"/>
          <w:iCs/>
          <w:sz w:val="22"/>
          <w:szCs w:val="22"/>
        </w:rPr>
        <w:t xml:space="preserve">y the end of the </w:t>
      </w:r>
      <w:r w:rsidR="009F26BF" w:rsidRPr="00320DDF">
        <w:rPr>
          <w:rFonts w:ascii="Garamond" w:hAnsi="Garamond" w:cs="Times Armenian"/>
          <w:iCs/>
          <w:sz w:val="22"/>
          <w:szCs w:val="22"/>
        </w:rPr>
        <w:t xml:space="preserve">year, the Central Bank estimates, the </w:t>
      </w:r>
      <w:r w:rsidR="00374A46" w:rsidRPr="00320DDF">
        <w:rPr>
          <w:rFonts w:ascii="Garamond" w:hAnsi="Garamond" w:cs="Times Armenian"/>
          <w:iCs/>
          <w:sz w:val="22"/>
          <w:szCs w:val="22"/>
        </w:rPr>
        <w:t xml:space="preserve">12-month inflation </w:t>
      </w:r>
      <w:r w:rsidR="009F26BF" w:rsidRPr="00320DDF">
        <w:rPr>
          <w:rFonts w:ascii="Garamond" w:hAnsi="Garamond" w:cs="Times Armenian"/>
          <w:iCs/>
          <w:sz w:val="22"/>
          <w:szCs w:val="22"/>
        </w:rPr>
        <w:t xml:space="preserve">rate </w:t>
      </w:r>
      <w:r w:rsidR="00374A46" w:rsidRPr="00320DDF">
        <w:rPr>
          <w:rFonts w:ascii="Garamond" w:hAnsi="Garamond" w:cs="Times Armenian"/>
          <w:iCs/>
          <w:sz w:val="22"/>
          <w:szCs w:val="22"/>
        </w:rPr>
        <w:t xml:space="preserve">will be in the lower </w:t>
      </w:r>
      <w:r w:rsidR="009F26BF" w:rsidRPr="00320DDF">
        <w:rPr>
          <w:rFonts w:ascii="Garamond" w:hAnsi="Garamond" w:cs="Times Armenian"/>
          <w:iCs/>
          <w:sz w:val="22"/>
          <w:szCs w:val="22"/>
        </w:rPr>
        <w:t xml:space="preserve">bound of the confidence </w:t>
      </w:r>
      <w:r w:rsidR="00374A46" w:rsidRPr="00320DDF">
        <w:rPr>
          <w:rFonts w:ascii="Garamond" w:hAnsi="Garamond" w:cs="Times Armenian"/>
          <w:iCs/>
          <w:sz w:val="22"/>
          <w:szCs w:val="22"/>
        </w:rPr>
        <w:t xml:space="preserve">band and </w:t>
      </w:r>
      <w:r w:rsidR="009F26BF" w:rsidRPr="00320DDF">
        <w:rPr>
          <w:rFonts w:ascii="Garamond" w:hAnsi="Garamond" w:cs="Times Armenian"/>
          <w:iCs/>
          <w:sz w:val="22"/>
          <w:szCs w:val="22"/>
        </w:rPr>
        <w:t xml:space="preserve">in </w:t>
      </w:r>
      <w:r w:rsidR="00374A46" w:rsidRPr="00320DDF">
        <w:rPr>
          <w:rFonts w:ascii="Garamond" w:hAnsi="Garamond" w:cs="Times Armenian"/>
          <w:iCs/>
          <w:sz w:val="22"/>
          <w:szCs w:val="22"/>
        </w:rPr>
        <w:t>the forecast horizon</w:t>
      </w:r>
      <w:r w:rsidR="009F26BF" w:rsidRPr="00320DDF">
        <w:rPr>
          <w:rFonts w:ascii="Garamond" w:hAnsi="Garamond" w:cs="Times Armenian"/>
          <w:iCs/>
          <w:sz w:val="22"/>
          <w:szCs w:val="22"/>
        </w:rPr>
        <w:t xml:space="preserve"> it</w:t>
      </w:r>
      <w:r w:rsidR="00374A46" w:rsidRPr="00320DDF">
        <w:rPr>
          <w:rFonts w:ascii="Garamond" w:hAnsi="Garamond" w:cs="Times Armenian"/>
          <w:iCs/>
          <w:sz w:val="22"/>
          <w:szCs w:val="22"/>
        </w:rPr>
        <w:t xml:space="preserve"> is expected to stabilize around 4%.</w:t>
      </w:r>
    </w:p>
    <w:p w14:paraId="199C0A71" w14:textId="77777777" w:rsidR="009F26BF" w:rsidRPr="00320DDF" w:rsidRDefault="009F26BF" w:rsidP="0085120F">
      <w:pPr>
        <w:tabs>
          <w:tab w:val="left" w:pos="5850"/>
        </w:tabs>
        <w:spacing w:line="360" w:lineRule="auto"/>
        <w:jc w:val="both"/>
        <w:rPr>
          <w:rFonts w:ascii="Garamond" w:hAnsi="Garamond" w:cs="Times Armenian"/>
          <w:iCs/>
          <w:sz w:val="22"/>
          <w:szCs w:val="22"/>
        </w:rPr>
      </w:pPr>
    </w:p>
    <w:p w14:paraId="12494DAC" w14:textId="77777777" w:rsidR="00CA735D" w:rsidRPr="00320DDF" w:rsidRDefault="009F26BF" w:rsidP="0085120F">
      <w:pPr>
        <w:tabs>
          <w:tab w:val="left" w:pos="5850"/>
        </w:tabs>
        <w:spacing w:line="360" w:lineRule="auto"/>
        <w:jc w:val="both"/>
        <w:rPr>
          <w:rFonts w:ascii="Garamond" w:hAnsi="Garamond" w:cs="Times Armenian"/>
          <w:iCs/>
          <w:sz w:val="22"/>
          <w:szCs w:val="22"/>
        </w:rPr>
      </w:pPr>
      <w:r w:rsidRPr="00320DDF">
        <w:rPr>
          <w:rFonts w:ascii="Garamond" w:hAnsi="Garamond" w:cs="Times Armenian"/>
          <w:iCs/>
          <w:sz w:val="22"/>
          <w:szCs w:val="22"/>
        </w:rPr>
        <w:t xml:space="preserve">Given the lingering effect of an expansionary monetary policy, the </w:t>
      </w:r>
      <w:r w:rsidR="00347FFA" w:rsidRPr="00320DDF">
        <w:rPr>
          <w:rFonts w:ascii="Garamond" w:hAnsi="Garamond" w:cs="Times Armenian"/>
          <w:iCs/>
          <w:sz w:val="22"/>
          <w:szCs w:val="22"/>
        </w:rPr>
        <w:t>private consumption growth rates</w:t>
      </w:r>
      <w:r w:rsidRPr="00320DDF">
        <w:rPr>
          <w:rFonts w:ascii="Garamond" w:hAnsi="Garamond" w:cs="Times Armenian"/>
          <w:iCs/>
          <w:sz w:val="22"/>
          <w:szCs w:val="22"/>
        </w:rPr>
        <w:t xml:space="preserve"> further contribute to </w:t>
      </w:r>
      <w:r w:rsidR="001F10C1" w:rsidRPr="00320DDF">
        <w:rPr>
          <w:rFonts w:ascii="Garamond" w:hAnsi="Garamond" w:cs="Times Armenian"/>
          <w:iCs/>
          <w:sz w:val="22"/>
          <w:szCs w:val="22"/>
        </w:rPr>
        <w:t>the recovery of aggregate demand in 2017</w:t>
      </w:r>
      <w:r w:rsidR="00347FFA" w:rsidRPr="00320DDF">
        <w:rPr>
          <w:rFonts w:ascii="Garamond" w:hAnsi="Garamond" w:cs="Times Armenian"/>
          <w:iCs/>
          <w:sz w:val="22"/>
          <w:szCs w:val="22"/>
        </w:rPr>
        <w:t xml:space="preserve">, </w:t>
      </w:r>
      <w:r w:rsidR="001F10C1" w:rsidRPr="00320DDF">
        <w:rPr>
          <w:rFonts w:ascii="Garamond" w:hAnsi="Garamond" w:cs="Times Armenian"/>
          <w:iCs/>
          <w:sz w:val="22"/>
          <w:szCs w:val="22"/>
        </w:rPr>
        <w:t xml:space="preserve">stabilizing around </w:t>
      </w:r>
      <w:r w:rsidR="00347FFA" w:rsidRPr="00320DDF">
        <w:rPr>
          <w:rFonts w:ascii="Garamond" w:hAnsi="Garamond" w:cs="Times Armenian"/>
          <w:iCs/>
          <w:sz w:val="22"/>
          <w:szCs w:val="22"/>
        </w:rPr>
        <w:t>the equilibrium</w:t>
      </w:r>
      <w:r w:rsidR="001F10C1" w:rsidRPr="00320DDF">
        <w:rPr>
          <w:rFonts w:ascii="Garamond" w:hAnsi="Garamond" w:cs="Times Armenian"/>
          <w:iCs/>
          <w:sz w:val="22"/>
          <w:szCs w:val="22"/>
        </w:rPr>
        <w:t xml:space="preserve"> in the forecast horizon. </w:t>
      </w:r>
      <w:r w:rsidR="00347FFA" w:rsidRPr="00320DDF">
        <w:rPr>
          <w:rFonts w:ascii="Garamond" w:hAnsi="Garamond" w:cs="Times Armenian"/>
          <w:iCs/>
          <w:sz w:val="22"/>
          <w:szCs w:val="22"/>
        </w:rPr>
        <w:t xml:space="preserve">At the same time, in case </w:t>
      </w:r>
      <w:r w:rsidR="00EA2530" w:rsidRPr="00320DDF">
        <w:rPr>
          <w:rFonts w:ascii="Garamond" w:hAnsi="Garamond" w:cs="Times Armenian"/>
          <w:iCs/>
          <w:sz w:val="22"/>
          <w:szCs w:val="22"/>
        </w:rPr>
        <w:t xml:space="preserve">the Government’s </w:t>
      </w:r>
      <w:r w:rsidR="00EA2530" w:rsidRPr="00320DDF">
        <w:rPr>
          <w:rFonts w:ascii="Garamond" w:hAnsi="Garamond" w:cs="Sylfaen"/>
          <w:sz w:val="22"/>
          <w:szCs w:val="22"/>
        </w:rPr>
        <w:t>investment promotion policy</w:t>
      </w:r>
      <w:r w:rsidR="001F10C1" w:rsidRPr="00320DDF">
        <w:rPr>
          <w:rFonts w:ascii="Garamond" w:hAnsi="Garamond" w:cs="Sylfaen"/>
          <w:sz w:val="22"/>
          <w:szCs w:val="22"/>
        </w:rPr>
        <w:t xml:space="preserve"> and investment project implementation</w:t>
      </w:r>
      <w:r w:rsidR="00EA2530" w:rsidRPr="00320DDF">
        <w:rPr>
          <w:rFonts w:ascii="Garamond" w:hAnsi="Garamond" w:cs="Sylfaen"/>
          <w:sz w:val="22"/>
          <w:szCs w:val="22"/>
        </w:rPr>
        <w:t xml:space="preserve"> prove </w:t>
      </w:r>
      <w:r w:rsidR="00347FFA" w:rsidRPr="00320DDF">
        <w:rPr>
          <w:rFonts w:ascii="Garamond" w:hAnsi="Garamond" w:cs="Times Armenian"/>
          <w:iCs/>
          <w:sz w:val="22"/>
          <w:szCs w:val="22"/>
        </w:rPr>
        <w:t>effective</w:t>
      </w:r>
      <w:r w:rsidR="00EA2530" w:rsidRPr="00320DDF">
        <w:rPr>
          <w:rFonts w:ascii="Garamond" w:hAnsi="Garamond" w:cs="Times Armenian"/>
          <w:iCs/>
          <w:sz w:val="22"/>
          <w:szCs w:val="22"/>
        </w:rPr>
        <w:t>,</w:t>
      </w:r>
      <w:r w:rsidR="00347FFA" w:rsidRPr="00320DDF">
        <w:rPr>
          <w:rFonts w:ascii="Garamond" w:hAnsi="Garamond" w:cs="Times Armenian"/>
          <w:iCs/>
          <w:sz w:val="22"/>
          <w:szCs w:val="22"/>
        </w:rPr>
        <w:t xml:space="preserve"> </w:t>
      </w:r>
      <w:r w:rsidR="001F10C1" w:rsidRPr="00320DDF">
        <w:rPr>
          <w:rFonts w:ascii="Garamond" w:hAnsi="Garamond" w:cs="Times Armenian"/>
          <w:iCs/>
          <w:sz w:val="22"/>
          <w:szCs w:val="22"/>
        </w:rPr>
        <w:t xml:space="preserve">high </w:t>
      </w:r>
      <w:r w:rsidR="00347FFA" w:rsidRPr="00320DDF">
        <w:rPr>
          <w:rFonts w:ascii="Garamond" w:hAnsi="Garamond" w:cs="Times Armenian"/>
          <w:iCs/>
          <w:sz w:val="22"/>
          <w:szCs w:val="22"/>
        </w:rPr>
        <w:t xml:space="preserve">investment activity </w:t>
      </w:r>
      <w:r w:rsidR="001F10C1" w:rsidRPr="00320DDF">
        <w:rPr>
          <w:rFonts w:ascii="Garamond" w:hAnsi="Garamond" w:cs="Times Armenian"/>
          <w:iCs/>
          <w:sz w:val="22"/>
          <w:szCs w:val="22"/>
        </w:rPr>
        <w:t xml:space="preserve">could be registered in the medium-term perspective, </w:t>
      </w:r>
      <w:r w:rsidR="00CA735D" w:rsidRPr="00320DDF">
        <w:rPr>
          <w:rFonts w:ascii="Garamond" w:hAnsi="Garamond" w:cs="Times Armenian"/>
          <w:iCs/>
          <w:sz w:val="22"/>
          <w:szCs w:val="22"/>
        </w:rPr>
        <w:t xml:space="preserve">contributing to reducing the negative gap in private spending. In the medium run, the fiscal policy’s contractionary effect on aggregate demand will gradually eliminate and the GDP gap, entering a positive territory, will phase out at the end of the forecast horizon, bringing the real sector of the economy into balance. </w:t>
      </w:r>
    </w:p>
    <w:p w14:paraId="213570F0" w14:textId="77777777" w:rsidR="00CA735D" w:rsidRPr="00320DDF" w:rsidRDefault="00CA735D" w:rsidP="0085120F">
      <w:pPr>
        <w:tabs>
          <w:tab w:val="left" w:pos="5850"/>
        </w:tabs>
        <w:spacing w:line="360" w:lineRule="auto"/>
        <w:jc w:val="both"/>
        <w:rPr>
          <w:rFonts w:ascii="Garamond" w:hAnsi="Garamond" w:cs="Times Armenian"/>
          <w:iCs/>
          <w:sz w:val="22"/>
          <w:szCs w:val="22"/>
        </w:rPr>
      </w:pPr>
    </w:p>
    <w:p w14:paraId="1A3A7C89" w14:textId="77777777" w:rsidR="001B7864" w:rsidRPr="00320DDF" w:rsidRDefault="00CE60B7" w:rsidP="0085120F">
      <w:pPr>
        <w:tabs>
          <w:tab w:val="left" w:pos="5850"/>
        </w:tabs>
        <w:spacing w:line="360" w:lineRule="auto"/>
        <w:jc w:val="both"/>
        <w:rPr>
          <w:rFonts w:ascii="Garamond" w:hAnsi="Garamond"/>
          <w:sz w:val="22"/>
          <w:szCs w:val="22"/>
        </w:rPr>
      </w:pPr>
      <w:r w:rsidRPr="00320DDF">
        <w:rPr>
          <w:rFonts w:ascii="Garamond" w:hAnsi="Garamond" w:cs="Times Armenian"/>
          <w:iCs/>
          <w:sz w:val="22"/>
          <w:szCs w:val="22"/>
        </w:rPr>
        <w:t>In such circumstance, the Central Bank estimates</w:t>
      </w:r>
      <w:r w:rsidR="00CA735D" w:rsidRPr="00320DDF">
        <w:rPr>
          <w:rFonts w:ascii="Garamond" w:hAnsi="Garamond" w:cs="Times Armenian"/>
          <w:iCs/>
          <w:sz w:val="22"/>
          <w:szCs w:val="22"/>
        </w:rPr>
        <w:t>,</w:t>
      </w:r>
      <w:r w:rsidRPr="00320DDF">
        <w:rPr>
          <w:rFonts w:ascii="Garamond" w:hAnsi="Garamond" w:cs="Times Armenian"/>
          <w:iCs/>
          <w:sz w:val="22"/>
          <w:szCs w:val="22"/>
        </w:rPr>
        <w:t xml:space="preserve"> </w:t>
      </w:r>
      <w:r w:rsidR="00E842D6" w:rsidRPr="00320DDF">
        <w:rPr>
          <w:rFonts w:ascii="Garamond" w:hAnsi="Garamond"/>
          <w:bCs/>
          <w:iCs/>
          <w:sz w:val="22"/>
          <w:szCs w:val="22"/>
        </w:rPr>
        <w:t>the</w:t>
      </w:r>
      <w:r w:rsidR="00E842D6" w:rsidRPr="00320DDF">
        <w:rPr>
          <w:rFonts w:ascii="Garamond" w:hAnsi="Garamond"/>
          <w:b/>
          <w:bCs/>
          <w:iCs/>
          <w:sz w:val="22"/>
          <w:szCs w:val="22"/>
        </w:rPr>
        <w:t xml:space="preserve"> </w:t>
      </w:r>
      <w:r w:rsidR="00597C08" w:rsidRPr="00320DDF">
        <w:rPr>
          <w:rFonts w:ascii="Garamond" w:hAnsi="Garamond"/>
          <w:b/>
          <w:bCs/>
          <w:iCs/>
          <w:sz w:val="22"/>
          <w:szCs w:val="22"/>
        </w:rPr>
        <w:t xml:space="preserve">economic growth </w:t>
      </w:r>
      <w:r w:rsidR="00E842D6" w:rsidRPr="00320DDF">
        <w:rPr>
          <w:rFonts w:ascii="Garamond" w:hAnsi="Garamond"/>
          <w:b/>
          <w:bCs/>
          <w:iCs/>
          <w:sz w:val="22"/>
          <w:szCs w:val="22"/>
        </w:rPr>
        <w:t xml:space="preserve">rates </w:t>
      </w:r>
      <w:r w:rsidRPr="00320DDF">
        <w:rPr>
          <w:rFonts w:ascii="Garamond" w:hAnsi="Garamond"/>
          <w:b/>
          <w:bCs/>
          <w:iCs/>
          <w:sz w:val="22"/>
          <w:szCs w:val="22"/>
        </w:rPr>
        <w:t xml:space="preserve">will </w:t>
      </w:r>
      <w:r w:rsidR="001B7864" w:rsidRPr="00320DDF">
        <w:rPr>
          <w:rFonts w:ascii="Garamond" w:hAnsi="Garamond"/>
          <w:b/>
          <w:bCs/>
          <w:iCs/>
          <w:sz w:val="22"/>
          <w:szCs w:val="22"/>
        </w:rPr>
        <w:t xml:space="preserve">gradually stabilize </w:t>
      </w:r>
      <w:r w:rsidR="00E44D7B" w:rsidRPr="00320DDF">
        <w:rPr>
          <w:rFonts w:ascii="Garamond" w:hAnsi="Garamond"/>
          <w:b/>
          <w:bCs/>
          <w:iCs/>
          <w:sz w:val="22"/>
          <w:szCs w:val="22"/>
        </w:rPr>
        <w:t xml:space="preserve">within </w:t>
      </w:r>
      <w:r w:rsidRPr="00320DDF">
        <w:rPr>
          <w:rFonts w:ascii="Garamond" w:hAnsi="Garamond"/>
          <w:b/>
          <w:bCs/>
          <w:iCs/>
          <w:sz w:val="22"/>
          <w:szCs w:val="22"/>
        </w:rPr>
        <w:t>3</w:t>
      </w:r>
      <w:r w:rsidR="00597C08" w:rsidRPr="00320DDF">
        <w:rPr>
          <w:rFonts w:ascii="Garamond" w:hAnsi="Garamond"/>
          <w:b/>
          <w:bCs/>
          <w:iCs/>
          <w:sz w:val="22"/>
          <w:szCs w:val="22"/>
        </w:rPr>
        <w:t>.</w:t>
      </w:r>
      <w:r w:rsidR="00CA735D" w:rsidRPr="00320DDF">
        <w:rPr>
          <w:rFonts w:ascii="Garamond" w:hAnsi="Garamond"/>
          <w:b/>
          <w:bCs/>
          <w:iCs/>
          <w:sz w:val="22"/>
          <w:szCs w:val="22"/>
        </w:rPr>
        <w:t>1-5</w:t>
      </w:r>
      <w:r w:rsidR="00597C08" w:rsidRPr="00320DDF">
        <w:rPr>
          <w:rFonts w:ascii="Garamond" w:hAnsi="Garamond"/>
          <w:b/>
          <w:bCs/>
          <w:iCs/>
          <w:sz w:val="22"/>
          <w:szCs w:val="22"/>
        </w:rPr>
        <w:t>.</w:t>
      </w:r>
      <w:r w:rsidR="001B7864" w:rsidRPr="00320DDF">
        <w:rPr>
          <w:rFonts w:ascii="Garamond" w:hAnsi="Garamond"/>
          <w:b/>
          <w:bCs/>
          <w:iCs/>
          <w:sz w:val="22"/>
          <w:szCs w:val="22"/>
        </w:rPr>
        <w:t>2</w:t>
      </w:r>
      <w:r w:rsidR="00597C08" w:rsidRPr="00320DDF">
        <w:rPr>
          <w:rFonts w:ascii="Garamond" w:hAnsi="Garamond"/>
          <w:b/>
          <w:bCs/>
          <w:iCs/>
          <w:sz w:val="22"/>
          <w:szCs w:val="22"/>
        </w:rPr>
        <w:t>%</w:t>
      </w:r>
      <w:r w:rsidR="00E842D6" w:rsidRPr="00320DDF">
        <w:rPr>
          <w:rFonts w:ascii="Garamond" w:hAnsi="Garamond"/>
          <w:b/>
          <w:bCs/>
          <w:iCs/>
          <w:sz w:val="22"/>
          <w:szCs w:val="22"/>
        </w:rPr>
        <w:t xml:space="preserve"> at the end of the forecast horizon</w:t>
      </w:r>
      <w:r w:rsidR="00D970C2" w:rsidRPr="00320DDF">
        <w:rPr>
          <w:rFonts w:ascii="Garamond" w:hAnsi="Garamond"/>
          <w:bCs/>
          <w:iCs/>
          <w:sz w:val="22"/>
          <w:szCs w:val="22"/>
        </w:rPr>
        <w:t>. This w</w:t>
      </w:r>
      <w:r w:rsidR="00597C08" w:rsidRPr="00320DDF">
        <w:rPr>
          <w:rFonts w:ascii="Garamond" w:hAnsi="Garamond"/>
          <w:bCs/>
          <w:iCs/>
          <w:sz w:val="22"/>
          <w:szCs w:val="22"/>
        </w:rPr>
        <w:t xml:space="preserve">ill be </w:t>
      </w:r>
      <w:r w:rsidR="001B7864" w:rsidRPr="00320DDF">
        <w:rPr>
          <w:rFonts w:ascii="Garamond" w:hAnsi="Garamond"/>
          <w:bCs/>
          <w:iCs/>
          <w:sz w:val="22"/>
          <w:szCs w:val="22"/>
        </w:rPr>
        <w:t xml:space="preserve">largely </w:t>
      </w:r>
      <w:r w:rsidR="00597C08" w:rsidRPr="00320DDF">
        <w:rPr>
          <w:rFonts w:ascii="Garamond" w:hAnsi="Garamond"/>
          <w:bCs/>
          <w:iCs/>
          <w:sz w:val="22"/>
          <w:szCs w:val="22"/>
        </w:rPr>
        <w:t>driven by the tradable sector</w:t>
      </w:r>
      <w:r w:rsidR="003C05E3" w:rsidRPr="00320DDF">
        <w:rPr>
          <w:rFonts w:ascii="Garamond" w:hAnsi="Garamond"/>
          <w:bCs/>
          <w:iCs/>
          <w:sz w:val="22"/>
          <w:szCs w:val="22"/>
        </w:rPr>
        <w:t xml:space="preserve"> </w:t>
      </w:r>
      <w:r w:rsidR="005171CE" w:rsidRPr="00320DDF">
        <w:rPr>
          <w:rFonts w:ascii="Garamond" w:hAnsi="Garamond"/>
          <w:b/>
          <w:bCs/>
          <w:iCs/>
          <w:sz w:val="22"/>
          <w:szCs w:val="22"/>
        </w:rPr>
        <w:t>as Armenia’s competitiveness rises in an</w:t>
      </w:r>
      <w:r w:rsidR="005171CE" w:rsidRPr="00320DDF">
        <w:rPr>
          <w:rFonts w:ascii="Garamond" w:hAnsi="Garamond"/>
          <w:b/>
          <w:sz w:val="22"/>
          <w:szCs w:val="22"/>
        </w:rPr>
        <w:t xml:space="preserve"> inflation environment which is lower compared with trade partner countries</w:t>
      </w:r>
      <w:r w:rsidR="005171CE" w:rsidRPr="00320DDF">
        <w:rPr>
          <w:rFonts w:ascii="Garamond" w:hAnsi="Garamond"/>
          <w:sz w:val="22"/>
          <w:szCs w:val="22"/>
        </w:rPr>
        <w:t xml:space="preserve">. </w:t>
      </w:r>
    </w:p>
    <w:p w14:paraId="50C842F9" w14:textId="77777777" w:rsidR="001B7864" w:rsidRPr="00320DDF" w:rsidRDefault="001B7864" w:rsidP="0085120F">
      <w:pPr>
        <w:tabs>
          <w:tab w:val="left" w:pos="5850"/>
        </w:tabs>
        <w:spacing w:line="360" w:lineRule="auto"/>
        <w:jc w:val="both"/>
        <w:rPr>
          <w:rFonts w:ascii="Garamond" w:hAnsi="Garamond"/>
          <w:sz w:val="22"/>
          <w:szCs w:val="22"/>
        </w:rPr>
      </w:pPr>
    </w:p>
    <w:p w14:paraId="2DBE34EE" w14:textId="77777777" w:rsidR="001B7864" w:rsidRPr="00320DDF" w:rsidRDefault="001B7864" w:rsidP="0085120F">
      <w:pPr>
        <w:tabs>
          <w:tab w:val="left" w:pos="5850"/>
        </w:tabs>
        <w:spacing w:line="360" w:lineRule="auto"/>
        <w:jc w:val="both"/>
        <w:rPr>
          <w:rFonts w:ascii="Garamond" w:hAnsi="Garamond"/>
          <w:sz w:val="22"/>
          <w:szCs w:val="22"/>
        </w:rPr>
      </w:pPr>
      <w:r w:rsidRPr="00320DDF">
        <w:rPr>
          <w:rFonts w:ascii="Garamond" w:hAnsi="Garamond"/>
          <w:sz w:val="22"/>
          <w:szCs w:val="22"/>
        </w:rPr>
        <w:lastRenderedPageBreak/>
        <w:t xml:space="preserve">Risks to economic growth are bound upward owing to </w:t>
      </w:r>
      <w:r w:rsidR="009F0DF7" w:rsidRPr="00320DDF">
        <w:rPr>
          <w:rFonts w:ascii="Garamond" w:hAnsi="Garamond"/>
          <w:sz w:val="22"/>
          <w:szCs w:val="22"/>
        </w:rPr>
        <w:t xml:space="preserve">restored confidence and optimism about </w:t>
      </w:r>
      <w:r w:rsidRPr="00320DDF">
        <w:rPr>
          <w:rFonts w:ascii="Garamond" w:hAnsi="Garamond"/>
          <w:sz w:val="22"/>
          <w:szCs w:val="22"/>
        </w:rPr>
        <w:t>the investment environment and econom</w:t>
      </w:r>
      <w:r w:rsidR="009F0DF7" w:rsidRPr="00320DDF">
        <w:rPr>
          <w:rFonts w:ascii="Garamond" w:hAnsi="Garamond"/>
          <w:sz w:val="22"/>
          <w:szCs w:val="22"/>
        </w:rPr>
        <w:t>ic outlook</w:t>
      </w:r>
      <w:r w:rsidRPr="00320DDF">
        <w:rPr>
          <w:rFonts w:ascii="Garamond" w:hAnsi="Garamond"/>
          <w:sz w:val="22"/>
          <w:szCs w:val="22"/>
        </w:rPr>
        <w:t>, which could lead to increas</w:t>
      </w:r>
      <w:r w:rsidR="009F0DF7" w:rsidRPr="00320DDF">
        <w:rPr>
          <w:rFonts w:ascii="Garamond" w:hAnsi="Garamond"/>
          <w:sz w:val="22"/>
          <w:szCs w:val="22"/>
        </w:rPr>
        <w:t>ed</w:t>
      </w:r>
      <w:r w:rsidRPr="00320DDF">
        <w:rPr>
          <w:rFonts w:ascii="Garamond" w:hAnsi="Garamond"/>
          <w:sz w:val="22"/>
          <w:szCs w:val="22"/>
        </w:rPr>
        <w:t xml:space="preserve"> investments </w:t>
      </w:r>
      <w:r w:rsidR="009F0DF7" w:rsidRPr="00320DDF">
        <w:rPr>
          <w:rFonts w:ascii="Garamond" w:hAnsi="Garamond"/>
          <w:sz w:val="22"/>
          <w:szCs w:val="22"/>
        </w:rPr>
        <w:t>along with j</w:t>
      </w:r>
      <w:r w:rsidRPr="00320DDF">
        <w:rPr>
          <w:rFonts w:ascii="Garamond" w:hAnsi="Garamond"/>
          <w:sz w:val="22"/>
          <w:szCs w:val="22"/>
        </w:rPr>
        <w:t xml:space="preserve">oint efforts </w:t>
      </w:r>
      <w:r w:rsidR="009F0DF7" w:rsidRPr="00320DDF">
        <w:rPr>
          <w:rFonts w:ascii="Garamond" w:hAnsi="Garamond"/>
          <w:sz w:val="22"/>
          <w:szCs w:val="22"/>
        </w:rPr>
        <w:t>by</w:t>
      </w:r>
      <w:r w:rsidRPr="00320DDF">
        <w:rPr>
          <w:rFonts w:ascii="Garamond" w:hAnsi="Garamond"/>
          <w:sz w:val="22"/>
          <w:szCs w:val="22"/>
        </w:rPr>
        <w:t xml:space="preserve"> the </w:t>
      </w:r>
      <w:r w:rsidR="009F0DF7" w:rsidRPr="00320DDF">
        <w:rPr>
          <w:rFonts w:ascii="Garamond" w:hAnsi="Garamond"/>
          <w:sz w:val="22"/>
          <w:szCs w:val="22"/>
        </w:rPr>
        <w:t>G</w:t>
      </w:r>
      <w:r w:rsidRPr="00320DDF">
        <w:rPr>
          <w:rFonts w:ascii="Garamond" w:hAnsi="Garamond"/>
          <w:sz w:val="22"/>
          <w:szCs w:val="22"/>
        </w:rPr>
        <w:t xml:space="preserve">overnment. </w:t>
      </w:r>
      <w:r w:rsidR="009F0DF7" w:rsidRPr="00320DDF">
        <w:rPr>
          <w:rFonts w:ascii="Garamond" w:hAnsi="Garamond"/>
          <w:sz w:val="22"/>
          <w:szCs w:val="22"/>
        </w:rPr>
        <w:t xml:space="preserve">Furthermore, a possible upside revision to the economic growth potential depends on the pace of structural and institutional reforms which are aimed at </w:t>
      </w:r>
      <w:r w:rsidRPr="00320DDF">
        <w:rPr>
          <w:rFonts w:ascii="Garamond" w:hAnsi="Garamond"/>
          <w:sz w:val="22"/>
          <w:szCs w:val="22"/>
        </w:rPr>
        <w:t>large capital investment</w:t>
      </w:r>
      <w:r w:rsidR="009F0DF7" w:rsidRPr="00320DDF">
        <w:rPr>
          <w:rFonts w:ascii="Garamond" w:hAnsi="Garamond"/>
          <w:sz w:val="22"/>
          <w:szCs w:val="22"/>
        </w:rPr>
        <w:t xml:space="preserve"> and</w:t>
      </w:r>
      <w:r w:rsidRPr="00320DDF">
        <w:rPr>
          <w:rFonts w:ascii="Garamond" w:hAnsi="Garamond"/>
          <w:sz w:val="22"/>
          <w:szCs w:val="22"/>
        </w:rPr>
        <w:t xml:space="preserve"> productivity growth.</w:t>
      </w:r>
    </w:p>
    <w:p w14:paraId="75016C91" w14:textId="77777777" w:rsidR="009F0DF7" w:rsidRPr="00320DDF" w:rsidRDefault="009F0DF7" w:rsidP="0085120F">
      <w:pPr>
        <w:tabs>
          <w:tab w:val="left" w:pos="5850"/>
        </w:tabs>
        <w:spacing w:line="360" w:lineRule="auto"/>
        <w:jc w:val="both"/>
        <w:rPr>
          <w:rFonts w:ascii="Garamond" w:hAnsi="Garamond"/>
          <w:sz w:val="22"/>
          <w:szCs w:val="22"/>
        </w:rPr>
      </w:pPr>
    </w:p>
    <w:p w14:paraId="52AEFC46" w14:textId="77777777" w:rsidR="009F0DF7" w:rsidRPr="00320DDF" w:rsidRDefault="009F0DF7" w:rsidP="0085120F">
      <w:pPr>
        <w:tabs>
          <w:tab w:val="left" w:pos="5850"/>
        </w:tabs>
        <w:spacing w:line="360" w:lineRule="auto"/>
        <w:jc w:val="both"/>
        <w:rPr>
          <w:rFonts w:ascii="Garamond" w:hAnsi="Garamond"/>
          <w:sz w:val="22"/>
          <w:szCs w:val="22"/>
        </w:rPr>
      </w:pPr>
      <w:r w:rsidRPr="00320DDF">
        <w:rPr>
          <w:rFonts w:ascii="Garamond" w:hAnsi="Garamond"/>
          <w:sz w:val="22"/>
          <w:szCs w:val="22"/>
        </w:rPr>
        <w:t xml:space="preserve">At the same time, the Central Bank estimates that the monetary policy has contributed to the elimination of deflationary environment and created enough incentives for fulfillment of the inflation target in the forecast horizon in 2017. </w:t>
      </w:r>
    </w:p>
    <w:p w14:paraId="1E10DE2D" w14:textId="77777777" w:rsidR="00C33FED" w:rsidRPr="00320DDF" w:rsidRDefault="00C33FED" w:rsidP="0085120F">
      <w:pPr>
        <w:tabs>
          <w:tab w:val="left" w:pos="5850"/>
        </w:tabs>
        <w:spacing w:line="360" w:lineRule="auto"/>
        <w:jc w:val="both"/>
        <w:rPr>
          <w:rFonts w:ascii="Garamond" w:hAnsi="Garamond"/>
          <w:sz w:val="22"/>
          <w:szCs w:val="22"/>
        </w:rPr>
      </w:pPr>
    </w:p>
    <w:p w14:paraId="08282889" w14:textId="77777777" w:rsidR="00C33FED" w:rsidRPr="00320DDF" w:rsidRDefault="00C33FED" w:rsidP="00C33FED">
      <w:pPr>
        <w:spacing w:line="360" w:lineRule="auto"/>
        <w:jc w:val="both"/>
        <w:rPr>
          <w:rFonts w:ascii="Garamond" w:hAnsi="Garamond"/>
          <w:b/>
          <w:sz w:val="22"/>
          <w:szCs w:val="22"/>
        </w:rPr>
      </w:pPr>
      <w:r w:rsidRPr="00320DDF">
        <w:rPr>
          <w:rFonts w:ascii="Garamond" w:hAnsi="Garamond"/>
          <w:b/>
          <w:sz w:val="22"/>
          <w:szCs w:val="22"/>
        </w:rPr>
        <w:t>Risks that inflation will deviate from the</w:t>
      </w:r>
      <w:r w:rsidRPr="00320DDF">
        <w:rPr>
          <w:rFonts w:ascii="Garamond" w:hAnsi="Garamond"/>
          <w:b/>
          <w:sz w:val="22"/>
          <w:szCs w:val="22"/>
          <w:lang w:val="hy-AM"/>
        </w:rPr>
        <w:t xml:space="preserve"> </w:t>
      </w:r>
      <w:r w:rsidRPr="00320DDF">
        <w:rPr>
          <w:rFonts w:ascii="Garamond" w:hAnsi="Garamond"/>
          <w:b/>
          <w:sz w:val="22"/>
          <w:szCs w:val="22"/>
        </w:rPr>
        <w:t>projected value</w:t>
      </w:r>
      <w:r w:rsidRPr="00320DDF">
        <w:rPr>
          <w:rFonts w:ascii="Garamond" w:hAnsi="Garamond"/>
          <w:b/>
          <w:sz w:val="22"/>
          <w:szCs w:val="22"/>
          <w:lang w:val="hy-AM"/>
        </w:rPr>
        <w:t xml:space="preserve"> </w:t>
      </w:r>
      <w:r w:rsidRPr="00320DDF">
        <w:rPr>
          <w:rFonts w:ascii="Garamond" w:hAnsi="Garamond"/>
          <w:b/>
          <w:sz w:val="22"/>
          <w:szCs w:val="22"/>
        </w:rPr>
        <w:t xml:space="preserve">are generally balanced in both short and medium-term perspectives. </w:t>
      </w:r>
    </w:p>
    <w:p w14:paraId="07A7CE7D" w14:textId="77777777" w:rsidR="00C33FED" w:rsidRPr="00320DDF" w:rsidRDefault="00C33FED" w:rsidP="00C33FED">
      <w:pPr>
        <w:spacing w:line="360" w:lineRule="auto"/>
        <w:jc w:val="both"/>
        <w:rPr>
          <w:rFonts w:ascii="Garamond" w:hAnsi="Garamond"/>
          <w:sz w:val="22"/>
          <w:szCs w:val="22"/>
        </w:rPr>
      </w:pPr>
    </w:p>
    <w:p w14:paraId="4BA94629" w14:textId="77777777" w:rsidR="00C33FED" w:rsidRPr="00320DDF" w:rsidRDefault="00C33FED" w:rsidP="00C33FED">
      <w:pPr>
        <w:tabs>
          <w:tab w:val="left" w:pos="5850"/>
        </w:tabs>
        <w:spacing w:line="360" w:lineRule="auto"/>
        <w:jc w:val="both"/>
        <w:rPr>
          <w:rFonts w:ascii="Garamond" w:hAnsi="Garamond"/>
          <w:b/>
          <w:sz w:val="22"/>
          <w:szCs w:val="22"/>
        </w:rPr>
      </w:pPr>
      <w:r w:rsidRPr="00320DDF">
        <w:rPr>
          <w:rFonts w:ascii="Garamond" w:hAnsi="Garamond"/>
          <w:b/>
          <w:color w:val="000000"/>
          <w:sz w:val="22"/>
          <w:szCs w:val="22"/>
        </w:rPr>
        <w:t>Risks deriving from external and domestic sectors amid gradually rebounding global economy and the aforementioned developments in the domestic sector are generally estimated as balanced as well.</w:t>
      </w:r>
    </w:p>
    <w:p w14:paraId="37F567F0" w14:textId="77777777" w:rsidR="001B7864" w:rsidRPr="00320DDF" w:rsidRDefault="001B7864" w:rsidP="0085120F">
      <w:pPr>
        <w:tabs>
          <w:tab w:val="left" w:pos="5850"/>
        </w:tabs>
        <w:spacing w:line="360" w:lineRule="auto"/>
        <w:jc w:val="both"/>
        <w:rPr>
          <w:rFonts w:ascii="Garamond" w:hAnsi="Garamond"/>
          <w:sz w:val="22"/>
          <w:szCs w:val="22"/>
        </w:rPr>
      </w:pPr>
    </w:p>
    <w:p w14:paraId="5CA1423F" w14:textId="77777777" w:rsidR="00721072" w:rsidRPr="00320DDF" w:rsidRDefault="00721072" w:rsidP="00721072">
      <w:pPr>
        <w:spacing w:line="360" w:lineRule="auto"/>
        <w:jc w:val="both"/>
        <w:rPr>
          <w:rFonts w:ascii="Garamond" w:hAnsi="Garamond"/>
          <w:b/>
          <w:sz w:val="22"/>
          <w:szCs w:val="22"/>
        </w:rPr>
      </w:pPr>
      <w:r w:rsidRPr="00320DDF">
        <w:rPr>
          <w:rFonts w:ascii="Garamond" w:hAnsi="Garamond"/>
          <w:b/>
          <w:sz w:val="22"/>
          <w:szCs w:val="22"/>
        </w:rPr>
        <w:t>3. Actual developments in Q</w:t>
      </w:r>
      <w:r w:rsidR="00C33FED" w:rsidRPr="00320DDF">
        <w:rPr>
          <w:rFonts w:ascii="Garamond" w:hAnsi="Garamond"/>
          <w:b/>
          <w:sz w:val="22"/>
          <w:szCs w:val="22"/>
        </w:rPr>
        <w:t>1</w:t>
      </w:r>
      <w:r w:rsidRPr="00320DDF">
        <w:rPr>
          <w:rFonts w:ascii="Garamond" w:hAnsi="Garamond"/>
          <w:b/>
          <w:sz w:val="22"/>
          <w:szCs w:val="22"/>
        </w:rPr>
        <w:t>, 201</w:t>
      </w:r>
      <w:r w:rsidR="00C33FED" w:rsidRPr="00320DDF">
        <w:rPr>
          <w:rFonts w:ascii="Garamond" w:hAnsi="Garamond"/>
          <w:b/>
          <w:sz w:val="22"/>
          <w:szCs w:val="22"/>
        </w:rPr>
        <w:t>7</w:t>
      </w:r>
    </w:p>
    <w:p w14:paraId="31773F7B" w14:textId="77777777" w:rsidR="00721072" w:rsidRPr="00320DDF" w:rsidRDefault="00721072" w:rsidP="00721072">
      <w:pPr>
        <w:spacing w:line="360" w:lineRule="auto"/>
        <w:jc w:val="both"/>
        <w:rPr>
          <w:rFonts w:ascii="Garamond" w:hAnsi="Garamond"/>
          <w:b/>
          <w:sz w:val="22"/>
          <w:szCs w:val="22"/>
        </w:rPr>
      </w:pPr>
      <w:r w:rsidRPr="00320DDF">
        <w:rPr>
          <w:rFonts w:ascii="Garamond" w:hAnsi="Garamond"/>
          <w:b/>
          <w:sz w:val="22"/>
          <w:szCs w:val="22"/>
        </w:rPr>
        <w:t>3.1. Inflation</w:t>
      </w:r>
    </w:p>
    <w:p w14:paraId="46CB2E4B" w14:textId="77777777" w:rsidR="00B57C33" w:rsidRPr="00320DDF" w:rsidRDefault="00B57C33" w:rsidP="00721072">
      <w:pPr>
        <w:spacing w:line="360" w:lineRule="auto"/>
        <w:jc w:val="both"/>
        <w:rPr>
          <w:rFonts w:ascii="Garamond" w:hAnsi="Garamond"/>
          <w:b/>
          <w:sz w:val="22"/>
          <w:szCs w:val="22"/>
        </w:rPr>
      </w:pPr>
      <w:r w:rsidRPr="00320DDF">
        <w:rPr>
          <w:rFonts w:ascii="Garamond" w:hAnsi="Garamond"/>
          <w:b/>
          <w:sz w:val="22"/>
          <w:szCs w:val="22"/>
        </w:rPr>
        <w:t xml:space="preserve">3.1.1. Actual inflation and fulfilment of the inflation target </w:t>
      </w:r>
    </w:p>
    <w:p w14:paraId="7BBBE090" w14:textId="77777777" w:rsidR="00B57C33" w:rsidRPr="00320DDF" w:rsidRDefault="00B57C33" w:rsidP="00721072">
      <w:pPr>
        <w:spacing w:line="360" w:lineRule="auto"/>
        <w:jc w:val="both"/>
        <w:rPr>
          <w:rFonts w:ascii="Garamond" w:hAnsi="Garamond"/>
          <w:b/>
          <w:sz w:val="22"/>
          <w:szCs w:val="22"/>
        </w:rPr>
      </w:pPr>
    </w:p>
    <w:p w14:paraId="71A2F509" w14:textId="77777777" w:rsidR="00EE17D1" w:rsidRPr="00320DDF" w:rsidRDefault="00512D47" w:rsidP="00FF3CD9">
      <w:pPr>
        <w:spacing w:line="360" w:lineRule="auto"/>
        <w:jc w:val="both"/>
        <w:rPr>
          <w:rFonts w:ascii="Garamond" w:hAnsi="Garamond" w:cs="Sylfaen"/>
          <w:bCs/>
          <w:iCs/>
          <w:color w:val="000000"/>
          <w:sz w:val="22"/>
          <w:szCs w:val="22"/>
        </w:rPr>
      </w:pPr>
      <w:r w:rsidRPr="00320DDF">
        <w:rPr>
          <w:rFonts w:ascii="Garamond" w:hAnsi="Garamond" w:cs="GHEA Grapalat"/>
          <w:sz w:val="22"/>
          <w:szCs w:val="22"/>
        </w:rPr>
        <w:t xml:space="preserve">There was </w:t>
      </w:r>
      <w:r w:rsidR="00FC632E" w:rsidRPr="00320DDF">
        <w:rPr>
          <w:rFonts w:ascii="Garamond" w:hAnsi="Garamond" w:cs="GHEA Grapalat"/>
          <w:b/>
          <w:sz w:val="22"/>
          <w:szCs w:val="22"/>
        </w:rPr>
        <w:t>1</w:t>
      </w:r>
      <w:r w:rsidRPr="00320DDF">
        <w:rPr>
          <w:rFonts w:ascii="Garamond" w:hAnsi="Garamond" w:cs="GHEA Grapalat"/>
          <w:b/>
          <w:sz w:val="22"/>
          <w:szCs w:val="22"/>
        </w:rPr>
        <w:t>.</w:t>
      </w:r>
      <w:r w:rsidR="00FC632E" w:rsidRPr="00320DDF">
        <w:rPr>
          <w:rFonts w:ascii="Garamond" w:hAnsi="Garamond" w:cs="GHEA Grapalat"/>
          <w:b/>
          <w:sz w:val="22"/>
          <w:szCs w:val="22"/>
        </w:rPr>
        <w:t>4</w:t>
      </w:r>
      <w:r w:rsidRPr="00320DDF">
        <w:rPr>
          <w:rFonts w:ascii="Garamond" w:hAnsi="Garamond" w:cs="GHEA Grapalat"/>
          <w:b/>
          <w:sz w:val="22"/>
          <w:szCs w:val="22"/>
        </w:rPr>
        <w:t>%</w:t>
      </w:r>
      <w:r w:rsidR="005E0A5E" w:rsidRPr="00320DDF">
        <w:rPr>
          <w:rFonts w:ascii="Garamond" w:hAnsi="Garamond" w:cs="GHEA Grapalat"/>
          <w:sz w:val="22"/>
          <w:szCs w:val="22"/>
        </w:rPr>
        <w:t xml:space="preserve"> in</w:t>
      </w:r>
      <w:r w:rsidRPr="00320DDF">
        <w:rPr>
          <w:rFonts w:ascii="Garamond" w:hAnsi="Garamond" w:cs="GHEA Grapalat"/>
          <w:sz w:val="22"/>
          <w:szCs w:val="22"/>
        </w:rPr>
        <w:t xml:space="preserve">flation in the </w:t>
      </w:r>
      <w:r w:rsidR="005E0A5E" w:rsidRPr="00320DDF">
        <w:rPr>
          <w:rFonts w:ascii="Garamond" w:hAnsi="Garamond" w:cs="GHEA Grapalat"/>
          <w:sz w:val="22"/>
          <w:szCs w:val="22"/>
        </w:rPr>
        <w:t>f</w:t>
      </w:r>
      <w:r w:rsidR="00FC632E" w:rsidRPr="00320DDF">
        <w:rPr>
          <w:rFonts w:ascii="Garamond" w:hAnsi="Garamond" w:cs="GHEA Grapalat"/>
          <w:sz w:val="22"/>
          <w:szCs w:val="22"/>
        </w:rPr>
        <w:t xml:space="preserve">irst </w:t>
      </w:r>
      <w:r w:rsidRPr="00320DDF">
        <w:rPr>
          <w:rFonts w:ascii="Garamond" w:hAnsi="Garamond" w:cs="GHEA Grapalat"/>
          <w:sz w:val="22"/>
          <w:szCs w:val="22"/>
        </w:rPr>
        <w:t>quarter of 201</w:t>
      </w:r>
      <w:r w:rsidR="00FC632E" w:rsidRPr="00320DDF">
        <w:rPr>
          <w:rFonts w:ascii="Garamond" w:hAnsi="Garamond" w:cs="GHEA Grapalat"/>
          <w:sz w:val="22"/>
          <w:szCs w:val="22"/>
        </w:rPr>
        <w:t>7 instead of projected 1.1%</w:t>
      </w:r>
      <w:r w:rsidR="001805F5" w:rsidRPr="00320DDF">
        <w:rPr>
          <w:rFonts w:ascii="Garamond" w:hAnsi="Garamond" w:cs="GHEA Grapalat"/>
          <w:sz w:val="22"/>
          <w:szCs w:val="22"/>
        </w:rPr>
        <w:t>,</w:t>
      </w:r>
      <w:r w:rsidR="005E0A5E" w:rsidRPr="00320DDF">
        <w:rPr>
          <w:rFonts w:ascii="Garamond" w:hAnsi="Garamond" w:cs="GHEA Grapalat"/>
          <w:sz w:val="22"/>
          <w:szCs w:val="22"/>
        </w:rPr>
        <w:t xml:space="preserve"> which was</w:t>
      </w:r>
      <w:r w:rsidR="002E14BA" w:rsidRPr="00320DDF">
        <w:rPr>
          <w:rFonts w:ascii="Garamond" w:hAnsi="Garamond" w:cs="GHEA Grapalat"/>
          <w:sz w:val="22"/>
          <w:szCs w:val="22"/>
        </w:rPr>
        <w:t xml:space="preserve"> </w:t>
      </w:r>
      <w:r w:rsidR="005E0A5E" w:rsidRPr="00320DDF">
        <w:rPr>
          <w:rFonts w:ascii="Garamond" w:hAnsi="Garamond" w:cs="GHEA Grapalat"/>
          <w:sz w:val="22"/>
          <w:szCs w:val="22"/>
        </w:rPr>
        <w:t xml:space="preserve">primarily </w:t>
      </w:r>
      <w:r w:rsidR="002E14BA" w:rsidRPr="00320DDF">
        <w:rPr>
          <w:rFonts w:ascii="Garamond" w:hAnsi="Garamond" w:cs="GHEA Grapalat"/>
          <w:sz w:val="22"/>
          <w:szCs w:val="22"/>
        </w:rPr>
        <w:t>driven</w:t>
      </w:r>
      <w:r w:rsidRPr="00320DDF">
        <w:rPr>
          <w:rFonts w:ascii="Garamond" w:hAnsi="Garamond" w:cs="GHEA Grapalat"/>
          <w:sz w:val="22"/>
          <w:szCs w:val="22"/>
        </w:rPr>
        <w:t xml:space="preserve">, as expected, by </w:t>
      </w:r>
      <w:r w:rsidR="005E0A5E" w:rsidRPr="00320DDF">
        <w:rPr>
          <w:rFonts w:ascii="Garamond" w:hAnsi="Garamond" w:cs="GHEA Grapalat"/>
          <w:sz w:val="22"/>
          <w:szCs w:val="22"/>
        </w:rPr>
        <w:t xml:space="preserve">a </w:t>
      </w:r>
      <w:r w:rsidR="002E14BA" w:rsidRPr="00320DDF">
        <w:rPr>
          <w:rFonts w:ascii="Garamond" w:hAnsi="Garamond" w:cs="GHEA Grapalat"/>
          <w:sz w:val="22"/>
          <w:szCs w:val="22"/>
        </w:rPr>
        <w:t xml:space="preserve">seasonal </w:t>
      </w:r>
      <w:r w:rsidR="005E0A5E" w:rsidRPr="00320DDF">
        <w:rPr>
          <w:rFonts w:ascii="Garamond" w:hAnsi="Garamond" w:cs="GHEA Grapalat"/>
          <w:sz w:val="22"/>
          <w:szCs w:val="22"/>
        </w:rPr>
        <w:t xml:space="preserve">increase </w:t>
      </w:r>
      <w:r w:rsidR="002E14BA" w:rsidRPr="00320DDF">
        <w:rPr>
          <w:rFonts w:ascii="Garamond" w:hAnsi="Garamond" w:cs="GHEA Grapalat"/>
          <w:sz w:val="22"/>
          <w:szCs w:val="22"/>
        </w:rPr>
        <w:t xml:space="preserve">in food prices, with </w:t>
      </w:r>
      <w:r w:rsidR="001805F5" w:rsidRPr="00320DDF">
        <w:rPr>
          <w:rFonts w:ascii="Garamond" w:hAnsi="Garamond" w:cs="GHEA Grapalat"/>
          <w:sz w:val="22"/>
          <w:szCs w:val="22"/>
        </w:rPr>
        <w:t xml:space="preserve">prices </w:t>
      </w:r>
      <w:r w:rsidR="00FC632E" w:rsidRPr="00320DDF">
        <w:rPr>
          <w:rFonts w:ascii="Garamond" w:hAnsi="Garamond" w:cs="GHEA Grapalat"/>
          <w:sz w:val="22"/>
          <w:szCs w:val="22"/>
        </w:rPr>
        <w:t>of</w:t>
      </w:r>
      <w:r w:rsidR="001805F5" w:rsidRPr="00320DDF">
        <w:rPr>
          <w:rFonts w:ascii="Garamond" w:hAnsi="Garamond" w:cs="GHEA Grapalat"/>
          <w:sz w:val="22"/>
          <w:szCs w:val="22"/>
        </w:rPr>
        <w:t xml:space="preserve"> items “</w:t>
      </w:r>
      <w:r w:rsidRPr="00320DDF">
        <w:rPr>
          <w:rFonts w:ascii="Garamond" w:hAnsi="Garamond" w:cs="GHEA Grapalat"/>
          <w:sz w:val="22"/>
          <w:szCs w:val="22"/>
        </w:rPr>
        <w:t>fruit</w:t>
      </w:r>
      <w:r w:rsidR="001805F5" w:rsidRPr="00320DDF">
        <w:rPr>
          <w:rFonts w:ascii="Garamond" w:hAnsi="Garamond" w:cs="GHEA Grapalat"/>
          <w:sz w:val="22"/>
          <w:szCs w:val="22"/>
        </w:rPr>
        <w:t>”</w:t>
      </w:r>
      <w:r w:rsidRPr="00320DDF">
        <w:rPr>
          <w:rFonts w:ascii="Garamond" w:hAnsi="Garamond" w:cs="GHEA Grapalat"/>
          <w:sz w:val="22"/>
          <w:szCs w:val="22"/>
        </w:rPr>
        <w:t xml:space="preserve"> and </w:t>
      </w:r>
      <w:r w:rsidR="001805F5" w:rsidRPr="00320DDF">
        <w:rPr>
          <w:rFonts w:ascii="Garamond" w:hAnsi="Garamond" w:cs="GHEA Grapalat"/>
          <w:sz w:val="22"/>
          <w:szCs w:val="22"/>
        </w:rPr>
        <w:t>“</w:t>
      </w:r>
      <w:r w:rsidRPr="00320DDF">
        <w:rPr>
          <w:rFonts w:ascii="Garamond" w:hAnsi="Garamond" w:cs="GHEA Grapalat"/>
          <w:sz w:val="22"/>
          <w:szCs w:val="22"/>
        </w:rPr>
        <w:t xml:space="preserve">vegetable </w:t>
      </w:r>
      <w:r w:rsidR="005E0A5E" w:rsidRPr="00320DDF">
        <w:rPr>
          <w:rFonts w:ascii="Garamond" w:hAnsi="Garamond" w:cs="GHEA Grapalat"/>
          <w:sz w:val="22"/>
          <w:szCs w:val="22"/>
        </w:rPr>
        <w:t>and potato</w:t>
      </w:r>
      <w:r w:rsidR="001805F5" w:rsidRPr="00320DDF">
        <w:rPr>
          <w:rFonts w:ascii="Garamond" w:hAnsi="Garamond" w:cs="GHEA Grapalat"/>
          <w:sz w:val="22"/>
          <w:szCs w:val="22"/>
        </w:rPr>
        <w:t>”</w:t>
      </w:r>
      <w:r w:rsidR="005E0A5E" w:rsidRPr="00320DDF">
        <w:rPr>
          <w:rFonts w:ascii="Garamond" w:hAnsi="Garamond" w:cs="GHEA Grapalat"/>
          <w:sz w:val="22"/>
          <w:szCs w:val="22"/>
        </w:rPr>
        <w:t xml:space="preserve"> </w:t>
      </w:r>
      <w:r w:rsidRPr="00320DDF">
        <w:rPr>
          <w:rFonts w:ascii="Garamond" w:hAnsi="Garamond" w:cs="Sylfaen"/>
          <w:bCs/>
          <w:iCs/>
          <w:color w:val="000000"/>
          <w:sz w:val="22"/>
          <w:szCs w:val="22"/>
        </w:rPr>
        <w:t>ha</w:t>
      </w:r>
      <w:r w:rsidR="002E14BA" w:rsidRPr="00320DDF">
        <w:rPr>
          <w:rFonts w:ascii="Garamond" w:hAnsi="Garamond" w:cs="Sylfaen"/>
          <w:bCs/>
          <w:iCs/>
          <w:color w:val="000000"/>
          <w:sz w:val="22"/>
          <w:szCs w:val="22"/>
        </w:rPr>
        <w:t xml:space="preserve">ving </w:t>
      </w:r>
      <w:r w:rsidR="005E0A5E" w:rsidRPr="00320DDF">
        <w:rPr>
          <w:rFonts w:ascii="Garamond" w:hAnsi="Garamond" w:cs="Sylfaen"/>
          <w:bCs/>
          <w:iCs/>
          <w:color w:val="000000"/>
          <w:sz w:val="22"/>
          <w:szCs w:val="22"/>
        </w:rPr>
        <w:t xml:space="preserve">risen </w:t>
      </w:r>
      <w:r w:rsidRPr="00320DDF">
        <w:rPr>
          <w:rFonts w:ascii="Garamond" w:hAnsi="Garamond" w:cs="Sylfaen"/>
          <w:bCs/>
          <w:iCs/>
          <w:color w:val="000000"/>
          <w:sz w:val="22"/>
          <w:szCs w:val="22"/>
        </w:rPr>
        <w:t xml:space="preserve">by </w:t>
      </w:r>
      <w:r w:rsidR="001B446D" w:rsidRPr="00320DDF">
        <w:rPr>
          <w:rFonts w:ascii="Garamond" w:hAnsi="Garamond" w:cs="Sylfaen"/>
          <w:bCs/>
          <w:iCs/>
          <w:color w:val="000000"/>
          <w:sz w:val="22"/>
          <w:szCs w:val="22"/>
        </w:rPr>
        <w:t>10</w:t>
      </w:r>
      <w:r w:rsidRPr="00320DDF">
        <w:rPr>
          <w:rFonts w:ascii="Garamond" w:hAnsi="Garamond" w:cs="Sylfaen"/>
          <w:bCs/>
          <w:iCs/>
          <w:color w:val="000000"/>
          <w:sz w:val="22"/>
          <w:szCs w:val="22"/>
        </w:rPr>
        <w:t xml:space="preserve">% and </w:t>
      </w:r>
      <w:r w:rsidR="001B446D" w:rsidRPr="00320DDF">
        <w:rPr>
          <w:rFonts w:ascii="Garamond" w:hAnsi="Garamond" w:cs="Sylfaen"/>
          <w:bCs/>
          <w:iCs/>
          <w:color w:val="000000"/>
          <w:sz w:val="22"/>
          <w:szCs w:val="22"/>
        </w:rPr>
        <w:t>30</w:t>
      </w:r>
      <w:r w:rsidRPr="00320DDF">
        <w:rPr>
          <w:rFonts w:ascii="Garamond" w:hAnsi="Garamond" w:cs="Sylfaen"/>
          <w:bCs/>
          <w:iCs/>
          <w:color w:val="000000"/>
          <w:sz w:val="22"/>
          <w:szCs w:val="22"/>
        </w:rPr>
        <w:t>.</w:t>
      </w:r>
      <w:r w:rsidR="001B446D" w:rsidRPr="00320DDF">
        <w:rPr>
          <w:rFonts w:ascii="Garamond" w:hAnsi="Garamond" w:cs="Sylfaen"/>
          <w:bCs/>
          <w:iCs/>
          <w:color w:val="000000"/>
          <w:sz w:val="22"/>
          <w:szCs w:val="22"/>
        </w:rPr>
        <w:t>1</w:t>
      </w:r>
      <w:r w:rsidRPr="00320DDF">
        <w:rPr>
          <w:rFonts w:ascii="Garamond" w:hAnsi="Garamond" w:cs="Sylfaen"/>
          <w:bCs/>
          <w:iCs/>
          <w:color w:val="000000"/>
          <w:sz w:val="22"/>
          <w:szCs w:val="22"/>
        </w:rPr>
        <w:t>%, respectively</w:t>
      </w:r>
      <w:r w:rsidR="002E14BA" w:rsidRPr="00320DDF">
        <w:rPr>
          <w:rFonts w:ascii="Garamond" w:hAnsi="Garamond" w:cs="Sylfaen"/>
          <w:bCs/>
          <w:iCs/>
          <w:color w:val="000000"/>
          <w:sz w:val="22"/>
          <w:szCs w:val="22"/>
        </w:rPr>
        <w:t xml:space="preserve"> (contribution to the quarter’s </w:t>
      </w:r>
      <w:r w:rsidR="001805F5" w:rsidRPr="00320DDF">
        <w:rPr>
          <w:rFonts w:ascii="Garamond" w:hAnsi="Garamond" w:cs="Sylfaen"/>
          <w:bCs/>
          <w:iCs/>
          <w:color w:val="000000"/>
          <w:sz w:val="22"/>
          <w:szCs w:val="22"/>
        </w:rPr>
        <w:t>in</w:t>
      </w:r>
      <w:r w:rsidR="002E14BA" w:rsidRPr="00320DDF">
        <w:rPr>
          <w:rFonts w:ascii="Garamond" w:hAnsi="Garamond" w:cs="Sylfaen"/>
          <w:bCs/>
          <w:iCs/>
          <w:color w:val="000000"/>
          <w:sz w:val="22"/>
          <w:szCs w:val="22"/>
        </w:rPr>
        <w:t xml:space="preserve">flation: </w:t>
      </w:r>
      <w:r w:rsidR="001B446D" w:rsidRPr="00320DDF">
        <w:rPr>
          <w:rFonts w:ascii="Garamond" w:hAnsi="Garamond" w:cs="Sylfaen"/>
          <w:bCs/>
          <w:iCs/>
          <w:color w:val="000000"/>
          <w:sz w:val="22"/>
          <w:szCs w:val="22"/>
        </w:rPr>
        <w:t>around 2</w:t>
      </w:r>
      <w:r w:rsidR="002E14BA" w:rsidRPr="00320DDF">
        <w:rPr>
          <w:rFonts w:ascii="Garamond" w:hAnsi="Garamond" w:cs="Sylfaen"/>
          <w:bCs/>
          <w:iCs/>
          <w:color w:val="000000"/>
          <w:sz w:val="22"/>
          <w:szCs w:val="22"/>
        </w:rPr>
        <w:t xml:space="preserve"> pp</w:t>
      </w:r>
      <w:r w:rsidR="001B446D" w:rsidRPr="00320DDF">
        <w:rPr>
          <w:rStyle w:val="FootnoteReference"/>
          <w:rFonts w:ascii="Garamond" w:hAnsi="Garamond" w:cs="Sylfaen"/>
          <w:bCs/>
          <w:iCs/>
          <w:color w:val="000000"/>
          <w:sz w:val="22"/>
          <w:szCs w:val="22"/>
        </w:rPr>
        <w:footnoteReference w:customMarkFollows="1" w:id="9"/>
        <w:t>10</w:t>
      </w:r>
      <w:r w:rsidR="002E14BA" w:rsidRPr="00320DDF">
        <w:rPr>
          <w:rFonts w:ascii="Garamond" w:hAnsi="Garamond" w:cs="Sylfaen"/>
          <w:bCs/>
          <w:iCs/>
          <w:color w:val="000000"/>
          <w:sz w:val="22"/>
          <w:szCs w:val="22"/>
        </w:rPr>
        <w:t>)</w:t>
      </w:r>
      <w:r w:rsidRPr="00320DDF">
        <w:rPr>
          <w:rFonts w:ascii="Garamond" w:hAnsi="Garamond" w:cs="Sylfaen"/>
          <w:bCs/>
          <w:iCs/>
          <w:color w:val="000000"/>
          <w:sz w:val="22"/>
          <w:szCs w:val="22"/>
        </w:rPr>
        <w:t>.</w:t>
      </w:r>
      <w:r w:rsidR="002E14BA" w:rsidRPr="00320DDF">
        <w:rPr>
          <w:rFonts w:ascii="Garamond" w:hAnsi="Garamond" w:cs="Sylfaen"/>
          <w:bCs/>
          <w:iCs/>
          <w:color w:val="000000"/>
          <w:sz w:val="22"/>
          <w:szCs w:val="22"/>
        </w:rPr>
        <w:t xml:space="preserve"> </w:t>
      </w:r>
      <w:r w:rsidR="00E22737" w:rsidRPr="00320DDF">
        <w:rPr>
          <w:rFonts w:ascii="Garamond" w:hAnsi="Garamond" w:cs="Sylfaen"/>
          <w:bCs/>
          <w:iCs/>
          <w:color w:val="000000"/>
          <w:sz w:val="22"/>
          <w:szCs w:val="22"/>
        </w:rPr>
        <w:t>In the first quarter of 2017 t</w:t>
      </w:r>
      <w:r w:rsidR="00966537" w:rsidRPr="00320DDF">
        <w:rPr>
          <w:rFonts w:ascii="Garamond" w:hAnsi="Garamond" w:cs="Sylfaen"/>
          <w:bCs/>
          <w:iCs/>
          <w:color w:val="000000"/>
          <w:sz w:val="22"/>
          <w:szCs w:val="22"/>
        </w:rPr>
        <w:t xml:space="preserve">he </w:t>
      </w:r>
      <w:r w:rsidR="00966537" w:rsidRPr="00320DDF">
        <w:rPr>
          <w:rFonts w:ascii="Garamond" w:hAnsi="Garamond" w:cs="Sylfaen"/>
          <w:b/>
          <w:bCs/>
          <w:iCs/>
          <w:color w:val="000000"/>
          <w:sz w:val="22"/>
          <w:szCs w:val="22"/>
        </w:rPr>
        <w:t xml:space="preserve">core inflation rate </w:t>
      </w:r>
      <w:r w:rsidR="0050052C" w:rsidRPr="00320DDF">
        <w:rPr>
          <w:rFonts w:ascii="Garamond" w:hAnsi="Garamond" w:cs="Sylfaen"/>
          <w:b/>
          <w:bCs/>
          <w:iCs/>
          <w:color w:val="000000"/>
          <w:sz w:val="22"/>
          <w:szCs w:val="22"/>
        </w:rPr>
        <w:t xml:space="preserve">was </w:t>
      </w:r>
      <w:r w:rsidR="00966537" w:rsidRPr="00320DDF">
        <w:rPr>
          <w:rFonts w:ascii="Garamond" w:hAnsi="Garamond" w:cs="Sylfaen"/>
          <w:b/>
          <w:bCs/>
          <w:iCs/>
          <w:color w:val="000000"/>
          <w:sz w:val="22"/>
          <w:szCs w:val="22"/>
        </w:rPr>
        <w:t>0.</w:t>
      </w:r>
      <w:r w:rsidR="00E90748" w:rsidRPr="00320DDF">
        <w:rPr>
          <w:rFonts w:ascii="Garamond" w:hAnsi="Garamond" w:cs="Sylfaen"/>
          <w:b/>
          <w:bCs/>
          <w:iCs/>
          <w:color w:val="000000"/>
          <w:sz w:val="22"/>
          <w:szCs w:val="22"/>
        </w:rPr>
        <w:t>3</w:t>
      </w:r>
      <w:r w:rsidR="00966537" w:rsidRPr="00320DDF">
        <w:rPr>
          <w:rFonts w:ascii="Garamond" w:hAnsi="Garamond" w:cs="Sylfaen"/>
          <w:b/>
          <w:bCs/>
          <w:iCs/>
          <w:color w:val="000000"/>
          <w:sz w:val="22"/>
          <w:szCs w:val="22"/>
        </w:rPr>
        <w:t>%</w:t>
      </w:r>
      <w:r w:rsidR="00E22737" w:rsidRPr="00320DDF">
        <w:rPr>
          <w:rFonts w:ascii="Garamond" w:hAnsi="Garamond" w:cs="Sylfaen"/>
          <w:b/>
          <w:bCs/>
          <w:iCs/>
          <w:color w:val="000000"/>
          <w:sz w:val="22"/>
          <w:szCs w:val="22"/>
        </w:rPr>
        <w:t>, commensurate with the projection</w:t>
      </w:r>
      <w:r w:rsidR="0050052C" w:rsidRPr="00320DDF">
        <w:rPr>
          <w:rFonts w:ascii="Garamond" w:hAnsi="Garamond" w:cs="Sylfaen"/>
          <w:bCs/>
          <w:iCs/>
          <w:color w:val="000000"/>
          <w:sz w:val="22"/>
          <w:szCs w:val="22"/>
        </w:rPr>
        <w:t>,</w:t>
      </w:r>
      <w:r w:rsidR="0050052C" w:rsidRPr="00320DDF">
        <w:rPr>
          <w:rFonts w:ascii="Garamond" w:hAnsi="Garamond" w:cs="Sylfaen"/>
          <w:b/>
          <w:bCs/>
          <w:iCs/>
          <w:color w:val="000000"/>
          <w:sz w:val="22"/>
          <w:szCs w:val="22"/>
        </w:rPr>
        <w:t xml:space="preserve"> </w:t>
      </w:r>
      <w:r w:rsidR="0050052C" w:rsidRPr="00320DDF">
        <w:rPr>
          <w:rFonts w:ascii="Garamond" w:hAnsi="Garamond" w:cs="Sylfaen"/>
          <w:bCs/>
          <w:iCs/>
          <w:color w:val="000000"/>
          <w:sz w:val="22"/>
          <w:szCs w:val="22"/>
        </w:rPr>
        <w:t xml:space="preserve">in which case </w:t>
      </w:r>
      <w:r w:rsidR="00966537" w:rsidRPr="00320DDF">
        <w:rPr>
          <w:rFonts w:ascii="Garamond" w:hAnsi="Garamond" w:cs="Sylfaen"/>
          <w:bCs/>
          <w:iCs/>
          <w:color w:val="000000"/>
          <w:sz w:val="22"/>
          <w:szCs w:val="22"/>
        </w:rPr>
        <w:t xml:space="preserve">the </w:t>
      </w:r>
      <w:r w:rsidR="00102D2B" w:rsidRPr="00320DDF">
        <w:rPr>
          <w:rFonts w:ascii="Garamond" w:hAnsi="Garamond" w:cs="Sylfaen"/>
          <w:bCs/>
          <w:iCs/>
          <w:color w:val="000000"/>
          <w:sz w:val="22"/>
          <w:szCs w:val="22"/>
        </w:rPr>
        <w:t>12-month rate</w:t>
      </w:r>
      <w:r w:rsidR="00966537" w:rsidRPr="00320DDF">
        <w:rPr>
          <w:rFonts w:ascii="Garamond" w:hAnsi="Garamond" w:cs="Sylfaen"/>
          <w:bCs/>
          <w:iCs/>
          <w:color w:val="000000"/>
          <w:sz w:val="22"/>
          <w:szCs w:val="22"/>
        </w:rPr>
        <w:t xml:space="preserve"> </w:t>
      </w:r>
      <w:r w:rsidR="00E90748" w:rsidRPr="00320DDF">
        <w:rPr>
          <w:rFonts w:ascii="Garamond" w:hAnsi="Garamond" w:cs="Sylfaen"/>
          <w:bCs/>
          <w:iCs/>
          <w:color w:val="000000"/>
          <w:sz w:val="22"/>
          <w:szCs w:val="22"/>
        </w:rPr>
        <w:t xml:space="preserve">amounted to </w:t>
      </w:r>
      <w:r w:rsidR="00102D2B" w:rsidRPr="00320DDF">
        <w:rPr>
          <w:rFonts w:ascii="Garamond" w:hAnsi="Garamond" w:cs="Sylfaen"/>
          <w:bCs/>
          <w:iCs/>
          <w:color w:val="000000"/>
          <w:sz w:val="22"/>
          <w:szCs w:val="22"/>
        </w:rPr>
        <w:t>-</w:t>
      </w:r>
      <w:r w:rsidR="0050052C" w:rsidRPr="00320DDF">
        <w:rPr>
          <w:rFonts w:ascii="Garamond" w:hAnsi="Garamond" w:cs="Sylfaen"/>
          <w:bCs/>
          <w:iCs/>
          <w:color w:val="000000"/>
          <w:sz w:val="22"/>
          <w:szCs w:val="22"/>
        </w:rPr>
        <w:t>0</w:t>
      </w:r>
      <w:r w:rsidR="00966537" w:rsidRPr="00320DDF">
        <w:rPr>
          <w:rFonts w:ascii="Garamond" w:hAnsi="Garamond" w:cs="Sylfaen"/>
          <w:bCs/>
          <w:iCs/>
          <w:color w:val="000000"/>
          <w:sz w:val="22"/>
          <w:szCs w:val="22"/>
        </w:rPr>
        <w:t>.</w:t>
      </w:r>
      <w:r w:rsidR="0050052C" w:rsidRPr="00320DDF">
        <w:rPr>
          <w:rFonts w:ascii="Garamond" w:hAnsi="Garamond" w:cs="Sylfaen"/>
          <w:bCs/>
          <w:iCs/>
          <w:color w:val="000000"/>
          <w:sz w:val="22"/>
          <w:szCs w:val="22"/>
        </w:rPr>
        <w:t>9</w:t>
      </w:r>
      <w:r w:rsidR="00966537" w:rsidRPr="00320DDF">
        <w:rPr>
          <w:rFonts w:ascii="Garamond" w:hAnsi="Garamond" w:cs="Sylfaen"/>
          <w:bCs/>
          <w:iCs/>
          <w:color w:val="000000"/>
          <w:sz w:val="22"/>
          <w:szCs w:val="22"/>
        </w:rPr>
        <w:t>%</w:t>
      </w:r>
      <w:r w:rsidR="00102D2B" w:rsidRPr="00320DDF">
        <w:rPr>
          <w:rFonts w:ascii="Garamond" w:hAnsi="Garamond" w:cs="Sylfaen"/>
          <w:bCs/>
          <w:iCs/>
          <w:color w:val="000000"/>
          <w:sz w:val="22"/>
          <w:szCs w:val="22"/>
        </w:rPr>
        <w:t xml:space="preserve"> </w:t>
      </w:r>
      <w:r w:rsidR="0050052C" w:rsidRPr="00320DDF">
        <w:rPr>
          <w:rFonts w:ascii="Garamond" w:hAnsi="Garamond" w:cs="Sylfaen"/>
          <w:bCs/>
          <w:iCs/>
          <w:color w:val="000000"/>
          <w:sz w:val="22"/>
          <w:szCs w:val="22"/>
        </w:rPr>
        <w:t>at the end of March</w:t>
      </w:r>
      <w:r w:rsidR="00102D2B" w:rsidRPr="00320DDF">
        <w:rPr>
          <w:rFonts w:ascii="Garamond" w:hAnsi="Garamond" w:cs="Sylfaen"/>
          <w:bCs/>
          <w:iCs/>
          <w:color w:val="000000"/>
          <w:sz w:val="22"/>
          <w:szCs w:val="22"/>
        </w:rPr>
        <w:t xml:space="preserve">. The latter </w:t>
      </w:r>
      <w:r w:rsidR="000E5C26" w:rsidRPr="00320DDF">
        <w:rPr>
          <w:rFonts w:ascii="Garamond" w:hAnsi="Garamond" w:cs="Sylfaen"/>
          <w:bCs/>
          <w:iCs/>
          <w:color w:val="000000"/>
          <w:sz w:val="22"/>
          <w:szCs w:val="22"/>
        </w:rPr>
        <w:t>h</w:t>
      </w:r>
      <w:r w:rsidR="00102D2B" w:rsidRPr="00320DDF">
        <w:rPr>
          <w:rFonts w:ascii="Garamond" w:hAnsi="Garamond" w:cs="Sylfaen"/>
          <w:bCs/>
          <w:iCs/>
          <w:color w:val="000000"/>
          <w:sz w:val="22"/>
          <w:szCs w:val="22"/>
        </w:rPr>
        <w:t xml:space="preserve">as </w:t>
      </w:r>
      <w:r w:rsidR="000036BD" w:rsidRPr="00320DDF">
        <w:rPr>
          <w:rFonts w:ascii="Garamond" w:hAnsi="Garamond" w:cs="Sylfaen"/>
          <w:bCs/>
          <w:iCs/>
          <w:color w:val="000000"/>
          <w:sz w:val="22"/>
          <w:szCs w:val="22"/>
        </w:rPr>
        <w:t xml:space="preserve">largely </w:t>
      </w:r>
      <w:r w:rsidR="000E5C26" w:rsidRPr="00320DDF">
        <w:rPr>
          <w:rFonts w:ascii="Garamond" w:hAnsi="Garamond" w:cs="Sylfaen"/>
          <w:bCs/>
          <w:iCs/>
          <w:color w:val="000000"/>
          <w:sz w:val="22"/>
          <w:szCs w:val="22"/>
        </w:rPr>
        <w:t xml:space="preserve">been </w:t>
      </w:r>
      <w:r w:rsidR="00102D2B" w:rsidRPr="00320DDF">
        <w:rPr>
          <w:rFonts w:ascii="Garamond" w:hAnsi="Garamond" w:cs="Sylfaen"/>
          <w:bCs/>
          <w:iCs/>
          <w:color w:val="000000"/>
          <w:sz w:val="22"/>
          <w:szCs w:val="22"/>
        </w:rPr>
        <w:t>d</w:t>
      </w:r>
      <w:r w:rsidR="000036BD" w:rsidRPr="00320DDF">
        <w:rPr>
          <w:rFonts w:ascii="Garamond" w:hAnsi="Garamond" w:cs="Sylfaen"/>
          <w:bCs/>
          <w:iCs/>
          <w:color w:val="000000"/>
          <w:sz w:val="22"/>
          <w:szCs w:val="22"/>
        </w:rPr>
        <w:t xml:space="preserve">riven by increased </w:t>
      </w:r>
      <w:r w:rsidR="000E5C26" w:rsidRPr="00320DDF">
        <w:rPr>
          <w:rFonts w:ascii="Garamond" w:hAnsi="Garamond" w:cs="Sylfaen"/>
          <w:bCs/>
          <w:iCs/>
          <w:color w:val="000000"/>
          <w:sz w:val="22"/>
          <w:szCs w:val="22"/>
        </w:rPr>
        <w:t>airfare (11.2% q/q) and increased prices of</w:t>
      </w:r>
      <w:r w:rsidR="000036BD" w:rsidRPr="00320DDF">
        <w:rPr>
          <w:rFonts w:ascii="Garamond" w:hAnsi="Garamond" w:cs="Sylfaen"/>
          <w:bCs/>
          <w:iCs/>
          <w:color w:val="000000"/>
          <w:sz w:val="22"/>
          <w:szCs w:val="22"/>
        </w:rPr>
        <w:t xml:space="preserve"> items </w:t>
      </w:r>
      <w:r w:rsidR="000E5C26" w:rsidRPr="00320DDF">
        <w:rPr>
          <w:rFonts w:ascii="Garamond" w:hAnsi="Garamond" w:cs="Sylfaen"/>
          <w:bCs/>
          <w:iCs/>
          <w:color w:val="000000"/>
          <w:sz w:val="22"/>
          <w:szCs w:val="22"/>
        </w:rPr>
        <w:t>“fish products” (13.9% q/q) and “meat products” (0.8% q/q), the impact of which on the inflation has somewhat been offset by decreased prices of items “clothing” (-5.1% q/q) and “footwear” (-7.5% q/q).</w:t>
      </w:r>
      <w:r w:rsidR="00EE17D1" w:rsidRPr="00320DDF">
        <w:rPr>
          <w:rFonts w:ascii="Garamond" w:hAnsi="Garamond" w:cs="Sylfaen"/>
          <w:bCs/>
          <w:iCs/>
          <w:color w:val="000000"/>
          <w:sz w:val="22"/>
          <w:szCs w:val="22"/>
        </w:rPr>
        <w:t xml:space="preserve"> It should be noted that </w:t>
      </w:r>
      <w:r w:rsidR="00841B2F" w:rsidRPr="00320DDF">
        <w:rPr>
          <w:rFonts w:ascii="Garamond" w:hAnsi="Garamond" w:cs="Sylfaen"/>
          <w:bCs/>
          <w:iCs/>
          <w:color w:val="000000"/>
          <w:sz w:val="22"/>
          <w:szCs w:val="22"/>
        </w:rPr>
        <w:t xml:space="preserve">in recent years </w:t>
      </w:r>
      <w:r w:rsidR="00EE17D1" w:rsidRPr="00320DDF">
        <w:rPr>
          <w:rFonts w:ascii="Garamond" w:hAnsi="Garamond" w:cs="Sylfaen"/>
          <w:bCs/>
          <w:iCs/>
          <w:color w:val="000000"/>
          <w:sz w:val="22"/>
          <w:szCs w:val="22"/>
        </w:rPr>
        <w:t>deflationary pressure</w:t>
      </w:r>
      <w:r w:rsidR="00841B2F" w:rsidRPr="00320DDF">
        <w:rPr>
          <w:rFonts w:ascii="Garamond" w:hAnsi="Garamond" w:cs="Sylfaen"/>
          <w:bCs/>
          <w:iCs/>
          <w:color w:val="000000"/>
          <w:sz w:val="22"/>
          <w:szCs w:val="22"/>
        </w:rPr>
        <w:t>s</w:t>
      </w:r>
      <w:r w:rsidR="00EE17D1" w:rsidRPr="00320DDF">
        <w:rPr>
          <w:rFonts w:ascii="Garamond" w:hAnsi="Garamond" w:cs="Sylfaen"/>
          <w:bCs/>
          <w:iCs/>
          <w:color w:val="000000"/>
          <w:sz w:val="22"/>
          <w:szCs w:val="22"/>
        </w:rPr>
        <w:t xml:space="preserve"> </w:t>
      </w:r>
      <w:r w:rsidR="00841B2F" w:rsidRPr="00320DDF">
        <w:rPr>
          <w:rFonts w:ascii="Garamond" w:hAnsi="Garamond" w:cs="Sylfaen"/>
          <w:bCs/>
          <w:iCs/>
          <w:color w:val="000000"/>
          <w:sz w:val="22"/>
          <w:szCs w:val="22"/>
        </w:rPr>
        <w:t>in</w:t>
      </w:r>
      <w:r w:rsidR="00EE17D1" w:rsidRPr="00320DDF">
        <w:rPr>
          <w:rFonts w:ascii="Garamond" w:hAnsi="Garamond" w:cs="Sylfaen"/>
          <w:bCs/>
          <w:iCs/>
          <w:color w:val="000000"/>
          <w:sz w:val="22"/>
          <w:szCs w:val="22"/>
        </w:rPr>
        <w:t xml:space="preserve"> world market</w:t>
      </w:r>
      <w:r w:rsidR="00841B2F" w:rsidRPr="00320DDF">
        <w:rPr>
          <w:rFonts w:ascii="Garamond" w:hAnsi="Garamond" w:cs="Sylfaen"/>
          <w:bCs/>
          <w:iCs/>
          <w:color w:val="000000"/>
          <w:sz w:val="22"/>
          <w:szCs w:val="22"/>
        </w:rPr>
        <w:t>s</w:t>
      </w:r>
      <w:r w:rsidR="00EE17D1" w:rsidRPr="00320DDF">
        <w:rPr>
          <w:rFonts w:ascii="Garamond" w:hAnsi="Garamond" w:cs="Sylfaen"/>
          <w:bCs/>
          <w:iCs/>
          <w:color w:val="000000"/>
          <w:sz w:val="22"/>
          <w:szCs w:val="22"/>
        </w:rPr>
        <w:t xml:space="preserve"> </w:t>
      </w:r>
      <w:r w:rsidR="00841B2F" w:rsidRPr="00320DDF">
        <w:rPr>
          <w:rFonts w:ascii="Garamond" w:hAnsi="Garamond" w:cs="Sylfaen"/>
          <w:bCs/>
          <w:iCs/>
          <w:color w:val="000000"/>
          <w:sz w:val="22"/>
          <w:szCs w:val="22"/>
        </w:rPr>
        <w:t xml:space="preserve">of </w:t>
      </w:r>
      <w:r w:rsidR="00EE17D1" w:rsidRPr="00320DDF">
        <w:rPr>
          <w:rFonts w:ascii="Garamond" w:hAnsi="Garamond" w:cs="Sylfaen"/>
          <w:bCs/>
          <w:iCs/>
          <w:color w:val="000000"/>
          <w:sz w:val="22"/>
          <w:szCs w:val="22"/>
        </w:rPr>
        <w:t xml:space="preserve">raw materials and food products have </w:t>
      </w:r>
      <w:r w:rsidR="00841B2F" w:rsidRPr="00320DDF">
        <w:rPr>
          <w:rFonts w:ascii="Garamond" w:hAnsi="Garamond" w:cs="Sylfaen"/>
          <w:bCs/>
          <w:iCs/>
          <w:color w:val="000000"/>
          <w:sz w:val="22"/>
          <w:szCs w:val="22"/>
        </w:rPr>
        <w:t xml:space="preserve">spilled over to </w:t>
      </w:r>
      <w:r w:rsidR="00EE17D1" w:rsidRPr="00320DDF">
        <w:rPr>
          <w:rFonts w:ascii="Garamond" w:hAnsi="Garamond" w:cs="Sylfaen"/>
          <w:bCs/>
          <w:iCs/>
          <w:color w:val="000000"/>
          <w:sz w:val="22"/>
          <w:szCs w:val="22"/>
        </w:rPr>
        <w:t xml:space="preserve">developing countries around the world and especially </w:t>
      </w:r>
      <w:r w:rsidR="00841B2F" w:rsidRPr="00320DDF">
        <w:rPr>
          <w:rFonts w:ascii="Garamond" w:hAnsi="Garamond" w:cs="Sylfaen"/>
          <w:bCs/>
          <w:iCs/>
          <w:color w:val="000000"/>
          <w:sz w:val="22"/>
          <w:szCs w:val="22"/>
        </w:rPr>
        <w:t xml:space="preserve">this </w:t>
      </w:r>
      <w:r w:rsidR="00EE17D1" w:rsidRPr="00320DDF">
        <w:rPr>
          <w:rFonts w:ascii="Garamond" w:hAnsi="Garamond" w:cs="Sylfaen"/>
          <w:bCs/>
          <w:iCs/>
          <w:color w:val="000000"/>
          <w:sz w:val="22"/>
          <w:szCs w:val="22"/>
        </w:rPr>
        <w:t xml:space="preserve">region, </w:t>
      </w:r>
      <w:r w:rsidR="00841B2F" w:rsidRPr="00320DDF">
        <w:rPr>
          <w:rFonts w:ascii="Garamond" w:hAnsi="Garamond" w:cs="Sylfaen"/>
          <w:bCs/>
          <w:iCs/>
          <w:color w:val="000000"/>
          <w:sz w:val="22"/>
          <w:szCs w:val="22"/>
        </w:rPr>
        <w:t xml:space="preserve">considerably affecting the formation of </w:t>
      </w:r>
      <w:r w:rsidR="00EE17D1" w:rsidRPr="00320DDF">
        <w:rPr>
          <w:rFonts w:ascii="Garamond" w:hAnsi="Garamond" w:cs="Sylfaen"/>
          <w:bCs/>
          <w:iCs/>
          <w:color w:val="000000"/>
          <w:sz w:val="22"/>
          <w:szCs w:val="22"/>
        </w:rPr>
        <w:t xml:space="preserve">low levels of </w:t>
      </w:r>
      <w:r w:rsidR="00841B2F" w:rsidRPr="00320DDF">
        <w:rPr>
          <w:rFonts w:ascii="Garamond" w:hAnsi="Garamond" w:cs="Sylfaen"/>
          <w:bCs/>
          <w:iCs/>
          <w:color w:val="000000"/>
          <w:sz w:val="22"/>
          <w:szCs w:val="22"/>
        </w:rPr>
        <w:t xml:space="preserve">core inflation. </w:t>
      </w:r>
      <w:r w:rsidR="0060632D" w:rsidRPr="00320DDF">
        <w:rPr>
          <w:rFonts w:ascii="Garamond" w:hAnsi="Garamond" w:cs="Sylfaen"/>
          <w:bCs/>
          <w:iCs/>
          <w:color w:val="000000"/>
          <w:sz w:val="22"/>
          <w:szCs w:val="22"/>
        </w:rPr>
        <w:t>Transmission of such de</w:t>
      </w:r>
      <w:r w:rsidR="00EE17D1" w:rsidRPr="00320DDF">
        <w:rPr>
          <w:rFonts w:ascii="Garamond" w:hAnsi="Garamond" w:cs="Sylfaen"/>
          <w:bCs/>
          <w:iCs/>
          <w:color w:val="000000"/>
          <w:sz w:val="22"/>
          <w:szCs w:val="22"/>
        </w:rPr>
        <w:t xml:space="preserve">flationary impulses </w:t>
      </w:r>
      <w:r w:rsidR="0060632D" w:rsidRPr="00320DDF">
        <w:rPr>
          <w:rFonts w:ascii="Garamond" w:hAnsi="Garamond" w:cs="Sylfaen"/>
          <w:bCs/>
          <w:iCs/>
          <w:color w:val="000000"/>
          <w:sz w:val="22"/>
          <w:szCs w:val="22"/>
        </w:rPr>
        <w:t xml:space="preserve">onto the Armenia’s consumer market had been relatively slow, which is why </w:t>
      </w:r>
      <w:r w:rsidR="00EE17D1" w:rsidRPr="00320DDF">
        <w:rPr>
          <w:rFonts w:ascii="Garamond" w:hAnsi="Garamond" w:cs="Sylfaen"/>
          <w:bCs/>
          <w:iCs/>
          <w:color w:val="000000"/>
          <w:sz w:val="22"/>
          <w:szCs w:val="22"/>
        </w:rPr>
        <w:t xml:space="preserve">their </w:t>
      </w:r>
      <w:r w:rsidR="00EE17D1" w:rsidRPr="00320DDF">
        <w:rPr>
          <w:rFonts w:ascii="Garamond" w:hAnsi="Garamond" w:cs="Sylfaen"/>
          <w:bCs/>
          <w:iCs/>
          <w:color w:val="000000"/>
          <w:sz w:val="22"/>
          <w:szCs w:val="22"/>
        </w:rPr>
        <w:lastRenderedPageBreak/>
        <w:t>i</w:t>
      </w:r>
      <w:r w:rsidR="0060632D" w:rsidRPr="00320DDF">
        <w:rPr>
          <w:rFonts w:ascii="Garamond" w:hAnsi="Garamond" w:cs="Sylfaen"/>
          <w:bCs/>
          <w:iCs/>
          <w:color w:val="000000"/>
          <w:sz w:val="22"/>
          <w:szCs w:val="22"/>
        </w:rPr>
        <w:t xml:space="preserve">nfluence on the level of core inflation continues to be felt. </w:t>
      </w:r>
      <w:r w:rsidR="00EE17D1" w:rsidRPr="00320DDF">
        <w:rPr>
          <w:rFonts w:ascii="Garamond" w:hAnsi="Garamond" w:cs="Sylfaen"/>
          <w:bCs/>
          <w:iCs/>
          <w:color w:val="000000"/>
          <w:sz w:val="22"/>
          <w:szCs w:val="22"/>
        </w:rPr>
        <w:t>However</w:t>
      </w:r>
      <w:r w:rsidR="0060632D" w:rsidRPr="00320DDF">
        <w:rPr>
          <w:rFonts w:ascii="Garamond" w:hAnsi="Garamond" w:cs="Sylfaen"/>
          <w:bCs/>
          <w:iCs/>
          <w:color w:val="000000"/>
          <w:sz w:val="22"/>
          <w:szCs w:val="22"/>
        </w:rPr>
        <w:t>,</w:t>
      </w:r>
      <w:r w:rsidR="00EE17D1" w:rsidRPr="00320DDF">
        <w:rPr>
          <w:rFonts w:ascii="Garamond" w:hAnsi="Garamond" w:cs="Sylfaen"/>
          <w:bCs/>
          <w:iCs/>
          <w:color w:val="000000"/>
          <w:sz w:val="22"/>
          <w:szCs w:val="22"/>
        </w:rPr>
        <w:t xml:space="preserve"> these effects </w:t>
      </w:r>
      <w:r w:rsidR="0060632D" w:rsidRPr="00320DDF">
        <w:rPr>
          <w:rFonts w:ascii="Garamond" w:hAnsi="Garamond" w:cs="Sylfaen"/>
          <w:bCs/>
          <w:iCs/>
          <w:color w:val="000000"/>
          <w:sz w:val="22"/>
          <w:szCs w:val="22"/>
        </w:rPr>
        <w:t>are expected to vanish in the near future</w:t>
      </w:r>
      <w:r w:rsidR="00EE17D1" w:rsidRPr="00320DDF">
        <w:rPr>
          <w:rFonts w:ascii="Garamond" w:hAnsi="Garamond" w:cs="Sylfaen"/>
          <w:bCs/>
          <w:iCs/>
          <w:color w:val="000000"/>
          <w:sz w:val="22"/>
          <w:szCs w:val="22"/>
        </w:rPr>
        <w:t xml:space="preserve">, which will positively contribute to the restoration of </w:t>
      </w:r>
      <w:r w:rsidR="000D054A" w:rsidRPr="00320DDF">
        <w:rPr>
          <w:rFonts w:ascii="Garamond" w:hAnsi="Garamond" w:cs="Sylfaen"/>
          <w:bCs/>
          <w:iCs/>
          <w:color w:val="000000"/>
          <w:sz w:val="22"/>
          <w:szCs w:val="22"/>
        </w:rPr>
        <w:t xml:space="preserve">core </w:t>
      </w:r>
      <w:r w:rsidR="00EE17D1" w:rsidRPr="00320DDF">
        <w:rPr>
          <w:rFonts w:ascii="Garamond" w:hAnsi="Garamond" w:cs="Sylfaen"/>
          <w:bCs/>
          <w:iCs/>
          <w:color w:val="000000"/>
          <w:sz w:val="22"/>
          <w:szCs w:val="22"/>
        </w:rPr>
        <w:t>inflation.</w:t>
      </w:r>
      <w:r w:rsidR="000E5C26" w:rsidRPr="00320DDF">
        <w:rPr>
          <w:rFonts w:ascii="Garamond" w:hAnsi="Garamond" w:cs="Sylfaen"/>
          <w:bCs/>
          <w:iCs/>
          <w:color w:val="000000"/>
          <w:sz w:val="22"/>
          <w:szCs w:val="22"/>
        </w:rPr>
        <w:t xml:space="preserve"> </w:t>
      </w:r>
    </w:p>
    <w:p w14:paraId="139F5CDF" w14:textId="77777777" w:rsidR="00EE17D1" w:rsidRPr="00320DDF" w:rsidRDefault="00EE17D1" w:rsidP="00FF3CD9">
      <w:pPr>
        <w:spacing w:line="360" w:lineRule="auto"/>
        <w:jc w:val="both"/>
        <w:rPr>
          <w:rFonts w:ascii="Garamond" w:hAnsi="Garamond" w:cs="Sylfaen"/>
          <w:bCs/>
          <w:iCs/>
          <w:color w:val="000000"/>
          <w:sz w:val="22"/>
          <w:szCs w:val="22"/>
        </w:rPr>
      </w:pPr>
    </w:p>
    <w:p w14:paraId="63BAA190" w14:textId="77777777" w:rsidR="003E47CB" w:rsidRPr="00320DDF" w:rsidRDefault="00E970AF" w:rsidP="00FF3CD9">
      <w:pPr>
        <w:spacing w:line="360" w:lineRule="auto"/>
        <w:jc w:val="both"/>
        <w:rPr>
          <w:rFonts w:ascii="Garamond" w:hAnsi="Garamond" w:cs="Sylfaen"/>
          <w:bCs/>
          <w:iCs/>
          <w:color w:val="000000"/>
          <w:sz w:val="22"/>
          <w:szCs w:val="22"/>
        </w:rPr>
      </w:pPr>
      <w:r w:rsidRPr="00320DDF">
        <w:rPr>
          <w:rFonts w:ascii="Garamond" w:hAnsi="Garamond" w:cs="Sylfaen"/>
          <w:bCs/>
          <w:iCs/>
          <w:color w:val="000000"/>
          <w:sz w:val="22"/>
          <w:szCs w:val="22"/>
        </w:rPr>
        <w:t>On the back of the aforementioned developments, t</w:t>
      </w:r>
      <w:r w:rsidR="00A46093" w:rsidRPr="00320DDF">
        <w:rPr>
          <w:rFonts w:ascii="Garamond" w:hAnsi="Garamond" w:cs="Sylfaen"/>
          <w:bCs/>
          <w:iCs/>
          <w:color w:val="000000"/>
          <w:sz w:val="22"/>
          <w:szCs w:val="22"/>
        </w:rPr>
        <w:t xml:space="preserve">he </w:t>
      </w:r>
      <w:r w:rsidR="006E3D7F" w:rsidRPr="00320DDF">
        <w:rPr>
          <w:rFonts w:ascii="Garamond" w:hAnsi="Garamond" w:cs="Sylfaen"/>
          <w:bCs/>
          <w:iCs/>
          <w:color w:val="000000"/>
          <w:sz w:val="22"/>
          <w:szCs w:val="22"/>
        </w:rPr>
        <w:t xml:space="preserve">deflation environment, as was expected, almost fully phased out in the </w:t>
      </w:r>
      <w:r w:rsidRPr="00320DDF">
        <w:rPr>
          <w:rFonts w:ascii="Garamond" w:hAnsi="Garamond" w:cs="Sylfaen"/>
          <w:bCs/>
          <w:iCs/>
          <w:color w:val="000000"/>
          <w:sz w:val="22"/>
          <w:szCs w:val="22"/>
        </w:rPr>
        <w:t>f</w:t>
      </w:r>
      <w:r w:rsidR="006E3D7F" w:rsidRPr="00320DDF">
        <w:rPr>
          <w:rFonts w:ascii="Garamond" w:hAnsi="Garamond" w:cs="Sylfaen"/>
          <w:bCs/>
          <w:iCs/>
          <w:color w:val="000000"/>
          <w:sz w:val="22"/>
          <w:szCs w:val="22"/>
        </w:rPr>
        <w:t xml:space="preserve">irst </w:t>
      </w:r>
      <w:r w:rsidR="00A46093" w:rsidRPr="00320DDF">
        <w:rPr>
          <w:rFonts w:ascii="Garamond" w:hAnsi="Garamond" w:cs="Sylfaen"/>
          <w:bCs/>
          <w:iCs/>
          <w:color w:val="000000"/>
          <w:sz w:val="22"/>
          <w:szCs w:val="22"/>
        </w:rPr>
        <w:t>quarter</w:t>
      </w:r>
      <w:r w:rsidR="006E3D7F" w:rsidRPr="00320DDF">
        <w:rPr>
          <w:rFonts w:ascii="Garamond" w:hAnsi="Garamond" w:cs="Sylfaen"/>
          <w:bCs/>
          <w:iCs/>
          <w:color w:val="000000"/>
          <w:sz w:val="22"/>
          <w:szCs w:val="22"/>
        </w:rPr>
        <w:t xml:space="preserve"> of 2017</w:t>
      </w:r>
      <w:r w:rsidR="003E47CB" w:rsidRPr="00320DDF">
        <w:rPr>
          <w:rFonts w:ascii="Garamond" w:hAnsi="Garamond" w:cs="Sylfaen"/>
          <w:bCs/>
          <w:iCs/>
          <w:color w:val="000000"/>
          <w:sz w:val="22"/>
          <w:szCs w:val="22"/>
        </w:rPr>
        <w:t xml:space="preserve">, </w:t>
      </w:r>
      <w:r w:rsidR="006E3D7F" w:rsidRPr="00320DDF">
        <w:rPr>
          <w:rFonts w:ascii="Garamond" w:hAnsi="Garamond" w:cs="Sylfaen"/>
          <w:bCs/>
          <w:iCs/>
          <w:color w:val="000000"/>
          <w:sz w:val="22"/>
          <w:szCs w:val="22"/>
        </w:rPr>
        <w:t xml:space="preserve">in which case </w:t>
      </w:r>
      <w:r w:rsidR="000A0098" w:rsidRPr="00320DDF">
        <w:rPr>
          <w:rFonts w:ascii="Garamond" w:hAnsi="Garamond" w:cs="Sylfaen"/>
          <w:b/>
          <w:bCs/>
          <w:iCs/>
          <w:color w:val="000000"/>
          <w:sz w:val="22"/>
          <w:szCs w:val="22"/>
        </w:rPr>
        <w:t xml:space="preserve">the 12-month deflation rate </w:t>
      </w:r>
      <w:r w:rsidR="003E47CB" w:rsidRPr="00320DDF">
        <w:rPr>
          <w:rFonts w:ascii="Garamond" w:hAnsi="Garamond" w:cs="Sylfaen"/>
          <w:b/>
          <w:bCs/>
          <w:iCs/>
          <w:color w:val="000000"/>
          <w:sz w:val="22"/>
          <w:szCs w:val="22"/>
        </w:rPr>
        <w:t xml:space="preserve">amounted to </w:t>
      </w:r>
      <w:r w:rsidR="006E3D7F" w:rsidRPr="00320DDF">
        <w:rPr>
          <w:rFonts w:ascii="Garamond" w:hAnsi="Garamond" w:cs="Sylfaen"/>
          <w:b/>
          <w:bCs/>
          <w:iCs/>
          <w:color w:val="000000"/>
          <w:sz w:val="22"/>
          <w:szCs w:val="22"/>
        </w:rPr>
        <w:t>-0</w:t>
      </w:r>
      <w:r w:rsidR="003E47CB" w:rsidRPr="00320DDF">
        <w:rPr>
          <w:rFonts w:ascii="Garamond" w:hAnsi="Garamond" w:cs="Sylfaen"/>
          <w:b/>
          <w:bCs/>
          <w:iCs/>
          <w:color w:val="000000"/>
          <w:sz w:val="22"/>
          <w:szCs w:val="22"/>
        </w:rPr>
        <w:t xml:space="preserve">.1% in </w:t>
      </w:r>
      <w:r w:rsidR="006E3D7F" w:rsidRPr="00320DDF">
        <w:rPr>
          <w:rFonts w:ascii="Garamond" w:hAnsi="Garamond" w:cs="Sylfaen"/>
          <w:b/>
          <w:bCs/>
          <w:iCs/>
          <w:color w:val="000000"/>
          <w:sz w:val="22"/>
          <w:szCs w:val="22"/>
        </w:rPr>
        <w:t>March instead of the projected -0.4%</w:t>
      </w:r>
      <w:r w:rsidR="003E47CB" w:rsidRPr="00320DDF">
        <w:rPr>
          <w:rFonts w:ascii="Garamond" w:hAnsi="Garamond" w:cs="Sylfaen"/>
          <w:bCs/>
          <w:iCs/>
          <w:color w:val="000000"/>
          <w:sz w:val="22"/>
          <w:szCs w:val="22"/>
        </w:rPr>
        <w:t>.</w:t>
      </w:r>
    </w:p>
    <w:p w14:paraId="09D50741" w14:textId="77777777" w:rsidR="000A0098" w:rsidRPr="00320DDF" w:rsidRDefault="000A0098" w:rsidP="00FF3CD9">
      <w:pPr>
        <w:spacing w:line="360" w:lineRule="auto"/>
        <w:jc w:val="both"/>
        <w:rPr>
          <w:rFonts w:ascii="Garamond" w:hAnsi="Garamond" w:cs="Sylfaen"/>
          <w:bCs/>
          <w:iCs/>
          <w:color w:val="000000"/>
          <w:sz w:val="22"/>
          <w:szCs w:val="22"/>
        </w:rPr>
      </w:pPr>
    </w:p>
    <w:p w14:paraId="4C83F858" w14:textId="77777777" w:rsidR="000A0098" w:rsidRPr="00320DDF" w:rsidRDefault="000A0098" w:rsidP="00FF3CD9">
      <w:pPr>
        <w:spacing w:line="360" w:lineRule="auto"/>
        <w:jc w:val="both"/>
        <w:rPr>
          <w:rFonts w:ascii="Garamond" w:hAnsi="Garamond" w:cs="Sylfaen"/>
          <w:bCs/>
          <w:iCs/>
          <w:color w:val="000000"/>
          <w:sz w:val="22"/>
          <w:szCs w:val="22"/>
        </w:rPr>
      </w:pPr>
      <w:r w:rsidRPr="00320DDF">
        <w:rPr>
          <w:rFonts w:ascii="Garamond" w:hAnsi="Garamond" w:cs="Sylfaen"/>
          <w:bCs/>
          <w:iCs/>
          <w:color w:val="000000"/>
          <w:sz w:val="22"/>
          <w:szCs w:val="22"/>
        </w:rPr>
        <w:t xml:space="preserve">According to the official statistical data, </w:t>
      </w:r>
      <w:r w:rsidR="00772DBE" w:rsidRPr="00320DDF">
        <w:rPr>
          <w:rFonts w:ascii="Garamond" w:hAnsi="Garamond" w:cs="Sylfaen"/>
          <w:bCs/>
          <w:iCs/>
          <w:color w:val="000000"/>
          <w:sz w:val="22"/>
          <w:szCs w:val="22"/>
        </w:rPr>
        <w:t xml:space="preserve">there was </w:t>
      </w:r>
      <w:r w:rsidRPr="00320DDF">
        <w:rPr>
          <w:rFonts w:ascii="Garamond" w:hAnsi="Garamond" w:cs="Sylfaen"/>
          <w:bCs/>
          <w:iCs/>
          <w:color w:val="000000"/>
          <w:sz w:val="22"/>
          <w:szCs w:val="22"/>
        </w:rPr>
        <w:t>1</w:t>
      </w:r>
      <w:r w:rsidR="00772DBE" w:rsidRPr="00320DDF">
        <w:rPr>
          <w:rFonts w:ascii="Garamond" w:hAnsi="Garamond" w:cs="Sylfaen"/>
          <w:bCs/>
          <w:iCs/>
          <w:color w:val="000000"/>
          <w:sz w:val="22"/>
          <w:szCs w:val="22"/>
        </w:rPr>
        <w:t>%</w:t>
      </w:r>
      <w:r w:rsidRPr="00320DDF">
        <w:rPr>
          <w:rFonts w:ascii="Garamond" w:hAnsi="Garamond" w:cs="Sylfaen"/>
          <w:bCs/>
          <w:iCs/>
          <w:color w:val="000000"/>
          <w:sz w:val="22"/>
          <w:szCs w:val="22"/>
        </w:rPr>
        <w:t xml:space="preserve"> inflation recorded in April, </w:t>
      </w:r>
      <w:r w:rsidR="00772DBE" w:rsidRPr="00320DDF">
        <w:rPr>
          <w:rFonts w:ascii="Garamond" w:hAnsi="Garamond" w:cs="Sylfaen"/>
          <w:bCs/>
          <w:iCs/>
          <w:color w:val="000000"/>
          <w:sz w:val="22"/>
          <w:szCs w:val="22"/>
        </w:rPr>
        <w:t xml:space="preserve">and </w:t>
      </w:r>
      <w:r w:rsidRPr="00320DDF">
        <w:rPr>
          <w:rFonts w:ascii="Garamond" w:hAnsi="Garamond" w:cs="Sylfaen"/>
          <w:bCs/>
          <w:iCs/>
          <w:color w:val="000000"/>
          <w:sz w:val="22"/>
          <w:szCs w:val="22"/>
        </w:rPr>
        <w:t>the 12-month inflation</w:t>
      </w:r>
      <w:r w:rsidR="00772DBE" w:rsidRPr="00320DDF">
        <w:rPr>
          <w:rFonts w:ascii="Garamond" w:hAnsi="Garamond" w:cs="Sylfaen"/>
          <w:bCs/>
          <w:iCs/>
          <w:color w:val="000000"/>
          <w:sz w:val="22"/>
          <w:szCs w:val="22"/>
        </w:rPr>
        <w:t xml:space="preserve"> rate reached </w:t>
      </w:r>
      <w:r w:rsidRPr="00320DDF">
        <w:rPr>
          <w:rFonts w:ascii="Garamond" w:hAnsi="Garamond" w:cs="Sylfaen"/>
          <w:bCs/>
          <w:iCs/>
          <w:color w:val="000000"/>
          <w:sz w:val="22"/>
          <w:szCs w:val="22"/>
        </w:rPr>
        <w:t xml:space="preserve">1.2%. These figures show that </w:t>
      </w:r>
      <w:r w:rsidR="00772DBE" w:rsidRPr="00320DDF">
        <w:rPr>
          <w:rFonts w:ascii="Garamond" w:hAnsi="Garamond" w:cs="Sylfaen"/>
          <w:bCs/>
          <w:iCs/>
          <w:color w:val="000000"/>
          <w:sz w:val="22"/>
          <w:szCs w:val="22"/>
        </w:rPr>
        <w:t>certain i</w:t>
      </w:r>
      <w:r w:rsidRPr="00320DDF">
        <w:rPr>
          <w:rFonts w:ascii="Garamond" w:hAnsi="Garamond" w:cs="Sylfaen"/>
          <w:bCs/>
          <w:iCs/>
          <w:color w:val="000000"/>
          <w:sz w:val="22"/>
          <w:szCs w:val="22"/>
        </w:rPr>
        <w:t xml:space="preserve">nflation risks as </w:t>
      </w:r>
      <w:r w:rsidR="00772DBE" w:rsidRPr="00320DDF">
        <w:rPr>
          <w:rFonts w:ascii="Garamond" w:hAnsi="Garamond" w:cs="Sylfaen"/>
          <w:bCs/>
          <w:iCs/>
          <w:color w:val="000000"/>
          <w:sz w:val="22"/>
          <w:szCs w:val="22"/>
        </w:rPr>
        <w:t xml:space="preserve">outlined </w:t>
      </w:r>
      <w:r w:rsidRPr="00320DDF">
        <w:rPr>
          <w:rFonts w:ascii="Garamond" w:hAnsi="Garamond" w:cs="Sylfaen"/>
          <w:bCs/>
          <w:iCs/>
          <w:color w:val="000000"/>
          <w:sz w:val="22"/>
          <w:szCs w:val="22"/>
        </w:rPr>
        <w:t>in the previous program</w:t>
      </w:r>
      <w:r w:rsidR="00772DBE" w:rsidRPr="00320DDF">
        <w:rPr>
          <w:rFonts w:ascii="Garamond" w:hAnsi="Garamond" w:cs="Sylfaen"/>
          <w:bCs/>
          <w:iCs/>
          <w:color w:val="000000"/>
          <w:sz w:val="22"/>
          <w:szCs w:val="22"/>
        </w:rPr>
        <w:t xml:space="preserve"> have materialized</w:t>
      </w:r>
      <w:r w:rsidRPr="00320DDF">
        <w:rPr>
          <w:rFonts w:ascii="Garamond" w:hAnsi="Garamond" w:cs="Sylfaen"/>
          <w:bCs/>
          <w:iCs/>
          <w:color w:val="000000"/>
          <w:sz w:val="22"/>
          <w:szCs w:val="22"/>
        </w:rPr>
        <w:t xml:space="preserve">, which reflected </w:t>
      </w:r>
      <w:r w:rsidR="00772DBE" w:rsidRPr="00320DDF">
        <w:rPr>
          <w:rFonts w:ascii="Garamond" w:hAnsi="Garamond" w:cs="Sylfaen"/>
          <w:bCs/>
          <w:iCs/>
          <w:color w:val="000000"/>
          <w:sz w:val="22"/>
          <w:szCs w:val="22"/>
        </w:rPr>
        <w:t xml:space="preserve">upside revision to </w:t>
      </w:r>
      <w:r w:rsidRPr="00320DDF">
        <w:rPr>
          <w:rFonts w:ascii="Garamond" w:hAnsi="Garamond" w:cs="Sylfaen"/>
          <w:bCs/>
          <w:iCs/>
          <w:color w:val="000000"/>
          <w:sz w:val="22"/>
          <w:szCs w:val="22"/>
        </w:rPr>
        <w:t xml:space="preserve">inflation </w:t>
      </w:r>
      <w:r w:rsidR="00772DBE" w:rsidRPr="00320DDF">
        <w:rPr>
          <w:rFonts w:ascii="Garamond" w:hAnsi="Garamond" w:cs="Sylfaen"/>
          <w:bCs/>
          <w:iCs/>
          <w:color w:val="000000"/>
          <w:sz w:val="22"/>
          <w:szCs w:val="22"/>
        </w:rPr>
        <w:t xml:space="preserve">forecasts, on the one hand, and </w:t>
      </w:r>
      <w:r w:rsidRPr="00320DDF">
        <w:rPr>
          <w:rFonts w:ascii="Garamond" w:hAnsi="Garamond" w:cs="Sylfaen"/>
          <w:bCs/>
          <w:iCs/>
          <w:color w:val="000000"/>
          <w:sz w:val="22"/>
          <w:szCs w:val="22"/>
        </w:rPr>
        <w:t>le</w:t>
      </w:r>
      <w:r w:rsidR="00772DBE" w:rsidRPr="00320DDF">
        <w:rPr>
          <w:rFonts w:ascii="Garamond" w:hAnsi="Garamond" w:cs="Sylfaen"/>
          <w:bCs/>
          <w:iCs/>
          <w:color w:val="000000"/>
          <w:sz w:val="22"/>
          <w:szCs w:val="22"/>
        </w:rPr>
        <w:t>d the</w:t>
      </w:r>
      <w:r w:rsidRPr="00320DDF">
        <w:rPr>
          <w:rFonts w:ascii="Garamond" w:hAnsi="Garamond" w:cs="Sylfaen"/>
          <w:bCs/>
          <w:iCs/>
          <w:color w:val="000000"/>
          <w:sz w:val="22"/>
          <w:szCs w:val="22"/>
        </w:rPr>
        <w:t xml:space="preserve"> inflation</w:t>
      </w:r>
      <w:r w:rsidR="00561F78" w:rsidRPr="00320DDF">
        <w:rPr>
          <w:rFonts w:ascii="Garamond" w:hAnsi="Garamond" w:cs="Sylfaen"/>
          <w:bCs/>
          <w:iCs/>
          <w:color w:val="000000"/>
          <w:sz w:val="22"/>
          <w:szCs w:val="22"/>
        </w:rPr>
        <w:t xml:space="preserve"> to buffer risks to inflation deviation, on the other</w:t>
      </w:r>
      <w:r w:rsidRPr="00320DDF">
        <w:rPr>
          <w:rFonts w:ascii="Garamond" w:hAnsi="Garamond" w:cs="Sylfaen"/>
          <w:bCs/>
          <w:iCs/>
          <w:color w:val="000000"/>
          <w:sz w:val="22"/>
          <w:szCs w:val="22"/>
        </w:rPr>
        <w:t>.</w:t>
      </w:r>
    </w:p>
    <w:p w14:paraId="7DDB167D" w14:textId="77777777" w:rsidR="003E47CB" w:rsidRPr="00320DDF" w:rsidRDefault="003E47CB" w:rsidP="00FF3CD9">
      <w:pPr>
        <w:spacing w:line="360" w:lineRule="auto"/>
        <w:jc w:val="both"/>
        <w:rPr>
          <w:rFonts w:ascii="Garamond" w:hAnsi="Garamond" w:cs="Sylfaen"/>
          <w:bCs/>
          <w:iCs/>
          <w:color w:val="000000"/>
          <w:sz w:val="22"/>
          <w:szCs w:val="22"/>
        </w:rPr>
      </w:pPr>
    </w:p>
    <w:p w14:paraId="58FAC766" w14:textId="77777777" w:rsidR="007629C5" w:rsidRPr="00320DDF" w:rsidRDefault="00E70FBB" w:rsidP="00FF3CD9">
      <w:pPr>
        <w:spacing w:line="360" w:lineRule="auto"/>
        <w:jc w:val="both"/>
        <w:rPr>
          <w:rFonts w:ascii="Garamond" w:hAnsi="Garamond" w:cs="Sylfaen"/>
          <w:sz w:val="22"/>
          <w:szCs w:val="22"/>
        </w:rPr>
      </w:pPr>
      <w:r w:rsidRPr="00320DDF">
        <w:rPr>
          <w:rFonts w:ascii="Garamond" w:hAnsi="Garamond" w:cs="Sylfaen"/>
          <w:sz w:val="22"/>
          <w:szCs w:val="22"/>
        </w:rPr>
        <w:t>For</w:t>
      </w:r>
      <w:r w:rsidR="00046C53" w:rsidRPr="00320DDF">
        <w:rPr>
          <w:rFonts w:ascii="Garamond" w:hAnsi="Garamond" w:cs="Sylfaen"/>
          <w:sz w:val="22"/>
          <w:szCs w:val="22"/>
        </w:rPr>
        <w:t xml:space="preserve"> the previous one-year horizon</w:t>
      </w:r>
      <w:r w:rsidR="004C3D1F" w:rsidRPr="00320DDF">
        <w:rPr>
          <w:rFonts w:ascii="Garamond" w:hAnsi="Garamond" w:cs="Sylfaen"/>
          <w:sz w:val="22"/>
          <w:szCs w:val="22"/>
        </w:rPr>
        <w:t>,</w:t>
      </w:r>
      <w:r w:rsidRPr="00320DDF">
        <w:rPr>
          <w:rFonts w:ascii="Garamond" w:hAnsi="Garamond" w:cs="Sylfaen"/>
          <w:sz w:val="22"/>
          <w:szCs w:val="22"/>
        </w:rPr>
        <w:t xml:space="preserve"> </w:t>
      </w:r>
      <w:r w:rsidR="00E60CAE" w:rsidRPr="00320DDF">
        <w:rPr>
          <w:rFonts w:ascii="Garamond" w:hAnsi="Garamond" w:cs="Sylfaen"/>
          <w:sz w:val="22"/>
          <w:szCs w:val="22"/>
        </w:rPr>
        <w:t xml:space="preserve">which </w:t>
      </w:r>
      <w:r w:rsidR="004C3D1F" w:rsidRPr="00320DDF">
        <w:rPr>
          <w:rFonts w:ascii="Garamond" w:hAnsi="Garamond" w:cs="Sylfaen"/>
          <w:sz w:val="22"/>
          <w:szCs w:val="22"/>
        </w:rPr>
        <w:t xml:space="preserve">covers </w:t>
      </w:r>
      <w:r w:rsidR="00D75A7D" w:rsidRPr="00320DDF">
        <w:rPr>
          <w:rFonts w:ascii="Garamond" w:hAnsi="Garamond" w:cs="Sylfaen"/>
          <w:sz w:val="22"/>
          <w:szCs w:val="22"/>
        </w:rPr>
        <w:t xml:space="preserve">a period from second quarter of </w:t>
      </w:r>
      <w:r w:rsidR="004C3D1F" w:rsidRPr="00320DDF">
        <w:rPr>
          <w:rFonts w:ascii="Garamond" w:hAnsi="Garamond" w:cs="Sylfaen"/>
          <w:sz w:val="22"/>
          <w:szCs w:val="22"/>
        </w:rPr>
        <w:t>2016</w:t>
      </w:r>
      <w:r w:rsidR="00D75A7D" w:rsidRPr="00320DDF">
        <w:rPr>
          <w:rFonts w:ascii="Garamond" w:hAnsi="Garamond" w:cs="Sylfaen"/>
          <w:sz w:val="22"/>
          <w:szCs w:val="22"/>
        </w:rPr>
        <w:t xml:space="preserve"> to second quarter of 2017</w:t>
      </w:r>
      <w:r w:rsidRPr="00320DDF">
        <w:rPr>
          <w:rFonts w:ascii="Garamond" w:hAnsi="Garamond" w:cs="Sylfaen"/>
          <w:sz w:val="22"/>
          <w:szCs w:val="22"/>
        </w:rPr>
        <w:t xml:space="preserve">, </w:t>
      </w:r>
      <w:r w:rsidR="00721F1C" w:rsidRPr="00320DDF">
        <w:rPr>
          <w:rFonts w:ascii="Garamond" w:hAnsi="Garamond" w:cs="Sylfaen"/>
          <w:sz w:val="22"/>
          <w:szCs w:val="22"/>
        </w:rPr>
        <w:t>transmitting of the deflationary impact</w:t>
      </w:r>
      <w:r w:rsidR="0018605A" w:rsidRPr="00320DDF">
        <w:rPr>
          <w:rFonts w:ascii="Garamond" w:hAnsi="Garamond" w:cs="Sylfaen"/>
          <w:sz w:val="22"/>
          <w:szCs w:val="22"/>
        </w:rPr>
        <w:t xml:space="preserve"> </w:t>
      </w:r>
      <w:r w:rsidR="00721F1C" w:rsidRPr="00320DDF">
        <w:rPr>
          <w:rFonts w:ascii="Garamond" w:hAnsi="Garamond" w:cs="Sylfaen"/>
          <w:sz w:val="22"/>
          <w:szCs w:val="22"/>
        </w:rPr>
        <w:t xml:space="preserve">onto the domestic prices from the external sector was still likely, which was only to abolish in the second half of the year, </w:t>
      </w:r>
      <w:r w:rsidR="00760E3E" w:rsidRPr="00320DDF">
        <w:rPr>
          <w:rFonts w:ascii="Garamond" w:hAnsi="Garamond" w:cs="Sylfaen"/>
          <w:sz w:val="22"/>
          <w:szCs w:val="22"/>
        </w:rPr>
        <w:t xml:space="preserve">according to </w:t>
      </w:r>
      <w:r w:rsidR="00D75A7D" w:rsidRPr="00320DDF">
        <w:rPr>
          <w:rFonts w:ascii="Garamond" w:hAnsi="Garamond" w:cs="Sylfaen"/>
          <w:sz w:val="22"/>
          <w:szCs w:val="22"/>
        </w:rPr>
        <w:t>Q2,</w:t>
      </w:r>
      <w:r w:rsidR="00760E3E" w:rsidRPr="00320DDF">
        <w:rPr>
          <w:rFonts w:ascii="Garamond" w:hAnsi="Garamond" w:cs="Sylfaen"/>
          <w:sz w:val="22"/>
          <w:szCs w:val="22"/>
        </w:rPr>
        <w:t xml:space="preserve"> 2016 monetary policy program. </w:t>
      </w:r>
      <w:r w:rsidR="00721F1C" w:rsidRPr="00320DDF">
        <w:rPr>
          <w:rFonts w:ascii="Garamond" w:hAnsi="Garamond" w:cs="Sylfaen"/>
          <w:sz w:val="22"/>
          <w:szCs w:val="22"/>
        </w:rPr>
        <w:t xml:space="preserve">At the same time, the fact was that inflation expectations were diminishing </w:t>
      </w:r>
      <w:r w:rsidR="00696790" w:rsidRPr="00320DDF">
        <w:rPr>
          <w:rFonts w:ascii="Garamond" w:hAnsi="Garamond" w:cs="Sylfaen"/>
          <w:sz w:val="22"/>
          <w:szCs w:val="22"/>
        </w:rPr>
        <w:t xml:space="preserve">relatively fast </w:t>
      </w:r>
      <w:r w:rsidR="00721F1C" w:rsidRPr="00320DDF">
        <w:rPr>
          <w:rFonts w:ascii="Garamond" w:hAnsi="Garamond" w:cs="Sylfaen"/>
          <w:sz w:val="22"/>
          <w:szCs w:val="22"/>
        </w:rPr>
        <w:t>as a result of consistent monetary policy implement</w:t>
      </w:r>
      <w:r w:rsidR="00E64417" w:rsidRPr="00320DDF">
        <w:rPr>
          <w:rFonts w:ascii="Garamond" w:hAnsi="Garamond" w:cs="Sylfaen"/>
          <w:sz w:val="22"/>
          <w:szCs w:val="22"/>
        </w:rPr>
        <w:t>ed before</w:t>
      </w:r>
      <w:r w:rsidR="00721F1C" w:rsidRPr="00320DDF">
        <w:rPr>
          <w:rFonts w:ascii="Garamond" w:hAnsi="Garamond" w:cs="Sylfaen"/>
          <w:sz w:val="22"/>
          <w:szCs w:val="22"/>
        </w:rPr>
        <w:t>.</w:t>
      </w:r>
      <w:r w:rsidR="00696790" w:rsidRPr="00320DDF">
        <w:rPr>
          <w:rFonts w:ascii="Garamond" w:hAnsi="Garamond" w:cs="Sylfaen"/>
          <w:sz w:val="22"/>
          <w:szCs w:val="22"/>
        </w:rPr>
        <w:t xml:space="preserve"> </w:t>
      </w:r>
      <w:r w:rsidR="00760E3E" w:rsidRPr="00320DDF">
        <w:rPr>
          <w:rFonts w:ascii="Garamond" w:hAnsi="Garamond" w:cs="Sylfaen"/>
          <w:sz w:val="22"/>
          <w:szCs w:val="22"/>
        </w:rPr>
        <w:t xml:space="preserve">In </w:t>
      </w:r>
      <w:r w:rsidR="003E3604" w:rsidRPr="00320DDF">
        <w:rPr>
          <w:rFonts w:ascii="Garamond" w:hAnsi="Garamond" w:cs="Sylfaen"/>
          <w:sz w:val="22"/>
          <w:szCs w:val="22"/>
        </w:rPr>
        <w:t>such a</w:t>
      </w:r>
      <w:r w:rsidR="00760E3E" w:rsidRPr="00320DDF">
        <w:rPr>
          <w:rFonts w:ascii="Garamond" w:hAnsi="Garamond" w:cs="Sylfaen"/>
          <w:sz w:val="22"/>
          <w:szCs w:val="22"/>
        </w:rPr>
        <w:t xml:space="preserve"> situation, the </w:t>
      </w:r>
      <w:r w:rsidR="00760E3E" w:rsidRPr="00320DDF">
        <w:rPr>
          <w:rFonts w:ascii="Garamond" w:hAnsi="Garamond" w:cs="Sylfaen"/>
          <w:b/>
          <w:sz w:val="22"/>
          <w:szCs w:val="22"/>
        </w:rPr>
        <w:t xml:space="preserve">Central Bank was planning </w:t>
      </w:r>
      <w:r w:rsidR="003E3604" w:rsidRPr="00320DDF">
        <w:rPr>
          <w:rFonts w:ascii="Garamond" w:hAnsi="Garamond" w:cs="Sylfaen"/>
          <w:b/>
          <w:sz w:val="22"/>
          <w:szCs w:val="22"/>
        </w:rPr>
        <w:t xml:space="preserve">to </w:t>
      </w:r>
      <w:r w:rsidR="00760E3E" w:rsidRPr="00320DDF">
        <w:rPr>
          <w:rFonts w:ascii="Garamond" w:hAnsi="Garamond" w:cs="Sylfaen"/>
          <w:b/>
          <w:sz w:val="22"/>
          <w:szCs w:val="22"/>
        </w:rPr>
        <w:t xml:space="preserve">continue </w:t>
      </w:r>
      <w:r w:rsidR="00E64417" w:rsidRPr="00320DDF">
        <w:rPr>
          <w:rFonts w:ascii="Garamond" w:hAnsi="Garamond" w:cs="Sylfaen"/>
          <w:b/>
          <w:sz w:val="22"/>
          <w:szCs w:val="22"/>
        </w:rPr>
        <w:t xml:space="preserve">easing </w:t>
      </w:r>
      <w:r w:rsidR="00760E3E" w:rsidRPr="00320DDF">
        <w:rPr>
          <w:rFonts w:ascii="Garamond" w:hAnsi="Garamond" w:cs="Sylfaen"/>
          <w:b/>
          <w:sz w:val="22"/>
          <w:szCs w:val="22"/>
        </w:rPr>
        <w:t>monetary conditions</w:t>
      </w:r>
      <w:r w:rsidR="00E64417" w:rsidRPr="00320DDF">
        <w:rPr>
          <w:rFonts w:ascii="Garamond" w:hAnsi="Garamond" w:cs="Sylfaen"/>
          <w:b/>
          <w:sz w:val="22"/>
          <w:szCs w:val="22"/>
        </w:rPr>
        <w:t xml:space="preserve"> in the upcoming two quarters</w:t>
      </w:r>
      <w:r w:rsidR="00E64417" w:rsidRPr="00320DDF">
        <w:rPr>
          <w:rFonts w:ascii="Garamond" w:hAnsi="Garamond" w:cs="Sylfaen"/>
          <w:sz w:val="22"/>
          <w:szCs w:val="22"/>
        </w:rPr>
        <w:t>, which, coupled with loosened monetary conditions at the beginning of previous year, would lead to the expan</w:t>
      </w:r>
      <w:r w:rsidR="0041702C" w:rsidRPr="00320DDF">
        <w:rPr>
          <w:rFonts w:ascii="Garamond" w:hAnsi="Garamond" w:cs="Sylfaen"/>
          <w:sz w:val="22"/>
          <w:szCs w:val="22"/>
        </w:rPr>
        <w:t xml:space="preserve">ding </w:t>
      </w:r>
      <w:r w:rsidR="00E64417" w:rsidRPr="00320DDF">
        <w:rPr>
          <w:rFonts w:ascii="Garamond" w:hAnsi="Garamond" w:cs="Sylfaen"/>
          <w:sz w:val="22"/>
          <w:szCs w:val="22"/>
        </w:rPr>
        <w:t xml:space="preserve">of aggregate demand and </w:t>
      </w:r>
      <w:r w:rsidR="007629C5" w:rsidRPr="00320DDF">
        <w:rPr>
          <w:rFonts w:ascii="Garamond" w:hAnsi="Garamond" w:cs="Sylfaen"/>
          <w:sz w:val="22"/>
          <w:szCs w:val="22"/>
        </w:rPr>
        <w:t xml:space="preserve">help the inflation </w:t>
      </w:r>
      <w:r w:rsidR="00E64417" w:rsidRPr="00320DDF">
        <w:rPr>
          <w:rFonts w:ascii="Garamond" w:hAnsi="Garamond" w:cs="Sylfaen"/>
          <w:sz w:val="22"/>
          <w:szCs w:val="22"/>
        </w:rPr>
        <w:t xml:space="preserve">stabilize around the target </w:t>
      </w:r>
      <w:r w:rsidR="007629C5" w:rsidRPr="00320DDF">
        <w:rPr>
          <w:rFonts w:ascii="Garamond" w:hAnsi="Garamond" w:cs="Sylfaen"/>
          <w:sz w:val="22"/>
          <w:szCs w:val="22"/>
        </w:rPr>
        <w:t xml:space="preserve">in the </w:t>
      </w:r>
      <w:r w:rsidR="00E64417" w:rsidRPr="00320DDF">
        <w:rPr>
          <w:rFonts w:ascii="Garamond" w:hAnsi="Garamond" w:cs="Sylfaen"/>
          <w:sz w:val="22"/>
          <w:szCs w:val="22"/>
        </w:rPr>
        <w:t>forecast horizon.</w:t>
      </w:r>
      <w:r w:rsidR="003E3604" w:rsidRPr="00320DDF">
        <w:rPr>
          <w:rFonts w:ascii="Garamond" w:hAnsi="Garamond" w:cs="Sylfaen"/>
          <w:sz w:val="22"/>
          <w:szCs w:val="22"/>
        </w:rPr>
        <w:t xml:space="preserve"> </w:t>
      </w:r>
    </w:p>
    <w:p w14:paraId="27C075FD" w14:textId="77777777" w:rsidR="0041702C" w:rsidRPr="00320DDF" w:rsidRDefault="0041702C" w:rsidP="00FF3CD9">
      <w:pPr>
        <w:spacing w:line="360" w:lineRule="auto"/>
        <w:jc w:val="both"/>
        <w:rPr>
          <w:rFonts w:ascii="Garamond" w:hAnsi="Garamond" w:cs="Sylfaen"/>
          <w:sz w:val="22"/>
          <w:szCs w:val="22"/>
        </w:rPr>
      </w:pPr>
    </w:p>
    <w:p w14:paraId="1D7B2DE6" w14:textId="77777777" w:rsidR="0041702C" w:rsidRPr="00320DDF" w:rsidRDefault="00E22FF2" w:rsidP="0041702C">
      <w:pPr>
        <w:spacing w:line="360" w:lineRule="auto"/>
        <w:jc w:val="both"/>
        <w:rPr>
          <w:rFonts w:ascii="Garamond" w:hAnsi="Garamond" w:cs="Sylfaen"/>
          <w:sz w:val="22"/>
          <w:szCs w:val="22"/>
        </w:rPr>
      </w:pPr>
      <w:r w:rsidRPr="00320DDF">
        <w:rPr>
          <w:rFonts w:ascii="Garamond" w:hAnsi="Garamond" w:cs="Sylfaen"/>
          <w:sz w:val="22"/>
          <w:szCs w:val="22"/>
        </w:rPr>
        <w:t>The environment remained mostly deflationary</w:t>
      </w:r>
      <w:r w:rsidR="00AE50EC" w:rsidRPr="00320DDF">
        <w:rPr>
          <w:rFonts w:ascii="Garamond" w:hAnsi="Garamond" w:cs="Sylfaen"/>
          <w:sz w:val="22"/>
          <w:szCs w:val="22"/>
        </w:rPr>
        <w:t>, as was expected,</w:t>
      </w:r>
      <w:r w:rsidRPr="00320DDF">
        <w:rPr>
          <w:rFonts w:ascii="Garamond" w:hAnsi="Garamond" w:cs="Sylfaen"/>
          <w:sz w:val="22"/>
          <w:szCs w:val="22"/>
        </w:rPr>
        <w:t xml:space="preserve"> after actual developments in the second and third quarters of 2016</w:t>
      </w:r>
      <w:r w:rsidR="00AE50EC" w:rsidRPr="00320DDF">
        <w:rPr>
          <w:rFonts w:ascii="Garamond" w:hAnsi="Garamond" w:cs="Sylfaen"/>
          <w:sz w:val="22"/>
          <w:szCs w:val="22"/>
        </w:rPr>
        <w:t xml:space="preserve">. </w:t>
      </w:r>
      <w:r w:rsidR="0041702C" w:rsidRPr="00320DDF">
        <w:rPr>
          <w:rFonts w:ascii="Garamond" w:hAnsi="Garamond" w:cs="Sylfaen"/>
          <w:sz w:val="22"/>
          <w:szCs w:val="22"/>
        </w:rPr>
        <w:t xml:space="preserve">In </w:t>
      </w:r>
      <w:r w:rsidR="00AE50EC" w:rsidRPr="00320DDF">
        <w:rPr>
          <w:rFonts w:ascii="Garamond" w:hAnsi="Garamond" w:cs="Sylfaen"/>
          <w:sz w:val="22"/>
          <w:szCs w:val="22"/>
        </w:rPr>
        <w:t xml:space="preserve">the period </w:t>
      </w:r>
      <w:r w:rsidR="0041702C" w:rsidRPr="00320DDF">
        <w:rPr>
          <w:rFonts w:ascii="Garamond" w:hAnsi="Garamond" w:cs="Sylfaen"/>
          <w:sz w:val="22"/>
          <w:szCs w:val="22"/>
        </w:rPr>
        <w:t xml:space="preserve">April-September 2016 </w:t>
      </w:r>
      <w:r w:rsidR="00AE50EC" w:rsidRPr="00320DDF">
        <w:rPr>
          <w:rFonts w:ascii="Garamond" w:hAnsi="Garamond" w:cs="Sylfaen"/>
          <w:sz w:val="22"/>
          <w:szCs w:val="22"/>
        </w:rPr>
        <w:t xml:space="preserve">there has been </w:t>
      </w:r>
      <w:r w:rsidR="0041702C" w:rsidRPr="00320DDF">
        <w:rPr>
          <w:rFonts w:ascii="Garamond" w:hAnsi="Garamond" w:cs="Sylfaen"/>
          <w:sz w:val="22"/>
          <w:szCs w:val="22"/>
        </w:rPr>
        <w:t xml:space="preserve">4.1% </w:t>
      </w:r>
      <w:r w:rsidR="00AE50EC" w:rsidRPr="00320DDF">
        <w:rPr>
          <w:rFonts w:ascii="Garamond" w:hAnsi="Garamond" w:cs="Sylfaen"/>
          <w:sz w:val="22"/>
          <w:szCs w:val="22"/>
        </w:rPr>
        <w:t xml:space="preserve">deflation </w:t>
      </w:r>
      <w:r w:rsidR="0041702C" w:rsidRPr="00320DDF">
        <w:rPr>
          <w:rFonts w:ascii="Garamond" w:hAnsi="Garamond" w:cs="Sylfaen"/>
          <w:sz w:val="22"/>
          <w:szCs w:val="22"/>
        </w:rPr>
        <w:t>(</w:t>
      </w:r>
      <w:r w:rsidR="00AE50EC" w:rsidRPr="00320DDF">
        <w:rPr>
          <w:rFonts w:ascii="Garamond" w:hAnsi="Garamond" w:cs="Sylfaen"/>
          <w:sz w:val="22"/>
          <w:szCs w:val="22"/>
        </w:rPr>
        <w:t xml:space="preserve">4.2% in the </w:t>
      </w:r>
      <w:r w:rsidR="0041702C" w:rsidRPr="00320DDF">
        <w:rPr>
          <w:rFonts w:ascii="Garamond" w:hAnsi="Garamond" w:cs="Sylfaen"/>
          <w:sz w:val="22"/>
          <w:szCs w:val="22"/>
        </w:rPr>
        <w:t>same</w:t>
      </w:r>
      <w:r w:rsidR="00AE50EC" w:rsidRPr="00320DDF">
        <w:rPr>
          <w:rFonts w:ascii="Garamond" w:hAnsi="Garamond" w:cs="Sylfaen"/>
          <w:sz w:val="22"/>
          <w:szCs w:val="22"/>
        </w:rPr>
        <w:t xml:space="preserve"> reference period </w:t>
      </w:r>
      <w:r w:rsidR="0041702C" w:rsidRPr="00320DDF">
        <w:rPr>
          <w:rFonts w:ascii="Garamond" w:hAnsi="Garamond" w:cs="Sylfaen"/>
          <w:sz w:val="22"/>
          <w:szCs w:val="22"/>
        </w:rPr>
        <w:t xml:space="preserve">last year), leaving the </w:t>
      </w:r>
      <w:r w:rsidR="0041702C" w:rsidRPr="00320DDF">
        <w:rPr>
          <w:rFonts w:ascii="Garamond" w:hAnsi="Garamond" w:cs="Sylfaen"/>
          <w:b/>
          <w:sz w:val="22"/>
          <w:szCs w:val="22"/>
        </w:rPr>
        <w:t>12-month inflation rate</w:t>
      </w:r>
      <w:r w:rsidR="0041702C" w:rsidRPr="00320DDF">
        <w:rPr>
          <w:rFonts w:ascii="Garamond" w:hAnsi="Garamond" w:cs="Sylfaen"/>
          <w:sz w:val="22"/>
          <w:szCs w:val="22"/>
        </w:rPr>
        <w:t xml:space="preserve"> </w:t>
      </w:r>
      <w:r w:rsidR="00AE50EC" w:rsidRPr="00320DDF">
        <w:rPr>
          <w:rFonts w:ascii="Garamond" w:hAnsi="Garamond" w:cs="Sylfaen"/>
          <w:sz w:val="22"/>
          <w:szCs w:val="22"/>
        </w:rPr>
        <w:t xml:space="preserve">to fluctuate at </w:t>
      </w:r>
      <w:r w:rsidR="0041702C" w:rsidRPr="00320DDF">
        <w:rPr>
          <w:rFonts w:ascii="Garamond" w:hAnsi="Garamond" w:cs="Sylfaen"/>
          <w:sz w:val="22"/>
          <w:szCs w:val="22"/>
        </w:rPr>
        <w:t xml:space="preserve">-1.9%. </w:t>
      </w:r>
      <w:r w:rsidR="009F5707" w:rsidRPr="00320DDF">
        <w:rPr>
          <w:rFonts w:ascii="Garamond" w:hAnsi="Garamond" w:cs="Sylfaen"/>
          <w:sz w:val="22"/>
          <w:szCs w:val="22"/>
        </w:rPr>
        <w:t xml:space="preserve">The deflation that time has been largely driven by the impact of deflationary patterns in international commodity markets transmitted onto </w:t>
      </w:r>
      <w:r w:rsidR="0041702C" w:rsidRPr="00320DDF">
        <w:rPr>
          <w:rFonts w:ascii="Garamond" w:hAnsi="Garamond" w:cs="Sylfaen"/>
          <w:sz w:val="22"/>
          <w:szCs w:val="22"/>
        </w:rPr>
        <w:t xml:space="preserve">domestic prices, </w:t>
      </w:r>
      <w:r w:rsidR="009F5707" w:rsidRPr="00320DDF">
        <w:rPr>
          <w:rFonts w:ascii="Garamond" w:hAnsi="Garamond" w:cs="Sylfaen"/>
          <w:sz w:val="22"/>
          <w:szCs w:val="22"/>
        </w:rPr>
        <w:t>sluggish d</w:t>
      </w:r>
      <w:r w:rsidR="0041702C" w:rsidRPr="00320DDF">
        <w:rPr>
          <w:rFonts w:ascii="Garamond" w:hAnsi="Garamond" w:cs="Sylfaen"/>
          <w:sz w:val="22"/>
          <w:szCs w:val="22"/>
        </w:rPr>
        <w:t xml:space="preserve">omestic demand and </w:t>
      </w:r>
      <w:r w:rsidR="009F5707" w:rsidRPr="00320DDF">
        <w:rPr>
          <w:rFonts w:ascii="Garamond" w:hAnsi="Garamond" w:cs="Sylfaen"/>
          <w:sz w:val="22"/>
          <w:szCs w:val="22"/>
        </w:rPr>
        <w:t xml:space="preserve">lower food prices owing to </w:t>
      </w:r>
      <w:r w:rsidR="0041702C" w:rsidRPr="00320DDF">
        <w:rPr>
          <w:rFonts w:ascii="Garamond" w:hAnsi="Garamond" w:cs="Sylfaen"/>
          <w:sz w:val="22"/>
          <w:szCs w:val="22"/>
        </w:rPr>
        <w:t>high growth</w:t>
      </w:r>
      <w:r w:rsidR="009F5707" w:rsidRPr="00320DDF">
        <w:rPr>
          <w:rFonts w:ascii="Garamond" w:hAnsi="Garamond" w:cs="Sylfaen"/>
          <w:sz w:val="22"/>
          <w:szCs w:val="22"/>
        </w:rPr>
        <w:t xml:space="preserve"> registered</w:t>
      </w:r>
      <w:r w:rsidR="0041702C" w:rsidRPr="00320DDF">
        <w:rPr>
          <w:rFonts w:ascii="Garamond" w:hAnsi="Garamond" w:cs="Sylfaen"/>
          <w:sz w:val="22"/>
          <w:szCs w:val="22"/>
        </w:rPr>
        <w:t xml:space="preserve"> in agricultural sector</w:t>
      </w:r>
      <w:r w:rsidR="009F5707" w:rsidRPr="00320DDF">
        <w:rPr>
          <w:rFonts w:ascii="Garamond" w:hAnsi="Garamond" w:cs="Sylfaen"/>
          <w:sz w:val="22"/>
          <w:szCs w:val="22"/>
        </w:rPr>
        <w:t xml:space="preserve"> </w:t>
      </w:r>
      <w:r w:rsidR="0041702C" w:rsidRPr="00320DDF">
        <w:rPr>
          <w:rFonts w:ascii="Garamond" w:hAnsi="Garamond" w:cs="Sylfaen"/>
          <w:sz w:val="22"/>
          <w:szCs w:val="22"/>
        </w:rPr>
        <w:t xml:space="preserve">over the same </w:t>
      </w:r>
      <w:r w:rsidR="009F5707" w:rsidRPr="00320DDF">
        <w:rPr>
          <w:rFonts w:ascii="Garamond" w:hAnsi="Garamond" w:cs="Sylfaen"/>
          <w:sz w:val="22"/>
          <w:szCs w:val="22"/>
        </w:rPr>
        <w:t xml:space="preserve">reference </w:t>
      </w:r>
      <w:r w:rsidR="0041702C" w:rsidRPr="00320DDF">
        <w:rPr>
          <w:rFonts w:ascii="Garamond" w:hAnsi="Garamond" w:cs="Sylfaen"/>
          <w:sz w:val="22"/>
          <w:szCs w:val="22"/>
        </w:rPr>
        <w:t>period last year.</w:t>
      </w:r>
    </w:p>
    <w:p w14:paraId="199C92DE" w14:textId="77777777" w:rsidR="0041702C" w:rsidRPr="00320DDF" w:rsidRDefault="0041702C" w:rsidP="0041702C">
      <w:pPr>
        <w:spacing w:line="360" w:lineRule="auto"/>
        <w:jc w:val="both"/>
        <w:rPr>
          <w:rFonts w:ascii="Garamond" w:hAnsi="Garamond" w:cs="Sylfaen"/>
          <w:sz w:val="22"/>
          <w:szCs w:val="22"/>
        </w:rPr>
      </w:pPr>
    </w:p>
    <w:p w14:paraId="26BB1EF9" w14:textId="77777777" w:rsidR="0041702C" w:rsidRPr="00320DDF" w:rsidRDefault="009F5707" w:rsidP="0041702C">
      <w:pPr>
        <w:spacing w:line="360" w:lineRule="auto"/>
        <w:jc w:val="both"/>
        <w:rPr>
          <w:rFonts w:ascii="Garamond" w:hAnsi="Garamond" w:cs="Sylfaen"/>
          <w:sz w:val="22"/>
          <w:szCs w:val="22"/>
        </w:rPr>
      </w:pPr>
      <w:r w:rsidRPr="00320DDF">
        <w:rPr>
          <w:rFonts w:ascii="Garamond" w:hAnsi="Garamond" w:cs="Sylfaen"/>
          <w:sz w:val="22"/>
          <w:szCs w:val="22"/>
        </w:rPr>
        <w:t>In response to such inflationary devel</w:t>
      </w:r>
      <w:r w:rsidR="0041702C" w:rsidRPr="00320DDF">
        <w:rPr>
          <w:rFonts w:ascii="Garamond" w:hAnsi="Garamond" w:cs="Sylfaen"/>
          <w:sz w:val="22"/>
          <w:szCs w:val="22"/>
        </w:rPr>
        <w:t>opments, the Central Bank has gradually eased the monetary conditions</w:t>
      </w:r>
      <w:r w:rsidR="00724834" w:rsidRPr="00320DDF">
        <w:rPr>
          <w:rFonts w:ascii="Garamond" w:hAnsi="Garamond" w:cs="Sylfaen"/>
          <w:sz w:val="22"/>
          <w:szCs w:val="22"/>
        </w:rPr>
        <w:t xml:space="preserve"> by </w:t>
      </w:r>
      <w:r w:rsidR="0041702C" w:rsidRPr="00320DDF">
        <w:rPr>
          <w:rFonts w:ascii="Garamond" w:hAnsi="Garamond" w:cs="Sylfaen"/>
          <w:sz w:val="22"/>
          <w:szCs w:val="22"/>
        </w:rPr>
        <w:t>lower</w:t>
      </w:r>
      <w:r w:rsidR="00724834" w:rsidRPr="00320DDF">
        <w:rPr>
          <w:rFonts w:ascii="Garamond" w:hAnsi="Garamond" w:cs="Sylfaen"/>
          <w:sz w:val="22"/>
          <w:szCs w:val="22"/>
        </w:rPr>
        <w:t>ing</w:t>
      </w:r>
      <w:r w:rsidR="0041702C" w:rsidRPr="00320DDF">
        <w:rPr>
          <w:rFonts w:ascii="Garamond" w:hAnsi="Garamond" w:cs="Sylfaen"/>
          <w:sz w:val="22"/>
          <w:szCs w:val="22"/>
        </w:rPr>
        <w:t xml:space="preserve"> the refinancing rate a total of 1.5 p</w:t>
      </w:r>
      <w:r w:rsidR="00724834" w:rsidRPr="00320DDF">
        <w:rPr>
          <w:rFonts w:ascii="Garamond" w:hAnsi="Garamond" w:cs="Sylfaen"/>
          <w:sz w:val="22"/>
          <w:szCs w:val="22"/>
        </w:rPr>
        <w:t xml:space="preserve">p to </w:t>
      </w:r>
      <w:r w:rsidR="0041702C" w:rsidRPr="00320DDF">
        <w:rPr>
          <w:rFonts w:ascii="Garamond" w:hAnsi="Garamond" w:cs="Sylfaen"/>
          <w:b/>
          <w:sz w:val="22"/>
          <w:szCs w:val="22"/>
        </w:rPr>
        <w:t>6.75%</w:t>
      </w:r>
      <w:r w:rsidR="0041702C" w:rsidRPr="00320DDF">
        <w:rPr>
          <w:rFonts w:ascii="Garamond" w:hAnsi="Garamond" w:cs="Sylfaen"/>
          <w:sz w:val="22"/>
          <w:szCs w:val="22"/>
        </w:rPr>
        <w:t xml:space="preserve"> </w:t>
      </w:r>
      <w:r w:rsidR="00724834" w:rsidRPr="00320DDF">
        <w:rPr>
          <w:rFonts w:ascii="Garamond" w:hAnsi="Garamond" w:cs="Sylfaen"/>
          <w:sz w:val="22"/>
          <w:szCs w:val="22"/>
        </w:rPr>
        <w:t xml:space="preserve">at the end of </w:t>
      </w:r>
      <w:r w:rsidR="0041702C" w:rsidRPr="00320DDF">
        <w:rPr>
          <w:rFonts w:ascii="Garamond" w:hAnsi="Garamond" w:cs="Sylfaen"/>
          <w:sz w:val="22"/>
          <w:szCs w:val="22"/>
        </w:rPr>
        <w:t>September.</w:t>
      </w:r>
    </w:p>
    <w:p w14:paraId="73A00581" w14:textId="77777777" w:rsidR="0041702C" w:rsidRPr="00320DDF" w:rsidRDefault="0041702C" w:rsidP="0041702C">
      <w:pPr>
        <w:spacing w:line="360" w:lineRule="auto"/>
        <w:jc w:val="both"/>
        <w:rPr>
          <w:rFonts w:ascii="Garamond" w:hAnsi="Garamond" w:cs="Sylfaen"/>
          <w:sz w:val="22"/>
          <w:szCs w:val="22"/>
        </w:rPr>
      </w:pPr>
    </w:p>
    <w:p w14:paraId="5D0017E7" w14:textId="788CD969" w:rsidR="0041702C" w:rsidRPr="00320DDF" w:rsidRDefault="0041702C" w:rsidP="0041702C">
      <w:pPr>
        <w:spacing w:line="360" w:lineRule="auto"/>
        <w:jc w:val="both"/>
        <w:rPr>
          <w:rFonts w:ascii="Garamond" w:hAnsi="Garamond" w:cs="Sylfaen"/>
          <w:sz w:val="22"/>
          <w:szCs w:val="22"/>
        </w:rPr>
      </w:pPr>
      <w:r w:rsidRPr="00320DDF">
        <w:rPr>
          <w:rFonts w:ascii="Garamond" w:hAnsi="Garamond" w:cs="Sylfaen"/>
          <w:sz w:val="22"/>
          <w:szCs w:val="22"/>
        </w:rPr>
        <w:t xml:space="preserve">However, </w:t>
      </w:r>
      <w:r w:rsidR="00724834" w:rsidRPr="00320DDF">
        <w:rPr>
          <w:rFonts w:ascii="Garamond" w:hAnsi="Garamond" w:cs="Sylfaen"/>
          <w:sz w:val="22"/>
          <w:szCs w:val="22"/>
        </w:rPr>
        <w:t xml:space="preserve">expected reduction in gas and electricity </w:t>
      </w:r>
      <w:r w:rsidR="007A1712">
        <w:rPr>
          <w:rFonts w:ascii="Garamond" w:hAnsi="Garamond" w:cs="Sylfaen"/>
          <w:sz w:val="22"/>
          <w:szCs w:val="22"/>
        </w:rPr>
        <w:t>tariffs</w:t>
      </w:r>
      <w:r w:rsidR="007A1712" w:rsidRPr="00320DDF">
        <w:rPr>
          <w:rFonts w:ascii="Garamond" w:hAnsi="Garamond" w:cs="Sylfaen"/>
          <w:sz w:val="22"/>
          <w:szCs w:val="22"/>
        </w:rPr>
        <w:t xml:space="preserve"> </w:t>
      </w:r>
      <w:r w:rsidR="00724834" w:rsidRPr="00320DDF">
        <w:rPr>
          <w:rFonts w:ascii="Garamond" w:hAnsi="Garamond" w:cs="Sylfaen"/>
          <w:sz w:val="22"/>
          <w:szCs w:val="22"/>
        </w:rPr>
        <w:t xml:space="preserve">in the first quarter of 2017 and contractionary fiscal policy implementation for 2017 were added to existing deflation risks </w:t>
      </w:r>
      <w:r w:rsidRPr="00320DDF">
        <w:rPr>
          <w:rFonts w:ascii="Garamond" w:hAnsi="Garamond" w:cs="Sylfaen"/>
          <w:sz w:val="22"/>
          <w:szCs w:val="22"/>
        </w:rPr>
        <w:t>at the end of the third quarter</w:t>
      </w:r>
      <w:r w:rsidR="00724834" w:rsidRPr="00320DDF">
        <w:rPr>
          <w:rFonts w:ascii="Garamond" w:hAnsi="Garamond" w:cs="Sylfaen"/>
          <w:sz w:val="22"/>
          <w:szCs w:val="22"/>
        </w:rPr>
        <w:t xml:space="preserve">, which prompted </w:t>
      </w:r>
      <w:r w:rsidRPr="00320DDF">
        <w:rPr>
          <w:rFonts w:ascii="Garamond" w:hAnsi="Garamond" w:cs="Sylfaen"/>
          <w:sz w:val="22"/>
          <w:szCs w:val="22"/>
        </w:rPr>
        <w:t xml:space="preserve">the Central Bank </w:t>
      </w:r>
      <w:r w:rsidR="00724834" w:rsidRPr="00320DDF">
        <w:rPr>
          <w:rFonts w:ascii="Garamond" w:hAnsi="Garamond" w:cs="Sylfaen"/>
          <w:sz w:val="22"/>
          <w:szCs w:val="22"/>
        </w:rPr>
        <w:t xml:space="preserve">to make downside adjustment </w:t>
      </w:r>
      <w:r w:rsidR="00F4153C" w:rsidRPr="00320DDF">
        <w:rPr>
          <w:rFonts w:ascii="Garamond" w:hAnsi="Garamond" w:cs="Sylfaen"/>
          <w:sz w:val="22"/>
          <w:szCs w:val="22"/>
        </w:rPr>
        <w:t xml:space="preserve">to forecasts </w:t>
      </w:r>
      <w:r w:rsidR="00724834" w:rsidRPr="00320DDF">
        <w:rPr>
          <w:rFonts w:ascii="Garamond" w:hAnsi="Garamond" w:cs="Sylfaen"/>
          <w:sz w:val="22"/>
          <w:szCs w:val="22"/>
        </w:rPr>
        <w:t xml:space="preserve">for the </w:t>
      </w:r>
      <w:r w:rsidRPr="00320DDF">
        <w:rPr>
          <w:rFonts w:ascii="Garamond" w:hAnsi="Garamond" w:cs="Sylfaen"/>
          <w:sz w:val="22"/>
          <w:szCs w:val="22"/>
        </w:rPr>
        <w:t xml:space="preserve">fourth </w:t>
      </w:r>
      <w:r w:rsidR="00724834" w:rsidRPr="00320DDF">
        <w:rPr>
          <w:rFonts w:ascii="Garamond" w:hAnsi="Garamond" w:cs="Sylfaen"/>
          <w:sz w:val="22"/>
          <w:szCs w:val="22"/>
        </w:rPr>
        <w:t xml:space="preserve">quarter of 2016 and </w:t>
      </w:r>
      <w:r w:rsidRPr="00320DDF">
        <w:rPr>
          <w:rFonts w:ascii="Garamond" w:hAnsi="Garamond" w:cs="Sylfaen"/>
          <w:sz w:val="22"/>
          <w:szCs w:val="22"/>
        </w:rPr>
        <w:t>first</w:t>
      </w:r>
      <w:r w:rsidR="00724834" w:rsidRPr="00320DDF">
        <w:rPr>
          <w:rFonts w:ascii="Garamond" w:hAnsi="Garamond" w:cs="Sylfaen"/>
          <w:sz w:val="22"/>
          <w:szCs w:val="22"/>
        </w:rPr>
        <w:t xml:space="preserve"> </w:t>
      </w:r>
      <w:r w:rsidRPr="00320DDF">
        <w:rPr>
          <w:rFonts w:ascii="Garamond" w:hAnsi="Garamond" w:cs="Sylfaen"/>
          <w:sz w:val="22"/>
          <w:szCs w:val="22"/>
        </w:rPr>
        <w:t>quarter</w:t>
      </w:r>
      <w:r w:rsidR="00724834" w:rsidRPr="00320DDF">
        <w:rPr>
          <w:rFonts w:ascii="Garamond" w:hAnsi="Garamond" w:cs="Sylfaen"/>
          <w:sz w:val="22"/>
          <w:szCs w:val="22"/>
        </w:rPr>
        <w:t xml:space="preserve"> of 2017</w:t>
      </w:r>
      <w:r w:rsidRPr="00320DDF">
        <w:rPr>
          <w:rFonts w:ascii="Garamond" w:hAnsi="Garamond" w:cs="Sylfaen"/>
          <w:sz w:val="22"/>
          <w:szCs w:val="22"/>
        </w:rPr>
        <w:t>.</w:t>
      </w:r>
    </w:p>
    <w:p w14:paraId="67A1E470" w14:textId="77777777" w:rsidR="0041702C" w:rsidRPr="00320DDF" w:rsidRDefault="0041702C" w:rsidP="0041702C">
      <w:pPr>
        <w:spacing w:line="360" w:lineRule="auto"/>
        <w:jc w:val="both"/>
        <w:rPr>
          <w:rFonts w:ascii="Garamond" w:hAnsi="Garamond" w:cs="Sylfaen"/>
          <w:sz w:val="22"/>
          <w:szCs w:val="22"/>
        </w:rPr>
      </w:pPr>
    </w:p>
    <w:p w14:paraId="48C58FA1" w14:textId="77777777" w:rsidR="0041702C" w:rsidRPr="00320DDF" w:rsidRDefault="0041702C" w:rsidP="0041702C">
      <w:pPr>
        <w:spacing w:line="360" w:lineRule="auto"/>
        <w:jc w:val="both"/>
        <w:rPr>
          <w:rFonts w:ascii="Garamond" w:hAnsi="Garamond" w:cs="Sylfaen"/>
          <w:sz w:val="22"/>
          <w:szCs w:val="22"/>
        </w:rPr>
      </w:pPr>
      <w:r w:rsidRPr="00320DDF">
        <w:rPr>
          <w:rFonts w:ascii="Garamond" w:hAnsi="Garamond" w:cs="Sylfaen"/>
          <w:sz w:val="22"/>
          <w:szCs w:val="22"/>
        </w:rPr>
        <w:t>A</w:t>
      </w:r>
      <w:r w:rsidR="00F4153C" w:rsidRPr="00320DDF">
        <w:rPr>
          <w:rFonts w:ascii="Garamond" w:hAnsi="Garamond" w:cs="Sylfaen"/>
          <w:sz w:val="22"/>
          <w:szCs w:val="22"/>
        </w:rPr>
        <w:t>s a result of a</w:t>
      </w:r>
      <w:r w:rsidRPr="00320DDF">
        <w:rPr>
          <w:rFonts w:ascii="Garamond" w:hAnsi="Garamond" w:cs="Sylfaen"/>
          <w:sz w:val="22"/>
          <w:szCs w:val="22"/>
        </w:rPr>
        <w:t>ctual inflation developments</w:t>
      </w:r>
      <w:r w:rsidR="00F4153C" w:rsidRPr="00320DDF">
        <w:rPr>
          <w:rFonts w:ascii="Garamond" w:hAnsi="Garamond" w:cs="Sylfaen"/>
          <w:sz w:val="22"/>
          <w:szCs w:val="22"/>
        </w:rPr>
        <w:t>, the</w:t>
      </w:r>
      <w:r w:rsidRPr="00320DDF">
        <w:rPr>
          <w:rFonts w:ascii="Garamond" w:hAnsi="Garamond" w:cs="Sylfaen"/>
          <w:sz w:val="22"/>
          <w:szCs w:val="22"/>
        </w:rPr>
        <w:t xml:space="preserve"> deflationary environment gradually </w:t>
      </w:r>
      <w:r w:rsidR="00F4153C" w:rsidRPr="00320DDF">
        <w:rPr>
          <w:rFonts w:ascii="Garamond" w:hAnsi="Garamond" w:cs="Sylfaen"/>
          <w:sz w:val="22"/>
          <w:szCs w:val="22"/>
        </w:rPr>
        <w:t xml:space="preserve">mitigated from the fourth quarter of 2016 to </w:t>
      </w:r>
      <w:r w:rsidRPr="00320DDF">
        <w:rPr>
          <w:rFonts w:ascii="Garamond" w:hAnsi="Garamond" w:cs="Sylfaen"/>
          <w:sz w:val="22"/>
          <w:szCs w:val="22"/>
        </w:rPr>
        <w:t xml:space="preserve">April </w:t>
      </w:r>
      <w:r w:rsidR="00F4153C" w:rsidRPr="00320DDF">
        <w:rPr>
          <w:rFonts w:ascii="Garamond" w:hAnsi="Garamond" w:cs="Sylfaen"/>
          <w:sz w:val="22"/>
          <w:szCs w:val="22"/>
        </w:rPr>
        <w:t xml:space="preserve">of 2017, </w:t>
      </w:r>
      <w:r w:rsidRPr="00320DDF">
        <w:rPr>
          <w:rFonts w:ascii="Garamond" w:hAnsi="Garamond" w:cs="Sylfaen"/>
          <w:sz w:val="22"/>
          <w:szCs w:val="22"/>
        </w:rPr>
        <w:t xml:space="preserve">and the </w:t>
      </w:r>
      <w:r w:rsidRPr="00320DDF">
        <w:rPr>
          <w:rFonts w:ascii="Garamond" w:hAnsi="Garamond" w:cs="Sylfaen"/>
          <w:b/>
          <w:sz w:val="22"/>
          <w:szCs w:val="22"/>
        </w:rPr>
        <w:t>12-month inflation</w:t>
      </w:r>
      <w:r w:rsidR="00F4153C" w:rsidRPr="00320DDF">
        <w:rPr>
          <w:rFonts w:ascii="Garamond" w:hAnsi="Garamond" w:cs="Sylfaen"/>
          <w:sz w:val="22"/>
          <w:szCs w:val="22"/>
        </w:rPr>
        <w:t xml:space="preserve"> </w:t>
      </w:r>
      <w:r w:rsidR="00F4153C" w:rsidRPr="00320DDF">
        <w:rPr>
          <w:rFonts w:ascii="Garamond" w:hAnsi="Garamond" w:cs="Sylfaen"/>
          <w:b/>
          <w:sz w:val="22"/>
          <w:szCs w:val="22"/>
        </w:rPr>
        <w:t>rate</w:t>
      </w:r>
      <w:r w:rsidRPr="00320DDF">
        <w:rPr>
          <w:rFonts w:ascii="Garamond" w:hAnsi="Garamond" w:cs="Sylfaen"/>
          <w:sz w:val="22"/>
          <w:szCs w:val="22"/>
        </w:rPr>
        <w:t xml:space="preserve"> rose to </w:t>
      </w:r>
      <w:r w:rsidRPr="00320DDF">
        <w:rPr>
          <w:rFonts w:ascii="Garamond" w:hAnsi="Garamond" w:cs="Sylfaen"/>
          <w:b/>
          <w:sz w:val="22"/>
          <w:szCs w:val="22"/>
        </w:rPr>
        <w:t>-0.1%</w:t>
      </w:r>
      <w:r w:rsidR="00D53A9B" w:rsidRPr="00320DDF">
        <w:rPr>
          <w:rFonts w:ascii="Garamond" w:hAnsi="Garamond" w:cs="Sylfaen"/>
          <w:sz w:val="22"/>
          <w:szCs w:val="22"/>
        </w:rPr>
        <w:t xml:space="preserve"> in March. However, given </w:t>
      </w:r>
      <w:r w:rsidRPr="00320DDF">
        <w:rPr>
          <w:rFonts w:ascii="Garamond" w:hAnsi="Garamond" w:cs="Sylfaen"/>
          <w:sz w:val="22"/>
          <w:szCs w:val="22"/>
        </w:rPr>
        <w:t xml:space="preserve">low economic activity in that period, expected lower prices of </w:t>
      </w:r>
      <w:r w:rsidR="00D53A9B" w:rsidRPr="00320DDF">
        <w:rPr>
          <w:rFonts w:ascii="Garamond" w:hAnsi="Garamond" w:cs="Sylfaen"/>
          <w:sz w:val="22"/>
          <w:szCs w:val="22"/>
        </w:rPr>
        <w:t xml:space="preserve">some </w:t>
      </w:r>
      <w:r w:rsidRPr="00320DDF">
        <w:rPr>
          <w:rFonts w:ascii="Garamond" w:hAnsi="Garamond" w:cs="Sylfaen"/>
          <w:sz w:val="22"/>
          <w:szCs w:val="22"/>
        </w:rPr>
        <w:t xml:space="preserve">non-food </w:t>
      </w:r>
      <w:r w:rsidR="00D53A9B" w:rsidRPr="00320DDF">
        <w:rPr>
          <w:rFonts w:ascii="Garamond" w:hAnsi="Garamond" w:cs="Sylfaen"/>
          <w:sz w:val="22"/>
          <w:szCs w:val="22"/>
        </w:rPr>
        <w:t xml:space="preserve">products in </w:t>
      </w:r>
      <w:r w:rsidRPr="00320DDF">
        <w:rPr>
          <w:rFonts w:ascii="Garamond" w:hAnsi="Garamond" w:cs="Sylfaen"/>
          <w:sz w:val="22"/>
          <w:szCs w:val="22"/>
        </w:rPr>
        <w:t>compar</w:t>
      </w:r>
      <w:r w:rsidR="00D53A9B" w:rsidRPr="00320DDF">
        <w:rPr>
          <w:rFonts w:ascii="Garamond" w:hAnsi="Garamond" w:cs="Sylfaen"/>
          <w:sz w:val="22"/>
          <w:szCs w:val="22"/>
        </w:rPr>
        <w:t>ison with</w:t>
      </w:r>
      <w:r w:rsidR="00620810" w:rsidRPr="00320DDF">
        <w:rPr>
          <w:rFonts w:ascii="Garamond" w:hAnsi="Garamond" w:cs="Sylfaen"/>
          <w:sz w:val="22"/>
          <w:szCs w:val="22"/>
        </w:rPr>
        <w:t xml:space="preserve"> the previous forecast as well as anticipated impact of contractionary</w:t>
      </w:r>
      <w:r w:rsidRPr="00320DDF">
        <w:rPr>
          <w:rFonts w:ascii="Garamond" w:hAnsi="Garamond" w:cs="Sylfaen"/>
          <w:sz w:val="22"/>
          <w:szCs w:val="22"/>
        </w:rPr>
        <w:t xml:space="preserve"> fiscal policy </w:t>
      </w:r>
      <w:r w:rsidR="00620810" w:rsidRPr="00320DDF">
        <w:rPr>
          <w:rFonts w:ascii="Garamond" w:hAnsi="Garamond" w:cs="Sylfaen"/>
          <w:sz w:val="22"/>
          <w:szCs w:val="22"/>
        </w:rPr>
        <w:t xml:space="preserve">planned </w:t>
      </w:r>
      <w:r w:rsidRPr="00320DDF">
        <w:rPr>
          <w:rFonts w:ascii="Garamond" w:hAnsi="Garamond" w:cs="Sylfaen"/>
          <w:sz w:val="22"/>
          <w:szCs w:val="22"/>
        </w:rPr>
        <w:t>by the Government</w:t>
      </w:r>
      <w:r w:rsidR="00620810" w:rsidRPr="00320DDF">
        <w:rPr>
          <w:rFonts w:ascii="Garamond" w:hAnsi="Garamond" w:cs="Sylfaen"/>
          <w:sz w:val="22"/>
          <w:szCs w:val="22"/>
        </w:rPr>
        <w:t xml:space="preserve"> for 2017</w:t>
      </w:r>
      <w:r w:rsidRPr="00320DDF">
        <w:rPr>
          <w:rFonts w:ascii="Garamond" w:hAnsi="Garamond" w:cs="Sylfaen"/>
          <w:sz w:val="22"/>
          <w:szCs w:val="22"/>
        </w:rPr>
        <w:t xml:space="preserve">, the Central Bank </w:t>
      </w:r>
      <w:r w:rsidR="00620810" w:rsidRPr="00320DDF">
        <w:rPr>
          <w:rFonts w:ascii="Garamond" w:hAnsi="Garamond" w:cs="Sylfaen"/>
          <w:sz w:val="22"/>
          <w:szCs w:val="22"/>
        </w:rPr>
        <w:t xml:space="preserve">kept on </w:t>
      </w:r>
      <w:r w:rsidRPr="00320DDF">
        <w:rPr>
          <w:rFonts w:ascii="Garamond" w:hAnsi="Garamond" w:cs="Sylfaen"/>
          <w:sz w:val="22"/>
          <w:szCs w:val="22"/>
        </w:rPr>
        <w:t>loosen</w:t>
      </w:r>
      <w:r w:rsidR="00620810" w:rsidRPr="00320DDF">
        <w:rPr>
          <w:rFonts w:ascii="Garamond" w:hAnsi="Garamond" w:cs="Sylfaen"/>
          <w:sz w:val="22"/>
          <w:szCs w:val="22"/>
        </w:rPr>
        <w:t>ing</w:t>
      </w:r>
      <w:r w:rsidRPr="00320DDF">
        <w:rPr>
          <w:rFonts w:ascii="Garamond" w:hAnsi="Garamond" w:cs="Sylfaen"/>
          <w:sz w:val="22"/>
          <w:szCs w:val="22"/>
        </w:rPr>
        <w:t xml:space="preserve"> monetary conditions by reducing the policy rate by 0.75 p</w:t>
      </w:r>
      <w:r w:rsidR="00620810" w:rsidRPr="00320DDF">
        <w:rPr>
          <w:rFonts w:ascii="Garamond" w:hAnsi="Garamond" w:cs="Sylfaen"/>
          <w:sz w:val="22"/>
          <w:szCs w:val="22"/>
        </w:rPr>
        <w:t>p to</w:t>
      </w:r>
      <w:r w:rsidRPr="00320DDF">
        <w:rPr>
          <w:rFonts w:ascii="Garamond" w:hAnsi="Garamond" w:cs="Sylfaen"/>
          <w:sz w:val="22"/>
          <w:szCs w:val="22"/>
        </w:rPr>
        <w:t xml:space="preserve"> </w:t>
      </w:r>
      <w:r w:rsidRPr="00320DDF">
        <w:rPr>
          <w:rFonts w:ascii="Garamond" w:hAnsi="Garamond" w:cs="Sylfaen"/>
          <w:b/>
          <w:sz w:val="22"/>
          <w:szCs w:val="22"/>
        </w:rPr>
        <w:t>6.0%</w:t>
      </w:r>
      <w:r w:rsidRPr="00320DDF">
        <w:rPr>
          <w:rFonts w:ascii="Garamond" w:hAnsi="Garamond" w:cs="Sylfaen"/>
          <w:sz w:val="22"/>
          <w:szCs w:val="22"/>
        </w:rPr>
        <w:t xml:space="preserve"> </w:t>
      </w:r>
      <w:r w:rsidR="00620810" w:rsidRPr="00320DDF">
        <w:rPr>
          <w:rFonts w:ascii="Garamond" w:hAnsi="Garamond" w:cs="Sylfaen"/>
          <w:sz w:val="22"/>
          <w:szCs w:val="22"/>
        </w:rPr>
        <w:t>i</w:t>
      </w:r>
      <w:r w:rsidRPr="00320DDF">
        <w:rPr>
          <w:rFonts w:ascii="Garamond" w:hAnsi="Garamond" w:cs="Sylfaen"/>
          <w:sz w:val="22"/>
          <w:szCs w:val="22"/>
        </w:rPr>
        <w:t xml:space="preserve">n </w:t>
      </w:r>
      <w:r w:rsidR="00620810" w:rsidRPr="00320DDF">
        <w:rPr>
          <w:rFonts w:ascii="Garamond" w:hAnsi="Garamond" w:cs="Sylfaen"/>
          <w:sz w:val="22"/>
          <w:szCs w:val="22"/>
        </w:rPr>
        <w:t xml:space="preserve">late </w:t>
      </w:r>
      <w:r w:rsidRPr="00320DDF">
        <w:rPr>
          <w:rFonts w:ascii="Garamond" w:hAnsi="Garamond" w:cs="Sylfaen"/>
          <w:sz w:val="22"/>
          <w:szCs w:val="22"/>
        </w:rPr>
        <w:t xml:space="preserve">February. </w:t>
      </w:r>
      <w:r w:rsidR="00620810" w:rsidRPr="00320DDF">
        <w:rPr>
          <w:rFonts w:ascii="Garamond" w:hAnsi="Garamond" w:cs="Sylfaen"/>
          <w:sz w:val="22"/>
          <w:szCs w:val="22"/>
        </w:rPr>
        <w:t xml:space="preserve">In </w:t>
      </w:r>
      <w:r w:rsidRPr="00320DDF">
        <w:rPr>
          <w:rFonts w:ascii="Garamond" w:hAnsi="Garamond" w:cs="Sylfaen"/>
          <w:sz w:val="22"/>
          <w:szCs w:val="22"/>
        </w:rPr>
        <w:t>Mar</w:t>
      </w:r>
      <w:r w:rsidR="00620810" w:rsidRPr="00320DDF">
        <w:rPr>
          <w:rFonts w:ascii="Garamond" w:hAnsi="Garamond" w:cs="Sylfaen"/>
          <w:sz w:val="22"/>
          <w:szCs w:val="22"/>
        </w:rPr>
        <w:t xml:space="preserve">ch, the Central Bank left the </w:t>
      </w:r>
      <w:r w:rsidRPr="00320DDF">
        <w:rPr>
          <w:rFonts w:ascii="Garamond" w:hAnsi="Garamond" w:cs="Sylfaen"/>
          <w:sz w:val="22"/>
          <w:szCs w:val="22"/>
        </w:rPr>
        <w:t>monetary conditions</w:t>
      </w:r>
      <w:r w:rsidR="00620810" w:rsidRPr="00320DDF">
        <w:rPr>
          <w:rFonts w:ascii="Garamond" w:hAnsi="Garamond" w:cs="Sylfaen"/>
          <w:sz w:val="22"/>
          <w:szCs w:val="22"/>
        </w:rPr>
        <w:t xml:space="preserve"> unchanged</w:t>
      </w:r>
      <w:r w:rsidRPr="00320DDF">
        <w:rPr>
          <w:rFonts w:ascii="Garamond" w:hAnsi="Garamond" w:cs="Sylfaen"/>
          <w:sz w:val="22"/>
          <w:szCs w:val="22"/>
        </w:rPr>
        <w:t xml:space="preserve">, </w:t>
      </w:r>
      <w:r w:rsidR="00620810" w:rsidRPr="00320DDF">
        <w:rPr>
          <w:rFonts w:ascii="Garamond" w:hAnsi="Garamond" w:cs="Sylfaen"/>
          <w:sz w:val="22"/>
          <w:szCs w:val="22"/>
        </w:rPr>
        <w:t xml:space="preserve">considering </w:t>
      </w:r>
      <w:r w:rsidR="004D30A5" w:rsidRPr="00320DDF">
        <w:rPr>
          <w:rFonts w:ascii="Garamond" w:hAnsi="Garamond" w:cs="Sylfaen"/>
          <w:sz w:val="22"/>
          <w:szCs w:val="22"/>
        </w:rPr>
        <w:t xml:space="preserve">the </w:t>
      </w:r>
      <w:r w:rsidRPr="00320DDF">
        <w:rPr>
          <w:rFonts w:ascii="Garamond" w:hAnsi="Garamond" w:cs="Sylfaen"/>
          <w:sz w:val="22"/>
          <w:szCs w:val="22"/>
        </w:rPr>
        <w:t xml:space="preserve">positive developments </w:t>
      </w:r>
      <w:r w:rsidR="00620810" w:rsidRPr="00320DDF">
        <w:rPr>
          <w:rFonts w:ascii="Garamond" w:hAnsi="Garamond" w:cs="Sylfaen"/>
          <w:sz w:val="22"/>
          <w:szCs w:val="22"/>
        </w:rPr>
        <w:t xml:space="preserve">taking place in external and domestic sectors of the economy and </w:t>
      </w:r>
      <w:r w:rsidR="007604BF" w:rsidRPr="00320DDF">
        <w:rPr>
          <w:rFonts w:ascii="Garamond" w:hAnsi="Garamond" w:cs="Sylfaen"/>
          <w:sz w:val="22"/>
          <w:szCs w:val="22"/>
        </w:rPr>
        <w:t xml:space="preserve">certain </w:t>
      </w:r>
      <w:r w:rsidR="00620810" w:rsidRPr="00320DDF">
        <w:rPr>
          <w:rFonts w:ascii="Garamond" w:hAnsi="Garamond" w:cs="Sylfaen"/>
          <w:sz w:val="22"/>
          <w:szCs w:val="22"/>
        </w:rPr>
        <w:t xml:space="preserve">inflation </w:t>
      </w:r>
      <w:r w:rsidR="007604BF" w:rsidRPr="00320DDF">
        <w:rPr>
          <w:rFonts w:ascii="Garamond" w:hAnsi="Garamond" w:cs="Sylfaen"/>
          <w:sz w:val="22"/>
          <w:szCs w:val="22"/>
        </w:rPr>
        <w:t xml:space="preserve">risks </w:t>
      </w:r>
      <w:r w:rsidR="00620810" w:rsidRPr="00320DDF">
        <w:rPr>
          <w:rFonts w:ascii="Garamond" w:hAnsi="Garamond" w:cs="Sylfaen"/>
          <w:sz w:val="22"/>
          <w:szCs w:val="22"/>
        </w:rPr>
        <w:t>already exit</w:t>
      </w:r>
      <w:r w:rsidR="007604BF" w:rsidRPr="00320DDF">
        <w:rPr>
          <w:rFonts w:ascii="Garamond" w:hAnsi="Garamond" w:cs="Sylfaen"/>
          <w:sz w:val="22"/>
          <w:szCs w:val="22"/>
        </w:rPr>
        <w:t xml:space="preserve">ing </w:t>
      </w:r>
      <w:r w:rsidR="00620810" w:rsidRPr="00320DDF">
        <w:rPr>
          <w:rFonts w:ascii="Garamond" w:hAnsi="Garamond" w:cs="Sylfaen"/>
          <w:sz w:val="22"/>
          <w:szCs w:val="22"/>
        </w:rPr>
        <w:t>at that time.</w:t>
      </w:r>
    </w:p>
    <w:p w14:paraId="5E23DF64" w14:textId="77777777" w:rsidR="007629C5" w:rsidRPr="00320DDF" w:rsidRDefault="007629C5" w:rsidP="00FF3CD9">
      <w:pPr>
        <w:spacing w:line="360" w:lineRule="auto"/>
        <w:jc w:val="both"/>
        <w:rPr>
          <w:rFonts w:ascii="Garamond" w:hAnsi="Garamond" w:cs="Sylfaen"/>
          <w:sz w:val="22"/>
          <w:szCs w:val="22"/>
        </w:rPr>
      </w:pPr>
    </w:p>
    <w:p w14:paraId="213DD93F" w14:textId="77777777" w:rsidR="00B01C5D" w:rsidRPr="00320DDF" w:rsidRDefault="00B01C5D" w:rsidP="00FF3CD9">
      <w:pPr>
        <w:spacing w:line="360" w:lineRule="auto"/>
        <w:jc w:val="both"/>
        <w:rPr>
          <w:rFonts w:ascii="Garamond" w:hAnsi="Garamond" w:cs="Sylfaen"/>
          <w:b/>
          <w:color w:val="000000"/>
          <w:sz w:val="22"/>
          <w:szCs w:val="22"/>
        </w:rPr>
      </w:pPr>
      <w:r w:rsidRPr="00320DDF">
        <w:rPr>
          <w:rFonts w:ascii="Garamond" w:hAnsi="Garamond" w:cs="Sylfaen"/>
          <w:b/>
          <w:color w:val="000000"/>
          <w:sz w:val="22"/>
          <w:szCs w:val="22"/>
        </w:rPr>
        <w:t xml:space="preserve">3.1.2. </w:t>
      </w:r>
      <w:r w:rsidR="00FF7337" w:rsidRPr="00320DDF">
        <w:rPr>
          <w:rFonts w:ascii="Garamond" w:hAnsi="Garamond" w:cs="Sylfaen"/>
          <w:b/>
          <w:color w:val="000000"/>
          <w:sz w:val="22"/>
          <w:szCs w:val="22"/>
        </w:rPr>
        <w:t>Import prices and producer prices</w:t>
      </w:r>
    </w:p>
    <w:p w14:paraId="5CC3F82A" w14:textId="77777777" w:rsidR="00FF7337" w:rsidRPr="00320DDF" w:rsidRDefault="00FF7337" w:rsidP="00FF3CD9">
      <w:pPr>
        <w:spacing w:line="360" w:lineRule="auto"/>
        <w:jc w:val="both"/>
        <w:rPr>
          <w:rFonts w:ascii="Garamond" w:hAnsi="Garamond" w:cs="Sylfaen"/>
          <w:b/>
          <w:color w:val="000000"/>
          <w:sz w:val="22"/>
          <w:szCs w:val="22"/>
        </w:rPr>
      </w:pPr>
    </w:p>
    <w:p w14:paraId="65143886" w14:textId="77777777" w:rsidR="00714C05" w:rsidRPr="00320DDF" w:rsidRDefault="00FF7337" w:rsidP="00FF3CD9">
      <w:pPr>
        <w:spacing w:line="360" w:lineRule="auto"/>
        <w:jc w:val="both"/>
        <w:rPr>
          <w:rFonts w:ascii="Garamond" w:hAnsi="Garamond"/>
          <w:sz w:val="22"/>
          <w:szCs w:val="22"/>
        </w:rPr>
      </w:pPr>
      <w:r w:rsidRPr="00320DDF">
        <w:rPr>
          <w:rFonts w:ascii="Garamond" w:hAnsi="Garamond"/>
          <w:b/>
          <w:sz w:val="22"/>
          <w:szCs w:val="22"/>
        </w:rPr>
        <w:t>Import prices:</w:t>
      </w:r>
      <w:r w:rsidR="002A11DD" w:rsidRPr="00320DDF">
        <w:rPr>
          <w:rFonts w:ascii="Garamond" w:hAnsi="Garamond"/>
          <w:b/>
          <w:sz w:val="22"/>
          <w:szCs w:val="22"/>
          <w:lang w:val="hy-AM"/>
        </w:rPr>
        <w:t xml:space="preserve"> </w:t>
      </w:r>
      <w:r w:rsidR="00A35F3D" w:rsidRPr="00320DDF">
        <w:rPr>
          <w:rFonts w:ascii="Garamond" w:hAnsi="Garamond"/>
          <w:sz w:val="22"/>
          <w:szCs w:val="22"/>
        </w:rPr>
        <w:t>in the f</w:t>
      </w:r>
      <w:r w:rsidR="00F93F19" w:rsidRPr="00320DDF">
        <w:rPr>
          <w:rFonts w:ascii="Garamond" w:hAnsi="Garamond"/>
          <w:sz w:val="22"/>
          <w:szCs w:val="22"/>
        </w:rPr>
        <w:t xml:space="preserve">irst </w:t>
      </w:r>
      <w:r w:rsidR="00A35F3D" w:rsidRPr="00320DDF">
        <w:rPr>
          <w:rFonts w:ascii="Garamond" w:hAnsi="Garamond"/>
          <w:sz w:val="22"/>
          <w:szCs w:val="22"/>
        </w:rPr>
        <w:t>quarter of 201</w:t>
      </w:r>
      <w:r w:rsidR="00F93F19" w:rsidRPr="00320DDF">
        <w:rPr>
          <w:rFonts w:ascii="Garamond" w:hAnsi="Garamond"/>
          <w:sz w:val="22"/>
          <w:szCs w:val="22"/>
        </w:rPr>
        <w:t>7</w:t>
      </w:r>
      <w:r w:rsidR="00A35F3D" w:rsidRPr="00320DDF">
        <w:rPr>
          <w:rFonts w:ascii="Garamond" w:hAnsi="Garamond"/>
          <w:sz w:val="22"/>
          <w:szCs w:val="22"/>
        </w:rPr>
        <w:t xml:space="preserve"> </w:t>
      </w:r>
      <w:r w:rsidRPr="00320DDF">
        <w:rPr>
          <w:rFonts w:ascii="Garamond" w:hAnsi="Garamond"/>
          <w:sz w:val="22"/>
          <w:szCs w:val="22"/>
        </w:rPr>
        <w:t xml:space="preserve">the dollar prices of import of goods and services </w:t>
      </w:r>
      <w:r w:rsidR="00F93F19" w:rsidRPr="00320DDF">
        <w:rPr>
          <w:rFonts w:ascii="Garamond" w:hAnsi="Garamond"/>
          <w:sz w:val="22"/>
          <w:szCs w:val="22"/>
        </w:rPr>
        <w:t>grew by 1</w:t>
      </w:r>
      <w:r w:rsidRPr="00320DDF">
        <w:rPr>
          <w:rFonts w:ascii="Garamond" w:hAnsi="Garamond"/>
          <w:sz w:val="22"/>
          <w:szCs w:val="22"/>
        </w:rPr>
        <w:t>.</w:t>
      </w:r>
      <w:r w:rsidR="00F93F19" w:rsidRPr="00320DDF">
        <w:rPr>
          <w:rFonts w:ascii="Garamond" w:hAnsi="Garamond"/>
          <w:sz w:val="22"/>
          <w:szCs w:val="22"/>
        </w:rPr>
        <w:t>1</w:t>
      </w:r>
      <w:r w:rsidRPr="00320DDF">
        <w:rPr>
          <w:rFonts w:ascii="Garamond" w:hAnsi="Garamond"/>
          <w:sz w:val="22"/>
          <w:szCs w:val="22"/>
        </w:rPr>
        <w:t>% q/q</w:t>
      </w:r>
      <w:r w:rsidR="00F93F19" w:rsidRPr="00320DDF">
        <w:rPr>
          <w:rFonts w:ascii="Garamond" w:hAnsi="Garamond"/>
          <w:sz w:val="22"/>
          <w:szCs w:val="22"/>
        </w:rPr>
        <w:t xml:space="preserve"> on average</w:t>
      </w:r>
      <w:r w:rsidR="006A0B32" w:rsidRPr="00320DDF">
        <w:rPr>
          <w:rFonts w:ascii="Garamond" w:hAnsi="Garamond"/>
          <w:sz w:val="22"/>
          <w:szCs w:val="22"/>
        </w:rPr>
        <w:t>.</w:t>
      </w:r>
      <w:r w:rsidR="001C4340" w:rsidRPr="00320DDF">
        <w:rPr>
          <w:rFonts w:ascii="Garamond" w:hAnsi="Garamond"/>
          <w:sz w:val="22"/>
          <w:szCs w:val="22"/>
        </w:rPr>
        <w:t xml:space="preserve"> The growth over the same </w:t>
      </w:r>
      <w:r w:rsidR="00F93F19" w:rsidRPr="00320DDF">
        <w:rPr>
          <w:rFonts w:ascii="Garamond" w:hAnsi="Garamond"/>
          <w:sz w:val="22"/>
          <w:szCs w:val="22"/>
        </w:rPr>
        <w:t xml:space="preserve">reference </w:t>
      </w:r>
      <w:r w:rsidR="001C4340" w:rsidRPr="00320DDF">
        <w:rPr>
          <w:rFonts w:ascii="Garamond" w:hAnsi="Garamond"/>
          <w:sz w:val="22"/>
          <w:szCs w:val="22"/>
        </w:rPr>
        <w:t xml:space="preserve">period last year amounted to </w:t>
      </w:r>
      <w:r w:rsidR="00F93F19" w:rsidRPr="00320DDF">
        <w:rPr>
          <w:rFonts w:ascii="Garamond" w:hAnsi="Garamond"/>
          <w:sz w:val="22"/>
          <w:szCs w:val="22"/>
        </w:rPr>
        <w:t>5</w:t>
      </w:r>
      <w:r w:rsidR="001C4340" w:rsidRPr="00320DDF">
        <w:rPr>
          <w:rFonts w:ascii="Garamond" w:hAnsi="Garamond"/>
          <w:sz w:val="22"/>
          <w:szCs w:val="22"/>
        </w:rPr>
        <w:t>.</w:t>
      </w:r>
      <w:r w:rsidR="00F93F19" w:rsidRPr="00320DDF">
        <w:rPr>
          <w:rFonts w:ascii="Garamond" w:hAnsi="Garamond"/>
          <w:sz w:val="22"/>
          <w:szCs w:val="22"/>
        </w:rPr>
        <w:t>7</w:t>
      </w:r>
      <w:r w:rsidR="001C4340" w:rsidRPr="00320DDF">
        <w:rPr>
          <w:rFonts w:ascii="Garamond" w:hAnsi="Garamond"/>
          <w:sz w:val="22"/>
          <w:szCs w:val="22"/>
        </w:rPr>
        <w:t>% y/y.</w:t>
      </w:r>
    </w:p>
    <w:p w14:paraId="53C961A4" w14:textId="77777777" w:rsidR="00714C05" w:rsidRPr="00320DDF" w:rsidRDefault="00714C05" w:rsidP="00FF3CD9">
      <w:pPr>
        <w:spacing w:line="360" w:lineRule="auto"/>
        <w:jc w:val="both"/>
        <w:rPr>
          <w:rFonts w:ascii="Garamond" w:hAnsi="Garamond"/>
          <w:sz w:val="22"/>
          <w:szCs w:val="22"/>
        </w:rPr>
      </w:pPr>
    </w:p>
    <w:p w14:paraId="6FB3BF2B" w14:textId="77777777" w:rsidR="00477644" w:rsidRPr="00320DDF" w:rsidRDefault="00FF7337" w:rsidP="00FF3CD9">
      <w:pPr>
        <w:spacing w:line="360" w:lineRule="auto"/>
        <w:jc w:val="both"/>
        <w:rPr>
          <w:rStyle w:val="longtext"/>
          <w:rFonts w:ascii="Garamond" w:hAnsi="Garamond"/>
          <w:sz w:val="22"/>
          <w:szCs w:val="22"/>
          <w:shd w:val="clear" w:color="auto" w:fill="FFFFFF"/>
        </w:rPr>
      </w:pPr>
      <w:r w:rsidRPr="00320DDF">
        <w:rPr>
          <w:rStyle w:val="longtext"/>
          <w:rFonts w:ascii="Garamond" w:hAnsi="Garamond"/>
          <w:sz w:val="22"/>
          <w:szCs w:val="22"/>
          <w:shd w:val="clear" w:color="auto" w:fill="FFFFFF"/>
        </w:rPr>
        <w:t xml:space="preserve">The y/y </w:t>
      </w:r>
      <w:r w:rsidR="00211DA2" w:rsidRPr="00320DDF">
        <w:rPr>
          <w:rStyle w:val="longtext"/>
          <w:rFonts w:ascii="Garamond" w:hAnsi="Garamond"/>
          <w:sz w:val="22"/>
          <w:szCs w:val="22"/>
          <w:shd w:val="clear" w:color="auto" w:fill="FFFFFF"/>
        </w:rPr>
        <w:t xml:space="preserve">increase </w:t>
      </w:r>
      <w:r w:rsidRPr="00320DDF">
        <w:rPr>
          <w:rStyle w:val="longtext"/>
          <w:rFonts w:ascii="Garamond" w:hAnsi="Garamond"/>
          <w:sz w:val="22"/>
          <w:szCs w:val="22"/>
          <w:shd w:val="clear" w:color="auto" w:fill="FFFFFF"/>
        </w:rPr>
        <w:t xml:space="preserve">in dollar prices of import was </w:t>
      </w:r>
      <w:r w:rsidR="00211DA2" w:rsidRPr="00320DDF">
        <w:rPr>
          <w:rStyle w:val="longtext"/>
          <w:rFonts w:ascii="Garamond" w:hAnsi="Garamond"/>
          <w:sz w:val="22"/>
          <w:szCs w:val="22"/>
          <w:shd w:val="clear" w:color="auto" w:fill="FFFFFF"/>
        </w:rPr>
        <w:t>d</w:t>
      </w:r>
      <w:r w:rsidR="00331B03" w:rsidRPr="00320DDF">
        <w:rPr>
          <w:rStyle w:val="longtext"/>
          <w:rFonts w:ascii="Garamond" w:hAnsi="Garamond"/>
          <w:sz w:val="22"/>
          <w:szCs w:val="22"/>
          <w:shd w:val="clear" w:color="auto" w:fill="FFFFFF"/>
        </w:rPr>
        <w:t xml:space="preserve">riven </w:t>
      </w:r>
      <w:r w:rsidR="00211DA2" w:rsidRPr="00320DDF">
        <w:rPr>
          <w:rStyle w:val="longtext"/>
          <w:rFonts w:ascii="Garamond" w:hAnsi="Garamond"/>
          <w:sz w:val="22"/>
          <w:szCs w:val="22"/>
          <w:shd w:val="clear" w:color="auto" w:fill="FFFFFF"/>
        </w:rPr>
        <w:t xml:space="preserve">by </w:t>
      </w:r>
      <w:r w:rsidR="00331B03" w:rsidRPr="00320DDF">
        <w:rPr>
          <w:rStyle w:val="longtext"/>
          <w:rFonts w:ascii="Garamond" w:hAnsi="Garamond"/>
          <w:sz w:val="22"/>
          <w:szCs w:val="22"/>
          <w:shd w:val="clear" w:color="auto" w:fill="FFFFFF"/>
        </w:rPr>
        <w:t>grow</w:t>
      </w:r>
      <w:r w:rsidR="00F93F19" w:rsidRPr="00320DDF">
        <w:rPr>
          <w:rStyle w:val="longtext"/>
          <w:rFonts w:ascii="Garamond" w:hAnsi="Garamond"/>
          <w:sz w:val="22"/>
          <w:szCs w:val="22"/>
          <w:shd w:val="clear" w:color="auto" w:fill="FFFFFF"/>
        </w:rPr>
        <w:t>n</w:t>
      </w:r>
      <w:r w:rsidR="00331B03" w:rsidRPr="00320DDF">
        <w:rPr>
          <w:rStyle w:val="longtext"/>
          <w:rFonts w:ascii="Garamond" w:hAnsi="Garamond"/>
          <w:sz w:val="22"/>
          <w:szCs w:val="22"/>
          <w:shd w:val="clear" w:color="auto" w:fill="FFFFFF"/>
        </w:rPr>
        <w:t xml:space="preserve"> </w:t>
      </w:r>
      <w:r w:rsidR="00211DA2" w:rsidRPr="00320DDF">
        <w:rPr>
          <w:rStyle w:val="longtext"/>
          <w:rFonts w:ascii="Garamond" w:hAnsi="Garamond"/>
          <w:sz w:val="22"/>
          <w:szCs w:val="22"/>
          <w:shd w:val="clear" w:color="auto" w:fill="FFFFFF"/>
        </w:rPr>
        <w:t>prices of goods and services</w:t>
      </w:r>
      <w:r w:rsidR="00331B03" w:rsidRPr="00320DDF">
        <w:rPr>
          <w:rStyle w:val="longtext"/>
          <w:rFonts w:ascii="Garamond" w:hAnsi="Garamond"/>
          <w:sz w:val="22"/>
          <w:szCs w:val="22"/>
          <w:shd w:val="clear" w:color="auto" w:fill="FFFFFF"/>
        </w:rPr>
        <w:t xml:space="preserve"> (</w:t>
      </w:r>
      <w:r w:rsidR="00F93F19" w:rsidRPr="00320DDF">
        <w:rPr>
          <w:rStyle w:val="longtext"/>
          <w:rFonts w:ascii="Garamond" w:hAnsi="Garamond"/>
          <w:sz w:val="22"/>
          <w:szCs w:val="22"/>
          <w:shd w:val="clear" w:color="auto" w:fill="FFFFFF"/>
        </w:rPr>
        <w:t>4</w:t>
      </w:r>
      <w:r w:rsidR="00331B03" w:rsidRPr="00320DDF">
        <w:rPr>
          <w:rStyle w:val="longtext"/>
          <w:rFonts w:ascii="Garamond" w:hAnsi="Garamond"/>
          <w:sz w:val="22"/>
          <w:szCs w:val="22"/>
          <w:shd w:val="clear" w:color="auto" w:fill="FFFFFF"/>
        </w:rPr>
        <w:t>.</w:t>
      </w:r>
      <w:r w:rsidR="00F93F19" w:rsidRPr="00320DDF">
        <w:rPr>
          <w:rStyle w:val="longtext"/>
          <w:rFonts w:ascii="Garamond" w:hAnsi="Garamond"/>
          <w:sz w:val="22"/>
          <w:szCs w:val="22"/>
          <w:shd w:val="clear" w:color="auto" w:fill="FFFFFF"/>
        </w:rPr>
        <w:t>9</w:t>
      </w:r>
      <w:r w:rsidR="00331B03" w:rsidRPr="00320DDF">
        <w:rPr>
          <w:rStyle w:val="longtext"/>
          <w:rFonts w:ascii="Garamond" w:hAnsi="Garamond"/>
          <w:sz w:val="22"/>
          <w:szCs w:val="22"/>
          <w:shd w:val="clear" w:color="auto" w:fill="FFFFFF"/>
        </w:rPr>
        <w:t xml:space="preserve"> pp and 0.</w:t>
      </w:r>
      <w:r w:rsidR="00F93F19" w:rsidRPr="00320DDF">
        <w:rPr>
          <w:rStyle w:val="longtext"/>
          <w:rFonts w:ascii="Garamond" w:hAnsi="Garamond"/>
          <w:sz w:val="22"/>
          <w:szCs w:val="22"/>
          <w:shd w:val="clear" w:color="auto" w:fill="FFFFFF"/>
        </w:rPr>
        <w:t>6</w:t>
      </w:r>
      <w:r w:rsidR="00331B03" w:rsidRPr="00320DDF">
        <w:rPr>
          <w:rStyle w:val="longtext"/>
          <w:rFonts w:ascii="Garamond" w:hAnsi="Garamond"/>
          <w:sz w:val="22"/>
          <w:szCs w:val="22"/>
          <w:shd w:val="clear" w:color="auto" w:fill="FFFFFF"/>
        </w:rPr>
        <w:t xml:space="preserve"> pp, respectively)</w:t>
      </w:r>
      <w:r w:rsidRPr="00320DDF">
        <w:rPr>
          <w:rStyle w:val="longtext"/>
          <w:rFonts w:ascii="Garamond" w:hAnsi="Garamond"/>
          <w:sz w:val="22"/>
          <w:szCs w:val="22"/>
          <w:shd w:val="clear" w:color="auto" w:fill="FFFFFF"/>
        </w:rPr>
        <w:t xml:space="preserve">. </w:t>
      </w:r>
      <w:r w:rsidR="00477644" w:rsidRPr="00320DDF">
        <w:rPr>
          <w:rStyle w:val="longtext"/>
          <w:rFonts w:ascii="Garamond" w:hAnsi="Garamond"/>
          <w:sz w:val="22"/>
          <w:szCs w:val="22"/>
          <w:shd w:val="clear" w:color="auto" w:fill="FFFFFF"/>
        </w:rPr>
        <w:t>T</w:t>
      </w:r>
      <w:r w:rsidR="00097B79" w:rsidRPr="00320DDF">
        <w:rPr>
          <w:rStyle w:val="longtext"/>
          <w:rFonts w:ascii="Garamond" w:hAnsi="Garamond"/>
          <w:sz w:val="22"/>
          <w:szCs w:val="22"/>
          <w:shd w:val="clear" w:color="auto" w:fill="FFFFFF"/>
        </w:rPr>
        <w:t>he</w:t>
      </w:r>
      <w:r w:rsidR="00477644" w:rsidRPr="00320DDF">
        <w:rPr>
          <w:rStyle w:val="longtext"/>
          <w:rFonts w:ascii="Garamond" w:hAnsi="Garamond"/>
          <w:sz w:val="22"/>
          <w:szCs w:val="22"/>
          <w:shd w:val="clear" w:color="auto" w:fill="FFFFFF"/>
        </w:rPr>
        <w:t xml:space="preserve"> growth of</w:t>
      </w:r>
      <w:r w:rsidR="00097B79" w:rsidRPr="00320DDF">
        <w:rPr>
          <w:rStyle w:val="longtext"/>
          <w:rFonts w:ascii="Garamond" w:hAnsi="Garamond"/>
          <w:sz w:val="22"/>
          <w:szCs w:val="22"/>
          <w:shd w:val="clear" w:color="auto" w:fill="FFFFFF"/>
        </w:rPr>
        <w:t xml:space="preserve"> </w:t>
      </w:r>
      <w:r w:rsidR="00477644" w:rsidRPr="00320DDF">
        <w:rPr>
          <w:rStyle w:val="longtext"/>
          <w:rFonts w:ascii="Garamond" w:hAnsi="Garamond"/>
          <w:sz w:val="22"/>
          <w:szCs w:val="22"/>
          <w:shd w:val="clear" w:color="auto" w:fill="FFFFFF"/>
        </w:rPr>
        <w:t xml:space="preserve">oil and metals prices in the international market has resulted in increased prices of imported raw materials. </w:t>
      </w:r>
    </w:p>
    <w:p w14:paraId="5DB9D8B8" w14:textId="77777777" w:rsidR="00477644" w:rsidRPr="00320DDF" w:rsidRDefault="00477644" w:rsidP="00FF3CD9">
      <w:pPr>
        <w:spacing w:line="360" w:lineRule="auto"/>
        <w:jc w:val="both"/>
        <w:rPr>
          <w:rStyle w:val="longtext"/>
          <w:rFonts w:ascii="Garamond" w:hAnsi="Garamond"/>
          <w:sz w:val="22"/>
          <w:szCs w:val="22"/>
          <w:shd w:val="clear" w:color="auto" w:fill="FFFFFF"/>
        </w:rPr>
      </w:pPr>
    </w:p>
    <w:p w14:paraId="3DBBEDAD" w14:textId="77777777" w:rsidR="00FF7337" w:rsidRPr="00320DDF" w:rsidRDefault="00477644" w:rsidP="00FF3CD9">
      <w:pPr>
        <w:spacing w:line="360" w:lineRule="auto"/>
        <w:jc w:val="both"/>
        <w:rPr>
          <w:rStyle w:val="longtext"/>
          <w:rFonts w:ascii="Garamond" w:hAnsi="Garamond"/>
          <w:sz w:val="22"/>
          <w:szCs w:val="22"/>
          <w:shd w:val="clear" w:color="auto" w:fill="FFFFFF"/>
        </w:rPr>
      </w:pPr>
      <w:r w:rsidRPr="00320DDF">
        <w:rPr>
          <w:rStyle w:val="longtext"/>
          <w:rFonts w:ascii="Garamond" w:hAnsi="Garamond"/>
          <w:sz w:val="22"/>
          <w:szCs w:val="22"/>
          <w:shd w:val="clear" w:color="auto" w:fill="FFFFFF"/>
        </w:rPr>
        <w:t xml:space="preserve">Driven by y/y currency appreciation in Russia, the prices of imported consumer goods </w:t>
      </w:r>
      <w:r w:rsidR="00BB01A1" w:rsidRPr="00320DDF">
        <w:rPr>
          <w:rStyle w:val="longtext"/>
          <w:rFonts w:ascii="Garamond" w:hAnsi="Garamond"/>
          <w:sz w:val="22"/>
          <w:szCs w:val="22"/>
          <w:shd w:val="clear" w:color="auto" w:fill="FFFFFF"/>
        </w:rPr>
        <w:t>there</w:t>
      </w:r>
      <w:r w:rsidRPr="00320DDF">
        <w:rPr>
          <w:rStyle w:val="longtext"/>
          <w:rFonts w:ascii="Garamond" w:hAnsi="Garamond"/>
          <w:sz w:val="22"/>
          <w:szCs w:val="22"/>
          <w:shd w:val="clear" w:color="auto" w:fill="FFFFFF"/>
        </w:rPr>
        <w:t xml:space="preserve">from </w:t>
      </w:r>
      <w:r w:rsidR="00BB01A1" w:rsidRPr="00320DDF">
        <w:rPr>
          <w:rStyle w:val="longtext"/>
          <w:rFonts w:ascii="Garamond" w:hAnsi="Garamond"/>
          <w:sz w:val="22"/>
          <w:szCs w:val="22"/>
          <w:shd w:val="clear" w:color="auto" w:fill="FFFFFF"/>
        </w:rPr>
        <w:t xml:space="preserve">have risen. The contribution of price inflation on </w:t>
      </w:r>
      <w:r w:rsidRPr="00320DDF">
        <w:rPr>
          <w:rStyle w:val="longtext"/>
          <w:rFonts w:ascii="Garamond" w:hAnsi="Garamond"/>
          <w:sz w:val="22"/>
          <w:szCs w:val="22"/>
          <w:shd w:val="clear" w:color="auto" w:fill="FFFFFF"/>
        </w:rPr>
        <w:t>consumer goods</w:t>
      </w:r>
      <w:r w:rsidR="00BB01A1" w:rsidRPr="00320DDF">
        <w:rPr>
          <w:rStyle w:val="longtext"/>
          <w:rFonts w:ascii="Garamond" w:hAnsi="Garamond"/>
          <w:sz w:val="22"/>
          <w:szCs w:val="22"/>
          <w:shd w:val="clear" w:color="auto" w:fill="FFFFFF"/>
        </w:rPr>
        <w:t xml:space="preserve"> to domestic prices amounted to 0.6</w:t>
      </w:r>
      <w:r w:rsidRPr="00320DDF">
        <w:rPr>
          <w:rStyle w:val="longtext"/>
          <w:rFonts w:ascii="Garamond" w:hAnsi="Garamond"/>
          <w:sz w:val="22"/>
          <w:szCs w:val="22"/>
          <w:shd w:val="clear" w:color="auto" w:fill="FFFFFF"/>
        </w:rPr>
        <w:t xml:space="preserve"> pp.</w:t>
      </w:r>
    </w:p>
    <w:p w14:paraId="6D99CFB9" w14:textId="77777777" w:rsidR="00656DB6" w:rsidRPr="00320DDF" w:rsidRDefault="00656DB6" w:rsidP="00FF3CD9">
      <w:pPr>
        <w:spacing w:line="360" w:lineRule="auto"/>
        <w:jc w:val="both"/>
        <w:rPr>
          <w:rStyle w:val="longtext"/>
          <w:rFonts w:ascii="Garamond" w:hAnsi="Garamond"/>
          <w:sz w:val="22"/>
          <w:szCs w:val="22"/>
          <w:shd w:val="clear" w:color="auto" w:fill="FFFFFF"/>
        </w:rPr>
      </w:pPr>
    </w:p>
    <w:p w14:paraId="40C2F028" w14:textId="77777777" w:rsidR="004A0D05" w:rsidRPr="00320DDF" w:rsidRDefault="004A0D05" w:rsidP="00FF3CD9">
      <w:pPr>
        <w:spacing w:line="360" w:lineRule="auto"/>
        <w:jc w:val="both"/>
        <w:rPr>
          <w:rFonts w:ascii="Garamond" w:hAnsi="Garamond"/>
          <w:sz w:val="22"/>
          <w:szCs w:val="22"/>
        </w:rPr>
      </w:pPr>
      <w:r w:rsidRPr="00320DDF">
        <w:rPr>
          <w:rFonts w:ascii="Garamond" w:hAnsi="Garamond" w:cs="Sylfaen"/>
          <w:b/>
          <w:sz w:val="22"/>
          <w:szCs w:val="22"/>
        </w:rPr>
        <w:t>Producer prices</w:t>
      </w:r>
      <w:r w:rsidR="0089155E" w:rsidRPr="00320DDF">
        <w:rPr>
          <w:rStyle w:val="FootnoteReference"/>
          <w:rFonts w:ascii="Garamond" w:hAnsi="Garamond"/>
          <w:b/>
          <w:sz w:val="22"/>
          <w:szCs w:val="22"/>
        </w:rPr>
        <w:footnoteReference w:customMarkFollows="1" w:id="10"/>
        <w:t>12</w:t>
      </w:r>
      <w:r w:rsidRPr="00320DDF">
        <w:rPr>
          <w:rFonts w:ascii="Garamond" w:hAnsi="Garamond"/>
          <w:b/>
          <w:sz w:val="22"/>
          <w:szCs w:val="22"/>
        </w:rPr>
        <w:t>:</w:t>
      </w:r>
      <w:r w:rsidR="002A11DD" w:rsidRPr="00320DDF">
        <w:rPr>
          <w:rFonts w:ascii="Garamond" w:hAnsi="Garamond"/>
          <w:b/>
          <w:sz w:val="22"/>
          <w:szCs w:val="22"/>
          <w:lang w:val="hy-AM"/>
        </w:rPr>
        <w:t xml:space="preserve"> </w:t>
      </w:r>
      <w:r w:rsidR="0089155E" w:rsidRPr="00320DDF">
        <w:rPr>
          <w:rFonts w:ascii="Garamond" w:hAnsi="Garamond"/>
          <w:sz w:val="22"/>
          <w:szCs w:val="22"/>
        </w:rPr>
        <w:t xml:space="preserve">according to the Central Bank estimates, </w:t>
      </w:r>
      <w:r w:rsidR="002039B9" w:rsidRPr="00320DDF">
        <w:rPr>
          <w:rFonts w:ascii="Garamond" w:hAnsi="Garamond"/>
          <w:sz w:val="22"/>
          <w:szCs w:val="22"/>
        </w:rPr>
        <w:t>the GDP deflator in January-</w:t>
      </w:r>
      <w:r w:rsidR="0089155E" w:rsidRPr="00320DDF">
        <w:rPr>
          <w:rFonts w:ascii="Garamond" w:hAnsi="Garamond"/>
          <w:sz w:val="22"/>
          <w:szCs w:val="22"/>
        </w:rPr>
        <w:t>March</w:t>
      </w:r>
      <w:r w:rsidR="002039B9" w:rsidRPr="00320DDF">
        <w:rPr>
          <w:rFonts w:ascii="Garamond" w:hAnsi="Garamond"/>
          <w:sz w:val="22"/>
          <w:szCs w:val="22"/>
        </w:rPr>
        <w:t xml:space="preserve"> 201</w:t>
      </w:r>
      <w:r w:rsidR="0089155E" w:rsidRPr="00320DDF">
        <w:rPr>
          <w:rFonts w:ascii="Garamond" w:hAnsi="Garamond"/>
          <w:sz w:val="22"/>
          <w:szCs w:val="22"/>
        </w:rPr>
        <w:t>7</w:t>
      </w:r>
      <w:r w:rsidR="002039B9" w:rsidRPr="00320DDF">
        <w:rPr>
          <w:rFonts w:ascii="Garamond" w:hAnsi="Garamond"/>
          <w:sz w:val="22"/>
          <w:szCs w:val="22"/>
        </w:rPr>
        <w:t xml:space="preserve"> has </w:t>
      </w:r>
      <w:r w:rsidR="000C5D85" w:rsidRPr="00320DDF">
        <w:rPr>
          <w:rFonts w:ascii="Garamond" w:hAnsi="Garamond"/>
          <w:sz w:val="22"/>
          <w:szCs w:val="22"/>
        </w:rPr>
        <w:t>increased by a</w:t>
      </w:r>
      <w:r w:rsidR="0089155E" w:rsidRPr="00320DDF">
        <w:rPr>
          <w:rFonts w:ascii="Garamond" w:hAnsi="Garamond"/>
          <w:sz w:val="22"/>
          <w:szCs w:val="22"/>
        </w:rPr>
        <w:t>bout</w:t>
      </w:r>
      <w:r w:rsidR="000C5D85" w:rsidRPr="00320DDF">
        <w:rPr>
          <w:rFonts w:ascii="Garamond" w:hAnsi="Garamond"/>
          <w:sz w:val="22"/>
          <w:szCs w:val="22"/>
        </w:rPr>
        <w:t xml:space="preserve"> 1.</w:t>
      </w:r>
      <w:r w:rsidR="0089155E" w:rsidRPr="00320DDF">
        <w:rPr>
          <w:rFonts w:ascii="Garamond" w:hAnsi="Garamond"/>
          <w:sz w:val="22"/>
          <w:szCs w:val="22"/>
        </w:rPr>
        <w:t>5</w:t>
      </w:r>
      <w:r w:rsidR="000C5D85" w:rsidRPr="00320DDF">
        <w:rPr>
          <w:rFonts w:ascii="Garamond" w:hAnsi="Garamond"/>
          <w:sz w:val="22"/>
          <w:szCs w:val="22"/>
        </w:rPr>
        <w:t>% i</w:t>
      </w:r>
      <w:r w:rsidR="002039B9" w:rsidRPr="00320DDF">
        <w:rPr>
          <w:rFonts w:ascii="Garamond" w:hAnsi="Garamond"/>
          <w:sz w:val="22"/>
          <w:szCs w:val="22"/>
        </w:rPr>
        <w:t xml:space="preserve">n relation to the same period last year, </w:t>
      </w:r>
      <w:r w:rsidR="0089155E" w:rsidRPr="00320DDF">
        <w:rPr>
          <w:rFonts w:ascii="Garamond" w:hAnsi="Garamond"/>
          <w:sz w:val="22"/>
          <w:szCs w:val="22"/>
        </w:rPr>
        <w:t>which is in line with previous forecasts</w:t>
      </w:r>
      <w:r w:rsidR="002039B9" w:rsidRPr="00320DDF">
        <w:rPr>
          <w:rFonts w:ascii="Garamond" w:hAnsi="Garamond"/>
          <w:sz w:val="22"/>
          <w:szCs w:val="22"/>
        </w:rPr>
        <w:t>.</w:t>
      </w:r>
      <w:r w:rsidR="00A0249E" w:rsidRPr="00320DDF">
        <w:rPr>
          <w:rFonts w:ascii="Garamond" w:hAnsi="Garamond"/>
          <w:sz w:val="22"/>
          <w:szCs w:val="22"/>
        </w:rPr>
        <w:t xml:space="preserve"> Price developments in different sectors of the economy </w:t>
      </w:r>
      <w:r w:rsidR="0029667E" w:rsidRPr="00320DDF">
        <w:rPr>
          <w:rFonts w:ascii="Garamond" w:hAnsi="Garamond"/>
          <w:sz w:val="22"/>
          <w:szCs w:val="22"/>
        </w:rPr>
        <w:t>underlie the estimates, as follows:</w:t>
      </w:r>
    </w:p>
    <w:p w14:paraId="1184036E" w14:textId="77777777" w:rsidR="004A0D05" w:rsidRPr="00320DDF" w:rsidRDefault="004A0D05" w:rsidP="00FF3CD9">
      <w:pPr>
        <w:spacing w:line="360" w:lineRule="auto"/>
        <w:jc w:val="both"/>
        <w:rPr>
          <w:rFonts w:ascii="Garamond" w:hAnsi="Garamond"/>
          <w:sz w:val="22"/>
          <w:szCs w:val="22"/>
        </w:rPr>
      </w:pPr>
    </w:p>
    <w:p w14:paraId="10843EB9" w14:textId="77777777" w:rsidR="00F51B36" w:rsidRPr="00320DDF" w:rsidRDefault="004A0D05" w:rsidP="00FF3CD9">
      <w:pPr>
        <w:spacing w:line="360" w:lineRule="auto"/>
        <w:jc w:val="both"/>
        <w:rPr>
          <w:rFonts w:ascii="Garamond" w:hAnsi="Garamond"/>
          <w:sz w:val="22"/>
          <w:szCs w:val="22"/>
        </w:rPr>
      </w:pPr>
      <w:r w:rsidRPr="00320DDF">
        <w:rPr>
          <w:rFonts w:ascii="Garamond" w:hAnsi="Garamond" w:cs="Sylfaen"/>
          <w:b/>
          <w:sz w:val="22"/>
          <w:szCs w:val="22"/>
        </w:rPr>
        <w:t xml:space="preserve">Industry </w:t>
      </w:r>
      <w:r w:rsidR="00C077A5" w:rsidRPr="00320DDF">
        <w:rPr>
          <w:rFonts w:ascii="Garamond" w:hAnsi="Garamond" w:cs="Sylfaen"/>
          <w:sz w:val="22"/>
          <w:szCs w:val="22"/>
        </w:rPr>
        <w:t xml:space="preserve">reported </w:t>
      </w:r>
      <w:r w:rsidR="00BA383F" w:rsidRPr="00320DDF">
        <w:rPr>
          <w:rFonts w:ascii="Garamond" w:hAnsi="Garamond" w:cs="Sylfaen"/>
          <w:sz w:val="22"/>
          <w:szCs w:val="22"/>
        </w:rPr>
        <w:t>3</w:t>
      </w:r>
      <w:r w:rsidR="00C077A5" w:rsidRPr="00320DDF">
        <w:rPr>
          <w:rFonts w:ascii="Garamond" w:hAnsi="Garamond" w:cs="Sylfaen"/>
          <w:sz w:val="22"/>
          <w:szCs w:val="22"/>
        </w:rPr>
        <w:t>.</w:t>
      </w:r>
      <w:r w:rsidR="00BA383F" w:rsidRPr="00320DDF">
        <w:rPr>
          <w:rFonts w:ascii="Garamond" w:hAnsi="Garamond" w:cs="Sylfaen"/>
          <w:sz w:val="22"/>
          <w:szCs w:val="22"/>
        </w:rPr>
        <w:t>1</w:t>
      </w:r>
      <w:r w:rsidR="00C077A5" w:rsidRPr="00320DDF">
        <w:rPr>
          <w:rFonts w:ascii="Garamond" w:hAnsi="Garamond" w:cs="Sylfaen"/>
          <w:sz w:val="22"/>
          <w:szCs w:val="22"/>
        </w:rPr>
        <w:t xml:space="preserve">% y/y </w:t>
      </w:r>
      <w:r w:rsidR="00C61717" w:rsidRPr="00320DDF">
        <w:rPr>
          <w:rFonts w:ascii="Garamond" w:hAnsi="Garamond" w:cs="Sylfaen"/>
          <w:sz w:val="22"/>
          <w:szCs w:val="22"/>
        </w:rPr>
        <w:t xml:space="preserve">rise </w:t>
      </w:r>
      <w:r w:rsidR="00C077A5" w:rsidRPr="00320DDF">
        <w:rPr>
          <w:rFonts w:ascii="Garamond" w:hAnsi="Garamond" w:cs="Sylfaen"/>
          <w:sz w:val="22"/>
          <w:szCs w:val="22"/>
        </w:rPr>
        <w:t xml:space="preserve">in prices </w:t>
      </w:r>
      <w:r w:rsidR="00D60FE6" w:rsidRPr="00320DDF">
        <w:rPr>
          <w:rFonts w:ascii="Garamond" w:hAnsi="Garamond" w:cs="Sylfaen"/>
          <w:sz w:val="22"/>
          <w:szCs w:val="22"/>
        </w:rPr>
        <w:t xml:space="preserve">in </w:t>
      </w:r>
      <w:r w:rsidR="00D60FE6" w:rsidRPr="00320DDF">
        <w:rPr>
          <w:rFonts w:ascii="Garamond" w:hAnsi="Garamond"/>
          <w:sz w:val="22"/>
          <w:szCs w:val="22"/>
        </w:rPr>
        <w:t>January-</w:t>
      </w:r>
      <w:r w:rsidR="00BA383F" w:rsidRPr="00320DDF">
        <w:rPr>
          <w:rFonts w:ascii="Garamond" w:hAnsi="Garamond"/>
          <w:sz w:val="22"/>
          <w:szCs w:val="22"/>
        </w:rPr>
        <w:t>March owing to increased ore and minerals prices in international markets</w:t>
      </w:r>
      <w:r w:rsidR="0029667E" w:rsidRPr="00320DDF">
        <w:rPr>
          <w:rFonts w:ascii="Garamond" w:hAnsi="Garamond"/>
          <w:sz w:val="22"/>
          <w:szCs w:val="22"/>
        </w:rPr>
        <w:t>.</w:t>
      </w:r>
      <w:r w:rsidR="00D60FE6" w:rsidRPr="00320DDF">
        <w:rPr>
          <w:rFonts w:ascii="Garamond" w:hAnsi="Garamond" w:cs="Sylfaen"/>
          <w:sz w:val="22"/>
          <w:szCs w:val="22"/>
        </w:rPr>
        <w:t xml:space="preserve"> </w:t>
      </w:r>
      <w:r w:rsidR="00BA383F" w:rsidRPr="00320DDF">
        <w:rPr>
          <w:rFonts w:ascii="Garamond" w:hAnsi="Garamond"/>
          <w:b/>
          <w:sz w:val="22"/>
          <w:szCs w:val="22"/>
        </w:rPr>
        <w:t>Agriculture</w:t>
      </w:r>
      <w:r w:rsidR="00BA383F" w:rsidRPr="00320DDF">
        <w:rPr>
          <w:rFonts w:ascii="Garamond" w:hAnsi="Garamond"/>
          <w:b/>
          <w:sz w:val="22"/>
          <w:szCs w:val="22"/>
          <w:lang w:val="hy-AM"/>
        </w:rPr>
        <w:t xml:space="preserve"> </w:t>
      </w:r>
      <w:r w:rsidR="00BA383F" w:rsidRPr="00320DDF">
        <w:rPr>
          <w:rFonts w:ascii="Garamond" w:hAnsi="Garamond"/>
          <w:sz w:val="22"/>
          <w:szCs w:val="22"/>
        </w:rPr>
        <w:t>posted</w:t>
      </w:r>
      <w:r w:rsidR="00BA383F" w:rsidRPr="00320DDF">
        <w:rPr>
          <w:rFonts w:ascii="Garamond" w:hAnsi="Garamond" w:cs="Sylfaen"/>
          <w:sz w:val="22"/>
          <w:szCs w:val="22"/>
        </w:rPr>
        <w:t xml:space="preserve"> no significant change</w:t>
      </w:r>
      <w:r w:rsidR="00A15545" w:rsidRPr="00320DDF">
        <w:rPr>
          <w:rFonts w:ascii="Garamond" w:hAnsi="Garamond" w:cs="Sylfaen"/>
          <w:sz w:val="22"/>
          <w:szCs w:val="22"/>
        </w:rPr>
        <w:t>s</w:t>
      </w:r>
      <w:r w:rsidR="00BA383F" w:rsidRPr="00320DDF">
        <w:rPr>
          <w:rFonts w:ascii="Garamond" w:hAnsi="Garamond" w:cs="Sylfaen"/>
          <w:sz w:val="22"/>
          <w:szCs w:val="22"/>
        </w:rPr>
        <w:t xml:space="preserve"> in prices </w:t>
      </w:r>
      <w:r w:rsidR="00B164AF" w:rsidRPr="00320DDF">
        <w:rPr>
          <w:rFonts w:ascii="Garamond" w:hAnsi="Garamond"/>
          <w:sz w:val="22"/>
          <w:szCs w:val="22"/>
        </w:rPr>
        <w:t>in the same period of time</w:t>
      </w:r>
      <w:r w:rsidR="00BA383F" w:rsidRPr="00320DDF">
        <w:rPr>
          <w:rFonts w:ascii="Garamond" w:hAnsi="Garamond"/>
          <w:sz w:val="22"/>
          <w:szCs w:val="22"/>
        </w:rPr>
        <w:t xml:space="preserve"> due to weak economic activity persisting in the sector from the previous year. </w:t>
      </w:r>
      <w:r w:rsidR="00A15545" w:rsidRPr="00320DDF">
        <w:rPr>
          <w:rFonts w:ascii="Garamond" w:hAnsi="Garamond"/>
          <w:sz w:val="22"/>
          <w:szCs w:val="22"/>
        </w:rPr>
        <w:t xml:space="preserve">The rapid growth rates notwithstanding, the level of domestic demand is still low in the economy in the period under review, and </w:t>
      </w:r>
      <w:r w:rsidR="00A15545" w:rsidRPr="00320DDF">
        <w:rPr>
          <w:rFonts w:ascii="Garamond" w:hAnsi="Garamond"/>
          <w:b/>
          <w:sz w:val="22"/>
          <w:szCs w:val="22"/>
        </w:rPr>
        <w:t>Services</w:t>
      </w:r>
      <w:r w:rsidR="00A15545" w:rsidRPr="00320DDF">
        <w:rPr>
          <w:rFonts w:ascii="Garamond" w:hAnsi="Garamond"/>
          <w:sz w:val="22"/>
          <w:szCs w:val="22"/>
        </w:rPr>
        <w:t xml:space="preserve"> reported no essential changes in tariffs, as a result. </w:t>
      </w:r>
      <w:r w:rsidR="00F51B36" w:rsidRPr="00320DDF">
        <w:rPr>
          <w:rFonts w:ascii="Garamond" w:hAnsi="Garamond"/>
          <w:b/>
          <w:sz w:val="22"/>
          <w:szCs w:val="22"/>
        </w:rPr>
        <w:t xml:space="preserve">Construction </w:t>
      </w:r>
      <w:r w:rsidR="0020769A" w:rsidRPr="00320DDF">
        <w:rPr>
          <w:rFonts w:ascii="Garamond" w:hAnsi="Garamond"/>
          <w:sz w:val="22"/>
          <w:szCs w:val="22"/>
        </w:rPr>
        <w:t>reported</w:t>
      </w:r>
      <w:r w:rsidR="002A11DD" w:rsidRPr="00320DDF">
        <w:rPr>
          <w:rFonts w:ascii="Garamond" w:hAnsi="Garamond"/>
          <w:sz w:val="22"/>
          <w:szCs w:val="22"/>
          <w:lang w:val="hy-AM"/>
        </w:rPr>
        <w:t xml:space="preserve"> </w:t>
      </w:r>
      <w:r w:rsidR="00EC45CF" w:rsidRPr="00320DDF">
        <w:rPr>
          <w:rFonts w:ascii="Garamond" w:hAnsi="Garamond"/>
          <w:sz w:val="22"/>
          <w:szCs w:val="22"/>
        </w:rPr>
        <w:t xml:space="preserve">a </w:t>
      </w:r>
      <w:r w:rsidR="00A15545" w:rsidRPr="00320DDF">
        <w:rPr>
          <w:rFonts w:ascii="Garamond" w:hAnsi="Garamond"/>
          <w:sz w:val="22"/>
          <w:szCs w:val="22"/>
        </w:rPr>
        <w:t>2</w:t>
      </w:r>
      <w:r w:rsidR="00F51B36" w:rsidRPr="00320DDF">
        <w:rPr>
          <w:rFonts w:ascii="Garamond" w:hAnsi="Garamond"/>
          <w:sz w:val="22"/>
          <w:szCs w:val="22"/>
        </w:rPr>
        <w:t>.</w:t>
      </w:r>
      <w:r w:rsidR="009C2884" w:rsidRPr="00320DDF">
        <w:rPr>
          <w:rFonts w:ascii="Garamond" w:hAnsi="Garamond"/>
          <w:sz w:val="22"/>
          <w:szCs w:val="22"/>
        </w:rPr>
        <w:t>8</w:t>
      </w:r>
      <w:r w:rsidR="00F51B36" w:rsidRPr="00320DDF">
        <w:rPr>
          <w:rFonts w:ascii="Garamond" w:hAnsi="Garamond"/>
          <w:sz w:val="22"/>
          <w:szCs w:val="22"/>
        </w:rPr>
        <w:t xml:space="preserve">% y/y price </w:t>
      </w:r>
      <w:r w:rsidR="00EC45CF" w:rsidRPr="00320DDF">
        <w:rPr>
          <w:rFonts w:ascii="Garamond" w:hAnsi="Garamond"/>
          <w:sz w:val="22"/>
          <w:szCs w:val="22"/>
        </w:rPr>
        <w:t>de</w:t>
      </w:r>
      <w:r w:rsidR="0020769A" w:rsidRPr="00320DDF">
        <w:rPr>
          <w:rFonts w:ascii="Garamond" w:hAnsi="Garamond"/>
          <w:sz w:val="22"/>
          <w:szCs w:val="22"/>
        </w:rPr>
        <w:t>flation in</w:t>
      </w:r>
      <w:r w:rsidR="00EC45CF" w:rsidRPr="00320DDF">
        <w:rPr>
          <w:rFonts w:ascii="Garamond" w:hAnsi="Garamond" w:cs="Sylfaen"/>
          <w:sz w:val="22"/>
          <w:szCs w:val="22"/>
          <w:lang w:val="hy-AM"/>
        </w:rPr>
        <w:t xml:space="preserve"> </w:t>
      </w:r>
      <w:r w:rsidR="00067289" w:rsidRPr="00320DDF">
        <w:rPr>
          <w:rFonts w:ascii="Garamond" w:hAnsi="Garamond" w:cs="Sylfaen"/>
          <w:sz w:val="22"/>
          <w:szCs w:val="22"/>
        </w:rPr>
        <w:t xml:space="preserve">the first quarter of 2017. This </w:t>
      </w:r>
      <w:r w:rsidR="00240A76" w:rsidRPr="00320DDF">
        <w:rPr>
          <w:rFonts w:ascii="Garamond" w:hAnsi="Garamond"/>
          <w:sz w:val="22"/>
          <w:szCs w:val="22"/>
        </w:rPr>
        <w:t>is a</w:t>
      </w:r>
      <w:r w:rsidR="0099740A" w:rsidRPr="00320DDF">
        <w:rPr>
          <w:rFonts w:ascii="Garamond" w:hAnsi="Garamond"/>
          <w:sz w:val="22"/>
          <w:szCs w:val="22"/>
        </w:rPr>
        <w:t xml:space="preserve"> result of </w:t>
      </w:r>
      <w:r w:rsidR="00240A76" w:rsidRPr="00320DDF">
        <w:rPr>
          <w:rFonts w:ascii="Garamond" w:hAnsi="Garamond"/>
          <w:sz w:val="22"/>
          <w:szCs w:val="22"/>
        </w:rPr>
        <w:t xml:space="preserve">contracted output and </w:t>
      </w:r>
      <w:r w:rsidR="0099740A" w:rsidRPr="00320DDF">
        <w:rPr>
          <w:rFonts w:ascii="Garamond" w:hAnsi="Garamond"/>
          <w:sz w:val="22"/>
          <w:szCs w:val="22"/>
        </w:rPr>
        <w:t xml:space="preserve">reduced </w:t>
      </w:r>
      <w:r w:rsidR="00EC45CF" w:rsidRPr="00320DDF">
        <w:rPr>
          <w:rFonts w:ascii="Garamond" w:hAnsi="Garamond"/>
          <w:sz w:val="22"/>
          <w:szCs w:val="22"/>
        </w:rPr>
        <w:t xml:space="preserve">wages </w:t>
      </w:r>
      <w:r w:rsidR="0099740A" w:rsidRPr="00320DDF">
        <w:rPr>
          <w:rFonts w:ascii="Garamond" w:hAnsi="Garamond"/>
          <w:sz w:val="22"/>
          <w:szCs w:val="22"/>
        </w:rPr>
        <w:t xml:space="preserve">in the </w:t>
      </w:r>
      <w:r w:rsidR="0099740A" w:rsidRPr="00320DDF">
        <w:rPr>
          <w:rFonts w:ascii="Garamond" w:hAnsi="Garamond"/>
          <w:sz w:val="22"/>
          <w:szCs w:val="22"/>
        </w:rPr>
        <w:lastRenderedPageBreak/>
        <w:t>construction sector</w:t>
      </w:r>
      <w:r w:rsidR="009C2884" w:rsidRPr="00320DDF">
        <w:rPr>
          <w:rFonts w:ascii="Garamond" w:hAnsi="Garamond"/>
          <w:sz w:val="22"/>
          <w:szCs w:val="22"/>
        </w:rPr>
        <w:t xml:space="preserve">, which, in turn, is attributable to supply </w:t>
      </w:r>
      <w:r w:rsidR="00067289" w:rsidRPr="00320DDF">
        <w:rPr>
          <w:rFonts w:ascii="Garamond" w:hAnsi="Garamond"/>
          <w:sz w:val="22"/>
          <w:szCs w:val="22"/>
        </w:rPr>
        <w:t>and demand imbalances in the sector</w:t>
      </w:r>
      <w:r w:rsidR="00EC45CF" w:rsidRPr="00320DDF">
        <w:rPr>
          <w:rFonts w:ascii="Garamond" w:hAnsi="Garamond"/>
          <w:sz w:val="22"/>
          <w:szCs w:val="22"/>
        </w:rPr>
        <w:t>.</w:t>
      </w:r>
      <w:r w:rsidR="00067289" w:rsidRPr="00320DDF">
        <w:rPr>
          <w:rFonts w:ascii="Garamond" w:hAnsi="Garamond"/>
          <w:sz w:val="22"/>
          <w:szCs w:val="22"/>
        </w:rPr>
        <w:t xml:space="preserve"> The price developments in these sectors did not significantly deviate from the Central Bank’s estimates.</w:t>
      </w:r>
      <w:r w:rsidR="00EC45CF" w:rsidRPr="00320DDF">
        <w:rPr>
          <w:rFonts w:ascii="Garamond" w:hAnsi="Garamond"/>
          <w:sz w:val="22"/>
          <w:szCs w:val="22"/>
        </w:rPr>
        <w:t xml:space="preserve"> </w:t>
      </w:r>
    </w:p>
    <w:p w14:paraId="3C66F5AE" w14:textId="77777777" w:rsidR="00F51B36" w:rsidRPr="00320DDF" w:rsidRDefault="00F51B36" w:rsidP="00FF3CD9">
      <w:pPr>
        <w:spacing w:line="360" w:lineRule="auto"/>
        <w:jc w:val="both"/>
        <w:rPr>
          <w:rFonts w:ascii="Garamond" w:hAnsi="Garamond"/>
          <w:sz w:val="22"/>
          <w:szCs w:val="22"/>
        </w:rPr>
      </w:pPr>
    </w:p>
    <w:p w14:paraId="54EBF012" w14:textId="77777777" w:rsidR="00E31CBC" w:rsidRPr="00320DDF" w:rsidRDefault="00E31CBC" w:rsidP="00FF3CD9">
      <w:pPr>
        <w:spacing w:line="360" w:lineRule="auto"/>
        <w:jc w:val="both"/>
        <w:rPr>
          <w:rFonts w:ascii="Garamond" w:hAnsi="Garamond"/>
          <w:b/>
          <w:sz w:val="22"/>
          <w:szCs w:val="22"/>
        </w:rPr>
      </w:pPr>
      <w:r w:rsidRPr="00320DDF">
        <w:rPr>
          <w:rFonts w:ascii="Garamond" w:hAnsi="Garamond"/>
          <w:b/>
          <w:sz w:val="22"/>
          <w:szCs w:val="22"/>
        </w:rPr>
        <w:t>3.1.3. Inflation and interest rate expectations</w:t>
      </w:r>
    </w:p>
    <w:p w14:paraId="7A65D6E6" w14:textId="77777777" w:rsidR="00E31CBC" w:rsidRPr="00320DDF" w:rsidRDefault="00E31CBC" w:rsidP="00FF3CD9">
      <w:pPr>
        <w:spacing w:line="360" w:lineRule="auto"/>
        <w:jc w:val="both"/>
        <w:rPr>
          <w:rFonts w:ascii="Garamond" w:hAnsi="Garamond"/>
          <w:b/>
          <w:sz w:val="22"/>
          <w:szCs w:val="22"/>
        </w:rPr>
      </w:pPr>
    </w:p>
    <w:p w14:paraId="2FF23921" w14:textId="77777777" w:rsidR="008858EC" w:rsidRPr="00320DDF" w:rsidRDefault="00892BD6" w:rsidP="00FF3CD9">
      <w:pPr>
        <w:spacing w:line="360" w:lineRule="auto"/>
        <w:jc w:val="both"/>
        <w:rPr>
          <w:rFonts w:ascii="Garamond" w:hAnsi="Garamond"/>
          <w:iCs/>
          <w:sz w:val="22"/>
          <w:szCs w:val="22"/>
        </w:rPr>
      </w:pPr>
      <w:r w:rsidRPr="00320DDF">
        <w:rPr>
          <w:rFonts w:ascii="Garamond" w:hAnsi="Garamond"/>
          <w:iCs/>
          <w:sz w:val="22"/>
          <w:szCs w:val="22"/>
        </w:rPr>
        <w:t>R</w:t>
      </w:r>
      <w:r w:rsidR="00E82305" w:rsidRPr="00320DDF">
        <w:rPr>
          <w:rFonts w:ascii="Garamond" w:hAnsi="Garamond"/>
          <w:iCs/>
          <w:sz w:val="22"/>
          <w:szCs w:val="22"/>
        </w:rPr>
        <w:t xml:space="preserve">educed </w:t>
      </w:r>
      <w:r w:rsidRPr="00320DDF">
        <w:rPr>
          <w:rFonts w:ascii="Garamond" w:hAnsi="Garamond"/>
          <w:iCs/>
          <w:sz w:val="22"/>
          <w:szCs w:val="22"/>
        </w:rPr>
        <w:t xml:space="preserve">considerably </w:t>
      </w:r>
      <w:r w:rsidR="00E04CB9" w:rsidRPr="00320DDF">
        <w:rPr>
          <w:rFonts w:ascii="Garamond" w:hAnsi="Garamond"/>
          <w:iCs/>
          <w:sz w:val="22"/>
          <w:szCs w:val="22"/>
        </w:rPr>
        <w:t>in 2</w:t>
      </w:r>
      <w:r w:rsidR="00E82305" w:rsidRPr="00320DDF">
        <w:rPr>
          <w:rFonts w:ascii="Garamond" w:hAnsi="Garamond"/>
          <w:iCs/>
          <w:sz w:val="22"/>
          <w:szCs w:val="22"/>
        </w:rPr>
        <w:t>015-2016, the ho</w:t>
      </w:r>
      <w:r w:rsidR="00E31CBC" w:rsidRPr="00320DDF">
        <w:rPr>
          <w:rFonts w:ascii="Garamond" w:hAnsi="Garamond"/>
          <w:sz w:val="22"/>
          <w:szCs w:val="22"/>
        </w:rPr>
        <w:t>useholds’ inflation expectations</w:t>
      </w:r>
      <w:r w:rsidR="002A11DD" w:rsidRPr="00320DDF">
        <w:rPr>
          <w:rFonts w:ascii="Garamond" w:hAnsi="Garamond"/>
          <w:sz w:val="22"/>
          <w:szCs w:val="22"/>
          <w:lang w:val="hy-AM"/>
        </w:rPr>
        <w:t xml:space="preserve"> </w:t>
      </w:r>
      <w:r w:rsidR="00E04CB9" w:rsidRPr="00320DDF">
        <w:rPr>
          <w:rFonts w:ascii="Garamond" w:hAnsi="Garamond"/>
          <w:sz w:val="22"/>
          <w:szCs w:val="22"/>
        </w:rPr>
        <w:t>somewhat stabilized in the f</w:t>
      </w:r>
      <w:r w:rsidR="008858EC" w:rsidRPr="00320DDF">
        <w:rPr>
          <w:rFonts w:ascii="Garamond" w:hAnsi="Garamond"/>
          <w:sz w:val="22"/>
          <w:szCs w:val="22"/>
        </w:rPr>
        <w:t xml:space="preserve">irst </w:t>
      </w:r>
      <w:r w:rsidR="00E04CB9" w:rsidRPr="00320DDF">
        <w:rPr>
          <w:rFonts w:ascii="Garamond" w:hAnsi="Garamond"/>
          <w:sz w:val="22"/>
          <w:szCs w:val="22"/>
        </w:rPr>
        <w:t>quarter</w:t>
      </w:r>
      <w:r w:rsidR="008858EC" w:rsidRPr="00320DDF">
        <w:rPr>
          <w:rFonts w:ascii="Garamond" w:hAnsi="Garamond"/>
          <w:sz w:val="22"/>
          <w:szCs w:val="22"/>
        </w:rPr>
        <w:t xml:space="preserve"> of 2017</w:t>
      </w:r>
      <w:r w:rsidR="00E04CB9" w:rsidRPr="00320DDF">
        <w:rPr>
          <w:rFonts w:ascii="Garamond" w:hAnsi="Garamond"/>
          <w:sz w:val="22"/>
          <w:szCs w:val="22"/>
        </w:rPr>
        <w:t xml:space="preserve">, as was expected, and will recover gradually in </w:t>
      </w:r>
      <w:r w:rsidR="00E31CBC" w:rsidRPr="00320DDF">
        <w:rPr>
          <w:rFonts w:ascii="Garamond" w:hAnsi="Garamond"/>
          <w:sz w:val="22"/>
          <w:szCs w:val="22"/>
        </w:rPr>
        <w:t>an upcoming one-year horizon</w:t>
      </w:r>
      <w:r w:rsidR="00E04CB9" w:rsidRPr="00320DDF">
        <w:rPr>
          <w:rFonts w:ascii="Garamond" w:hAnsi="Garamond"/>
          <w:sz w:val="22"/>
          <w:szCs w:val="22"/>
        </w:rPr>
        <w:t>, anchoring around the inflation target in the forecast horizon</w:t>
      </w:r>
      <w:r w:rsidR="000F6DDC" w:rsidRPr="00320DDF">
        <w:rPr>
          <w:rFonts w:ascii="Garamond" w:hAnsi="Garamond"/>
          <w:iCs/>
          <w:sz w:val="22"/>
          <w:szCs w:val="22"/>
        </w:rPr>
        <w:t xml:space="preserve">. </w:t>
      </w:r>
      <w:r w:rsidR="006E25F7" w:rsidRPr="00320DDF">
        <w:rPr>
          <w:rFonts w:ascii="Garamond" w:hAnsi="Garamond"/>
          <w:iCs/>
          <w:sz w:val="22"/>
          <w:szCs w:val="22"/>
        </w:rPr>
        <w:t xml:space="preserve">Estimations produced </w:t>
      </w:r>
      <w:r w:rsidR="0092387B" w:rsidRPr="00320DDF">
        <w:rPr>
          <w:rFonts w:ascii="Garamond" w:hAnsi="Garamond"/>
          <w:iCs/>
          <w:sz w:val="22"/>
          <w:szCs w:val="22"/>
        </w:rPr>
        <w:t xml:space="preserve">on </w:t>
      </w:r>
      <w:r w:rsidR="006E25F7" w:rsidRPr="00320DDF">
        <w:rPr>
          <w:rFonts w:ascii="Garamond" w:hAnsi="Garamond"/>
          <w:iCs/>
          <w:sz w:val="22"/>
          <w:szCs w:val="22"/>
        </w:rPr>
        <w:t>the C</w:t>
      </w:r>
      <w:r w:rsidR="00E04CB9" w:rsidRPr="00320DDF">
        <w:rPr>
          <w:rFonts w:ascii="Garamond" w:hAnsi="Garamond"/>
          <w:iCs/>
          <w:sz w:val="22"/>
          <w:szCs w:val="22"/>
        </w:rPr>
        <w:t xml:space="preserve">entral </w:t>
      </w:r>
      <w:r w:rsidR="006E25F7" w:rsidRPr="00320DDF">
        <w:rPr>
          <w:rFonts w:ascii="Garamond" w:hAnsi="Garamond"/>
          <w:iCs/>
          <w:sz w:val="22"/>
          <w:szCs w:val="22"/>
        </w:rPr>
        <w:t>B</w:t>
      </w:r>
      <w:r w:rsidR="00E04CB9" w:rsidRPr="00320DDF">
        <w:rPr>
          <w:rFonts w:ascii="Garamond" w:hAnsi="Garamond"/>
          <w:iCs/>
          <w:sz w:val="22"/>
          <w:szCs w:val="22"/>
        </w:rPr>
        <w:t>ank</w:t>
      </w:r>
      <w:r w:rsidR="006E25F7" w:rsidRPr="00320DDF">
        <w:rPr>
          <w:rFonts w:ascii="Garamond" w:hAnsi="Garamond"/>
          <w:iCs/>
          <w:sz w:val="22"/>
          <w:szCs w:val="22"/>
        </w:rPr>
        <w:t xml:space="preserve"> core model suggest that inflation expectations </w:t>
      </w:r>
      <w:r w:rsidR="008858EC" w:rsidRPr="00320DDF">
        <w:rPr>
          <w:rFonts w:ascii="Garamond" w:hAnsi="Garamond"/>
          <w:iCs/>
          <w:sz w:val="22"/>
          <w:szCs w:val="22"/>
        </w:rPr>
        <w:t xml:space="preserve">did not change much </w:t>
      </w:r>
      <w:r w:rsidR="00E04CB9" w:rsidRPr="00320DDF">
        <w:rPr>
          <w:rFonts w:ascii="Garamond" w:hAnsi="Garamond"/>
          <w:iCs/>
          <w:sz w:val="22"/>
          <w:szCs w:val="22"/>
        </w:rPr>
        <w:t>this quarter</w:t>
      </w:r>
      <w:r w:rsidR="008858EC" w:rsidRPr="00320DDF">
        <w:rPr>
          <w:rFonts w:ascii="Garamond" w:hAnsi="Garamond"/>
          <w:iCs/>
          <w:sz w:val="22"/>
          <w:szCs w:val="22"/>
        </w:rPr>
        <w:t xml:space="preserve"> in</w:t>
      </w:r>
      <w:r w:rsidR="00E04CB9" w:rsidRPr="00320DDF">
        <w:rPr>
          <w:rFonts w:ascii="Garamond" w:hAnsi="Garamond"/>
          <w:iCs/>
          <w:sz w:val="22"/>
          <w:szCs w:val="22"/>
        </w:rPr>
        <w:t xml:space="preserve"> compar</w:t>
      </w:r>
      <w:r w:rsidR="008858EC" w:rsidRPr="00320DDF">
        <w:rPr>
          <w:rFonts w:ascii="Garamond" w:hAnsi="Garamond"/>
          <w:iCs/>
          <w:sz w:val="22"/>
          <w:szCs w:val="22"/>
        </w:rPr>
        <w:t xml:space="preserve">ison with </w:t>
      </w:r>
      <w:r w:rsidR="00E04CB9" w:rsidRPr="00320DDF">
        <w:rPr>
          <w:rFonts w:ascii="Garamond" w:hAnsi="Garamond"/>
          <w:iCs/>
          <w:sz w:val="22"/>
          <w:szCs w:val="22"/>
        </w:rPr>
        <w:t>the previous quarter</w:t>
      </w:r>
      <w:r w:rsidR="008858EC" w:rsidRPr="00320DDF">
        <w:rPr>
          <w:rFonts w:ascii="Garamond" w:hAnsi="Garamond"/>
          <w:iCs/>
          <w:sz w:val="22"/>
          <w:szCs w:val="22"/>
        </w:rPr>
        <w:t xml:space="preserve"> (</w:t>
      </w:r>
      <w:r w:rsidR="00E04CB9" w:rsidRPr="00320DDF">
        <w:rPr>
          <w:rFonts w:ascii="Garamond" w:hAnsi="Garamond"/>
          <w:iCs/>
          <w:sz w:val="22"/>
          <w:szCs w:val="22"/>
        </w:rPr>
        <w:t>0.6%</w:t>
      </w:r>
      <w:r w:rsidR="008858EC" w:rsidRPr="00320DDF">
        <w:rPr>
          <w:rFonts w:ascii="Garamond" w:hAnsi="Garamond"/>
          <w:iCs/>
          <w:sz w:val="22"/>
          <w:szCs w:val="22"/>
        </w:rPr>
        <w:t xml:space="preserve">). </w:t>
      </w:r>
    </w:p>
    <w:p w14:paraId="7A867F53" w14:textId="77777777" w:rsidR="008858EC" w:rsidRPr="00320DDF" w:rsidRDefault="008858EC" w:rsidP="00FF3CD9">
      <w:pPr>
        <w:spacing w:line="360" w:lineRule="auto"/>
        <w:jc w:val="both"/>
        <w:rPr>
          <w:rFonts w:ascii="Garamond" w:hAnsi="Garamond"/>
          <w:iCs/>
          <w:sz w:val="22"/>
          <w:szCs w:val="22"/>
        </w:rPr>
      </w:pPr>
    </w:p>
    <w:p w14:paraId="14CF9947" w14:textId="77777777" w:rsidR="00013801" w:rsidRPr="00320DDF" w:rsidRDefault="00DD6164" w:rsidP="00FF3CD9">
      <w:pPr>
        <w:spacing w:line="360" w:lineRule="auto"/>
        <w:jc w:val="both"/>
        <w:rPr>
          <w:rFonts w:ascii="Garamond" w:hAnsi="Garamond"/>
          <w:sz w:val="22"/>
          <w:szCs w:val="22"/>
        </w:rPr>
      </w:pPr>
      <w:r w:rsidRPr="00320DDF">
        <w:rPr>
          <w:rFonts w:ascii="Garamond" w:hAnsi="Garamond"/>
          <w:iCs/>
          <w:sz w:val="22"/>
          <w:szCs w:val="22"/>
        </w:rPr>
        <w:t xml:space="preserve">The </w:t>
      </w:r>
      <w:r w:rsidR="00B72159" w:rsidRPr="00320DDF">
        <w:rPr>
          <w:rFonts w:ascii="Garamond" w:hAnsi="Garamond"/>
          <w:iCs/>
          <w:sz w:val="22"/>
          <w:szCs w:val="22"/>
        </w:rPr>
        <w:t xml:space="preserve">results of </w:t>
      </w:r>
      <w:r w:rsidRPr="00320DDF">
        <w:rPr>
          <w:rFonts w:ascii="Garamond" w:hAnsi="Garamond"/>
          <w:iCs/>
          <w:sz w:val="22"/>
          <w:szCs w:val="22"/>
        </w:rPr>
        <w:t xml:space="preserve">survey conducted </w:t>
      </w:r>
      <w:r w:rsidR="00B72159" w:rsidRPr="00320DDF">
        <w:rPr>
          <w:rFonts w:ascii="Garamond" w:hAnsi="Garamond"/>
          <w:iCs/>
          <w:sz w:val="22"/>
          <w:szCs w:val="22"/>
        </w:rPr>
        <w:t xml:space="preserve">by the Central Bank </w:t>
      </w:r>
      <w:r w:rsidR="008858EC" w:rsidRPr="00320DDF">
        <w:rPr>
          <w:rFonts w:ascii="Garamond" w:hAnsi="Garamond"/>
          <w:iCs/>
          <w:sz w:val="22"/>
          <w:szCs w:val="22"/>
        </w:rPr>
        <w:t xml:space="preserve">for </w:t>
      </w:r>
      <w:r w:rsidR="00C661EF" w:rsidRPr="00320DDF">
        <w:rPr>
          <w:rFonts w:ascii="Garamond" w:hAnsi="Garamond"/>
          <w:iCs/>
          <w:sz w:val="22"/>
          <w:szCs w:val="22"/>
        </w:rPr>
        <w:t xml:space="preserve">the </w:t>
      </w:r>
      <w:r w:rsidRPr="00320DDF">
        <w:rPr>
          <w:rFonts w:ascii="Garamond" w:hAnsi="Garamond"/>
          <w:iCs/>
          <w:sz w:val="22"/>
          <w:szCs w:val="22"/>
        </w:rPr>
        <w:t>f</w:t>
      </w:r>
      <w:r w:rsidR="008858EC" w:rsidRPr="00320DDF">
        <w:rPr>
          <w:rFonts w:ascii="Garamond" w:hAnsi="Garamond"/>
          <w:iCs/>
          <w:sz w:val="22"/>
          <w:szCs w:val="22"/>
        </w:rPr>
        <w:t xml:space="preserve">irst </w:t>
      </w:r>
      <w:r w:rsidR="00C661EF" w:rsidRPr="00320DDF">
        <w:rPr>
          <w:rFonts w:ascii="Garamond" w:hAnsi="Garamond"/>
          <w:iCs/>
          <w:sz w:val="22"/>
          <w:szCs w:val="22"/>
        </w:rPr>
        <w:t xml:space="preserve">quarter </w:t>
      </w:r>
      <w:r w:rsidR="003735BC" w:rsidRPr="00320DDF">
        <w:rPr>
          <w:rFonts w:ascii="Garamond" w:hAnsi="Garamond"/>
          <w:iCs/>
          <w:sz w:val="22"/>
          <w:szCs w:val="22"/>
        </w:rPr>
        <w:t>of 201</w:t>
      </w:r>
      <w:r w:rsidR="008858EC" w:rsidRPr="00320DDF">
        <w:rPr>
          <w:rFonts w:ascii="Garamond" w:hAnsi="Garamond"/>
          <w:iCs/>
          <w:sz w:val="22"/>
          <w:szCs w:val="22"/>
        </w:rPr>
        <w:t>7</w:t>
      </w:r>
      <w:r w:rsidR="003735BC" w:rsidRPr="00320DDF">
        <w:rPr>
          <w:rFonts w:ascii="Garamond" w:hAnsi="Garamond"/>
          <w:iCs/>
          <w:sz w:val="22"/>
          <w:szCs w:val="22"/>
        </w:rPr>
        <w:t xml:space="preserve"> </w:t>
      </w:r>
      <w:r w:rsidR="008858EC" w:rsidRPr="00320DDF">
        <w:rPr>
          <w:rFonts w:ascii="Garamond" w:hAnsi="Garamond"/>
          <w:iCs/>
          <w:sz w:val="22"/>
          <w:szCs w:val="22"/>
        </w:rPr>
        <w:t xml:space="preserve">about expectations of the </w:t>
      </w:r>
      <w:r w:rsidR="00C661EF" w:rsidRPr="00320DDF">
        <w:rPr>
          <w:rFonts w:ascii="Garamond" w:hAnsi="Garamond"/>
          <w:iCs/>
          <w:sz w:val="22"/>
          <w:szCs w:val="22"/>
        </w:rPr>
        <w:t>households</w:t>
      </w:r>
      <w:r w:rsidR="008858EC" w:rsidRPr="00320DDF">
        <w:rPr>
          <w:rFonts w:ascii="Garamond" w:hAnsi="Garamond"/>
          <w:iCs/>
          <w:sz w:val="22"/>
          <w:szCs w:val="22"/>
        </w:rPr>
        <w:t xml:space="preserve"> and financial sector</w:t>
      </w:r>
      <w:r w:rsidR="00B72159" w:rsidRPr="00320DDF">
        <w:rPr>
          <w:rFonts w:ascii="Garamond" w:hAnsi="Garamond"/>
          <w:iCs/>
          <w:sz w:val="22"/>
          <w:szCs w:val="22"/>
        </w:rPr>
        <w:t xml:space="preserve"> with regard to a </w:t>
      </w:r>
      <w:r w:rsidR="00C661EF" w:rsidRPr="00320DDF">
        <w:rPr>
          <w:rFonts w:ascii="Garamond" w:hAnsi="Garamond"/>
          <w:iCs/>
          <w:sz w:val="22"/>
          <w:szCs w:val="22"/>
        </w:rPr>
        <w:t>number of macroeconomic indicators</w:t>
      </w:r>
      <w:r w:rsidR="00B72159" w:rsidRPr="00320DDF">
        <w:rPr>
          <w:rFonts w:ascii="Garamond" w:hAnsi="Garamond"/>
          <w:iCs/>
          <w:sz w:val="22"/>
          <w:szCs w:val="22"/>
        </w:rPr>
        <w:t xml:space="preserve"> </w:t>
      </w:r>
      <w:r w:rsidR="00FE456A" w:rsidRPr="00320DDF">
        <w:rPr>
          <w:rFonts w:ascii="Garamond" w:hAnsi="Garamond"/>
          <w:iCs/>
          <w:sz w:val="22"/>
          <w:szCs w:val="22"/>
        </w:rPr>
        <w:t xml:space="preserve">suggest that inflation expectations are </w:t>
      </w:r>
      <w:r w:rsidR="009A7646" w:rsidRPr="00320DDF">
        <w:rPr>
          <w:rFonts w:ascii="Garamond" w:hAnsi="Garamond"/>
          <w:iCs/>
          <w:sz w:val="22"/>
          <w:szCs w:val="22"/>
        </w:rPr>
        <w:t xml:space="preserve">further </w:t>
      </w:r>
      <w:r w:rsidR="00B72159" w:rsidRPr="00320DDF">
        <w:rPr>
          <w:rFonts w:ascii="Garamond" w:hAnsi="Garamond"/>
          <w:iCs/>
          <w:sz w:val="22"/>
          <w:szCs w:val="22"/>
        </w:rPr>
        <w:t>st</w:t>
      </w:r>
      <w:r w:rsidR="00FE456A" w:rsidRPr="00320DDF">
        <w:rPr>
          <w:rFonts w:ascii="Garamond" w:hAnsi="Garamond"/>
          <w:iCs/>
          <w:sz w:val="22"/>
          <w:szCs w:val="22"/>
        </w:rPr>
        <w:t xml:space="preserve">eady. </w:t>
      </w:r>
      <w:r w:rsidR="00C661EF" w:rsidRPr="00320DDF">
        <w:rPr>
          <w:rFonts w:ascii="Garamond" w:hAnsi="Garamond"/>
          <w:iCs/>
          <w:sz w:val="22"/>
          <w:szCs w:val="22"/>
        </w:rPr>
        <w:t>Th</w:t>
      </w:r>
      <w:r w:rsidR="00FF26AF" w:rsidRPr="00320DDF">
        <w:rPr>
          <w:rFonts w:ascii="Garamond" w:hAnsi="Garamond"/>
          <w:iCs/>
          <w:sz w:val="22"/>
          <w:szCs w:val="22"/>
        </w:rPr>
        <w:t xml:space="preserve">us, </w:t>
      </w:r>
      <w:r w:rsidR="00B705A8" w:rsidRPr="00320DDF">
        <w:rPr>
          <w:rFonts w:ascii="Garamond" w:hAnsi="Garamond"/>
          <w:sz w:val="22"/>
          <w:szCs w:val="22"/>
        </w:rPr>
        <w:t xml:space="preserve">inflation expectations </w:t>
      </w:r>
      <w:r w:rsidR="00FE456A" w:rsidRPr="00320DDF">
        <w:rPr>
          <w:rFonts w:ascii="Garamond" w:hAnsi="Garamond"/>
          <w:sz w:val="22"/>
          <w:szCs w:val="22"/>
        </w:rPr>
        <w:t>of</w:t>
      </w:r>
      <w:r w:rsidR="00FF26AF" w:rsidRPr="00320DDF">
        <w:rPr>
          <w:rFonts w:ascii="Garamond" w:hAnsi="Garamond"/>
          <w:sz w:val="22"/>
          <w:szCs w:val="22"/>
        </w:rPr>
        <w:t xml:space="preserve"> </w:t>
      </w:r>
      <w:r w:rsidR="00FE456A" w:rsidRPr="00320DDF">
        <w:rPr>
          <w:rFonts w:ascii="Garamond" w:hAnsi="Garamond"/>
          <w:sz w:val="22"/>
          <w:szCs w:val="22"/>
        </w:rPr>
        <w:t xml:space="preserve">the </w:t>
      </w:r>
      <w:r w:rsidR="00FF26AF" w:rsidRPr="00320DDF">
        <w:rPr>
          <w:rFonts w:ascii="Garamond" w:hAnsi="Garamond"/>
          <w:sz w:val="22"/>
          <w:szCs w:val="22"/>
        </w:rPr>
        <w:t xml:space="preserve">households for </w:t>
      </w:r>
      <w:r w:rsidR="009C32B5" w:rsidRPr="00320DDF">
        <w:rPr>
          <w:rFonts w:ascii="Garamond" w:hAnsi="Garamond"/>
          <w:sz w:val="22"/>
          <w:szCs w:val="22"/>
        </w:rPr>
        <w:t>an</w:t>
      </w:r>
      <w:r w:rsidR="00FF26AF" w:rsidRPr="00320DDF">
        <w:rPr>
          <w:rFonts w:ascii="Garamond" w:hAnsi="Garamond"/>
          <w:sz w:val="22"/>
          <w:szCs w:val="22"/>
        </w:rPr>
        <w:t xml:space="preserve"> upcoming one-year horizon </w:t>
      </w:r>
      <w:r w:rsidR="003D4808" w:rsidRPr="00320DDF">
        <w:rPr>
          <w:rFonts w:ascii="Garamond" w:hAnsi="Garamond"/>
          <w:sz w:val="22"/>
          <w:szCs w:val="22"/>
        </w:rPr>
        <w:t>we</w:t>
      </w:r>
      <w:r w:rsidR="00FE456A" w:rsidRPr="00320DDF">
        <w:rPr>
          <w:rFonts w:ascii="Garamond" w:hAnsi="Garamond"/>
          <w:sz w:val="22"/>
          <w:szCs w:val="22"/>
        </w:rPr>
        <w:t xml:space="preserve">re anchored around a </w:t>
      </w:r>
      <w:r w:rsidR="00FE456A" w:rsidRPr="00320DDF">
        <w:rPr>
          <w:rFonts w:ascii="Garamond" w:hAnsi="Garamond"/>
          <w:b/>
          <w:sz w:val="22"/>
          <w:szCs w:val="22"/>
        </w:rPr>
        <w:t>0.6%</w:t>
      </w:r>
      <w:r w:rsidR="00FE456A" w:rsidRPr="00320DDF">
        <w:rPr>
          <w:rFonts w:ascii="Garamond" w:hAnsi="Garamond"/>
          <w:sz w:val="22"/>
          <w:szCs w:val="22"/>
        </w:rPr>
        <w:t xml:space="preserve"> level of </w:t>
      </w:r>
      <w:r w:rsidR="009C32B5" w:rsidRPr="00320DDF">
        <w:rPr>
          <w:rFonts w:ascii="Garamond" w:hAnsi="Garamond"/>
          <w:sz w:val="22"/>
          <w:szCs w:val="22"/>
        </w:rPr>
        <w:t>the 12-</w:t>
      </w:r>
      <w:r w:rsidR="00FF26AF" w:rsidRPr="00320DDF">
        <w:rPr>
          <w:rFonts w:ascii="Garamond" w:hAnsi="Garamond"/>
          <w:sz w:val="22"/>
          <w:szCs w:val="22"/>
        </w:rPr>
        <w:t>month inflation rate</w:t>
      </w:r>
      <w:r w:rsidR="00D32E94" w:rsidRPr="00320DDF">
        <w:rPr>
          <w:rFonts w:ascii="Garamond" w:hAnsi="Garamond"/>
          <w:sz w:val="22"/>
          <w:szCs w:val="22"/>
        </w:rPr>
        <w:t>, against the previous quarter’s relevant figure of 0.7%</w:t>
      </w:r>
      <w:r w:rsidR="00FF26AF" w:rsidRPr="00320DDF">
        <w:rPr>
          <w:rFonts w:ascii="Garamond" w:hAnsi="Garamond"/>
          <w:sz w:val="22"/>
          <w:szCs w:val="22"/>
        </w:rPr>
        <w:t>.</w:t>
      </w:r>
      <w:r w:rsidR="00FF26AF" w:rsidRPr="00320DDF">
        <w:rPr>
          <w:rFonts w:ascii="Garamond" w:hAnsi="Garamond"/>
          <w:b/>
          <w:sz w:val="22"/>
          <w:szCs w:val="22"/>
        </w:rPr>
        <w:t xml:space="preserve"> </w:t>
      </w:r>
      <w:r w:rsidR="009C32B5" w:rsidRPr="00320DDF">
        <w:rPr>
          <w:rFonts w:ascii="Garamond" w:hAnsi="Garamond"/>
          <w:sz w:val="22"/>
          <w:szCs w:val="22"/>
        </w:rPr>
        <w:t xml:space="preserve">At the same time, the </w:t>
      </w:r>
      <w:r w:rsidR="009C32B5" w:rsidRPr="00320DDF">
        <w:rPr>
          <w:rFonts w:ascii="Garamond" w:hAnsi="Garamond"/>
          <w:b/>
          <w:sz w:val="22"/>
          <w:szCs w:val="22"/>
        </w:rPr>
        <w:t xml:space="preserve">average level of </w:t>
      </w:r>
      <w:r w:rsidR="00B705A8" w:rsidRPr="00320DDF">
        <w:rPr>
          <w:rFonts w:ascii="Garamond" w:hAnsi="Garamond"/>
          <w:b/>
          <w:sz w:val="22"/>
          <w:szCs w:val="22"/>
        </w:rPr>
        <w:t>the financial system</w:t>
      </w:r>
      <w:r w:rsidR="009C32B5" w:rsidRPr="00320DDF">
        <w:rPr>
          <w:rFonts w:ascii="Garamond" w:hAnsi="Garamond"/>
          <w:b/>
          <w:sz w:val="22"/>
          <w:szCs w:val="22"/>
        </w:rPr>
        <w:t xml:space="preserve">’s inflation expectations </w:t>
      </w:r>
      <w:r w:rsidR="003D4808" w:rsidRPr="00320DDF">
        <w:rPr>
          <w:rFonts w:ascii="Garamond" w:hAnsi="Garamond"/>
          <w:b/>
          <w:sz w:val="22"/>
          <w:szCs w:val="22"/>
        </w:rPr>
        <w:t>remained</w:t>
      </w:r>
      <w:r w:rsidR="003D4808" w:rsidRPr="00320DDF">
        <w:rPr>
          <w:rFonts w:ascii="Garamond" w:hAnsi="Garamond"/>
          <w:sz w:val="22"/>
          <w:szCs w:val="22"/>
        </w:rPr>
        <w:t xml:space="preserve"> </w:t>
      </w:r>
      <w:r w:rsidR="0058057F" w:rsidRPr="00320DDF">
        <w:rPr>
          <w:rFonts w:ascii="Garamond" w:hAnsi="Garamond"/>
          <w:b/>
          <w:sz w:val="22"/>
          <w:szCs w:val="22"/>
        </w:rPr>
        <w:t>2</w:t>
      </w:r>
      <w:r w:rsidR="00C661EF" w:rsidRPr="00320DDF">
        <w:rPr>
          <w:rFonts w:ascii="Garamond" w:hAnsi="Garamond"/>
          <w:b/>
          <w:sz w:val="22"/>
          <w:szCs w:val="22"/>
        </w:rPr>
        <w:t>.</w:t>
      </w:r>
      <w:r w:rsidR="009C32B5" w:rsidRPr="00320DDF">
        <w:rPr>
          <w:rFonts w:ascii="Garamond" w:hAnsi="Garamond"/>
          <w:b/>
          <w:sz w:val="22"/>
          <w:szCs w:val="22"/>
        </w:rPr>
        <w:t>6</w:t>
      </w:r>
      <w:r w:rsidR="00B705A8" w:rsidRPr="00320DDF">
        <w:rPr>
          <w:rFonts w:ascii="Garamond" w:hAnsi="Garamond"/>
          <w:b/>
          <w:sz w:val="22"/>
          <w:szCs w:val="22"/>
        </w:rPr>
        <w:t xml:space="preserve">% </w:t>
      </w:r>
      <w:r w:rsidR="00C661EF" w:rsidRPr="00320DDF">
        <w:rPr>
          <w:rFonts w:ascii="Garamond" w:hAnsi="Garamond"/>
          <w:sz w:val="22"/>
          <w:szCs w:val="22"/>
        </w:rPr>
        <w:t xml:space="preserve">for </w:t>
      </w:r>
      <w:r w:rsidR="009C32B5" w:rsidRPr="00320DDF">
        <w:rPr>
          <w:rFonts w:ascii="Garamond" w:hAnsi="Garamond"/>
          <w:sz w:val="22"/>
          <w:szCs w:val="22"/>
        </w:rPr>
        <w:t>an</w:t>
      </w:r>
      <w:r w:rsidR="00907F05" w:rsidRPr="00320DDF">
        <w:rPr>
          <w:rFonts w:ascii="Garamond" w:hAnsi="Garamond"/>
          <w:sz w:val="22"/>
          <w:szCs w:val="22"/>
        </w:rPr>
        <w:t xml:space="preserve"> upcoming one-year horizon</w:t>
      </w:r>
      <w:r w:rsidR="009C32B5" w:rsidRPr="00320DDF">
        <w:rPr>
          <w:rFonts w:ascii="Garamond" w:hAnsi="Garamond"/>
          <w:sz w:val="22"/>
          <w:szCs w:val="22"/>
        </w:rPr>
        <w:t>.</w:t>
      </w:r>
      <w:r w:rsidR="0058057F" w:rsidRPr="00320DDF">
        <w:rPr>
          <w:rFonts w:ascii="Garamond" w:hAnsi="Garamond"/>
          <w:sz w:val="22"/>
          <w:szCs w:val="22"/>
        </w:rPr>
        <w:t xml:space="preserve"> </w:t>
      </w:r>
      <w:r w:rsidR="00AD51AA" w:rsidRPr="00320DDF">
        <w:rPr>
          <w:rFonts w:ascii="Garamond" w:hAnsi="Garamond"/>
          <w:sz w:val="22"/>
          <w:szCs w:val="22"/>
        </w:rPr>
        <w:t xml:space="preserve">Commercial banks expected an average </w:t>
      </w:r>
      <w:r w:rsidR="00AD51AA" w:rsidRPr="00320DDF">
        <w:rPr>
          <w:rFonts w:ascii="Garamond" w:hAnsi="Garamond"/>
          <w:b/>
          <w:sz w:val="22"/>
          <w:szCs w:val="22"/>
        </w:rPr>
        <w:t>2.2%</w:t>
      </w:r>
      <w:r w:rsidR="00AD51AA" w:rsidRPr="00320DDF">
        <w:rPr>
          <w:rFonts w:ascii="Garamond" w:hAnsi="Garamond"/>
          <w:sz w:val="22"/>
          <w:szCs w:val="22"/>
        </w:rPr>
        <w:t xml:space="preserve"> of the 12-month inflation rate compared to the previous figure of 2.4%, inflation expectations of credit organizations remained at a </w:t>
      </w:r>
      <w:r w:rsidR="00AD51AA" w:rsidRPr="00320DDF">
        <w:rPr>
          <w:rFonts w:ascii="Garamond" w:hAnsi="Garamond"/>
          <w:b/>
          <w:sz w:val="22"/>
          <w:szCs w:val="22"/>
        </w:rPr>
        <w:t>3.0%</w:t>
      </w:r>
      <w:r w:rsidR="00AD51AA" w:rsidRPr="00320DDF">
        <w:rPr>
          <w:rFonts w:ascii="Garamond" w:hAnsi="Garamond"/>
          <w:sz w:val="22"/>
          <w:szCs w:val="22"/>
        </w:rPr>
        <w:t xml:space="preserve"> level, </w:t>
      </w:r>
      <w:r w:rsidR="00013801" w:rsidRPr="00320DDF">
        <w:rPr>
          <w:rFonts w:ascii="Garamond" w:hAnsi="Garamond"/>
          <w:sz w:val="22"/>
          <w:szCs w:val="22"/>
        </w:rPr>
        <w:t xml:space="preserve">insurance companies anticipate </w:t>
      </w:r>
      <w:r w:rsidR="00AD51AA" w:rsidRPr="00320DDF">
        <w:rPr>
          <w:rFonts w:ascii="Garamond" w:hAnsi="Garamond"/>
          <w:b/>
          <w:sz w:val="22"/>
          <w:szCs w:val="22"/>
        </w:rPr>
        <w:t>2.6%</w:t>
      </w:r>
      <w:r w:rsidR="00AD51AA" w:rsidRPr="00320DDF">
        <w:rPr>
          <w:rFonts w:ascii="Garamond" w:hAnsi="Garamond"/>
          <w:sz w:val="22"/>
          <w:szCs w:val="22"/>
        </w:rPr>
        <w:t xml:space="preserve"> </w:t>
      </w:r>
      <w:r w:rsidR="00013801" w:rsidRPr="00320DDF">
        <w:rPr>
          <w:rFonts w:ascii="Garamond" w:hAnsi="Garamond"/>
          <w:sz w:val="22"/>
          <w:szCs w:val="22"/>
        </w:rPr>
        <w:t xml:space="preserve">of inflation on average instead of </w:t>
      </w:r>
      <w:r w:rsidR="00AD51AA" w:rsidRPr="00320DDF">
        <w:rPr>
          <w:rFonts w:ascii="Garamond" w:hAnsi="Garamond"/>
          <w:sz w:val="22"/>
          <w:szCs w:val="22"/>
        </w:rPr>
        <w:t xml:space="preserve">2.2% </w:t>
      </w:r>
      <w:r w:rsidR="00013801" w:rsidRPr="00320DDF">
        <w:rPr>
          <w:rFonts w:ascii="Garamond" w:hAnsi="Garamond"/>
          <w:sz w:val="22"/>
          <w:szCs w:val="22"/>
        </w:rPr>
        <w:t xml:space="preserve">mentioned </w:t>
      </w:r>
      <w:r w:rsidR="00AD51AA" w:rsidRPr="00320DDF">
        <w:rPr>
          <w:rFonts w:ascii="Garamond" w:hAnsi="Garamond"/>
          <w:sz w:val="22"/>
          <w:szCs w:val="22"/>
        </w:rPr>
        <w:t>in the previous survey</w:t>
      </w:r>
      <w:r w:rsidR="00013801" w:rsidRPr="00320DDF">
        <w:rPr>
          <w:rFonts w:ascii="Garamond" w:hAnsi="Garamond"/>
          <w:sz w:val="22"/>
          <w:szCs w:val="22"/>
        </w:rPr>
        <w:t>,</w:t>
      </w:r>
      <w:r w:rsidR="00AD51AA" w:rsidRPr="00320DDF">
        <w:rPr>
          <w:rFonts w:ascii="Garamond" w:hAnsi="Garamond"/>
          <w:sz w:val="22"/>
          <w:szCs w:val="22"/>
        </w:rPr>
        <w:t xml:space="preserve"> and investment companies and funds, </w:t>
      </w:r>
      <w:r w:rsidR="00AD51AA" w:rsidRPr="00320DDF">
        <w:rPr>
          <w:rFonts w:ascii="Garamond" w:hAnsi="Garamond"/>
          <w:b/>
          <w:sz w:val="22"/>
          <w:szCs w:val="22"/>
        </w:rPr>
        <w:t>2.1%</w:t>
      </w:r>
      <w:r w:rsidR="00013801" w:rsidRPr="00320DDF">
        <w:rPr>
          <w:rFonts w:ascii="Garamond" w:hAnsi="Garamond"/>
          <w:b/>
          <w:sz w:val="22"/>
          <w:szCs w:val="22"/>
        </w:rPr>
        <w:t xml:space="preserve"> </w:t>
      </w:r>
      <w:r w:rsidR="00013801" w:rsidRPr="00320DDF">
        <w:rPr>
          <w:rFonts w:ascii="Garamond" w:hAnsi="Garamond"/>
          <w:sz w:val="22"/>
          <w:szCs w:val="22"/>
        </w:rPr>
        <w:t>compared to the previous figure of</w:t>
      </w:r>
      <w:r w:rsidR="00AD51AA" w:rsidRPr="00320DDF">
        <w:rPr>
          <w:rFonts w:ascii="Garamond" w:hAnsi="Garamond"/>
          <w:sz w:val="22"/>
          <w:szCs w:val="22"/>
        </w:rPr>
        <w:t xml:space="preserve"> 2.3</w:t>
      </w:r>
      <w:r w:rsidR="00013801" w:rsidRPr="00320DDF">
        <w:rPr>
          <w:rFonts w:ascii="Garamond" w:hAnsi="Garamond"/>
          <w:sz w:val="22"/>
          <w:szCs w:val="22"/>
        </w:rPr>
        <w:t>%</w:t>
      </w:r>
      <w:r w:rsidR="00AD51AA" w:rsidRPr="00320DDF">
        <w:rPr>
          <w:rFonts w:ascii="Garamond" w:hAnsi="Garamond"/>
          <w:sz w:val="22"/>
          <w:szCs w:val="22"/>
        </w:rPr>
        <w:t>.</w:t>
      </w:r>
    </w:p>
    <w:p w14:paraId="7B37F1A9" w14:textId="77777777" w:rsidR="00013801" w:rsidRPr="00320DDF" w:rsidRDefault="00013801" w:rsidP="00FF3CD9">
      <w:pPr>
        <w:spacing w:line="360" w:lineRule="auto"/>
        <w:jc w:val="both"/>
        <w:rPr>
          <w:rFonts w:ascii="Garamond" w:hAnsi="Garamond"/>
          <w:sz w:val="22"/>
          <w:szCs w:val="22"/>
        </w:rPr>
      </w:pPr>
    </w:p>
    <w:p w14:paraId="2C3EDB6E" w14:textId="77777777" w:rsidR="00A56248" w:rsidRPr="00320DDF" w:rsidRDefault="00D74A08" w:rsidP="00FF3CD9">
      <w:pPr>
        <w:spacing w:line="360" w:lineRule="auto"/>
        <w:jc w:val="both"/>
        <w:rPr>
          <w:rFonts w:ascii="Garamond" w:hAnsi="Garamond"/>
          <w:sz w:val="22"/>
          <w:szCs w:val="22"/>
        </w:rPr>
      </w:pPr>
      <w:r w:rsidRPr="00320DDF">
        <w:rPr>
          <w:rFonts w:ascii="Garamond" w:hAnsi="Garamond"/>
          <w:sz w:val="22"/>
          <w:szCs w:val="22"/>
        </w:rPr>
        <w:t>In the financial market</w:t>
      </w:r>
      <w:r w:rsidR="00487D9A" w:rsidRPr="00320DDF">
        <w:rPr>
          <w:rFonts w:ascii="Garamond" w:hAnsi="Garamond"/>
          <w:sz w:val="22"/>
          <w:szCs w:val="22"/>
        </w:rPr>
        <w:t>,</w:t>
      </w:r>
      <w:r w:rsidR="007826AB" w:rsidRPr="00320DDF">
        <w:rPr>
          <w:rFonts w:ascii="Garamond" w:hAnsi="Garamond"/>
          <w:sz w:val="22"/>
          <w:szCs w:val="22"/>
        </w:rPr>
        <w:t xml:space="preserve"> </w:t>
      </w:r>
      <w:r w:rsidRPr="00320DDF">
        <w:rPr>
          <w:rFonts w:ascii="Garamond" w:hAnsi="Garamond"/>
          <w:sz w:val="22"/>
          <w:szCs w:val="22"/>
        </w:rPr>
        <w:t>interest rates continued trending downward</w:t>
      </w:r>
      <w:r w:rsidR="00487D9A" w:rsidRPr="00320DDF">
        <w:rPr>
          <w:rFonts w:ascii="Garamond" w:hAnsi="Garamond"/>
          <w:sz w:val="22"/>
          <w:szCs w:val="22"/>
        </w:rPr>
        <w:t xml:space="preserve"> also in the first quarter of 2017, running very close to the policy rate of the Central Bank</w:t>
      </w:r>
      <w:r w:rsidR="002D3C62" w:rsidRPr="00320DDF">
        <w:rPr>
          <w:rFonts w:ascii="Garamond" w:hAnsi="Garamond"/>
          <w:sz w:val="22"/>
          <w:szCs w:val="22"/>
        </w:rPr>
        <w:t xml:space="preserve">. </w:t>
      </w:r>
      <w:r w:rsidR="00487D9A" w:rsidRPr="00320DDF">
        <w:rPr>
          <w:rFonts w:ascii="Garamond" w:hAnsi="Garamond"/>
          <w:sz w:val="22"/>
          <w:szCs w:val="22"/>
        </w:rPr>
        <w:t xml:space="preserve">The falling of interest rates was observable in other segments of the financial market, too </w:t>
      </w:r>
      <w:r w:rsidR="007826AB" w:rsidRPr="00320DDF">
        <w:rPr>
          <w:rFonts w:ascii="Garamond" w:hAnsi="Garamond"/>
          <w:sz w:val="22"/>
          <w:szCs w:val="22"/>
        </w:rPr>
        <w:t>(</w:t>
      </w:r>
      <w:r w:rsidR="00A56248" w:rsidRPr="00320DDF">
        <w:rPr>
          <w:rFonts w:ascii="Garamond" w:hAnsi="Garamond"/>
          <w:sz w:val="22"/>
          <w:szCs w:val="22"/>
        </w:rPr>
        <w:t xml:space="preserve">see </w:t>
      </w:r>
      <w:r w:rsidR="007826AB" w:rsidRPr="00320DDF">
        <w:rPr>
          <w:rFonts w:ascii="Garamond" w:hAnsi="Garamond"/>
          <w:sz w:val="22"/>
          <w:szCs w:val="22"/>
        </w:rPr>
        <w:t>detail</w:t>
      </w:r>
      <w:r w:rsidR="00A56248" w:rsidRPr="00320DDF">
        <w:rPr>
          <w:rFonts w:ascii="Garamond" w:hAnsi="Garamond"/>
          <w:sz w:val="22"/>
          <w:szCs w:val="22"/>
        </w:rPr>
        <w:t>s</w:t>
      </w:r>
      <w:r w:rsidR="007826AB" w:rsidRPr="00320DDF">
        <w:rPr>
          <w:rFonts w:ascii="Garamond" w:hAnsi="Garamond"/>
          <w:sz w:val="22"/>
          <w:szCs w:val="22"/>
        </w:rPr>
        <w:t xml:space="preserve"> in</w:t>
      </w:r>
      <w:r w:rsidR="00A56248" w:rsidRPr="00320DDF">
        <w:rPr>
          <w:rFonts w:ascii="Garamond" w:hAnsi="Garamond"/>
          <w:sz w:val="22"/>
          <w:szCs w:val="22"/>
        </w:rPr>
        <w:t xml:space="preserve"> section</w:t>
      </w:r>
      <w:r w:rsidR="007826AB" w:rsidRPr="00320DDF">
        <w:rPr>
          <w:rFonts w:ascii="Garamond" w:hAnsi="Garamond"/>
          <w:sz w:val="22"/>
          <w:szCs w:val="22"/>
        </w:rPr>
        <w:t xml:space="preserve"> </w:t>
      </w:r>
      <w:r w:rsidR="00A56248" w:rsidRPr="00320DDF">
        <w:rPr>
          <w:rFonts w:ascii="Garamond" w:hAnsi="Garamond"/>
          <w:sz w:val="22"/>
          <w:szCs w:val="22"/>
        </w:rPr>
        <w:t>“</w:t>
      </w:r>
      <w:r w:rsidR="007826AB" w:rsidRPr="00320DDF">
        <w:rPr>
          <w:rFonts w:ascii="Garamond" w:hAnsi="Garamond"/>
          <w:sz w:val="22"/>
          <w:szCs w:val="22"/>
        </w:rPr>
        <w:t>3.3</w:t>
      </w:r>
      <w:r w:rsidR="00A56248" w:rsidRPr="00320DDF">
        <w:rPr>
          <w:rFonts w:ascii="Garamond" w:hAnsi="Garamond"/>
          <w:sz w:val="22"/>
          <w:szCs w:val="22"/>
        </w:rPr>
        <w:t>.</w:t>
      </w:r>
      <w:r w:rsidR="007826AB" w:rsidRPr="00320DDF">
        <w:rPr>
          <w:rFonts w:ascii="Garamond" w:hAnsi="Garamond"/>
          <w:sz w:val="22"/>
          <w:szCs w:val="22"/>
        </w:rPr>
        <w:t xml:space="preserve"> Money </w:t>
      </w:r>
      <w:r w:rsidR="00A56248" w:rsidRPr="00320DDF">
        <w:rPr>
          <w:rFonts w:ascii="Garamond" w:hAnsi="Garamond"/>
          <w:sz w:val="22"/>
          <w:szCs w:val="22"/>
        </w:rPr>
        <w:t xml:space="preserve">and </w:t>
      </w:r>
      <w:r w:rsidR="007826AB" w:rsidRPr="00320DDF">
        <w:rPr>
          <w:rFonts w:ascii="Garamond" w:hAnsi="Garamond"/>
          <w:sz w:val="22"/>
          <w:szCs w:val="22"/>
        </w:rPr>
        <w:t xml:space="preserve">financial </w:t>
      </w:r>
      <w:r w:rsidR="00A56248" w:rsidRPr="00320DDF">
        <w:rPr>
          <w:rFonts w:ascii="Garamond" w:hAnsi="Garamond"/>
          <w:sz w:val="22"/>
          <w:szCs w:val="22"/>
        </w:rPr>
        <w:t xml:space="preserve">market </w:t>
      </w:r>
      <w:r w:rsidR="007826AB" w:rsidRPr="00320DDF">
        <w:rPr>
          <w:rFonts w:ascii="Garamond" w:hAnsi="Garamond"/>
          <w:sz w:val="22"/>
          <w:szCs w:val="22"/>
        </w:rPr>
        <w:t>developments</w:t>
      </w:r>
      <w:r w:rsidR="00A56248" w:rsidRPr="00320DDF">
        <w:rPr>
          <w:rFonts w:ascii="Garamond" w:hAnsi="Garamond"/>
          <w:sz w:val="22"/>
          <w:szCs w:val="22"/>
        </w:rPr>
        <w:t>”</w:t>
      </w:r>
      <w:r w:rsidR="007826AB" w:rsidRPr="00320DDF">
        <w:rPr>
          <w:rFonts w:ascii="Garamond" w:hAnsi="Garamond"/>
          <w:sz w:val="22"/>
          <w:szCs w:val="22"/>
        </w:rPr>
        <w:t>).</w:t>
      </w:r>
      <w:r w:rsidR="00A56248" w:rsidRPr="00320DDF">
        <w:rPr>
          <w:rFonts w:ascii="Garamond" w:hAnsi="Garamond"/>
          <w:sz w:val="22"/>
          <w:szCs w:val="22"/>
        </w:rPr>
        <w:t xml:space="preserve"> </w:t>
      </w:r>
    </w:p>
    <w:p w14:paraId="0274C855" w14:textId="77777777" w:rsidR="00A56248" w:rsidRPr="00320DDF" w:rsidRDefault="00A56248" w:rsidP="00FF3CD9">
      <w:pPr>
        <w:spacing w:line="360" w:lineRule="auto"/>
        <w:jc w:val="both"/>
        <w:rPr>
          <w:rFonts w:ascii="Garamond" w:hAnsi="Garamond"/>
          <w:sz w:val="22"/>
          <w:szCs w:val="22"/>
        </w:rPr>
      </w:pPr>
    </w:p>
    <w:p w14:paraId="55360F4A" w14:textId="77777777" w:rsidR="009D2F92" w:rsidRPr="00320DDF" w:rsidRDefault="00487D9A" w:rsidP="00FF3CD9">
      <w:pPr>
        <w:spacing w:line="360" w:lineRule="auto"/>
        <w:jc w:val="both"/>
        <w:rPr>
          <w:rFonts w:ascii="Garamond" w:hAnsi="Garamond"/>
          <w:sz w:val="22"/>
          <w:szCs w:val="22"/>
        </w:rPr>
      </w:pPr>
      <w:r w:rsidRPr="00320DDF">
        <w:rPr>
          <w:rFonts w:ascii="Garamond" w:hAnsi="Garamond"/>
          <w:sz w:val="22"/>
          <w:szCs w:val="22"/>
        </w:rPr>
        <w:t>According to the survey results, t</w:t>
      </w:r>
      <w:r w:rsidR="00B60003" w:rsidRPr="00320DDF">
        <w:rPr>
          <w:rFonts w:ascii="Garamond" w:hAnsi="Garamond"/>
          <w:sz w:val="22"/>
          <w:szCs w:val="22"/>
        </w:rPr>
        <w:t xml:space="preserve">he financial market’s expectations for </w:t>
      </w:r>
      <w:r w:rsidR="009D2F92" w:rsidRPr="00320DDF">
        <w:rPr>
          <w:rFonts w:ascii="Garamond" w:hAnsi="Garamond"/>
          <w:sz w:val="22"/>
          <w:szCs w:val="22"/>
        </w:rPr>
        <w:t>interest rates</w:t>
      </w:r>
      <w:r w:rsidR="00B05EAA" w:rsidRPr="00320DDF">
        <w:rPr>
          <w:rFonts w:ascii="Garamond" w:hAnsi="Garamond"/>
          <w:sz w:val="22"/>
          <w:szCs w:val="22"/>
        </w:rPr>
        <w:t xml:space="preserve"> followed a downward path this quarter</w:t>
      </w:r>
      <w:r w:rsidRPr="00320DDF">
        <w:rPr>
          <w:rFonts w:ascii="Garamond" w:hAnsi="Garamond"/>
          <w:sz w:val="22"/>
          <w:szCs w:val="22"/>
        </w:rPr>
        <w:t>, too</w:t>
      </w:r>
      <w:r w:rsidR="00B05EAA" w:rsidRPr="00320DDF">
        <w:rPr>
          <w:rFonts w:ascii="Garamond" w:hAnsi="Garamond"/>
          <w:sz w:val="22"/>
          <w:szCs w:val="22"/>
        </w:rPr>
        <w:t xml:space="preserve">. </w:t>
      </w:r>
      <w:r w:rsidRPr="00320DDF">
        <w:rPr>
          <w:rFonts w:ascii="Garamond" w:hAnsi="Garamond"/>
          <w:sz w:val="22"/>
          <w:szCs w:val="22"/>
        </w:rPr>
        <w:t>T</w:t>
      </w:r>
      <w:r w:rsidR="006A648E" w:rsidRPr="00320DDF">
        <w:rPr>
          <w:rFonts w:ascii="Garamond" w:hAnsi="Garamond"/>
          <w:sz w:val="22"/>
          <w:szCs w:val="22"/>
        </w:rPr>
        <w:t xml:space="preserve">he financial system </w:t>
      </w:r>
      <w:r w:rsidR="00652B80" w:rsidRPr="00320DDF">
        <w:rPr>
          <w:rFonts w:ascii="Garamond" w:hAnsi="Garamond"/>
          <w:sz w:val="22"/>
          <w:szCs w:val="22"/>
        </w:rPr>
        <w:t>anticipat</w:t>
      </w:r>
      <w:r w:rsidR="006A648E" w:rsidRPr="00320DDF">
        <w:rPr>
          <w:rFonts w:ascii="Garamond" w:hAnsi="Garamond"/>
          <w:sz w:val="22"/>
          <w:szCs w:val="22"/>
        </w:rPr>
        <w:t>es a gradual de</w:t>
      </w:r>
      <w:r w:rsidR="00626CD2" w:rsidRPr="00320DDF">
        <w:rPr>
          <w:rFonts w:ascii="Garamond" w:hAnsi="Garamond"/>
          <w:sz w:val="22"/>
          <w:szCs w:val="22"/>
        </w:rPr>
        <w:t xml:space="preserve">cline </w:t>
      </w:r>
      <w:r w:rsidR="006A648E" w:rsidRPr="00320DDF">
        <w:rPr>
          <w:rFonts w:ascii="Garamond" w:hAnsi="Garamond"/>
          <w:sz w:val="22"/>
          <w:szCs w:val="22"/>
        </w:rPr>
        <w:t xml:space="preserve">in </w:t>
      </w:r>
      <w:r w:rsidR="00B60003" w:rsidRPr="00320DDF">
        <w:rPr>
          <w:rFonts w:ascii="Garamond" w:hAnsi="Garamond"/>
          <w:sz w:val="22"/>
          <w:szCs w:val="22"/>
        </w:rPr>
        <w:t xml:space="preserve">interest rates </w:t>
      </w:r>
      <w:r w:rsidRPr="00320DDF">
        <w:rPr>
          <w:rFonts w:ascii="Garamond" w:hAnsi="Garamond"/>
          <w:sz w:val="22"/>
          <w:szCs w:val="22"/>
        </w:rPr>
        <w:t>in all segments</w:t>
      </w:r>
      <w:r w:rsidR="006A648E" w:rsidRPr="00320DDF">
        <w:rPr>
          <w:rFonts w:ascii="Garamond" w:hAnsi="Garamond"/>
          <w:sz w:val="22"/>
          <w:szCs w:val="22"/>
        </w:rPr>
        <w:t xml:space="preserve">, for a </w:t>
      </w:r>
      <w:r w:rsidR="00652B80" w:rsidRPr="00320DDF">
        <w:rPr>
          <w:rFonts w:ascii="Garamond" w:hAnsi="Garamond"/>
          <w:sz w:val="22"/>
          <w:szCs w:val="22"/>
        </w:rPr>
        <w:t xml:space="preserve">one-year perspective. </w:t>
      </w:r>
    </w:p>
    <w:p w14:paraId="15F55C62" w14:textId="77777777" w:rsidR="00171EEE" w:rsidRPr="00320DDF" w:rsidRDefault="00171EEE" w:rsidP="00FF3CD9">
      <w:pPr>
        <w:spacing w:line="360" w:lineRule="auto"/>
        <w:jc w:val="both"/>
        <w:rPr>
          <w:rFonts w:ascii="Garamond" w:hAnsi="Garamond"/>
          <w:sz w:val="22"/>
          <w:szCs w:val="22"/>
        </w:rPr>
      </w:pPr>
    </w:p>
    <w:p w14:paraId="00E5E58F" w14:textId="77777777" w:rsidR="00171EEE" w:rsidRPr="00320DDF" w:rsidRDefault="00171EEE" w:rsidP="00FF3CD9">
      <w:pPr>
        <w:spacing w:line="360" w:lineRule="auto"/>
        <w:jc w:val="both"/>
        <w:rPr>
          <w:rFonts w:ascii="Garamond" w:hAnsi="Garamond"/>
          <w:b/>
          <w:sz w:val="22"/>
          <w:szCs w:val="22"/>
        </w:rPr>
      </w:pPr>
      <w:r w:rsidRPr="00320DDF">
        <w:rPr>
          <w:rFonts w:ascii="Garamond" w:hAnsi="Garamond"/>
          <w:b/>
          <w:sz w:val="22"/>
          <w:szCs w:val="22"/>
        </w:rPr>
        <w:t>3.2. Aggregate supply and aggregate demand</w:t>
      </w:r>
    </w:p>
    <w:p w14:paraId="0EA45D25" w14:textId="77777777" w:rsidR="00171EEE" w:rsidRPr="00320DDF" w:rsidRDefault="00171EEE" w:rsidP="00FF3CD9">
      <w:pPr>
        <w:spacing w:line="360" w:lineRule="auto"/>
        <w:jc w:val="both"/>
        <w:rPr>
          <w:rFonts w:ascii="Garamond" w:hAnsi="Garamond"/>
          <w:b/>
          <w:sz w:val="22"/>
          <w:szCs w:val="22"/>
        </w:rPr>
      </w:pPr>
      <w:r w:rsidRPr="00320DDF">
        <w:rPr>
          <w:rFonts w:ascii="Garamond" w:hAnsi="Garamond"/>
          <w:b/>
          <w:sz w:val="22"/>
          <w:szCs w:val="22"/>
        </w:rPr>
        <w:t>3.2.1. Aggregate supply</w:t>
      </w:r>
      <w:r w:rsidR="00487D9A" w:rsidRPr="00320DDF">
        <w:rPr>
          <w:rStyle w:val="FootnoteReference"/>
          <w:rFonts w:ascii="Garamond" w:hAnsi="Garamond"/>
          <w:b/>
          <w:sz w:val="22"/>
          <w:szCs w:val="22"/>
        </w:rPr>
        <w:footnoteReference w:customMarkFollows="1" w:id="11"/>
        <w:t>13</w:t>
      </w:r>
    </w:p>
    <w:p w14:paraId="5295FEC7" w14:textId="77777777" w:rsidR="00171EEE" w:rsidRPr="00320DDF" w:rsidRDefault="00171EEE" w:rsidP="00FF3CD9">
      <w:pPr>
        <w:spacing w:line="360" w:lineRule="auto"/>
        <w:jc w:val="both"/>
        <w:rPr>
          <w:rFonts w:ascii="Garamond" w:hAnsi="Garamond"/>
          <w:b/>
          <w:sz w:val="22"/>
          <w:szCs w:val="22"/>
        </w:rPr>
      </w:pPr>
    </w:p>
    <w:p w14:paraId="5F5BEF52" w14:textId="77777777" w:rsidR="00BE0681" w:rsidRPr="00320DDF" w:rsidRDefault="00EC0F2E" w:rsidP="00FF3CD9">
      <w:pPr>
        <w:spacing w:line="360" w:lineRule="auto"/>
        <w:jc w:val="both"/>
        <w:rPr>
          <w:rStyle w:val="longtext"/>
          <w:rFonts w:ascii="Garamond" w:hAnsi="Garamond"/>
          <w:color w:val="000000"/>
          <w:sz w:val="22"/>
          <w:szCs w:val="22"/>
          <w:shd w:val="clear" w:color="auto" w:fill="FFFFFF"/>
        </w:rPr>
      </w:pPr>
      <w:r w:rsidRPr="00320DDF">
        <w:rPr>
          <w:rStyle w:val="longtext"/>
          <w:rFonts w:ascii="Garamond" w:hAnsi="Garamond"/>
          <w:color w:val="000000"/>
          <w:sz w:val="22"/>
          <w:szCs w:val="22"/>
          <w:shd w:val="clear" w:color="auto" w:fill="FFFFFF"/>
        </w:rPr>
        <w:t xml:space="preserve">The </w:t>
      </w:r>
      <w:r w:rsidRPr="00320DDF">
        <w:rPr>
          <w:rStyle w:val="longtext"/>
          <w:rFonts w:ascii="Garamond" w:hAnsi="Garamond"/>
          <w:b/>
          <w:color w:val="000000"/>
          <w:sz w:val="22"/>
          <w:szCs w:val="22"/>
          <w:shd w:val="clear" w:color="auto" w:fill="FFFFFF"/>
        </w:rPr>
        <w:t>economic growth indicator</w:t>
      </w:r>
      <w:r w:rsidR="00FB246E" w:rsidRPr="00320DDF">
        <w:rPr>
          <w:rStyle w:val="longtext"/>
          <w:rFonts w:ascii="Garamond" w:hAnsi="Garamond"/>
          <w:b/>
          <w:color w:val="000000"/>
          <w:sz w:val="22"/>
          <w:szCs w:val="22"/>
          <w:shd w:val="clear" w:color="auto" w:fill="FFFFFF"/>
          <w:lang w:val="hy-AM"/>
        </w:rPr>
        <w:t xml:space="preserve"> </w:t>
      </w:r>
      <w:r w:rsidR="00B66CB5" w:rsidRPr="00320DDF">
        <w:rPr>
          <w:rStyle w:val="longtext"/>
          <w:rFonts w:ascii="Garamond" w:hAnsi="Garamond"/>
          <w:color w:val="000000"/>
          <w:sz w:val="22"/>
          <w:szCs w:val="22"/>
          <w:shd w:val="clear" w:color="auto" w:fill="FFFFFF"/>
        </w:rPr>
        <w:t xml:space="preserve">for 2016 </w:t>
      </w:r>
      <w:r w:rsidRPr="00320DDF">
        <w:rPr>
          <w:rStyle w:val="longtext"/>
          <w:rFonts w:ascii="Garamond" w:hAnsi="Garamond"/>
          <w:color w:val="000000"/>
          <w:sz w:val="22"/>
          <w:szCs w:val="22"/>
          <w:shd w:val="clear" w:color="auto" w:fill="FFFFFF"/>
        </w:rPr>
        <w:t xml:space="preserve">was </w:t>
      </w:r>
      <w:r w:rsidR="00FF2E3F" w:rsidRPr="00320DDF">
        <w:rPr>
          <w:rStyle w:val="longtext"/>
          <w:rFonts w:ascii="Garamond" w:hAnsi="Garamond"/>
          <w:b/>
          <w:color w:val="000000"/>
          <w:sz w:val="22"/>
          <w:szCs w:val="22"/>
          <w:shd w:val="clear" w:color="auto" w:fill="FFFFFF"/>
        </w:rPr>
        <w:t>0</w:t>
      </w:r>
      <w:r w:rsidRPr="00320DDF">
        <w:rPr>
          <w:rStyle w:val="longtext"/>
          <w:rFonts w:ascii="Garamond" w:hAnsi="Garamond"/>
          <w:b/>
          <w:color w:val="000000"/>
          <w:sz w:val="22"/>
          <w:szCs w:val="22"/>
          <w:shd w:val="clear" w:color="auto" w:fill="FFFFFF"/>
        </w:rPr>
        <w:t>.</w:t>
      </w:r>
      <w:r w:rsidR="00B66CB5" w:rsidRPr="00320DDF">
        <w:rPr>
          <w:rStyle w:val="longtext"/>
          <w:rFonts w:ascii="Garamond" w:hAnsi="Garamond"/>
          <w:b/>
          <w:color w:val="000000"/>
          <w:sz w:val="22"/>
          <w:szCs w:val="22"/>
          <w:shd w:val="clear" w:color="auto" w:fill="FFFFFF"/>
        </w:rPr>
        <w:t>2</w:t>
      </w:r>
      <w:r w:rsidRPr="00320DDF">
        <w:rPr>
          <w:rStyle w:val="longtext"/>
          <w:rFonts w:ascii="Garamond" w:hAnsi="Garamond"/>
          <w:b/>
          <w:color w:val="000000"/>
          <w:sz w:val="22"/>
          <w:szCs w:val="22"/>
          <w:shd w:val="clear" w:color="auto" w:fill="FFFFFF"/>
        </w:rPr>
        <w:t>%</w:t>
      </w:r>
      <w:r w:rsidRPr="00320DDF">
        <w:rPr>
          <w:rStyle w:val="longtext"/>
          <w:rFonts w:ascii="Garamond" w:hAnsi="Garamond"/>
          <w:color w:val="000000"/>
          <w:sz w:val="22"/>
          <w:szCs w:val="22"/>
          <w:shd w:val="clear" w:color="auto" w:fill="FFFFFF"/>
        </w:rPr>
        <w:t xml:space="preserve">, </w:t>
      </w:r>
      <w:r w:rsidR="00ED2DD0" w:rsidRPr="00320DDF">
        <w:rPr>
          <w:rStyle w:val="longtext"/>
          <w:rFonts w:ascii="Garamond" w:hAnsi="Garamond"/>
          <w:color w:val="000000"/>
          <w:sz w:val="22"/>
          <w:szCs w:val="22"/>
          <w:shd w:val="clear" w:color="auto" w:fill="FFFFFF"/>
        </w:rPr>
        <w:t xml:space="preserve">which </w:t>
      </w:r>
      <w:r w:rsidR="00BE0681" w:rsidRPr="00320DDF">
        <w:rPr>
          <w:rStyle w:val="longtext"/>
          <w:rFonts w:ascii="Garamond" w:hAnsi="Garamond"/>
          <w:color w:val="000000"/>
          <w:sz w:val="22"/>
          <w:szCs w:val="22"/>
          <w:shd w:val="clear" w:color="auto" w:fill="FFFFFF"/>
        </w:rPr>
        <w:t xml:space="preserve">did not differ substantially from previous Central Bank forecast. Economic activity grew in the first quarter of 2017, significantly exceeding the Central Bank’s expectations, and amounted to 6.6%, under which circumstance the estimation of first-quarter economic growth was revised upside, in the range of </w:t>
      </w:r>
      <w:r w:rsidR="00BE0681" w:rsidRPr="00320DDF">
        <w:rPr>
          <w:rStyle w:val="longtext"/>
          <w:rFonts w:ascii="Garamond" w:hAnsi="Garamond"/>
          <w:b/>
          <w:color w:val="000000"/>
          <w:sz w:val="22"/>
          <w:szCs w:val="22"/>
          <w:shd w:val="clear" w:color="auto" w:fill="FFFFFF"/>
        </w:rPr>
        <w:t>5.0-5.4%</w:t>
      </w:r>
      <w:r w:rsidR="00BE0681" w:rsidRPr="00320DDF">
        <w:rPr>
          <w:rStyle w:val="longtext"/>
          <w:rFonts w:ascii="Garamond" w:hAnsi="Garamond"/>
          <w:color w:val="000000"/>
          <w:sz w:val="22"/>
          <w:szCs w:val="22"/>
          <w:shd w:val="clear" w:color="auto" w:fill="FFFFFF"/>
        </w:rPr>
        <w:t xml:space="preserve">. </w:t>
      </w:r>
    </w:p>
    <w:p w14:paraId="64F908D5" w14:textId="77777777" w:rsidR="00BE0681" w:rsidRPr="00320DDF" w:rsidRDefault="00BE0681" w:rsidP="00FF3CD9">
      <w:pPr>
        <w:spacing w:line="360" w:lineRule="auto"/>
        <w:jc w:val="both"/>
        <w:rPr>
          <w:rStyle w:val="longtext"/>
          <w:rFonts w:ascii="Garamond" w:hAnsi="Garamond"/>
          <w:color w:val="000000"/>
          <w:sz w:val="22"/>
          <w:szCs w:val="22"/>
          <w:shd w:val="clear" w:color="auto" w:fill="FFFFFF"/>
        </w:rPr>
      </w:pPr>
    </w:p>
    <w:p w14:paraId="40D4D0BC" w14:textId="77777777" w:rsidR="00C55DA1" w:rsidRPr="00320DDF" w:rsidRDefault="006E1188" w:rsidP="00FF3CD9">
      <w:pPr>
        <w:spacing w:line="360" w:lineRule="auto"/>
        <w:jc w:val="both"/>
        <w:rPr>
          <w:rStyle w:val="longtext"/>
          <w:rFonts w:ascii="Garamond" w:hAnsi="Garamond"/>
          <w:color w:val="000000"/>
          <w:sz w:val="22"/>
          <w:szCs w:val="22"/>
          <w:shd w:val="clear" w:color="auto" w:fill="FFFFFF"/>
        </w:rPr>
      </w:pPr>
      <w:r w:rsidRPr="00320DDF">
        <w:rPr>
          <w:rStyle w:val="longtext"/>
          <w:rFonts w:ascii="Garamond" w:hAnsi="Garamond"/>
          <w:color w:val="000000"/>
          <w:sz w:val="22"/>
          <w:szCs w:val="22"/>
          <w:shd w:val="clear" w:color="auto" w:fill="FFFFFF"/>
        </w:rPr>
        <w:t>Export potential and higher-than-expected growth in private spending</w:t>
      </w:r>
      <w:r w:rsidRPr="00320DDF">
        <w:rPr>
          <w:rStyle w:val="FootnoteReference"/>
          <w:rFonts w:ascii="Garamond" w:hAnsi="Garamond"/>
          <w:color w:val="000000"/>
          <w:sz w:val="22"/>
          <w:szCs w:val="22"/>
          <w:shd w:val="clear" w:color="auto" w:fill="FFFFFF"/>
        </w:rPr>
        <w:footnoteReference w:customMarkFollows="1" w:id="12"/>
        <w:t>14</w:t>
      </w:r>
      <w:r w:rsidRPr="00320DDF">
        <w:rPr>
          <w:rStyle w:val="longtext"/>
          <w:rFonts w:ascii="Garamond" w:hAnsi="Garamond"/>
          <w:color w:val="000000"/>
          <w:sz w:val="22"/>
          <w:szCs w:val="22"/>
          <w:shd w:val="clear" w:color="auto" w:fill="FFFFFF"/>
        </w:rPr>
        <w:t xml:space="preserve"> </w:t>
      </w:r>
      <w:proofErr w:type="spellStart"/>
      <w:r w:rsidRPr="00320DDF">
        <w:rPr>
          <w:rStyle w:val="longtext"/>
          <w:rFonts w:ascii="Garamond" w:hAnsi="Garamond"/>
          <w:color w:val="000000"/>
          <w:sz w:val="22"/>
          <w:szCs w:val="22"/>
          <w:shd w:val="clear" w:color="auto" w:fill="FFFFFF"/>
        </w:rPr>
        <w:t>fuelled</w:t>
      </w:r>
      <w:proofErr w:type="spellEnd"/>
      <w:r w:rsidRPr="00320DDF">
        <w:rPr>
          <w:rStyle w:val="longtext"/>
          <w:rFonts w:ascii="Garamond" w:hAnsi="Garamond"/>
          <w:color w:val="000000"/>
          <w:sz w:val="22"/>
          <w:szCs w:val="22"/>
          <w:shd w:val="clear" w:color="auto" w:fill="FFFFFF"/>
        </w:rPr>
        <w:t xml:space="preserve">, in turn, by </w:t>
      </w:r>
      <w:r w:rsidR="0038021C" w:rsidRPr="00320DDF">
        <w:rPr>
          <w:rStyle w:val="longtext"/>
          <w:rFonts w:ascii="Garamond" w:hAnsi="Garamond"/>
          <w:color w:val="000000"/>
          <w:sz w:val="22"/>
          <w:szCs w:val="22"/>
          <w:shd w:val="clear" w:color="auto" w:fill="FFFFFF"/>
        </w:rPr>
        <w:t xml:space="preserve">a larger amount of </w:t>
      </w:r>
      <w:r w:rsidRPr="00320DDF">
        <w:rPr>
          <w:rStyle w:val="longtext"/>
          <w:rFonts w:ascii="Garamond" w:hAnsi="Garamond"/>
          <w:color w:val="000000"/>
          <w:sz w:val="22"/>
          <w:szCs w:val="22"/>
          <w:shd w:val="clear" w:color="auto" w:fill="FFFFFF"/>
        </w:rPr>
        <w:t>remittances from the Russian Federation, were the main drivers to a</w:t>
      </w:r>
      <w:r w:rsidR="00BE0681" w:rsidRPr="00320DDF">
        <w:rPr>
          <w:rStyle w:val="longtext"/>
          <w:rFonts w:ascii="Garamond" w:hAnsi="Garamond"/>
          <w:color w:val="000000"/>
          <w:sz w:val="22"/>
          <w:szCs w:val="22"/>
          <w:shd w:val="clear" w:color="auto" w:fill="FFFFFF"/>
        </w:rPr>
        <w:t>ccelerated eco</w:t>
      </w:r>
      <w:r w:rsidR="00CF60ED" w:rsidRPr="00320DDF">
        <w:rPr>
          <w:rStyle w:val="longtext"/>
          <w:rFonts w:ascii="Garamond" w:hAnsi="Garamond"/>
          <w:color w:val="000000"/>
          <w:sz w:val="22"/>
          <w:szCs w:val="22"/>
          <w:shd w:val="clear" w:color="auto" w:fill="FFFFFF"/>
        </w:rPr>
        <w:t xml:space="preserve">nomic growth in the </w:t>
      </w:r>
      <w:r w:rsidR="007D1160" w:rsidRPr="00320DDF">
        <w:rPr>
          <w:rStyle w:val="longtext"/>
          <w:rFonts w:ascii="Garamond" w:hAnsi="Garamond"/>
          <w:color w:val="000000"/>
          <w:sz w:val="22"/>
          <w:szCs w:val="22"/>
          <w:shd w:val="clear" w:color="auto" w:fill="FFFFFF"/>
        </w:rPr>
        <w:t>first quarter</w:t>
      </w:r>
      <w:r w:rsidRPr="00320DDF">
        <w:rPr>
          <w:rStyle w:val="longtext"/>
          <w:rFonts w:ascii="Garamond" w:hAnsi="Garamond"/>
          <w:color w:val="000000"/>
          <w:sz w:val="22"/>
          <w:szCs w:val="22"/>
          <w:shd w:val="clear" w:color="auto" w:fill="FFFFFF"/>
        </w:rPr>
        <w:t>.</w:t>
      </w:r>
      <w:r w:rsidR="007D1160" w:rsidRPr="00320DDF">
        <w:rPr>
          <w:rStyle w:val="longtext"/>
          <w:rFonts w:ascii="Garamond" w:hAnsi="Garamond"/>
          <w:color w:val="000000"/>
          <w:sz w:val="22"/>
          <w:szCs w:val="22"/>
          <w:shd w:val="clear" w:color="auto" w:fill="FFFFFF"/>
        </w:rPr>
        <w:t xml:space="preserve"> </w:t>
      </w:r>
    </w:p>
    <w:p w14:paraId="3F5891B7" w14:textId="77777777" w:rsidR="00C55DA1" w:rsidRPr="00320DDF" w:rsidRDefault="00C55DA1" w:rsidP="00FF3CD9">
      <w:pPr>
        <w:spacing w:line="360" w:lineRule="auto"/>
        <w:jc w:val="both"/>
        <w:rPr>
          <w:rStyle w:val="longtext"/>
          <w:rFonts w:ascii="Garamond" w:hAnsi="Garamond"/>
          <w:color w:val="000000"/>
          <w:sz w:val="22"/>
          <w:szCs w:val="22"/>
          <w:shd w:val="clear" w:color="auto" w:fill="FFFFFF"/>
        </w:rPr>
      </w:pPr>
    </w:p>
    <w:p w14:paraId="43DAF604" w14:textId="77777777" w:rsidR="00CB4E02" w:rsidRPr="00320DDF" w:rsidRDefault="0038021C" w:rsidP="00FF3CD9">
      <w:pPr>
        <w:spacing w:line="360" w:lineRule="auto"/>
        <w:jc w:val="both"/>
        <w:rPr>
          <w:rFonts w:ascii="Garamond" w:hAnsi="Garamond"/>
          <w:sz w:val="22"/>
          <w:szCs w:val="22"/>
        </w:rPr>
      </w:pPr>
      <w:r w:rsidRPr="00320DDF">
        <w:rPr>
          <w:rFonts w:ascii="Garamond" w:hAnsi="Garamond"/>
          <w:sz w:val="22"/>
          <w:szCs w:val="22"/>
        </w:rPr>
        <w:t>T</w:t>
      </w:r>
      <w:r w:rsidR="002F1EDA" w:rsidRPr="00320DDF">
        <w:rPr>
          <w:rFonts w:ascii="Garamond" w:hAnsi="Garamond"/>
          <w:sz w:val="22"/>
          <w:szCs w:val="22"/>
        </w:rPr>
        <w:t xml:space="preserve">he growth of value added </w:t>
      </w:r>
      <w:r w:rsidRPr="00320DDF">
        <w:rPr>
          <w:rFonts w:ascii="Garamond" w:hAnsi="Garamond"/>
          <w:sz w:val="22"/>
          <w:szCs w:val="22"/>
        </w:rPr>
        <w:t xml:space="preserve">in </w:t>
      </w:r>
      <w:r w:rsidRPr="00320DDF">
        <w:rPr>
          <w:rFonts w:ascii="Garamond" w:hAnsi="Garamond"/>
          <w:b/>
          <w:sz w:val="22"/>
          <w:szCs w:val="22"/>
        </w:rPr>
        <w:t>Industry</w:t>
      </w:r>
      <w:r w:rsidRPr="00320DDF">
        <w:rPr>
          <w:rFonts w:ascii="Garamond" w:hAnsi="Garamond"/>
          <w:sz w:val="22"/>
          <w:szCs w:val="22"/>
        </w:rPr>
        <w:t xml:space="preserve"> in the first quarter</w:t>
      </w:r>
      <w:r w:rsidR="00E91BCE" w:rsidRPr="00320DDF">
        <w:rPr>
          <w:rFonts w:ascii="Garamond" w:hAnsi="Garamond"/>
          <w:sz w:val="22"/>
          <w:szCs w:val="22"/>
        </w:rPr>
        <w:t xml:space="preserve"> </w:t>
      </w:r>
      <w:r w:rsidR="002F1EDA" w:rsidRPr="00320DDF">
        <w:rPr>
          <w:rFonts w:ascii="Garamond" w:hAnsi="Garamond"/>
          <w:sz w:val="22"/>
          <w:szCs w:val="22"/>
        </w:rPr>
        <w:t xml:space="preserve">is estimated within </w:t>
      </w:r>
      <w:r w:rsidRPr="00320DDF">
        <w:rPr>
          <w:rFonts w:ascii="Garamond" w:hAnsi="Garamond"/>
          <w:sz w:val="22"/>
          <w:szCs w:val="22"/>
        </w:rPr>
        <w:t>7</w:t>
      </w:r>
      <w:r w:rsidR="002F1EDA" w:rsidRPr="00320DDF">
        <w:rPr>
          <w:rFonts w:ascii="Garamond" w:hAnsi="Garamond"/>
          <w:sz w:val="22"/>
          <w:szCs w:val="22"/>
        </w:rPr>
        <w:t>.</w:t>
      </w:r>
      <w:r w:rsidRPr="00320DDF">
        <w:rPr>
          <w:rFonts w:ascii="Garamond" w:hAnsi="Garamond"/>
          <w:sz w:val="22"/>
          <w:szCs w:val="22"/>
        </w:rPr>
        <w:t>8</w:t>
      </w:r>
      <w:r w:rsidR="002F1EDA" w:rsidRPr="00320DDF">
        <w:rPr>
          <w:rFonts w:ascii="Garamond" w:hAnsi="Garamond"/>
          <w:sz w:val="22"/>
          <w:szCs w:val="22"/>
        </w:rPr>
        <w:t>-</w:t>
      </w:r>
      <w:r w:rsidRPr="00320DDF">
        <w:rPr>
          <w:rFonts w:ascii="Garamond" w:hAnsi="Garamond"/>
          <w:sz w:val="22"/>
          <w:szCs w:val="22"/>
        </w:rPr>
        <w:t>8</w:t>
      </w:r>
      <w:r w:rsidR="007149A1" w:rsidRPr="00320DDF">
        <w:rPr>
          <w:rFonts w:ascii="Garamond" w:hAnsi="Garamond"/>
          <w:sz w:val="22"/>
          <w:szCs w:val="22"/>
        </w:rPr>
        <w:t>.</w:t>
      </w:r>
      <w:r w:rsidRPr="00320DDF">
        <w:rPr>
          <w:rFonts w:ascii="Garamond" w:hAnsi="Garamond"/>
          <w:sz w:val="22"/>
          <w:szCs w:val="22"/>
        </w:rPr>
        <w:t>5% y/y, which is higher than the previous forecast driven by higher prices of ores and minerals in international markets in comparison with previous projections as well as faster economic growth potential. The</w:t>
      </w:r>
      <w:r w:rsidR="00D67812" w:rsidRPr="00320DDF">
        <w:rPr>
          <w:rFonts w:ascii="Garamond" w:hAnsi="Garamond"/>
          <w:sz w:val="22"/>
          <w:szCs w:val="22"/>
        </w:rPr>
        <w:t>re will be bigger contraction in</w:t>
      </w:r>
      <w:r w:rsidRPr="00320DDF">
        <w:rPr>
          <w:rFonts w:ascii="Garamond" w:hAnsi="Garamond"/>
          <w:sz w:val="22"/>
          <w:szCs w:val="22"/>
        </w:rPr>
        <w:t xml:space="preserve"> value added in </w:t>
      </w:r>
      <w:r w:rsidR="00E807D1" w:rsidRPr="00320DDF">
        <w:rPr>
          <w:rFonts w:ascii="Garamond" w:hAnsi="Garamond"/>
          <w:b/>
          <w:sz w:val="22"/>
          <w:szCs w:val="22"/>
        </w:rPr>
        <w:t>Construction</w:t>
      </w:r>
      <w:r w:rsidR="00E807D1" w:rsidRPr="00320DDF">
        <w:rPr>
          <w:rFonts w:ascii="Garamond" w:hAnsi="Garamond"/>
          <w:sz w:val="22"/>
          <w:szCs w:val="22"/>
        </w:rPr>
        <w:t xml:space="preserve"> </w:t>
      </w:r>
      <w:r w:rsidRPr="00320DDF">
        <w:rPr>
          <w:rFonts w:ascii="Garamond" w:hAnsi="Garamond"/>
          <w:sz w:val="22"/>
          <w:szCs w:val="22"/>
        </w:rPr>
        <w:t xml:space="preserve">in the </w:t>
      </w:r>
      <w:r w:rsidR="00D67812" w:rsidRPr="00320DDF">
        <w:rPr>
          <w:rFonts w:ascii="Garamond" w:hAnsi="Garamond"/>
          <w:sz w:val="22"/>
          <w:szCs w:val="22"/>
        </w:rPr>
        <w:t xml:space="preserve">reporting </w:t>
      </w:r>
      <w:r w:rsidRPr="00320DDF">
        <w:rPr>
          <w:rFonts w:ascii="Garamond" w:hAnsi="Garamond"/>
          <w:sz w:val="22"/>
          <w:szCs w:val="22"/>
        </w:rPr>
        <w:t>period</w:t>
      </w:r>
      <w:r w:rsidR="00D67812" w:rsidRPr="00320DDF">
        <w:rPr>
          <w:rFonts w:ascii="Garamond" w:hAnsi="Garamond"/>
          <w:sz w:val="22"/>
          <w:szCs w:val="22"/>
        </w:rPr>
        <w:t>,</w:t>
      </w:r>
      <w:r w:rsidRPr="00320DDF">
        <w:rPr>
          <w:rFonts w:ascii="Garamond" w:hAnsi="Garamond"/>
          <w:sz w:val="22"/>
          <w:szCs w:val="22"/>
        </w:rPr>
        <w:t xml:space="preserve"> </w:t>
      </w:r>
      <w:r w:rsidR="00D67812" w:rsidRPr="00320DDF">
        <w:rPr>
          <w:rFonts w:ascii="Garamond" w:hAnsi="Garamond"/>
          <w:sz w:val="22"/>
          <w:szCs w:val="22"/>
        </w:rPr>
        <w:t xml:space="preserve">in anticipation of a lower indicator of construction carried out at the expense of international loans, and is estimated to be within 11.5-12.5%. </w:t>
      </w:r>
      <w:r w:rsidR="00CB4E02" w:rsidRPr="00320DDF">
        <w:rPr>
          <w:rFonts w:ascii="Garamond" w:hAnsi="Garamond"/>
          <w:sz w:val="22"/>
          <w:szCs w:val="22"/>
        </w:rPr>
        <w:t xml:space="preserve">The value added in </w:t>
      </w:r>
      <w:r w:rsidR="00D67812" w:rsidRPr="00320DDF">
        <w:rPr>
          <w:rFonts w:ascii="Garamond" w:hAnsi="Garamond"/>
          <w:sz w:val="22"/>
          <w:szCs w:val="22"/>
        </w:rPr>
        <w:t xml:space="preserve">gross </w:t>
      </w:r>
      <w:r w:rsidR="00CB4E02" w:rsidRPr="00320DDF">
        <w:rPr>
          <w:rFonts w:ascii="Garamond" w:hAnsi="Garamond"/>
          <w:b/>
          <w:sz w:val="22"/>
          <w:szCs w:val="22"/>
        </w:rPr>
        <w:t>Services</w:t>
      </w:r>
      <w:r w:rsidR="00D67812" w:rsidRPr="00320DDF">
        <w:rPr>
          <w:rFonts w:ascii="Garamond" w:hAnsi="Garamond"/>
          <w:sz w:val="22"/>
          <w:szCs w:val="22"/>
        </w:rPr>
        <w:t xml:space="preserve"> is expected to grow even higher in the first quarter and is estimated </w:t>
      </w:r>
      <w:r w:rsidR="00CB4E02" w:rsidRPr="00320DDF">
        <w:rPr>
          <w:rFonts w:ascii="Garamond" w:hAnsi="Garamond"/>
          <w:sz w:val="22"/>
          <w:szCs w:val="22"/>
        </w:rPr>
        <w:t>in the range of</w:t>
      </w:r>
      <w:r w:rsidR="00D37098" w:rsidRPr="00320DDF">
        <w:rPr>
          <w:rFonts w:ascii="Garamond" w:hAnsi="Garamond"/>
          <w:sz w:val="22"/>
          <w:szCs w:val="22"/>
        </w:rPr>
        <w:t xml:space="preserve"> </w:t>
      </w:r>
      <w:r w:rsidR="00D67812" w:rsidRPr="00320DDF">
        <w:rPr>
          <w:rFonts w:ascii="Garamond" w:hAnsi="Garamond"/>
          <w:sz w:val="22"/>
          <w:szCs w:val="22"/>
        </w:rPr>
        <w:t>4</w:t>
      </w:r>
      <w:r w:rsidR="00D37098" w:rsidRPr="00320DDF">
        <w:rPr>
          <w:rFonts w:ascii="Garamond" w:hAnsi="Garamond"/>
          <w:sz w:val="22"/>
          <w:szCs w:val="22"/>
        </w:rPr>
        <w:t>.</w:t>
      </w:r>
      <w:r w:rsidR="00D67812" w:rsidRPr="00320DDF">
        <w:rPr>
          <w:rFonts w:ascii="Garamond" w:hAnsi="Garamond" w:cs="Sylfaen"/>
          <w:sz w:val="22"/>
          <w:szCs w:val="22"/>
        </w:rPr>
        <w:t>4</w:t>
      </w:r>
      <w:r w:rsidR="00D37098" w:rsidRPr="00320DDF">
        <w:rPr>
          <w:rFonts w:ascii="Garamond" w:hAnsi="Garamond" w:cs="Sylfaen"/>
          <w:sz w:val="22"/>
          <w:szCs w:val="22"/>
        </w:rPr>
        <w:t>-</w:t>
      </w:r>
      <w:r w:rsidR="00D67812" w:rsidRPr="00320DDF">
        <w:rPr>
          <w:rFonts w:ascii="Garamond" w:hAnsi="Garamond" w:cs="Sylfaen"/>
          <w:sz w:val="22"/>
          <w:szCs w:val="22"/>
        </w:rPr>
        <w:t>5</w:t>
      </w:r>
      <w:r w:rsidR="00D37098" w:rsidRPr="00320DDF">
        <w:rPr>
          <w:rFonts w:ascii="Garamond" w:hAnsi="Garamond" w:cs="Sylfaen"/>
          <w:sz w:val="22"/>
          <w:szCs w:val="22"/>
        </w:rPr>
        <w:t>.</w:t>
      </w:r>
      <w:r w:rsidR="00D67812" w:rsidRPr="00320DDF">
        <w:rPr>
          <w:rFonts w:ascii="Garamond" w:hAnsi="Garamond" w:cs="Sylfaen"/>
          <w:sz w:val="22"/>
          <w:szCs w:val="22"/>
        </w:rPr>
        <w:t>0</w:t>
      </w:r>
      <w:r w:rsidR="00CB4E02" w:rsidRPr="00320DDF">
        <w:rPr>
          <w:rFonts w:ascii="Garamond" w:hAnsi="Garamond" w:cs="Sylfaen"/>
          <w:sz w:val="22"/>
          <w:szCs w:val="22"/>
        </w:rPr>
        <w:t>% y/y,</w:t>
      </w:r>
      <w:r w:rsidR="007B1F64" w:rsidRPr="00320DDF">
        <w:rPr>
          <w:rFonts w:ascii="Garamond" w:hAnsi="Garamond" w:cs="Sylfaen"/>
          <w:sz w:val="22"/>
          <w:szCs w:val="22"/>
        </w:rPr>
        <w:t xml:space="preserve"> </w:t>
      </w:r>
      <w:r w:rsidR="00CB4E02" w:rsidRPr="00320DDF">
        <w:rPr>
          <w:rFonts w:ascii="Garamond" w:hAnsi="Garamond" w:cs="Sylfaen"/>
          <w:sz w:val="22"/>
          <w:szCs w:val="22"/>
        </w:rPr>
        <w:t xml:space="preserve">which is </w:t>
      </w:r>
      <w:r w:rsidR="007B1F64" w:rsidRPr="00320DDF">
        <w:rPr>
          <w:rFonts w:ascii="Garamond" w:hAnsi="Garamond" w:cs="Sylfaen"/>
          <w:sz w:val="22"/>
          <w:szCs w:val="22"/>
        </w:rPr>
        <w:t>explained</w:t>
      </w:r>
      <w:r w:rsidR="00E15CA2" w:rsidRPr="00320DDF">
        <w:rPr>
          <w:rFonts w:ascii="Garamond" w:hAnsi="Garamond" w:cs="Sylfaen"/>
          <w:sz w:val="22"/>
          <w:szCs w:val="22"/>
        </w:rPr>
        <w:t xml:space="preserve"> by stronger-than-anticipated growth in private spending in the economy and the number of people traveling Armenia. Low economic activity observable</w:t>
      </w:r>
      <w:r w:rsidR="007F5EC7" w:rsidRPr="00320DDF">
        <w:rPr>
          <w:rFonts w:ascii="Garamond" w:hAnsi="Garamond"/>
          <w:sz w:val="22"/>
          <w:szCs w:val="22"/>
        </w:rPr>
        <w:t xml:space="preserve"> i</w:t>
      </w:r>
      <w:r w:rsidR="00777E10" w:rsidRPr="00320DDF">
        <w:rPr>
          <w:rFonts w:ascii="Garamond" w:hAnsi="Garamond"/>
          <w:sz w:val="22"/>
          <w:szCs w:val="22"/>
        </w:rPr>
        <w:t xml:space="preserve">n </w:t>
      </w:r>
      <w:r w:rsidR="00777E10" w:rsidRPr="00320DDF">
        <w:rPr>
          <w:rFonts w:ascii="Garamond" w:hAnsi="Garamond"/>
          <w:b/>
          <w:sz w:val="22"/>
          <w:szCs w:val="22"/>
        </w:rPr>
        <w:t>Agriculture</w:t>
      </w:r>
      <w:r w:rsidR="00777E10" w:rsidRPr="00320DDF">
        <w:rPr>
          <w:rFonts w:ascii="Garamond" w:hAnsi="Garamond"/>
          <w:sz w:val="22"/>
          <w:szCs w:val="22"/>
        </w:rPr>
        <w:t xml:space="preserve"> </w:t>
      </w:r>
      <w:r w:rsidR="00E15CA2" w:rsidRPr="00320DDF">
        <w:rPr>
          <w:rFonts w:ascii="Garamond" w:hAnsi="Garamond"/>
          <w:sz w:val="22"/>
          <w:szCs w:val="22"/>
        </w:rPr>
        <w:t xml:space="preserve">since the second </w:t>
      </w:r>
      <w:r w:rsidR="0095623E" w:rsidRPr="00320DDF">
        <w:rPr>
          <w:rFonts w:ascii="Garamond" w:hAnsi="Garamond"/>
          <w:sz w:val="22"/>
          <w:szCs w:val="22"/>
        </w:rPr>
        <w:t>half o</w:t>
      </w:r>
      <w:r w:rsidR="00E15CA2" w:rsidRPr="00320DDF">
        <w:rPr>
          <w:rFonts w:ascii="Garamond" w:hAnsi="Garamond"/>
          <w:sz w:val="22"/>
          <w:szCs w:val="22"/>
        </w:rPr>
        <w:t>f 2016 remained so in the beginning of the first quarter of 2017</w:t>
      </w:r>
      <w:r w:rsidR="0095623E" w:rsidRPr="00320DDF">
        <w:rPr>
          <w:rFonts w:ascii="Garamond" w:hAnsi="Garamond"/>
          <w:sz w:val="22"/>
          <w:szCs w:val="22"/>
        </w:rPr>
        <w:t xml:space="preserve">. In this case, the first quarter will see a </w:t>
      </w:r>
      <w:r w:rsidR="009477DA" w:rsidRPr="00320DDF">
        <w:rPr>
          <w:rFonts w:ascii="Garamond" w:hAnsi="Garamond"/>
          <w:sz w:val="22"/>
          <w:szCs w:val="22"/>
        </w:rPr>
        <w:t xml:space="preserve">small </w:t>
      </w:r>
      <w:r w:rsidR="0095623E" w:rsidRPr="00320DDF">
        <w:rPr>
          <w:rFonts w:ascii="Garamond" w:hAnsi="Garamond"/>
          <w:sz w:val="22"/>
          <w:szCs w:val="22"/>
        </w:rPr>
        <w:t>decline in value added in agriculture</w:t>
      </w:r>
      <w:r w:rsidR="009477DA" w:rsidRPr="00320DDF">
        <w:rPr>
          <w:rFonts w:ascii="Garamond" w:hAnsi="Garamond"/>
          <w:sz w:val="22"/>
          <w:szCs w:val="22"/>
        </w:rPr>
        <w:t>,</w:t>
      </w:r>
      <w:r w:rsidR="0095623E" w:rsidRPr="00320DDF">
        <w:rPr>
          <w:rFonts w:ascii="Garamond" w:hAnsi="Garamond"/>
          <w:sz w:val="22"/>
          <w:szCs w:val="22"/>
        </w:rPr>
        <w:t xml:space="preserve"> 0.6-0.2%</w:t>
      </w:r>
      <w:r w:rsidR="009477DA" w:rsidRPr="00320DDF">
        <w:rPr>
          <w:rFonts w:ascii="Garamond" w:hAnsi="Garamond"/>
          <w:sz w:val="22"/>
          <w:szCs w:val="22"/>
        </w:rPr>
        <w:t xml:space="preserve"> y/y</w:t>
      </w:r>
      <w:r w:rsidR="0095623E" w:rsidRPr="00320DDF">
        <w:rPr>
          <w:rFonts w:ascii="Garamond" w:hAnsi="Garamond"/>
          <w:sz w:val="22"/>
          <w:szCs w:val="22"/>
        </w:rPr>
        <w:t xml:space="preserve">, which is close to </w:t>
      </w:r>
      <w:r w:rsidR="009477DA" w:rsidRPr="00320DDF">
        <w:rPr>
          <w:rFonts w:ascii="Garamond" w:hAnsi="Garamond"/>
          <w:sz w:val="22"/>
          <w:szCs w:val="22"/>
        </w:rPr>
        <w:t>the C</w:t>
      </w:r>
      <w:r w:rsidR="0095623E" w:rsidRPr="00320DDF">
        <w:rPr>
          <w:rFonts w:ascii="Garamond" w:hAnsi="Garamond"/>
          <w:sz w:val="22"/>
          <w:szCs w:val="22"/>
        </w:rPr>
        <w:t xml:space="preserve">entral </w:t>
      </w:r>
      <w:r w:rsidR="009477DA" w:rsidRPr="00320DDF">
        <w:rPr>
          <w:rFonts w:ascii="Garamond" w:hAnsi="Garamond"/>
          <w:sz w:val="22"/>
          <w:szCs w:val="22"/>
        </w:rPr>
        <w:t>B</w:t>
      </w:r>
      <w:r w:rsidR="0095623E" w:rsidRPr="00320DDF">
        <w:rPr>
          <w:rFonts w:ascii="Garamond" w:hAnsi="Garamond"/>
          <w:sz w:val="22"/>
          <w:szCs w:val="22"/>
        </w:rPr>
        <w:t>ank</w:t>
      </w:r>
      <w:r w:rsidR="009477DA" w:rsidRPr="00320DDF">
        <w:rPr>
          <w:rFonts w:ascii="Garamond" w:hAnsi="Garamond"/>
          <w:sz w:val="22"/>
          <w:szCs w:val="22"/>
        </w:rPr>
        <w:t>’</w:t>
      </w:r>
      <w:r w:rsidR="0095623E" w:rsidRPr="00320DDF">
        <w:rPr>
          <w:rFonts w:ascii="Garamond" w:hAnsi="Garamond"/>
          <w:sz w:val="22"/>
          <w:szCs w:val="22"/>
        </w:rPr>
        <w:t>s</w:t>
      </w:r>
      <w:r w:rsidR="009477DA" w:rsidRPr="00320DDF">
        <w:rPr>
          <w:rFonts w:ascii="Garamond" w:hAnsi="Garamond"/>
          <w:sz w:val="22"/>
          <w:szCs w:val="22"/>
        </w:rPr>
        <w:t xml:space="preserve"> previous </w:t>
      </w:r>
      <w:r w:rsidR="0095623E" w:rsidRPr="00320DDF">
        <w:rPr>
          <w:rFonts w:ascii="Garamond" w:hAnsi="Garamond"/>
          <w:sz w:val="22"/>
          <w:szCs w:val="22"/>
        </w:rPr>
        <w:t>estimates.</w:t>
      </w:r>
      <w:r w:rsidR="00E15CA2" w:rsidRPr="00320DDF">
        <w:rPr>
          <w:rFonts w:ascii="Garamond" w:hAnsi="Garamond"/>
          <w:sz w:val="22"/>
          <w:szCs w:val="22"/>
        </w:rPr>
        <w:t xml:space="preserve"> </w:t>
      </w:r>
    </w:p>
    <w:p w14:paraId="421CDDCE" w14:textId="77777777" w:rsidR="0065044E" w:rsidRPr="00320DDF" w:rsidRDefault="0065044E" w:rsidP="00FF3CD9">
      <w:pPr>
        <w:spacing w:line="360" w:lineRule="auto"/>
        <w:jc w:val="both"/>
        <w:rPr>
          <w:rFonts w:ascii="Garamond" w:hAnsi="Garamond"/>
          <w:sz w:val="22"/>
          <w:szCs w:val="22"/>
        </w:rPr>
      </w:pPr>
    </w:p>
    <w:p w14:paraId="68760652" w14:textId="77777777" w:rsidR="0065044E" w:rsidRPr="00320DDF" w:rsidRDefault="0065044E" w:rsidP="00FF3CD9">
      <w:pPr>
        <w:spacing w:line="360" w:lineRule="auto"/>
        <w:jc w:val="both"/>
        <w:rPr>
          <w:rFonts w:ascii="Garamond" w:hAnsi="Garamond"/>
          <w:b/>
          <w:sz w:val="22"/>
          <w:szCs w:val="22"/>
        </w:rPr>
      </w:pPr>
      <w:r w:rsidRPr="00320DDF">
        <w:rPr>
          <w:rFonts w:ascii="Garamond" w:hAnsi="Garamond"/>
          <w:b/>
          <w:sz w:val="22"/>
          <w:szCs w:val="22"/>
        </w:rPr>
        <w:t>3.2.2. Aggregate demand</w:t>
      </w:r>
      <w:r w:rsidR="009477DA" w:rsidRPr="00320DDF">
        <w:rPr>
          <w:rStyle w:val="FootnoteReference"/>
          <w:rFonts w:ascii="Garamond" w:hAnsi="Garamond"/>
          <w:b/>
          <w:sz w:val="22"/>
          <w:szCs w:val="22"/>
        </w:rPr>
        <w:footnoteReference w:customMarkFollows="1" w:id="13"/>
        <w:t>15</w:t>
      </w:r>
    </w:p>
    <w:p w14:paraId="12DD5381" w14:textId="77777777" w:rsidR="00CB4E02" w:rsidRPr="00320DDF" w:rsidRDefault="00CB4E02" w:rsidP="00FF3CD9">
      <w:pPr>
        <w:spacing w:line="360" w:lineRule="auto"/>
        <w:jc w:val="both"/>
        <w:rPr>
          <w:rFonts w:ascii="Garamond" w:hAnsi="Garamond"/>
          <w:sz w:val="22"/>
          <w:szCs w:val="22"/>
        </w:rPr>
      </w:pPr>
    </w:p>
    <w:p w14:paraId="4FD93BED" w14:textId="77777777" w:rsidR="0065044E" w:rsidRPr="00320DDF" w:rsidRDefault="00FA3958" w:rsidP="00FF3CD9">
      <w:pPr>
        <w:spacing w:line="360" w:lineRule="auto"/>
        <w:jc w:val="both"/>
        <w:rPr>
          <w:rFonts w:ascii="Garamond" w:hAnsi="Garamond" w:cs="Sylfaen"/>
          <w:sz w:val="22"/>
          <w:szCs w:val="22"/>
        </w:rPr>
      </w:pPr>
      <w:r w:rsidRPr="00320DDF">
        <w:rPr>
          <w:rFonts w:ascii="Garamond" w:hAnsi="Garamond" w:cs="Sylfaen"/>
          <w:sz w:val="22"/>
          <w:szCs w:val="22"/>
        </w:rPr>
        <w:t>The growth of private spending i</w:t>
      </w:r>
      <w:r w:rsidR="00125C0A" w:rsidRPr="00320DDF">
        <w:rPr>
          <w:rFonts w:ascii="Garamond" w:hAnsi="Garamond" w:cs="Sylfaen"/>
          <w:sz w:val="22"/>
          <w:szCs w:val="22"/>
        </w:rPr>
        <w:t xml:space="preserve">n the </w:t>
      </w:r>
      <w:r w:rsidRPr="00320DDF">
        <w:rPr>
          <w:rFonts w:ascii="Garamond" w:hAnsi="Garamond" w:cs="Sylfaen"/>
          <w:sz w:val="22"/>
          <w:szCs w:val="22"/>
        </w:rPr>
        <w:t>f</w:t>
      </w:r>
      <w:r w:rsidR="009477DA" w:rsidRPr="00320DDF">
        <w:rPr>
          <w:rFonts w:ascii="Garamond" w:hAnsi="Garamond" w:cs="Sylfaen"/>
          <w:sz w:val="22"/>
          <w:szCs w:val="22"/>
        </w:rPr>
        <w:t>irst quarter of 2017</w:t>
      </w:r>
      <w:r w:rsidR="00125C0A" w:rsidRPr="00320DDF">
        <w:rPr>
          <w:rFonts w:ascii="Garamond" w:hAnsi="Garamond" w:cs="Sylfaen"/>
          <w:sz w:val="22"/>
          <w:szCs w:val="22"/>
        </w:rPr>
        <w:t xml:space="preserve"> </w:t>
      </w:r>
      <w:r w:rsidR="009477DA" w:rsidRPr="00320DDF">
        <w:rPr>
          <w:rFonts w:ascii="Garamond" w:hAnsi="Garamond" w:cs="Sylfaen"/>
          <w:sz w:val="22"/>
          <w:szCs w:val="22"/>
        </w:rPr>
        <w:t>i</w:t>
      </w:r>
      <w:r w:rsidR="00125C0A" w:rsidRPr="00320DDF">
        <w:rPr>
          <w:rFonts w:ascii="Garamond" w:hAnsi="Garamond" w:cs="Sylfaen"/>
          <w:sz w:val="22"/>
          <w:szCs w:val="22"/>
        </w:rPr>
        <w:t xml:space="preserve">s </w:t>
      </w:r>
      <w:r w:rsidR="009477DA" w:rsidRPr="00320DDF">
        <w:rPr>
          <w:rFonts w:ascii="Garamond" w:hAnsi="Garamond" w:cs="Sylfaen"/>
          <w:sz w:val="22"/>
          <w:szCs w:val="22"/>
        </w:rPr>
        <w:t xml:space="preserve">estimated at </w:t>
      </w:r>
      <w:r w:rsidRPr="00320DDF">
        <w:rPr>
          <w:rFonts w:ascii="Garamond" w:hAnsi="Garamond" w:cs="Sylfaen"/>
          <w:sz w:val="22"/>
          <w:szCs w:val="22"/>
        </w:rPr>
        <w:t>5</w:t>
      </w:r>
      <w:r w:rsidR="009477DA" w:rsidRPr="00320DDF">
        <w:rPr>
          <w:rFonts w:ascii="Garamond" w:hAnsi="Garamond" w:cs="Sylfaen"/>
          <w:sz w:val="22"/>
          <w:szCs w:val="22"/>
        </w:rPr>
        <w:t>.0</w:t>
      </w:r>
      <w:r w:rsidRPr="00320DDF">
        <w:rPr>
          <w:rFonts w:ascii="Garamond" w:hAnsi="Garamond" w:cs="Sylfaen"/>
          <w:sz w:val="22"/>
          <w:szCs w:val="22"/>
        </w:rPr>
        <w:t>%</w:t>
      </w:r>
      <w:r w:rsidR="009477DA" w:rsidRPr="00320DDF">
        <w:rPr>
          <w:rFonts w:ascii="Garamond" w:hAnsi="Garamond" w:cs="Sylfaen"/>
          <w:sz w:val="22"/>
          <w:szCs w:val="22"/>
        </w:rPr>
        <w:t xml:space="preserve"> – approximately 3 pp higher than the </w:t>
      </w:r>
      <w:r w:rsidRPr="00320DDF">
        <w:rPr>
          <w:rFonts w:ascii="Garamond" w:hAnsi="Garamond" w:cs="Sylfaen"/>
          <w:sz w:val="22"/>
          <w:szCs w:val="22"/>
        </w:rPr>
        <w:t xml:space="preserve">previous forecast – </w:t>
      </w:r>
      <w:r w:rsidR="009477DA" w:rsidRPr="00320DDF">
        <w:rPr>
          <w:rFonts w:ascii="Garamond" w:hAnsi="Garamond" w:cs="Sylfaen"/>
          <w:sz w:val="22"/>
          <w:szCs w:val="22"/>
        </w:rPr>
        <w:t xml:space="preserve">which is attributable to </w:t>
      </w:r>
      <w:r w:rsidR="001765D4" w:rsidRPr="00320DDF">
        <w:rPr>
          <w:rFonts w:ascii="Garamond" w:hAnsi="Garamond" w:cs="Sylfaen"/>
          <w:sz w:val="22"/>
          <w:szCs w:val="22"/>
        </w:rPr>
        <w:t xml:space="preserve">both </w:t>
      </w:r>
      <w:r w:rsidR="009477DA" w:rsidRPr="00320DDF">
        <w:rPr>
          <w:rFonts w:ascii="Garamond" w:hAnsi="Garamond" w:cs="Sylfaen"/>
          <w:sz w:val="22"/>
          <w:szCs w:val="22"/>
        </w:rPr>
        <w:t xml:space="preserve">a larger </w:t>
      </w:r>
      <w:r w:rsidR="001765D4" w:rsidRPr="00320DDF">
        <w:rPr>
          <w:rFonts w:ascii="Garamond" w:hAnsi="Garamond" w:cs="Sylfaen"/>
          <w:sz w:val="22"/>
          <w:szCs w:val="22"/>
        </w:rPr>
        <w:t>inflow</w:t>
      </w:r>
      <w:r w:rsidR="009477DA" w:rsidRPr="00320DDF">
        <w:rPr>
          <w:rFonts w:ascii="Garamond" w:hAnsi="Garamond" w:cs="Sylfaen"/>
          <w:sz w:val="22"/>
          <w:szCs w:val="22"/>
        </w:rPr>
        <w:t xml:space="preserve"> of private transfers</w:t>
      </w:r>
      <w:r w:rsidR="001765D4" w:rsidRPr="00320DDF">
        <w:rPr>
          <w:rFonts w:ascii="Garamond" w:hAnsi="Garamond" w:cs="Sylfaen"/>
          <w:sz w:val="22"/>
          <w:szCs w:val="22"/>
        </w:rPr>
        <w:t xml:space="preserve"> and </w:t>
      </w:r>
      <w:r w:rsidR="009477DA" w:rsidRPr="00320DDF">
        <w:rPr>
          <w:rFonts w:ascii="Garamond" w:hAnsi="Garamond" w:cs="Sylfaen"/>
          <w:sz w:val="22"/>
          <w:szCs w:val="22"/>
        </w:rPr>
        <w:t>accelerat</w:t>
      </w:r>
      <w:r w:rsidR="001765D4" w:rsidRPr="00320DDF">
        <w:rPr>
          <w:rFonts w:ascii="Garamond" w:hAnsi="Garamond" w:cs="Sylfaen"/>
          <w:sz w:val="22"/>
          <w:szCs w:val="22"/>
        </w:rPr>
        <w:t xml:space="preserve">ed </w:t>
      </w:r>
      <w:r w:rsidR="009477DA" w:rsidRPr="00320DDF">
        <w:rPr>
          <w:rFonts w:ascii="Garamond" w:hAnsi="Garamond" w:cs="Sylfaen"/>
          <w:sz w:val="22"/>
          <w:szCs w:val="22"/>
        </w:rPr>
        <w:t>economic activity</w:t>
      </w:r>
      <w:r w:rsidR="001765D4" w:rsidRPr="00320DDF">
        <w:rPr>
          <w:rFonts w:ascii="Garamond" w:hAnsi="Garamond" w:cs="Sylfaen"/>
          <w:sz w:val="22"/>
          <w:szCs w:val="22"/>
        </w:rPr>
        <w:t xml:space="preserve"> on the whole.</w:t>
      </w:r>
      <w:r w:rsidRPr="00320DDF">
        <w:rPr>
          <w:rFonts w:ascii="Garamond" w:hAnsi="Garamond" w:cs="Sylfaen"/>
          <w:sz w:val="22"/>
          <w:szCs w:val="22"/>
        </w:rPr>
        <w:t xml:space="preserve"> </w:t>
      </w:r>
    </w:p>
    <w:p w14:paraId="5BDCD88D" w14:textId="77777777" w:rsidR="001765D4" w:rsidRPr="00320DDF" w:rsidRDefault="001765D4" w:rsidP="00FF3CD9">
      <w:pPr>
        <w:spacing w:line="360" w:lineRule="auto"/>
        <w:jc w:val="both"/>
        <w:rPr>
          <w:rFonts w:ascii="Garamond" w:hAnsi="Garamond" w:cs="Sylfaen"/>
          <w:sz w:val="22"/>
          <w:szCs w:val="22"/>
        </w:rPr>
      </w:pPr>
    </w:p>
    <w:p w14:paraId="426C70D0" w14:textId="77777777" w:rsidR="001765D4" w:rsidRPr="00320DDF" w:rsidRDefault="001765D4" w:rsidP="00FF3CD9">
      <w:pPr>
        <w:spacing w:line="360" w:lineRule="auto"/>
        <w:jc w:val="both"/>
        <w:rPr>
          <w:rFonts w:ascii="Garamond" w:hAnsi="Garamond" w:cs="Sylfaen"/>
          <w:sz w:val="22"/>
          <w:szCs w:val="22"/>
        </w:rPr>
      </w:pPr>
      <w:r w:rsidRPr="00320DDF">
        <w:rPr>
          <w:rFonts w:ascii="Garamond" w:hAnsi="Garamond" w:cs="Sylfaen"/>
          <w:sz w:val="22"/>
          <w:szCs w:val="22"/>
        </w:rPr>
        <w:t>The first quarter saw higher-than-expected investment activity, with private investment estimated to have reached 3.7%, which was around 2 pp above the previous forecast. The revision to growth was determined by higher economic growth and broader inflow of remittances.</w:t>
      </w:r>
    </w:p>
    <w:p w14:paraId="5530C25D" w14:textId="77777777" w:rsidR="00697884" w:rsidRPr="00320DDF" w:rsidRDefault="00697884" w:rsidP="00FF3CD9">
      <w:pPr>
        <w:spacing w:line="360" w:lineRule="auto"/>
        <w:jc w:val="both"/>
        <w:rPr>
          <w:rFonts w:ascii="Garamond" w:hAnsi="Garamond" w:cs="Sylfaen"/>
          <w:sz w:val="22"/>
          <w:szCs w:val="22"/>
        </w:rPr>
      </w:pPr>
    </w:p>
    <w:p w14:paraId="4A9D4BB7" w14:textId="77777777" w:rsidR="00697884" w:rsidRPr="00320DDF" w:rsidRDefault="00697884" w:rsidP="00FF3CD9">
      <w:pPr>
        <w:spacing w:line="360" w:lineRule="auto"/>
        <w:jc w:val="both"/>
        <w:rPr>
          <w:rFonts w:ascii="Garamond" w:hAnsi="Garamond" w:cs="Sylfaen"/>
          <w:sz w:val="22"/>
          <w:szCs w:val="22"/>
        </w:rPr>
      </w:pPr>
      <w:r w:rsidRPr="00320DDF">
        <w:rPr>
          <w:rFonts w:ascii="Garamond" w:eastAsia="Calibri" w:hAnsi="Garamond"/>
          <w:sz w:val="22"/>
          <w:szCs w:val="22"/>
        </w:rPr>
        <w:lastRenderedPageBreak/>
        <w:t xml:space="preserve">The aforementioned developments with </w:t>
      </w:r>
      <w:r w:rsidRPr="00320DDF">
        <w:rPr>
          <w:rFonts w:ascii="Garamond" w:hAnsi="Garamond"/>
          <w:bCs/>
          <w:iCs/>
          <w:sz w:val="22"/>
          <w:szCs w:val="22"/>
        </w:rPr>
        <w:t xml:space="preserve">private consumption and investment led to an estimated 4.9% growth in private spending in the first quarter of 2017. This is around 3 pp higher in comparison with the previous forecast, and because private spending is slightly above the equilibrium, it created 0.3-0.4 percentage point inflationary pressures in the consumer market instead of previously </w:t>
      </w:r>
      <w:r w:rsidR="00AA433C" w:rsidRPr="00320DDF">
        <w:rPr>
          <w:rFonts w:ascii="Garamond" w:hAnsi="Garamond"/>
          <w:bCs/>
          <w:iCs/>
          <w:sz w:val="22"/>
          <w:szCs w:val="22"/>
        </w:rPr>
        <w:t xml:space="preserve">anticipated </w:t>
      </w:r>
      <w:r w:rsidRPr="00320DDF">
        <w:rPr>
          <w:rFonts w:ascii="Garamond" w:hAnsi="Garamond"/>
          <w:bCs/>
          <w:iCs/>
          <w:sz w:val="22"/>
          <w:szCs w:val="22"/>
        </w:rPr>
        <w:t>deflationary pressures. According to Central Bank estimates, however, high growth in private spending hence inflationary pressures</w:t>
      </w:r>
      <w:r w:rsidR="00F05148" w:rsidRPr="00320DDF">
        <w:rPr>
          <w:rFonts w:ascii="Garamond" w:hAnsi="Garamond"/>
          <w:bCs/>
          <w:iCs/>
          <w:sz w:val="22"/>
          <w:szCs w:val="22"/>
        </w:rPr>
        <w:t xml:space="preserve"> observed in the first quarter</w:t>
      </w:r>
      <w:r w:rsidRPr="00320DDF">
        <w:rPr>
          <w:rFonts w:ascii="Garamond" w:hAnsi="Garamond"/>
          <w:bCs/>
          <w:iCs/>
          <w:sz w:val="22"/>
          <w:szCs w:val="22"/>
        </w:rPr>
        <w:t xml:space="preserve"> are temporary</w:t>
      </w:r>
      <w:r w:rsidR="00F05148" w:rsidRPr="00320DDF">
        <w:rPr>
          <w:rStyle w:val="FootnoteReference"/>
          <w:rFonts w:ascii="Garamond" w:hAnsi="Garamond"/>
          <w:bCs/>
          <w:iCs/>
          <w:sz w:val="22"/>
          <w:szCs w:val="22"/>
        </w:rPr>
        <w:footnoteReference w:customMarkFollows="1" w:id="14"/>
        <w:t>16</w:t>
      </w:r>
      <w:r w:rsidRPr="00320DDF">
        <w:rPr>
          <w:rFonts w:ascii="Garamond" w:hAnsi="Garamond"/>
          <w:bCs/>
          <w:iCs/>
          <w:sz w:val="22"/>
          <w:szCs w:val="22"/>
        </w:rPr>
        <w:t>.</w:t>
      </w:r>
    </w:p>
    <w:p w14:paraId="0F6E94D5" w14:textId="77777777" w:rsidR="0006101A" w:rsidRPr="00320DDF" w:rsidRDefault="0006101A" w:rsidP="00FF3CD9">
      <w:pPr>
        <w:spacing w:line="360" w:lineRule="auto"/>
        <w:jc w:val="both"/>
        <w:rPr>
          <w:rFonts w:ascii="Garamond" w:hAnsi="Garamond" w:cs="Sylfaen"/>
          <w:sz w:val="22"/>
          <w:szCs w:val="22"/>
        </w:rPr>
      </w:pPr>
    </w:p>
    <w:p w14:paraId="205071B1" w14:textId="77777777" w:rsidR="00AA433C" w:rsidRPr="00320DDF" w:rsidRDefault="00AA433C" w:rsidP="0006101A">
      <w:pPr>
        <w:spacing w:line="360" w:lineRule="auto"/>
        <w:jc w:val="both"/>
        <w:rPr>
          <w:rFonts w:ascii="Garamond" w:hAnsi="Garamond" w:cs="Sylfaen"/>
          <w:sz w:val="22"/>
          <w:szCs w:val="22"/>
        </w:rPr>
      </w:pPr>
      <w:r w:rsidRPr="00320DDF">
        <w:rPr>
          <w:rFonts w:ascii="Garamond" w:hAnsi="Garamond" w:cs="Sylfaen"/>
          <w:sz w:val="22"/>
          <w:szCs w:val="22"/>
        </w:rPr>
        <w:t xml:space="preserve">In the first quarter of 2017 the indicator of net real export fell against the previous forecast amid stronger growth of import of goods and services, according to Central Bank estimates. </w:t>
      </w:r>
    </w:p>
    <w:p w14:paraId="492663A0" w14:textId="77777777" w:rsidR="00AA433C" w:rsidRPr="00320DDF" w:rsidRDefault="00AA433C" w:rsidP="0006101A">
      <w:pPr>
        <w:spacing w:line="360" w:lineRule="auto"/>
        <w:jc w:val="both"/>
        <w:rPr>
          <w:rFonts w:ascii="Garamond" w:hAnsi="Garamond" w:cs="Sylfaen"/>
          <w:sz w:val="22"/>
          <w:szCs w:val="22"/>
        </w:rPr>
      </w:pPr>
    </w:p>
    <w:p w14:paraId="60C8C02C" w14:textId="77777777" w:rsidR="00AA433C" w:rsidRPr="00320DDF" w:rsidRDefault="00AA433C" w:rsidP="0006101A">
      <w:pPr>
        <w:spacing w:line="360" w:lineRule="auto"/>
        <w:jc w:val="both"/>
        <w:rPr>
          <w:rFonts w:ascii="Garamond" w:hAnsi="Garamond" w:cs="Sylfaen"/>
          <w:sz w:val="22"/>
          <w:szCs w:val="22"/>
        </w:rPr>
      </w:pPr>
      <w:r w:rsidRPr="00320DDF">
        <w:rPr>
          <w:rFonts w:ascii="Garamond" w:hAnsi="Garamond" w:cs="Sylfaen"/>
          <w:sz w:val="22"/>
          <w:szCs w:val="22"/>
        </w:rPr>
        <w:t xml:space="preserve">In the first quarter of 2017 </w:t>
      </w:r>
      <w:r w:rsidR="00F22FFD" w:rsidRPr="00320DDF">
        <w:rPr>
          <w:rFonts w:ascii="Garamond" w:hAnsi="Garamond" w:cs="Sylfaen"/>
          <w:sz w:val="22"/>
          <w:szCs w:val="22"/>
        </w:rPr>
        <w:t xml:space="preserve">the growth of net remittances </w:t>
      </w:r>
      <w:r w:rsidR="009D7FBF" w:rsidRPr="00320DDF">
        <w:rPr>
          <w:rFonts w:ascii="Garamond" w:hAnsi="Garamond" w:cs="Sylfaen"/>
          <w:sz w:val="22"/>
          <w:szCs w:val="22"/>
        </w:rPr>
        <w:t xml:space="preserve">in dollar terms </w:t>
      </w:r>
      <w:r w:rsidR="00F22FFD" w:rsidRPr="00320DDF">
        <w:rPr>
          <w:rFonts w:ascii="Garamond" w:hAnsi="Garamond" w:cs="Sylfaen"/>
          <w:sz w:val="22"/>
          <w:szCs w:val="22"/>
        </w:rPr>
        <w:t xml:space="preserve">was </w:t>
      </w:r>
      <w:r w:rsidRPr="00320DDF">
        <w:rPr>
          <w:rFonts w:ascii="Garamond" w:hAnsi="Garamond" w:cs="Sylfaen"/>
          <w:sz w:val="22"/>
          <w:szCs w:val="22"/>
        </w:rPr>
        <w:t>higher than expected (27.0%</w:t>
      </w:r>
      <w:r w:rsidR="00F22FFD" w:rsidRPr="00320DDF">
        <w:rPr>
          <w:rFonts w:ascii="Garamond" w:hAnsi="Garamond" w:cs="Sylfaen"/>
          <w:sz w:val="22"/>
          <w:szCs w:val="22"/>
        </w:rPr>
        <w:t xml:space="preserve"> y/y</w:t>
      </w:r>
      <w:r w:rsidRPr="00320DDF">
        <w:rPr>
          <w:rFonts w:ascii="Garamond" w:hAnsi="Garamond" w:cs="Sylfaen"/>
          <w:sz w:val="22"/>
          <w:szCs w:val="22"/>
        </w:rPr>
        <w:t>),</w:t>
      </w:r>
      <w:r w:rsidR="00F22FFD" w:rsidRPr="00320DDF">
        <w:rPr>
          <w:rFonts w:ascii="Garamond" w:hAnsi="Garamond" w:cs="Sylfaen"/>
          <w:sz w:val="22"/>
          <w:szCs w:val="22"/>
        </w:rPr>
        <w:t xml:space="preserve"> which was</w:t>
      </w:r>
      <w:r w:rsidRPr="00320DDF">
        <w:rPr>
          <w:rFonts w:ascii="Garamond" w:hAnsi="Garamond" w:cs="Sylfaen"/>
          <w:sz w:val="22"/>
          <w:szCs w:val="22"/>
        </w:rPr>
        <w:t xml:space="preserve"> </w:t>
      </w:r>
      <w:r w:rsidR="00F22FFD" w:rsidRPr="00320DDF">
        <w:rPr>
          <w:rFonts w:ascii="Garamond" w:hAnsi="Garamond" w:cs="Sylfaen"/>
          <w:sz w:val="22"/>
          <w:szCs w:val="22"/>
        </w:rPr>
        <w:t xml:space="preserve">primarily attributable to the </w:t>
      </w:r>
      <w:r w:rsidRPr="00320DDF">
        <w:rPr>
          <w:rFonts w:ascii="Garamond" w:hAnsi="Garamond" w:cs="Sylfaen"/>
          <w:sz w:val="22"/>
          <w:szCs w:val="22"/>
        </w:rPr>
        <w:t xml:space="preserve">ruble appreciation </w:t>
      </w:r>
      <w:r w:rsidR="00F22FFD" w:rsidRPr="00320DDF">
        <w:rPr>
          <w:rFonts w:ascii="Garamond" w:hAnsi="Garamond" w:cs="Sylfaen"/>
          <w:sz w:val="22"/>
          <w:szCs w:val="22"/>
        </w:rPr>
        <w:t xml:space="preserve">that exceeded </w:t>
      </w:r>
      <w:r w:rsidRPr="00320DDF">
        <w:rPr>
          <w:rFonts w:ascii="Garamond" w:hAnsi="Garamond" w:cs="Sylfaen"/>
          <w:sz w:val="22"/>
          <w:szCs w:val="22"/>
        </w:rPr>
        <w:t>expect</w:t>
      </w:r>
      <w:r w:rsidR="00F22FFD" w:rsidRPr="00320DDF">
        <w:rPr>
          <w:rFonts w:ascii="Garamond" w:hAnsi="Garamond" w:cs="Sylfaen"/>
          <w:sz w:val="22"/>
          <w:szCs w:val="22"/>
        </w:rPr>
        <w:t>ations</w:t>
      </w:r>
      <w:r w:rsidRPr="00320DDF">
        <w:rPr>
          <w:rFonts w:ascii="Garamond" w:hAnsi="Garamond" w:cs="Sylfaen"/>
          <w:sz w:val="22"/>
          <w:szCs w:val="22"/>
        </w:rPr>
        <w:t>.</w:t>
      </w:r>
    </w:p>
    <w:p w14:paraId="10814A07" w14:textId="77777777" w:rsidR="00AA433C" w:rsidRPr="00320DDF" w:rsidRDefault="00AA433C" w:rsidP="0006101A">
      <w:pPr>
        <w:spacing w:line="360" w:lineRule="auto"/>
        <w:jc w:val="both"/>
        <w:rPr>
          <w:rFonts w:ascii="Garamond" w:hAnsi="Garamond" w:cs="Sylfaen"/>
          <w:sz w:val="22"/>
          <w:szCs w:val="22"/>
        </w:rPr>
      </w:pPr>
    </w:p>
    <w:p w14:paraId="4B01B38D" w14:textId="77777777" w:rsidR="0006101A" w:rsidRPr="00320DDF" w:rsidRDefault="00F22FFD" w:rsidP="0006101A">
      <w:pPr>
        <w:spacing w:line="360" w:lineRule="auto"/>
        <w:jc w:val="both"/>
        <w:rPr>
          <w:rFonts w:ascii="Garamond" w:hAnsi="Garamond" w:cs="Sylfaen"/>
          <w:sz w:val="22"/>
          <w:szCs w:val="22"/>
        </w:rPr>
      </w:pPr>
      <w:r w:rsidRPr="00320DDF">
        <w:rPr>
          <w:rFonts w:ascii="Garamond" w:hAnsi="Garamond"/>
          <w:bCs/>
          <w:iCs/>
          <w:sz w:val="22"/>
          <w:szCs w:val="22"/>
        </w:rPr>
        <w:t xml:space="preserve">According to Central Bank estimates, in the first quarter of 2017 the indicator of real net export deteriorated against the previous forecast, which was due to more-than-anticipated growth in the import of goods and services. </w:t>
      </w:r>
      <w:r w:rsidR="009D7FBF" w:rsidRPr="00320DDF">
        <w:rPr>
          <w:rFonts w:ascii="Garamond" w:hAnsi="Garamond"/>
          <w:bCs/>
          <w:iCs/>
          <w:sz w:val="22"/>
          <w:szCs w:val="22"/>
        </w:rPr>
        <w:t>Thus, i</w:t>
      </w:r>
      <w:r w:rsidRPr="00320DDF">
        <w:rPr>
          <w:rFonts w:ascii="Garamond" w:hAnsi="Garamond"/>
          <w:bCs/>
          <w:iCs/>
          <w:sz w:val="22"/>
          <w:szCs w:val="22"/>
        </w:rPr>
        <w:t xml:space="preserve">n the first quarter </w:t>
      </w:r>
      <w:r w:rsidR="009D7FBF" w:rsidRPr="00320DDF">
        <w:rPr>
          <w:rFonts w:ascii="Garamond" w:hAnsi="Garamond"/>
          <w:bCs/>
          <w:iCs/>
          <w:sz w:val="22"/>
          <w:szCs w:val="22"/>
        </w:rPr>
        <w:t xml:space="preserve">growth rates of </w:t>
      </w:r>
      <w:r w:rsidRPr="00320DDF">
        <w:rPr>
          <w:rFonts w:ascii="Garamond" w:hAnsi="Garamond"/>
          <w:bCs/>
          <w:iCs/>
          <w:sz w:val="22"/>
          <w:szCs w:val="22"/>
        </w:rPr>
        <w:t xml:space="preserve">real export of goods and services </w:t>
      </w:r>
      <w:r w:rsidR="009D7FBF" w:rsidRPr="00320DDF">
        <w:rPr>
          <w:rFonts w:ascii="Garamond" w:hAnsi="Garamond"/>
          <w:bCs/>
          <w:iCs/>
          <w:sz w:val="22"/>
          <w:szCs w:val="22"/>
        </w:rPr>
        <w:t xml:space="preserve">amounted to </w:t>
      </w:r>
      <w:r w:rsidRPr="00320DDF">
        <w:rPr>
          <w:rFonts w:ascii="Garamond" w:hAnsi="Garamond"/>
          <w:bCs/>
          <w:iCs/>
          <w:sz w:val="22"/>
          <w:szCs w:val="22"/>
        </w:rPr>
        <w:t>1.5%</w:t>
      </w:r>
      <w:r w:rsidR="009D7FBF" w:rsidRPr="00320DDF">
        <w:rPr>
          <w:rFonts w:ascii="Garamond" w:hAnsi="Garamond"/>
          <w:bCs/>
          <w:iCs/>
          <w:sz w:val="22"/>
          <w:szCs w:val="22"/>
        </w:rPr>
        <w:t xml:space="preserve"> y/y</w:t>
      </w:r>
      <w:r w:rsidRPr="00320DDF">
        <w:rPr>
          <w:rFonts w:ascii="Garamond" w:hAnsi="Garamond"/>
          <w:bCs/>
          <w:iCs/>
          <w:sz w:val="22"/>
          <w:szCs w:val="22"/>
        </w:rPr>
        <w:t xml:space="preserve">, while real growth </w:t>
      </w:r>
      <w:r w:rsidR="009D7FBF" w:rsidRPr="00320DDF">
        <w:rPr>
          <w:rFonts w:ascii="Garamond" w:hAnsi="Garamond"/>
          <w:bCs/>
          <w:iCs/>
          <w:sz w:val="22"/>
          <w:szCs w:val="22"/>
        </w:rPr>
        <w:t>of</w:t>
      </w:r>
      <w:r w:rsidRPr="00320DDF">
        <w:rPr>
          <w:rFonts w:ascii="Garamond" w:hAnsi="Garamond"/>
          <w:bCs/>
          <w:iCs/>
          <w:sz w:val="22"/>
          <w:szCs w:val="22"/>
        </w:rPr>
        <w:t xml:space="preserve"> import</w:t>
      </w:r>
      <w:r w:rsidR="009D7FBF" w:rsidRPr="00320DDF">
        <w:rPr>
          <w:rFonts w:ascii="Garamond" w:hAnsi="Garamond"/>
          <w:bCs/>
          <w:iCs/>
          <w:sz w:val="22"/>
          <w:szCs w:val="22"/>
        </w:rPr>
        <w:t xml:space="preserve"> of goods and services, </w:t>
      </w:r>
      <w:r w:rsidRPr="00320DDF">
        <w:rPr>
          <w:rFonts w:ascii="Garamond" w:hAnsi="Garamond"/>
          <w:bCs/>
          <w:iCs/>
          <w:sz w:val="22"/>
          <w:szCs w:val="22"/>
        </w:rPr>
        <w:t>11.5%</w:t>
      </w:r>
      <w:r w:rsidR="009D7FBF" w:rsidRPr="00320DDF">
        <w:rPr>
          <w:rFonts w:ascii="Garamond" w:hAnsi="Garamond"/>
          <w:bCs/>
          <w:iCs/>
          <w:sz w:val="22"/>
          <w:szCs w:val="22"/>
        </w:rPr>
        <w:t xml:space="preserve"> y/y</w:t>
      </w:r>
      <w:r w:rsidR="009D7FBF" w:rsidRPr="00320DDF">
        <w:rPr>
          <w:rStyle w:val="FootnoteReference"/>
          <w:rFonts w:ascii="Garamond" w:hAnsi="Garamond"/>
          <w:bCs/>
          <w:iCs/>
          <w:sz w:val="22"/>
          <w:szCs w:val="22"/>
        </w:rPr>
        <w:footnoteReference w:customMarkFollows="1" w:id="15"/>
        <w:t>17</w:t>
      </w:r>
      <w:r w:rsidRPr="00320DDF">
        <w:rPr>
          <w:rFonts w:ascii="Garamond" w:hAnsi="Garamond"/>
          <w:bCs/>
          <w:iCs/>
          <w:sz w:val="22"/>
          <w:szCs w:val="22"/>
        </w:rPr>
        <w:t>.</w:t>
      </w:r>
      <w:r w:rsidR="001317A3" w:rsidRPr="00320DDF">
        <w:rPr>
          <w:rFonts w:ascii="Garamond" w:hAnsi="Garamond" w:cs="Sylfaen"/>
          <w:sz w:val="22"/>
          <w:szCs w:val="22"/>
        </w:rPr>
        <w:t xml:space="preserve"> </w:t>
      </w:r>
    </w:p>
    <w:p w14:paraId="1B520D3B" w14:textId="77777777" w:rsidR="003A44FA" w:rsidRPr="00320DDF" w:rsidRDefault="003A44FA" w:rsidP="0006101A">
      <w:pPr>
        <w:spacing w:line="360" w:lineRule="auto"/>
        <w:jc w:val="both"/>
        <w:rPr>
          <w:rFonts w:ascii="Garamond" w:hAnsi="Garamond" w:cs="Sylfaen"/>
          <w:sz w:val="22"/>
          <w:szCs w:val="22"/>
        </w:rPr>
      </w:pPr>
    </w:p>
    <w:p w14:paraId="35D23E37" w14:textId="77777777" w:rsidR="002847C1" w:rsidRPr="00320DDF" w:rsidRDefault="002847C1" w:rsidP="0006101A">
      <w:pPr>
        <w:spacing w:line="360" w:lineRule="auto"/>
        <w:jc w:val="both"/>
        <w:rPr>
          <w:rFonts w:ascii="Garamond" w:hAnsi="Garamond"/>
          <w:b/>
          <w:sz w:val="22"/>
          <w:szCs w:val="22"/>
        </w:rPr>
      </w:pPr>
      <w:r w:rsidRPr="00320DDF">
        <w:rPr>
          <w:rFonts w:ascii="Garamond" w:hAnsi="Garamond"/>
          <w:b/>
          <w:sz w:val="22"/>
          <w:szCs w:val="22"/>
        </w:rPr>
        <w:t>3.2.3. Labor market</w:t>
      </w:r>
      <w:r w:rsidR="009D7FBF" w:rsidRPr="00320DDF">
        <w:rPr>
          <w:rStyle w:val="FootnoteReference"/>
          <w:rFonts w:ascii="Garamond" w:hAnsi="Garamond"/>
          <w:b/>
          <w:sz w:val="22"/>
          <w:szCs w:val="22"/>
        </w:rPr>
        <w:footnoteReference w:customMarkFollows="1" w:id="16"/>
        <w:t>18</w:t>
      </w:r>
    </w:p>
    <w:p w14:paraId="5DA99D25" w14:textId="77777777" w:rsidR="003B0C7D" w:rsidRPr="00320DDF" w:rsidRDefault="003B0C7D" w:rsidP="0006101A">
      <w:pPr>
        <w:spacing w:line="360" w:lineRule="auto"/>
        <w:jc w:val="both"/>
        <w:rPr>
          <w:rStyle w:val="longtext"/>
          <w:rFonts w:ascii="Garamond" w:hAnsi="Garamond"/>
          <w:sz w:val="22"/>
          <w:szCs w:val="22"/>
          <w:shd w:val="clear" w:color="auto" w:fill="FFFFFF"/>
        </w:rPr>
      </w:pPr>
    </w:p>
    <w:p w14:paraId="4EFE7420" w14:textId="77777777" w:rsidR="007C6A1A" w:rsidRPr="00320DDF" w:rsidRDefault="007C6A1A" w:rsidP="0006101A">
      <w:pPr>
        <w:spacing w:line="360" w:lineRule="auto"/>
        <w:jc w:val="both"/>
        <w:rPr>
          <w:rFonts w:ascii="Garamond" w:eastAsia="Calibri" w:hAnsi="Garamond"/>
          <w:sz w:val="22"/>
          <w:szCs w:val="22"/>
        </w:rPr>
      </w:pPr>
      <w:r w:rsidRPr="00320DDF">
        <w:rPr>
          <w:rStyle w:val="longtext"/>
          <w:rFonts w:ascii="Garamond" w:hAnsi="Garamond"/>
          <w:sz w:val="22"/>
          <w:szCs w:val="22"/>
          <w:shd w:val="clear" w:color="auto" w:fill="FFFFFF"/>
        </w:rPr>
        <w:t xml:space="preserve">In the </w:t>
      </w:r>
      <w:r w:rsidR="00F3288A" w:rsidRPr="00320DDF">
        <w:rPr>
          <w:rStyle w:val="longtext"/>
          <w:rFonts w:ascii="Garamond" w:hAnsi="Garamond"/>
          <w:sz w:val="22"/>
          <w:szCs w:val="22"/>
          <w:shd w:val="clear" w:color="auto" w:fill="FFFFFF"/>
        </w:rPr>
        <w:t>f</w:t>
      </w:r>
      <w:r w:rsidR="009D7FBF" w:rsidRPr="00320DDF">
        <w:rPr>
          <w:rStyle w:val="longtext"/>
          <w:rFonts w:ascii="Garamond" w:hAnsi="Garamond"/>
          <w:sz w:val="22"/>
          <w:szCs w:val="22"/>
          <w:shd w:val="clear" w:color="auto" w:fill="FFFFFF"/>
        </w:rPr>
        <w:t xml:space="preserve">irst </w:t>
      </w:r>
      <w:r w:rsidRPr="00320DDF">
        <w:rPr>
          <w:rStyle w:val="longtext"/>
          <w:rFonts w:ascii="Garamond" w:hAnsi="Garamond"/>
          <w:sz w:val="22"/>
          <w:szCs w:val="22"/>
          <w:shd w:val="clear" w:color="auto" w:fill="FFFFFF"/>
        </w:rPr>
        <w:t>quarter of 201</w:t>
      </w:r>
      <w:r w:rsidR="009D7FBF" w:rsidRPr="00320DDF">
        <w:rPr>
          <w:rStyle w:val="longtext"/>
          <w:rFonts w:ascii="Garamond" w:hAnsi="Garamond"/>
          <w:sz w:val="22"/>
          <w:szCs w:val="22"/>
          <w:shd w:val="clear" w:color="auto" w:fill="FFFFFF"/>
        </w:rPr>
        <w:t>7</w:t>
      </w:r>
      <w:r w:rsidRPr="00320DDF">
        <w:rPr>
          <w:rStyle w:val="longtext"/>
          <w:rFonts w:ascii="Garamond" w:hAnsi="Garamond"/>
          <w:sz w:val="22"/>
          <w:szCs w:val="22"/>
          <w:shd w:val="clear" w:color="auto" w:fill="FFFFFF"/>
        </w:rPr>
        <w:t xml:space="preserve"> the </w:t>
      </w:r>
      <w:r w:rsidRPr="00320DDF">
        <w:rPr>
          <w:rStyle w:val="longtext"/>
          <w:rFonts w:ascii="Garamond" w:hAnsi="Garamond"/>
          <w:b/>
          <w:sz w:val="22"/>
          <w:szCs w:val="22"/>
          <w:shd w:val="clear" w:color="auto" w:fill="FFFFFF"/>
        </w:rPr>
        <w:t xml:space="preserve">average nominal wage </w:t>
      </w:r>
      <w:r w:rsidRPr="00320DDF">
        <w:rPr>
          <w:rFonts w:ascii="Garamond" w:hAnsi="Garamond"/>
          <w:b/>
          <w:bCs/>
          <w:iCs/>
          <w:sz w:val="22"/>
          <w:szCs w:val="22"/>
        </w:rPr>
        <w:t xml:space="preserve">growth rate </w:t>
      </w:r>
      <w:r w:rsidR="0006381A" w:rsidRPr="00320DDF">
        <w:rPr>
          <w:rFonts w:ascii="Garamond" w:hAnsi="Garamond"/>
          <w:bCs/>
          <w:iCs/>
          <w:sz w:val="22"/>
          <w:szCs w:val="22"/>
        </w:rPr>
        <w:t>ran</w:t>
      </w:r>
      <w:r w:rsidRPr="00320DDF">
        <w:rPr>
          <w:rFonts w:ascii="Garamond" w:hAnsi="Garamond"/>
          <w:bCs/>
          <w:iCs/>
          <w:sz w:val="22"/>
          <w:szCs w:val="22"/>
        </w:rPr>
        <w:t xml:space="preserve"> </w:t>
      </w:r>
      <w:r w:rsidR="009D7FBF" w:rsidRPr="00320DDF">
        <w:rPr>
          <w:rFonts w:ascii="Garamond" w:hAnsi="Garamond"/>
          <w:bCs/>
          <w:iCs/>
          <w:sz w:val="22"/>
          <w:szCs w:val="22"/>
        </w:rPr>
        <w:t xml:space="preserve">above </w:t>
      </w:r>
      <w:r w:rsidR="00BF1B40" w:rsidRPr="00320DDF">
        <w:rPr>
          <w:rFonts w:ascii="Garamond" w:hAnsi="Garamond"/>
          <w:bCs/>
          <w:iCs/>
          <w:sz w:val="22"/>
          <w:szCs w:val="22"/>
        </w:rPr>
        <w:t>the previous</w:t>
      </w:r>
      <w:r w:rsidRPr="00320DDF">
        <w:rPr>
          <w:rFonts w:ascii="Garamond" w:hAnsi="Garamond"/>
          <w:bCs/>
          <w:iCs/>
          <w:sz w:val="22"/>
          <w:szCs w:val="22"/>
        </w:rPr>
        <w:t xml:space="preserve"> forecast</w:t>
      </w:r>
      <w:r w:rsidR="009D7FBF" w:rsidRPr="00320DDF">
        <w:rPr>
          <w:rFonts w:ascii="Garamond" w:hAnsi="Garamond"/>
          <w:bCs/>
          <w:iCs/>
          <w:sz w:val="22"/>
          <w:szCs w:val="22"/>
        </w:rPr>
        <w:t>s</w:t>
      </w:r>
      <w:r w:rsidR="008F2F5C" w:rsidRPr="00320DDF">
        <w:rPr>
          <w:rFonts w:ascii="Garamond" w:hAnsi="Garamond"/>
          <w:bCs/>
          <w:iCs/>
          <w:sz w:val="22"/>
          <w:szCs w:val="22"/>
        </w:rPr>
        <w:t xml:space="preserve"> of the C</w:t>
      </w:r>
      <w:r w:rsidR="006C681A" w:rsidRPr="00320DDF">
        <w:rPr>
          <w:rFonts w:ascii="Garamond" w:hAnsi="Garamond"/>
          <w:bCs/>
          <w:iCs/>
          <w:sz w:val="22"/>
          <w:szCs w:val="22"/>
        </w:rPr>
        <w:t>entral Bank</w:t>
      </w:r>
      <w:r w:rsidR="00BF1B40" w:rsidRPr="00320DDF">
        <w:rPr>
          <w:rFonts w:ascii="Garamond" w:hAnsi="Garamond"/>
          <w:bCs/>
          <w:iCs/>
          <w:sz w:val="22"/>
          <w:szCs w:val="22"/>
        </w:rPr>
        <w:t xml:space="preserve">, and </w:t>
      </w:r>
      <w:r w:rsidR="009D7FBF" w:rsidRPr="00320DDF">
        <w:rPr>
          <w:rFonts w:ascii="Garamond" w:hAnsi="Garamond"/>
          <w:bCs/>
          <w:iCs/>
          <w:sz w:val="22"/>
          <w:szCs w:val="22"/>
        </w:rPr>
        <w:t>is</w:t>
      </w:r>
      <w:r w:rsidRPr="00320DDF">
        <w:rPr>
          <w:rFonts w:ascii="Garamond" w:hAnsi="Garamond"/>
          <w:bCs/>
          <w:iCs/>
          <w:sz w:val="22"/>
          <w:szCs w:val="22"/>
        </w:rPr>
        <w:t xml:space="preserve"> </w:t>
      </w:r>
      <w:r w:rsidR="00B538A5" w:rsidRPr="00320DDF">
        <w:rPr>
          <w:rFonts w:ascii="Garamond" w:hAnsi="Garamond"/>
          <w:bCs/>
          <w:iCs/>
          <w:sz w:val="22"/>
          <w:szCs w:val="22"/>
        </w:rPr>
        <w:t xml:space="preserve">an </w:t>
      </w:r>
      <w:r w:rsidRPr="00320DDF">
        <w:rPr>
          <w:rFonts w:ascii="Garamond" w:hAnsi="Garamond"/>
          <w:bCs/>
          <w:iCs/>
          <w:sz w:val="22"/>
          <w:szCs w:val="22"/>
        </w:rPr>
        <w:t>estimated</w:t>
      </w:r>
      <w:r w:rsidR="00FB246E" w:rsidRPr="00320DDF">
        <w:rPr>
          <w:rFonts w:ascii="Garamond" w:hAnsi="Garamond"/>
          <w:bCs/>
          <w:iCs/>
          <w:sz w:val="22"/>
          <w:szCs w:val="22"/>
          <w:lang w:val="hy-AM"/>
        </w:rPr>
        <w:t xml:space="preserve"> </w:t>
      </w:r>
      <w:r w:rsidR="009D7FBF" w:rsidRPr="00320DDF">
        <w:rPr>
          <w:rFonts w:ascii="Garamond" w:hAnsi="Garamond"/>
          <w:bCs/>
          <w:iCs/>
          <w:sz w:val="22"/>
          <w:szCs w:val="22"/>
        </w:rPr>
        <w:t>1</w:t>
      </w:r>
      <w:r w:rsidRPr="00320DDF">
        <w:rPr>
          <w:rFonts w:ascii="Garamond" w:hAnsi="Garamond"/>
          <w:bCs/>
          <w:iCs/>
          <w:sz w:val="22"/>
          <w:szCs w:val="22"/>
        </w:rPr>
        <w:t>.</w:t>
      </w:r>
      <w:r w:rsidR="009D7FBF" w:rsidRPr="00320DDF">
        <w:rPr>
          <w:rFonts w:ascii="Garamond" w:hAnsi="Garamond"/>
          <w:bCs/>
          <w:iCs/>
          <w:sz w:val="22"/>
          <w:szCs w:val="22"/>
        </w:rPr>
        <w:t>2</w:t>
      </w:r>
      <w:r w:rsidRPr="00320DDF">
        <w:rPr>
          <w:rFonts w:ascii="Garamond" w:hAnsi="Garamond"/>
          <w:bCs/>
          <w:iCs/>
          <w:sz w:val="22"/>
          <w:szCs w:val="22"/>
        </w:rPr>
        <w:t>%</w:t>
      </w:r>
      <w:r w:rsidR="008D6213" w:rsidRPr="00320DDF">
        <w:rPr>
          <w:rFonts w:ascii="Garamond" w:hAnsi="Garamond"/>
          <w:bCs/>
          <w:iCs/>
          <w:sz w:val="22"/>
          <w:szCs w:val="22"/>
        </w:rPr>
        <w:t>.</w:t>
      </w:r>
    </w:p>
    <w:p w14:paraId="12B9C7BE" w14:textId="77777777" w:rsidR="003B0C7D" w:rsidRPr="00320DDF" w:rsidRDefault="003B0C7D" w:rsidP="0006101A">
      <w:pPr>
        <w:spacing w:line="360" w:lineRule="auto"/>
        <w:jc w:val="both"/>
        <w:rPr>
          <w:rFonts w:ascii="Garamond" w:eastAsia="Calibri" w:hAnsi="Garamond"/>
          <w:sz w:val="22"/>
          <w:szCs w:val="22"/>
        </w:rPr>
      </w:pPr>
    </w:p>
    <w:p w14:paraId="7C308EE0" w14:textId="77777777" w:rsidR="00C15113" w:rsidRPr="00320DDF" w:rsidRDefault="00171759" w:rsidP="0006101A">
      <w:pPr>
        <w:spacing w:line="360" w:lineRule="auto"/>
        <w:jc w:val="both"/>
        <w:rPr>
          <w:rFonts w:ascii="Garamond" w:eastAsia="Calibri" w:hAnsi="Garamond"/>
          <w:sz w:val="22"/>
          <w:szCs w:val="22"/>
        </w:rPr>
      </w:pPr>
      <w:r w:rsidRPr="00320DDF">
        <w:rPr>
          <w:rFonts w:ascii="Garamond" w:eastAsia="Calibri" w:hAnsi="Garamond"/>
          <w:sz w:val="22"/>
          <w:szCs w:val="22"/>
        </w:rPr>
        <w:t>In the first quarter of 2017 the</w:t>
      </w:r>
      <w:r w:rsidR="00F83784" w:rsidRPr="00320DDF">
        <w:rPr>
          <w:rFonts w:ascii="Garamond" w:eastAsia="Calibri" w:hAnsi="Garamond"/>
          <w:sz w:val="22"/>
          <w:szCs w:val="22"/>
        </w:rPr>
        <w:t xml:space="preserve"> nominal wage growth in the </w:t>
      </w:r>
      <w:r w:rsidR="00F83784" w:rsidRPr="00320DDF">
        <w:rPr>
          <w:rFonts w:ascii="Garamond" w:eastAsia="Calibri" w:hAnsi="Garamond"/>
          <w:b/>
          <w:sz w:val="22"/>
          <w:szCs w:val="22"/>
        </w:rPr>
        <w:t>private sector</w:t>
      </w:r>
      <w:r w:rsidR="00F83784" w:rsidRPr="00320DDF">
        <w:rPr>
          <w:rFonts w:ascii="Garamond" w:eastAsia="Calibri" w:hAnsi="Garamond"/>
          <w:sz w:val="22"/>
          <w:szCs w:val="22"/>
        </w:rPr>
        <w:t xml:space="preserve"> </w:t>
      </w:r>
      <w:r w:rsidRPr="00320DDF">
        <w:rPr>
          <w:rFonts w:ascii="Garamond" w:eastAsia="Calibri" w:hAnsi="Garamond"/>
          <w:sz w:val="22"/>
          <w:szCs w:val="22"/>
        </w:rPr>
        <w:t>amounted to 2.5%, running 0.4 pp higher from the previous forecasts</w:t>
      </w:r>
      <w:r w:rsidR="008D6213" w:rsidRPr="00320DDF">
        <w:rPr>
          <w:rFonts w:ascii="Garamond" w:eastAsia="Calibri" w:hAnsi="Garamond"/>
          <w:sz w:val="22"/>
          <w:szCs w:val="22"/>
        </w:rPr>
        <w:t>,</w:t>
      </w:r>
      <w:r w:rsidR="00F83784" w:rsidRPr="00320DDF">
        <w:rPr>
          <w:rFonts w:ascii="Garamond" w:eastAsia="Calibri" w:hAnsi="Garamond"/>
          <w:sz w:val="22"/>
          <w:szCs w:val="22"/>
        </w:rPr>
        <w:t xml:space="preserve"> reflecting a </w:t>
      </w:r>
      <w:r w:rsidRPr="00320DDF">
        <w:rPr>
          <w:rFonts w:ascii="Garamond" w:eastAsia="Calibri" w:hAnsi="Garamond"/>
          <w:sz w:val="22"/>
          <w:szCs w:val="22"/>
        </w:rPr>
        <w:t xml:space="preserve">bolstered </w:t>
      </w:r>
      <w:r w:rsidR="00F83784" w:rsidRPr="00320DDF">
        <w:rPr>
          <w:rFonts w:ascii="Garamond" w:eastAsia="Calibri" w:hAnsi="Garamond"/>
          <w:sz w:val="22"/>
          <w:szCs w:val="22"/>
        </w:rPr>
        <w:t>economic activity</w:t>
      </w:r>
      <w:r w:rsidRPr="00320DDF">
        <w:rPr>
          <w:rFonts w:ascii="Garamond" w:eastAsia="Calibri" w:hAnsi="Garamond"/>
          <w:sz w:val="22"/>
          <w:szCs w:val="22"/>
        </w:rPr>
        <w:t>.</w:t>
      </w:r>
      <w:r w:rsidR="008D6213" w:rsidRPr="00320DDF">
        <w:rPr>
          <w:rFonts w:ascii="Garamond" w:eastAsia="Calibri" w:hAnsi="Garamond"/>
          <w:sz w:val="22"/>
          <w:szCs w:val="22"/>
        </w:rPr>
        <w:t xml:space="preserve"> In the f</w:t>
      </w:r>
      <w:r w:rsidRPr="00320DDF">
        <w:rPr>
          <w:rFonts w:ascii="Garamond" w:eastAsia="Calibri" w:hAnsi="Garamond"/>
          <w:sz w:val="22"/>
          <w:szCs w:val="22"/>
        </w:rPr>
        <w:t xml:space="preserve">irst </w:t>
      </w:r>
      <w:r w:rsidR="008D6213" w:rsidRPr="00320DDF">
        <w:rPr>
          <w:rFonts w:ascii="Garamond" w:eastAsia="Calibri" w:hAnsi="Garamond"/>
          <w:sz w:val="22"/>
          <w:szCs w:val="22"/>
        </w:rPr>
        <w:t xml:space="preserve">quarter the </w:t>
      </w:r>
      <w:r w:rsidRPr="00320DDF">
        <w:rPr>
          <w:rFonts w:ascii="Garamond" w:eastAsia="Calibri" w:hAnsi="Garamond"/>
          <w:sz w:val="22"/>
          <w:szCs w:val="22"/>
        </w:rPr>
        <w:t xml:space="preserve">decline in </w:t>
      </w:r>
      <w:r w:rsidR="008D6213" w:rsidRPr="00320DDF">
        <w:rPr>
          <w:rFonts w:ascii="Garamond" w:eastAsia="Calibri" w:hAnsi="Garamond"/>
          <w:sz w:val="22"/>
          <w:szCs w:val="22"/>
        </w:rPr>
        <w:t xml:space="preserve">growth rate of nominal wages in the </w:t>
      </w:r>
      <w:r w:rsidRPr="00320DDF">
        <w:rPr>
          <w:rFonts w:ascii="Garamond" w:eastAsia="Calibri" w:hAnsi="Garamond"/>
          <w:b/>
          <w:sz w:val="22"/>
          <w:szCs w:val="22"/>
        </w:rPr>
        <w:t xml:space="preserve">public </w:t>
      </w:r>
      <w:r w:rsidR="008D6213" w:rsidRPr="00320DDF">
        <w:rPr>
          <w:rFonts w:ascii="Garamond" w:eastAsia="Calibri" w:hAnsi="Garamond"/>
          <w:b/>
          <w:sz w:val="22"/>
          <w:szCs w:val="22"/>
        </w:rPr>
        <w:t>sector</w:t>
      </w:r>
      <w:r w:rsidR="008D6213" w:rsidRPr="00320DDF">
        <w:rPr>
          <w:rFonts w:ascii="Garamond" w:eastAsia="Calibri" w:hAnsi="Garamond"/>
          <w:sz w:val="22"/>
          <w:szCs w:val="22"/>
        </w:rPr>
        <w:t xml:space="preserve"> was 1.8%, w</w:t>
      </w:r>
      <w:r w:rsidRPr="00320DDF">
        <w:rPr>
          <w:rFonts w:ascii="Garamond" w:eastAsia="Calibri" w:hAnsi="Garamond"/>
          <w:sz w:val="22"/>
          <w:szCs w:val="22"/>
        </w:rPr>
        <w:t>hich is 0.7 pp higher from the previous forecasts. The deviation is due to the Government’s policy for more favorable wage developments in comparison with the Central Bank expectations.</w:t>
      </w:r>
      <w:r w:rsidR="00C15113" w:rsidRPr="00320DDF">
        <w:rPr>
          <w:rFonts w:ascii="Garamond" w:eastAsia="Calibri" w:hAnsi="Garamond"/>
          <w:sz w:val="22"/>
          <w:szCs w:val="22"/>
        </w:rPr>
        <w:t xml:space="preserve"> </w:t>
      </w:r>
    </w:p>
    <w:p w14:paraId="6DE612D2" w14:textId="77777777" w:rsidR="00C15113" w:rsidRPr="00320DDF" w:rsidRDefault="00C15113" w:rsidP="0006101A">
      <w:pPr>
        <w:spacing w:line="360" w:lineRule="auto"/>
        <w:jc w:val="both"/>
        <w:rPr>
          <w:rFonts w:ascii="Garamond" w:eastAsia="Calibri" w:hAnsi="Garamond"/>
          <w:sz w:val="22"/>
          <w:szCs w:val="22"/>
        </w:rPr>
      </w:pPr>
    </w:p>
    <w:p w14:paraId="2E6CEE69" w14:textId="77777777" w:rsidR="000D74DD" w:rsidRPr="00320DDF" w:rsidRDefault="002B0816" w:rsidP="001C28A9">
      <w:pPr>
        <w:spacing w:line="360" w:lineRule="auto"/>
        <w:jc w:val="both"/>
        <w:rPr>
          <w:rFonts w:ascii="Garamond" w:eastAsia="Calibri" w:hAnsi="Garamond"/>
          <w:sz w:val="22"/>
          <w:szCs w:val="22"/>
        </w:rPr>
      </w:pPr>
      <w:r w:rsidRPr="00320DDF">
        <w:rPr>
          <w:rFonts w:ascii="Garamond" w:eastAsia="Calibri" w:hAnsi="Garamond"/>
          <w:sz w:val="22"/>
          <w:szCs w:val="22"/>
        </w:rPr>
        <w:lastRenderedPageBreak/>
        <w:t xml:space="preserve">High </w:t>
      </w:r>
      <w:r w:rsidR="00903FB2" w:rsidRPr="00320DDF">
        <w:rPr>
          <w:rFonts w:ascii="Garamond" w:eastAsia="Calibri" w:hAnsi="Garamond"/>
          <w:sz w:val="22"/>
          <w:szCs w:val="22"/>
        </w:rPr>
        <w:t xml:space="preserve">economic activity recorded in </w:t>
      </w:r>
      <w:r w:rsidRPr="00320DDF">
        <w:rPr>
          <w:rFonts w:ascii="Garamond" w:eastAsia="Calibri" w:hAnsi="Garamond"/>
          <w:sz w:val="22"/>
          <w:szCs w:val="22"/>
        </w:rPr>
        <w:t xml:space="preserve">the first quarter of 2017 pointed to the recovering demand for labor. As a result, the first </w:t>
      </w:r>
      <w:r w:rsidR="007C65D9" w:rsidRPr="00320DDF">
        <w:rPr>
          <w:rFonts w:ascii="Garamond" w:eastAsia="Calibri" w:hAnsi="Garamond"/>
          <w:sz w:val="22"/>
          <w:szCs w:val="22"/>
        </w:rPr>
        <w:t xml:space="preserve">quarter’s </w:t>
      </w:r>
      <w:r w:rsidR="007C65D9" w:rsidRPr="00320DDF">
        <w:rPr>
          <w:rFonts w:ascii="Garamond" w:eastAsia="Calibri" w:hAnsi="Garamond"/>
          <w:b/>
          <w:sz w:val="22"/>
          <w:szCs w:val="22"/>
        </w:rPr>
        <w:t>unemployment rate</w:t>
      </w:r>
      <w:r w:rsidR="007C65D9" w:rsidRPr="00320DDF">
        <w:rPr>
          <w:rFonts w:ascii="Garamond" w:eastAsia="Calibri" w:hAnsi="Garamond"/>
          <w:sz w:val="22"/>
          <w:szCs w:val="22"/>
        </w:rPr>
        <w:t xml:space="preserve"> </w:t>
      </w:r>
      <w:r w:rsidRPr="00320DDF">
        <w:rPr>
          <w:rFonts w:ascii="Garamond" w:eastAsia="Calibri" w:hAnsi="Garamond"/>
          <w:sz w:val="22"/>
          <w:szCs w:val="22"/>
        </w:rPr>
        <w:t>i</w:t>
      </w:r>
      <w:r w:rsidR="007C65D9" w:rsidRPr="00320DDF">
        <w:rPr>
          <w:rFonts w:ascii="Garamond" w:eastAsia="Calibri" w:hAnsi="Garamond"/>
          <w:sz w:val="22"/>
          <w:szCs w:val="22"/>
        </w:rPr>
        <w:t xml:space="preserve">s </w:t>
      </w:r>
      <w:r w:rsidRPr="00320DDF">
        <w:rPr>
          <w:rFonts w:ascii="Garamond" w:eastAsia="Calibri" w:hAnsi="Garamond"/>
          <w:sz w:val="22"/>
          <w:szCs w:val="22"/>
        </w:rPr>
        <w:t xml:space="preserve">an </w:t>
      </w:r>
      <w:r w:rsidR="007C65D9" w:rsidRPr="00320DDF">
        <w:rPr>
          <w:rFonts w:ascii="Garamond" w:eastAsia="Calibri" w:hAnsi="Garamond"/>
          <w:sz w:val="22"/>
          <w:szCs w:val="22"/>
        </w:rPr>
        <w:t>estimated 18.</w:t>
      </w:r>
      <w:r w:rsidRPr="00320DDF">
        <w:rPr>
          <w:rFonts w:ascii="Garamond" w:eastAsia="Calibri" w:hAnsi="Garamond"/>
          <w:sz w:val="22"/>
          <w:szCs w:val="22"/>
        </w:rPr>
        <w:t>3</w:t>
      </w:r>
      <w:r w:rsidR="007C65D9" w:rsidRPr="00320DDF">
        <w:rPr>
          <w:rFonts w:ascii="Garamond" w:eastAsia="Calibri" w:hAnsi="Garamond"/>
          <w:sz w:val="22"/>
          <w:szCs w:val="22"/>
        </w:rPr>
        <w:t xml:space="preserve">%, running </w:t>
      </w:r>
      <w:r w:rsidRPr="00320DDF">
        <w:rPr>
          <w:rFonts w:ascii="Garamond" w:eastAsia="Calibri" w:hAnsi="Garamond"/>
          <w:sz w:val="22"/>
          <w:szCs w:val="22"/>
        </w:rPr>
        <w:t xml:space="preserve">0.6 pp below </w:t>
      </w:r>
      <w:r w:rsidR="007C65D9" w:rsidRPr="00320DDF">
        <w:rPr>
          <w:rFonts w:ascii="Garamond" w:eastAsia="Calibri" w:hAnsi="Garamond"/>
          <w:sz w:val="22"/>
          <w:szCs w:val="22"/>
        </w:rPr>
        <w:t>the previous forecast.</w:t>
      </w:r>
      <w:r w:rsidRPr="00320DDF">
        <w:rPr>
          <w:rFonts w:ascii="Garamond" w:eastAsia="Calibri" w:hAnsi="Garamond"/>
          <w:sz w:val="22"/>
          <w:szCs w:val="22"/>
        </w:rPr>
        <w:t xml:space="preserve"> In the first quarter of 2017 the growth rate of wages outpaced the productivity growth and additionally created 0.4-0.5 pp of inflationary effect in the consumer market, which is not that much different from previous estimates.</w:t>
      </w:r>
    </w:p>
    <w:p w14:paraId="2403102E" w14:textId="77777777" w:rsidR="002B0816" w:rsidRPr="00320DDF" w:rsidRDefault="002B0816" w:rsidP="001C28A9">
      <w:pPr>
        <w:spacing w:line="360" w:lineRule="auto"/>
        <w:jc w:val="both"/>
        <w:rPr>
          <w:rFonts w:ascii="Garamond" w:hAnsi="Garamond" w:cs="Sylfaen"/>
          <w:sz w:val="22"/>
          <w:szCs w:val="22"/>
        </w:rPr>
      </w:pPr>
    </w:p>
    <w:p w14:paraId="24908CFA" w14:textId="77777777" w:rsidR="008D531F" w:rsidRPr="00320DDF" w:rsidRDefault="008D531F" w:rsidP="0006101A">
      <w:pPr>
        <w:spacing w:line="360" w:lineRule="auto"/>
        <w:jc w:val="both"/>
        <w:rPr>
          <w:rFonts w:ascii="Garamond" w:hAnsi="Garamond"/>
          <w:b/>
          <w:sz w:val="22"/>
          <w:szCs w:val="22"/>
        </w:rPr>
      </w:pPr>
      <w:r w:rsidRPr="00320DDF">
        <w:rPr>
          <w:rFonts w:ascii="Garamond" w:hAnsi="Garamond"/>
          <w:b/>
          <w:sz w:val="22"/>
          <w:szCs w:val="22"/>
        </w:rPr>
        <w:t>3.2.4. Fiscal policy</w:t>
      </w:r>
      <w:r w:rsidR="00545FCA" w:rsidRPr="00320DDF">
        <w:rPr>
          <w:rStyle w:val="FootnoteReference"/>
          <w:rFonts w:ascii="Garamond" w:hAnsi="Garamond"/>
          <w:b/>
          <w:sz w:val="22"/>
          <w:szCs w:val="22"/>
        </w:rPr>
        <w:footnoteReference w:customMarkFollows="1" w:id="17"/>
        <w:t>19</w:t>
      </w:r>
    </w:p>
    <w:p w14:paraId="587D2B9C" w14:textId="77777777" w:rsidR="008D531F" w:rsidRPr="00320DDF" w:rsidRDefault="008D531F" w:rsidP="0006101A">
      <w:pPr>
        <w:spacing w:line="360" w:lineRule="auto"/>
        <w:jc w:val="both"/>
        <w:rPr>
          <w:rFonts w:ascii="Garamond" w:hAnsi="Garamond"/>
          <w:sz w:val="22"/>
          <w:szCs w:val="22"/>
        </w:rPr>
      </w:pPr>
    </w:p>
    <w:p w14:paraId="54FEE2E0" w14:textId="77777777" w:rsidR="008D531F" w:rsidRPr="00320DDF" w:rsidRDefault="008D531F" w:rsidP="0006101A">
      <w:pPr>
        <w:spacing w:line="360" w:lineRule="auto"/>
        <w:jc w:val="both"/>
        <w:rPr>
          <w:rFonts w:ascii="Garamond" w:hAnsi="Garamond"/>
          <w:sz w:val="22"/>
          <w:szCs w:val="22"/>
        </w:rPr>
      </w:pPr>
      <w:r w:rsidRPr="00320DDF">
        <w:rPr>
          <w:rFonts w:ascii="Garamond" w:hAnsi="Garamond"/>
          <w:sz w:val="22"/>
          <w:szCs w:val="22"/>
        </w:rPr>
        <w:t xml:space="preserve">In the </w:t>
      </w:r>
      <w:r w:rsidR="005F6E98" w:rsidRPr="00320DDF">
        <w:rPr>
          <w:rFonts w:ascii="Garamond" w:hAnsi="Garamond"/>
          <w:sz w:val="22"/>
          <w:szCs w:val="22"/>
        </w:rPr>
        <w:t>f</w:t>
      </w:r>
      <w:r w:rsidR="002C67ED" w:rsidRPr="00320DDF">
        <w:rPr>
          <w:rFonts w:ascii="Garamond" w:hAnsi="Garamond"/>
          <w:sz w:val="22"/>
          <w:szCs w:val="22"/>
        </w:rPr>
        <w:t xml:space="preserve">irst </w:t>
      </w:r>
      <w:r w:rsidRPr="00320DDF">
        <w:rPr>
          <w:rFonts w:ascii="Garamond" w:hAnsi="Garamond"/>
          <w:sz w:val="22"/>
          <w:szCs w:val="22"/>
        </w:rPr>
        <w:t>quarter of 201</w:t>
      </w:r>
      <w:r w:rsidR="002C67ED" w:rsidRPr="00320DDF">
        <w:rPr>
          <w:rFonts w:ascii="Garamond" w:hAnsi="Garamond"/>
          <w:sz w:val="22"/>
          <w:szCs w:val="22"/>
        </w:rPr>
        <w:t>7</w:t>
      </w:r>
      <w:r w:rsidRPr="00320DDF">
        <w:rPr>
          <w:rFonts w:ascii="Garamond" w:hAnsi="Garamond"/>
          <w:sz w:val="22"/>
          <w:szCs w:val="22"/>
        </w:rPr>
        <w:t xml:space="preserve"> the </w:t>
      </w:r>
      <w:r w:rsidR="00201FF4" w:rsidRPr="00320DDF">
        <w:rPr>
          <w:rFonts w:ascii="Garamond" w:hAnsi="Garamond"/>
          <w:sz w:val="22"/>
          <w:szCs w:val="22"/>
        </w:rPr>
        <w:t>Republic of Armenia S</w:t>
      </w:r>
      <w:r w:rsidRPr="00320DDF">
        <w:rPr>
          <w:rFonts w:ascii="Garamond" w:hAnsi="Garamond"/>
          <w:sz w:val="22"/>
          <w:szCs w:val="22"/>
        </w:rPr>
        <w:t xml:space="preserve">tate </w:t>
      </w:r>
      <w:r w:rsidR="00201FF4" w:rsidRPr="00320DDF">
        <w:rPr>
          <w:rFonts w:ascii="Garamond" w:hAnsi="Garamond"/>
          <w:sz w:val="22"/>
          <w:szCs w:val="22"/>
        </w:rPr>
        <w:t>B</w:t>
      </w:r>
      <w:r w:rsidRPr="00320DDF">
        <w:rPr>
          <w:rFonts w:ascii="Garamond" w:hAnsi="Garamond"/>
          <w:sz w:val="22"/>
          <w:szCs w:val="22"/>
        </w:rPr>
        <w:t xml:space="preserve">udget </w:t>
      </w:r>
      <w:r w:rsidR="001A443C" w:rsidRPr="00320DDF">
        <w:rPr>
          <w:rFonts w:ascii="Garamond" w:hAnsi="Garamond"/>
          <w:sz w:val="22"/>
          <w:szCs w:val="22"/>
        </w:rPr>
        <w:t xml:space="preserve">was performed with revenues and expenditures </w:t>
      </w:r>
      <w:r w:rsidR="00AA6636" w:rsidRPr="00320DDF">
        <w:rPr>
          <w:rFonts w:ascii="Garamond" w:hAnsi="Garamond"/>
          <w:sz w:val="22"/>
          <w:szCs w:val="22"/>
        </w:rPr>
        <w:t xml:space="preserve">having </w:t>
      </w:r>
      <w:r w:rsidR="002C67ED" w:rsidRPr="00320DDF">
        <w:rPr>
          <w:rFonts w:ascii="Garamond" w:hAnsi="Garamond"/>
          <w:sz w:val="22"/>
          <w:szCs w:val="22"/>
        </w:rPr>
        <w:t>almost proportionally exceeded t</w:t>
      </w:r>
      <w:r w:rsidR="00160A11" w:rsidRPr="00320DDF">
        <w:rPr>
          <w:rFonts w:ascii="Garamond" w:hAnsi="Garamond"/>
          <w:sz w:val="22"/>
          <w:szCs w:val="22"/>
        </w:rPr>
        <w:t>he C</w:t>
      </w:r>
      <w:r w:rsidR="00AA6636" w:rsidRPr="00320DDF">
        <w:rPr>
          <w:rFonts w:ascii="Garamond" w:hAnsi="Garamond"/>
          <w:sz w:val="22"/>
          <w:szCs w:val="22"/>
        </w:rPr>
        <w:t xml:space="preserve">entral </w:t>
      </w:r>
      <w:r w:rsidR="00160A11" w:rsidRPr="00320DDF">
        <w:rPr>
          <w:rFonts w:ascii="Garamond" w:hAnsi="Garamond"/>
          <w:sz w:val="22"/>
          <w:szCs w:val="22"/>
        </w:rPr>
        <w:t>B</w:t>
      </w:r>
      <w:r w:rsidR="00AA6636" w:rsidRPr="00320DDF">
        <w:rPr>
          <w:rFonts w:ascii="Garamond" w:hAnsi="Garamond"/>
          <w:sz w:val="22"/>
          <w:szCs w:val="22"/>
        </w:rPr>
        <w:t>ank</w:t>
      </w:r>
      <w:r w:rsidR="00201FF4" w:rsidRPr="00320DDF">
        <w:rPr>
          <w:rFonts w:ascii="Garamond" w:hAnsi="Garamond"/>
          <w:sz w:val="22"/>
          <w:szCs w:val="22"/>
        </w:rPr>
        <w:t xml:space="preserve">’s </w:t>
      </w:r>
      <w:r w:rsidR="00160A11" w:rsidRPr="00320DDF">
        <w:rPr>
          <w:rFonts w:ascii="Garamond" w:hAnsi="Garamond"/>
          <w:sz w:val="22"/>
          <w:szCs w:val="22"/>
        </w:rPr>
        <w:t>estimates</w:t>
      </w:r>
      <w:r w:rsidR="00545FCA" w:rsidRPr="00320DDF">
        <w:rPr>
          <w:rStyle w:val="FootnoteReference"/>
          <w:rFonts w:ascii="Garamond" w:hAnsi="Garamond"/>
          <w:sz w:val="22"/>
          <w:szCs w:val="22"/>
        </w:rPr>
        <w:footnoteReference w:customMarkFollows="1" w:id="18"/>
        <w:t>20</w:t>
      </w:r>
      <w:r w:rsidR="002C67ED" w:rsidRPr="00320DDF">
        <w:rPr>
          <w:rFonts w:ascii="Garamond" w:hAnsi="Garamond"/>
          <w:sz w:val="22"/>
          <w:szCs w:val="22"/>
        </w:rPr>
        <w:t xml:space="preserve">. </w:t>
      </w:r>
      <w:r w:rsidR="009404F7" w:rsidRPr="00320DDF">
        <w:rPr>
          <w:rFonts w:ascii="Garamond" w:hAnsi="Garamond"/>
          <w:sz w:val="22"/>
          <w:szCs w:val="22"/>
        </w:rPr>
        <w:t>T</w:t>
      </w:r>
      <w:r w:rsidR="00166A0A" w:rsidRPr="00320DDF">
        <w:rPr>
          <w:rFonts w:ascii="Garamond" w:hAnsi="Garamond"/>
          <w:sz w:val="22"/>
          <w:szCs w:val="22"/>
        </w:rPr>
        <w:t xml:space="preserve">he fiscal sector’s impact </w:t>
      </w:r>
      <w:r w:rsidRPr="00320DDF">
        <w:rPr>
          <w:rFonts w:ascii="Garamond" w:hAnsi="Garamond"/>
          <w:sz w:val="22"/>
          <w:szCs w:val="22"/>
        </w:rPr>
        <w:t>on aggregate demand</w:t>
      </w:r>
      <w:r w:rsidR="00166A0A" w:rsidRPr="00320DDF">
        <w:rPr>
          <w:rFonts w:ascii="Garamond" w:hAnsi="Garamond"/>
          <w:sz w:val="22"/>
          <w:szCs w:val="22"/>
        </w:rPr>
        <w:t xml:space="preserve"> </w:t>
      </w:r>
      <w:r w:rsidR="009B52FB" w:rsidRPr="00320DDF">
        <w:rPr>
          <w:rFonts w:ascii="Garamond" w:hAnsi="Garamond"/>
          <w:sz w:val="22"/>
          <w:szCs w:val="22"/>
        </w:rPr>
        <w:t>i</w:t>
      </w:r>
      <w:r w:rsidR="001151D0" w:rsidRPr="00320DDF">
        <w:rPr>
          <w:rFonts w:ascii="Garamond" w:hAnsi="Garamond"/>
          <w:sz w:val="22"/>
          <w:szCs w:val="22"/>
        </w:rPr>
        <w:t xml:space="preserve">s estimated </w:t>
      </w:r>
      <w:r w:rsidR="002C67ED" w:rsidRPr="00320DDF">
        <w:rPr>
          <w:rFonts w:ascii="Garamond" w:hAnsi="Garamond"/>
          <w:sz w:val="22"/>
          <w:szCs w:val="22"/>
        </w:rPr>
        <w:t>2</w:t>
      </w:r>
      <w:r w:rsidR="00166A0A" w:rsidRPr="00320DDF">
        <w:rPr>
          <w:rFonts w:ascii="Garamond" w:hAnsi="Garamond"/>
          <w:sz w:val="22"/>
          <w:szCs w:val="22"/>
        </w:rPr>
        <w:t>.</w:t>
      </w:r>
      <w:r w:rsidR="002C67ED" w:rsidRPr="00320DDF">
        <w:rPr>
          <w:rFonts w:ascii="Garamond" w:hAnsi="Garamond"/>
          <w:sz w:val="22"/>
          <w:szCs w:val="22"/>
        </w:rPr>
        <w:t>0</w:t>
      </w:r>
      <w:r w:rsidR="00166A0A" w:rsidRPr="00320DDF">
        <w:rPr>
          <w:rFonts w:ascii="Garamond" w:hAnsi="Garamond"/>
          <w:sz w:val="22"/>
          <w:szCs w:val="22"/>
        </w:rPr>
        <w:t xml:space="preserve"> </w:t>
      </w:r>
      <w:r w:rsidR="009404F7" w:rsidRPr="00320DDF">
        <w:rPr>
          <w:rFonts w:ascii="Garamond" w:hAnsi="Garamond"/>
          <w:sz w:val="22"/>
          <w:szCs w:val="22"/>
        </w:rPr>
        <w:t>contractionary for the quarter, which is commensurate with the f</w:t>
      </w:r>
      <w:r w:rsidR="002C67ED" w:rsidRPr="00320DDF">
        <w:rPr>
          <w:rFonts w:ascii="Garamond" w:hAnsi="Garamond"/>
          <w:sz w:val="22"/>
          <w:szCs w:val="22"/>
        </w:rPr>
        <w:t xml:space="preserve">irst </w:t>
      </w:r>
      <w:r w:rsidR="009404F7" w:rsidRPr="00320DDF">
        <w:rPr>
          <w:rFonts w:ascii="Garamond" w:hAnsi="Garamond"/>
          <w:sz w:val="22"/>
          <w:szCs w:val="22"/>
        </w:rPr>
        <w:t>quarter forecast</w:t>
      </w:r>
      <w:r w:rsidR="009F3866" w:rsidRPr="00320DDF">
        <w:rPr>
          <w:rFonts w:ascii="Garamond" w:hAnsi="Garamond"/>
          <w:sz w:val="22"/>
          <w:szCs w:val="22"/>
        </w:rPr>
        <w:t xml:space="preserve">. </w:t>
      </w:r>
      <w:r w:rsidR="00A64499" w:rsidRPr="00320DDF">
        <w:rPr>
          <w:rFonts w:ascii="Garamond" w:hAnsi="Garamond"/>
          <w:sz w:val="22"/>
          <w:szCs w:val="22"/>
        </w:rPr>
        <w:t xml:space="preserve"> </w:t>
      </w:r>
    </w:p>
    <w:p w14:paraId="51529818" w14:textId="77777777" w:rsidR="00251231" w:rsidRPr="00320DDF" w:rsidRDefault="00251231" w:rsidP="0006101A">
      <w:pPr>
        <w:spacing w:line="360" w:lineRule="auto"/>
        <w:jc w:val="both"/>
        <w:rPr>
          <w:rFonts w:ascii="Garamond" w:hAnsi="Garamond"/>
          <w:sz w:val="22"/>
          <w:szCs w:val="22"/>
        </w:rPr>
      </w:pPr>
    </w:p>
    <w:p w14:paraId="68A1C00F" w14:textId="77777777" w:rsidR="003F44C4" w:rsidRPr="00320DDF" w:rsidRDefault="00F90453" w:rsidP="003F44C4">
      <w:pPr>
        <w:spacing w:line="360" w:lineRule="auto"/>
        <w:jc w:val="both"/>
        <w:rPr>
          <w:rFonts w:ascii="Garamond" w:hAnsi="Garamond"/>
          <w:sz w:val="22"/>
          <w:szCs w:val="22"/>
        </w:rPr>
      </w:pPr>
      <w:r w:rsidRPr="00320DDF">
        <w:rPr>
          <w:rFonts w:ascii="Garamond" w:hAnsi="Garamond" w:cs="Sylfaen"/>
          <w:bCs/>
          <w:iCs/>
          <w:sz w:val="22"/>
          <w:szCs w:val="22"/>
        </w:rPr>
        <w:t xml:space="preserve">In the </w:t>
      </w:r>
      <w:r w:rsidR="00685FED" w:rsidRPr="00320DDF">
        <w:rPr>
          <w:rFonts w:ascii="Garamond" w:hAnsi="Garamond" w:cs="Sylfaen"/>
          <w:bCs/>
          <w:iCs/>
          <w:sz w:val="22"/>
          <w:szCs w:val="22"/>
        </w:rPr>
        <w:t>f</w:t>
      </w:r>
      <w:r w:rsidR="002C67ED" w:rsidRPr="00320DDF">
        <w:rPr>
          <w:rFonts w:ascii="Garamond" w:hAnsi="Garamond" w:cs="Sylfaen"/>
          <w:bCs/>
          <w:iCs/>
          <w:sz w:val="22"/>
          <w:szCs w:val="22"/>
        </w:rPr>
        <w:t xml:space="preserve">irst </w:t>
      </w:r>
      <w:r w:rsidRPr="00320DDF">
        <w:rPr>
          <w:rFonts w:ascii="Garamond" w:hAnsi="Garamond" w:cs="Sylfaen"/>
          <w:bCs/>
          <w:iCs/>
          <w:sz w:val="22"/>
          <w:szCs w:val="22"/>
        </w:rPr>
        <w:t>quarter of 201</w:t>
      </w:r>
      <w:r w:rsidR="002C67ED" w:rsidRPr="00320DDF">
        <w:rPr>
          <w:rFonts w:ascii="Garamond" w:hAnsi="Garamond" w:cs="Sylfaen"/>
          <w:bCs/>
          <w:iCs/>
          <w:sz w:val="22"/>
          <w:szCs w:val="22"/>
        </w:rPr>
        <w:t xml:space="preserve">7 </w:t>
      </w:r>
      <w:r w:rsidRPr="00320DDF">
        <w:rPr>
          <w:rFonts w:ascii="Garamond" w:hAnsi="Garamond"/>
          <w:sz w:val="22"/>
          <w:szCs w:val="22"/>
        </w:rPr>
        <w:t xml:space="preserve">consolidated budget revenues </w:t>
      </w:r>
      <w:r w:rsidR="002C67ED" w:rsidRPr="00320DDF">
        <w:rPr>
          <w:rFonts w:ascii="Garamond" w:hAnsi="Garamond"/>
          <w:sz w:val="22"/>
          <w:szCs w:val="22"/>
        </w:rPr>
        <w:t>grew by</w:t>
      </w:r>
      <w:r w:rsidR="009F3866" w:rsidRPr="00320DDF">
        <w:rPr>
          <w:rFonts w:ascii="Garamond" w:hAnsi="Garamond"/>
          <w:sz w:val="22"/>
          <w:szCs w:val="22"/>
        </w:rPr>
        <w:t xml:space="preserve"> </w:t>
      </w:r>
      <w:r w:rsidR="002C67ED" w:rsidRPr="00320DDF">
        <w:rPr>
          <w:rFonts w:ascii="Garamond" w:hAnsi="Garamond"/>
          <w:sz w:val="22"/>
          <w:szCs w:val="22"/>
        </w:rPr>
        <w:t>5</w:t>
      </w:r>
      <w:r w:rsidR="009F3866" w:rsidRPr="00320DDF">
        <w:rPr>
          <w:rFonts w:ascii="Garamond" w:hAnsi="Garamond"/>
          <w:sz w:val="22"/>
          <w:szCs w:val="22"/>
        </w:rPr>
        <w:t>.</w:t>
      </w:r>
      <w:r w:rsidR="002C67ED" w:rsidRPr="00320DDF">
        <w:rPr>
          <w:rFonts w:ascii="Garamond" w:hAnsi="Garamond"/>
          <w:sz w:val="22"/>
          <w:szCs w:val="22"/>
        </w:rPr>
        <w:t>5</w:t>
      </w:r>
      <w:r w:rsidRPr="00320DDF">
        <w:rPr>
          <w:rFonts w:ascii="Garamond" w:hAnsi="Garamond"/>
          <w:sz w:val="22"/>
          <w:szCs w:val="22"/>
        </w:rPr>
        <w:t>%</w:t>
      </w:r>
      <w:r w:rsidR="002C67ED" w:rsidRPr="00320DDF">
        <w:rPr>
          <w:rFonts w:ascii="Garamond" w:hAnsi="Garamond"/>
          <w:sz w:val="22"/>
          <w:szCs w:val="22"/>
        </w:rPr>
        <w:t xml:space="preserve"> against the projection</w:t>
      </w:r>
      <w:r w:rsidR="00685FED" w:rsidRPr="00320DDF">
        <w:rPr>
          <w:rFonts w:ascii="Garamond" w:hAnsi="Garamond"/>
          <w:sz w:val="22"/>
          <w:szCs w:val="22"/>
        </w:rPr>
        <w:t xml:space="preserve">, </w:t>
      </w:r>
      <w:r w:rsidR="002C67ED" w:rsidRPr="00320DDF">
        <w:rPr>
          <w:rFonts w:ascii="Garamond" w:hAnsi="Garamond"/>
          <w:sz w:val="22"/>
          <w:szCs w:val="22"/>
        </w:rPr>
        <w:t xml:space="preserve">mostly </w:t>
      </w:r>
      <w:r w:rsidR="00685FED" w:rsidRPr="00320DDF">
        <w:rPr>
          <w:rFonts w:ascii="Garamond" w:hAnsi="Garamond"/>
          <w:sz w:val="22"/>
          <w:szCs w:val="22"/>
        </w:rPr>
        <w:t xml:space="preserve">owing to </w:t>
      </w:r>
      <w:r w:rsidR="002C67ED" w:rsidRPr="00320DDF">
        <w:rPr>
          <w:rFonts w:ascii="Garamond" w:hAnsi="Garamond"/>
          <w:sz w:val="22"/>
          <w:szCs w:val="22"/>
        </w:rPr>
        <w:t>more</w:t>
      </w:r>
      <w:r w:rsidR="00685FED" w:rsidRPr="00320DDF">
        <w:rPr>
          <w:rFonts w:ascii="Garamond" w:hAnsi="Garamond"/>
          <w:sz w:val="22"/>
          <w:szCs w:val="22"/>
        </w:rPr>
        <w:t xml:space="preserve"> tax </w:t>
      </w:r>
      <w:r w:rsidR="002C67ED" w:rsidRPr="00320DDF">
        <w:rPr>
          <w:rFonts w:ascii="Garamond" w:hAnsi="Garamond"/>
          <w:sz w:val="22"/>
          <w:szCs w:val="22"/>
        </w:rPr>
        <w:t>collection (value added tax, environmental taxes, income tax, excise duty and customs duty). As a result, t</w:t>
      </w:r>
      <w:r w:rsidR="003F44C4" w:rsidRPr="00320DDF">
        <w:rPr>
          <w:rFonts w:ascii="Garamond" w:hAnsi="Garamond"/>
          <w:sz w:val="22"/>
          <w:szCs w:val="22"/>
        </w:rPr>
        <w:t xml:space="preserve">he revenues impulse </w:t>
      </w:r>
      <w:r w:rsidR="002C67ED" w:rsidRPr="00320DDF">
        <w:rPr>
          <w:rFonts w:ascii="Garamond" w:hAnsi="Garamond"/>
          <w:sz w:val="22"/>
          <w:szCs w:val="22"/>
        </w:rPr>
        <w:t>reached 1.0</w:t>
      </w:r>
      <w:r w:rsidR="003F44C4" w:rsidRPr="00320DDF">
        <w:rPr>
          <w:rFonts w:ascii="Garamond" w:hAnsi="Garamond"/>
          <w:sz w:val="22"/>
          <w:szCs w:val="22"/>
        </w:rPr>
        <w:t xml:space="preserve"> contractionary instead of the projected 0.4 </w:t>
      </w:r>
      <w:r w:rsidR="002C67ED" w:rsidRPr="00320DDF">
        <w:rPr>
          <w:rFonts w:ascii="Garamond" w:hAnsi="Garamond"/>
          <w:sz w:val="22"/>
          <w:szCs w:val="22"/>
        </w:rPr>
        <w:t xml:space="preserve">contractionary. </w:t>
      </w:r>
    </w:p>
    <w:p w14:paraId="2051FC82" w14:textId="77777777" w:rsidR="00AD087E" w:rsidRPr="00320DDF" w:rsidRDefault="00AD087E" w:rsidP="0006101A">
      <w:pPr>
        <w:spacing w:line="360" w:lineRule="auto"/>
        <w:jc w:val="both"/>
        <w:rPr>
          <w:rFonts w:ascii="Garamond" w:hAnsi="Garamond"/>
          <w:sz w:val="22"/>
          <w:szCs w:val="22"/>
        </w:rPr>
      </w:pPr>
    </w:p>
    <w:p w14:paraId="0450C0C7" w14:textId="77777777" w:rsidR="00CB2461" w:rsidRPr="00320DDF" w:rsidRDefault="00E57496" w:rsidP="0006101A">
      <w:pPr>
        <w:spacing w:line="360" w:lineRule="auto"/>
        <w:jc w:val="both"/>
        <w:rPr>
          <w:rFonts w:ascii="Garamond" w:hAnsi="Garamond"/>
          <w:sz w:val="22"/>
          <w:szCs w:val="22"/>
        </w:rPr>
      </w:pPr>
      <w:r w:rsidRPr="00320DDF">
        <w:rPr>
          <w:rFonts w:ascii="Garamond" w:hAnsi="Garamond"/>
          <w:sz w:val="22"/>
          <w:szCs w:val="22"/>
        </w:rPr>
        <w:t xml:space="preserve">In the </w:t>
      </w:r>
      <w:r w:rsidR="003F44C4" w:rsidRPr="00320DDF">
        <w:rPr>
          <w:rFonts w:ascii="Garamond" w:hAnsi="Garamond"/>
          <w:sz w:val="22"/>
          <w:szCs w:val="22"/>
        </w:rPr>
        <w:t>f</w:t>
      </w:r>
      <w:r w:rsidR="00CB2461" w:rsidRPr="00320DDF">
        <w:rPr>
          <w:rFonts w:ascii="Garamond" w:hAnsi="Garamond"/>
          <w:sz w:val="22"/>
          <w:szCs w:val="22"/>
        </w:rPr>
        <w:t xml:space="preserve">irst </w:t>
      </w:r>
      <w:r w:rsidRPr="00320DDF">
        <w:rPr>
          <w:rFonts w:ascii="Garamond" w:hAnsi="Garamond"/>
          <w:sz w:val="22"/>
          <w:szCs w:val="22"/>
        </w:rPr>
        <w:t xml:space="preserve">quarter </w:t>
      </w:r>
      <w:r w:rsidR="00CB2461" w:rsidRPr="00320DDF">
        <w:rPr>
          <w:rFonts w:ascii="Garamond" w:hAnsi="Garamond"/>
          <w:sz w:val="22"/>
          <w:szCs w:val="22"/>
        </w:rPr>
        <w:t xml:space="preserve">of 2017 </w:t>
      </w:r>
      <w:r w:rsidRPr="00320DDF">
        <w:rPr>
          <w:rFonts w:ascii="Garamond" w:hAnsi="Garamond"/>
          <w:sz w:val="22"/>
          <w:szCs w:val="22"/>
        </w:rPr>
        <w:t>the expenditures outgrew the C</w:t>
      </w:r>
      <w:r w:rsidR="0081608B" w:rsidRPr="00320DDF">
        <w:rPr>
          <w:rFonts w:ascii="Garamond" w:hAnsi="Garamond"/>
          <w:sz w:val="22"/>
          <w:szCs w:val="22"/>
        </w:rPr>
        <w:t xml:space="preserve">entral </w:t>
      </w:r>
      <w:r w:rsidRPr="00320DDF">
        <w:rPr>
          <w:rFonts w:ascii="Garamond" w:hAnsi="Garamond"/>
          <w:sz w:val="22"/>
          <w:szCs w:val="22"/>
        </w:rPr>
        <w:t>B</w:t>
      </w:r>
      <w:r w:rsidR="0081608B" w:rsidRPr="00320DDF">
        <w:rPr>
          <w:rFonts w:ascii="Garamond" w:hAnsi="Garamond"/>
          <w:sz w:val="22"/>
          <w:szCs w:val="22"/>
        </w:rPr>
        <w:t>ank</w:t>
      </w:r>
      <w:r w:rsidRPr="00320DDF">
        <w:rPr>
          <w:rFonts w:ascii="Garamond" w:hAnsi="Garamond"/>
          <w:sz w:val="22"/>
          <w:szCs w:val="22"/>
        </w:rPr>
        <w:t xml:space="preserve"> forecast by </w:t>
      </w:r>
      <w:r w:rsidR="00CB2461" w:rsidRPr="00320DDF">
        <w:rPr>
          <w:rFonts w:ascii="Garamond" w:hAnsi="Garamond"/>
          <w:sz w:val="22"/>
          <w:szCs w:val="22"/>
        </w:rPr>
        <w:t>around 4</w:t>
      </w:r>
      <w:r w:rsidRPr="00320DDF">
        <w:rPr>
          <w:rFonts w:ascii="Garamond" w:hAnsi="Garamond"/>
          <w:sz w:val="22"/>
          <w:szCs w:val="22"/>
        </w:rPr>
        <w:t xml:space="preserve">%. </w:t>
      </w:r>
      <w:r w:rsidR="00DD3369" w:rsidRPr="00320DDF">
        <w:rPr>
          <w:rFonts w:ascii="Garamond" w:hAnsi="Garamond"/>
          <w:sz w:val="22"/>
          <w:szCs w:val="22"/>
        </w:rPr>
        <w:t xml:space="preserve">This quarter saw </w:t>
      </w:r>
      <w:r w:rsidR="00CB2461" w:rsidRPr="00320DDF">
        <w:rPr>
          <w:rFonts w:ascii="Garamond" w:hAnsi="Garamond"/>
          <w:sz w:val="22"/>
          <w:szCs w:val="22"/>
        </w:rPr>
        <w:t>an 11.5</w:t>
      </w:r>
      <w:r w:rsidR="00DD3369" w:rsidRPr="00320DDF">
        <w:rPr>
          <w:rFonts w:ascii="Garamond" w:hAnsi="Garamond"/>
          <w:sz w:val="22"/>
          <w:szCs w:val="22"/>
        </w:rPr>
        <w:t xml:space="preserve">% </w:t>
      </w:r>
      <w:r w:rsidR="006349D2" w:rsidRPr="00320DDF">
        <w:rPr>
          <w:rFonts w:ascii="Garamond" w:hAnsi="Garamond"/>
          <w:sz w:val="22"/>
          <w:szCs w:val="22"/>
        </w:rPr>
        <w:t>in</w:t>
      </w:r>
      <w:r w:rsidR="00DD3369" w:rsidRPr="00320DDF">
        <w:rPr>
          <w:rFonts w:ascii="Garamond" w:hAnsi="Garamond"/>
          <w:sz w:val="22"/>
          <w:szCs w:val="22"/>
        </w:rPr>
        <w:t xml:space="preserve">crease in </w:t>
      </w:r>
      <w:r w:rsidR="00CB2461" w:rsidRPr="00320DDF">
        <w:rPr>
          <w:rFonts w:ascii="Garamond" w:hAnsi="Garamond"/>
          <w:b/>
          <w:sz w:val="22"/>
          <w:szCs w:val="22"/>
        </w:rPr>
        <w:t xml:space="preserve">public spending </w:t>
      </w:r>
      <w:r w:rsidR="00CB2461" w:rsidRPr="00320DDF">
        <w:rPr>
          <w:rFonts w:ascii="Garamond" w:hAnsi="Garamond"/>
          <w:sz w:val="22"/>
          <w:szCs w:val="22"/>
        </w:rPr>
        <w:t xml:space="preserve">whereas expenditures on </w:t>
      </w:r>
      <w:r w:rsidR="00DD3369" w:rsidRPr="00320DDF">
        <w:rPr>
          <w:rFonts w:ascii="Garamond" w:hAnsi="Garamond"/>
          <w:sz w:val="22"/>
          <w:szCs w:val="22"/>
        </w:rPr>
        <w:t xml:space="preserve">item </w:t>
      </w:r>
      <w:r w:rsidR="00DD3369" w:rsidRPr="00320DDF">
        <w:rPr>
          <w:rFonts w:ascii="Garamond" w:hAnsi="Garamond"/>
          <w:b/>
          <w:sz w:val="22"/>
          <w:szCs w:val="22"/>
        </w:rPr>
        <w:t>“Transactions with non-financial assets”</w:t>
      </w:r>
      <w:r w:rsidR="00CB2461" w:rsidRPr="00320DDF">
        <w:rPr>
          <w:rFonts w:ascii="Garamond" w:hAnsi="Garamond"/>
          <w:sz w:val="22"/>
          <w:szCs w:val="22"/>
        </w:rPr>
        <w:t xml:space="preserve"> were 1.7% less from the projection. As a result, the expenditures impulse amounted to 1.0 contractionary instead of the projected 1.9 contractionary.</w:t>
      </w:r>
    </w:p>
    <w:p w14:paraId="29003297" w14:textId="77777777" w:rsidR="00CB2461" w:rsidRPr="00320DDF" w:rsidRDefault="00CB2461" w:rsidP="0006101A">
      <w:pPr>
        <w:spacing w:line="360" w:lineRule="auto"/>
        <w:jc w:val="both"/>
        <w:rPr>
          <w:rFonts w:ascii="Garamond" w:hAnsi="Garamond"/>
          <w:sz w:val="22"/>
          <w:szCs w:val="22"/>
        </w:rPr>
      </w:pPr>
    </w:p>
    <w:p w14:paraId="07A18959" w14:textId="77777777" w:rsidR="00CB2461" w:rsidRPr="00320DDF" w:rsidRDefault="00A47F2B" w:rsidP="0006101A">
      <w:pPr>
        <w:spacing w:line="360" w:lineRule="auto"/>
        <w:jc w:val="both"/>
        <w:rPr>
          <w:rFonts w:ascii="Garamond" w:hAnsi="Garamond" w:cs="Sylfaen"/>
          <w:bCs/>
          <w:iCs/>
          <w:color w:val="000000"/>
          <w:sz w:val="22"/>
          <w:szCs w:val="22"/>
        </w:rPr>
      </w:pPr>
      <w:r w:rsidRPr="00320DDF">
        <w:rPr>
          <w:rFonts w:ascii="Garamond" w:hAnsi="Garamond" w:cs="Sylfaen"/>
          <w:bCs/>
          <w:iCs/>
          <w:color w:val="000000"/>
          <w:sz w:val="22"/>
          <w:szCs w:val="22"/>
        </w:rPr>
        <w:t xml:space="preserve">With </w:t>
      </w:r>
      <w:r w:rsidR="00F244DB" w:rsidRPr="00320DDF">
        <w:rPr>
          <w:rFonts w:ascii="Garamond" w:hAnsi="Garamond" w:cs="Sylfaen"/>
          <w:bCs/>
          <w:iCs/>
          <w:color w:val="000000"/>
          <w:sz w:val="22"/>
          <w:szCs w:val="22"/>
        </w:rPr>
        <w:t xml:space="preserve">revenue and expenditure </w:t>
      </w:r>
      <w:r w:rsidRPr="00320DDF">
        <w:rPr>
          <w:rFonts w:ascii="Garamond" w:hAnsi="Garamond" w:cs="Sylfaen"/>
          <w:bCs/>
          <w:iCs/>
          <w:color w:val="000000"/>
          <w:sz w:val="22"/>
          <w:szCs w:val="22"/>
        </w:rPr>
        <w:t>performance described above,</w:t>
      </w:r>
      <w:r w:rsidR="00F244DB" w:rsidRPr="00320DDF">
        <w:rPr>
          <w:rFonts w:ascii="Garamond" w:hAnsi="Garamond" w:cs="Sylfaen"/>
          <w:bCs/>
          <w:iCs/>
          <w:color w:val="000000"/>
          <w:sz w:val="22"/>
          <w:szCs w:val="22"/>
        </w:rPr>
        <w:t xml:space="preserve"> </w:t>
      </w:r>
      <w:r w:rsidRPr="00320DDF">
        <w:rPr>
          <w:rFonts w:ascii="Garamond" w:hAnsi="Garamond" w:cs="Sylfaen"/>
          <w:bCs/>
          <w:iCs/>
          <w:color w:val="000000"/>
          <w:sz w:val="22"/>
          <w:szCs w:val="22"/>
        </w:rPr>
        <w:t xml:space="preserve">in the </w:t>
      </w:r>
      <w:r w:rsidR="00C247F6" w:rsidRPr="00320DDF">
        <w:rPr>
          <w:rFonts w:ascii="Garamond" w:hAnsi="Garamond" w:cs="Sylfaen"/>
          <w:bCs/>
          <w:iCs/>
          <w:color w:val="000000"/>
          <w:sz w:val="22"/>
          <w:szCs w:val="22"/>
        </w:rPr>
        <w:t>f</w:t>
      </w:r>
      <w:r w:rsidR="00CB2461" w:rsidRPr="00320DDF">
        <w:rPr>
          <w:rFonts w:ascii="Garamond" w:hAnsi="Garamond" w:cs="Sylfaen"/>
          <w:bCs/>
          <w:iCs/>
          <w:color w:val="000000"/>
          <w:sz w:val="22"/>
          <w:szCs w:val="22"/>
        </w:rPr>
        <w:t>irst quarter of 2017</w:t>
      </w:r>
      <w:r w:rsidRPr="00320DDF">
        <w:rPr>
          <w:rFonts w:ascii="Garamond" w:hAnsi="Garamond" w:cs="Sylfaen"/>
          <w:bCs/>
          <w:iCs/>
          <w:color w:val="000000"/>
          <w:sz w:val="22"/>
          <w:szCs w:val="22"/>
        </w:rPr>
        <w:t xml:space="preserve"> </w:t>
      </w:r>
      <w:r w:rsidR="00F244DB" w:rsidRPr="00320DDF">
        <w:rPr>
          <w:rFonts w:ascii="Garamond" w:hAnsi="Garamond" w:cs="Sylfaen"/>
          <w:bCs/>
          <w:iCs/>
          <w:color w:val="000000"/>
          <w:sz w:val="22"/>
          <w:szCs w:val="22"/>
        </w:rPr>
        <w:t xml:space="preserve">the state budget generated </w:t>
      </w:r>
      <w:r w:rsidRPr="00320DDF">
        <w:rPr>
          <w:rFonts w:ascii="Garamond" w:hAnsi="Garamond" w:cs="Sylfaen"/>
          <w:bCs/>
          <w:iCs/>
          <w:color w:val="000000"/>
          <w:sz w:val="22"/>
          <w:szCs w:val="22"/>
        </w:rPr>
        <w:t xml:space="preserve">a </w:t>
      </w:r>
      <w:r w:rsidR="00F244DB" w:rsidRPr="00320DDF">
        <w:rPr>
          <w:rFonts w:ascii="Garamond" w:hAnsi="Garamond" w:cs="Sylfaen"/>
          <w:bCs/>
          <w:iCs/>
          <w:color w:val="000000"/>
          <w:sz w:val="22"/>
          <w:szCs w:val="22"/>
        </w:rPr>
        <w:t xml:space="preserve">deficit of roughly AMD </w:t>
      </w:r>
      <w:r w:rsidR="00CB2461" w:rsidRPr="00320DDF">
        <w:rPr>
          <w:rFonts w:ascii="Garamond" w:hAnsi="Garamond" w:cs="Sylfaen"/>
          <w:bCs/>
          <w:iCs/>
          <w:color w:val="000000"/>
          <w:sz w:val="22"/>
          <w:szCs w:val="22"/>
        </w:rPr>
        <w:t>20.5</w:t>
      </w:r>
      <w:r w:rsidR="00C247F6" w:rsidRPr="00320DDF">
        <w:rPr>
          <w:rFonts w:ascii="Garamond" w:hAnsi="Garamond" w:cs="Sylfaen"/>
          <w:bCs/>
          <w:iCs/>
          <w:color w:val="000000"/>
          <w:sz w:val="22"/>
          <w:szCs w:val="22"/>
        </w:rPr>
        <w:t xml:space="preserve"> </w:t>
      </w:r>
      <w:r w:rsidR="00F244DB" w:rsidRPr="00320DDF">
        <w:rPr>
          <w:rFonts w:ascii="Garamond" w:hAnsi="Garamond" w:cs="Sylfaen"/>
          <w:bCs/>
          <w:iCs/>
          <w:color w:val="000000"/>
          <w:sz w:val="22"/>
          <w:szCs w:val="22"/>
        </w:rPr>
        <w:t>billion</w:t>
      </w:r>
      <w:r w:rsidR="00F67C4C" w:rsidRPr="00320DDF">
        <w:rPr>
          <w:rFonts w:ascii="Garamond" w:hAnsi="Garamond" w:cs="Sylfaen"/>
          <w:bCs/>
          <w:iCs/>
          <w:color w:val="000000"/>
          <w:sz w:val="22"/>
          <w:szCs w:val="22"/>
        </w:rPr>
        <w:t xml:space="preserve">, </w:t>
      </w:r>
      <w:r w:rsidR="00C247F6" w:rsidRPr="00320DDF">
        <w:rPr>
          <w:rFonts w:ascii="Garamond" w:hAnsi="Garamond" w:cs="Sylfaen"/>
          <w:bCs/>
          <w:iCs/>
          <w:color w:val="000000"/>
          <w:sz w:val="22"/>
          <w:szCs w:val="22"/>
        </w:rPr>
        <w:t xml:space="preserve">which is close to the </w:t>
      </w:r>
      <w:r w:rsidR="00F67C4C" w:rsidRPr="00320DDF">
        <w:rPr>
          <w:rFonts w:ascii="Garamond" w:hAnsi="Garamond" w:cs="Sylfaen"/>
          <w:bCs/>
          <w:iCs/>
          <w:color w:val="000000"/>
          <w:sz w:val="22"/>
          <w:szCs w:val="22"/>
        </w:rPr>
        <w:t>C</w:t>
      </w:r>
      <w:r w:rsidR="00C247F6" w:rsidRPr="00320DDF">
        <w:rPr>
          <w:rFonts w:ascii="Garamond" w:hAnsi="Garamond" w:cs="Sylfaen"/>
          <w:bCs/>
          <w:iCs/>
          <w:color w:val="000000"/>
          <w:sz w:val="22"/>
          <w:szCs w:val="22"/>
        </w:rPr>
        <w:t xml:space="preserve">entral </w:t>
      </w:r>
      <w:r w:rsidR="00F67C4C" w:rsidRPr="00320DDF">
        <w:rPr>
          <w:rFonts w:ascii="Garamond" w:hAnsi="Garamond" w:cs="Sylfaen"/>
          <w:bCs/>
          <w:iCs/>
          <w:color w:val="000000"/>
          <w:sz w:val="22"/>
          <w:szCs w:val="22"/>
        </w:rPr>
        <w:t>B</w:t>
      </w:r>
      <w:r w:rsidR="00C247F6" w:rsidRPr="00320DDF">
        <w:rPr>
          <w:rFonts w:ascii="Garamond" w:hAnsi="Garamond" w:cs="Sylfaen"/>
          <w:bCs/>
          <w:iCs/>
          <w:color w:val="000000"/>
          <w:sz w:val="22"/>
          <w:szCs w:val="22"/>
        </w:rPr>
        <w:t xml:space="preserve">ank’s </w:t>
      </w:r>
      <w:r w:rsidR="00F67C4C" w:rsidRPr="00320DDF">
        <w:rPr>
          <w:rFonts w:ascii="Garamond" w:hAnsi="Garamond" w:cs="Sylfaen"/>
          <w:bCs/>
          <w:iCs/>
          <w:color w:val="000000"/>
          <w:sz w:val="22"/>
          <w:szCs w:val="22"/>
        </w:rPr>
        <w:t>projection</w:t>
      </w:r>
      <w:r w:rsidR="00C247F6" w:rsidRPr="00320DDF">
        <w:rPr>
          <w:rFonts w:ascii="Garamond" w:hAnsi="Garamond" w:cs="Sylfaen"/>
          <w:bCs/>
          <w:iCs/>
          <w:color w:val="000000"/>
          <w:sz w:val="22"/>
          <w:szCs w:val="22"/>
        </w:rPr>
        <w:t xml:space="preserve"> for the quarter</w:t>
      </w:r>
      <w:r w:rsidR="00F67C4C" w:rsidRPr="00320DDF">
        <w:rPr>
          <w:rFonts w:ascii="Garamond" w:hAnsi="Garamond" w:cs="Sylfaen"/>
          <w:bCs/>
          <w:iCs/>
          <w:color w:val="000000"/>
          <w:sz w:val="22"/>
          <w:szCs w:val="22"/>
        </w:rPr>
        <w:t>.</w:t>
      </w:r>
    </w:p>
    <w:p w14:paraId="5B1EE18A" w14:textId="77777777" w:rsidR="00CB2461" w:rsidRPr="00320DDF" w:rsidRDefault="00CB2461" w:rsidP="0006101A">
      <w:pPr>
        <w:spacing w:line="360" w:lineRule="auto"/>
        <w:jc w:val="both"/>
        <w:rPr>
          <w:rFonts w:ascii="Garamond" w:hAnsi="Garamond" w:cs="Sylfaen"/>
          <w:bCs/>
          <w:iCs/>
          <w:color w:val="000000"/>
          <w:sz w:val="22"/>
          <w:szCs w:val="22"/>
        </w:rPr>
      </w:pPr>
    </w:p>
    <w:p w14:paraId="4ABF4C8A" w14:textId="77777777" w:rsidR="00F244DB" w:rsidRPr="00320DDF" w:rsidRDefault="00F856C1" w:rsidP="0006101A">
      <w:pPr>
        <w:spacing w:line="360" w:lineRule="auto"/>
        <w:jc w:val="both"/>
        <w:rPr>
          <w:rFonts w:ascii="Garamond" w:hAnsi="Garamond"/>
          <w:b/>
          <w:sz w:val="22"/>
          <w:szCs w:val="22"/>
        </w:rPr>
      </w:pPr>
      <w:r w:rsidRPr="00320DDF">
        <w:rPr>
          <w:rFonts w:ascii="Garamond" w:hAnsi="Garamond" w:cs="Sylfaen"/>
          <w:b/>
          <w:sz w:val="22"/>
          <w:szCs w:val="22"/>
        </w:rPr>
        <w:t xml:space="preserve">Summary: </w:t>
      </w:r>
      <w:r w:rsidR="00951B5B" w:rsidRPr="00320DDF">
        <w:rPr>
          <w:rFonts w:ascii="Garamond" w:hAnsi="Garamond" w:cs="Sylfaen"/>
          <w:b/>
          <w:sz w:val="22"/>
          <w:szCs w:val="22"/>
        </w:rPr>
        <w:t>private spending has grown to run slightly above the equilibrium, creating inflationary pressures, amid increased</w:t>
      </w:r>
      <w:r w:rsidRPr="00320DDF">
        <w:rPr>
          <w:rFonts w:ascii="Garamond" w:hAnsi="Garamond"/>
          <w:b/>
          <w:sz w:val="22"/>
          <w:szCs w:val="22"/>
        </w:rPr>
        <w:t xml:space="preserve"> private transfers from </w:t>
      </w:r>
      <w:r w:rsidR="00951B5B" w:rsidRPr="00320DDF">
        <w:rPr>
          <w:rFonts w:ascii="Garamond" w:hAnsi="Garamond"/>
          <w:b/>
          <w:sz w:val="22"/>
          <w:szCs w:val="22"/>
        </w:rPr>
        <w:t xml:space="preserve">the </w:t>
      </w:r>
      <w:r w:rsidRPr="00320DDF">
        <w:rPr>
          <w:rFonts w:ascii="Garamond" w:hAnsi="Garamond"/>
          <w:b/>
          <w:sz w:val="22"/>
          <w:szCs w:val="22"/>
        </w:rPr>
        <w:t>Russia</w:t>
      </w:r>
      <w:r w:rsidR="00951B5B" w:rsidRPr="00320DDF">
        <w:rPr>
          <w:rFonts w:ascii="Garamond" w:hAnsi="Garamond"/>
          <w:b/>
          <w:sz w:val="22"/>
          <w:szCs w:val="22"/>
        </w:rPr>
        <w:t>n Federation, expansionary monetary policy implementation a</w:t>
      </w:r>
      <w:r w:rsidR="00C50F25" w:rsidRPr="00320DDF">
        <w:rPr>
          <w:rFonts w:ascii="Garamond" w:hAnsi="Garamond"/>
          <w:b/>
          <w:sz w:val="22"/>
          <w:szCs w:val="22"/>
        </w:rPr>
        <w:t xml:space="preserve">nd </w:t>
      </w:r>
      <w:r w:rsidR="00951B5B" w:rsidRPr="00320DDF">
        <w:rPr>
          <w:rFonts w:ascii="Garamond" w:hAnsi="Garamond"/>
          <w:b/>
          <w:sz w:val="22"/>
          <w:szCs w:val="22"/>
        </w:rPr>
        <w:t xml:space="preserve">high economic activity. Taking also into account </w:t>
      </w:r>
      <w:r w:rsidR="00E165E1" w:rsidRPr="00320DDF">
        <w:rPr>
          <w:rFonts w:ascii="Garamond" w:hAnsi="Garamond"/>
          <w:b/>
          <w:sz w:val="22"/>
          <w:szCs w:val="22"/>
        </w:rPr>
        <w:t xml:space="preserve">the expansionary fiscal policy’s </w:t>
      </w:r>
      <w:r w:rsidR="00951B5B" w:rsidRPr="00320DDF">
        <w:rPr>
          <w:rFonts w:ascii="Garamond" w:hAnsi="Garamond"/>
          <w:b/>
          <w:sz w:val="22"/>
          <w:szCs w:val="22"/>
        </w:rPr>
        <w:t xml:space="preserve">contractionary </w:t>
      </w:r>
      <w:r w:rsidR="00E165E1" w:rsidRPr="00320DDF">
        <w:rPr>
          <w:rFonts w:ascii="Garamond" w:hAnsi="Garamond"/>
          <w:b/>
          <w:sz w:val="22"/>
          <w:szCs w:val="22"/>
        </w:rPr>
        <w:t>effect</w:t>
      </w:r>
      <w:r w:rsidR="00951B5B" w:rsidRPr="00320DDF">
        <w:rPr>
          <w:rFonts w:ascii="Garamond" w:hAnsi="Garamond"/>
          <w:b/>
          <w:sz w:val="22"/>
          <w:szCs w:val="22"/>
        </w:rPr>
        <w:t xml:space="preserve"> and the labor market’s inflationary pressures</w:t>
      </w:r>
      <w:r w:rsidR="00E165E1" w:rsidRPr="00320DDF">
        <w:rPr>
          <w:rFonts w:ascii="Garamond" w:hAnsi="Garamond"/>
          <w:b/>
          <w:sz w:val="22"/>
          <w:szCs w:val="22"/>
        </w:rPr>
        <w:t xml:space="preserve">, </w:t>
      </w:r>
      <w:r w:rsidR="00951B5B" w:rsidRPr="00320DDF">
        <w:rPr>
          <w:rFonts w:ascii="Garamond" w:hAnsi="Garamond"/>
          <w:b/>
          <w:sz w:val="22"/>
          <w:szCs w:val="22"/>
        </w:rPr>
        <w:t xml:space="preserve">one may conclude that </w:t>
      </w:r>
      <w:r w:rsidR="00860E8B" w:rsidRPr="00320DDF">
        <w:rPr>
          <w:rFonts w:ascii="Garamond" w:hAnsi="Garamond"/>
          <w:b/>
          <w:sz w:val="22"/>
          <w:szCs w:val="22"/>
        </w:rPr>
        <w:t xml:space="preserve">the aggregate demand and labor market are estimated to have jointly created </w:t>
      </w:r>
      <w:r w:rsidR="00FD6DC6" w:rsidRPr="00320DDF">
        <w:rPr>
          <w:rFonts w:ascii="Garamond" w:hAnsi="Garamond"/>
          <w:b/>
          <w:sz w:val="22"/>
          <w:szCs w:val="22"/>
        </w:rPr>
        <w:t>0</w:t>
      </w:r>
      <w:r w:rsidR="00860E8B" w:rsidRPr="00320DDF">
        <w:rPr>
          <w:rFonts w:ascii="Garamond" w:hAnsi="Garamond"/>
          <w:b/>
          <w:sz w:val="22"/>
          <w:szCs w:val="22"/>
        </w:rPr>
        <w:t>.</w:t>
      </w:r>
      <w:r w:rsidR="00FD6DC6" w:rsidRPr="00320DDF">
        <w:rPr>
          <w:rFonts w:ascii="Garamond" w:hAnsi="Garamond"/>
          <w:b/>
          <w:sz w:val="22"/>
          <w:szCs w:val="22"/>
        </w:rPr>
        <w:t>5</w:t>
      </w:r>
      <w:r w:rsidR="00860E8B" w:rsidRPr="00320DDF">
        <w:rPr>
          <w:rFonts w:ascii="Garamond" w:hAnsi="Garamond"/>
          <w:b/>
          <w:sz w:val="22"/>
          <w:szCs w:val="22"/>
        </w:rPr>
        <w:t>-</w:t>
      </w:r>
      <w:r w:rsidR="00FD6DC6" w:rsidRPr="00320DDF">
        <w:rPr>
          <w:rFonts w:ascii="Garamond" w:hAnsi="Garamond"/>
          <w:b/>
          <w:sz w:val="22"/>
          <w:szCs w:val="22"/>
        </w:rPr>
        <w:t>0</w:t>
      </w:r>
      <w:r w:rsidR="00860E8B" w:rsidRPr="00320DDF">
        <w:rPr>
          <w:rFonts w:ascii="Garamond" w:hAnsi="Garamond"/>
          <w:b/>
          <w:sz w:val="22"/>
          <w:szCs w:val="22"/>
        </w:rPr>
        <w:t>.</w:t>
      </w:r>
      <w:r w:rsidR="00FD6DC6" w:rsidRPr="00320DDF">
        <w:rPr>
          <w:rFonts w:ascii="Garamond" w:hAnsi="Garamond"/>
          <w:b/>
          <w:sz w:val="22"/>
          <w:szCs w:val="22"/>
        </w:rPr>
        <w:t>6</w:t>
      </w:r>
      <w:r w:rsidR="00860E8B" w:rsidRPr="00320DDF">
        <w:rPr>
          <w:rFonts w:ascii="Garamond" w:hAnsi="Garamond"/>
          <w:b/>
          <w:sz w:val="22"/>
          <w:szCs w:val="22"/>
        </w:rPr>
        <w:t xml:space="preserve"> pp of </w:t>
      </w:r>
      <w:r w:rsidR="00FD6DC6" w:rsidRPr="00320DDF">
        <w:rPr>
          <w:rFonts w:ascii="Garamond" w:hAnsi="Garamond"/>
          <w:b/>
          <w:sz w:val="22"/>
          <w:szCs w:val="22"/>
        </w:rPr>
        <w:lastRenderedPageBreak/>
        <w:t>inf</w:t>
      </w:r>
      <w:r w:rsidR="00860E8B" w:rsidRPr="00320DDF">
        <w:rPr>
          <w:rFonts w:ascii="Garamond" w:hAnsi="Garamond"/>
          <w:b/>
          <w:sz w:val="22"/>
          <w:szCs w:val="22"/>
        </w:rPr>
        <w:t xml:space="preserve">lationary pressures in the consumer market </w:t>
      </w:r>
      <w:r w:rsidR="006C2F1E" w:rsidRPr="00320DDF">
        <w:rPr>
          <w:rFonts w:ascii="Garamond" w:hAnsi="Garamond"/>
          <w:b/>
          <w:sz w:val="22"/>
          <w:szCs w:val="22"/>
        </w:rPr>
        <w:t>in</w:t>
      </w:r>
      <w:r w:rsidR="004F33C6" w:rsidRPr="00320DDF">
        <w:rPr>
          <w:rFonts w:ascii="Garamond" w:hAnsi="Garamond"/>
          <w:b/>
          <w:sz w:val="22"/>
          <w:szCs w:val="22"/>
        </w:rPr>
        <w:t xml:space="preserve"> </w:t>
      </w:r>
      <w:r w:rsidR="00860E8B" w:rsidRPr="00320DDF">
        <w:rPr>
          <w:rFonts w:ascii="Garamond" w:hAnsi="Garamond"/>
          <w:b/>
          <w:sz w:val="22"/>
          <w:szCs w:val="22"/>
        </w:rPr>
        <w:t xml:space="preserve">the </w:t>
      </w:r>
      <w:r w:rsidR="00E165E1" w:rsidRPr="00320DDF">
        <w:rPr>
          <w:rFonts w:ascii="Garamond" w:hAnsi="Garamond"/>
          <w:b/>
          <w:sz w:val="22"/>
          <w:szCs w:val="22"/>
        </w:rPr>
        <w:t>f</w:t>
      </w:r>
      <w:r w:rsidR="00951B5B" w:rsidRPr="00320DDF">
        <w:rPr>
          <w:rFonts w:ascii="Garamond" w:hAnsi="Garamond"/>
          <w:b/>
          <w:sz w:val="22"/>
          <w:szCs w:val="22"/>
        </w:rPr>
        <w:t xml:space="preserve">irst </w:t>
      </w:r>
      <w:r w:rsidR="00860E8B" w:rsidRPr="00320DDF">
        <w:rPr>
          <w:rFonts w:ascii="Garamond" w:hAnsi="Garamond"/>
          <w:b/>
          <w:sz w:val="22"/>
          <w:szCs w:val="22"/>
        </w:rPr>
        <w:t>quarter</w:t>
      </w:r>
      <w:r w:rsidR="00951B5B" w:rsidRPr="00320DDF">
        <w:rPr>
          <w:rFonts w:ascii="Garamond" w:hAnsi="Garamond"/>
          <w:b/>
          <w:sz w:val="22"/>
          <w:szCs w:val="22"/>
        </w:rPr>
        <w:t xml:space="preserve"> of 2017</w:t>
      </w:r>
      <w:r w:rsidR="00860E8B" w:rsidRPr="00320DDF">
        <w:rPr>
          <w:rFonts w:ascii="Garamond" w:hAnsi="Garamond"/>
          <w:b/>
          <w:sz w:val="22"/>
          <w:szCs w:val="22"/>
        </w:rPr>
        <w:t xml:space="preserve">. </w:t>
      </w:r>
      <w:r w:rsidR="00727D7E" w:rsidRPr="00320DDF">
        <w:rPr>
          <w:rFonts w:ascii="Garamond" w:hAnsi="Garamond"/>
          <w:b/>
          <w:sz w:val="22"/>
          <w:szCs w:val="22"/>
        </w:rPr>
        <w:t>Note, however, that such i</w:t>
      </w:r>
      <w:r w:rsidR="00727D7E" w:rsidRPr="00320DDF">
        <w:rPr>
          <w:rFonts w:ascii="Garamond" w:hAnsi="Garamond"/>
          <w:b/>
          <w:bCs/>
          <w:iCs/>
          <w:sz w:val="22"/>
          <w:szCs w:val="22"/>
        </w:rPr>
        <w:t>nflationary pressures a</w:t>
      </w:r>
      <w:r w:rsidR="00727D7E" w:rsidRPr="00320DDF">
        <w:rPr>
          <w:rFonts w:ascii="Garamond" w:hAnsi="Garamond"/>
          <w:b/>
          <w:sz w:val="22"/>
          <w:szCs w:val="22"/>
        </w:rPr>
        <w:t>re temporary, according to the Central Bank estimates</w:t>
      </w:r>
      <w:r w:rsidR="00727D7E" w:rsidRPr="00320DDF">
        <w:rPr>
          <w:rStyle w:val="FootnoteReference"/>
          <w:rFonts w:ascii="Garamond" w:hAnsi="Garamond"/>
          <w:b/>
          <w:sz w:val="22"/>
          <w:szCs w:val="22"/>
        </w:rPr>
        <w:footnoteReference w:customMarkFollows="1" w:id="19"/>
        <w:t>21</w:t>
      </w:r>
      <w:r w:rsidR="00727D7E" w:rsidRPr="00320DDF">
        <w:rPr>
          <w:rFonts w:ascii="Garamond" w:hAnsi="Garamond"/>
          <w:b/>
          <w:sz w:val="22"/>
          <w:szCs w:val="22"/>
        </w:rPr>
        <w:t>.</w:t>
      </w:r>
    </w:p>
    <w:p w14:paraId="27E82912" w14:textId="77777777" w:rsidR="00601F50" w:rsidRPr="00320DDF" w:rsidRDefault="00601F50" w:rsidP="0006101A">
      <w:pPr>
        <w:spacing w:line="360" w:lineRule="auto"/>
        <w:jc w:val="both"/>
        <w:rPr>
          <w:rFonts w:ascii="Garamond" w:hAnsi="Garamond"/>
          <w:b/>
          <w:sz w:val="22"/>
          <w:szCs w:val="22"/>
        </w:rPr>
      </w:pPr>
    </w:p>
    <w:p w14:paraId="107C5057" w14:textId="77777777" w:rsidR="00601F50" w:rsidRPr="00320DDF" w:rsidRDefault="00601F50" w:rsidP="0006101A">
      <w:pPr>
        <w:spacing w:line="360" w:lineRule="auto"/>
        <w:jc w:val="both"/>
        <w:rPr>
          <w:rFonts w:ascii="Garamond" w:hAnsi="Garamond"/>
          <w:b/>
          <w:sz w:val="22"/>
          <w:szCs w:val="22"/>
        </w:rPr>
      </w:pPr>
      <w:r w:rsidRPr="00320DDF">
        <w:rPr>
          <w:rFonts w:ascii="Garamond" w:hAnsi="Garamond"/>
          <w:b/>
          <w:sz w:val="22"/>
          <w:szCs w:val="22"/>
        </w:rPr>
        <w:t>3.3. Money and financial market developments</w:t>
      </w:r>
    </w:p>
    <w:p w14:paraId="0C22C0F2" w14:textId="77777777" w:rsidR="00601F50" w:rsidRPr="00320DDF" w:rsidRDefault="00601F50" w:rsidP="0006101A">
      <w:pPr>
        <w:spacing w:line="360" w:lineRule="auto"/>
        <w:jc w:val="both"/>
        <w:rPr>
          <w:rFonts w:ascii="Garamond" w:hAnsi="Garamond"/>
          <w:b/>
          <w:sz w:val="22"/>
          <w:szCs w:val="22"/>
        </w:rPr>
      </w:pPr>
      <w:r w:rsidRPr="00320DDF">
        <w:rPr>
          <w:rFonts w:ascii="Garamond" w:hAnsi="Garamond"/>
          <w:b/>
          <w:sz w:val="22"/>
          <w:szCs w:val="22"/>
        </w:rPr>
        <w:t>3.3.1. Financial market, money and credit</w:t>
      </w:r>
    </w:p>
    <w:p w14:paraId="2C50C541" w14:textId="77777777" w:rsidR="00601F50" w:rsidRPr="00320DDF" w:rsidRDefault="00601F50" w:rsidP="0006101A">
      <w:pPr>
        <w:spacing w:line="360" w:lineRule="auto"/>
        <w:jc w:val="both"/>
        <w:rPr>
          <w:rFonts w:ascii="Garamond" w:hAnsi="Garamond"/>
          <w:b/>
          <w:sz w:val="22"/>
          <w:szCs w:val="22"/>
        </w:rPr>
      </w:pPr>
    </w:p>
    <w:p w14:paraId="31AC1113" w14:textId="77777777" w:rsidR="00EF05C0" w:rsidRPr="00320DDF" w:rsidRDefault="00727D7E" w:rsidP="0006101A">
      <w:pPr>
        <w:spacing w:line="360" w:lineRule="auto"/>
        <w:jc w:val="both"/>
        <w:rPr>
          <w:rFonts w:ascii="Garamond" w:eastAsia="Calibri" w:hAnsi="Garamond"/>
          <w:sz w:val="22"/>
          <w:szCs w:val="22"/>
        </w:rPr>
      </w:pPr>
      <w:r w:rsidRPr="00320DDF">
        <w:rPr>
          <w:rFonts w:ascii="Garamond" w:eastAsia="Calibri" w:hAnsi="Garamond"/>
          <w:sz w:val="22"/>
          <w:szCs w:val="22"/>
        </w:rPr>
        <w:t>T</w:t>
      </w:r>
      <w:r w:rsidR="00C02E1F" w:rsidRPr="00320DDF">
        <w:rPr>
          <w:rFonts w:ascii="Garamond" w:eastAsia="Calibri" w:hAnsi="Garamond"/>
          <w:sz w:val="22"/>
          <w:szCs w:val="22"/>
        </w:rPr>
        <w:t xml:space="preserve">he </w:t>
      </w:r>
      <w:r w:rsidR="00601F50" w:rsidRPr="00320DDF">
        <w:rPr>
          <w:rFonts w:ascii="Garamond" w:eastAsia="Calibri" w:hAnsi="Garamond"/>
          <w:sz w:val="22"/>
          <w:szCs w:val="22"/>
        </w:rPr>
        <w:t>Board</w:t>
      </w:r>
      <w:r w:rsidR="00C02E1F" w:rsidRPr="00320DDF">
        <w:rPr>
          <w:rFonts w:ascii="Garamond" w:eastAsia="Calibri" w:hAnsi="Garamond"/>
          <w:sz w:val="22"/>
          <w:szCs w:val="22"/>
        </w:rPr>
        <w:t xml:space="preserve"> of the Central </w:t>
      </w:r>
      <w:r w:rsidR="00C02E1F" w:rsidRPr="00B33D2E">
        <w:rPr>
          <w:rFonts w:ascii="Garamond" w:eastAsia="Calibri" w:hAnsi="Garamond"/>
          <w:sz w:val="22"/>
          <w:szCs w:val="22"/>
          <w:highlight w:val="yellow"/>
        </w:rPr>
        <w:t xml:space="preserve">Bank </w:t>
      </w:r>
      <w:r w:rsidRPr="00B33D2E">
        <w:rPr>
          <w:rFonts w:ascii="Garamond" w:eastAsia="Calibri" w:hAnsi="Garamond"/>
          <w:sz w:val="22"/>
          <w:szCs w:val="22"/>
          <w:highlight w:val="yellow"/>
        </w:rPr>
        <w:t>reduced</w:t>
      </w:r>
      <w:r w:rsidRPr="00320DDF">
        <w:rPr>
          <w:rFonts w:ascii="Garamond" w:eastAsia="Calibri" w:hAnsi="Garamond"/>
          <w:sz w:val="22"/>
          <w:szCs w:val="22"/>
        </w:rPr>
        <w:t xml:space="preserve"> </w:t>
      </w:r>
      <w:r w:rsidR="00C02E1F" w:rsidRPr="00320DDF">
        <w:rPr>
          <w:rFonts w:ascii="Garamond" w:hAnsi="Garamond" w:cs="GHEA Grapalat"/>
          <w:sz w:val="22"/>
          <w:szCs w:val="22"/>
        </w:rPr>
        <w:t xml:space="preserve">the refinancing rate by 0.25 pp </w:t>
      </w:r>
      <w:r w:rsidRPr="00320DDF">
        <w:rPr>
          <w:rFonts w:ascii="Garamond" w:hAnsi="Garamond" w:cs="GHEA Grapalat"/>
          <w:sz w:val="22"/>
          <w:szCs w:val="22"/>
        </w:rPr>
        <w:t>and then left it unchanged during the first quarter of 2017</w:t>
      </w:r>
      <w:r w:rsidR="009F5715" w:rsidRPr="00320DDF">
        <w:rPr>
          <w:rFonts w:ascii="Garamond" w:eastAsia="Calibri" w:hAnsi="Garamond"/>
          <w:sz w:val="22"/>
          <w:szCs w:val="22"/>
        </w:rPr>
        <w:t>.</w:t>
      </w:r>
    </w:p>
    <w:p w14:paraId="3117E42A" w14:textId="77777777" w:rsidR="009F5715" w:rsidRPr="00320DDF" w:rsidRDefault="009F5715" w:rsidP="0006101A">
      <w:pPr>
        <w:spacing w:line="360" w:lineRule="auto"/>
        <w:jc w:val="both"/>
        <w:rPr>
          <w:rFonts w:ascii="Garamond" w:eastAsia="Calibri" w:hAnsi="Garamond"/>
          <w:sz w:val="22"/>
          <w:szCs w:val="22"/>
        </w:rPr>
      </w:pPr>
    </w:p>
    <w:p w14:paraId="7C98E610" w14:textId="77777777" w:rsidR="00125313" w:rsidRPr="00320DDF" w:rsidRDefault="00125313" w:rsidP="0006101A">
      <w:pPr>
        <w:spacing w:line="360" w:lineRule="auto"/>
        <w:jc w:val="both"/>
        <w:rPr>
          <w:rFonts w:ascii="Garamond" w:hAnsi="Garamond" w:cs="GHEA Grapalat"/>
          <w:sz w:val="22"/>
          <w:szCs w:val="22"/>
        </w:rPr>
      </w:pPr>
      <w:r w:rsidRPr="00320DDF">
        <w:rPr>
          <w:rFonts w:ascii="Garamond" w:hAnsi="Garamond" w:cs="GHEA Grapalat"/>
          <w:sz w:val="22"/>
          <w:szCs w:val="22"/>
        </w:rPr>
        <w:t xml:space="preserve">Although certain positive developments resulting from continued easing of monetary conditions by the Central Bank in the last two years were noticeable in the economy this quarter, the forecasts for a slowly recovering inflation prompted the Board to lower the refinancing rate by 0.25 pp in February. In March, the Board considered it reasonable to leave the policy rate unchanged, maintaining that the expansionary policy carried out earlier would continue spilling over to the economy in the course of 2017, while anticipating </w:t>
      </w:r>
      <w:r w:rsidR="0049095F" w:rsidRPr="00320DDF">
        <w:rPr>
          <w:rFonts w:ascii="Garamond" w:hAnsi="Garamond" w:cs="GHEA Grapalat"/>
          <w:sz w:val="22"/>
          <w:szCs w:val="22"/>
        </w:rPr>
        <w:t xml:space="preserve">rapidly rebounding </w:t>
      </w:r>
      <w:r w:rsidRPr="00320DDF">
        <w:rPr>
          <w:rFonts w:ascii="Garamond" w:hAnsi="Garamond" w:cs="GHEA Grapalat"/>
          <w:sz w:val="22"/>
          <w:szCs w:val="22"/>
        </w:rPr>
        <w:t xml:space="preserve">economic activity and inflation (see </w:t>
      </w:r>
      <w:r w:rsidR="0049095F" w:rsidRPr="00320DDF">
        <w:rPr>
          <w:rFonts w:ascii="Garamond" w:hAnsi="Garamond" w:cs="GHEA Grapalat"/>
          <w:sz w:val="22"/>
          <w:szCs w:val="22"/>
        </w:rPr>
        <w:t>Box</w:t>
      </w:r>
      <w:r w:rsidRPr="00320DDF">
        <w:rPr>
          <w:rFonts w:ascii="Garamond" w:hAnsi="Garamond" w:cs="GHEA Grapalat"/>
          <w:sz w:val="22"/>
          <w:szCs w:val="22"/>
        </w:rPr>
        <w:t xml:space="preserve"> 1).</w:t>
      </w:r>
    </w:p>
    <w:p w14:paraId="10BEE69B" w14:textId="77777777" w:rsidR="00CF0A3F" w:rsidRPr="00320DDF" w:rsidRDefault="00CF0A3F" w:rsidP="0006101A">
      <w:pPr>
        <w:spacing w:line="360" w:lineRule="auto"/>
        <w:jc w:val="both"/>
        <w:rPr>
          <w:rFonts w:ascii="Garamond" w:hAnsi="Garamond" w:cs="GHEA Grapalat"/>
          <w:sz w:val="22"/>
          <w:szCs w:val="22"/>
        </w:rPr>
      </w:pPr>
    </w:p>
    <w:tbl>
      <w:tblPr>
        <w:tblStyle w:val="TableGrid"/>
        <w:tblW w:w="0" w:type="auto"/>
        <w:tblLook w:val="04A0" w:firstRow="1" w:lastRow="0" w:firstColumn="1" w:lastColumn="0" w:noHBand="0" w:noVBand="1"/>
      </w:tblPr>
      <w:tblGrid>
        <w:gridCol w:w="9576"/>
      </w:tblGrid>
      <w:tr w:rsidR="00CF0A3F" w:rsidRPr="00320DDF" w14:paraId="364860D7" w14:textId="77777777" w:rsidTr="00CF0A3F">
        <w:tc>
          <w:tcPr>
            <w:tcW w:w="9576" w:type="dxa"/>
          </w:tcPr>
          <w:p w14:paraId="06A18647" w14:textId="77777777" w:rsidR="00CF0A3F" w:rsidRPr="00320DDF" w:rsidRDefault="00CF0A3F" w:rsidP="00CF0A3F">
            <w:pPr>
              <w:spacing w:line="360" w:lineRule="auto"/>
              <w:jc w:val="right"/>
              <w:rPr>
                <w:rFonts w:ascii="Garamond" w:hAnsi="Garamond" w:cs="GHEA Grapalat"/>
              </w:rPr>
            </w:pPr>
            <w:r w:rsidRPr="00320DDF">
              <w:rPr>
                <w:rFonts w:ascii="Garamond" w:hAnsi="Garamond" w:cs="GHEA Grapalat"/>
              </w:rPr>
              <w:t>Box 1</w:t>
            </w:r>
          </w:p>
          <w:p w14:paraId="7DA90D95" w14:textId="77777777" w:rsidR="00CF0A3F" w:rsidRPr="00B33D2E" w:rsidRDefault="00CF0A3F" w:rsidP="00CF0A3F">
            <w:pPr>
              <w:spacing w:line="360" w:lineRule="auto"/>
              <w:jc w:val="center"/>
              <w:rPr>
                <w:rFonts w:ascii="Garamond" w:hAnsi="Garamond" w:cs="GHEA Grapalat"/>
                <w:b/>
              </w:rPr>
            </w:pPr>
            <w:r w:rsidRPr="00B33D2E">
              <w:rPr>
                <w:rFonts w:ascii="Garamond" w:hAnsi="Garamond" w:cs="GHEA Grapalat"/>
                <w:b/>
              </w:rPr>
              <w:t>The effect of easing monetary conditions on interest rates in the financial market</w:t>
            </w:r>
          </w:p>
          <w:p w14:paraId="597B0B62" w14:textId="77777777" w:rsidR="00575757" w:rsidRDefault="00575757" w:rsidP="00CF0A3F">
            <w:pPr>
              <w:spacing w:line="360" w:lineRule="auto"/>
              <w:jc w:val="both"/>
              <w:rPr>
                <w:rFonts w:ascii="Garamond" w:hAnsi="Garamond" w:cs="GHEA Grapalat"/>
              </w:rPr>
            </w:pPr>
          </w:p>
          <w:p w14:paraId="60708AFD" w14:textId="77777777" w:rsidR="00CF0A3F" w:rsidRPr="00320DDF" w:rsidRDefault="00340ADC" w:rsidP="00CF0A3F">
            <w:pPr>
              <w:spacing w:line="360" w:lineRule="auto"/>
              <w:jc w:val="both"/>
              <w:rPr>
                <w:rFonts w:ascii="Garamond" w:hAnsi="Garamond" w:cs="GHEA Grapalat"/>
              </w:rPr>
            </w:pPr>
            <w:r w:rsidRPr="00320DDF">
              <w:rPr>
                <w:rFonts w:ascii="Garamond" w:hAnsi="Garamond" w:cs="GHEA Grapalat"/>
              </w:rPr>
              <w:t xml:space="preserve">From </w:t>
            </w:r>
            <w:r w:rsidR="00CF0A3F" w:rsidRPr="00320DDF">
              <w:rPr>
                <w:rFonts w:ascii="Garamond" w:hAnsi="Garamond" w:cs="GHEA Grapalat"/>
              </w:rPr>
              <w:t>August 2015 until the end of the first qu</w:t>
            </w:r>
            <w:r w:rsidRPr="00320DDF">
              <w:rPr>
                <w:rFonts w:ascii="Garamond" w:hAnsi="Garamond" w:cs="GHEA Grapalat"/>
              </w:rPr>
              <w:t>arter of 2017 the Central Bank ha</w:t>
            </w:r>
            <w:r w:rsidR="00CF0A3F" w:rsidRPr="00320DDF">
              <w:rPr>
                <w:rFonts w:ascii="Garamond" w:hAnsi="Garamond" w:cs="GHEA Grapalat"/>
              </w:rPr>
              <w:t xml:space="preserve">s </w:t>
            </w:r>
            <w:r w:rsidRPr="00320DDF">
              <w:rPr>
                <w:rFonts w:ascii="Garamond" w:hAnsi="Garamond" w:cs="GHEA Grapalat"/>
              </w:rPr>
              <w:t>gradually reduced the p</w:t>
            </w:r>
            <w:r w:rsidR="00CF0A3F" w:rsidRPr="00320DDF">
              <w:rPr>
                <w:rFonts w:ascii="Garamond" w:hAnsi="Garamond" w:cs="GHEA Grapalat"/>
              </w:rPr>
              <w:t>olicy</w:t>
            </w:r>
            <w:r w:rsidRPr="00320DDF">
              <w:rPr>
                <w:rFonts w:ascii="Garamond" w:hAnsi="Garamond" w:cs="GHEA Grapalat"/>
              </w:rPr>
              <w:t xml:space="preserve"> rate </w:t>
            </w:r>
            <w:r w:rsidR="00CF0A3F" w:rsidRPr="00320DDF">
              <w:rPr>
                <w:rFonts w:ascii="Garamond" w:hAnsi="Garamond" w:cs="GHEA Grapalat"/>
              </w:rPr>
              <w:t>from 10.5% to 6%.</w:t>
            </w:r>
          </w:p>
          <w:p w14:paraId="5890E453" w14:textId="77777777" w:rsidR="005551F5" w:rsidRPr="00320DDF" w:rsidRDefault="005551F5" w:rsidP="00CF0A3F">
            <w:pPr>
              <w:spacing w:line="360" w:lineRule="auto"/>
              <w:jc w:val="both"/>
              <w:rPr>
                <w:rFonts w:ascii="Garamond" w:hAnsi="Garamond" w:cs="GHEA Grapalat"/>
              </w:rPr>
            </w:pPr>
          </w:p>
          <w:p w14:paraId="49942AE1" w14:textId="525335E3" w:rsidR="00CF0A3F" w:rsidRPr="00320DDF" w:rsidRDefault="00340ADC" w:rsidP="00CF0A3F">
            <w:pPr>
              <w:spacing w:line="360" w:lineRule="auto"/>
              <w:jc w:val="both"/>
              <w:rPr>
                <w:rFonts w:ascii="Garamond" w:hAnsi="Garamond" w:cs="GHEA Grapalat"/>
              </w:rPr>
            </w:pPr>
            <w:r w:rsidRPr="00320DDF">
              <w:rPr>
                <w:rFonts w:ascii="Garamond" w:hAnsi="Garamond" w:cs="GHEA Grapalat"/>
              </w:rPr>
              <w:t xml:space="preserve">The </w:t>
            </w:r>
            <w:r w:rsidR="00575757" w:rsidRPr="00320DDF">
              <w:rPr>
                <w:rFonts w:ascii="Garamond" w:hAnsi="Garamond" w:cs="GHEA Grapalat"/>
              </w:rPr>
              <w:t xml:space="preserve">gradual </w:t>
            </w:r>
            <w:r w:rsidRPr="00320DDF">
              <w:rPr>
                <w:rFonts w:ascii="Garamond" w:hAnsi="Garamond" w:cs="GHEA Grapalat"/>
              </w:rPr>
              <w:t xml:space="preserve">approach </w:t>
            </w:r>
            <w:r w:rsidR="00575757">
              <w:rPr>
                <w:rFonts w:ascii="Garamond" w:hAnsi="Garamond" w:cs="GHEA Grapalat"/>
              </w:rPr>
              <w:t xml:space="preserve">of </w:t>
            </w:r>
            <w:r w:rsidR="00575757" w:rsidRPr="00320DDF">
              <w:rPr>
                <w:rFonts w:ascii="Garamond" w:hAnsi="Garamond" w:cs="GHEA Grapalat"/>
              </w:rPr>
              <w:t xml:space="preserve">policy rate lowering </w:t>
            </w:r>
            <w:r w:rsidRPr="00320DDF">
              <w:rPr>
                <w:rFonts w:ascii="Garamond" w:hAnsi="Garamond" w:cs="GHEA Grapalat"/>
              </w:rPr>
              <w:t xml:space="preserve">the Board took </w:t>
            </w:r>
            <w:r w:rsidR="00CF0A3F" w:rsidRPr="00320DDF">
              <w:rPr>
                <w:rFonts w:ascii="Garamond" w:hAnsi="Garamond" w:cs="GHEA Grapalat"/>
              </w:rPr>
              <w:t xml:space="preserve">was </w:t>
            </w:r>
            <w:r w:rsidRPr="00320DDF">
              <w:rPr>
                <w:rFonts w:ascii="Garamond" w:hAnsi="Garamond" w:cs="GHEA Grapalat"/>
              </w:rPr>
              <w:t>d</w:t>
            </w:r>
            <w:r w:rsidR="000B689E" w:rsidRPr="00320DDF">
              <w:rPr>
                <w:rFonts w:ascii="Garamond" w:hAnsi="Garamond" w:cs="GHEA Grapalat"/>
              </w:rPr>
              <w:t>riven b</w:t>
            </w:r>
            <w:r w:rsidRPr="00320DDF">
              <w:rPr>
                <w:rFonts w:ascii="Garamond" w:hAnsi="Garamond" w:cs="GHEA Grapalat"/>
              </w:rPr>
              <w:t>y persistently high inflationary expectations</w:t>
            </w:r>
            <w:r w:rsidR="000B689E" w:rsidRPr="00320DDF">
              <w:rPr>
                <w:rStyle w:val="FootnoteReference"/>
                <w:rFonts w:ascii="Garamond" w:hAnsi="Garamond" w:cs="GHEA Grapalat"/>
              </w:rPr>
              <w:footnoteReference w:customMarkFollows="1" w:id="20"/>
              <w:t>22</w:t>
            </w:r>
            <w:r w:rsidRPr="00320DDF">
              <w:rPr>
                <w:rFonts w:ascii="Garamond" w:hAnsi="Garamond" w:cs="GHEA Grapalat"/>
              </w:rPr>
              <w:t xml:space="preserve"> for a long </w:t>
            </w:r>
            <w:r w:rsidR="000B689E" w:rsidRPr="00320DDF">
              <w:rPr>
                <w:rFonts w:ascii="Garamond" w:hAnsi="Garamond" w:cs="GHEA Grapalat"/>
              </w:rPr>
              <w:t xml:space="preserve">while </w:t>
            </w:r>
            <w:r w:rsidRPr="00320DDF">
              <w:rPr>
                <w:rFonts w:ascii="Garamond" w:hAnsi="Garamond" w:cs="GHEA Grapalat"/>
              </w:rPr>
              <w:t xml:space="preserve">after the Russia crisis in 2014 as well as </w:t>
            </w:r>
            <w:r w:rsidR="000B689E" w:rsidRPr="00320DDF">
              <w:rPr>
                <w:rFonts w:ascii="Garamond" w:hAnsi="Garamond" w:cs="GHEA Grapalat"/>
              </w:rPr>
              <w:t xml:space="preserve">an estimated </w:t>
            </w:r>
            <w:r w:rsidRPr="00320DDF">
              <w:rPr>
                <w:rFonts w:ascii="Garamond" w:hAnsi="Garamond" w:cs="GHEA Grapalat"/>
              </w:rPr>
              <w:t xml:space="preserve">high probability of additional risks to </w:t>
            </w:r>
            <w:r w:rsidR="000B689E" w:rsidRPr="00320DDF">
              <w:rPr>
                <w:rFonts w:ascii="Garamond" w:hAnsi="Garamond" w:cs="GHEA Grapalat"/>
              </w:rPr>
              <w:t xml:space="preserve">again having to get the </w:t>
            </w:r>
            <w:r w:rsidR="00B42FC1">
              <w:rPr>
                <w:rFonts w:ascii="Garamond" w:hAnsi="Garamond" w:cs="GHEA Grapalat"/>
              </w:rPr>
              <w:t xml:space="preserve">inflation </w:t>
            </w:r>
            <w:r w:rsidR="000B689E" w:rsidRPr="00320DDF">
              <w:rPr>
                <w:rFonts w:ascii="Garamond" w:hAnsi="Garamond" w:cs="GHEA Grapalat"/>
              </w:rPr>
              <w:t xml:space="preserve">unanchored in case </w:t>
            </w:r>
            <w:r w:rsidR="00B42FC1">
              <w:rPr>
                <w:rFonts w:ascii="Garamond" w:hAnsi="Garamond" w:cs="GHEA Grapalat"/>
              </w:rPr>
              <w:t xml:space="preserve">interest </w:t>
            </w:r>
            <w:proofErr w:type="gramStart"/>
            <w:r w:rsidR="00B42FC1">
              <w:rPr>
                <w:rFonts w:ascii="Garamond" w:hAnsi="Garamond" w:cs="GHEA Grapalat"/>
              </w:rPr>
              <w:t xml:space="preserve">rates  </w:t>
            </w:r>
            <w:r w:rsidR="000B689E" w:rsidRPr="00320DDF">
              <w:rPr>
                <w:rFonts w:ascii="Garamond" w:hAnsi="Garamond" w:cs="GHEA Grapalat"/>
              </w:rPr>
              <w:t>reduce</w:t>
            </w:r>
            <w:proofErr w:type="gramEnd"/>
            <w:r w:rsidR="000B689E" w:rsidRPr="00320DDF">
              <w:rPr>
                <w:rFonts w:ascii="Garamond" w:hAnsi="Garamond" w:cs="GHEA Grapalat"/>
              </w:rPr>
              <w:t xml:space="preserve"> </w:t>
            </w:r>
            <w:r w:rsidR="00CF0A3F" w:rsidRPr="00320DDF">
              <w:rPr>
                <w:rFonts w:ascii="Garamond" w:hAnsi="Garamond" w:cs="GHEA Grapalat"/>
              </w:rPr>
              <w:t>sharply.</w:t>
            </w:r>
          </w:p>
          <w:p w14:paraId="543DD4B3" w14:textId="77777777" w:rsidR="005551F5" w:rsidRPr="00320DDF" w:rsidRDefault="005551F5" w:rsidP="00CF0A3F">
            <w:pPr>
              <w:spacing w:line="360" w:lineRule="auto"/>
              <w:jc w:val="both"/>
              <w:rPr>
                <w:rFonts w:ascii="Garamond" w:hAnsi="Garamond" w:cs="GHEA Grapalat"/>
              </w:rPr>
            </w:pPr>
          </w:p>
          <w:p w14:paraId="6315C47F" w14:textId="6DF316FE" w:rsidR="00CF0A3F" w:rsidRPr="00320DDF" w:rsidRDefault="00FE296D" w:rsidP="00CF0A3F">
            <w:pPr>
              <w:spacing w:line="360" w:lineRule="auto"/>
              <w:jc w:val="both"/>
              <w:rPr>
                <w:rFonts w:ascii="Garamond" w:hAnsi="Garamond" w:cs="GHEA Grapalat"/>
              </w:rPr>
            </w:pPr>
            <w:r>
              <w:rPr>
                <w:rFonts w:ascii="Garamond" w:hAnsi="Garamond" w:cs="GHEA Grapalat"/>
              </w:rPr>
              <w:t xml:space="preserve">Parallel to </w:t>
            </w:r>
            <w:r w:rsidR="00CF0A3F" w:rsidRPr="00320DDF">
              <w:rPr>
                <w:rFonts w:ascii="Garamond" w:hAnsi="Garamond" w:cs="GHEA Grapalat"/>
              </w:rPr>
              <w:t>inflation expectations</w:t>
            </w:r>
            <w:r w:rsidR="00C34DEC" w:rsidRPr="00320DDF">
              <w:rPr>
                <w:rFonts w:ascii="Garamond" w:hAnsi="Garamond" w:cs="GHEA Grapalat"/>
              </w:rPr>
              <w:t xml:space="preserve"> </w:t>
            </w:r>
            <w:r>
              <w:rPr>
                <w:rFonts w:ascii="Garamond" w:hAnsi="Garamond" w:cs="GHEA Grapalat"/>
              </w:rPr>
              <w:t>fall</w:t>
            </w:r>
            <w:r w:rsidR="00CF0A3F" w:rsidRPr="00320DDF">
              <w:rPr>
                <w:rFonts w:ascii="Garamond" w:hAnsi="Garamond" w:cs="GHEA Grapalat"/>
              </w:rPr>
              <w:t xml:space="preserve">, the Central Bank regularly </w:t>
            </w:r>
            <w:r>
              <w:rPr>
                <w:rFonts w:ascii="Garamond" w:hAnsi="Garamond" w:cs="GHEA Grapalat"/>
              </w:rPr>
              <w:t xml:space="preserve">communicated to </w:t>
            </w:r>
            <w:r w:rsidR="00C34DEC" w:rsidRPr="00320DDF">
              <w:rPr>
                <w:rFonts w:ascii="Garamond" w:hAnsi="Garamond" w:cs="GHEA Grapalat"/>
              </w:rPr>
              <w:t>the f</w:t>
            </w:r>
            <w:r w:rsidR="00CF0A3F" w:rsidRPr="00320DDF">
              <w:rPr>
                <w:rFonts w:ascii="Garamond" w:hAnsi="Garamond" w:cs="GHEA Grapalat"/>
              </w:rPr>
              <w:t xml:space="preserve">inancial market that </w:t>
            </w:r>
            <w:r w:rsidR="00C34DEC" w:rsidRPr="00320DDF">
              <w:rPr>
                <w:rFonts w:ascii="Garamond" w:hAnsi="Garamond" w:cs="GHEA Grapalat"/>
              </w:rPr>
              <w:t xml:space="preserve">it </w:t>
            </w:r>
            <w:r w:rsidR="00CF0A3F" w:rsidRPr="00320DDF">
              <w:rPr>
                <w:rFonts w:ascii="Garamond" w:hAnsi="Garamond" w:cs="GHEA Grapalat"/>
              </w:rPr>
              <w:t>w</w:t>
            </w:r>
            <w:r w:rsidR="00C34DEC" w:rsidRPr="00320DDF">
              <w:rPr>
                <w:rFonts w:ascii="Garamond" w:hAnsi="Garamond" w:cs="GHEA Grapalat"/>
              </w:rPr>
              <w:t xml:space="preserve">ould </w:t>
            </w:r>
            <w:r w:rsidR="00CF0A3F" w:rsidRPr="00320DDF">
              <w:rPr>
                <w:rFonts w:ascii="Garamond" w:hAnsi="Garamond" w:cs="GHEA Grapalat"/>
              </w:rPr>
              <w:t xml:space="preserve">continue </w:t>
            </w:r>
            <w:r w:rsidR="00C34DEC" w:rsidRPr="00320DDF">
              <w:rPr>
                <w:rFonts w:ascii="Garamond" w:hAnsi="Garamond" w:cs="GHEA Grapalat"/>
              </w:rPr>
              <w:t>easing monetary conditions i</w:t>
            </w:r>
            <w:r w:rsidR="00161D6D" w:rsidRPr="00320DDF">
              <w:rPr>
                <w:rFonts w:ascii="Garamond" w:hAnsi="Garamond" w:cs="GHEA Grapalat"/>
              </w:rPr>
              <w:t xml:space="preserve">n the absence of risks and if the situation </w:t>
            </w:r>
            <w:r w:rsidR="00161D6D" w:rsidRPr="00320DDF">
              <w:rPr>
                <w:rFonts w:ascii="Garamond" w:hAnsi="Garamond" w:cs="GHEA Grapalat"/>
              </w:rPr>
              <w:lastRenderedPageBreak/>
              <w:t xml:space="preserve">remains unaffected. </w:t>
            </w:r>
            <w:r w:rsidR="00CF0A3F" w:rsidRPr="00320DDF">
              <w:rPr>
                <w:rFonts w:ascii="Garamond" w:hAnsi="Garamond" w:cs="GHEA Grapalat"/>
              </w:rPr>
              <w:t xml:space="preserve">At the same time, the Central Bank </w:t>
            </w:r>
            <w:r w:rsidR="00161D6D" w:rsidRPr="00320DDF">
              <w:rPr>
                <w:rFonts w:ascii="Garamond" w:hAnsi="Garamond" w:cs="GHEA Grapalat"/>
              </w:rPr>
              <w:t>communicated the reasons why the inflation ran below the</w:t>
            </w:r>
            <w:r w:rsidR="00CF0A3F" w:rsidRPr="00320DDF">
              <w:rPr>
                <w:rFonts w:ascii="Garamond" w:hAnsi="Garamond" w:cs="GHEA Grapalat"/>
              </w:rPr>
              <w:t xml:space="preserve"> target </w:t>
            </w:r>
            <w:r w:rsidR="00161D6D" w:rsidRPr="00320DDF">
              <w:rPr>
                <w:rFonts w:ascii="Garamond" w:hAnsi="Garamond" w:cs="GHEA Grapalat"/>
              </w:rPr>
              <w:t>and indicated benefits to slowly reaching the target</w:t>
            </w:r>
            <w:r w:rsidR="00B462E6" w:rsidRPr="00320DDF">
              <w:rPr>
                <w:rStyle w:val="FootnoteReference"/>
                <w:rFonts w:ascii="Garamond" w:hAnsi="Garamond" w:cs="GHEA Grapalat"/>
              </w:rPr>
              <w:footnoteReference w:customMarkFollows="1" w:id="21"/>
              <w:t>23</w:t>
            </w:r>
            <w:r w:rsidR="00161D6D" w:rsidRPr="00320DDF">
              <w:rPr>
                <w:rFonts w:ascii="Garamond" w:hAnsi="Garamond" w:cs="GHEA Grapalat"/>
              </w:rPr>
              <w:t xml:space="preserve">. </w:t>
            </w:r>
            <w:r w:rsidR="00B462E6" w:rsidRPr="00320DDF">
              <w:rPr>
                <w:rFonts w:ascii="Garamond" w:hAnsi="Garamond" w:cs="GHEA Grapalat"/>
              </w:rPr>
              <w:t>The i</w:t>
            </w:r>
            <w:r w:rsidR="00CF0A3F" w:rsidRPr="00320DDF">
              <w:rPr>
                <w:rFonts w:ascii="Garamond" w:hAnsi="Garamond" w:cs="GHEA Grapalat"/>
              </w:rPr>
              <w:t xml:space="preserve">mplemented </w:t>
            </w:r>
            <w:r w:rsidR="00B462E6" w:rsidRPr="00320DDF">
              <w:rPr>
                <w:rFonts w:ascii="Garamond" w:hAnsi="Garamond" w:cs="GHEA Grapalat"/>
              </w:rPr>
              <w:t>p</w:t>
            </w:r>
            <w:r w:rsidR="00CF0A3F" w:rsidRPr="00320DDF">
              <w:rPr>
                <w:rFonts w:ascii="Garamond" w:hAnsi="Garamond" w:cs="GHEA Grapalat"/>
              </w:rPr>
              <w:t xml:space="preserve">olicy </w:t>
            </w:r>
            <w:r w:rsidR="00B462E6" w:rsidRPr="00320DDF">
              <w:rPr>
                <w:rFonts w:ascii="Garamond" w:hAnsi="Garamond" w:cs="GHEA Grapalat"/>
              </w:rPr>
              <w:t xml:space="preserve">helped shape a </w:t>
            </w:r>
            <w:r w:rsidR="00CF0A3F" w:rsidRPr="00320DDF">
              <w:rPr>
                <w:rFonts w:ascii="Garamond" w:hAnsi="Garamond" w:cs="GHEA Grapalat"/>
              </w:rPr>
              <w:t>low</w:t>
            </w:r>
            <w:r w:rsidR="00B462E6" w:rsidRPr="00320DDF">
              <w:rPr>
                <w:rFonts w:ascii="Garamond" w:hAnsi="Garamond" w:cs="GHEA Grapalat"/>
              </w:rPr>
              <w:t>er</w:t>
            </w:r>
            <w:r w:rsidR="00CF0A3F" w:rsidRPr="00320DDF">
              <w:rPr>
                <w:rFonts w:ascii="Garamond" w:hAnsi="Garamond" w:cs="GHEA Grapalat"/>
              </w:rPr>
              <w:t xml:space="preserve"> </w:t>
            </w:r>
            <w:r w:rsidR="00B462E6" w:rsidRPr="00320DDF">
              <w:rPr>
                <w:rFonts w:ascii="Garamond" w:hAnsi="Garamond" w:cs="GHEA Grapalat"/>
              </w:rPr>
              <w:t xml:space="preserve">level of </w:t>
            </w:r>
            <w:r w:rsidR="00CF0A3F" w:rsidRPr="00320DDF">
              <w:rPr>
                <w:rFonts w:ascii="Garamond" w:hAnsi="Garamond" w:cs="GHEA Grapalat"/>
              </w:rPr>
              <w:t>interest rate</w:t>
            </w:r>
            <w:r w:rsidR="00B462E6" w:rsidRPr="00320DDF">
              <w:rPr>
                <w:rFonts w:ascii="Garamond" w:hAnsi="Garamond" w:cs="GHEA Grapalat"/>
              </w:rPr>
              <w:t xml:space="preserve">s </w:t>
            </w:r>
            <w:r w:rsidR="00CF0A3F" w:rsidRPr="00320DDF">
              <w:rPr>
                <w:rFonts w:ascii="Garamond" w:hAnsi="Garamond" w:cs="GHEA Grapalat"/>
              </w:rPr>
              <w:t>in the future</w:t>
            </w:r>
            <w:r w:rsidR="00B462E6" w:rsidRPr="00320DDF">
              <w:rPr>
                <w:rFonts w:ascii="Garamond" w:hAnsi="Garamond" w:cs="GHEA Grapalat"/>
              </w:rPr>
              <w:t xml:space="preserve"> owing to </w:t>
            </w:r>
            <w:r w:rsidR="00CF0A3F" w:rsidRPr="00320DDF">
              <w:rPr>
                <w:rFonts w:ascii="Garamond" w:hAnsi="Garamond" w:cs="GHEA Grapalat"/>
              </w:rPr>
              <w:t>the decline in inflation</w:t>
            </w:r>
            <w:r w:rsidR="00B462E6" w:rsidRPr="00320DDF">
              <w:rPr>
                <w:rFonts w:ascii="Garamond" w:hAnsi="Garamond" w:cs="GHEA Grapalat"/>
              </w:rPr>
              <w:t>ary</w:t>
            </w:r>
            <w:r w:rsidR="00CF0A3F" w:rsidRPr="00320DDF">
              <w:rPr>
                <w:rFonts w:ascii="Garamond" w:hAnsi="Garamond" w:cs="GHEA Grapalat"/>
              </w:rPr>
              <w:t xml:space="preserve"> expectations.</w:t>
            </w:r>
          </w:p>
          <w:p w14:paraId="55202470" w14:textId="77777777" w:rsidR="005551F5" w:rsidRPr="00320DDF" w:rsidRDefault="005551F5" w:rsidP="00CF0A3F">
            <w:pPr>
              <w:spacing w:line="360" w:lineRule="auto"/>
              <w:jc w:val="both"/>
              <w:rPr>
                <w:rFonts w:ascii="Garamond" w:hAnsi="Garamond" w:cs="GHEA Grapalat"/>
              </w:rPr>
            </w:pPr>
          </w:p>
          <w:p w14:paraId="4D22B088" w14:textId="21C5F23B" w:rsidR="00CF0A3F" w:rsidRPr="00320DDF" w:rsidRDefault="00CF0A3F" w:rsidP="00CF0A3F">
            <w:pPr>
              <w:spacing w:line="360" w:lineRule="auto"/>
              <w:jc w:val="both"/>
              <w:rPr>
                <w:rFonts w:ascii="Garamond" w:hAnsi="Garamond" w:cs="GHEA Grapalat"/>
              </w:rPr>
            </w:pPr>
            <w:r w:rsidRPr="00320DDF">
              <w:rPr>
                <w:rFonts w:ascii="Garamond" w:hAnsi="Garamond" w:cs="GHEA Grapalat"/>
              </w:rPr>
              <w:t xml:space="preserve">As a result, the approach taken has allowed to reduce inflationary expectations, which </w:t>
            </w:r>
            <w:r w:rsidR="007B56F4">
              <w:rPr>
                <w:rFonts w:ascii="Garamond" w:hAnsi="Garamond" w:cs="GHEA Grapalat"/>
              </w:rPr>
              <w:t xml:space="preserve">was </w:t>
            </w:r>
            <w:r w:rsidR="00B462E6" w:rsidRPr="00320DDF">
              <w:rPr>
                <w:rFonts w:ascii="Garamond" w:hAnsi="Garamond" w:cs="GHEA Grapalat"/>
              </w:rPr>
              <w:t>r</w:t>
            </w:r>
            <w:r w:rsidRPr="00320DDF">
              <w:rPr>
                <w:rFonts w:ascii="Garamond" w:hAnsi="Garamond" w:cs="GHEA Grapalat"/>
              </w:rPr>
              <w:t xml:space="preserve">eflected </w:t>
            </w:r>
            <w:r w:rsidR="007B56F4" w:rsidRPr="00320DDF">
              <w:rPr>
                <w:rFonts w:ascii="Garamond" w:hAnsi="Garamond" w:cs="GHEA Grapalat"/>
              </w:rPr>
              <w:t xml:space="preserve">first </w:t>
            </w:r>
            <w:r w:rsidR="007B56F4">
              <w:rPr>
                <w:rFonts w:ascii="Garamond" w:hAnsi="Garamond" w:cs="GHEA Grapalat"/>
              </w:rPr>
              <w:t xml:space="preserve">in </w:t>
            </w:r>
            <w:r w:rsidR="00B462E6" w:rsidRPr="00320DDF">
              <w:rPr>
                <w:rFonts w:ascii="Garamond" w:hAnsi="Garamond" w:cs="GHEA Grapalat"/>
              </w:rPr>
              <w:t>the level of short-</w:t>
            </w:r>
            <w:r w:rsidRPr="00320DDF">
              <w:rPr>
                <w:rFonts w:ascii="Garamond" w:hAnsi="Garamond" w:cs="GHEA Grapalat"/>
              </w:rPr>
              <w:t>term and then long-term interest rate</w:t>
            </w:r>
            <w:r w:rsidR="00B462E6" w:rsidRPr="00320DDF">
              <w:rPr>
                <w:rFonts w:ascii="Garamond" w:hAnsi="Garamond" w:cs="GHEA Grapalat"/>
              </w:rPr>
              <w:t>s in the financial market</w:t>
            </w:r>
            <w:r w:rsidRPr="00320DDF">
              <w:rPr>
                <w:rFonts w:ascii="Garamond" w:hAnsi="Garamond" w:cs="GHEA Grapalat"/>
              </w:rPr>
              <w:t xml:space="preserve">, </w:t>
            </w:r>
            <w:r w:rsidR="007B56F4">
              <w:rPr>
                <w:rFonts w:ascii="Garamond" w:hAnsi="Garamond" w:cs="GHEA Grapalat"/>
              </w:rPr>
              <w:t xml:space="preserve">in </w:t>
            </w:r>
            <w:r w:rsidRPr="00320DDF">
              <w:rPr>
                <w:rFonts w:ascii="Garamond" w:hAnsi="Garamond" w:cs="GHEA Grapalat"/>
              </w:rPr>
              <w:t xml:space="preserve">the </w:t>
            </w:r>
            <w:r w:rsidR="00B462E6" w:rsidRPr="00320DDF">
              <w:rPr>
                <w:rFonts w:ascii="Garamond" w:hAnsi="Garamond" w:cs="GHEA Grapalat"/>
              </w:rPr>
              <w:t xml:space="preserve">level of </w:t>
            </w:r>
            <w:r w:rsidRPr="00320DDF">
              <w:rPr>
                <w:rFonts w:ascii="Garamond" w:hAnsi="Garamond" w:cs="GHEA Grapalat"/>
              </w:rPr>
              <w:t>dollarization and growth rate of cash.</w:t>
            </w:r>
          </w:p>
          <w:p w14:paraId="46DB3510" w14:textId="77777777" w:rsidR="005551F5" w:rsidRPr="00320DDF" w:rsidRDefault="005551F5" w:rsidP="00CF0A3F">
            <w:pPr>
              <w:spacing w:line="360" w:lineRule="auto"/>
              <w:jc w:val="both"/>
              <w:rPr>
                <w:rFonts w:ascii="Garamond" w:hAnsi="Garamond" w:cs="GHEA Grapalat"/>
              </w:rPr>
            </w:pPr>
          </w:p>
          <w:p w14:paraId="628F709D" w14:textId="41EA8C4A" w:rsidR="00CF0A3F" w:rsidRPr="00320DDF" w:rsidRDefault="00B462E6" w:rsidP="00CF0A3F">
            <w:pPr>
              <w:spacing w:line="360" w:lineRule="auto"/>
              <w:jc w:val="both"/>
              <w:rPr>
                <w:rFonts w:ascii="Garamond" w:hAnsi="Garamond" w:cs="GHEA Grapalat"/>
              </w:rPr>
            </w:pPr>
            <w:r w:rsidRPr="00320DDF">
              <w:rPr>
                <w:rFonts w:ascii="Garamond" w:hAnsi="Garamond" w:cs="GHEA Grapalat"/>
              </w:rPr>
              <w:t xml:space="preserve">The </w:t>
            </w:r>
            <w:r w:rsidR="00CF0A3F" w:rsidRPr="00320DDF">
              <w:rPr>
                <w:rFonts w:ascii="Garamond" w:hAnsi="Garamond" w:cs="GHEA Grapalat"/>
              </w:rPr>
              <w:t xml:space="preserve">Central Bank </w:t>
            </w:r>
            <w:r w:rsidRPr="00320DDF">
              <w:rPr>
                <w:rFonts w:ascii="Garamond" w:hAnsi="Garamond" w:cs="GHEA Grapalat"/>
              </w:rPr>
              <w:t xml:space="preserve">policy rate first </w:t>
            </w:r>
            <w:r w:rsidR="00CF0A3F" w:rsidRPr="00320DDF">
              <w:rPr>
                <w:rFonts w:ascii="Garamond" w:hAnsi="Garamond" w:cs="GHEA Grapalat"/>
              </w:rPr>
              <w:t>affected the interbank rates</w:t>
            </w:r>
            <w:r w:rsidRPr="00320DDF">
              <w:rPr>
                <w:rFonts w:ascii="Garamond" w:hAnsi="Garamond" w:cs="GHEA Grapalat"/>
              </w:rPr>
              <w:t>, a short-term</w:t>
            </w:r>
            <w:r w:rsidR="00CF0A3F" w:rsidRPr="00320DDF">
              <w:rPr>
                <w:rFonts w:ascii="Garamond" w:hAnsi="Garamond" w:cs="GHEA Grapalat"/>
              </w:rPr>
              <w:t xml:space="preserve"> </w:t>
            </w:r>
            <w:r w:rsidRPr="00320DDF">
              <w:rPr>
                <w:rFonts w:ascii="Garamond" w:hAnsi="Garamond" w:cs="GHEA Grapalat"/>
              </w:rPr>
              <w:t>segment of</w:t>
            </w:r>
            <w:r w:rsidR="00CF0A3F" w:rsidRPr="00320DDF">
              <w:rPr>
                <w:rFonts w:ascii="Garamond" w:hAnsi="Garamond" w:cs="GHEA Grapalat"/>
              </w:rPr>
              <w:t xml:space="preserve"> the financial market, and then </w:t>
            </w:r>
            <w:r w:rsidRPr="00320DDF">
              <w:rPr>
                <w:rFonts w:ascii="Garamond" w:hAnsi="Garamond" w:cs="GHEA Grapalat"/>
              </w:rPr>
              <w:t xml:space="preserve">it spilled over to </w:t>
            </w:r>
            <w:r w:rsidR="00CF0A3F" w:rsidRPr="00320DDF">
              <w:rPr>
                <w:rFonts w:ascii="Garamond" w:hAnsi="Garamond" w:cs="GHEA Grapalat"/>
              </w:rPr>
              <w:t>the government bond market. The impact o</w:t>
            </w:r>
            <w:r w:rsidRPr="00320DDF">
              <w:rPr>
                <w:rFonts w:ascii="Garamond" w:hAnsi="Garamond" w:cs="GHEA Grapalat"/>
              </w:rPr>
              <w:t>n</w:t>
            </w:r>
            <w:r w:rsidR="00CF0A3F" w:rsidRPr="00320DDF">
              <w:rPr>
                <w:rFonts w:ascii="Garamond" w:hAnsi="Garamond" w:cs="GHEA Grapalat"/>
              </w:rPr>
              <w:t xml:space="preserve"> long-term interest rates </w:t>
            </w:r>
            <w:r w:rsidR="00B4298B" w:rsidRPr="00320DDF">
              <w:rPr>
                <w:rFonts w:ascii="Garamond" w:hAnsi="Garamond" w:cs="GHEA Grapalat"/>
              </w:rPr>
              <w:t xml:space="preserve">has proved to be </w:t>
            </w:r>
            <w:r w:rsidR="00AF422D">
              <w:rPr>
                <w:rFonts w:ascii="Garamond" w:hAnsi="Garamond" w:cs="GHEA Grapalat"/>
              </w:rPr>
              <w:t>gradual</w:t>
            </w:r>
            <w:r w:rsidR="00CF0A3F" w:rsidRPr="00320DDF">
              <w:rPr>
                <w:rFonts w:ascii="Garamond" w:hAnsi="Garamond" w:cs="GHEA Grapalat"/>
              </w:rPr>
              <w:t>.</w:t>
            </w:r>
          </w:p>
          <w:p w14:paraId="33E03404" w14:textId="77777777" w:rsidR="005551F5" w:rsidRPr="00320DDF" w:rsidRDefault="005551F5" w:rsidP="007B3CF8">
            <w:pPr>
              <w:spacing w:line="360" w:lineRule="auto"/>
              <w:jc w:val="both"/>
              <w:rPr>
                <w:rFonts w:ascii="Garamond" w:hAnsi="Garamond" w:cs="GHEA Grapalat"/>
              </w:rPr>
            </w:pPr>
          </w:p>
          <w:p w14:paraId="3B385665" w14:textId="322C9B1D" w:rsidR="00CF0A3F" w:rsidRPr="00320DDF" w:rsidRDefault="007B3CF8" w:rsidP="007B3CF8">
            <w:pPr>
              <w:spacing w:line="360" w:lineRule="auto"/>
              <w:jc w:val="both"/>
              <w:rPr>
                <w:rFonts w:ascii="Garamond" w:hAnsi="Garamond" w:cs="GHEA Grapalat"/>
              </w:rPr>
            </w:pPr>
            <w:r w:rsidRPr="00320DDF">
              <w:rPr>
                <w:rFonts w:ascii="Garamond" w:hAnsi="Garamond" w:cs="GHEA Grapalat"/>
              </w:rPr>
              <w:t>T</w:t>
            </w:r>
            <w:r w:rsidR="00CF0A3F" w:rsidRPr="00320DDF">
              <w:rPr>
                <w:rFonts w:ascii="Garamond" w:hAnsi="Garamond" w:cs="GHEA Grapalat"/>
              </w:rPr>
              <w:t xml:space="preserve">he </w:t>
            </w:r>
            <w:r w:rsidR="00B4298B" w:rsidRPr="00320DDF">
              <w:rPr>
                <w:rFonts w:ascii="Garamond" w:hAnsi="Garamond" w:cs="GHEA Grapalat"/>
              </w:rPr>
              <w:t xml:space="preserve">policy rate </w:t>
            </w:r>
            <w:r w:rsidRPr="00320DDF">
              <w:rPr>
                <w:rFonts w:ascii="Garamond" w:hAnsi="Garamond" w:cs="GHEA Grapalat"/>
              </w:rPr>
              <w:t>reduction by</w:t>
            </w:r>
            <w:r w:rsidR="00B4298B" w:rsidRPr="00320DDF">
              <w:rPr>
                <w:rFonts w:ascii="Garamond" w:hAnsi="Garamond" w:cs="GHEA Grapalat"/>
              </w:rPr>
              <w:t xml:space="preserve"> the C</w:t>
            </w:r>
            <w:r w:rsidR="00CF0A3F" w:rsidRPr="00320DDF">
              <w:rPr>
                <w:rFonts w:ascii="Garamond" w:hAnsi="Garamond" w:cs="GHEA Grapalat"/>
              </w:rPr>
              <w:t xml:space="preserve">entral </w:t>
            </w:r>
            <w:r w:rsidR="00B4298B" w:rsidRPr="00320DDF">
              <w:rPr>
                <w:rFonts w:ascii="Garamond" w:hAnsi="Garamond" w:cs="GHEA Grapalat"/>
              </w:rPr>
              <w:t>B</w:t>
            </w:r>
            <w:r w:rsidR="00CF0A3F" w:rsidRPr="00320DDF">
              <w:rPr>
                <w:rFonts w:ascii="Garamond" w:hAnsi="Garamond" w:cs="GHEA Grapalat"/>
              </w:rPr>
              <w:t xml:space="preserve">ank </w:t>
            </w:r>
            <w:r w:rsidR="00B4298B" w:rsidRPr="00320DDF">
              <w:rPr>
                <w:rFonts w:ascii="Garamond" w:hAnsi="Garamond" w:cs="GHEA Grapalat"/>
              </w:rPr>
              <w:t>e</w:t>
            </w:r>
            <w:r w:rsidR="00CF0A3F" w:rsidRPr="00320DDF">
              <w:rPr>
                <w:rFonts w:ascii="Garamond" w:hAnsi="Garamond" w:cs="GHEA Grapalat"/>
              </w:rPr>
              <w:t xml:space="preserve">ffectively </w:t>
            </w:r>
            <w:r w:rsidR="00274562">
              <w:rPr>
                <w:rFonts w:ascii="Garamond" w:hAnsi="Garamond" w:cs="GHEA Grapalat"/>
              </w:rPr>
              <w:t xml:space="preserve">transmitted </w:t>
            </w:r>
            <w:r w:rsidR="00B4298B" w:rsidRPr="00320DDF">
              <w:rPr>
                <w:rFonts w:ascii="Garamond" w:hAnsi="Garamond" w:cs="GHEA Grapalat"/>
              </w:rPr>
              <w:t>to the interbank</w:t>
            </w:r>
            <w:r w:rsidR="00CF0A3F" w:rsidRPr="00320DDF">
              <w:rPr>
                <w:rFonts w:ascii="Garamond" w:hAnsi="Garamond" w:cs="GHEA Grapalat"/>
              </w:rPr>
              <w:t xml:space="preserve"> loan and government bond market, </w:t>
            </w:r>
            <w:r w:rsidR="00B4298B" w:rsidRPr="00320DDF">
              <w:rPr>
                <w:rFonts w:ascii="Garamond" w:hAnsi="Garamond" w:cs="GHEA Grapalat"/>
              </w:rPr>
              <w:t xml:space="preserve">all along </w:t>
            </w:r>
            <w:r w:rsidR="00CF0A3F" w:rsidRPr="00320DDF">
              <w:rPr>
                <w:rFonts w:ascii="Garamond" w:hAnsi="Garamond" w:cs="GHEA Grapalat"/>
              </w:rPr>
              <w:t xml:space="preserve">the yield curve. Figure </w:t>
            </w:r>
            <w:r w:rsidR="00274562">
              <w:rPr>
                <w:rFonts w:ascii="Garamond" w:hAnsi="Garamond" w:cs="GHEA Grapalat"/>
              </w:rPr>
              <w:t xml:space="preserve">2 </w:t>
            </w:r>
            <w:r w:rsidR="00CF0A3F" w:rsidRPr="00320DDF">
              <w:rPr>
                <w:rFonts w:ascii="Garamond" w:hAnsi="Garamond" w:cs="GHEA Grapalat"/>
              </w:rPr>
              <w:t>show</w:t>
            </w:r>
            <w:r w:rsidR="009B539C" w:rsidRPr="00320DDF">
              <w:rPr>
                <w:rFonts w:ascii="Garamond" w:hAnsi="Garamond" w:cs="GHEA Grapalat"/>
              </w:rPr>
              <w:t>s</w:t>
            </w:r>
            <w:r w:rsidR="00CF0A3F" w:rsidRPr="00320DDF">
              <w:rPr>
                <w:rFonts w:ascii="Garamond" w:hAnsi="Garamond" w:cs="GHEA Grapalat"/>
              </w:rPr>
              <w:t xml:space="preserve"> </w:t>
            </w:r>
            <w:r w:rsidR="009B539C" w:rsidRPr="00320DDF">
              <w:rPr>
                <w:rFonts w:ascii="Garamond" w:hAnsi="Garamond" w:cs="GHEA Grapalat"/>
              </w:rPr>
              <w:t xml:space="preserve">that </w:t>
            </w:r>
            <w:r w:rsidR="00CF0A3F" w:rsidRPr="00320DDF">
              <w:rPr>
                <w:rFonts w:ascii="Garamond" w:hAnsi="Garamond" w:cs="GHEA Grapalat"/>
              </w:rPr>
              <w:t xml:space="preserve">the interbank market rate </w:t>
            </w:r>
            <w:r w:rsidR="009B539C" w:rsidRPr="00320DDF">
              <w:rPr>
                <w:rFonts w:ascii="Garamond" w:hAnsi="Garamond" w:cs="GHEA Grapalat"/>
              </w:rPr>
              <w:t xml:space="preserve">has reacted to the Central Bank </w:t>
            </w:r>
            <w:r w:rsidR="00CF0A3F" w:rsidRPr="00320DDF">
              <w:rPr>
                <w:rFonts w:ascii="Garamond" w:hAnsi="Garamond" w:cs="GHEA Grapalat"/>
              </w:rPr>
              <w:t xml:space="preserve">policy </w:t>
            </w:r>
            <w:r w:rsidR="009B539C" w:rsidRPr="00320DDF">
              <w:rPr>
                <w:rFonts w:ascii="Garamond" w:hAnsi="Garamond" w:cs="GHEA Grapalat"/>
              </w:rPr>
              <w:t>rate</w:t>
            </w:r>
            <w:r w:rsidR="00CF0A3F" w:rsidRPr="00320DDF">
              <w:rPr>
                <w:rFonts w:ascii="Garamond" w:hAnsi="Garamond" w:cs="GHEA Grapalat"/>
              </w:rPr>
              <w:t xml:space="preserve"> </w:t>
            </w:r>
            <w:r w:rsidR="00274562" w:rsidRPr="00320DDF">
              <w:rPr>
                <w:rFonts w:ascii="Garamond" w:hAnsi="Garamond" w:cs="GHEA Grapalat"/>
              </w:rPr>
              <w:t>over the entire course of easing of monetary conditions</w:t>
            </w:r>
            <w:r w:rsidR="00274562">
              <w:rPr>
                <w:rFonts w:ascii="Garamond" w:hAnsi="Garamond" w:cs="GHEA Grapalat"/>
              </w:rPr>
              <w:t xml:space="preserve"> being </w:t>
            </w:r>
            <w:proofErr w:type="gramStart"/>
            <w:r w:rsidR="00274562">
              <w:rPr>
                <w:rFonts w:ascii="Garamond" w:hAnsi="Garamond" w:cs="GHEA Grapalat"/>
              </w:rPr>
              <w:t xml:space="preserve">decreased </w:t>
            </w:r>
            <w:r w:rsidR="009B539C" w:rsidRPr="00320DDF">
              <w:rPr>
                <w:rFonts w:ascii="Garamond" w:hAnsi="Garamond" w:cs="GHEA Grapalat"/>
              </w:rPr>
              <w:t xml:space="preserve"> </w:t>
            </w:r>
            <w:r w:rsidR="00CF0A3F" w:rsidRPr="00320DDF">
              <w:rPr>
                <w:rFonts w:ascii="Garamond" w:hAnsi="Garamond" w:cs="GHEA Grapalat"/>
              </w:rPr>
              <w:t>by</w:t>
            </w:r>
            <w:proofErr w:type="gramEnd"/>
            <w:r w:rsidR="00CF0A3F" w:rsidRPr="00320DDF">
              <w:rPr>
                <w:rFonts w:ascii="Garamond" w:hAnsi="Garamond" w:cs="GHEA Grapalat"/>
              </w:rPr>
              <w:t xml:space="preserve"> 4.5 percentage points</w:t>
            </w:r>
            <w:r w:rsidR="00274562">
              <w:rPr>
                <w:rFonts w:ascii="Garamond" w:hAnsi="Garamond" w:cs="GHEA Grapalat"/>
              </w:rPr>
              <w:t>.</w:t>
            </w:r>
          </w:p>
          <w:p w14:paraId="7B572B77" w14:textId="77777777" w:rsidR="007B3CF8" w:rsidRPr="00320DDF" w:rsidRDefault="007B3CF8" w:rsidP="007B3CF8">
            <w:pPr>
              <w:spacing w:line="360" w:lineRule="auto"/>
              <w:jc w:val="both"/>
              <w:rPr>
                <w:rFonts w:ascii="Garamond" w:hAnsi="Garamond" w:cs="GHEA Grapalat"/>
              </w:rPr>
            </w:pPr>
          </w:p>
          <w:p w14:paraId="5A2B7F12" w14:textId="77777777" w:rsidR="007B3CF8" w:rsidRPr="00320DDF" w:rsidRDefault="005551F5" w:rsidP="007B3CF8">
            <w:pPr>
              <w:spacing w:line="360" w:lineRule="auto"/>
              <w:jc w:val="both"/>
              <w:rPr>
                <w:rFonts w:ascii="Garamond" w:hAnsi="Garamond" w:cs="GHEA Grapalat"/>
              </w:rPr>
            </w:pPr>
            <w:r w:rsidRPr="00320DDF">
              <w:rPr>
                <w:rFonts w:ascii="Garamond" w:hAnsi="Garamond" w:cs="GHEA Grapalat"/>
              </w:rPr>
              <w:t>The government bond market yield-to-</w:t>
            </w:r>
            <w:r w:rsidR="007B3CF8" w:rsidRPr="00320DDF">
              <w:rPr>
                <w:rFonts w:ascii="Garamond" w:hAnsi="Garamond" w:cs="GHEA Grapalat"/>
              </w:rPr>
              <w:t>maturit</w:t>
            </w:r>
            <w:r w:rsidRPr="00320DDF">
              <w:rPr>
                <w:rFonts w:ascii="Garamond" w:hAnsi="Garamond" w:cs="GHEA Grapalat"/>
              </w:rPr>
              <w:t xml:space="preserve">y curve diagram clearly shows the </w:t>
            </w:r>
            <w:r w:rsidR="007B3CF8" w:rsidRPr="00320DDF">
              <w:rPr>
                <w:rFonts w:ascii="Garamond" w:hAnsi="Garamond" w:cs="GHEA Grapalat"/>
              </w:rPr>
              <w:t>yield curve</w:t>
            </w:r>
            <w:r w:rsidRPr="00320DDF">
              <w:rPr>
                <w:rFonts w:ascii="Garamond" w:hAnsi="Garamond" w:cs="GHEA Grapalat"/>
              </w:rPr>
              <w:t xml:space="preserve"> having shifted in parallel</w:t>
            </w:r>
            <w:r w:rsidR="007B3CF8" w:rsidRPr="00320DDF">
              <w:rPr>
                <w:rFonts w:ascii="Garamond" w:hAnsi="Garamond" w:cs="GHEA Grapalat"/>
              </w:rPr>
              <w:t xml:space="preserve">, which means that the </w:t>
            </w:r>
            <w:r w:rsidRPr="00320DDF">
              <w:rPr>
                <w:rFonts w:ascii="Garamond" w:hAnsi="Garamond" w:cs="GHEA Grapalat"/>
              </w:rPr>
              <w:t xml:space="preserve">Central Bank policy rate cut has </w:t>
            </w:r>
            <w:r w:rsidR="007B3CF8" w:rsidRPr="00320DDF">
              <w:rPr>
                <w:rFonts w:ascii="Garamond" w:hAnsi="Garamond" w:cs="GHEA Grapalat"/>
              </w:rPr>
              <w:t>trans</w:t>
            </w:r>
            <w:r w:rsidRPr="00320DDF">
              <w:rPr>
                <w:rFonts w:ascii="Garamond" w:hAnsi="Garamond" w:cs="GHEA Grapalat"/>
              </w:rPr>
              <w:t>mitted</w:t>
            </w:r>
            <w:r w:rsidR="007B3CF8" w:rsidRPr="00320DDF">
              <w:rPr>
                <w:rFonts w:ascii="Garamond" w:hAnsi="Garamond" w:cs="GHEA Grapalat"/>
              </w:rPr>
              <w:t xml:space="preserve"> </w:t>
            </w:r>
            <w:r w:rsidRPr="00320DDF">
              <w:rPr>
                <w:rFonts w:ascii="Garamond" w:hAnsi="Garamond" w:cs="GHEA Grapalat"/>
              </w:rPr>
              <w:t>on</w:t>
            </w:r>
            <w:r w:rsidR="007B3CF8" w:rsidRPr="00320DDF">
              <w:rPr>
                <w:rFonts w:ascii="Garamond" w:hAnsi="Garamond" w:cs="GHEA Grapalat"/>
              </w:rPr>
              <w:t>to</w:t>
            </w:r>
            <w:r w:rsidRPr="00320DDF">
              <w:rPr>
                <w:rFonts w:ascii="Garamond" w:hAnsi="Garamond" w:cs="GHEA Grapalat"/>
              </w:rPr>
              <w:t xml:space="preserve"> both </w:t>
            </w:r>
            <w:r w:rsidR="007B3CF8" w:rsidRPr="00320DDF">
              <w:rPr>
                <w:rFonts w:ascii="Garamond" w:hAnsi="Garamond" w:cs="GHEA Grapalat"/>
              </w:rPr>
              <w:t>short-term and long-term segments</w:t>
            </w:r>
            <w:r w:rsidRPr="00320DDF">
              <w:rPr>
                <w:rFonts w:ascii="Garamond" w:hAnsi="Garamond" w:cs="GHEA Grapalat"/>
              </w:rPr>
              <w:t xml:space="preserve"> of the curve</w:t>
            </w:r>
            <w:r w:rsidR="007B3CF8" w:rsidRPr="00320DDF">
              <w:rPr>
                <w:rFonts w:ascii="Garamond" w:hAnsi="Garamond" w:cs="GHEA Grapalat"/>
              </w:rPr>
              <w:t xml:space="preserve">. The decline in short-term interest rates </w:t>
            </w:r>
            <w:r w:rsidRPr="00320DDF">
              <w:rPr>
                <w:rFonts w:ascii="Garamond" w:hAnsi="Garamond" w:cs="GHEA Grapalat"/>
              </w:rPr>
              <w:t xml:space="preserve">in that period of time reached nearly </w:t>
            </w:r>
            <w:r w:rsidR="007B3CF8" w:rsidRPr="00320DDF">
              <w:rPr>
                <w:rFonts w:ascii="Garamond" w:hAnsi="Garamond" w:cs="GHEA Grapalat"/>
              </w:rPr>
              <w:t xml:space="preserve">6 percentage points, reflecting a further increase </w:t>
            </w:r>
            <w:r w:rsidRPr="00320DDF">
              <w:rPr>
                <w:rFonts w:ascii="Garamond" w:hAnsi="Garamond" w:cs="GHEA Grapalat"/>
              </w:rPr>
              <w:t xml:space="preserve">in </w:t>
            </w:r>
            <w:r w:rsidR="007B3CF8" w:rsidRPr="00320DDF">
              <w:rPr>
                <w:rFonts w:ascii="Garamond" w:hAnsi="Garamond" w:cs="GHEA Grapalat"/>
              </w:rPr>
              <w:t>the short-term stability</w:t>
            </w:r>
            <w:r w:rsidRPr="00320DDF">
              <w:rPr>
                <w:rFonts w:ascii="Garamond" w:hAnsi="Garamond" w:cs="GHEA Grapalat"/>
              </w:rPr>
              <w:t xml:space="preserve"> confidence</w:t>
            </w:r>
            <w:r w:rsidR="007B3CF8" w:rsidRPr="00320DDF">
              <w:rPr>
                <w:rFonts w:ascii="Garamond" w:hAnsi="Garamond" w:cs="GHEA Grapalat"/>
              </w:rPr>
              <w:t xml:space="preserve">. Long-term interest rates </w:t>
            </w:r>
            <w:r w:rsidRPr="00320DDF">
              <w:rPr>
                <w:rFonts w:ascii="Garamond" w:hAnsi="Garamond" w:cs="GHEA Grapalat"/>
              </w:rPr>
              <w:t>have fallen by</w:t>
            </w:r>
            <w:r w:rsidR="007B3CF8" w:rsidRPr="00320DDF">
              <w:rPr>
                <w:rFonts w:ascii="Garamond" w:hAnsi="Garamond" w:cs="GHEA Grapalat"/>
              </w:rPr>
              <w:t xml:space="preserve"> about 3 percentage points, as the long-term inflation expectations of financial market participants </w:t>
            </w:r>
            <w:r w:rsidRPr="00320DDF">
              <w:rPr>
                <w:rFonts w:ascii="Garamond" w:hAnsi="Garamond" w:cs="GHEA Grapalat"/>
              </w:rPr>
              <w:t>have reduced to a lesser extent</w:t>
            </w:r>
            <w:r w:rsidR="007B3CF8" w:rsidRPr="00320DDF">
              <w:rPr>
                <w:rFonts w:ascii="Garamond" w:hAnsi="Garamond" w:cs="GHEA Grapalat"/>
              </w:rPr>
              <w:t>.</w:t>
            </w:r>
          </w:p>
          <w:p w14:paraId="51B6C5B5" w14:textId="77777777" w:rsidR="005551F5" w:rsidRPr="00320DDF" w:rsidRDefault="005551F5" w:rsidP="007B3CF8">
            <w:pPr>
              <w:spacing w:line="360" w:lineRule="auto"/>
              <w:jc w:val="both"/>
              <w:rPr>
                <w:rFonts w:ascii="Garamond" w:hAnsi="Garamond" w:cs="GHEA Grapalat"/>
              </w:rPr>
            </w:pPr>
          </w:p>
          <w:p w14:paraId="6BCB875E" w14:textId="77777777" w:rsidR="007B3CF8" w:rsidRPr="00320DDF" w:rsidRDefault="007B3CF8" w:rsidP="007B3CF8">
            <w:pPr>
              <w:spacing w:line="360" w:lineRule="auto"/>
              <w:jc w:val="both"/>
              <w:rPr>
                <w:rFonts w:ascii="Garamond" w:hAnsi="Garamond" w:cs="GHEA Grapalat"/>
              </w:rPr>
            </w:pPr>
            <w:r w:rsidRPr="00320DDF">
              <w:rPr>
                <w:rFonts w:ascii="Garamond" w:hAnsi="Garamond" w:cs="GHEA Grapalat"/>
              </w:rPr>
              <w:t xml:space="preserve">It should be noted, however, that the decline in interest rates on loans and deposits is taking place at a slower pace, which, </w:t>
            </w:r>
            <w:r w:rsidR="005551F5" w:rsidRPr="00320DDF">
              <w:rPr>
                <w:rFonts w:ascii="Garamond" w:hAnsi="Garamond" w:cs="GHEA Grapalat"/>
              </w:rPr>
              <w:t xml:space="preserve">apart from </w:t>
            </w:r>
            <w:r w:rsidRPr="00320DDF">
              <w:rPr>
                <w:rFonts w:ascii="Garamond" w:hAnsi="Garamond" w:cs="GHEA Grapalat"/>
              </w:rPr>
              <w:t xml:space="preserve">monetary conditions, </w:t>
            </w:r>
            <w:r w:rsidR="005551F5" w:rsidRPr="00320DDF">
              <w:rPr>
                <w:rFonts w:ascii="Garamond" w:hAnsi="Garamond" w:cs="GHEA Grapalat"/>
              </w:rPr>
              <w:t>depends on the</w:t>
            </w:r>
            <w:r w:rsidRPr="00320DDF">
              <w:rPr>
                <w:rFonts w:ascii="Garamond" w:hAnsi="Garamond" w:cs="GHEA Grapalat"/>
              </w:rPr>
              <w:t xml:space="preserve"> influence of other factors. In particular, the economic developments of 2014 </w:t>
            </w:r>
            <w:r w:rsidR="0076442D" w:rsidRPr="00320DDF">
              <w:rPr>
                <w:rFonts w:ascii="Garamond" w:hAnsi="Garamond" w:cs="GHEA Grapalat"/>
              </w:rPr>
              <w:t>have added to the</w:t>
            </w:r>
            <w:r w:rsidRPr="00320DDF">
              <w:rPr>
                <w:rFonts w:ascii="Garamond" w:hAnsi="Garamond" w:cs="GHEA Grapalat"/>
              </w:rPr>
              <w:t xml:space="preserve"> uncertainty </w:t>
            </w:r>
            <w:r w:rsidR="0076442D" w:rsidRPr="00320DDF">
              <w:rPr>
                <w:rFonts w:ascii="Garamond" w:hAnsi="Garamond" w:cs="GHEA Grapalat"/>
              </w:rPr>
              <w:t xml:space="preserve">about </w:t>
            </w:r>
            <w:r w:rsidRPr="00320DDF">
              <w:rPr>
                <w:rFonts w:ascii="Garamond" w:hAnsi="Garamond" w:cs="GHEA Grapalat"/>
              </w:rPr>
              <w:t xml:space="preserve">future revenue growth of businesses, which had a great impact on the creditworthiness of the </w:t>
            </w:r>
            <w:r w:rsidR="0076442D" w:rsidRPr="00320DDF">
              <w:rPr>
                <w:rFonts w:ascii="Garamond" w:hAnsi="Garamond" w:cs="GHEA Grapalat"/>
              </w:rPr>
              <w:t>households</w:t>
            </w:r>
            <w:r w:rsidRPr="00320DDF">
              <w:rPr>
                <w:rFonts w:ascii="Garamond" w:hAnsi="Garamond" w:cs="GHEA Grapalat"/>
              </w:rPr>
              <w:t>. Th</w:t>
            </w:r>
            <w:r w:rsidR="0076442D" w:rsidRPr="00320DDF">
              <w:rPr>
                <w:rFonts w:ascii="Garamond" w:hAnsi="Garamond" w:cs="GHEA Grapalat"/>
              </w:rPr>
              <w:t>is risk coming from the</w:t>
            </w:r>
            <w:r w:rsidRPr="00320DDF">
              <w:rPr>
                <w:rFonts w:ascii="Garamond" w:hAnsi="Garamond" w:cs="GHEA Grapalat"/>
              </w:rPr>
              <w:t xml:space="preserve"> real </w:t>
            </w:r>
            <w:r w:rsidR="0076442D" w:rsidRPr="00320DDF">
              <w:rPr>
                <w:rFonts w:ascii="Garamond" w:hAnsi="Garamond" w:cs="GHEA Grapalat"/>
              </w:rPr>
              <w:t>sector has</w:t>
            </w:r>
            <w:r w:rsidRPr="00320DDF">
              <w:rPr>
                <w:rFonts w:ascii="Garamond" w:hAnsi="Garamond" w:cs="GHEA Grapalat"/>
              </w:rPr>
              <w:t xml:space="preserve"> </w:t>
            </w:r>
            <w:r w:rsidR="0076442D" w:rsidRPr="00320DDF">
              <w:rPr>
                <w:rFonts w:ascii="Garamond" w:hAnsi="Garamond" w:cs="GHEA Grapalat"/>
              </w:rPr>
              <w:t xml:space="preserve">decelerated </w:t>
            </w:r>
            <w:r w:rsidRPr="00320DDF">
              <w:rPr>
                <w:rFonts w:ascii="Garamond" w:hAnsi="Garamond" w:cs="GHEA Grapalat"/>
              </w:rPr>
              <w:t>the lenders</w:t>
            </w:r>
            <w:r w:rsidR="0076442D" w:rsidRPr="00320DDF">
              <w:rPr>
                <w:rFonts w:ascii="Garamond" w:hAnsi="Garamond" w:cs="GHEA Grapalat"/>
              </w:rPr>
              <w:t xml:space="preserve">’ </w:t>
            </w:r>
            <w:r w:rsidR="0015203A" w:rsidRPr="00320DDF">
              <w:rPr>
                <w:rFonts w:ascii="Garamond" w:hAnsi="Garamond" w:cs="GHEA Grapalat"/>
              </w:rPr>
              <w:t xml:space="preserve">propensity </w:t>
            </w:r>
            <w:r w:rsidRPr="00320DDF">
              <w:rPr>
                <w:rFonts w:ascii="Garamond" w:hAnsi="Garamond" w:cs="GHEA Grapalat"/>
              </w:rPr>
              <w:t xml:space="preserve">to reduce </w:t>
            </w:r>
            <w:r w:rsidR="0076442D" w:rsidRPr="00320DDF">
              <w:rPr>
                <w:rFonts w:ascii="Garamond" w:hAnsi="Garamond" w:cs="GHEA Grapalat"/>
              </w:rPr>
              <w:t xml:space="preserve">the dram </w:t>
            </w:r>
            <w:r w:rsidRPr="00320DDF">
              <w:rPr>
                <w:rFonts w:ascii="Garamond" w:hAnsi="Garamond" w:cs="GHEA Grapalat"/>
              </w:rPr>
              <w:t>interest rates.</w:t>
            </w:r>
          </w:p>
          <w:p w14:paraId="7A152073" w14:textId="77777777" w:rsidR="0015203A" w:rsidRPr="00320DDF" w:rsidRDefault="0015203A" w:rsidP="007B3CF8">
            <w:pPr>
              <w:spacing w:line="360" w:lineRule="auto"/>
              <w:jc w:val="both"/>
              <w:rPr>
                <w:rFonts w:ascii="Garamond" w:hAnsi="Garamond" w:cs="GHEA Grapalat"/>
              </w:rPr>
            </w:pPr>
          </w:p>
          <w:p w14:paraId="178ACCFF" w14:textId="77777777" w:rsidR="007B3CF8" w:rsidRPr="00320DDF" w:rsidRDefault="007B3CF8" w:rsidP="007B3CF8">
            <w:pPr>
              <w:spacing w:line="360" w:lineRule="auto"/>
              <w:jc w:val="both"/>
              <w:rPr>
                <w:rFonts w:ascii="Garamond" w:hAnsi="Garamond" w:cs="GHEA Grapalat"/>
              </w:rPr>
            </w:pPr>
            <w:r w:rsidRPr="00320DDF">
              <w:rPr>
                <w:rFonts w:ascii="Garamond" w:hAnsi="Garamond" w:cs="GHEA Grapalat"/>
              </w:rPr>
              <w:t>The impact of the</w:t>
            </w:r>
            <w:r w:rsidR="0015203A" w:rsidRPr="00320DDF">
              <w:rPr>
                <w:rFonts w:ascii="Garamond" w:hAnsi="Garamond" w:cs="GHEA Grapalat"/>
              </w:rPr>
              <w:t xml:space="preserve"> Central Bank </w:t>
            </w:r>
            <w:r w:rsidRPr="00320DDF">
              <w:rPr>
                <w:rFonts w:ascii="Garamond" w:hAnsi="Garamond" w:cs="GHEA Grapalat"/>
              </w:rPr>
              <w:t xml:space="preserve">policy </w:t>
            </w:r>
            <w:r w:rsidR="0015203A" w:rsidRPr="00320DDF">
              <w:rPr>
                <w:rFonts w:ascii="Garamond" w:hAnsi="Garamond" w:cs="GHEA Grapalat"/>
              </w:rPr>
              <w:t xml:space="preserve">rate on </w:t>
            </w:r>
            <w:r w:rsidRPr="00320DDF">
              <w:rPr>
                <w:rFonts w:ascii="Garamond" w:hAnsi="Garamond" w:cs="GHEA Grapalat"/>
              </w:rPr>
              <w:t xml:space="preserve">interest rates on foreign currency deposits and loans is </w:t>
            </w:r>
            <w:r w:rsidR="0015203A" w:rsidRPr="00320DDF">
              <w:rPr>
                <w:rFonts w:ascii="Garamond" w:hAnsi="Garamond" w:cs="GHEA Grapalat"/>
              </w:rPr>
              <w:t>much lesser</w:t>
            </w:r>
            <w:r w:rsidRPr="00320DDF">
              <w:rPr>
                <w:rFonts w:ascii="Garamond" w:hAnsi="Garamond" w:cs="GHEA Grapalat"/>
              </w:rPr>
              <w:t xml:space="preserve">. </w:t>
            </w:r>
            <w:r w:rsidR="0015203A" w:rsidRPr="00320DDF">
              <w:rPr>
                <w:rFonts w:ascii="Garamond" w:hAnsi="Garamond" w:cs="GHEA Grapalat"/>
              </w:rPr>
              <w:t>I</w:t>
            </w:r>
            <w:r w:rsidRPr="00320DDF">
              <w:rPr>
                <w:rFonts w:ascii="Garamond" w:hAnsi="Garamond" w:cs="GHEA Grapalat"/>
              </w:rPr>
              <w:t xml:space="preserve">nterest rates on foreign currency funds, in addition, </w:t>
            </w:r>
            <w:r w:rsidR="0015203A" w:rsidRPr="00320DDF">
              <w:rPr>
                <w:rFonts w:ascii="Garamond" w:hAnsi="Garamond" w:cs="GHEA Grapalat"/>
              </w:rPr>
              <w:t xml:space="preserve">are </w:t>
            </w:r>
            <w:r w:rsidRPr="00320DDF">
              <w:rPr>
                <w:rFonts w:ascii="Garamond" w:hAnsi="Garamond" w:cs="GHEA Grapalat"/>
              </w:rPr>
              <w:t xml:space="preserve">affected by </w:t>
            </w:r>
            <w:r w:rsidR="0015203A" w:rsidRPr="00320DDF">
              <w:rPr>
                <w:rFonts w:ascii="Garamond" w:hAnsi="Garamond" w:cs="GHEA Grapalat"/>
              </w:rPr>
              <w:t>more</w:t>
            </w:r>
            <w:r w:rsidRPr="00320DDF">
              <w:rPr>
                <w:rFonts w:ascii="Garamond" w:hAnsi="Garamond" w:cs="GHEA Grapalat"/>
              </w:rPr>
              <w:t xml:space="preserve"> factors such as exchange rate expectations</w:t>
            </w:r>
            <w:r w:rsidR="0015203A" w:rsidRPr="00320DDF">
              <w:rPr>
                <w:rFonts w:ascii="Garamond" w:hAnsi="Garamond" w:cs="GHEA Grapalat"/>
              </w:rPr>
              <w:t xml:space="preserve"> and foreign interest rates</w:t>
            </w:r>
            <w:r w:rsidRPr="00320DDF">
              <w:rPr>
                <w:rFonts w:ascii="Garamond" w:hAnsi="Garamond" w:cs="GHEA Grapalat"/>
              </w:rPr>
              <w:t xml:space="preserve">. Specifically, the target rate of the US Federal Reserve System, which has been raised by 0.75 percentage point </w:t>
            </w:r>
            <w:r w:rsidR="0015203A" w:rsidRPr="00320DDF">
              <w:rPr>
                <w:rFonts w:ascii="Garamond" w:hAnsi="Garamond" w:cs="GHEA Grapalat"/>
              </w:rPr>
              <w:t xml:space="preserve">since 2015 </w:t>
            </w:r>
            <w:r w:rsidRPr="00320DDF">
              <w:rPr>
                <w:rFonts w:ascii="Garamond" w:hAnsi="Garamond" w:cs="GHEA Grapalat"/>
              </w:rPr>
              <w:t>and is expected that i</w:t>
            </w:r>
            <w:r w:rsidR="0015203A" w:rsidRPr="00320DDF">
              <w:rPr>
                <w:rFonts w:ascii="Garamond" w:hAnsi="Garamond" w:cs="GHEA Grapalat"/>
              </w:rPr>
              <w:t xml:space="preserve">t will continue to </w:t>
            </w:r>
            <w:r w:rsidRPr="00320DDF">
              <w:rPr>
                <w:rFonts w:ascii="Garamond" w:hAnsi="Garamond" w:cs="GHEA Grapalat"/>
              </w:rPr>
              <w:t>grow slowly</w:t>
            </w:r>
            <w:r w:rsidR="0015203A" w:rsidRPr="00320DDF">
              <w:rPr>
                <w:rFonts w:ascii="Garamond" w:hAnsi="Garamond" w:cs="GHEA Grapalat"/>
              </w:rPr>
              <w:t xml:space="preserve"> in the future</w:t>
            </w:r>
            <w:r w:rsidRPr="00320DDF">
              <w:rPr>
                <w:rFonts w:ascii="Garamond" w:hAnsi="Garamond" w:cs="GHEA Grapalat"/>
              </w:rPr>
              <w:t>.</w:t>
            </w:r>
          </w:p>
          <w:p w14:paraId="42E717CC" w14:textId="77777777" w:rsidR="0015203A" w:rsidRPr="00320DDF" w:rsidRDefault="0015203A" w:rsidP="007B3CF8">
            <w:pPr>
              <w:spacing w:line="360" w:lineRule="auto"/>
              <w:jc w:val="both"/>
              <w:rPr>
                <w:rFonts w:ascii="Garamond" w:hAnsi="Garamond" w:cs="GHEA Grapalat"/>
              </w:rPr>
            </w:pPr>
          </w:p>
          <w:p w14:paraId="3688B9B0" w14:textId="671AD2E4" w:rsidR="007B3CF8" w:rsidRPr="00320DDF" w:rsidRDefault="00387D46" w:rsidP="00D13110">
            <w:pPr>
              <w:spacing w:line="360" w:lineRule="auto"/>
              <w:jc w:val="both"/>
              <w:rPr>
                <w:rFonts w:ascii="Garamond" w:hAnsi="Garamond" w:cs="GHEA Grapalat"/>
              </w:rPr>
            </w:pPr>
            <w:r w:rsidRPr="00320DDF">
              <w:rPr>
                <w:rFonts w:ascii="Garamond" w:hAnsi="Garamond" w:cs="GHEA Grapalat"/>
              </w:rPr>
              <w:t>Also, t</w:t>
            </w:r>
            <w:r w:rsidR="007B3CF8" w:rsidRPr="00320DDF">
              <w:rPr>
                <w:rFonts w:ascii="Garamond" w:hAnsi="Garamond" w:cs="GHEA Grapalat"/>
              </w:rPr>
              <w:t>h</w:t>
            </w:r>
            <w:r w:rsidR="0015203A" w:rsidRPr="00320DDF">
              <w:rPr>
                <w:rFonts w:ascii="Garamond" w:hAnsi="Garamond" w:cs="GHEA Grapalat"/>
              </w:rPr>
              <w:t xml:space="preserve">e falling of interest rates, </w:t>
            </w:r>
            <w:r w:rsidR="007B3CF8" w:rsidRPr="00320DDF">
              <w:rPr>
                <w:rFonts w:ascii="Garamond" w:hAnsi="Garamond" w:cs="GHEA Grapalat"/>
              </w:rPr>
              <w:t>combined with the stability of the financial markets</w:t>
            </w:r>
            <w:r w:rsidR="0015203A" w:rsidRPr="00320DDF">
              <w:rPr>
                <w:rFonts w:ascii="Garamond" w:hAnsi="Garamond" w:cs="GHEA Grapalat"/>
              </w:rPr>
              <w:t>,</w:t>
            </w:r>
            <w:r w:rsidR="007B3CF8" w:rsidRPr="00320DDF">
              <w:rPr>
                <w:rFonts w:ascii="Garamond" w:hAnsi="Garamond" w:cs="GHEA Grapalat"/>
              </w:rPr>
              <w:t xml:space="preserve"> has led</w:t>
            </w:r>
            <w:r w:rsidR="0015203A" w:rsidRPr="00320DDF">
              <w:rPr>
                <w:rFonts w:ascii="Garamond" w:hAnsi="Garamond" w:cs="GHEA Grapalat"/>
              </w:rPr>
              <w:t xml:space="preserve"> to reduced </w:t>
            </w:r>
            <w:r w:rsidR="007B3CF8" w:rsidRPr="00320DDF">
              <w:rPr>
                <w:rFonts w:ascii="Garamond" w:hAnsi="Garamond" w:cs="GHEA Grapalat"/>
              </w:rPr>
              <w:t>dollarization</w:t>
            </w:r>
            <w:r w:rsidR="0015203A" w:rsidRPr="00320DDF">
              <w:rPr>
                <w:rFonts w:ascii="Garamond" w:hAnsi="Garamond" w:cs="GHEA Grapalat"/>
              </w:rPr>
              <w:t xml:space="preserve"> and </w:t>
            </w:r>
            <w:r w:rsidRPr="00320DDF">
              <w:rPr>
                <w:rFonts w:ascii="Garamond" w:hAnsi="Garamond" w:cs="GHEA Grapalat"/>
              </w:rPr>
              <w:t xml:space="preserve">change in </w:t>
            </w:r>
            <w:r w:rsidR="007B3CF8" w:rsidRPr="00320DDF">
              <w:rPr>
                <w:rFonts w:ascii="Garamond" w:hAnsi="Garamond" w:cs="GHEA Grapalat"/>
              </w:rPr>
              <w:t>behavior</w:t>
            </w:r>
            <w:r w:rsidR="00D13110">
              <w:rPr>
                <w:rFonts w:ascii="Garamond" w:hAnsi="Garamond" w:cs="GHEA Grapalat"/>
              </w:rPr>
              <w:t xml:space="preserve"> </w:t>
            </w:r>
            <w:r w:rsidRPr="00320DDF">
              <w:rPr>
                <w:rFonts w:ascii="Garamond" w:hAnsi="Garamond" w:cs="GHEA Grapalat"/>
              </w:rPr>
              <w:t xml:space="preserve">of people </w:t>
            </w:r>
            <w:r w:rsidR="007B3CF8" w:rsidRPr="00320DDF">
              <w:rPr>
                <w:rFonts w:ascii="Garamond" w:hAnsi="Garamond" w:cs="GHEA Grapalat"/>
              </w:rPr>
              <w:t>to avoid cash, as well as, among other factors, contribut</w:t>
            </w:r>
            <w:r w:rsidR="0015203A" w:rsidRPr="00320DDF">
              <w:rPr>
                <w:rFonts w:ascii="Garamond" w:hAnsi="Garamond" w:cs="GHEA Grapalat"/>
              </w:rPr>
              <w:t>ed</w:t>
            </w:r>
            <w:r w:rsidR="007B3CF8" w:rsidRPr="00320DDF">
              <w:rPr>
                <w:rFonts w:ascii="Garamond" w:hAnsi="Garamond" w:cs="GHEA Grapalat"/>
              </w:rPr>
              <w:t xml:space="preserve"> to the recovery of domestic demand.</w:t>
            </w:r>
          </w:p>
        </w:tc>
      </w:tr>
    </w:tbl>
    <w:p w14:paraId="11B7F206" w14:textId="77777777" w:rsidR="00CF0A3F" w:rsidRPr="00320DDF" w:rsidRDefault="00CF0A3F" w:rsidP="0006101A">
      <w:pPr>
        <w:spacing w:line="360" w:lineRule="auto"/>
        <w:jc w:val="both"/>
        <w:rPr>
          <w:rFonts w:ascii="Garamond" w:hAnsi="Garamond" w:cs="GHEA Grapalat"/>
          <w:sz w:val="22"/>
          <w:szCs w:val="22"/>
        </w:rPr>
      </w:pPr>
    </w:p>
    <w:p w14:paraId="58CC8275" w14:textId="77777777" w:rsidR="00125313" w:rsidRPr="00320DDF" w:rsidRDefault="00C228D3" w:rsidP="0006101A">
      <w:pPr>
        <w:spacing w:line="360" w:lineRule="auto"/>
        <w:jc w:val="both"/>
        <w:rPr>
          <w:rFonts w:ascii="Garamond" w:hAnsi="Garamond" w:cs="GHEA Grapalat"/>
          <w:sz w:val="22"/>
          <w:szCs w:val="22"/>
        </w:rPr>
      </w:pPr>
      <w:r w:rsidRPr="00320DDF">
        <w:rPr>
          <w:rFonts w:ascii="Garamond" w:hAnsi="Garamond" w:cs="GHEA Grapalat"/>
          <w:sz w:val="22"/>
          <w:szCs w:val="22"/>
        </w:rPr>
        <w:t>In the first quarter of 2017 short-term market rates approached the Central Bank’s policy rate after the Central Bank used an appropriate liquidity management toolkit. So, interbank repo rate stood at 6.03% in March, growing by 0.24 pp against December of 2016, and the average quarterly indicator decreased by 0.13 pp to 6.06%.</w:t>
      </w:r>
    </w:p>
    <w:p w14:paraId="38B597C6" w14:textId="77777777" w:rsidR="00C228D3" w:rsidRPr="00320DDF" w:rsidRDefault="00C228D3" w:rsidP="0006101A">
      <w:pPr>
        <w:spacing w:line="360" w:lineRule="auto"/>
        <w:jc w:val="both"/>
        <w:rPr>
          <w:rFonts w:ascii="Garamond" w:hAnsi="Garamond" w:cs="GHEA Grapalat"/>
          <w:sz w:val="22"/>
          <w:szCs w:val="22"/>
        </w:rPr>
      </w:pPr>
    </w:p>
    <w:p w14:paraId="298C5588" w14:textId="77777777" w:rsidR="00125313" w:rsidRPr="00320DDF" w:rsidRDefault="00C228D3" w:rsidP="0006101A">
      <w:pPr>
        <w:spacing w:line="360" w:lineRule="auto"/>
        <w:jc w:val="both"/>
        <w:rPr>
          <w:rFonts w:ascii="Garamond" w:hAnsi="Garamond" w:cs="GHEA Grapalat"/>
          <w:sz w:val="22"/>
          <w:szCs w:val="22"/>
        </w:rPr>
      </w:pPr>
      <w:r w:rsidRPr="00320DDF">
        <w:rPr>
          <w:rFonts w:ascii="Garamond" w:hAnsi="Garamond" w:cs="GHEA Grapalat"/>
          <w:sz w:val="22"/>
          <w:szCs w:val="22"/>
        </w:rPr>
        <w:t xml:space="preserve">Interest rate on up to 14-day interbank repo transactions </w:t>
      </w:r>
      <w:r w:rsidR="00A73DC7" w:rsidRPr="00320DDF">
        <w:rPr>
          <w:rFonts w:ascii="Garamond" w:hAnsi="Garamond" w:cs="GHEA Grapalat"/>
          <w:sz w:val="22"/>
          <w:szCs w:val="22"/>
        </w:rPr>
        <w:t xml:space="preserve">deviated a mere 0.03% from </w:t>
      </w:r>
      <w:r w:rsidRPr="00320DDF">
        <w:rPr>
          <w:rFonts w:ascii="Garamond" w:hAnsi="Garamond" w:cs="GHEA Grapalat"/>
          <w:sz w:val="22"/>
          <w:szCs w:val="22"/>
        </w:rPr>
        <w:t xml:space="preserve">the refinancing rate of the </w:t>
      </w:r>
      <w:r w:rsidR="00A73DC7" w:rsidRPr="00320DDF">
        <w:rPr>
          <w:rFonts w:ascii="Garamond" w:hAnsi="Garamond" w:cs="GHEA Grapalat"/>
          <w:sz w:val="22"/>
          <w:szCs w:val="22"/>
        </w:rPr>
        <w:t>Central Bank in March</w:t>
      </w:r>
      <w:r w:rsidR="00A73DC7" w:rsidRPr="00320DDF">
        <w:rPr>
          <w:rStyle w:val="FootnoteReference"/>
          <w:rFonts w:ascii="Garamond" w:hAnsi="Garamond" w:cs="GHEA Grapalat"/>
          <w:sz w:val="22"/>
          <w:szCs w:val="22"/>
        </w:rPr>
        <w:footnoteReference w:customMarkFollows="1" w:id="22"/>
        <w:t>24</w:t>
      </w:r>
      <w:r w:rsidR="00A73DC7" w:rsidRPr="00320DDF">
        <w:rPr>
          <w:rFonts w:ascii="Garamond" w:hAnsi="Garamond" w:cs="GHEA Grapalat"/>
          <w:sz w:val="22"/>
          <w:szCs w:val="22"/>
        </w:rPr>
        <w:t>.</w:t>
      </w:r>
    </w:p>
    <w:p w14:paraId="07BA0AA4" w14:textId="77777777" w:rsidR="00A73DC7" w:rsidRPr="00320DDF" w:rsidRDefault="00A73DC7" w:rsidP="0006101A">
      <w:pPr>
        <w:spacing w:line="360" w:lineRule="auto"/>
        <w:jc w:val="both"/>
        <w:rPr>
          <w:rFonts w:ascii="Garamond" w:hAnsi="Garamond" w:cs="GHEA Grapalat"/>
          <w:sz w:val="22"/>
          <w:szCs w:val="22"/>
        </w:rPr>
      </w:pPr>
    </w:p>
    <w:p w14:paraId="0736ECF4" w14:textId="77777777" w:rsidR="00A73DC7" w:rsidRPr="00320DDF" w:rsidRDefault="00A73DC7" w:rsidP="0006101A">
      <w:pPr>
        <w:spacing w:line="360" w:lineRule="auto"/>
        <w:jc w:val="both"/>
        <w:rPr>
          <w:rFonts w:ascii="Garamond" w:hAnsi="Garamond" w:cs="GHEA Grapalat"/>
          <w:sz w:val="22"/>
          <w:szCs w:val="22"/>
        </w:rPr>
      </w:pPr>
      <w:r w:rsidRPr="00320DDF">
        <w:rPr>
          <w:rFonts w:ascii="Garamond" w:hAnsi="Garamond" w:cs="GHEA Grapalat"/>
          <w:sz w:val="22"/>
          <w:szCs w:val="22"/>
        </w:rPr>
        <w:t xml:space="preserve">In the financial market, </w:t>
      </w:r>
      <w:r w:rsidR="00E960F6" w:rsidRPr="00320DDF">
        <w:rPr>
          <w:rFonts w:ascii="Garamond" w:hAnsi="Garamond" w:cs="GHEA Grapalat"/>
          <w:sz w:val="22"/>
          <w:szCs w:val="22"/>
        </w:rPr>
        <w:t xml:space="preserve">the falling of </w:t>
      </w:r>
      <w:r w:rsidRPr="00320DDF">
        <w:rPr>
          <w:rFonts w:ascii="Garamond" w:hAnsi="Garamond" w:cs="GHEA Grapalat"/>
          <w:sz w:val="22"/>
          <w:szCs w:val="22"/>
        </w:rPr>
        <w:t xml:space="preserve">interest rates </w:t>
      </w:r>
      <w:r w:rsidR="00E960F6" w:rsidRPr="00320DDF">
        <w:rPr>
          <w:rFonts w:ascii="Garamond" w:hAnsi="Garamond" w:cs="GHEA Grapalat"/>
          <w:sz w:val="22"/>
          <w:szCs w:val="22"/>
        </w:rPr>
        <w:t xml:space="preserve">affected the </w:t>
      </w:r>
      <w:r w:rsidRPr="00320DDF">
        <w:rPr>
          <w:rFonts w:ascii="Garamond" w:hAnsi="Garamond" w:cs="GHEA Grapalat"/>
          <w:sz w:val="22"/>
          <w:szCs w:val="22"/>
        </w:rPr>
        <w:t>government bond</w:t>
      </w:r>
      <w:r w:rsidR="00E960F6" w:rsidRPr="00320DDF">
        <w:rPr>
          <w:rFonts w:ascii="Garamond" w:hAnsi="Garamond" w:cs="GHEA Grapalat"/>
          <w:sz w:val="22"/>
          <w:szCs w:val="22"/>
        </w:rPr>
        <w:t xml:space="preserve"> market hence </w:t>
      </w:r>
      <w:r w:rsidRPr="00320DDF">
        <w:rPr>
          <w:rFonts w:ascii="Garamond" w:hAnsi="Garamond" w:cs="GHEA Grapalat"/>
          <w:sz w:val="22"/>
          <w:szCs w:val="22"/>
        </w:rPr>
        <w:t xml:space="preserve">the yield curve. </w:t>
      </w:r>
      <w:r w:rsidR="00E960F6" w:rsidRPr="00320DDF">
        <w:rPr>
          <w:rFonts w:ascii="Garamond" w:hAnsi="Garamond" w:cs="GHEA Grapalat"/>
          <w:sz w:val="22"/>
          <w:szCs w:val="22"/>
        </w:rPr>
        <w:t xml:space="preserve">At the end of </w:t>
      </w:r>
      <w:r w:rsidRPr="00320DDF">
        <w:rPr>
          <w:rFonts w:ascii="Garamond" w:hAnsi="Garamond" w:cs="GHEA Grapalat"/>
          <w:sz w:val="22"/>
          <w:szCs w:val="22"/>
        </w:rPr>
        <w:t>March, compared to the end of December, mo</w:t>
      </w:r>
      <w:r w:rsidR="00E960F6" w:rsidRPr="00320DDF">
        <w:rPr>
          <w:rFonts w:ascii="Garamond" w:hAnsi="Garamond" w:cs="GHEA Grapalat"/>
          <w:sz w:val="22"/>
          <w:szCs w:val="22"/>
        </w:rPr>
        <w:t>st prominent was the decline in average yield of up to 1-year maturity bonds</w:t>
      </w:r>
      <w:r w:rsidRPr="00320DDF">
        <w:rPr>
          <w:rFonts w:ascii="Garamond" w:hAnsi="Garamond" w:cs="GHEA Grapalat"/>
          <w:sz w:val="22"/>
          <w:szCs w:val="22"/>
        </w:rPr>
        <w:t>, 1.0 p</w:t>
      </w:r>
      <w:r w:rsidR="00E960F6" w:rsidRPr="00320DDF">
        <w:rPr>
          <w:rFonts w:ascii="Garamond" w:hAnsi="Garamond" w:cs="GHEA Grapalat"/>
          <w:sz w:val="22"/>
          <w:szCs w:val="22"/>
        </w:rPr>
        <w:t>p</w:t>
      </w:r>
      <w:r w:rsidRPr="00320DDF">
        <w:rPr>
          <w:rFonts w:ascii="Garamond" w:hAnsi="Garamond" w:cs="GHEA Grapalat"/>
          <w:sz w:val="22"/>
          <w:szCs w:val="22"/>
        </w:rPr>
        <w:t>.</w:t>
      </w:r>
    </w:p>
    <w:p w14:paraId="612D0908" w14:textId="77777777" w:rsidR="00A73DC7" w:rsidRPr="00320DDF" w:rsidRDefault="00A73DC7" w:rsidP="0006101A">
      <w:pPr>
        <w:spacing w:line="360" w:lineRule="auto"/>
        <w:jc w:val="both"/>
        <w:rPr>
          <w:rFonts w:ascii="Garamond" w:hAnsi="Garamond" w:cs="GHEA Grapalat"/>
          <w:sz w:val="22"/>
          <w:szCs w:val="22"/>
        </w:rPr>
      </w:pPr>
    </w:p>
    <w:p w14:paraId="17C0612F" w14:textId="77777777" w:rsidR="00604F36" w:rsidRPr="00320DDF" w:rsidRDefault="00ED1C47" w:rsidP="0006101A">
      <w:pPr>
        <w:spacing w:line="360" w:lineRule="auto"/>
        <w:jc w:val="both"/>
        <w:rPr>
          <w:rFonts w:ascii="Garamond" w:hAnsi="Garamond" w:cs="Sylfaen"/>
          <w:color w:val="000000"/>
          <w:sz w:val="22"/>
          <w:szCs w:val="22"/>
        </w:rPr>
      </w:pPr>
      <w:r w:rsidRPr="00320DDF">
        <w:rPr>
          <w:rFonts w:ascii="Garamond" w:hAnsi="Garamond" w:cs="Sylfaen"/>
          <w:color w:val="000000"/>
          <w:sz w:val="22"/>
          <w:szCs w:val="22"/>
        </w:rPr>
        <w:t>S</w:t>
      </w:r>
      <w:r w:rsidR="004A2CC7" w:rsidRPr="00320DDF">
        <w:rPr>
          <w:rFonts w:ascii="Garamond" w:hAnsi="Garamond" w:cs="Sylfaen"/>
          <w:color w:val="000000"/>
          <w:sz w:val="22"/>
          <w:szCs w:val="22"/>
        </w:rPr>
        <w:t>ustained easing of monetary conditions</w:t>
      </w:r>
      <w:r w:rsidRPr="00320DDF">
        <w:rPr>
          <w:rFonts w:ascii="Garamond" w:hAnsi="Garamond" w:cs="Sylfaen"/>
          <w:color w:val="000000"/>
          <w:sz w:val="22"/>
          <w:szCs w:val="22"/>
        </w:rPr>
        <w:t xml:space="preserve"> in previous quarters</w:t>
      </w:r>
      <w:r w:rsidR="004A2CC7" w:rsidRPr="00320DDF">
        <w:rPr>
          <w:rFonts w:ascii="Garamond" w:hAnsi="Garamond" w:cs="Sylfaen"/>
          <w:color w:val="000000"/>
          <w:sz w:val="22"/>
          <w:szCs w:val="22"/>
        </w:rPr>
        <w:t>, falling interest rates in the financial market</w:t>
      </w:r>
      <w:r w:rsidRPr="00320DDF">
        <w:rPr>
          <w:rFonts w:ascii="Garamond" w:hAnsi="Garamond" w:cs="Sylfaen"/>
          <w:color w:val="000000"/>
          <w:sz w:val="22"/>
          <w:szCs w:val="22"/>
        </w:rPr>
        <w:t xml:space="preserve">, competition between banks and other financial institutions and the current level of liquidity all have contributed to continued reduction of interest rates </w:t>
      </w:r>
      <w:r w:rsidR="00604F36" w:rsidRPr="00320DDF">
        <w:rPr>
          <w:rFonts w:ascii="Garamond" w:hAnsi="Garamond" w:cs="Sylfaen"/>
          <w:color w:val="000000"/>
          <w:sz w:val="22"/>
          <w:szCs w:val="22"/>
        </w:rPr>
        <w:t>of deposits and loans in the first quarter of 2017.</w:t>
      </w:r>
    </w:p>
    <w:p w14:paraId="4A5D036B" w14:textId="77777777" w:rsidR="00604F36" w:rsidRPr="00320DDF" w:rsidRDefault="00604F36" w:rsidP="0006101A">
      <w:pPr>
        <w:spacing w:line="360" w:lineRule="auto"/>
        <w:jc w:val="both"/>
        <w:rPr>
          <w:rFonts w:ascii="Garamond" w:hAnsi="Garamond" w:cs="Sylfaen"/>
          <w:color w:val="000000"/>
          <w:sz w:val="22"/>
          <w:szCs w:val="22"/>
        </w:rPr>
      </w:pPr>
    </w:p>
    <w:p w14:paraId="6D58F450" w14:textId="77777777" w:rsidR="00B63A91" w:rsidRPr="00320DDF" w:rsidRDefault="00604F36" w:rsidP="008E5A34">
      <w:pPr>
        <w:spacing w:line="360" w:lineRule="auto"/>
        <w:jc w:val="both"/>
        <w:rPr>
          <w:rFonts w:ascii="Garamond" w:hAnsi="Garamond" w:cs="Sylfaen"/>
          <w:color w:val="000000"/>
          <w:sz w:val="22"/>
          <w:szCs w:val="22"/>
        </w:rPr>
      </w:pPr>
      <w:r w:rsidRPr="00320DDF">
        <w:rPr>
          <w:rFonts w:ascii="Garamond" w:hAnsi="Garamond" w:cs="Sylfaen"/>
          <w:color w:val="000000"/>
          <w:sz w:val="22"/>
          <w:szCs w:val="22"/>
        </w:rPr>
        <w:t xml:space="preserve">Falling interest rates of deposits notwithstanding, attracting of deposits continued to grow. </w:t>
      </w:r>
      <w:r w:rsidR="00B63A91" w:rsidRPr="00320DDF">
        <w:rPr>
          <w:rFonts w:ascii="Garamond" w:hAnsi="Garamond" w:cs="Sylfaen"/>
          <w:color w:val="000000"/>
          <w:sz w:val="22"/>
          <w:szCs w:val="22"/>
        </w:rPr>
        <w:t>Relative stability in financial and currency markets and the decline in inflation expectations during the quarter led to accelerated growth of dram deposits over foreign currency deposits. The dram deposits grew by 4.8%, foreign currency deposits, by 1.9%</w:t>
      </w:r>
      <w:r w:rsidR="00BB7097" w:rsidRPr="00320DDF">
        <w:rPr>
          <w:rFonts w:ascii="Garamond" w:hAnsi="Garamond" w:cs="Sylfaen"/>
          <w:color w:val="000000"/>
          <w:sz w:val="22"/>
          <w:szCs w:val="22"/>
        </w:rPr>
        <w:t xml:space="preserve">. This helped </w:t>
      </w:r>
      <w:r w:rsidR="00B63A91" w:rsidRPr="00320DDF">
        <w:rPr>
          <w:rFonts w:ascii="Garamond" w:hAnsi="Garamond" w:cs="Sylfaen"/>
          <w:color w:val="000000"/>
          <w:sz w:val="22"/>
          <w:szCs w:val="22"/>
        </w:rPr>
        <w:t>reduc</w:t>
      </w:r>
      <w:r w:rsidR="00BB7097" w:rsidRPr="00320DDF">
        <w:rPr>
          <w:rFonts w:ascii="Garamond" w:hAnsi="Garamond" w:cs="Sylfaen"/>
          <w:color w:val="000000"/>
          <w:sz w:val="22"/>
          <w:szCs w:val="22"/>
        </w:rPr>
        <w:t xml:space="preserve">e </w:t>
      </w:r>
      <w:r w:rsidR="00B63A91" w:rsidRPr="00320DDF">
        <w:rPr>
          <w:rFonts w:ascii="Garamond" w:hAnsi="Garamond" w:cs="Sylfaen"/>
          <w:color w:val="000000"/>
          <w:sz w:val="22"/>
          <w:szCs w:val="22"/>
        </w:rPr>
        <w:t>the level of dollarization by 1.1 p</w:t>
      </w:r>
      <w:r w:rsidR="00DA2471" w:rsidRPr="00320DDF">
        <w:rPr>
          <w:rFonts w:ascii="Garamond" w:hAnsi="Garamond" w:cs="Sylfaen"/>
          <w:color w:val="000000"/>
          <w:sz w:val="22"/>
          <w:szCs w:val="22"/>
        </w:rPr>
        <w:t>p, which exceeded t</w:t>
      </w:r>
      <w:r w:rsidR="00B63A91" w:rsidRPr="00320DDF">
        <w:rPr>
          <w:rFonts w:ascii="Garamond" w:hAnsi="Garamond" w:cs="Sylfaen"/>
          <w:color w:val="000000"/>
          <w:sz w:val="22"/>
          <w:szCs w:val="22"/>
        </w:rPr>
        <w:t xml:space="preserve">he </w:t>
      </w:r>
      <w:r w:rsidR="00DA2471" w:rsidRPr="00320DDF">
        <w:rPr>
          <w:rFonts w:ascii="Garamond" w:hAnsi="Garamond" w:cs="Sylfaen"/>
          <w:color w:val="000000"/>
          <w:sz w:val="22"/>
          <w:szCs w:val="22"/>
        </w:rPr>
        <w:t>C</w:t>
      </w:r>
      <w:r w:rsidR="00B63A91" w:rsidRPr="00320DDF">
        <w:rPr>
          <w:rFonts w:ascii="Garamond" w:hAnsi="Garamond" w:cs="Sylfaen"/>
          <w:color w:val="000000"/>
          <w:sz w:val="22"/>
          <w:szCs w:val="22"/>
        </w:rPr>
        <w:t xml:space="preserve">entral </w:t>
      </w:r>
      <w:r w:rsidR="00DA2471" w:rsidRPr="00320DDF">
        <w:rPr>
          <w:rFonts w:ascii="Garamond" w:hAnsi="Garamond" w:cs="Sylfaen"/>
          <w:color w:val="000000"/>
          <w:sz w:val="22"/>
          <w:szCs w:val="22"/>
        </w:rPr>
        <w:t>B</w:t>
      </w:r>
      <w:r w:rsidR="00B63A91" w:rsidRPr="00320DDF">
        <w:rPr>
          <w:rFonts w:ascii="Garamond" w:hAnsi="Garamond" w:cs="Sylfaen"/>
          <w:color w:val="000000"/>
          <w:sz w:val="22"/>
          <w:szCs w:val="22"/>
        </w:rPr>
        <w:t>ank forecasts.</w:t>
      </w:r>
    </w:p>
    <w:p w14:paraId="08A1961B" w14:textId="77777777" w:rsidR="00BB7097" w:rsidRPr="00320DDF" w:rsidRDefault="00BB7097" w:rsidP="006A7E57">
      <w:pPr>
        <w:spacing w:line="360" w:lineRule="auto"/>
        <w:jc w:val="both"/>
        <w:rPr>
          <w:rFonts w:ascii="Garamond" w:hAnsi="Garamond" w:cs="Sylfaen"/>
          <w:color w:val="000000"/>
          <w:sz w:val="22"/>
          <w:szCs w:val="22"/>
        </w:rPr>
      </w:pPr>
    </w:p>
    <w:p w14:paraId="3A0832CC" w14:textId="77777777" w:rsidR="00BB7097" w:rsidRPr="00320DDF" w:rsidRDefault="00BB7097" w:rsidP="006A7E57">
      <w:pPr>
        <w:spacing w:line="360" w:lineRule="auto"/>
        <w:jc w:val="both"/>
        <w:rPr>
          <w:rFonts w:ascii="Garamond" w:hAnsi="Garamond" w:cs="Sylfaen"/>
          <w:color w:val="000000"/>
          <w:sz w:val="22"/>
          <w:szCs w:val="22"/>
        </w:rPr>
      </w:pPr>
      <w:r w:rsidRPr="00320DDF">
        <w:rPr>
          <w:rFonts w:ascii="Garamond" w:hAnsi="Garamond" w:cs="Sylfaen"/>
          <w:color w:val="000000"/>
          <w:sz w:val="22"/>
          <w:szCs w:val="22"/>
        </w:rPr>
        <w:t xml:space="preserve">The falling of interest rates and easier lending procedures contributed to the growth of lending, as expected; the growth amounted to 1.5% in the quarter mainly owing to dram loans granted to households. The 12-month growth in total lending </w:t>
      </w:r>
      <w:r w:rsidR="00D32335" w:rsidRPr="00320DDF">
        <w:rPr>
          <w:rFonts w:ascii="Garamond" w:hAnsi="Garamond" w:cs="Sylfaen"/>
          <w:color w:val="000000"/>
          <w:sz w:val="22"/>
          <w:szCs w:val="22"/>
        </w:rPr>
        <w:t>was</w:t>
      </w:r>
      <w:r w:rsidRPr="00320DDF">
        <w:rPr>
          <w:rFonts w:ascii="Garamond" w:hAnsi="Garamond" w:cs="Sylfaen"/>
          <w:color w:val="000000"/>
          <w:sz w:val="22"/>
          <w:szCs w:val="22"/>
        </w:rPr>
        <w:t xml:space="preserve"> 5.3%</w:t>
      </w:r>
      <w:r w:rsidR="00D32335" w:rsidRPr="00320DDF">
        <w:rPr>
          <w:rFonts w:ascii="Garamond" w:hAnsi="Garamond" w:cs="Sylfaen"/>
          <w:color w:val="000000"/>
          <w:sz w:val="22"/>
          <w:szCs w:val="22"/>
        </w:rPr>
        <w:t xml:space="preserve"> in March 2017</w:t>
      </w:r>
      <w:r w:rsidRPr="00320DDF">
        <w:rPr>
          <w:rFonts w:ascii="Garamond" w:hAnsi="Garamond" w:cs="Sylfaen"/>
          <w:color w:val="000000"/>
          <w:sz w:val="22"/>
          <w:szCs w:val="22"/>
        </w:rPr>
        <w:t xml:space="preserve">, which exceeded the </w:t>
      </w:r>
      <w:r w:rsidR="00D32335" w:rsidRPr="00320DDF">
        <w:rPr>
          <w:rFonts w:ascii="Garamond" w:hAnsi="Garamond" w:cs="Sylfaen"/>
          <w:color w:val="000000"/>
          <w:sz w:val="22"/>
          <w:szCs w:val="22"/>
        </w:rPr>
        <w:t>forecasts by</w:t>
      </w:r>
      <w:r w:rsidRPr="00320DDF">
        <w:rPr>
          <w:rFonts w:ascii="Garamond" w:hAnsi="Garamond" w:cs="Sylfaen"/>
          <w:color w:val="000000"/>
          <w:sz w:val="22"/>
          <w:szCs w:val="22"/>
        </w:rPr>
        <w:t xml:space="preserve"> </w:t>
      </w:r>
      <w:r w:rsidR="00D32335" w:rsidRPr="00320DDF">
        <w:rPr>
          <w:rFonts w:ascii="Garamond" w:hAnsi="Garamond" w:cs="Sylfaen"/>
          <w:color w:val="000000"/>
          <w:sz w:val="22"/>
          <w:szCs w:val="22"/>
        </w:rPr>
        <w:t xml:space="preserve">almost </w:t>
      </w:r>
      <w:r w:rsidRPr="00320DDF">
        <w:rPr>
          <w:rFonts w:ascii="Garamond" w:hAnsi="Garamond" w:cs="Sylfaen"/>
          <w:color w:val="000000"/>
          <w:sz w:val="22"/>
          <w:szCs w:val="22"/>
        </w:rPr>
        <w:t>1 p</w:t>
      </w:r>
      <w:r w:rsidR="00D32335" w:rsidRPr="00320DDF">
        <w:rPr>
          <w:rFonts w:ascii="Garamond" w:hAnsi="Garamond" w:cs="Sylfaen"/>
          <w:color w:val="000000"/>
          <w:sz w:val="22"/>
          <w:szCs w:val="22"/>
        </w:rPr>
        <w:t>p</w:t>
      </w:r>
      <w:r w:rsidRPr="00320DDF">
        <w:rPr>
          <w:rFonts w:ascii="Garamond" w:hAnsi="Garamond" w:cs="Sylfaen"/>
          <w:color w:val="000000"/>
          <w:sz w:val="22"/>
          <w:szCs w:val="22"/>
        </w:rPr>
        <w:t>.</w:t>
      </w:r>
    </w:p>
    <w:p w14:paraId="67917D4B" w14:textId="77777777" w:rsidR="00BB7097" w:rsidRPr="00320DDF" w:rsidRDefault="00BB7097" w:rsidP="006A7E57">
      <w:pPr>
        <w:spacing w:line="360" w:lineRule="auto"/>
        <w:jc w:val="both"/>
        <w:rPr>
          <w:rFonts w:ascii="Garamond" w:hAnsi="Garamond" w:cs="Sylfaen"/>
          <w:color w:val="000000"/>
          <w:sz w:val="22"/>
          <w:szCs w:val="22"/>
        </w:rPr>
      </w:pPr>
    </w:p>
    <w:tbl>
      <w:tblPr>
        <w:tblStyle w:val="TableGrid"/>
        <w:tblW w:w="0" w:type="auto"/>
        <w:tblLook w:val="04A0" w:firstRow="1" w:lastRow="0" w:firstColumn="1" w:lastColumn="0" w:noHBand="0" w:noVBand="1"/>
      </w:tblPr>
      <w:tblGrid>
        <w:gridCol w:w="9576"/>
      </w:tblGrid>
      <w:tr w:rsidR="007A195E" w:rsidRPr="00320DDF" w14:paraId="33823BA4" w14:textId="77777777" w:rsidTr="007A195E">
        <w:tc>
          <w:tcPr>
            <w:tcW w:w="9576" w:type="dxa"/>
          </w:tcPr>
          <w:p w14:paraId="5380A77F" w14:textId="77777777" w:rsidR="007A195E" w:rsidRPr="00320DDF" w:rsidRDefault="007A195E" w:rsidP="007A195E">
            <w:pPr>
              <w:spacing w:line="360" w:lineRule="auto"/>
              <w:jc w:val="right"/>
              <w:rPr>
                <w:rFonts w:ascii="Garamond" w:hAnsi="Garamond"/>
                <w:b/>
              </w:rPr>
            </w:pPr>
            <w:r w:rsidRPr="00320DDF">
              <w:rPr>
                <w:rFonts w:ascii="Garamond" w:hAnsi="Garamond"/>
                <w:b/>
              </w:rPr>
              <w:t xml:space="preserve">Box </w:t>
            </w:r>
            <w:r w:rsidR="005A0098" w:rsidRPr="00320DDF">
              <w:rPr>
                <w:rFonts w:ascii="Garamond" w:hAnsi="Garamond"/>
                <w:b/>
              </w:rPr>
              <w:t>2</w:t>
            </w:r>
          </w:p>
          <w:p w14:paraId="09A699A4" w14:textId="77777777" w:rsidR="005A0098" w:rsidRPr="00320DDF" w:rsidRDefault="005A0098" w:rsidP="005A0098">
            <w:pPr>
              <w:spacing w:line="360" w:lineRule="auto"/>
              <w:jc w:val="center"/>
              <w:rPr>
                <w:rFonts w:ascii="Garamond" w:hAnsi="Garamond"/>
                <w:b/>
              </w:rPr>
            </w:pPr>
            <w:r w:rsidRPr="00320DDF">
              <w:rPr>
                <w:rFonts w:ascii="Garamond" w:hAnsi="Garamond"/>
                <w:b/>
              </w:rPr>
              <w:t>Survey on the Terms of Lending by Banks and Credit Organizations in Armenia</w:t>
            </w:r>
          </w:p>
          <w:p w14:paraId="5760EEA3" w14:textId="77777777" w:rsidR="005A0098" w:rsidRPr="00320DDF" w:rsidRDefault="005A0098" w:rsidP="00E94D91">
            <w:pPr>
              <w:spacing w:line="360" w:lineRule="auto"/>
              <w:jc w:val="both"/>
              <w:rPr>
                <w:rFonts w:ascii="Garamond" w:hAnsi="Garamond"/>
              </w:rPr>
            </w:pPr>
          </w:p>
          <w:p w14:paraId="3CAFB6AF" w14:textId="77777777" w:rsidR="007A195E" w:rsidRPr="00320DDF" w:rsidRDefault="006F0967" w:rsidP="00E94D91">
            <w:pPr>
              <w:spacing w:line="360" w:lineRule="auto"/>
              <w:jc w:val="both"/>
              <w:rPr>
                <w:rFonts w:ascii="Garamond" w:hAnsi="Garamond"/>
              </w:rPr>
            </w:pPr>
            <w:r w:rsidRPr="00320DDF">
              <w:rPr>
                <w:rFonts w:ascii="Garamond" w:hAnsi="Garamond"/>
              </w:rPr>
              <w:t xml:space="preserve">According to the results of the </w:t>
            </w:r>
            <w:r w:rsidR="00450C8B" w:rsidRPr="00320DDF">
              <w:rPr>
                <w:rFonts w:ascii="Garamond" w:hAnsi="Garamond"/>
              </w:rPr>
              <w:t>f</w:t>
            </w:r>
            <w:r w:rsidR="00D32335" w:rsidRPr="00320DDF">
              <w:rPr>
                <w:rFonts w:ascii="Garamond" w:hAnsi="Garamond"/>
              </w:rPr>
              <w:t xml:space="preserve">irst </w:t>
            </w:r>
            <w:r w:rsidRPr="00320DDF">
              <w:rPr>
                <w:rFonts w:ascii="Garamond" w:hAnsi="Garamond"/>
              </w:rPr>
              <w:t>quarter 201</w:t>
            </w:r>
            <w:r w:rsidR="00D32335" w:rsidRPr="00320DDF">
              <w:rPr>
                <w:rFonts w:ascii="Garamond" w:hAnsi="Garamond"/>
              </w:rPr>
              <w:t>7</w:t>
            </w:r>
            <w:r w:rsidRPr="00320DDF">
              <w:rPr>
                <w:rFonts w:ascii="Garamond" w:hAnsi="Garamond"/>
              </w:rPr>
              <w:t xml:space="preserve"> survey on terms of lending by </w:t>
            </w:r>
            <w:r w:rsidR="00BF1D1D" w:rsidRPr="00320DDF">
              <w:rPr>
                <w:rFonts w:ascii="Garamond" w:hAnsi="Garamond"/>
              </w:rPr>
              <w:t xml:space="preserve">local </w:t>
            </w:r>
            <w:r w:rsidRPr="00320DDF">
              <w:rPr>
                <w:rFonts w:ascii="Garamond" w:hAnsi="Garamond"/>
              </w:rPr>
              <w:t xml:space="preserve">banks and credit organizations, there has been </w:t>
            </w:r>
            <w:r w:rsidR="001039DC" w:rsidRPr="00320DDF">
              <w:rPr>
                <w:rFonts w:ascii="Garamond" w:hAnsi="Garamond"/>
              </w:rPr>
              <w:t xml:space="preserve">further </w:t>
            </w:r>
            <w:r w:rsidRPr="00320DDF">
              <w:rPr>
                <w:rFonts w:ascii="Garamond" w:hAnsi="Garamond"/>
              </w:rPr>
              <w:t xml:space="preserve">easing of terms </w:t>
            </w:r>
            <w:r w:rsidR="00BF1D1D" w:rsidRPr="00320DDF">
              <w:rPr>
                <w:rFonts w:ascii="Garamond" w:hAnsi="Garamond"/>
              </w:rPr>
              <w:t xml:space="preserve">in all </w:t>
            </w:r>
            <w:r w:rsidR="007F0C12" w:rsidRPr="00320DDF">
              <w:rPr>
                <w:rFonts w:ascii="Garamond" w:hAnsi="Garamond"/>
              </w:rPr>
              <w:t>aspects of lending</w:t>
            </w:r>
            <w:r w:rsidR="002F6442" w:rsidRPr="00320DDF">
              <w:rPr>
                <w:rFonts w:ascii="Garamond" w:hAnsi="Garamond"/>
              </w:rPr>
              <w:t>, including by way of s</w:t>
            </w:r>
            <w:r w:rsidR="009C7692" w:rsidRPr="00320DDF">
              <w:rPr>
                <w:rFonts w:ascii="Garamond" w:hAnsi="Garamond"/>
              </w:rPr>
              <w:t xml:space="preserve">tronger </w:t>
            </w:r>
            <w:r w:rsidR="00E02B39" w:rsidRPr="00320DDF">
              <w:rPr>
                <w:rFonts w:ascii="Garamond" w:hAnsi="Garamond"/>
              </w:rPr>
              <w:t xml:space="preserve">competition between </w:t>
            </w:r>
            <w:r w:rsidR="009C7692" w:rsidRPr="00320DDF">
              <w:rPr>
                <w:rFonts w:ascii="Garamond" w:hAnsi="Garamond"/>
              </w:rPr>
              <w:t xml:space="preserve">banks and other </w:t>
            </w:r>
            <w:r w:rsidR="00E02B39" w:rsidRPr="00320DDF">
              <w:rPr>
                <w:rFonts w:ascii="Garamond" w:hAnsi="Garamond"/>
              </w:rPr>
              <w:t xml:space="preserve">financial institutions </w:t>
            </w:r>
            <w:r w:rsidR="00770546" w:rsidRPr="00320DDF">
              <w:rPr>
                <w:rFonts w:ascii="Garamond" w:hAnsi="Garamond"/>
              </w:rPr>
              <w:t xml:space="preserve">and </w:t>
            </w:r>
            <w:r w:rsidR="009C7692" w:rsidRPr="00320DDF">
              <w:rPr>
                <w:rFonts w:ascii="Garamond" w:hAnsi="Garamond"/>
              </w:rPr>
              <w:t>increased level of liquidity</w:t>
            </w:r>
            <w:r w:rsidR="002F6442" w:rsidRPr="00320DDF">
              <w:rPr>
                <w:rFonts w:ascii="Garamond" w:hAnsi="Garamond"/>
              </w:rPr>
              <w:t xml:space="preserve">. This not only led to easier terms for </w:t>
            </w:r>
            <w:r w:rsidRPr="00320DDF">
              <w:rPr>
                <w:rFonts w:ascii="Garamond" w:hAnsi="Garamond"/>
              </w:rPr>
              <w:t>loan interest rate</w:t>
            </w:r>
            <w:r w:rsidR="00971BDD" w:rsidRPr="00320DDF">
              <w:rPr>
                <w:rFonts w:ascii="Garamond" w:hAnsi="Garamond"/>
              </w:rPr>
              <w:t>s</w:t>
            </w:r>
            <w:r w:rsidR="002F6442" w:rsidRPr="00320DDF">
              <w:rPr>
                <w:rFonts w:ascii="Garamond" w:hAnsi="Garamond"/>
              </w:rPr>
              <w:t xml:space="preserve"> but also less strict terms of maturity (i.e. providing the borrowers with </w:t>
            </w:r>
            <w:r w:rsidR="00FD2B86" w:rsidRPr="00320DDF">
              <w:rPr>
                <w:rFonts w:ascii="Garamond" w:hAnsi="Garamond"/>
              </w:rPr>
              <w:t xml:space="preserve">extended </w:t>
            </w:r>
            <w:r w:rsidR="002F6442" w:rsidRPr="00320DDF">
              <w:rPr>
                <w:rFonts w:ascii="Garamond" w:hAnsi="Garamond"/>
              </w:rPr>
              <w:t>deadlines)</w:t>
            </w:r>
            <w:r w:rsidRPr="00320DDF">
              <w:rPr>
                <w:rFonts w:ascii="Garamond" w:hAnsi="Garamond"/>
              </w:rPr>
              <w:t xml:space="preserve">. </w:t>
            </w:r>
            <w:r w:rsidR="00011D64" w:rsidRPr="00320DDF">
              <w:rPr>
                <w:rFonts w:ascii="Garamond" w:hAnsi="Garamond"/>
              </w:rPr>
              <w:t>Actual d</w:t>
            </w:r>
            <w:r w:rsidRPr="00320DDF">
              <w:rPr>
                <w:rFonts w:ascii="Garamond" w:hAnsi="Garamond"/>
              </w:rPr>
              <w:t xml:space="preserve">emand for </w:t>
            </w:r>
            <w:r w:rsidR="00011D64" w:rsidRPr="00320DDF">
              <w:rPr>
                <w:rFonts w:ascii="Garamond" w:hAnsi="Garamond"/>
              </w:rPr>
              <w:t xml:space="preserve">all types of credit has grown. </w:t>
            </w:r>
          </w:p>
          <w:p w14:paraId="3C003EC0" w14:textId="77777777" w:rsidR="00E94D91" w:rsidRPr="00320DDF" w:rsidRDefault="00E94D91" w:rsidP="00E94D91">
            <w:pPr>
              <w:spacing w:line="360" w:lineRule="auto"/>
              <w:jc w:val="both"/>
              <w:rPr>
                <w:rFonts w:ascii="Garamond" w:hAnsi="Garamond"/>
              </w:rPr>
            </w:pPr>
          </w:p>
          <w:p w14:paraId="70742A28" w14:textId="77777777" w:rsidR="00E94D91" w:rsidRPr="00320DDF" w:rsidRDefault="00011D64" w:rsidP="002F6442">
            <w:pPr>
              <w:spacing w:line="360" w:lineRule="auto"/>
              <w:jc w:val="both"/>
              <w:rPr>
                <w:rFonts w:ascii="Garamond" w:hAnsi="Garamond"/>
              </w:rPr>
            </w:pPr>
            <w:r w:rsidRPr="00320DDF">
              <w:rPr>
                <w:rFonts w:ascii="Garamond" w:eastAsia="Calibri" w:hAnsi="Garamond" w:cs="Sylfaen"/>
                <w:color w:val="000000"/>
              </w:rPr>
              <w:t xml:space="preserve">For the </w:t>
            </w:r>
            <w:r w:rsidR="002F6442" w:rsidRPr="00320DDF">
              <w:rPr>
                <w:rFonts w:ascii="Garamond" w:eastAsia="Calibri" w:hAnsi="Garamond" w:cs="Sylfaen"/>
                <w:color w:val="000000"/>
              </w:rPr>
              <w:t>second</w:t>
            </w:r>
            <w:r w:rsidRPr="00320DDF">
              <w:rPr>
                <w:rFonts w:ascii="Garamond" w:eastAsia="Calibri" w:hAnsi="Garamond" w:cs="Sylfaen"/>
                <w:color w:val="000000"/>
              </w:rPr>
              <w:t xml:space="preserve"> quarter of 2017 b</w:t>
            </w:r>
            <w:r w:rsidR="00E94D91" w:rsidRPr="00320DDF">
              <w:rPr>
                <w:rFonts w:ascii="Garamond" w:eastAsia="Calibri" w:hAnsi="Garamond" w:cs="Sylfaen"/>
                <w:color w:val="000000"/>
              </w:rPr>
              <w:t xml:space="preserve">anks and credit organizations anticipate </w:t>
            </w:r>
            <w:r w:rsidRPr="00320DDF">
              <w:rPr>
                <w:rFonts w:ascii="Garamond" w:eastAsia="Calibri" w:hAnsi="Garamond" w:cs="Sylfaen"/>
                <w:color w:val="000000"/>
              </w:rPr>
              <w:t>further easing of procedures in provision of all types of credit and a growing demand for loans.</w:t>
            </w:r>
            <w:r w:rsidR="004048CF" w:rsidRPr="00320DDF">
              <w:rPr>
                <w:rFonts w:ascii="Garamond" w:eastAsia="Calibri" w:hAnsi="Garamond" w:cs="Sylfaen"/>
                <w:color w:val="000000"/>
              </w:rPr>
              <w:t xml:space="preserve"> </w:t>
            </w:r>
          </w:p>
        </w:tc>
      </w:tr>
    </w:tbl>
    <w:p w14:paraId="2636C6D7" w14:textId="77777777" w:rsidR="007A195E" w:rsidRPr="00320DDF" w:rsidRDefault="007A195E" w:rsidP="0006101A">
      <w:pPr>
        <w:spacing w:line="360" w:lineRule="auto"/>
        <w:jc w:val="both"/>
        <w:rPr>
          <w:rFonts w:ascii="Garamond" w:hAnsi="Garamond"/>
          <w:sz w:val="22"/>
          <w:szCs w:val="22"/>
        </w:rPr>
      </w:pPr>
    </w:p>
    <w:p w14:paraId="1E76EBCB" w14:textId="77777777" w:rsidR="005A000D" w:rsidRPr="00320DDF" w:rsidRDefault="005A000D" w:rsidP="0006101A">
      <w:pPr>
        <w:spacing w:line="360" w:lineRule="auto"/>
        <w:jc w:val="both"/>
        <w:rPr>
          <w:rFonts w:ascii="Garamond" w:hAnsi="Garamond" w:cs="GHEA Grapalat"/>
          <w:b/>
          <w:color w:val="000000"/>
          <w:sz w:val="22"/>
          <w:szCs w:val="22"/>
        </w:rPr>
      </w:pPr>
    </w:p>
    <w:p w14:paraId="53407B60" w14:textId="77777777" w:rsidR="00EB11F5" w:rsidRPr="00320DDF" w:rsidRDefault="00EB11F5" w:rsidP="0006101A">
      <w:pPr>
        <w:spacing w:line="360" w:lineRule="auto"/>
        <w:jc w:val="both"/>
        <w:rPr>
          <w:rFonts w:ascii="Garamond" w:hAnsi="Garamond" w:cs="GHEA Grapalat"/>
          <w:b/>
          <w:color w:val="000000"/>
          <w:sz w:val="22"/>
          <w:szCs w:val="22"/>
        </w:rPr>
      </w:pPr>
      <w:r w:rsidRPr="00320DDF">
        <w:rPr>
          <w:rFonts w:ascii="Garamond" w:hAnsi="Garamond" w:cs="GHEA Grapalat"/>
          <w:b/>
          <w:color w:val="000000"/>
          <w:sz w:val="22"/>
          <w:szCs w:val="22"/>
        </w:rPr>
        <w:t>3.3.2. Exchange rate</w:t>
      </w:r>
    </w:p>
    <w:p w14:paraId="6BC9E74A" w14:textId="77777777" w:rsidR="00EB11F5" w:rsidRPr="00320DDF" w:rsidRDefault="00EB11F5" w:rsidP="0006101A">
      <w:pPr>
        <w:spacing w:line="360" w:lineRule="auto"/>
        <w:jc w:val="both"/>
        <w:rPr>
          <w:rFonts w:ascii="Garamond" w:hAnsi="Garamond"/>
          <w:iCs/>
          <w:sz w:val="22"/>
          <w:szCs w:val="22"/>
        </w:rPr>
      </w:pPr>
    </w:p>
    <w:p w14:paraId="3BBB04C8" w14:textId="77777777" w:rsidR="00D876ED" w:rsidRPr="00320DDF" w:rsidRDefault="002F6442" w:rsidP="0006101A">
      <w:pPr>
        <w:spacing w:line="360" w:lineRule="auto"/>
        <w:jc w:val="both"/>
        <w:rPr>
          <w:rFonts w:ascii="Garamond" w:hAnsi="Garamond"/>
          <w:iCs/>
          <w:sz w:val="22"/>
          <w:szCs w:val="22"/>
        </w:rPr>
      </w:pPr>
      <w:r w:rsidRPr="00320DDF">
        <w:rPr>
          <w:rFonts w:ascii="Garamond" w:hAnsi="Garamond"/>
          <w:iCs/>
          <w:sz w:val="22"/>
          <w:szCs w:val="22"/>
        </w:rPr>
        <w:t xml:space="preserve">With the Russian ruble appreciating and euro and Turkish lira depreciating, </w:t>
      </w:r>
      <w:r w:rsidR="00D876ED" w:rsidRPr="00320DDF">
        <w:rPr>
          <w:rFonts w:ascii="Garamond" w:hAnsi="Garamond"/>
          <w:iCs/>
          <w:sz w:val="22"/>
          <w:szCs w:val="22"/>
        </w:rPr>
        <w:t xml:space="preserve">average weighted nominal exchange rate in currency markets of trade partners to Armenia remained unchanged in the first quarter of 2017. </w:t>
      </w:r>
      <w:r w:rsidR="00D876ED" w:rsidRPr="00320DDF">
        <w:rPr>
          <w:rFonts w:ascii="Garamond" w:hAnsi="Garamond"/>
          <w:sz w:val="22"/>
          <w:szCs w:val="22"/>
        </w:rPr>
        <w:t>The average nominal exchange rate of the Armenian dram</w:t>
      </w:r>
      <w:r w:rsidR="00D876ED" w:rsidRPr="00320DDF">
        <w:rPr>
          <w:rFonts w:ascii="Garamond" w:hAnsi="Garamond"/>
          <w:iCs/>
          <w:color w:val="000000"/>
          <w:sz w:val="22"/>
          <w:szCs w:val="22"/>
        </w:rPr>
        <w:t xml:space="preserve"> depreciated versus the US dollar by 1.4% during the quarter. T</w:t>
      </w:r>
      <w:r w:rsidR="00D876ED" w:rsidRPr="00320DDF">
        <w:rPr>
          <w:rFonts w:ascii="Garamond" w:hAnsi="Garamond"/>
          <w:sz w:val="22"/>
          <w:szCs w:val="22"/>
        </w:rPr>
        <w:t>o absorb</w:t>
      </w:r>
      <w:r w:rsidR="00D876ED" w:rsidRPr="00320DDF">
        <w:rPr>
          <w:rFonts w:ascii="Garamond" w:hAnsi="Garamond"/>
          <w:sz w:val="22"/>
          <w:szCs w:val="22"/>
          <w:lang w:val="hy-AM"/>
        </w:rPr>
        <w:t xml:space="preserve"> </w:t>
      </w:r>
      <w:r w:rsidR="00D876ED" w:rsidRPr="00320DDF">
        <w:rPr>
          <w:rFonts w:ascii="Garamond" w:hAnsi="Garamond"/>
          <w:sz w:val="22"/>
          <w:szCs w:val="22"/>
        </w:rPr>
        <w:t>short-term volatilities deriving from balance sheet seasonality, the Central Bank sold nearly USD 15 million in net terms</w:t>
      </w:r>
      <w:r w:rsidR="00D876ED" w:rsidRPr="00320DDF">
        <w:rPr>
          <w:rFonts w:ascii="Garamond" w:hAnsi="Garamond"/>
          <w:sz w:val="22"/>
          <w:szCs w:val="22"/>
          <w:lang w:val="hy-AM"/>
        </w:rPr>
        <w:t xml:space="preserve"> </w:t>
      </w:r>
      <w:r w:rsidR="00D876ED" w:rsidRPr="00320DDF">
        <w:rPr>
          <w:rFonts w:ascii="Garamond" w:hAnsi="Garamond"/>
          <w:sz w:val="22"/>
          <w:szCs w:val="22"/>
        </w:rPr>
        <w:t>in</w:t>
      </w:r>
      <w:r w:rsidR="00D876ED" w:rsidRPr="00320DDF">
        <w:rPr>
          <w:rFonts w:ascii="Garamond" w:hAnsi="Garamond"/>
          <w:sz w:val="22"/>
          <w:szCs w:val="22"/>
          <w:lang w:val="hy-AM"/>
        </w:rPr>
        <w:t xml:space="preserve"> </w:t>
      </w:r>
      <w:r w:rsidR="00D876ED" w:rsidRPr="00320DDF">
        <w:rPr>
          <w:rFonts w:ascii="Garamond" w:hAnsi="Garamond"/>
          <w:sz w:val="22"/>
          <w:szCs w:val="22"/>
        </w:rPr>
        <w:t>the foreign exchange market during the first quarter.</w:t>
      </w:r>
    </w:p>
    <w:p w14:paraId="10B35316" w14:textId="77777777" w:rsidR="00D876ED" w:rsidRPr="00320DDF" w:rsidRDefault="00D876ED" w:rsidP="0006101A">
      <w:pPr>
        <w:spacing w:line="360" w:lineRule="auto"/>
        <w:jc w:val="both"/>
        <w:rPr>
          <w:rFonts w:ascii="Garamond" w:hAnsi="Garamond"/>
          <w:iCs/>
          <w:sz w:val="22"/>
          <w:szCs w:val="22"/>
        </w:rPr>
      </w:pPr>
    </w:p>
    <w:p w14:paraId="4A873215" w14:textId="77777777" w:rsidR="00FD4627" w:rsidRPr="00320DDF" w:rsidRDefault="00FD4627" w:rsidP="0006101A">
      <w:pPr>
        <w:spacing w:line="360" w:lineRule="auto"/>
        <w:jc w:val="both"/>
        <w:rPr>
          <w:rFonts w:ascii="Garamond" w:hAnsi="Garamond"/>
          <w:iCs/>
          <w:sz w:val="22"/>
          <w:szCs w:val="22"/>
        </w:rPr>
      </w:pPr>
      <w:r w:rsidRPr="00320DDF">
        <w:rPr>
          <w:rFonts w:ascii="Garamond" w:hAnsi="Garamond"/>
          <w:iCs/>
          <w:color w:val="000000"/>
          <w:sz w:val="22"/>
          <w:szCs w:val="22"/>
        </w:rPr>
        <w:t xml:space="preserve">In the </w:t>
      </w:r>
      <w:r w:rsidR="0033638A" w:rsidRPr="00320DDF">
        <w:rPr>
          <w:rFonts w:ascii="Garamond" w:hAnsi="Garamond"/>
          <w:iCs/>
          <w:color w:val="000000"/>
          <w:sz w:val="22"/>
          <w:szCs w:val="22"/>
        </w:rPr>
        <w:t>f</w:t>
      </w:r>
      <w:r w:rsidR="00D876ED" w:rsidRPr="00320DDF">
        <w:rPr>
          <w:rFonts w:ascii="Garamond" w:hAnsi="Garamond"/>
          <w:iCs/>
          <w:color w:val="000000"/>
          <w:sz w:val="22"/>
          <w:szCs w:val="22"/>
        </w:rPr>
        <w:t>irst</w:t>
      </w:r>
      <w:r w:rsidR="0033638A" w:rsidRPr="00320DDF">
        <w:rPr>
          <w:rFonts w:ascii="Garamond" w:hAnsi="Garamond"/>
          <w:iCs/>
          <w:color w:val="000000"/>
          <w:sz w:val="22"/>
          <w:szCs w:val="22"/>
        </w:rPr>
        <w:t xml:space="preserve"> </w:t>
      </w:r>
      <w:r w:rsidRPr="00320DDF">
        <w:rPr>
          <w:rFonts w:ascii="Garamond" w:hAnsi="Garamond"/>
          <w:iCs/>
          <w:color w:val="000000"/>
          <w:sz w:val="22"/>
          <w:szCs w:val="22"/>
        </w:rPr>
        <w:t>quarter of 201</w:t>
      </w:r>
      <w:r w:rsidR="00FD2B86" w:rsidRPr="00320DDF">
        <w:rPr>
          <w:rFonts w:ascii="Garamond" w:hAnsi="Garamond"/>
          <w:iCs/>
          <w:color w:val="000000"/>
          <w:sz w:val="22"/>
          <w:szCs w:val="22"/>
        </w:rPr>
        <w:t>7</w:t>
      </w:r>
      <w:r w:rsidRPr="00320DDF">
        <w:rPr>
          <w:rFonts w:ascii="Garamond" w:hAnsi="Garamond"/>
          <w:iCs/>
          <w:color w:val="000000"/>
          <w:sz w:val="22"/>
          <w:szCs w:val="22"/>
        </w:rPr>
        <w:t xml:space="preserve"> </w:t>
      </w:r>
      <w:r w:rsidRPr="00320DDF">
        <w:rPr>
          <w:rFonts w:ascii="Garamond" w:hAnsi="Garamond"/>
          <w:sz w:val="22"/>
          <w:szCs w:val="22"/>
        </w:rPr>
        <w:t>the nominal effective exchange rate of the A</w:t>
      </w:r>
      <w:r w:rsidR="00C71DA3" w:rsidRPr="00320DDF">
        <w:rPr>
          <w:rFonts w:ascii="Garamond" w:hAnsi="Garamond"/>
          <w:sz w:val="22"/>
          <w:szCs w:val="22"/>
        </w:rPr>
        <w:t xml:space="preserve">rmenian dram </w:t>
      </w:r>
      <w:r w:rsidR="00FD2B86" w:rsidRPr="00320DDF">
        <w:rPr>
          <w:rFonts w:ascii="Garamond" w:hAnsi="Garamond"/>
          <w:sz w:val="22"/>
          <w:szCs w:val="22"/>
        </w:rPr>
        <w:t>de</w:t>
      </w:r>
      <w:r w:rsidR="0095116E" w:rsidRPr="00320DDF">
        <w:rPr>
          <w:rFonts w:ascii="Garamond" w:hAnsi="Garamond"/>
          <w:sz w:val="22"/>
          <w:szCs w:val="22"/>
        </w:rPr>
        <w:t xml:space="preserve">preciated by </w:t>
      </w:r>
      <w:r w:rsidR="00FD2B86" w:rsidRPr="00320DDF">
        <w:rPr>
          <w:rFonts w:ascii="Garamond" w:hAnsi="Garamond"/>
          <w:sz w:val="22"/>
          <w:szCs w:val="22"/>
        </w:rPr>
        <w:t>1</w:t>
      </w:r>
      <w:r w:rsidRPr="00320DDF">
        <w:rPr>
          <w:rFonts w:ascii="Garamond" w:hAnsi="Garamond"/>
          <w:sz w:val="22"/>
          <w:szCs w:val="22"/>
        </w:rPr>
        <w:t>.</w:t>
      </w:r>
      <w:r w:rsidR="00FD2B86" w:rsidRPr="00320DDF">
        <w:rPr>
          <w:rFonts w:ascii="Garamond" w:hAnsi="Garamond"/>
          <w:sz w:val="22"/>
          <w:szCs w:val="22"/>
        </w:rPr>
        <w:t xml:space="preserve">4% </w:t>
      </w:r>
      <w:r w:rsidR="00E71516" w:rsidRPr="00320DDF">
        <w:rPr>
          <w:rFonts w:ascii="Garamond" w:hAnsi="Garamond"/>
          <w:sz w:val="22"/>
          <w:szCs w:val="22"/>
        </w:rPr>
        <w:t>on average</w:t>
      </w:r>
      <w:r w:rsidR="00FD2B86" w:rsidRPr="00320DDF">
        <w:rPr>
          <w:rFonts w:ascii="Garamond" w:hAnsi="Garamond"/>
          <w:sz w:val="22"/>
          <w:szCs w:val="22"/>
        </w:rPr>
        <w:t>.</w:t>
      </w:r>
      <w:r w:rsidR="00277BE5" w:rsidRPr="00320DDF">
        <w:rPr>
          <w:rFonts w:ascii="Garamond" w:hAnsi="Garamond"/>
          <w:iCs/>
          <w:color w:val="000000"/>
          <w:sz w:val="22"/>
          <w:szCs w:val="22"/>
        </w:rPr>
        <w:t xml:space="preserve"> </w:t>
      </w:r>
      <w:r w:rsidR="00FD2B86" w:rsidRPr="00320DDF">
        <w:rPr>
          <w:rFonts w:ascii="Garamond" w:hAnsi="Garamond"/>
          <w:iCs/>
          <w:color w:val="000000"/>
          <w:sz w:val="22"/>
          <w:szCs w:val="22"/>
        </w:rPr>
        <w:t>On the other hand, the</w:t>
      </w:r>
      <w:r w:rsidRPr="00320DDF">
        <w:rPr>
          <w:rFonts w:ascii="Garamond" w:hAnsi="Garamond"/>
          <w:iCs/>
          <w:color w:val="000000"/>
          <w:sz w:val="22"/>
          <w:szCs w:val="22"/>
        </w:rPr>
        <w:t xml:space="preserve"> real effective exchange rate </w:t>
      </w:r>
      <w:r w:rsidR="00E71516" w:rsidRPr="00320DDF">
        <w:rPr>
          <w:rFonts w:ascii="Garamond" w:hAnsi="Garamond"/>
          <w:iCs/>
          <w:color w:val="000000"/>
          <w:sz w:val="22"/>
          <w:szCs w:val="22"/>
        </w:rPr>
        <w:t xml:space="preserve">of the Armenian dram </w:t>
      </w:r>
      <w:r w:rsidR="00FD2B86" w:rsidRPr="00320DDF">
        <w:rPr>
          <w:rFonts w:ascii="Garamond" w:hAnsi="Garamond"/>
          <w:iCs/>
          <w:color w:val="000000"/>
          <w:sz w:val="22"/>
          <w:szCs w:val="22"/>
        </w:rPr>
        <w:t>ap</w:t>
      </w:r>
      <w:r w:rsidRPr="00320DDF">
        <w:rPr>
          <w:rFonts w:ascii="Garamond" w:hAnsi="Garamond"/>
          <w:iCs/>
          <w:color w:val="000000"/>
          <w:sz w:val="22"/>
          <w:szCs w:val="22"/>
        </w:rPr>
        <w:t xml:space="preserve">preciated by </w:t>
      </w:r>
      <w:r w:rsidR="00FD2B86" w:rsidRPr="00320DDF">
        <w:rPr>
          <w:rFonts w:ascii="Garamond" w:hAnsi="Garamond"/>
          <w:iCs/>
          <w:color w:val="000000"/>
          <w:sz w:val="22"/>
          <w:szCs w:val="22"/>
        </w:rPr>
        <w:t>1.5</w:t>
      </w:r>
      <w:r w:rsidRPr="00320DDF">
        <w:rPr>
          <w:rFonts w:ascii="Garamond" w:hAnsi="Garamond"/>
          <w:iCs/>
          <w:color w:val="000000"/>
          <w:sz w:val="22"/>
          <w:szCs w:val="22"/>
        </w:rPr>
        <w:t>% q/q</w:t>
      </w:r>
      <w:r w:rsidR="0033638A" w:rsidRPr="00320DDF">
        <w:rPr>
          <w:rStyle w:val="FootnoteReference"/>
          <w:rFonts w:ascii="Garamond" w:hAnsi="Garamond"/>
          <w:iCs/>
          <w:sz w:val="22"/>
          <w:szCs w:val="22"/>
        </w:rPr>
        <w:footnoteReference w:customMarkFollows="1" w:id="23"/>
        <w:t>25</w:t>
      </w:r>
      <w:r w:rsidR="00E71516" w:rsidRPr="00320DDF">
        <w:rPr>
          <w:rFonts w:ascii="Garamond" w:hAnsi="Garamond"/>
          <w:iCs/>
          <w:sz w:val="22"/>
          <w:szCs w:val="22"/>
        </w:rPr>
        <w:t xml:space="preserve">. </w:t>
      </w:r>
    </w:p>
    <w:p w14:paraId="3F992738" w14:textId="77777777" w:rsidR="00E545F0" w:rsidRPr="00320DDF" w:rsidRDefault="00E545F0" w:rsidP="0006101A">
      <w:pPr>
        <w:spacing w:line="360" w:lineRule="auto"/>
        <w:jc w:val="both"/>
        <w:rPr>
          <w:rFonts w:ascii="Garamond" w:hAnsi="Garamond"/>
          <w:iCs/>
          <w:sz w:val="22"/>
          <w:szCs w:val="22"/>
        </w:rPr>
      </w:pPr>
    </w:p>
    <w:p w14:paraId="71827625" w14:textId="77777777" w:rsidR="00E545F0" w:rsidRPr="00320DDF" w:rsidRDefault="0095116E" w:rsidP="0006101A">
      <w:pPr>
        <w:spacing w:line="360" w:lineRule="auto"/>
        <w:jc w:val="both"/>
        <w:rPr>
          <w:rFonts w:ascii="Garamond" w:hAnsi="Garamond"/>
          <w:iCs/>
          <w:sz w:val="22"/>
          <w:szCs w:val="22"/>
        </w:rPr>
      </w:pPr>
      <w:r w:rsidRPr="00320DDF">
        <w:rPr>
          <w:rFonts w:ascii="Garamond" w:hAnsi="Garamond"/>
          <w:iCs/>
          <w:sz w:val="22"/>
          <w:szCs w:val="22"/>
        </w:rPr>
        <w:t xml:space="preserve">Compared to </w:t>
      </w:r>
      <w:r w:rsidR="00E545F0" w:rsidRPr="00320DDF">
        <w:rPr>
          <w:rFonts w:ascii="Garamond" w:hAnsi="Garamond"/>
          <w:iCs/>
          <w:sz w:val="22"/>
          <w:szCs w:val="22"/>
        </w:rPr>
        <w:t xml:space="preserve">the same reference period last year, the real effective exchange rate </w:t>
      </w:r>
      <w:r w:rsidR="004A4CD2" w:rsidRPr="00320DDF">
        <w:rPr>
          <w:rFonts w:ascii="Garamond" w:hAnsi="Garamond"/>
          <w:iCs/>
          <w:sz w:val="22"/>
          <w:szCs w:val="22"/>
        </w:rPr>
        <w:t>depreciat</w:t>
      </w:r>
      <w:r w:rsidR="00FD2B86" w:rsidRPr="00320DDF">
        <w:rPr>
          <w:rFonts w:ascii="Garamond" w:hAnsi="Garamond"/>
          <w:iCs/>
          <w:sz w:val="22"/>
          <w:szCs w:val="22"/>
        </w:rPr>
        <w:t>ion has been 3</w:t>
      </w:r>
      <w:r w:rsidR="00856023" w:rsidRPr="00320DDF">
        <w:rPr>
          <w:rFonts w:ascii="Garamond" w:hAnsi="Garamond"/>
          <w:iCs/>
          <w:sz w:val="22"/>
          <w:szCs w:val="22"/>
        </w:rPr>
        <w:t>.</w:t>
      </w:r>
      <w:r w:rsidR="00FD2B86" w:rsidRPr="00320DDF">
        <w:rPr>
          <w:rFonts w:ascii="Garamond" w:hAnsi="Garamond"/>
          <w:iCs/>
          <w:sz w:val="22"/>
          <w:szCs w:val="22"/>
        </w:rPr>
        <w:t>2</w:t>
      </w:r>
      <w:r w:rsidR="00856023" w:rsidRPr="00320DDF">
        <w:rPr>
          <w:rFonts w:ascii="Garamond" w:hAnsi="Garamond"/>
          <w:iCs/>
          <w:sz w:val="22"/>
          <w:szCs w:val="22"/>
        </w:rPr>
        <w:t>%</w:t>
      </w:r>
      <w:r w:rsidR="00E545F0" w:rsidRPr="00320DDF">
        <w:rPr>
          <w:rFonts w:ascii="Garamond" w:hAnsi="Garamond"/>
          <w:iCs/>
          <w:sz w:val="22"/>
          <w:szCs w:val="22"/>
        </w:rPr>
        <w:t>.</w:t>
      </w:r>
      <w:r w:rsidR="000A48A7" w:rsidRPr="00320DDF">
        <w:rPr>
          <w:rFonts w:ascii="Garamond" w:hAnsi="Garamond"/>
          <w:iCs/>
          <w:sz w:val="22"/>
          <w:szCs w:val="22"/>
        </w:rPr>
        <w:t xml:space="preserve"> </w:t>
      </w:r>
    </w:p>
    <w:p w14:paraId="34FB4B60" w14:textId="77777777" w:rsidR="008D6235" w:rsidRPr="00320DDF" w:rsidRDefault="008D6235" w:rsidP="0006101A">
      <w:pPr>
        <w:spacing w:line="360" w:lineRule="auto"/>
        <w:jc w:val="both"/>
        <w:rPr>
          <w:rFonts w:ascii="Garamond" w:hAnsi="Garamond"/>
          <w:b/>
          <w:sz w:val="22"/>
          <w:szCs w:val="22"/>
        </w:rPr>
      </w:pPr>
    </w:p>
    <w:p w14:paraId="278764F0" w14:textId="77777777" w:rsidR="004B6C1D" w:rsidRPr="00320DDF" w:rsidRDefault="004B6C1D" w:rsidP="0006101A">
      <w:pPr>
        <w:spacing w:line="360" w:lineRule="auto"/>
        <w:jc w:val="both"/>
        <w:rPr>
          <w:rFonts w:ascii="Garamond" w:hAnsi="Garamond"/>
          <w:b/>
          <w:sz w:val="22"/>
          <w:szCs w:val="22"/>
        </w:rPr>
      </w:pPr>
      <w:r w:rsidRPr="00320DDF">
        <w:rPr>
          <w:rFonts w:ascii="Garamond" w:hAnsi="Garamond"/>
          <w:b/>
          <w:sz w:val="22"/>
          <w:szCs w:val="22"/>
        </w:rPr>
        <w:t>3.4. Balance of payments</w:t>
      </w:r>
      <w:r w:rsidR="0033638A" w:rsidRPr="00320DDF">
        <w:rPr>
          <w:rStyle w:val="FootnoteReference"/>
          <w:rFonts w:ascii="Garamond" w:hAnsi="Garamond"/>
          <w:b/>
          <w:sz w:val="22"/>
          <w:szCs w:val="22"/>
        </w:rPr>
        <w:footnoteReference w:customMarkFollows="1" w:id="24"/>
        <w:t>26</w:t>
      </w:r>
    </w:p>
    <w:p w14:paraId="10381478" w14:textId="77777777" w:rsidR="008B6991" w:rsidRPr="00320DDF" w:rsidRDefault="008B6991" w:rsidP="0006101A">
      <w:pPr>
        <w:spacing w:line="360" w:lineRule="auto"/>
        <w:jc w:val="both"/>
        <w:rPr>
          <w:rFonts w:ascii="Garamond" w:hAnsi="Garamond"/>
          <w:b/>
          <w:sz w:val="22"/>
          <w:szCs w:val="22"/>
        </w:rPr>
      </w:pPr>
    </w:p>
    <w:p w14:paraId="52760BCC" w14:textId="77777777" w:rsidR="00A705C3" w:rsidRPr="00320DDF" w:rsidRDefault="008B6991" w:rsidP="0006101A">
      <w:pPr>
        <w:spacing w:line="360" w:lineRule="auto"/>
        <w:jc w:val="both"/>
        <w:rPr>
          <w:rFonts w:ascii="Garamond" w:hAnsi="Garamond"/>
          <w:sz w:val="22"/>
          <w:szCs w:val="22"/>
        </w:rPr>
      </w:pPr>
      <w:r w:rsidRPr="00320DDF">
        <w:rPr>
          <w:rFonts w:ascii="Garamond" w:hAnsi="Garamond"/>
          <w:sz w:val="22"/>
          <w:szCs w:val="22"/>
        </w:rPr>
        <w:t xml:space="preserve">In the </w:t>
      </w:r>
      <w:r w:rsidR="00877CAD" w:rsidRPr="00320DDF">
        <w:rPr>
          <w:rFonts w:ascii="Garamond" w:hAnsi="Garamond"/>
          <w:sz w:val="22"/>
          <w:szCs w:val="22"/>
        </w:rPr>
        <w:t>f</w:t>
      </w:r>
      <w:r w:rsidR="000D75D8" w:rsidRPr="00320DDF">
        <w:rPr>
          <w:rFonts w:ascii="Garamond" w:hAnsi="Garamond"/>
          <w:sz w:val="22"/>
          <w:szCs w:val="22"/>
        </w:rPr>
        <w:t>irst</w:t>
      </w:r>
      <w:r w:rsidR="00877CAD" w:rsidRPr="00320DDF">
        <w:rPr>
          <w:rFonts w:ascii="Garamond" w:hAnsi="Garamond"/>
          <w:sz w:val="22"/>
          <w:szCs w:val="22"/>
        </w:rPr>
        <w:t xml:space="preserve"> </w:t>
      </w:r>
      <w:r w:rsidRPr="00320DDF">
        <w:rPr>
          <w:rFonts w:ascii="Garamond" w:hAnsi="Garamond"/>
          <w:sz w:val="22"/>
          <w:szCs w:val="22"/>
        </w:rPr>
        <w:t>quarter of 201</w:t>
      </w:r>
      <w:r w:rsidR="000D75D8" w:rsidRPr="00320DDF">
        <w:rPr>
          <w:rFonts w:ascii="Garamond" w:hAnsi="Garamond"/>
          <w:sz w:val="22"/>
          <w:szCs w:val="22"/>
        </w:rPr>
        <w:t xml:space="preserve">7, the improvement in terms of trade notwithstanding, the trade balance deficit increased due to higher-than-predicted growth </w:t>
      </w:r>
      <w:r w:rsidR="006F0AA1" w:rsidRPr="00320DDF">
        <w:rPr>
          <w:rFonts w:ascii="Garamond" w:hAnsi="Garamond"/>
          <w:sz w:val="22"/>
          <w:szCs w:val="22"/>
        </w:rPr>
        <w:t>of import in</w:t>
      </w:r>
      <w:r w:rsidR="000D75D8" w:rsidRPr="00320DDF">
        <w:rPr>
          <w:rFonts w:ascii="Garamond" w:hAnsi="Garamond"/>
          <w:sz w:val="22"/>
          <w:szCs w:val="22"/>
        </w:rPr>
        <w:t xml:space="preserve"> dollar </w:t>
      </w:r>
      <w:r w:rsidR="006F0AA1" w:rsidRPr="00320DDF">
        <w:rPr>
          <w:rFonts w:ascii="Garamond" w:hAnsi="Garamond"/>
          <w:sz w:val="22"/>
          <w:szCs w:val="22"/>
        </w:rPr>
        <w:t xml:space="preserve">terms </w:t>
      </w:r>
      <w:r w:rsidR="000D75D8" w:rsidRPr="00320DDF">
        <w:rPr>
          <w:rFonts w:ascii="Garamond" w:hAnsi="Garamond"/>
          <w:sz w:val="22"/>
          <w:szCs w:val="22"/>
        </w:rPr>
        <w:t>and real import volumes</w:t>
      </w:r>
      <w:r w:rsidR="006F0AA1" w:rsidRPr="00320DDF">
        <w:rPr>
          <w:rFonts w:ascii="Garamond" w:hAnsi="Garamond"/>
          <w:sz w:val="22"/>
          <w:szCs w:val="22"/>
        </w:rPr>
        <w:t xml:space="preserve"> as a result of</w:t>
      </w:r>
      <w:r w:rsidR="000D75D8" w:rsidRPr="00320DDF">
        <w:rPr>
          <w:rFonts w:ascii="Garamond" w:hAnsi="Garamond"/>
          <w:sz w:val="22"/>
          <w:szCs w:val="22"/>
        </w:rPr>
        <w:t xml:space="preserve"> </w:t>
      </w:r>
      <w:r w:rsidR="006F0AA1" w:rsidRPr="00320DDF">
        <w:rPr>
          <w:rFonts w:ascii="Garamond" w:hAnsi="Garamond"/>
          <w:sz w:val="22"/>
          <w:szCs w:val="22"/>
        </w:rPr>
        <w:t xml:space="preserve">stronger </w:t>
      </w:r>
      <w:r w:rsidR="000D75D8" w:rsidRPr="00320DDF">
        <w:rPr>
          <w:rFonts w:ascii="Garamond" w:hAnsi="Garamond"/>
          <w:sz w:val="22"/>
          <w:szCs w:val="22"/>
        </w:rPr>
        <w:t xml:space="preserve">economic activity. The increase in dollar value of export was mainly </w:t>
      </w:r>
      <w:r w:rsidR="006F0AA1" w:rsidRPr="00320DDF">
        <w:rPr>
          <w:rFonts w:ascii="Garamond" w:hAnsi="Garamond"/>
          <w:sz w:val="22"/>
          <w:szCs w:val="22"/>
        </w:rPr>
        <w:t xml:space="preserve">owing to </w:t>
      </w:r>
      <w:r w:rsidR="000D75D8" w:rsidRPr="00320DDF">
        <w:rPr>
          <w:rFonts w:ascii="Garamond" w:hAnsi="Garamond"/>
          <w:sz w:val="22"/>
          <w:szCs w:val="22"/>
        </w:rPr>
        <w:t>high growth in export prices.</w:t>
      </w:r>
      <w:r w:rsidR="006F0AA1" w:rsidRPr="00320DDF">
        <w:rPr>
          <w:rFonts w:ascii="Garamond" w:hAnsi="Garamond"/>
          <w:sz w:val="22"/>
          <w:szCs w:val="22"/>
        </w:rPr>
        <w:t xml:space="preserve"> </w:t>
      </w:r>
    </w:p>
    <w:p w14:paraId="15AF6089" w14:textId="77777777" w:rsidR="006F0AA1" w:rsidRPr="00320DDF" w:rsidRDefault="006F0AA1" w:rsidP="0006101A">
      <w:pPr>
        <w:spacing w:line="360" w:lineRule="auto"/>
        <w:jc w:val="both"/>
        <w:rPr>
          <w:rFonts w:ascii="Garamond" w:hAnsi="Garamond"/>
          <w:sz w:val="22"/>
          <w:szCs w:val="22"/>
        </w:rPr>
      </w:pPr>
    </w:p>
    <w:p w14:paraId="04172FEE" w14:textId="77777777" w:rsidR="00A772D2" w:rsidRPr="00320DDF" w:rsidRDefault="00D154B0" w:rsidP="0006101A">
      <w:pPr>
        <w:spacing w:line="360" w:lineRule="auto"/>
        <w:jc w:val="both"/>
        <w:rPr>
          <w:rFonts w:ascii="Garamond" w:hAnsi="Garamond"/>
          <w:sz w:val="22"/>
          <w:szCs w:val="22"/>
        </w:rPr>
      </w:pPr>
      <w:r w:rsidRPr="00320DDF">
        <w:rPr>
          <w:rFonts w:ascii="Garamond" w:hAnsi="Garamond"/>
          <w:sz w:val="22"/>
          <w:szCs w:val="22"/>
        </w:rPr>
        <w:t>Thus, a</w:t>
      </w:r>
      <w:r w:rsidR="006F0AA1" w:rsidRPr="00320DDF">
        <w:rPr>
          <w:rFonts w:ascii="Garamond" w:hAnsi="Garamond"/>
          <w:sz w:val="22"/>
          <w:szCs w:val="22"/>
        </w:rPr>
        <w:t>n</w:t>
      </w:r>
      <w:r w:rsidR="00767DAA" w:rsidRPr="00320DDF">
        <w:rPr>
          <w:rFonts w:ascii="Garamond" w:hAnsi="Garamond"/>
          <w:sz w:val="22"/>
          <w:szCs w:val="22"/>
        </w:rPr>
        <w:t xml:space="preserve"> </w:t>
      </w:r>
      <w:r w:rsidR="006F0AA1" w:rsidRPr="00320DDF">
        <w:rPr>
          <w:rFonts w:ascii="Garamond" w:hAnsi="Garamond"/>
          <w:sz w:val="22"/>
          <w:szCs w:val="22"/>
        </w:rPr>
        <w:t>18</w:t>
      </w:r>
      <w:r w:rsidRPr="00320DDF">
        <w:rPr>
          <w:rFonts w:ascii="Garamond" w:hAnsi="Garamond"/>
          <w:sz w:val="22"/>
          <w:szCs w:val="22"/>
        </w:rPr>
        <w:t>.</w:t>
      </w:r>
      <w:r w:rsidR="006F0AA1" w:rsidRPr="00320DDF">
        <w:rPr>
          <w:rFonts w:ascii="Garamond" w:hAnsi="Garamond"/>
          <w:sz w:val="22"/>
          <w:szCs w:val="22"/>
        </w:rPr>
        <w:t>0</w:t>
      </w:r>
      <w:r w:rsidRPr="00320DDF">
        <w:rPr>
          <w:rFonts w:ascii="Garamond" w:hAnsi="Garamond"/>
          <w:sz w:val="22"/>
          <w:szCs w:val="22"/>
        </w:rPr>
        <w:t>% y/y increase in the dollar value of export</w:t>
      </w:r>
      <w:r w:rsidR="00877CAD" w:rsidRPr="00320DDF">
        <w:rPr>
          <w:rStyle w:val="FootnoteReference"/>
          <w:rFonts w:ascii="Garamond" w:hAnsi="Garamond"/>
          <w:sz w:val="22"/>
          <w:szCs w:val="22"/>
        </w:rPr>
        <w:footnoteReference w:customMarkFollows="1" w:id="25"/>
        <w:t>27</w:t>
      </w:r>
      <w:r w:rsidRPr="00320DDF">
        <w:rPr>
          <w:rFonts w:ascii="Garamond" w:hAnsi="Garamond"/>
          <w:sz w:val="22"/>
          <w:szCs w:val="22"/>
        </w:rPr>
        <w:t xml:space="preserve"> in the </w:t>
      </w:r>
      <w:r w:rsidR="00877CAD" w:rsidRPr="00320DDF">
        <w:rPr>
          <w:rFonts w:ascii="Garamond" w:hAnsi="Garamond"/>
          <w:sz w:val="22"/>
          <w:szCs w:val="22"/>
        </w:rPr>
        <w:t>f</w:t>
      </w:r>
      <w:r w:rsidR="006F0AA1" w:rsidRPr="00320DDF">
        <w:rPr>
          <w:rFonts w:ascii="Garamond" w:hAnsi="Garamond"/>
          <w:sz w:val="22"/>
          <w:szCs w:val="22"/>
        </w:rPr>
        <w:t>irst</w:t>
      </w:r>
      <w:r w:rsidRPr="00320DDF">
        <w:rPr>
          <w:rFonts w:ascii="Garamond" w:hAnsi="Garamond"/>
          <w:sz w:val="22"/>
          <w:szCs w:val="22"/>
        </w:rPr>
        <w:t xml:space="preserve"> quarter of 201</w:t>
      </w:r>
      <w:r w:rsidR="006F0AA1" w:rsidRPr="00320DDF">
        <w:rPr>
          <w:rFonts w:ascii="Garamond" w:hAnsi="Garamond"/>
          <w:sz w:val="22"/>
          <w:szCs w:val="22"/>
        </w:rPr>
        <w:t>7</w:t>
      </w:r>
      <w:r w:rsidRPr="00320DDF">
        <w:rPr>
          <w:rFonts w:ascii="Garamond" w:hAnsi="Garamond"/>
          <w:sz w:val="22"/>
          <w:szCs w:val="22"/>
        </w:rPr>
        <w:t xml:space="preserve"> was mainly d</w:t>
      </w:r>
      <w:r w:rsidR="00130A59" w:rsidRPr="00320DDF">
        <w:rPr>
          <w:rFonts w:ascii="Garamond" w:hAnsi="Garamond"/>
          <w:sz w:val="22"/>
          <w:szCs w:val="22"/>
        </w:rPr>
        <w:t xml:space="preserve">riven by </w:t>
      </w:r>
      <w:r w:rsidR="006F0AA1" w:rsidRPr="00320DDF">
        <w:rPr>
          <w:rFonts w:ascii="Garamond" w:hAnsi="Garamond"/>
          <w:sz w:val="22"/>
          <w:szCs w:val="22"/>
        </w:rPr>
        <w:t xml:space="preserve">increased prices </w:t>
      </w:r>
      <w:r w:rsidRPr="00320DDF">
        <w:rPr>
          <w:rFonts w:ascii="Garamond" w:hAnsi="Garamond"/>
          <w:sz w:val="22"/>
          <w:szCs w:val="22"/>
        </w:rPr>
        <w:t xml:space="preserve">of </w:t>
      </w:r>
      <w:r w:rsidR="00877CAD" w:rsidRPr="00320DDF">
        <w:rPr>
          <w:rFonts w:ascii="Garamond" w:hAnsi="Garamond"/>
          <w:sz w:val="22"/>
          <w:szCs w:val="22"/>
        </w:rPr>
        <w:t xml:space="preserve">raw materials and the </w:t>
      </w:r>
      <w:r w:rsidR="00587E3E" w:rsidRPr="00320DDF">
        <w:rPr>
          <w:rFonts w:ascii="Garamond" w:hAnsi="Garamond"/>
          <w:sz w:val="22"/>
          <w:szCs w:val="22"/>
        </w:rPr>
        <w:t>item “Pr</w:t>
      </w:r>
      <w:r w:rsidR="00877CAD" w:rsidRPr="00320DDF">
        <w:rPr>
          <w:rFonts w:ascii="Garamond" w:hAnsi="Garamond"/>
          <w:sz w:val="22"/>
          <w:szCs w:val="22"/>
        </w:rPr>
        <w:t>oducts of prepared food</w:t>
      </w:r>
      <w:r w:rsidR="00587E3E" w:rsidRPr="00320DDF">
        <w:rPr>
          <w:rFonts w:ascii="Garamond" w:hAnsi="Garamond"/>
          <w:sz w:val="22"/>
          <w:szCs w:val="22"/>
        </w:rPr>
        <w:t xml:space="preserve">”. </w:t>
      </w:r>
      <w:r w:rsidR="006F0AA1" w:rsidRPr="00320DDF">
        <w:rPr>
          <w:rFonts w:ascii="Garamond" w:hAnsi="Garamond"/>
          <w:sz w:val="22"/>
          <w:szCs w:val="22"/>
        </w:rPr>
        <w:t>The items “Precious metals, metals and articles thereof” and “Produce of vegetable origin” had negative contributions. Note, that the growth of item “Precious metals, metals and articles thereof” deviated by about 5 percentage points from the projection</w:t>
      </w:r>
      <w:r w:rsidR="00973C7F" w:rsidRPr="00320DDF">
        <w:rPr>
          <w:rFonts w:ascii="Garamond" w:hAnsi="Garamond"/>
          <w:sz w:val="22"/>
          <w:szCs w:val="22"/>
        </w:rPr>
        <w:t xml:space="preserve"> because of missing of sub-item</w:t>
      </w:r>
      <w:r w:rsidR="006F0AA1" w:rsidRPr="00320DDF">
        <w:rPr>
          <w:rFonts w:ascii="Garamond" w:hAnsi="Garamond"/>
          <w:sz w:val="22"/>
          <w:szCs w:val="22"/>
        </w:rPr>
        <w:t xml:space="preserve"> </w:t>
      </w:r>
      <w:r w:rsidR="00973C7F" w:rsidRPr="00320DDF">
        <w:rPr>
          <w:rFonts w:ascii="Garamond" w:hAnsi="Garamond"/>
          <w:sz w:val="22"/>
          <w:szCs w:val="22"/>
        </w:rPr>
        <w:t>“Other produce of p</w:t>
      </w:r>
      <w:r w:rsidR="006F0AA1" w:rsidRPr="00320DDF">
        <w:rPr>
          <w:rFonts w:ascii="Garamond" w:hAnsi="Garamond"/>
          <w:sz w:val="22"/>
          <w:szCs w:val="22"/>
        </w:rPr>
        <w:t xml:space="preserve">recious metals and </w:t>
      </w:r>
      <w:r w:rsidR="00973C7F" w:rsidRPr="00320DDF">
        <w:rPr>
          <w:rFonts w:ascii="Garamond" w:hAnsi="Garamond"/>
          <w:sz w:val="22"/>
          <w:szCs w:val="22"/>
        </w:rPr>
        <w:t xml:space="preserve">metals”. </w:t>
      </w:r>
    </w:p>
    <w:p w14:paraId="08966DDE" w14:textId="77777777" w:rsidR="00F45A7D" w:rsidRPr="00320DDF" w:rsidRDefault="006E6B3F" w:rsidP="0006101A">
      <w:pPr>
        <w:spacing w:line="360" w:lineRule="auto"/>
        <w:jc w:val="both"/>
        <w:rPr>
          <w:rFonts w:ascii="Garamond" w:hAnsi="Garamond"/>
          <w:sz w:val="22"/>
          <w:szCs w:val="22"/>
        </w:rPr>
      </w:pPr>
      <w:r w:rsidRPr="00320DDF">
        <w:rPr>
          <w:rFonts w:ascii="Garamond" w:hAnsi="Garamond"/>
          <w:sz w:val="22"/>
          <w:szCs w:val="22"/>
        </w:rPr>
        <w:t>I</w:t>
      </w:r>
      <w:r w:rsidR="00E71524" w:rsidRPr="00320DDF">
        <w:rPr>
          <w:rFonts w:ascii="Garamond" w:hAnsi="Garamond"/>
          <w:sz w:val="22"/>
          <w:szCs w:val="22"/>
        </w:rPr>
        <w:t>mport</w:t>
      </w:r>
      <w:r w:rsidRPr="00320DDF">
        <w:rPr>
          <w:rFonts w:ascii="Garamond" w:hAnsi="Garamond"/>
          <w:sz w:val="22"/>
          <w:szCs w:val="22"/>
        </w:rPr>
        <w:t xml:space="preserve"> of </w:t>
      </w:r>
      <w:r w:rsidR="00E71524" w:rsidRPr="00320DDF">
        <w:rPr>
          <w:rFonts w:ascii="Garamond" w:hAnsi="Garamond"/>
          <w:sz w:val="22"/>
          <w:szCs w:val="22"/>
        </w:rPr>
        <w:t xml:space="preserve">consumer </w:t>
      </w:r>
      <w:r w:rsidRPr="00320DDF">
        <w:rPr>
          <w:rFonts w:ascii="Garamond" w:hAnsi="Garamond"/>
          <w:sz w:val="22"/>
          <w:szCs w:val="22"/>
        </w:rPr>
        <w:t>go</w:t>
      </w:r>
      <w:r w:rsidR="00E71524" w:rsidRPr="00320DDF">
        <w:rPr>
          <w:rFonts w:ascii="Garamond" w:hAnsi="Garamond"/>
          <w:sz w:val="22"/>
          <w:szCs w:val="22"/>
        </w:rPr>
        <w:t xml:space="preserve">ods </w:t>
      </w:r>
      <w:r w:rsidRPr="00320DDF">
        <w:rPr>
          <w:rFonts w:ascii="Garamond" w:hAnsi="Garamond"/>
          <w:sz w:val="22"/>
          <w:szCs w:val="22"/>
        </w:rPr>
        <w:t xml:space="preserve">posted high growth </w:t>
      </w:r>
      <w:r w:rsidR="00442FCA" w:rsidRPr="00320DDF">
        <w:rPr>
          <w:rFonts w:ascii="Garamond" w:hAnsi="Garamond"/>
          <w:sz w:val="22"/>
          <w:szCs w:val="22"/>
        </w:rPr>
        <w:t xml:space="preserve">in the </w:t>
      </w:r>
      <w:r w:rsidR="00130A59" w:rsidRPr="00320DDF">
        <w:rPr>
          <w:rFonts w:ascii="Garamond" w:hAnsi="Garamond"/>
          <w:sz w:val="22"/>
          <w:szCs w:val="22"/>
        </w:rPr>
        <w:t>f</w:t>
      </w:r>
      <w:r w:rsidRPr="00320DDF">
        <w:rPr>
          <w:rFonts w:ascii="Garamond" w:hAnsi="Garamond"/>
          <w:sz w:val="22"/>
          <w:szCs w:val="22"/>
        </w:rPr>
        <w:t>irst</w:t>
      </w:r>
      <w:r w:rsidR="00442FCA" w:rsidRPr="00320DDF">
        <w:rPr>
          <w:rFonts w:ascii="Garamond" w:hAnsi="Garamond"/>
          <w:sz w:val="22"/>
          <w:szCs w:val="22"/>
        </w:rPr>
        <w:t xml:space="preserve"> quarter of 201</w:t>
      </w:r>
      <w:r w:rsidRPr="00320DDF">
        <w:rPr>
          <w:rFonts w:ascii="Garamond" w:hAnsi="Garamond"/>
          <w:sz w:val="22"/>
          <w:szCs w:val="22"/>
        </w:rPr>
        <w:t>7</w:t>
      </w:r>
      <w:r w:rsidR="00442FCA" w:rsidRPr="00320DDF">
        <w:rPr>
          <w:rFonts w:ascii="Garamond" w:hAnsi="Garamond"/>
          <w:sz w:val="22"/>
          <w:szCs w:val="22"/>
        </w:rPr>
        <w:t xml:space="preserve"> </w:t>
      </w:r>
      <w:r w:rsidR="00E71524" w:rsidRPr="00320DDF">
        <w:rPr>
          <w:rFonts w:ascii="Garamond" w:hAnsi="Garamond"/>
          <w:sz w:val="22"/>
          <w:szCs w:val="22"/>
        </w:rPr>
        <w:t>amid gradually improving domestic demand</w:t>
      </w:r>
      <w:r w:rsidR="00F45A7D" w:rsidRPr="00320DDF">
        <w:rPr>
          <w:rFonts w:ascii="Garamond" w:hAnsi="Garamond"/>
          <w:sz w:val="22"/>
          <w:szCs w:val="22"/>
        </w:rPr>
        <w:t>.</w:t>
      </w:r>
      <w:r w:rsidR="00E71524" w:rsidRPr="00320DDF">
        <w:rPr>
          <w:rFonts w:ascii="Garamond" w:hAnsi="Garamond"/>
          <w:sz w:val="22"/>
          <w:szCs w:val="22"/>
        </w:rPr>
        <w:t xml:space="preserve"> </w:t>
      </w:r>
      <w:r w:rsidR="003D3B6B" w:rsidRPr="00320DDF">
        <w:rPr>
          <w:rFonts w:ascii="Garamond" w:hAnsi="Garamond"/>
          <w:sz w:val="22"/>
          <w:szCs w:val="22"/>
        </w:rPr>
        <w:t xml:space="preserve">Import of raw materials </w:t>
      </w:r>
      <w:r w:rsidR="007B7D3B" w:rsidRPr="00320DDF">
        <w:rPr>
          <w:rFonts w:ascii="Garamond" w:hAnsi="Garamond"/>
          <w:sz w:val="22"/>
          <w:szCs w:val="22"/>
        </w:rPr>
        <w:t xml:space="preserve">also </w:t>
      </w:r>
      <w:r w:rsidR="003D3B6B" w:rsidRPr="00320DDF">
        <w:rPr>
          <w:rFonts w:ascii="Garamond" w:hAnsi="Garamond"/>
          <w:sz w:val="22"/>
          <w:szCs w:val="22"/>
        </w:rPr>
        <w:t>contribut</w:t>
      </w:r>
      <w:r w:rsidR="007B7D3B" w:rsidRPr="00320DDF">
        <w:rPr>
          <w:rFonts w:ascii="Garamond" w:hAnsi="Garamond"/>
          <w:sz w:val="22"/>
          <w:szCs w:val="22"/>
        </w:rPr>
        <w:t xml:space="preserve">ed positively </w:t>
      </w:r>
      <w:r w:rsidR="003D3B6B" w:rsidRPr="00320DDF">
        <w:rPr>
          <w:rFonts w:ascii="Garamond" w:hAnsi="Garamond"/>
          <w:sz w:val="22"/>
          <w:szCs w:val="22"/>
        </w:rPr>
        <w:t xml:space="preserve">to </w:t>
      </w:r>
      <w:r w:rsidR="007B7D3B" w:rsidRPr="00320DDF">
        <w:rPr>
          <w:rFonts w:ascii="Garamond" w:hAnsi="Garamond"/>
          <w:sz w:val="22"/>
          <w:szCs w:val="22"/>
        </w:rPr>
        <w:t xml:space="preserve">the </w:t>
      </w:r>
      <w:r w:rsidR="003D3B6B" w:rsidRPr="00320DDF">
        <w:rPr>
          <w:rFonts w:ascii="Garamond" w:hAnsi="Garamond"/>
          <w:sz w:val="22"/>
          <w:szCs w:val="22"/>
        </w:rPr>
        <w:t>imports</w:t>
      </w:r>
      <w:r w:rsidR="007B7D3B" w:rsidRPr="00320DDF">
        <w:rPr>
          <w:rFonts w:ascii="Garamond" w:hAnsi="Garamond"/>
          <w:sz w:val="22"/>
          <w:szCs w:val="22"/>
        </w:rPr>
        <w:t xml:space="preserve"> indicator. As a result, a </w:t>
      </w:r>
      <w:r w:rsidRPr="00320DDF">
        <w:rPr>
          <w:rFonts w:ascii="Garamond" w:hAnsi="Garamond"/>
          <w:sz w:val="22"/>
          <w:szCs w:val="22"/>
        </w:rPr>
        <w:t>19</w:t>
      </w:r>
      <w:r w:rsidR="00F45A7D" w:rsidRPr="00320DDF">
        <w:rPr>
          <w:rFonts w:ascii="Garamond" w:hAnsi="Garamond"/>
          <w:sz w:val="22"/>
          <w:szCs w:val="22"/>
        </w:rPr>
        <w:t>.</w:t>
      </w:r>
      <w:r w:rsidRPr="00320DDF">
        <w:rPr>
          <w:rFonts w:ascii="Garamond" w:hAnsi="Garamond"/>
          <w:sz w:val="22"/>
          <w:szCs w:val="22"/>
        </w:rPr>
        <w:t>0</w:t>
      </w:r>
      <w:r w:rsidR="00F45A7D" w:rsidRPr="00320DDF">
        <w:rPr>
          <w:rFonts w:ascii="Garamond" w:hAnsi="Garamond"/>
          <w:sz w:val="22"/>
          <w:szCs w:val="22"/>
        </w:rPr>
        <w:t xml:space="preserve">% y/y </w:t>
      </w:r>
      <w:r w:rsidR="003D3B6B" w:rsidRPr="00320DDF">
        <w:rPr>
          <w:rFonts w:ascii="Garamond" w:hAnsi="Garamond"/>
          <w:sz w:val="22"/>
          <w:szCs w:val="22"/>
        </w:rPr>
        <w:t xml:space="preserve">increase in </w:t>
      </w:r>
      <w:r w:rsidR="00F45A7D" w:rsidRPr="00320DDF">
        <w:rPr>
          <w:rFonts w:ascii="Garamond" w:hAnsi="Garamond"/>
          <w:sz w:val="22"/>
          <w:szCs w:val="22"/>
        </w:rPr>
        <w:t xml:space="preserve">the </w:t>
      </w:r>
      <w:r w:rsidR="00E71524" w:rsidRPr="00320DDF">
        <w:rPr>
          <w:rFonts w:ascii="Garamond" w:hAnsi="Garamond"/>
          <w:sz w:val="22"/>
          <w:szCs w:val="22"/>
        </w:rPr>
        <w:t>dollar value of import</w:t>
      </w:r>
      <w:r w:rsidR="007B7D3B" w:rsidRPr="00320DDF">
        <w:rPr>
          <w:rFonts w:ascii="Garamond" w:hAnsi="Garamond"/>
          <w:sz w:val="22"/>
          <w:szCs w:val="22"/>
        </w:rPr>
        <w:t xml:space="preserve"> was recorded </w:t>
      </w:r>
      <w:r w:rsidRPr="00320DDF">
        <w:rPr>
          <w:rFonts w:ascii="Garamond" w:hAnsi="Garamond"/>
          <w:sz w:val="22"/>
          <w:szCs w:val="22"/>
        </w:rPr>
        <w:t xml:space="preserve">during the quarter, which is </w:t>
      </w:r>
      <w:r w:rsidR="00BE6B36" w:rsidRPr="00320DDF">
        <w:rPr>
          <w:rFonts w:ascii="Garamond" w:hAnsi="Garamond"/>
          <w:sz w:val="22"/>
          <w:szCs w:val="22"/>
        </w:rPr>
        <w:t xml:space="preserve">about </w:t>
      </w:r>
      <w:r w:rsidRPr="00320DDF">
        <w:rPr>
          <w:rFonts w:ascii="Garamond" w:hAnsi="Garamond"/>
          <w:sz w:val="22"/>
          <w:szCs w:val="22"/>
        </w:rPr>
        <w:t>10.0 p</w:t>
      </w:r>
      <w:r w:rsidR="00BE6B36" w:rsidRPr="00320DDF">
        <w:rPr>
          <w:rFonts w:ascii="Garamond" w:hAnsi="Garamond"/>
          <w:sz w:val="22"/>
          <w:szCs w:val="22"/>
        </w:rPr>
        <w:t xml:space="preserve">p above </w:t>
      </w:r>
      <w:r w:rsidRPr="00320DDF">
        <w:rPr>
          <w:rFonts w:ascii="Garamond" w:hAnsi="Garamond"/>
          <w:sz w:val="22"/>
          <w:szCs w:val="22"/>
        </w:rPr>
        <w:t xml:space="preserve">the forecast. The deviation was mainly due to </w:t>
      </w:r>
      <w:r w:rsidR="00BE6B36" w:rsidRPr="00320DDF">
        <w:rPr>
          <w:rFonts w:ascii="Garamond" w:hAnsi="Garamond"/>
          <w:sz w:val="22"/>
          <w:szCs w:val="22"/>
        </w:rPr>
        <w:t xml:space="preserve">expecting more favorable developments in </w:t>
      </w:r>
      <w:r w:rsidRPr="00320DDF">
        <w:rPr>
          <w:rFonts w:ascii="Garamond" w:hAnsi="Garamond"/>
          <w:sz w:val="22"/>
          <w:szCs w:val="22"/>
        </w:rPr>
        <w:t>the economic activity</w:t>
      </w:r>
      <w:r w:rsidR="00F45A7D" w:rsidRPr="00320DDF">
        <w:rPr>
          <w:rFonts w:ascii="Garamond" w:hAnsi="Garamond"/>
          <w:sz w:val="22"/>
          <w:szCs w:val="22"/>
        </w:rPr>
        <w:t xml:space="preserve">. </w:t>
      </w:r>
    </w:p>
    <w:p w14:paraId="0E019E2A" w14:textId="77777777" w:rsidR="00F45A7D" w:rsidRPr="00320DDF" w:rsidRDefault="00F45A7D" w:rsidP="0006101A">
      <w:pPr>
        <w:spacing w:line="360" w:lineRule="auto"/>
        <w:jc w:val="both"/>
        <w:rPr>
          <w:rFonts w:ascii="Garamond" w:hAnsi="Garamond"/>
          <w:sz w:val="22"/>
          <w:szCs w:val="22"/>
        </w:rPr>
      </w:pPr>
    </w:p>
    <w:p w14:paraId="6F1D73CB" w14:textId="0B1961DA" w:rsidR="005E18D3" w:rsidRPr="00320DDF" w:rsidRDefault="00561725" w:rsidP="0006101A">
      <w:pPr>
        <w:spacing w:line="360" w:lineRule="auto"/>
        <w:jc w:val="both"/>
        <w:rPr>
          <w:rFonts w:ascii="Garamond" w:hAnsi="Garamond"/>
          <w:sz w:val="22"/>
          <w:szCs w:val="22"/>
        </w:rPr>
      </w:pPr>
      <w:r w:rsidRPr="00320DDF">
        <w:rPr>
          <w:rFonts w:ascii="Garamond" w:hAnsi="Garamond"/>
          <w:sz w:val="22"/>
          <w:szCs w:val="22"/>
        </w:rPr>
        <w:t xml:space="preserve">In the </w:t>
      </w:r>
      <w:r w:rsidR="00F5281B" w:rsidRPr="00320DDF">
        <w:rPr>
          <w:rFonts w:ascii="Garamond" w:hAnsi="Garamond"/>
          <w:sz w:val="22"/>
          <w:szCs w:val="22"/>
        </w:rPr>
        <w:t>f</w:t>
      </w:r>
      <w:r w:rsidR="00BE6B36" w:rsidRPr="00320DDF">
        <w:rPr>
          <w:rFonts w:ascii="Garamond" w:hAnsi="Garamond"/>
          <w:sz w:val="22"/>
          <w:szCs w:val="22"/>
        </w:rPr>
        <w:t xml:space="preserve">irst </w:t>
      </w:r>
      <w:r w:rsidRPr="00320DDF">
        <w:rPr>
          <w:rFonts w:ascii="Garamond" w:hAnsi="Garamond"/>
          <w:sz w:val="22"/>
          <w:szCs w:val="22"/>
        </w:rPr>
        <w:t>quarter of 201</w:t>
      </w:r>
      <w:r w:rsidR="00BE6B36" w:rsidRPr="00320DDF">
        <w:rPr>
          <w:rFonts w:ascii="Garamond" w:hAnsi="Garamond"/>
          <w:sz w:val="22"/>
          <w:szCs w:val="22"/>
        </w:rPr>
        <w:t>7</w:t>
      </w:r>
      <w:r w:rsidRPr="00320DDF">
        <w:rPr>
          <w:rFonts w:ascii="Garamond" w:hAnsi="Garamond"/>
          <w:sz w:val="22"/>
          <w:szCs w:val="22"/>
        </w:rPr>
        <w:t xml:space="preserve"> the deficit of trade balance</w:t>
      </w:r>
      <w:r w:rsidR="00877CAD" w:rsidRPr="00320DDF">
        <w:rPr>
          <w:rStyle w:val="FootnoteReference"/>
          <w:rFonts w:ascii="Garamond" w:hAnsi="Garamond"/>
          <w:sz w:val="22"/>
          <w:szCs w:val="22"/>
        </w:rPr>
        <w:footnoteReference w:customMarkFollows="1" w:id="26"/>
        <w:t>28</w:t>
      </w:r>
      <w:r w:rsidRPr="00320DDF">
        <w:rPr>
          <w:rFonts w:ascii="Garamond" w:hAnsi="Garamond"/>
          <w:sz w:val="22"/>
          <w:szCs w:val="22"/>
        </w:rPr>
        <w:t xml:space="preserve"> </w:t>
      </w:r>
      <w:r w:rsidR="00E62AE2" w:rsidRPr="00320DDF">
        <w:rPr>
          <w:rFonts w:ascii="Garamond" w:hAnsi="Garamond"/>
          <w:sz w:val="22"/>
          <w:szCs w:val="22"/>
        </w:rPr>
        <w:t>grew</w:t>
      </w:r>
      <w:r w:rsidRPr="00320DDF">
        <w:rPr>
          <w:rFonts w:ascii="Garamond" w:hAnsi="Garamond"/>
          <w:sz w:val="22"/>
          <w:szCs w:val="22"/>
        </w:rPr>
        <w:t xml:space="preserve"> by </w:t>
      </w:r>
      <w:r w:rsidR="00E62AE2" w:rsidRPr="00320DDF">
        <w:rPr>
          <w:rFonts w:ascii="Garamond" w:hAnsi="Garamond"/>
          <w:sz w:val="22"/>
          <w:szCs w:val="22"/>
        </w:rPr>
        <w:t xml:space="preserve">around </w:t>
      </w:r>
      <w:r w:rsidRPr="00320DDF">
        <w:rPr>
          <w:rFonts w:ascii="Garamond" w:hAnsi="Garamond"/>
          <w:sz w:val="22"/>
          <w:szCs w:val="22"/>
        </w:rPr>
        <w:t xml:space="preserve">USD </w:t>
      </w:r>
      <w:r w:rsidR="00E62AE2" w:rsidRPr="00320DDF">
        <w:rPr>
          <w:rFonts w:ascii="Garamond" w:hAnsi="Garamond"/>
          <w:sz w:val="22"/>
          <w:szCs w:val="22"/>
        </w:rPr>
        <w:t>38</w:t>
      </w:r>
      <w:r w:rsidRPr="00320DDF">
        <w:rPr>
          <w:rFonts w:ascii="Garamond" w:hAnsi="Garamond"/>
          <w:sz w:val="22"/>
          <w:szCs w:val="22"/>
        </w:rPr>
        <w:t>.</w:t>
      </w:r>
      <w:r w:rsidR="00E62AE2" w:rsidRPr="00320DDF">
        <w:rPr>
          <w:rFonts w:ascii="Garamond" w:hAnsi="Garamond"/>
          <w:sz w:val="22"/>
          <w:szCs w:val="22"/>
        </w:rPr>
        <w:t>0</w:t>
      </w:r>
      <w:r w:rsidRPr="00320DDF">
        <w:rPr>
          <w:rFonts w:ascii="Garamond" w:hAnsi="Garamond"/>
          <w:sz w:val="22"/>
          <w:szCs w:val="22"/>
        </w:rPr>
        <w:t xml:space="preserve"> million to USD </w:t>
      </w:r>
      <w:r w:rsidR="00E62AE2" w:rsidRPr="00320DDF">
        <w:rPr>
          <w:rFonts w:ascii="Garamond" w:hAnsi="Garamond"/>
          <w:sz w:val="22"/>
          <w:szCs w:val="22"/>
        </w:rPr>
        <w:t>214</w:t>
      </w:r>
      <w:r w:rsidRPr="00320DDF">
        <w:rPr>
          <w:rFonts w:ascii="Garamond" w:hAnsi="Garamond"/>
          <w:sz w:val="22"/>
          <w:szCs w:val="22"/>
        </w:rPr>
        <w:t>.</w:t>
      </w:r>
      <w:r w:rsidR="00E62AE2" w:rsidRPr="00320DDF">
        <w:rPr>
          <w:rFonts w:ascii="Garamond" w:hAnsi="Garamond"/>
          <w:sz w:val="22"/>
          <w:szCs w:val="22"/>
        </w:rPr>
        <w:t>2</w:t>
      </w:r>
      <w:r w:rsidRPr="00320DDF">
        <w:rPr>
          <w:rFonts w:ascii="Garamond" w:hAnsi="Garamond"/>
          <w:sz w:val="22"/>
          <w:szCs w:val="22"/>
        </w:rPr>
        <w:t xml:space="preserve"> million</w:t>
      </w:r>
      <w:r w:rsidR="00F5281B" w:rsidRPr="00320DDF">
        <w:rPr>
          <w:rFonts w:ascii="Garamond" w:hAnsi="Garamond"/>
          <w:sz w:val="22"/>
          <w:szCs w:val="22"/>
        </w:rPr>
        <w:t>,</w:t>
      </w:r>
      <w:r w:rsidRPr="00320DDF">
        <w:rPr>
          <w:rFonts w:ascii="Garamond" w:hAnsi="Garamond"/>
          <w:sz w:val="22"/>
          <w:szCs w:val="22"/>
        </w:rPr>
        <w:t xml:space="preserve"> as </w:t>
      </w:r>
      <w:r w:rsidR="003F3BA2" w:rsidRPr="00320DDF">
        <w:rPr>
          <w:rFonts w:ascii="Garamond" w:hAnsi="Garamond"/>
          <w:sz w:val="22"/>
          <w:szCs w:val="22"/>
        </w:rPr>
        <w:t xml:space="preserve">a result of </w:t>
      </w:r>
      <w:r w:rsidR="003D3B6B" w:rsidRPr="00320DDF">
        <w:rPr>
          <w:rFonts w:ascii="Garamond" w:hAnsi="Garamond"/>
          <w:sz w:val="22"/>
          <w:szCs w:val="22"/>
        </w:rPr>
        <w:t xml:space="preserve">outgrown </w:t>
      </w:r>
      <w:r w:rsidR="00E62AE2" w:rsidRPr="00320DDF">
        <w:rPr>
          <w:rFonts w:ascii="Garamond" w:hAnsi="Garamond"/>
          <w:sz w:val="22"/>
          <w:szCs w:val="22"/>
        </w:rPr>
        <w:t>imp</w:t>
      </w:r>
      <w:r w:rsidR="003F3BA2" w:rsidRPr="00320DDF">
        <w:rPr>
          <w:rFonts w:ascii="Garamond" w:hAnsi="Garamond"/>
          <w:sz w:val="22"/>
          <w:szCs w:val="22"/>
        </w:rPr>
        <w:t xml:space="preserve">ort. </w:t>
      </w:r>
      <w:r w:rsidR="003D3B6B" w:rsidRPr="00320DDF">
        <w:rPr>
          <w:rFonts w:ascii="Garamond" w:hAnsi="Garamond"/>
          <w:sz w:val="22"/>
          <w:szCs w:val="22"/>
        </w:rPr>
        <w:t xml:space="preserve">The net inflow of remittances </w:t>
      </w:r>
      <w:r w:rsidR="00684F9A" w:rsidRPr="00320DDF">
        <w:rPr>
          <w:rFonts w:ascii="Garamond" w:hAnsi="Garamond"/>
          <w:sz w:val="22"/>
          <w:szCs w:val="22"/>
        </w:rPr>
        <w:t xml:space="preserve">broadened by </w:t>
      </w:r>
      <w:r w:rsidR="008A073A" w:rsidRPr="00320DDF">
        <w:rPr>
          <w:rFonts w:ascii="Garamond" w:hAnsi="Garamond"/>
          <w:sz w:val="22"/>
          <w:szCs w:val="22"/>
        </w:rPr>
        <w:t>27</w:t>
      </w:r>
      <w:r w:rsidR="00684F9A" w:rsidRPr="00320DDF">
        <w:rPr>
          <w:rFonts w:ascii="Garamond" w:hAnsi="Garamond"/>
          <w:sz w:val="22"/>
          <w:szCs w:val="22"/>
        </w:rPr>
        <w:t>.</w:t>
      </w:r>
      <w:r w:rsidR="008A073A" w:rsidRPr="00320DDF">
        <w:rPr>
          <w:rFonts w:ascii="Garamond" w:hAnsi="Garamond"/>
          <w:sz w:val="22"/>
          <w:szCs w:val="22"/>
        </w:rPr>
        <w:t>0</w:t>
      </w:r>
      <w:r w:rsidR="00684F9A" w:rsidRPr="00320DDF">
        <w:rPr>
          <w:rFonts w:ascii="Garamond" w:hAnsi="Garamond"/>
          <w:sz w:val="22"/>
          <w:szCs w:val="22"/>
        </w:rPr>
        <w:t>% y/y</w:t>
      </w:r>
      <w:r w:rsidR="00090E2A">
        <w:rPr>
          <w:rFonts w:ascii="Garamond" w:hAnsi="Garamond"/>
          <w:sz w:val="22"/>
          <w:szCs w:val="22"/>
        </w:rPr>
        <w:t>.</w:t>
      </w:r>
      <w:r w:rsidR="00684F9A" w:rsidRPr="00320DDF">
        <w:rPr>
          <w:rFonts w:ascii="Garamond" w:hAnsi="Garamond"/>
          <w:sz w:val="22"/>
          <w:szCs w:val="22"/>
        </w:rPr>
        <w:t xml:space="preserve"> </w:t>
      </w:r>
      <w:r w:rsidR="005E18D3" w:rsidRPr="00320DDF">
        <w:rPr>
          <w:rFonts w:ascii="Garamond" w:hAnsi="Garamond"/>
          <w:sz w:val="22"/>
          <w:szCs w:val="22"/>
        </w:rPr>
        <w:t xml:space="preserve">Actually, the growth has been quite high than the projected growth indicator, which is explained by rapid appreciation of the ruble amid gradually recovering Russian economy. </w:t>
      </w:r>
      <w:r w:rsidR="003D3B6B" w:rsidRPr="00320DDF">
        <w:rPr>
          <w:rFonts w:ascii="Garamond" w:hAnsi="Garamond"/>
          <w:sz w:val="22"/>
          <w:szCs w:val="22"/>
        </w:rPr>
        <w:t xml:space="preserve">The negative balance on investment income </w:t>
      </w:r>
      <w:r w:rsidR="00684F9A" w:rsidRPr="00320DDF">
        <w:rPr>
          <w:rFonts w:ascii="Garamond" w:hAnsi="Garamond"/>
          <w:sz w:val="22"/>
          <w:szCs w:val="22"/>
        </w:rPr>
        <w:t xml:space="preserve">has </w:t>
      </w:r>
      <w:r w:rsidR="005E18D3" w:rsidRPr="00320DDF">
        <w:rPr>
          <w:rFonts w:ascii="Garamond" w:hAnsi="Garamond"/>
          <w:sz w:val="22"/>
          <w:szCs w:val="22"/>
        </w:rPr>
        <w:t>in</w:t>
      </w:r>
      <w:r w:rsidR="00684F9A" w:rsidRPr="00320DDF">
        <w:rPr>
          <w:rFonts w:ascii="Garamond" w:hAnsi="Garamond"/>
          <w:sz w:val="22"/>
          <w:szCs w:val="22"/>
        </w:rPr>
        <w:t xml:space="preserve">creased by USD </w:t>
      </w:r>
      <w:r w:rsidR="005E18D3" w:rsidRPr="00320DDF">
        <w:rPr>
          <w:rFonts w:ascii="Garamond" w:hAnsi="Garamond"/>
          <w:sz w:val="22"/>
          <w:szCs w:val="22"/>
        </w:rPr>
        <w:t>9</w:t>
      </w:r>
      <w:r w:rsidR="00684F9A" w:rsidRPr="00320DDF">
        <w:rPr>
          <w:rFonts w:ascii="Garamond" w:hAnsi="Garamond"/>
          <w:sz w:val="22"/>
          <w:szCs w:val="22"/>
        </w:rPr>
        <w:t xml:space="preserve">.0 million. </w:t>
      </w:r>
      <w:r w:rsidR="003F3BA2" w:rsidRPr="00320DDF">
        <w:rPr>
          <w:rFonts w:ascii="Garamond" w:hAnsi="Garamond"/>
          <w:sz w:val="22"/>
          <w:szCs w:val="22"/>
        </w:rPr>
        <w:t>As a result</w:t>
      </w:r>
      <w:r w:rsidR="00F0568A" w:rsidRPr="00320DDF">
        <w:rPr>
          <w:rFonts w:ascii="Garamond" w:hAnsi="Garamond"/>
          <w:sz w:val="22"/>
          <w:szCs w:val="22"/>
        </w:rPr>
        <w:t xml:space="preserve"> of the aforementioned developments</w:t>
      </w:r>
      <w:r w:rsidR="003F3BA2" w:rsidRPr="00320DDF">
        <w:rPr>
          <w:rFonts w:ascii="Garamond" w:hAnsi="Garamond"/>
          <w:sz w:val="22"/>
          <w:szCs w:val="22"/>
        </w:rPr>
        <w:t xml:space="preserve">, the current account </w:t>
      </w:r>
      <w:r w:rsidR="00684F9A" w:rsidRPr="00320DDF">
        <w:rPr>
          <w:rFonts w:ascii="Garamond" w:hAnsi="Garamond"/>
          <w:sz w:val="22"/>
          <w:szCs w:val="22"/>
        </w:rPr>
        <w:t xml:space="preserve">deficit </w:t>
      </w:r>
      <w:r w:rsidR="005E18D3" w:rsidRPr="00320DDF">
        <w:rPr>
          <w:rFonts w:ascii="Garamond" w:hAnsi="Garamond"/>
          <w:sz w:val="22"/>
          <w:szCs w:val="22"/>
        </w:rPr>
        <w:t xml:space="preserve">widened </w:t>
      </w:r>
      <w:r w:rsidR="00684F9A" w:rsidRPr="00320DDF">
        <w:rPr>
          <w:rFonts w:ascii="Garamond" w:hAnsi="Garamond"/>
          <w:sz w:val="22"/>
          <w:szCs w:val="22"/>
        </w:rPr>
        <w:t xml:space="preserve">this quarter to USD </w:t>
      </w:r>
      <w:r w:rsidR="005E18D3" w:rsidRPr="00320DDF">
        <w:rPr>
          <w:rFonts w:ascii="Garamond" w:hAnsi="Garamond"/>
          <w:sz w:val="22"/>
          <w:szCs w:val="22"/>
        </w:rPr>
        <w:t>125</w:t>
      </w:r>
      <w:r w:rsidR="00684F9A" w:rsidRPr="00320DDF">
        <w:rPr>
          <w:rFonts w:ascii="Garamond" w:hAnsi="Garamond"/>
          <w:sz w:val="22"/>
          <w:szCs w:val="22"/>
        </w:rPr>
        <w:t>.</w:t>
      </w:r>
      <w:r w:rsidR="005E18D3" w:rsidRPr="00320DDF">
        <w:rPr>
          <w:rFonts w:ascii="Garamond" w:hAnsi="Garamond"/>
          <w:sz w:val="22"/>
          <w:szCs w:val="22"/>
        </w:rPr>
        <w:t>0</w:t>
      </w:r>
      <w:r w:rsidR="00684F9A" w:rsidRPr="00320DDF">
        <w:rPr>
          <w:rFonts w:ascii="Garamond" w:hAnsi="Garamond"/>
          <w:sz w:val="22"/>
          <w:szCs w:val="22"/>
        </w:rPr>
        <w:t xml:space="preserve"> million relative to the f</w:t>
      </w:r>
      <w:r w:rsidR="005E18D3" w:rsidRPr="00320DDF">
        <w:rPr>
          <w:rFonts w:ascii="Garamond" w:hAnsi="Garamond"/>
          <w:sz w:val="22"/>
          <w:szCs w:val="22"/>
        </w:rPr>
        <w:t xml:space="preserve">irst </w:t>
      </w:r>
      <w:r w:rsidR="00684F9A" w:rsidRPr="00320DDF">
        <w:rPr>
          <w:rFonts w:ascii="Garamond" w:hAnsi="Garamond"/>
          <w:sz w:val="22"/>
          <w:szCs w:val="22"/>
        </w:rPr>
        <w:t xml:space="preserve">quarter of the previous year. </w:t>
      </w:r>
    </w:p>
    <w:p w14:paraId="57F017F9" w14:textId="77777777" w:rsidR="005E18D3" w:rsidRPr="00320DDF" w:rsidRDefault="005E18D3" w:rsidP="0006101A">
      <w:pPr>
        <w:spacing w:line="360" w:lineRule="auto"/>
        <w:jc w:val="both"/>
        <w:rPr>
          <w:rFonts w:ascii="Garamond" w:hAnsi="Garamond"/>
          <w:sz w:val="22"/>
          <w:szCs w:val="22"/>
        </w:rPr>
      </w:pPr>
    </w:p>
    <w:p w14:paraId="30D49495" w14:textId="77777777" w:rsidR="00FE4604" w:rsidRPr="00320DDF" w:rsidRDefault="005E18D3" w:rsidP="0006101A">
      <w:pPr>
        <w:spacing w:line="360" w:lineRule="auto"/>
        <w:jc w:val="both"/>
        <w:rPr>
          <w:rFonts w:ascii="Garamond" w:hAnsi="Garamond"/>
          <w:sz w:val="22"/>
          <w:szCs w:val="22"/>
        </w:rPr>
      </w:pPr>
      <w:r w:rsidRPr="00320DDF">
        <w:rPr>
          <w:rFonts w:ascii="Garamond" w:hAnsi="Garamond"/>
          <w:sz w:val="22"/>
          <w:szCs w:val="22"/>
        </w:rPr>
        <w:t>Actual capital and financial account indicators of the first quarter of 2017 will be published at the end of June 2017, according to the timetable.</w:t>
      </w:r>
      <w:r w:rsidR="0024338E" w:rsidRPr="00320DDF">
        <w:rPr>
          <w:rFonts w:ascii="Garamond" w:hAnsi="Garamond"/>
          <w:sz w:val="22"/>
          <w:szCs w:val="22"/>
        </w:rPr>
        <w:t xml:space="preserve"> </w:t>
      </w:r>
      <w:r w:rsidR="003F3BA2" w:rsidRPr="00320DDF">
        <w:rPr>
          <w:rFonts w:ascii="Garamond" w:hAnsi="Garamond"/>
          <w:sz w:val="22"/>
          <w:szCs w:val="22"/>
        </w:rPr>
        <w:t xml:space="preserve"> </w:t>
      </w:r>
    </w:p>
    <w:p w14:paraId="6654EBE6" w14:textId="77777777" w:rsidR="00FE4604" w:rsidRPr="00320DDF" w:rsidRDefault="00FE4604" w:rsidP="0006101A">
      <w:pPr>
        <w:spacing w:line="360" w:lineRule="auto"/>
        <w:jc w:val="both"/>
        <w:rPr>
          <w:rFonts w:ascii="Garamond" w:hAnsi="Garamond"/>
          <w:sz w:val="22"/>
          <w:szCs w:val="22"/>
        </w:rPr>
      </w:pPr>
    </w:p>
    <w:p w14:paraId="62EAB33D" w14:textId="77777777" w:rsidR="005E18D3" w:rsidRPr="00320DDF" w:rsidRDefault="006F2F51" w:rsidP="0006101A">
      <w:pPr>
        <w:spacing w:line="360" w:lineRule="auto"/>
        <w:jc w:val="both"/>
        <w:rPr>
          <w:rFonts w:ascii="Garamond" w:hAnsi="Garamond"/>
          <w:sz w:val="22"/>
          <w:szCs w:val="22"/>
        </w:rPr>
      </w:pPr>
      <w:r w:rsidRPr="00320DDF">
        <w:rPr>
          <w:rFonts w:ascii="Garamond" w:hAnsi="Garamond"/>
          <w:sz w:val="22"/>
          <w:szCs w:val="22"/>
        </w:rPr>
        <w:lastRenderedPageBreak/>
        <w:t>As current account deficit widened beyond the forecast figure, t</w:t>
      </w:r>
      <w:r w:rsidR="005E18D3" w:rsidRPr="00320DDF">
        <w:rPr>
          <w:rFonts w:ascii="Garamond" w:hAnsi="Garamond"/>
          <w:sz w:val="22"/>
          <w:szCs w:val="22"/>
        </w:rPr>
        <w:t xml:space="preserve">he decrease of net foreign assets of the Central Bank </w:t>
      </w:r>
      <w:r w:rsidRPr="00320DDF">
        <w:rPr>
          <w:rFonts w:ascii="Garamond" w:hAnsi="Garamond"/>
          <w:sz w:val="22"/>
          <w:szCs w:val="22"/>
        </w:rPr>
        <w:t>was higher than projected. This primarily occurred to the expense of a decrease in commercial banks’ foreign currency funds with the Central Bank.</w:t>
      </w:r>
    </w:p>
    <w:p w14:paraId="60EB1F72" w14:textId="77777777" w:rsidR="005E18D3" w:rsidRPr="00320DDF" w:rsidRDefault="005E18D3" w:rsidP="0006101A">
      <w:pPr>
        <w:spacing w:line="360" w:lineRule="auto"/>
        <w:jc w:val="both"/>
        <w:rPr>
          <w:rFonts w:ascii="Garamond" w:hAnsi="Garamond"/>
          <w:sz w:val="22"/>
          <w:szCs w:val="22"/>
        </w:rPr>
      </w:pPr>
    </w:p>
    <w:p w14:paraId="37225505" w14:textId="77777777" w:rsidR="00D46DA9" w:rsidRPr="00320DDF" w:rsidRDefault="00D46DA9" w:rsidP="0006101A">
      <w:pPr>
        <w:spacing w:line="360" w:lineRule="auto"/>
        <w:jc w:val="both"/>
        <w:rPr>
          <w:rFonts w:ascii="Garamond" w:hAnsi="Garamond"/>
          <w:b/>
          <w:sz w:val="22"/>
          <w:szCs w:val="22"/>
        </w:rPr>
      </w:pPr>
      <w:r w:rsidRPr="00320DDF">
        <w:rPr>
          <w:rFonts w:ascii="Garamond" w:hAnsi="Garamond"/>
          <w:b/>
          <w:sz w:val="22"/>
          <w:szCs w:val="22"/>
        </w:rPr>
        <w:t>3.5. External environment</w:t>
      </w:r>
    </w:p>
    <w:p w14:paraId="3B247D47" w14:textId="77777777" w:rsidR="0081713A" w:rsidRPr="00320DDF" w:rsidRDefault="0081713A" w:rsidP="0006101A">
      <w:pPr>
        <w:spacing w:line="360" w:lineRule="auto"/>
        <w:jc w:val="both"/>
        <w:rPr>
          <w:rFonts w:ascii="Garamond" w:hAnsi="Garamond"/>
          <w:b/>
          <w:sz w:val="22"/>
          <w:szCs w:val="22"/>
        </w:rPr>
      </w:pPr>
    </w:p>
    <w:p w14:paraId="01E6EC2E" w14:textId="77777777" w:rsidR="00D46DA9" w:rsidRPr="00320DDF" w:rsidRDefault="009D5450" w:rsidP="0006101A">
      <w:pPr>
        <w:spacing w:line="360" w:lineRule="auto"/>
        <w:jc w:val="both"/>
        <w:rPr>
          <w:rFonts w:ascii="Garamond" w:hAnsi="Garamond" w:cs="Sylfaen"/>
          <w:sz w:val="22"/>
          <w:szCs w:val="22"/>
        </w:rPr>
      </w:pPr>
      <w:r w:rsidRPr="00320DDF">
        <w:rPr>
          <w:rFonts w:ascii="Garamond" w:hAnsi="Garamond"/>
          <w:b/>
          <w:sz w:val="22"/>
          <w:szCs w:val="22"/>
        </w:rPr>
        <w:t>M</w:t>
      </w:r>
      <w:r w:rsidR="0081713A" w:rsidRPr="00320DDF">
        <w:rPr>
          <w:rFonts w:ascii="Garamond" w:hAnsi="Garamond"/>
          <w:b/>
          <w:sz w:val="22"/>
          <w:szCs w:val="22"/>
        </w:rPr>
        <w:t>a</w:t>
      </w:r>
      <w:r w:rsidR="000A20A2" w:rsidRPr="00320DDF">
        <w:rPr>
          <w:rFonts w:ascii="Garamond" w:hAnsi="Garamond" w:cs="Sylfaen"/>
          <w:b/>
          <w:sz w:val="22"/>
          <w:szCs w:val="22"/>
        </w:rPr>
        <w:t>in trade partner</w:t>
      </w:r>
      <w:r w:rsidR="0081713A" w:rsidRPr="00320DDF">
        <w:rPr>
          <w:rFonts w:ascii="Garamond" w:hAnsi="Garamond" w:cs="Sylfaen"/>
          <w:b/>
          <w:sz w:val="22"/>
          <w:szCs w:val="22"/>
        </w:rPr>
        <w:t xml:space="preserve"> countries</w:t>
      </w:r>
      <w:r w:rsidR="000A20A2" w:rsidRPr="00320DDF">
        <w:rPr>
          <w:rFonts w:ascii="Garamond" w:hAnsi="Garamond" w:cs="Sylfaen"/>
          <w:b/>
          <w:sz w:val="22"/>
          <w:szCs w:val="22"/>
        </w:rPr>
        <w:t xml:space="preserve"> to Armenia saw their economic activity impr</w:t>
      </w:r>
      <w:r w:rsidR="0081713A" w:rsidRPr="00320DDF">
        <w:rPr>
          <w:rFonts w:ascii="Garamond" w:hAnsi="Garamond" w:cs="Sylfaen"/>
          <w:b/>
          <w:sz w:val="22"/>
          <w:szCs w:val="22"/>
        </w:rPr>
        <w:t xml:space="preserve">oving </w:t>
      </w:r>
      <w:r w:rsidR="001F4847" w:rsidRPr="00320DDF">
        <w:rPr>
          <w:rFonts w:ascii="Garamond" w:hAnsi="Garamond" w:cs="Sylfaen"/>
          <w:b/>
          <w:sz w:val="22"/>
          <w:szCs w:val="22"/>
        </w:rPr>
        <w:t xml:space="preserve">further during </w:t>
      </w:r>
      <w:r w:rsidR="0081713A" w:rsidRPr="00320DDF">
        <w:rPr>
          <w:rFonts w:ascii="Garamond" w:hAnsi="Garamond" w:cs="Sylfaen"/>
          <w:b/>
          <w:sz w:val="22"/>
          <w:szCs w:val="22"/>
        </w:rPr>
        <w:t xml:space="preserve">the </w:t>
      </w:r>
      <w:r w:rsidR="001F4847" w:rsidRPr="00320DDF">
        <w:rPr>
          <w:rFonts w:ascii="Garamond" w:hAnsi="Garamond" w:cs="Sylfaen"/>
          <w:b/>
          <w:sz w:val="22"/>
          <w:szCs w:val="22"/>
        </w:rPr>
        <w:t>f</w:t>
      </w:r>
      <w:r w:rsidR="006F2F51" w:rsidRPr="00320DDF">
        <w:rPr>
          <w:rFonts w:ascii="Garamond" w:hAnsi="Garamond" w:cs="Sylfaen"/>
          <w:b/>
          <w:sz w:val="22"/>
          <w:szCs w:val="22"/>
        </w:rPr>
        <w:t>irst</w:t>
      </w:r>
      <w:r w:rsidR="001F4847" w:rsidRPr="00320DDF">
        <w:rPr>
          <w:rFonts w:ascii="Garamond" w:hAnsi="Garamond" w:cs="Sylfaen"/>
          <w:b/>
          <w:sz w:val="22"/>
          <w:szCs w:val="22"/>
        </w:rPr>
        <w:t xml:space="preserve"> </w:t>
      </w:r>
      <w:r w:rsidRPr="00320DDF">
        <w:rPr>
          <w:rFonts w:ascii="Garamond" w:hAnsi="Garamond" w:cs="Sylfaen"/>
          <w:b/>
          <w:sz w:val="22"/>
          <w:szCs w:val="22"/>
        </w:rPr>
        <w:t>quarter of 201</w:t>
      </w:r>
      <w:r w:rsidR="006F2F51" w:rsidRPr="00320DDF">
        <w:rPr>
          <w:rFonts w:ascii="Garamond" w:hAnsi="Garamond" w:cs="Sylfaen"/>
          <w:b/>
          <w:sz w:val="22"/>
          <w:szCs w:val="22"/>
        </w:rPr>
        <w:t>7</w:t>
      </w:r>
      <w:r w:rsidRPr="00320DDF">
        <w:rPr>
          <w:rFonts w:ascii="Garamond" w:hAnsi="Garamond" w:cs="Sylfaen"/>
          <w:b/>
          <w:sz w:val="22"/>
          <w:szCs w:val="22"/>
        </w:rPr>
        <w:t xml:space="preserve">. </w:t>
      </w:r>
      <w:r w:rsidR="006F2F51" w:rsidRPr="00320DDF">
        <w:rPr>
          <w:rFonts w:ascii="Garamond" w:hAnsi="Garamond" w:cs="Sylfaen"/>
          <w:b/>
          <w:sz w:val="22"/>
          <w:szCs w:val="22"/>
        </w:rPr>
        <w:t>In particular, there has been some slowing of economic growth in the USA and the Eurozone but the economic growth rate accelerated in the Russian Federation</w:t>
      </w:r>
      <w:r w:rsidRPr="00320DDF">
        <w:rPr>
          <w:rFonts w:ascii="Garamond" w:hAnsi="Garamond" w:cs="Sylfaen"/>
          <w:b/>
          <w:sz w:val="22"/>
          <w:szCs w:val="22"/>
        </w:rPr>
        <w:t>.</w:t>
      </w:r>
      <w:r w:rsidRPr="00320DDF">
        <w:rPr>
          <w:rFonts w:ascii="Garamond" w:hAnsi="Garamond" w:cs="Sylfaen"/>
          <w:sz w:val="22"/>
          <w:szCs w:val="22"/>
        </w:rPr>
        <w:t xml:space="preserve"> </w:t>
      </w:r>
    </w:p>
    <w:p w14:paraId="12FF5CF5" w14:textId="77777777" w:rsidR="009A5B93" w:rsidRPr="00320DDF" w:rsidRDefault="009A5B93" w:rsidP="0006101A">
      <w:pPr>
        <w:spacing w:line="360" w:lineRule="auto"/>
        <w:jc w:val="both"/>
        <w:rPr>
          <w:rFonts w:ascii="Garamond" w:hAnsi="Garamond" w:cs="Sylfaen"/>
          <w:sz w:val="22"/>
          <w:szCs w:val="22"/>
        </w:rPr>
      </w:pPr>
    </w:p>
    <w:p w14:paraId="699DD7FA" w14:textId="77777777" w:rsidR="00BB4AE9" w:rsidRPr="00320DDF" w:rsidRDefault="009A5B93" w:rsidP="0006101A">
      <w:pPr>
        <w:spacing w:line="360" w:lineRule="auto"/>
        <w:jc w:val="both"/>
        <w:rPr>
          <w:rFonts w:ascii="Garamond" w:hAnsi="Garamond" w:cs="Sylfaen"/>
          <w:color w:val="000000"/>
          <w:sz w:val="22"/>
          <w:szCs w:val="22"/>
        </w:rPr>
      </w:pPr>
      <w:r w:rsidRPr="00320DDF">
        <w:rPr>
          <w:rFonts w:ascii="Garamond" w:hAnsi="Garamond"/>
          <w:sz w:val="22"/>
          <w:szCs w:val="22"/>
        </w:rPr>
        <w:t xml:space="preserve">According to preliminary estimates of the </w:t>
      </w:r>
      <w:r w:rsidR="00E14715" w:rsidRPr="00320DDF">
        <w:rPr>
          <w:rFonts w:ascii="Garamond" w:hAnsi="Garamond"/>
          <w:sz w:val="22"/>
          <w:szCs w:val="22"/>
        </w:rPr>
        <w:t xml:space="preserve">Bureau of Economic Analysis of the </w:t>
      </w:r>
      <w:r w:rsidRPr="00320DDF">
        <w:rPr>
          <w:rFonts w:ascii="Garamond" w:hAnsi="Garamond"/>
          <w:sz w:val="22"/>
          <w:szCs w:val="22"/>
        </w:rPr>
        <w:t xml:space="preserve">U.S. Department of Commerce, the </w:t>
      </w:r>
      <w:r w:rsidR="007F7966" w:rsidRPr="00320DDF">
        <w:rPr>
          <w:rFonts w:ascii="Garamond" w:hAnsi="Garamond"/>
          <w:sz w:val="22"/>
          <w:szCs w:val="22"/>
        </w:rPr>
        <w:t>y/y e</w:t>
      </w:r>
      <w:r w:rsidRPr="00320DDF">
        <w:rPr>
          <w:rFonts w:ascii="Garamond" w:hAnsi="Garamond"/>
          <w:sz w:val="22"/>
          <w:szCs w:val="22"/>
        </w:rPr>
        <w:t xml:space="preserve">conomic growth in the </w:t>
      </w:r>
      <w:r w:rsidRPr="00320DDF">
        <w:rPr>
          <w:rFonts w:ascii="Garamond" w:hAnsi="Garamond"/>
          <w:b/>
          <w:sz w:val="22"/>
          <w:szCs w:val="22"/>
        </w:rPr>
        <w:t>United States</w:t>
      </w:r>
      <w:r w:rsidR="0086764D" w:rsidRPr="00320DDF">
        <w:rPr>
          <w:rFonts w:ascii="Garamond" w:hAnsi="Garamond"/>
          <w:b/>
          <w:sz w:val="22"/>
          <w:szCs w:val="22"/>
          <w:lang w:val="hy-AM"/>
        </w:rPr>
        <w:t xml:space="preserve"> </w:t>
      </w:r>
      <w:r w:rsidR="00E14715" w:rsidRPr="00320DDF">
        <w:rPr>
          <w:rFonts w:ascii="Garamond" w:hAnsi="Garamond"/>
          <w:sz w:val="22"/>
          <w:szCs w:val="22"/>
        </w:rPr>
        <w:t xml:space="preserve">in the </w:t>
      </w:r>
      <w:r w:rsidR="00F13FEB" w:rsidRPr="00320DDF">
        <w:rPr>
          <w:rFonts w:ascii="Garamond" w:hAnsi="Garamond"/>
          <w:sz w:val="22"/>
          <w:szCs w:val="22"/>
        </w:rPr>
        <w:t>f</w:t>
      </w:r>
      <w:r w:rsidR="006F2F51" w:rsidRPr="00320DDF">
        <w:rPr>
          <w:rFonts w:ascii="Garamond" w:hAnsi="Garamond"/>
          <w:sz w:val="22"/>
          <w:szCs w:val="22"/>
        </w:rPr>
        <w:t>irst</w:t>
      </w:r>
      <w:r w:rsidR="00F13FEB" w:rsidRPr="00320DDF">
        <w:rPr>
          <w:rFonts w:ascii="Garamond" w:hAnsi="Garamond"/>
          <w:sz w:val="22"/>
          <w:szCs w:val="22"/>
        </w:rPr>
        <w:t xml:space="preserve"> </w:t>
      </w:r>
      <w:r w:rsidR="00E14715" w:rsidRPr="00320DDF">
        <w:rPr>
          <w:rFonts w:ascii="Garamond" w:hAnsi="Garamond"/>
          <w:sz w:val="22"/>
          <w:szCs w:val="22"/>
        </w:rPr>
        <w:t>quarter of 201</w:t>
      </w:r>
      <w:r w:rsidR="006F2F51" w:rsidRPr="00320DDF">
        <w:rPr>
          <w:rFonts w:ascii="Garamond" w:hAnsi="Garamond"/>
          <w:sz w:val="22"/>
          <w:szCs w:val="22"/>
        </w:rPr>
        <w:t>7</w:t>
      </w:r>
      <w:r w:rsidR="00E14715" w:rsidRPr="00320DDF">
        <w:rPr>
          <w:rFonts w:ascii="Garamond" w:hAnsi="Garamond"/>
          <w:sz w:val="22"/>
          <w:szCs w:val="22"/>
        </w:rPr>
        <w:t xml:space="preserve"> </w:t>
      </w:r>
      <w:r w:rsidR="00936B90" w:rsidRPr="00320DDF">
        <w:rPr>
          <w:rFonts w:ascii="Garamond" w:hAnsi="Garamond"/>
          <w:sz w:val="22"/>
          <w:szCs w:val="22"/>
        </w:rPr>
        <w:t xml:space="preserve">was </w:t>
      </w:r>
      <w:r w:rsidR="00F13FEB" w:rsidRPr="00320DDF">
        <w:rPr>
          <w:rFonts w:ascii="Garamond" w:hAnsi="Garamond"/>
          <w:sz w:val="22"/>
          <w:szCs w:val="22"/>
        </w:rPr>
        <w:t>1</w:t>
      </w:r>
      <w:r w:rsidRPr="00320DDF">
        <w:rPr>
          <w:rFonts w:ascii="Garamond" w:hAnsi="Garamond"/>
          <w:sz w:val="22"/>
          <w:szCs w:val="22"/>
        </w:rPr>
        <w:t>.</w:t>
      </w:r>
      <w:r w:rsidR="0081713A" w:rsidRPr="00320DDF">
        <w:rPr>
          <w:rFonts w:ascii="Garamond" w:hAnsi="Garamond"/>
          <w:sz w:val="22"/>
          <w:szCs w:val="22"/>
        </w:rPr>
        <w:t>9</w:t>
      </w:r>
      <w:r w:rsidRPr="00320DDF">
        <w:rPr>
          <w:rFonts w:ascii="Garamond" w:hAnsi="Garamond"/>
          <w:sz w:val="22"/>
          <w:szCs w:val="22"/>
        </w:rPr>
        <w:t>%</w:t>
      </w:r>
      <w:r w:rsidR="00936B90" w:rsidRPr="00320DDF">
        <w:rPr>
          <w:rFonts w:ascii="Garamond" w:hAnsi="Garamond"/>
          <w:sz w:val="22"/>
          <w:szCs w:val="22"/>
        </w:rPr>
        <w:t xml:space="preserve"> </w:t>
      </w:r>
      <w:r w:rsidR="006F2F51" w:rsidRPr="00320DDF">
        <w:rPr>
          <w:rFonts w:ascii="Garamond" w:hAnsi="Garamond"/>
          <w:sz w:val="22"/>
          <w:szCs w:val="22"/>
        </w:rPr>
        <w:t>against the forecast of 2</w:t>
      </w:r>
      <w:r w:rsidRPr="00320DDF">
        <w:rPr>
          <w:rFonts w:ascii="Garamond" w:hAnsi="Garamond"/>
          <w:sz w:val="22"/>
          <w:szCs w:val="22"/>
        </w:rPr>
        <w:t>.</w:t>
      </w:r>
      <w:r w:rsidR="006F2F51" w:rsidRPr="00320DDF">
        <w:rPr>
          <w:rFonts w:ascii="Garamond" w:hAnsi="Garamond"/>
          <w:sz w:val="22"/>
          <w:szCs w:val="22"/>
        </w:rPr>
        <w:t>2</w:t>
      </w:r>
      <w:r w:rsidRPr="00320DDF">
        <w:rPr>
          <w:rFonts w:ascii="Garamond" w:hAnsi="Garamond"/>
          <w:sz w:val="22"/>
          <w:szCs w:val="22"/>
        </w:rPr>
        <w:t>% growth</w:t>
      </w:r>
      <w:r w:rsidR="00A41B23" w:rsidRPr="00320DDF">
        <w:rPr>
          <w:rFonts w:ascii="Garamond" w:hAnsi="Garamond"/>
          <w:sz w:val="22"/>
          <w:szCs w:val="22"/>
        </w:rPr>
        <w:t>.</w:t>
      </w:r>
      <w:r w:rsidRPr="00320DDF">
        <w:rPr>
          <w:rFonts w:ascii="Garamond" w:hAnsi="Garamond"/>
          <w:sz w:val="22"/>
          <w:szCs w:val="22"/>
        </w:rPr>
        <w:t xml:space="preserve"> </w:t>
      </w:r>
      <w:r w:rsidR="00A41B23" w:rsidRPr="00320DDF">
        <w:rPr>
          <w:rFonts w:ascii="Garamond" w:hAnsi="Garamond"/>
          <w:sz w:val="22"/>
          <w:szCs w:val="22"/>
        </w:rPr>
        <w:t>T</w:t>
      </w:r>
      <w:r w:rsidRPr="00320DDF">
        <w:rPr>
          <w:rFonts w:ascii="Garamond" w:hAnsi="Garamond"/>
          <w:sz w:val="22"/>
          <w:szCs w:val="22"/>
        </w:rPr>
        <w:t xml:space="preserve">he </w:t>
      </w:r>
      <w:r w:rsidR="007F7966" w:rsidRPr="00320DDF">
        <w:rPr>
          <w:rFonts w:ascii="Garamond" w:hAnsi="Garamond"/>
          <w:sz w:val="22"/>
          <w:szCs w:val="22"/>
        </w:rPr>
        <w:t xml:space="preserve">deviation occurred mainly in the light of higher expectations for investments and export volumes (previous quarter’s y/y growth was 2.0%). </w:t>
      </w:r>
      <w:r w:rsidR="00667AD6" w:rsidRPr="00320DDF">
        <w:rPr>
          <w:rFonts w:ascii="Garamond" w:hAnsi="Garamond" w:cs="Sylfaen"/>
          <w:color w:val="000000"/>
          <w:sz w:val="22"/>
          <w:szCs w:val="22"/>
        </w:rPr>
        <w:t>T</w:t>
      </w:r>
      <w:r w:rsidR="00BB4AE9" w:rsidRPr="00320DDF">
        <w:rPr>
          <w:rFonts w:ascii="Garamond" w:hAnsi="Garamond" w:cs="Sylfaen"/>
          <w:color w:val="000000"/>
          <w:sz w:val="22"/>
          <w:szCs w:val="22"/>
        </w:rPr>
        <w:t xml:space="preserve">he </w:t>
      </w:r>
      <w:r w:rsidR="005E7ECB" w:rsidRPr="00320DDF">
        <w:rPr>
          <w:rFonts w:ascii="Garamond" w:hAnsi="Garamond" w:cs="Sylfaen"/>
          <w:color w:val="000000"/>
          <w:sz w:val="22"/>
          <w:szCs w:val="22"/>
        </w:rPr>
        <w:t xml:space="preserve">first </w:t>
      </w:r>
      <w:r w:rsidR="004C3474" w:rsidRPr="00320DDF">
        <w:rPr>
          <w:rFonts w:ascii="Garamond" w:hAnsi="Garamond" w:cs="Sylfaen"/>
          <w:color w:val="000000"/>
          <w:sz w:val="22"/>
          <w:szCs w:val="22"/>
        </w:rPr>
        <w:t xml:space="preserve">quarter’s </w:t>
      </w:r>
      <w:r w:rsidR="00BB4AE9" w:rsidRPr="00320DDF">
        <w:rPr>
          <w:rFonts w:ascii="Garamond" w:hAnsi="Garamond" w:cs="Sylfaen"/>
          <w:color w:val="000000"/>
          <w:sz w:val="22"/>
          <w:szCs w:val="22"/>
        </w:rPr>
        <w:t xml:space="preserve">inflation </w:t>
      </w:r>
      <w:r w:rsidR="004C3474" w:rsidRPr="00320DDF">
        <w:rPr>
          <w:rFonts w:ascii="Garamond" w:hAnsi="Garamond" w:cs="Sylfaen"/>
          <w:color w:val="000000"/>
          <w:sz w:val="22"/>
          <w:szCs w:val="22"/>
        </w:rPr>
        <w:t xml:space="preserve">rate </w:t>
      </w:r>
      <w:r w:rsidR="001B3DE5" w:rsidRPr="00320DDF">
        <w:rPr>
          <w:rFonts w:ascii="Garamond" w:hAnsi="Garamond" w:cs="Sylfaen"/>
          <w:color w:val="000000"/>
          <w:sz w:val="22"/>
          <w:szCs w:val="22"/>
        </w:rPr>
        <w:t xml:space="preserve">accelerated </w:t>
      </w:r>
      <w:r w:rsidR="005E7ECB" w:rsidRPr="00320DDF">
        <w:rPr>
          <w:rFonts w:ascii="Garamond" w:hAnsi="Garamond" w:cs="Sylfaen"/>
          <w:color w:val="000000"/>
          <w:sz w:val="22"/>
          <w:szCs w:val="22"/>
        </w:rPr>
        <w:t xml:space="preserve">noticeably </w:t>
      </w:r>
      <w:r w:rsidR="001B3DE5" w:rsidRPr="00320DDF">
        <w:rPr>
          <w:rFonts w:ascii="Garamond" w:hAnsi="Garamond" w:cs="Sylfaen"/>
          <w:color w:val="000000"/>
          <w:sz w:val="22"/>
          <w:szCs w:val="22"/>
        </w:rPr>
        <w:t xml:space="preserve">to </w:t>
      </w:r>
      <w:r w:rsidR="005E7ECB" w:rsidRPr="00320DDF">
        <w:rPr>
          <w:rFonts w:ascii="Garamond" w:hAnsi="Garamond" w:cs="Sylfaen"/>
          <w:color w:val="000000"/>
          <w:sz w:val="22"/>
          <w:szCs w:val="22"/>
        </w:rPr>
        <w:t>2</w:t>
      </w:r>
      <w:r w:rsidR="00667AD6" w:rsidRPr="00320DDF">
        <w:rPr>
          <w:rFonts w:ascii="Garamond" w:hAnsi="Garamond" w:cs="Sylfaen"/>
          <w:color w:val="000000"/>
          <w:sz w:val="22"/>
          <w:szCs w:val="22"/>
        </w:rPr>
        <w:t>.</w:t>
      </w:r>
      <w:r w:rsidR="005E7ECB" w:rsidRPr="00320DDF">
        <w:rPr>
          <w:rFonts w:ascii="Garamond" w:hAnsi="Garamond" w:cs="Sylfaen"/>
          <w:color w:val="000000"/>
          <w:sz w:val="22"/>
          <w:szCs w:val="22"/>
        </w:rPr>
        <w:t>5</w:t>
      </w:r>
      <w:r w:rsidR="00667AD6" w:rsidRPr="00320DDF">
        <w:rPr>
          <w:rFonts w:ascii="Garamond" w:hAnsi="Garamond" w:cs="Sylfaen"/>
          <w:color w:val="000000"/>
          <w:sz w:val="22"/>
          <w:szCs w:val="22"/>
        </w:rPr>
        <w:t>%</w:t>
      </w:r>
      <w:r w:rsidR="00707F34" w:rsidRPr="00320DDF">
        <w:rPr>
          <w:rFonts w:ascii="Garamond" w:hAnsi="Garamond" w:cs="Sylfaen"/>
          <w:color w:val="000000"/>
          <w:sz w:val="22"/>
          <w:szCs w:val="22"/>
        </w:rPr>
        <w:t>,</w:t>
      </w:r>
      <w:r w:rsidR="001B3DE5" w:rsidRPr="00320DDF">
        <w:rPr>
          <w:rFonts w:ascii="Garamond" w:hAnsi="Garamond" w:cs="Sylfaen"/>
          <w:color w:val="000000"/>
          <w:sz w:val="22"/>
          <w:szCs w:val="22"/>
        </w:rPr>
        <w:t xml:space="preserve"> </w:t>
      </w:r>
      <w:r w:rsidR="005E7ECB" w:rsidRPr="00320DDF">
        <w:rPr>
          <w:rFonts w:ascii="Garamond" w:hAnsi="Garamond" w:cs="Sylfaen"/>
          <w:color w:val="000000"/>
          <w:sz w:val="22"/>
          <w:szCs w:val="22"/>
        </w:rPr>
        <w:t xml:space="preserve">instead of the projected </w:t>
      </w:r>
      <w:r w:rsidR="00667AD6" w:rsidRPr="00320DDF">
        <w:rPr>
          <w:rFonts w:ascii="Garamond" w:hAnsi="Garamond" w:cs="Sylfaen"/>
          <w:color w:val="000000"/>
          <w:sz w:val="22"/>
          <w:szCs w:val="22"/>
        </w:rPr>
        <w:t xml:space="preserve">indicator of </w:t>
      </w:r>
      <w:r w:rsidR="001B3DE5" w:rsidRPr="00320DDF">
        <w:rPr>
          <w:rFonts w:ascii="Garamond" w:hAnsi="Garamond" w:cs="Sylfaen"/>
          <w:color w:val="000000"/>
          <w:sz w:val="22"/>
          <w:szCs w:val="22"/>
        </w:rPr>
        <w:t>1</w:t>
      </w:r>
      <w:r w:rsidR="00BB4AE9" w:rsidRPr="00320DDF">
        <w:rPr>
          <w:rFonts w:ascii="Garamond" w:hAnsi="Garamond" w:cs="Sylfaen"/>
          <w:color w:val="000000"/>
          <w:sz w:val="22"/>
          <w:szCs w:val="22"/>
        </w:rPr>
        <w:t>.</w:t>
      </w:r>
      <w:r w:rsidR="005E7ECB" w:rsidRPr="00320DDF">
        <w:rPr>
          <w:rFonts w:ascii="Garamond" w:hAnsi="Garamond" w:cs="Sylfaen"/>
          <w:color w:val="000000"/>
          <w:sz w:val="22"/>
          <w:szCs w:val="22"/>
        </w:rPr>
        <w:t>9</w:t>
      </w:r>
      <w:r w:rsidR="00BB4AE9" w:rsidRPr="00320DDF">
        <w:rPr>
          <w:rFonts w:ascii="Garamond" w:hAnsi="Garamond" w:cs="Sylfaen"/>
          <w:color w:val="000000"/>
          <w:sz w:val="22"/>
          <w:szCs w:val="22"/>
        </w:rPr>
        <w:t>%</w:t>
      </w:r>
      <w:r w:rsidR="00707F34" w:rsidRPr="00320DDF">
        <w:rPr>
          <w:rFonts w:ascii="Garamond" w:hAnsi="Garamond" w:cs="Sylfaen"/>
          <w:color w:val="000000"/>
          <w:sz w:val="22"/>
          <w:szCs w:val="22"/>
        </w:rPr>
        <w:t>, and is running above the target</w:t>
      </w:r>
      <w:r w:rsidR="001B3DE5" w:rsidRPr="00320DDF">
        <w:rPr>
          <w:rFonts w:ascii="Garamond" w:hAnsi="Garamond" w:cs="Sylfaen"/>
          <w:color w:val="000000"/>
          <w:sz w:val="22"/>
          <w:szCs w:val="22"/>
        </w:rPr>
        <w:t>.</w:t>
      </w:r>
      <w:r w:rsidR="004C3474" w:rsidRPr="00320DDF">
        <w:rPr>
          <w:rFonts w:ascii="Garamond" w:hAnsi="Garamond" w:cs="Sylfaen"/>
          <w:color w:val="000000"/>
          <w:sz w:val="22"/>
          <w:szCs w:val="22"/>
        </w:rPr>
        <w:t xml:space="preserve"> </w:t>
      </w:r>
      <w:r w:rsidR="00707F34" w:rsidRPr="00320DDF">
        <w:rPr>
          <w:rFonts w:ascii="Garamond" w:hAnsi="Garamond" w:cs="Sylfaen"/>
          <w:color w:val="000000"/>
          <w:sz w:val="22"/>
          <w:szCs w:val="22"/>
        </w:rPr>
        <w:t>The deviation of inflation from the projected value is due to increased prices of non-food products.</w:t>
      </w:r>
      <w:r w:rsidR="00BB4AE9" w:rsidRPr="00320DDF">
        <w:rPr>
          <w:rFonts w:ascii="Garamond" w:hAnsi="Garamond" w:cs="Sylfaen"/>
          <w:color w:val="000000"/>
          <w:sz w:val="22"/>
          <w:szCs w:val="22"/>
        </w:rPr>
        <w:t xml:space="preserve"> </w:t>
      </w:r>
      <w:r w:rsidR="00707F34" w:rsidRPr="00320DDF">
        <w:rPr>
          <w:rFonts w:ascii="Garamond" w:hAnsi="Garamond" w:cs="Sylfaen"/>
          <w:color w:val="000000"/>
          <w:sz w:val="22"/>
          <w:szCs w:val="22"/>
        </w:rPr>
        <w:t>T</w:t>
      </w:r>
      <w:r w:rsidR="00BB4AE9" w:rsidRPr="00320DDF">
        <w:rPr>
          <w:rFonts w:ascii="Garamond" w:hAnsi="Garamond" w:cs="Sylfaen"/>
          <w:color w:val="000000"/>
          <w:sz w:val="22"/>
          <w:szCs w:val="22"/>
        </w:rPr>
        <w:t xml:space="preserve">he US Federal Reserve System </w:t>
      </w:r>
      <w:r w:rsidR="0006126B" w:rsidRPr="00320DDF">
        <w:rPr>
          <w:rFonts w:ascii="Garamond" w:hAnsi="Garamond" w:cs="Sylfaen"/>
          <w:color w:val="000000"/>
          <w:sz w:val="22"/>
          <w:szCs w:val="22"/>
        </w:rPr>
        <w:t>raised</w:t>
      </w:r>
      <w:r w:rsidR="00381DE7" w:rsidRPr="00320DDF">
        <w:rPr>
          <w:rFonts w:ascii="Garamond" w:hAnsi="Garamond" w:cs="Sylfaen"/>
          <w:color w:val="000000"/>
          <w:sz w:val="22"/>
          <w:szCs w:val="22"/>
        </w:rPr>
        <w:t xml:space="preserve"> the policy rates</w:t>
      </w:r>
      <w:r w:rsidR="00707F34" w:rsidRPr="00320DDF">
        <w:rPr>
          <w:rFonts w:ascii="Garamond" w:hAnsi="Garamond" w:cs="Sylfaen"/>
          <w:color w:val="000000"/>
          <w:sz w:val="22"/>
          <w:szCs w:val="22"/>
        </w:rPr>
        <w:t>, as was expected,</w:t>
      </w:r>
      <w:r w:rsidR="00381DE7" w:rsidRPr="00320DDF">
        <w:rPr>
          <w:rFonts w:ascii="Garamond" w:hAnsi="Garamond" w:cs="Sylfaen"/>
          <w:color w:val="000000"/>
          <w:sz w:val="22"/>
          <w:szCs w:val="22"/>
        </w:rPr>
        <w:t xml:space="preserve"> </w:t>
      </w:r>
      <w:r w:rsidR="0006126B" w:rsidRPr="00320DDF">
        <w:rPr>
          <w:rFonts w:ascii="Garamond" w:hAnsi="Garamond" w:cs="Sylfaen"/>
          <w:color w:val="000000"/>
          <w:sz w:val="22"/>
          <w:szCs w:val="22"/>
        </w:rPr>
        <w:t>to 0.</w:t>
      </w:r>
      <w:r w:rsidR="00707F34" w:rsidRPr="00320DDF">
        <w:rPr>
          <w:rFonts w:ascii="Garamond" w:hAnsi="Garamond" w:cs="Sylfaen"/>
          <w:color w:val="000000"/>
          <w:sz w:val="22"/>
          <w:szCs w:val="22"/>
        </w:rPr>
        <w:t>7</w:t>
      </w:r>
      <w:r w:rsidR="0006126B" w:rsidRPr="00320DDF">
        <w:rPr>
          <w:rFonts w:ascii="Garamond" w:hAnsi="Garamond" w:cs="Sylfaen"/>
          <w:color w:val="000000"/>
          <w:sz w:val="22"/>
          <w:szCs w:val="22"/>
        </w:rPr>
        <w:t>5-</w:t>
      </w:r>
      <w:r w:rsidR="00707F34" w:rsidRPr="00320DDF">
        <w:rPr>
          <w:rFonts w:ascii="Garamond" w:hAnsi="Garamond" w:cs="Sylfaen"/>
          <w:color w:val="000000"/>
          <w:sz w:val="22"/>
          <w:szCs w:val="22"/>
        </w:rPr>
        <w:t>1</w:t>
      </w:r>
      <w:r w:rsidR="0006126B" w:rsidRPr="00320DDF">
        <w:rPr>
          <w:rFonts w:ascii="Garamond" w:hAnsi="Garamond" w:cs="Sylfaen"/>
          <w:color w:val="000000"/>
          <w:sz w:val="22"/>
          <w:szCs w:val="22"/>
        </w:rPr>
        <w:t>.</w:t>
      </w:r>
      <w:r w:rsidR="00707F34" w:rsidRPr="00320DDF">
        <w:rPr>
          <w:rFonts w:ascii="Garamond" w:hAnsi="Garamond" w:cs="Sylfaen"/>
          <w:color w:val="000000"/>
          <w:sz w:val="22"/>
          <w:szCs w:val="22"/>
        </w:rPr>
        <w:t>00</w:t>
      </w:r>
      <w:r w:rsidR="0006126B" w:rsidRPr="00320DDF">
        <w:rPr>
          <w:rFonts w:ascii="Garamond" w:hAnsi="Garamond" w:cs="Sylfaen"/>
          <w:color w:val="000000"/>
          <w:sz w:val="22"/>
          <w:szCs w:val="22"/>
        </w:rPr>
        <w:t xml:space="preserve">% </w:t>
      </w:r>
      <w:r w:rsidR="00707F34" w:rsidRPr="00320DDF">
        <w:rPr>
          <w:rFonts w:ascii="Garamond" w:hAnsi="Garamond" w:cs="Sylfaen"/>
          <w:color w:val="000000"/>
          <w:sz w:val="22"/>
          <w:szCs w:val="22"/>
        </w:rPr>
        <w:t xml:space="preserve">in the first quarter of 2017 </w:t>
      </w:r>
      <w:r w:rsidR="0006126B" w:rsidRPr="00320DDF">
        <w:rPr>
          <w:rFonts w:ascii="Garamond" w:hAnsi="Garamond" w:cs="Sylfaen"/>
          <w:color w:val="000000"/>
          <w:sz w:val="22"/>
          <w:szCs w:val="22"/>
        </w:rPr>
        <w:t xml:space="preserve">from </w:t>
      </w:r>
      <w:r w:rsidR="00707F34" w:rsidRPr="00320DDF">
        <w:rPr>
          <w:rFonts w:ascii="Garamond" w:hAnsi="Garamond" w:cs="Sylfaen"/>
          <w:color w:val="000000"/>
          <w:sz w:val="22"/>
          <w:szCs w:val="22"/>
        </w:rPr>
        <w:t>0.</w:t>
      </w:r>
      <w:r w:rsidR="00BB4AE9" w:rsidRPr="00320DDF">
        <w:rPr>
          <w:rFonts w:ascii="Garamond" w:hAnsi="Garamond" w:cs="Sylfaen"/>
          <w:color w:val="000000"/>
          <w:sz w:val="22"/>
          <w:szCs w:val="22"/>
        </w:rPr>
        <w:t>5-0.5%</w:t>
      </w:r>
      <w:r w:rsidR="0006126B" w:rsidRPr="00320DDF">
        <w:rPr>
          <w:rFonts w:ascii="Garamond" w:hAnsi="Garamond" w:cs="Sylfaen"/>
          <w:color w:val="000000"/>
          <w:sz w:val="22"/>
          <w:szCs w:val="22"/>
        </w:rPr>
        <w:t xml:space="preserve"> </w:t>
      </w:r>
      <w:r w:rsidR="00707F34" w:rsidRPr="00320DDF">
        <w:rPr>
          <w:rFonts w:ascii="Garamond" w:hAnsi="Garamond" w:cs="Sylfaen"/>
          <w:color w:val="000000"/>
          <w:sz w:val="22"/>
          <w:szCs w:val="22"/>
        </w:rPr>
        <w:t>i</w:t>
      </w:r>
      <w:r w:rsidR="0006126B" w:rsidRPr="00320DDF">
        <w:rPr>
          <w:rFonts w:ascii="Garamond" w:hAnsi="Garamond" w:cs="Sylfaen"/>
          <w:color w:val="000000"/>
          <w:sz w:val="22"/>
          <w:szCs w:val="22"/>
        </w:rPr>
        <w:t>n the previous quarter</w:t>
      </w:r>
      <w:r w:rsidR="00BB4AE9" w:rsidRPr="00320DDF">
        <w:rPr>
          <w:rFonts w:ascii="Garamond" w:hAnsi="Garamond" w:cs="Sylfaen"/>
          <w:color w:val="000000"/>
          <w:sz w:val="22"/>
          <w:szCs w:val="22"/>
        </w:rPr>
        <w:t>.</w:t>
      </w:r>
    </w:p>
    <w:p w14:paraId="677392C5" w14:textId="77777777" w:rsidR="00F2750C" w:rsidRPr="00320DDF" w:rsidRDefault="00F2750C" w:rsidP="0006101A">
      <w:pPr>
        <w:spacing w:line="360" w:lineRule="auto"/>
        <w:jc w:val="both"/>
        <w:rPr>
          <w:rFonts w:ascii="Garamond" w:hAnsi="Garamond" w:cs="Sylfaen"/>
          <w:color w:val="000000"/>
          <w:sz w:val="22"/>
          <w:szCs w:val="22"/>
        </w:rPr>
      </w:pPr>
    </w:p>
    <w:p w14:paraId="57D2808F" w14:textId="77777777" w:rsidR="00C9745D" w:rsidRPr="00320DDF" w:rsidRDefault="00F2750C" w:rsidP="0006101A">
      <w:pPr>
        <w:spacing w:line="360" w:lineRule="auto"/>
        <w:jc w:val="both"/>
        <w:rPr>
          <w:rStyle w:val="longtext"/>
          <w:rFonts w:ascii="Garamond" w:hAnsi="Garamond"/>
          <w:sz w:val="22"/>
          <w:szCs w:val="22"/>
        </w:rPr>
      </w:pPr>
      <w:r w:rsidRPr="00320DDF">
        <w:rPr>
          <w:rFonts w:ascii="Garamond" w:hAnsi="Garamond"/>
          <w:sz w:val="22"/>
          <w:szCs w:val="22"/>
        </w:rPr>
        <w:t>According to preliminary estimates provided by the Eurostat, economic growth in</w:t>
      </w:r>
      <w:r w:rsidR="00E06CB9" w:rsidRPr="00320DDF">
        <w:rPr>
          <w:rFonts w:ascii="Garamond" w:hAnsi="Garamond"/>
          <w:sz w:val="22"/>
          <w:szCs w:val="22"/>
        </w:rPr>
        <w:t xml:space="preserve"> the</w:t>
      </w:r>
      <w:r w:rsidR="0086764D" w:rsidRPr="00320DDF">
        <w:rPr>
          <w:rFonts w:ascii="Garamond" w:hAnsi="Garamond"/>
          <w:sz w:val="22"/>
          <w:szCs w:val="22"/>
          <w:lang w:val="hy-AM"/>
        </w:rPr>
        <w:t xml:space="preserve"> </w:t>
      </w:r>
      <w:r w:rsidRPr="00320DDF">
        <w:rPr>
          <w:rFonts w:ascii="Garamond" w:hAnsi="Garamond"/>
          <w:b/>
          <w:sz w:val="22"/>
          <w:szCs w:val="22"/>
        </w:rPr>
        <w:t>Eurozone</w:t>
      </w:r>
      <w:r w:rsidR="0086764D" w:rsidRPr="00320DDF">
        <w:rPr>
          <w:rFonts w:ascii="Garamond" w:hAnsi="Garamond"/>
          <w:b/>
          <w:sz w:val="22"/>
          <w:szCs w:val="22"/>
          <w:lang w:val="hy-AM"/>
        </w:rPr>
        <w:t xml:space="preserve"> </w:t>
      </w:r>
      <w:r w:rsidRPr="00320DDF">
        <w:rPr>
          <w:rFonts w:ascii="Garamond" w:hAnsi="Garamond"/>
          <w:sz w:val="22"/>
          <w:szCs w:val="22"/>
        </w:rPr>
        <w:t xml:space="preserve">in the </w:t>
      </w:r>
      <w:r w:rsidR="003F7526" w:rsidRPr="00320DDF">
        <w:rPr>
          <w:rFonts w:ascii="Garamond" w:hAnsi="Garamond"/>
          <w:sz w:val="22"/>
          <w:szCs w:val="22"/>
        </w:rPr>
        <w:t>f</w:t>
      </w:r>
      <w:r w:rsidR="00F2099A" w:rsidRPr="00320DDF">
        <w:rPr>
          <w:rFonts w:ascii="Garamond" w:hAnsi="Garamond"/>
          <w:sz w:val="22"/>
          <w:szCs w:val="22"/>
        </w:rPr>
        <w:t>irst</w:t>
      </w:r>
      <w:r w:rsidR="00D47C9D" w:rsidRPr="00320DDF">
        <w:rPr>
          <w:rFonts w:ascii="Garamond" w:hAnsi="Garamond"/>
          <w:sz w:val="22"/>
          <w:szCs w:val="22"/>
        </w:rPr>
        <w:t xml:space="preserve"> </w:t>
      </w:r>
      <w:r w:rsidRPr="00320DDF">
        <w:rPr>
          <w:rFonts w:ascii="Garamond" w:hAnsi="Garamond"/>
          <w:sz w:val="22"/>
          <w:szCs w:val="22"/>
        </w:rPr>
        <w:t>quarter of 201</w:t>
      </w:r>
      <w:r w:rsidR="00D47C9D" w:rsidRPr="00320DDF">
        <w:rPr>
          <w:rFonts w:ascii="Garamond" w:hAnsi="Garamond"/>
          <w:sz w:val="22"/>
          <w:szCs w:val="22"/>
        </w:rPr>
        <w:t>7</w:t>
      </w:r>
      <w:r w:rsidR="0086764D" w:rsidRPr="00320DDF">
        <w:rPr>
          <w:rFonts w:ascii="Garamond" w:hAnsi="Garamond"/>
          <w:sz w:val="22"/>
          <w:szCs w:val="22"/>
          <w:lang w:val="hy-AM"/>
        </w:rPr>
        <w:t xml:space="preserve"> </w:t>
      </w:r>
      <w:r w:rsidR="00EA7BD8" w:rsidRPr="00320DDF">
        <w:rPr>
          <w:rFonts w:ascii="Garamond" w:hAnsi="Garamond"/>
          <w:sz w:val="22"/>
          <w:szCs w:val="22"/>
        </w:rPr>
        <w:t>was</w:t>
      </w:r>
      <w:r w:rsidR="00AB2E19" w:rsidRPr="00320DDF">
        <w:rPr>
          <w:rFonts w:ascii="Garamond" w:hAnsi="Garamond"/>
          <w:sz w:val="22"/>
          <w:szCs w:val="22"/>
        </w:rPr>
        <w:t xml:space="preserve"> </w:t>
      </w:r>
      <w:r w:rsidRPr="00320DDF">
        <w:rPr>
          <w:rFonts w:ascii="Garamond" w:hAnsi="Garamond"/>
          <w:sz w:val="22"/>
          <w:szCs w:val="22"/>
        </w:rPr>
        <w:t>1.</w:t>
      </w:r>
      <w:r w:rsidR="00D47C9D" w:rsidRPr="00320DDF">
        <w:rPr>
          <w:rFonts w:ascii="Garamond" w:hAnsi="Garamond"/>
          <w:sz w:val="22"/>
          <w:szCs w:val="22"/>
        </w:rPr>
        <w:t>7</w:t>
      </w:r>
      <w:r w:rsidRPr="00320DDF">
        <w:rPr>
          <w:rFonts w:ascii="Garamond" w:hAnsi="Garamond"/>
          <w:sz w:val="22"/>
          <w:szCs w:val="22"/>
        </w:rPr>
        <w:t xml:space="preserve">% </w:t>
      </w:r>
      <w:r w:rsidR="00D47C9D" w:rsidRPr="00320DDF">
        <w:rPr>
          <w:rFonts w:ascii="Garamond" w:hAnsi="Garamond"/>
          <w:sz w:val="22"/>
          <w:szCs w:val="22"/>
        </w:rPr>
        <w:t xml:space="preserve">against the forecast 1.4% growth. Higher-than-predicted growth was mostly due to </w:t>
      </w:r>
      <w:r w:rsidR="002002B9" w:rsidRPr="00320DDF">
        <w:rPr>
          <w:rFonts w:ascii="Garamond" w:hAnsi="Garamond"/>
          <w:sz w:val="22"/>
          <w:szCs w:val="22"/>
        </w:rPr>
        <w:t>strengthening domestic demand</w:t>
      </w:r>
      <w:r w:rsidR="00D47C9D" w:rsidRPr="00320DDF">
        <w:rPr>
          <w:rFonts w:ascii="Garamond" w:hAnsi="Garamond"/>
          <w:sz w:val="22"/>
          <w:szCs w:val="22"/>
        </w:rPr>
        <w:t xml:space="preserve">. </w:t>
      </w:r>
      <w:r w:rsidR="003F7526" w:rsidRPr="00320DDF">
        <w:rPr>
          <w:rFonts w:ascii="Garamond" w:hAnsi="Garamond"/>
          <w:sz w:val="22"/>
          <w:szCs w:val="22"/>
        </w:rPr>
        <w:t>T</w:t>
      </w:r>
      <w:r w:rsidRPr="00320DDF">
        <w:rPr>
          <w:rFonts w:ascii="Garamond" w:hAnsi="Garamond"/>
          <w:sz w:val="22"/>
          <w:szCs w:val="22"/>
        </w:rPr>
        <w:t xml:space="preserve">he </w:t>
      </w:r>
      <w:r w:rsidR="003F7526" w:rsidRPr="00320DDF">
        <w:rPr>
          <w:rFonts w:ascii="Garamond" w:hAnsi="Garamond"/>
          <w:sz w:val="22"/>
          <w:szCs w:val="22"/>
        </w:rPr>
        <w:t xml:space="preserve">average quarterly </w:t>
      </w:r>
      <w:r w:rsidRPr="00320DDF">
        <w:rPr>
          <w:rFonts w:ascii="Garamond" w:hAnsi="Garamond"/>
          <w:sz w:val="22"/>
          <w:szCs w:val="22"/>
        </w:rPr>
        <w:t>inflation</w:t>
      </w:r>
      <w:r w:rsidR="003F7526" w:rsidRPr="00320DDF">
        <w:rPr>
          <w:rFonts w:ascii="Garamond" w:hAnsi="Garamond"/>
          <w:sz w:val="22"/>
          <w:szCs w:val="22"/>
        </w:rPr>
        <w:t xml:space="preserve"> in the Eurozone in the </w:t>
      </w:r>
      <w:r w:rsidR="00D47C9D" w:rsidRPr="00320DDF">
        <w:rPr>
          <w:rFonts w:ascii="Garamond" w:hAnsi="Garamond"/>
          <w:sz w:val="22"/>
          <w:szCs w:val="22"/>
        </w:rPr>
        <w:t xml:space="preserve">first </w:t>
      </w:r>
      <w:r w:rsidR="003F7526" w:rsidRPr="00320DDF">
        <w:rPr>
          <w:rFonts w:ascii="Garamond" w:hAnsi="Garamond"/>
          <w:sz w:val="22"/>
          <w:szCs w:val="22"/>
        </w:rPr>
        <w:t>quarter of 201</w:t>
      </w:r>
      <w:r w:rsidR="00D47C9D" w:rsidRPr="00320DDF">
        <w:rPr>
          <w:rFonts w:ascii="Garamond" w:hAnsi="Garamond"/>
          <w:sz w:val="22"/>
          <w:szCs w:val="22"/>
        </w:rPr>
        <w:t>7</w:t>
      </w:r>
      <w:r w:rsidR="003F7526" w:rsidRPr="00320DDF">
        <w:rPr>
          <w:rFonts w:ascii="Garamond" w:hAnsi="Garamond"/>
          <w:sz w:val="22"/>
          <w:szCs w:val="22"/>
        </w:rPr>
        <w:t xml:space="preserve"> </w:t>
      </w:r>
      <w:r w:rsidR="00D47C9D" w:rsidRPr="00320DDF">
        <w:rPr>
          <w:rFonts w:ascii="Garamond" w:hAnsi="Garamond"/>
          <w:sz w:val="22"/>
          <w:szCs w:val="22"/>
        </w:rPr>
        <w:t>accelerated, amounting to 1.8% instead of the projected 1.3%. Reported increase in service fees and energy prices largely contributed to the acceleration of inflation</w:t>
      </w:r>
      <w:r w:rsidR="003F7526" w:rsidRPr="00320DDF">
        <w:rPr>
          <w:rFonts w:ascii="Garamond" w:hAnsi="Garamond"/>
          <w:sz w:val="22"/>
          <w:szCs w:val="22"/>
        </w:rPr>
        <w:t xml:space="preserve">. </w:t>
      </w:r>
      <w:r w:rsidR="00AC2962" w:rsidRPr="00320DDF">
        <w:rPr>
          <w:rFonts w:ascii="Garamond" w:hAnsi="Garamond"/>
          <w:sz w:val="22"/>
          <w:szCs w:val="22"/>
        </w:rPr>
        <w:t>Such acceleration notwithstanding, the inflation is sti</w:t>
      </w:r>
      <w:r w:rsidR="005F3B95" w:rsidRPr="00320DDF">
        <w:rPr>
          <w:rFonts w:ascii="Garamond" w:hAnsi="Garamond"/>
          <w:sz w:val="22"/>
          <w:szCs w:val="22"/>
        </w:rPr>
        <w:t xml:space="preserve">ll </w:t>
      </w:r>
      <w:r w:rsidR="00023FE1" w:rsidRPr="00320DDF">
        <w:rPr>
          <w:rFonts w:ascii="Garamond" w:hAnsi="Garamond"/>
          <w:sz w:val="22"/>
          <w:szCs w:val="22"/>
        </w:rPr>
        <w:t xml:space="preserve">running </w:t>
      </w:r>
      <w:r w:rsidR="005F3B95" w:rsidRPr="00320DDF">
        <w:rPr>
          <w:rFonts w:ascii="Garamond" w:hAnsi="Garamond"/>
          <w:sz w:val="22"/>
          <w:szCs w:val="22"/>
        </w:rPr>
        <w:t xml:space="preserve">below its </w:t>
      </w:r>
      <w:r w:rsidR="00023FE1" w:rsidRPr="00320DDF">
        <w:rPr>
          <w:rFonts w:ascii="Garamond" w:hAnsi="Garamond"/>
          <w:sz w:val="22"/>
          <w:szCs w:val="22"/>
        </w:rPr>
        <w:t xml:space="preserve">long-term </w:t>
      </w:r>
      <w:r w:rsidR="005F3B95" w:rsidRPr="00320DDF">
        <w:rPr>
          <w:rFonts w:ascii="Garamond" w:hAnsi="Garamond"/>
          <w:sz w:val="22"/>
          <w:szCs w:val="22"/>
        </w:rPr>
        <w:t>target</w:t>
      </w:r>
      <w:r w:rsidR="00023FE1" w:rsidRPr="00320DDF">
        <w:rPr>
          <w:rFonts w:ascii="Garamond" w:hAnsi="Garamond"/>
          <w:sz w:val="22"/>
          <w:szCs w:val="22"/>
        </w:rPr>
        <w:t>.</w:t>
      </w:r>
      <w:r w:rsidRPr="00320DDF">
        <w:rPr>
          <w:rFonts w:ascii="Garamond" w:hAnsi="Garamond"/>
          <w:sz w:val="22"/>
          <w:szCs w:val="22"/>
        </w:rPr>
        <w:t xml:space="preserve"> </w:t>
      </w:r>
      <w:r w:rsidR="00C9745D" w:rsidRPr="00320DDF">
        <w:rPr>
          <w:rFonts w:ascii="Garamond" w:hAnsi="Garamond"/>
          <w:sz w:val="22"/>
          <w:szCs w:val="22"/>
        </w:rPr>
        <w:t xml:space="preserve">In the </w:t>
      </w:r>
      <w:r w:rsidR="00023FE1" w:rsidRPr="00320DDF">
        <w:rPr>
          <w:rFonts w:ascii="Garamond" w:hAnsi="Garamond"/>
          <w:sz w:val="22"/>
          <w:szCs w:val="22"/>
        </w:rPr>
        <w:t>f</w:t>
      </w:r>
      <w:r w:rsidR="00AC2962" w:rsidRPr="00320DDF">
        <w:rPr>
          <w:rFonts w:ascii="Garamond" w:hAnsi="Garamond"/>
          <w:sz w:val="22"/>
          <w:szCs w:val="22"/>
        </w:rPr>
        <w:t>irst</w:t>
      </w:r>
      <w:r w:rsidR="00C9745D" w:rsidRPr="00320DDF">
        <w:rPr>
          <w:rFonts w:ascii="Garamond" w:hAnsi="Garamond"/>
          <w:sz w:val="22"/>
          <w:szCs w:val="22"/>
        </w:rPr>
        <w:t xml:space="preserve"> </w:t>
      </w:r>
      <w:r w:rsidRPr="00320DDF">
        <w:rPr>
          <w:rFonts w:ascii="Garamond" w:hAnsi="Garamond"/>
          <w:sz w:val="22"/>
          <w:szCs w:val="22"/>
        </w:rPr>
        <w:t xml:space="preserve">quarter </w:t>
      </w:r>
      <w:r w:rsidR="00AC2962" w:rsidRPr="00320DDF">
        <w:rPr>
          <w:rFonts w:ascii="Garamond" w:hAnsi="Garamond"/>
          <w:sz w:val="22"/>
          <w:szCs w:val="22"/>
        </w:rPr>
        <w:t xml:space="preserve">of 2017 </w:t>
      </w:r>
      <w:r w:rsidRPr="00320DDF">
        <w:rPr>
          <w:rStyle w:val="longtext"/>
          <w:rFonts w:ascii="Garamond" w:hAnsi="Garamond"/>
          <w:sz w:val="22"/>
          <w:szCs w:val="22"/>
        </w:rPr>
        <w:t>the European Central Bank</w:t>
      </w:r>
      <w:r w:rsidR="0086764D" w:rsidRPr="00320DDF">
        <w:rPr>
          <w:rStyle w:val="longtext"/>
          <w:rFonts w:ascii="Garamond" w:hAnsi="Garamond"/>
          <w:sz w:val="22"/>
          <w:szCs w:val="22"/>
          <w:lang w:val="hy-AM"/>
        </w:rPr>
        <w:t xml:space="preserve"> </w:t>
      </w:r>
      <w:r w:rsidR="00AC2962" w:rsidRPr="00320DDF">
        <w:rPr>
          <w:rStyle w:val="longtext"/>
          <w:rFonts w:ascii="Garamond" w:hAnsi="Garamond"/>
          <w:sz w:val="22"/>
          <w:szCs w:val="22"/>
        </w:rPr>
        <w:t xml:space="preserve">left </w:t>
      </w:r>
      <w:r w:rsidRPr="00320DDF">
        <w:rPr>
          <w:rStyle w:val="longtext"/>
          <w:rFonts w:ascii="Garamond" w:hAnsi="Garamond"/>
          <w:sz w:val="22"/>
          <w:szCs w:val="22"/>
        </w:rPr>
        <w:t>the policy rate</w:t>
      </w:r>
      <w:r w:rsidR="001C02B8" w:rsidRPr="00320DDF">
        <w:rPr>
          <w:rStyle w:val="longtext"/>
          <w:rFonts w:ascii="Garamond" w:hAnsi="Garamond"/>
          <w:sz w:val="22"/>
          <w:szCs w:val="22"/>
        </w:rPr>
        <w:t>s</w:t>
      </w:r>
      <w:r w:rsidR="00C9745D" w:rsidRPr="00320DDF">
        <w:rPr>
          <w:rStyle w:val="longtext"/>
          <w:rFonts w:ascii="Garamond" w:hAnsi="Garamond"/>
          <w:sz w:val="22"/>
          <w:szCs w:val="22"/>
        </w:rPr>
        <w:t xml:space="preserve"> </w:t>
      </w:r>
      <w:r w:rsidR="00AC2962" w:rsidRPr="00320DDF">
        <w:rPr>
          <w:rStyle w:val="longtext"/>
          <w:rFonts w:ascii="Garamond" w:hAnsi="Garamond"/>
          <w:sz w:val="22"/>
          <w:szCs w:val="22"/>
        </w:rPr>
        <w:t xml:space="preserve">unchanged, as was expected, </w:t>
      </w:r>
      <w:r w:rsidR="00C9745D" w:rsidRPr="00320DDF">
        <w:rPr>
          <w:rStyle w:val="longtext"/>
          <w:rFonts w:ascii="Garamond" w:hAnsi="Garamond"/>
          <w:sz w:val="22"/>
          <w:szCs w:val="22"/>
        </w:rPr>
        <w:t xml:space="preserve">at </w:t>
      </w:r>
      <w:r w:rsidRPr="00320DDF">
        <w:rPr>
          <w:rStyle w:val="longtext"/>
          <w:rFonts w:ascii="Garamond" w:hAnsi="Garamond"/>
          <w:sz w:val="22"/>
          <w:szCs w:val="22"/>
        </w:rPr>
        <w:t xml:space="preserve">the level of 0.0% </w:t>
      </w:r>
      <w:r w:rsidR="00C9745D" w:rsidRPr="00320DDF">
        <w:rPr>
          <w:rStyle w:val="longtext"/>
          <w:rFonts w:ascii="Garamond" w:hAnsi="Garamond"/>
          <w:sz w:val="22"/>
          <w:szCs w:val="22"/>
        </w:rPr>
        <w:t xml:space="preserve">for refinancing rate and </w:t>
      </w:r>
      <w:r w:rsidR="00C9745D" w:rsidRPr="00320DDF">
        <w:rPr>
          <w:rFonts w:ascii="Garamond" w:hAnsi="Garamond"/>
          <w:color w:val="000000"/>
          <w:sz w:val="22"/>
          <w:szCs w:val="22"/>
          <w:shd w:val="clear" w:color="auto" w:fill="FFFFFF"/>
        </w:rPr>
        <w:t>-</w:t>
      </w:r>
      <w:r w:rsidR="00C9745D" w:rsidRPr="00320DDF">
        <w:rPr>
          <w:rStyle w:val="longtext"/>
          <w:rFonts w:ascii="Garamond" w:hAnsi="Garamond"/>
          <w:sz w:val="22"/>
          <w:szCs w:val="22"/>
        </w:rPr>
        <w:t xml:space="preserve">0.4% for </w:t>
      </w:r>
      <w:r w:rsidRPr="00320DDF">
        <w:rPr>
          <w:rFonts w:ascii="Garamond" w:hAnsi="Garamond"/>
          <w:color w:val="000000"/>
          <w:sz w:val="22"/>
          <w:szCs w:val="22"/>
          <w:shd w:val="clear" w:color="auto" w:fill="FFFFFF"/>
        </w:rPr>
        <w:t>deposit facility rate</w:t>
      </w:r>
      <w:r w:rsidR="00C9745D" w:rsidRPr="00320DDF">
        <w:rPr>
          <w:rFonts w:ascii="Garamond" w:hAnsi="Garamond"/>
          <w:color w:val="000000"/>
          <w:sz w:val="22"/>
          <w:szCs w:val="22"/>
          <w:shd w:val="clear" w:color="auto" w:fill="FFFFFF"/>
        </w:rPr>
        <w:t>.</w:t>
      </w:r>
      <w:r w:rsidRPr="00320DDF">
        <w:rPr>
          <w:rStyle w:val="longtext"/>
          <w:rFonts w:ascii="Garamond" w:hAnsi="Garamond"/>
          <w:sz w:val="22"/>
          <w:szCs w:val="22"/>
        </w:rPr>
        <w:t xml:space="preserve"> </w:t>
      </w:r>
      <w:r w:rsidR="007E7CA8" w:rsidRPr="00320DDF">
        <w:rPr>
          <w:rStyle w:val="longtext"/>
          <w:rFonts w:ascii="Garamond" w:hAnsi="Garamond"/>
          <w:sz w:val="22"/>
          <w:szCs w:val="22"/>
        </w:rPr>
        <w:t>At the same time, t</w:t>
      </w:r>
      <w:r w:rsidRPr="00320DDF">
        <w:rPr>
          <w:rStyle w:val="longtext"/>
          <w:rFonts w:ascii="Garamond" w:hAnsi="Garamond"/>
          <w:sz w:val="22"/>
          <w:szCs w:val="22"/>
        </w:rPr>
        <w:t xml:space="preserve">he ECB </w:t>
      </w:r>
      <w:r w:rsidR="00C9745D" w:rsidRPr="00320DDF">
        <w:rPr>
          <w:rStyle w:val="longtext"/>
          <w:rFonts w:ascii="Garamond" w:hAnsi="Garamond"/>
          <w:sz w:val="22"/>
          <w:szCs w:val="22"/>
        </w:rPr>
        <w:t xml:space="preserve">continued </w:t>
      </w:r>
      <w:r w:rsidR="007E7CA8" w:rsidRPr="00320DDF">
        <w:rPr>
          <w:rStyle w:val="longtext"/>
          <w:rFonts w:ascii="Garamond" w:hAnsi="Garamond"/>
          <w:sz w:val="22"/>
          <w:szCs w:val="22"/>
        </w:rPr>
        <w:t xml:space="preserve">its </w:t>
      </w:r>
      <w:r w:rsidR="00C9745D" w:rsidRPr="00320DDF">
        <w:rPr>
          <w:rStyle w:val="longtext"/>
          <w:rFonts w:ascii="Garamond" w:hAnsi="Garamond"/>
          <w:sz w:val="22"/>
          <w:szCs w:val="22"/>
        </w:rPr>
        <w:t xml:space="preserve">asset purchases </w:t>
      </w:r>
      <w:r w:rsidR="00AC2962" w:rsidRPr="00320DDF">
        <w:rPr>
          <w:rStyle w:val="longtext"/>
          <w:rFonts w:ascii="Garamond" w:hAnsi="Garamond"/>
          <w:sz w:val="22"/>
          <w:szCs w:val="22"/>
        </w:rPr>
        <w:t>program in</w:t>
      </w:r>
      <w:r w:rsidR="00C9745D" w:rsidRPr="00320DDF">
        <w:rPr>
          <w:rStyle w:val="longtext"/>
          <w:rFonts w:ascii="Garamond" w:hAnsi="Garamond"/>
          <w:sz w:val="22"/>
          <w:szCs w:val="22"/>
        </w:rPr>
        <w:t xml:space="preserve"> the amount of</w:t>
      </w:r>
      <w:r w:rsidR="007E7CA8" w:rsidRPr="00320DDF">
        <w:rPr>
          <w:rStyle w:val="longtext"/>
          <w:rFonts w:ascii="Garamond" w:hAnsi="Garamond"/>
          <w:sz w:val="22"/>
          <w:szCs w:val="22"/>
        </w:rPr>
        <w:t xml:space="preserve"> EUR 80 billion a month</w:t>
      </w:r>
      <w:r w:rsidR="00C9745D" w:rsidRPr="00320DDF">
        <w:rPr>
          <w:rStyle w:val="longtext"/>
          <w:rFonts w:ascii="Garamond" w:hAnsi="Garamond"/>
          <w:sz w:val="22"/>
          <w:szCs w:val="22"/>
        </w:rPr>
        <w:t>.</w:t>
      </w:r>
    </w:p>
    <w:p w14:paraId="419AC47E" w14:textId="77777777" w:rsidR="007E7CA8" w:rsidRPr="00320DDF" w:rsidRDefault="007E7CA8" w:rsidP="0006101A">
      <w:pPr>
        <w:spacing w:line="360" w:lineRule="auto"/>
        <w:jc w:val="both"/>
        <w:rPr>
          <w:rStyle w:val="longtext"/>
          <w:rFonts w:ascii="Garamond" w:hAnsi="Garamond"/>
          <w:sz w:val="22"/>
          <w:szCs w:val="22"/>
        </w:rPr>
      </w:pPr>
    </w:p>
    <w:p w14:paraId="6970E7BE" w14:textId="77777777" w:rsidR="007E7CA8" w:rsidRPr="00320DDF" w:rsidRDefault="007E7CA8" w:rsidP="0006101A">
      <w:pPr>
        <w:spacing w:line="360" w:lineRule="auto"/>
        <w:jc w:val="both"/>
        <w:rPr>
          <w:rStyle w:val="longtext"/>
          <w:rFonts w:ascii="Garamond" w:hAnsi="Garamond"/>
          <w:sz w:val="22"/>
          <w:szCs w:val="22"/>
        </w:rPr>
      </w:pPr>
      <w:r w:rsidRPr="00320DDF">
        <w:rPr>
          <w:rStyle w:val="longtext"/>
          <w:rFonts w:ascii="Garamond" w:hAnsi="Garamond"/>
          <w:sz w:val="22"/>
          <w:szCs w:val="22"/>
        </w:rPr>
        <w:t xml:space="preserve">In the currency market in the </w:t>
      </w:r>
      <w:r w:rsidR="00A716F7" w:rsidRPr="00320DDF">
        <w:rPr>
          <w:rStyle w:val="longtext"/>
          <w:rFonts w:ascii="Garamond" w:hAnsi="Garamond"/>
          <w:sz w:val="22"/>
          <w:szCs w:val="22"/>
        </w:rPr>
        <w:t>f</w:t>
      </w:r>
      <w:r w:rsidR="00444E38" w:rsidRPr="00320DDF">
        <w:rPr>
          <w:rStyle w:val="longtext"/>
          <w:rFonts w:ascii="Garamond" w:hAnsi="Garamond"/>
          <w:sz w:val="22"/>
          <w:szCs w:val="22"/>
        </w:rPr>
        <w:t>irst</w:t>
      </w:r>
      <w:r w:rsidR="00A716F7" w:rsidRPr="00320DDF">
        <w:rPr>
          <w:rStyle w:val="longtext"/>
          <w:rFonts w:ascii="Garamond" w:hAnsi="Garamond"/>
          <w:sz w:val="22"/>
          <w:szCs w:val="22"/>
        </w:rPr>
        <w:t xml:space="preserve"> </w:t>
      </w:r>
      <w:r w:rsidR="00444E38" w:rsidRPr="00320DDF">
        <w:rPr>
          <w:rStyle w:val="longtext"/>
          <w:rFonts w:ascii="Garamond" w:hAnsi="Garamond"/>
          <w:sz w:val="22"/>
          <w:szCs w:val="22"/>
        </w:rPr>
        <w:t>quarter of 2017</w:t>
      </w:r>
      <w:r w:rsidR="00C84135" w:rsidRPr="00320DDF">
        <w:rPr>
          <w:rStyle w:val="longtext"/>
          <w:rFonts w:ascii="Garamond" w:hAnsi="Garamond"/>
          <w:sz w:val="22"/>
          <w:szCs w:val="22"/>
        </w:rPr>
        <w:t xml:space="preserve">, </w:t>
      </w:r>
      <w:r w:rsidR="005F3B95" w:rsidRPr="00320DDF">
        <w:rPr>
          <w:rStyle w:val="longtext"/>
          <w:rFonts w:ascii="Garamond" w:hAnsi="Garamond"/>
          <w:sz w:val="22"/>
          <w:szCs w:val="22"/>
        </w:rPr>
        <w:t xml:space="preserve">the </w:t>
      </w:r>
      <w:r w:rsidR="00444E38" w:rsidRPr="00320DDF">
        <w:rPr>
          <w:rStyle w:val="longtext"/>
          <w:rFonts w:ascii="Garamond" w:hAnsi="Garamond"/>
          <w:sz w:val="22"/>
          <w:szCs w:val="22"/>
        </w:rPr>
        <w:t xml:space="preserve">European </w:t>
      </w:r>
      <w:r w:rsidR="00CE202C" w:rsidRPr="00320DDF">
        <w:rPr>
          <w:rStyle w:val="longtext"/>
          <w:rFonts w:ascii="Garamond" w:hAnsi="Garamond"/>
          <w:sz w:val="22"/>
          <w:szCs w:val="22"/>
        </w:rPr>
        <w:t xml:space="preserve">currency unit, the </w:t>
      </w:r>
      <w:r w:rsidR="00C84135" w:rsidRPr="00320DDF">
        <w:rPr>
          <w:rStyle w:val="longtext"/>
          <w:rFonts w:ascii="Garamond" w:hAnsi="Garamond"/>
          <w:sz w:val="22"/>
          <w:szCs w:val="22"/>
        </w:rPr>
        <w:t>e</w:t>
      </w:r>
      <w:r w:rsidRPr="00320DDF">
        <w:rPr>
          <w:rStyle w:val="longtext"/>
          <w:rFonts w:ascii="Garamond" w:hAnsi="Garamond"/>
          <w:sz w:val="22"/>
          <w:szCs w:val="22"/>
        </w:rPr>
        <w:t>uro</w:t>
      </w:r>
      <w:r w:rsidR="00CE202C" w:rsidRPr="00320DDF">
        <w:rPr>
          <w:rStyle w:val="longtext"/>
          <w:rFonts w:ascii="Garamond" w:hAnsi="Garamond"/>
          <w:sz w:val="22"/>
          <w:szCs w:val="22"/>
        </w:rPr>
        <w:t>,</w:t>
      </w:r>
      <w:r w:rsidR="005F3B95" w:rsidRPr="00320DDF">
        <w:rPr>
          <w:rStyle w:val="longtext"/>
          <w:rFonts w:ascii="Garamond" w:hAnsi="Garamond"/>
          <w:sz w:val="22"/>
          <w:szCs w:val="22"/>
        </w:rPr>
        <w:t xml:space="preserve"> depreciated aga</w:t>
      </w:r>
      <w:r w:rsidRPr="00320DDF">
        <w:rPr>
          <w:rStyle w:val="longtext"/>
          <w:rFonts w:ascii="Garamond" w:hAnsi="Garamond"/>
          <w:sz w:val="22"/>
          <w:szCs w:val="22"/>
        </w:rPr>
        <w:t>inst the U.S. dollar</w:t>
      </w:r>
      <w:r w:rsidRPr="00320DDF">
        <w:rPr>
          <w:rFonts w:ascii="Garamond" w:hAnsi="Garamond" w:cs="Sylfaen"/>
          <w:iCs/>
          <w:sz w:val="22"/>
          <w:szCs w:val="22"/>
        </w:rPr>
        <w:t xml:space="preserve"> </w:t>
      </w:r>
      <w:r w:rsidR="005F3B95" w:rsidRPr="00320DDF">
        <w:rPr>
          <w:rFonts w:ascii="Garamond" w:hAnsi="Garamond" w:cs="Sylfaen"/>
          <w:iCs/>
          <w:sz w:val="22"/>
          <w:szCs w:val="22"/>
        </w:rPr>
        <w:t xml:space="preserve">by </w:t>
      </w:r>
      <w:r w:rsidR="00CE202C" w:rsidRPr="00320DDF">
        <w:rPr>
          <w:rFonts w:ascii="Garamond" w:hAnsi="Garamond" w:cs="Sylfaen"/>
          <w:iCs/>
          <w:sz w:val="22"/>
          <w:szCs w:val="22"/>
        </w:rPr>
        <w:t>1</w:t>
      </w:r>
      <w:r w:rsidRPr="00320DDF">
        <w:rPr>
          <w:rFonts w:ascii="Garamond" w:hAnsi="Garamond" w:cs="Sylfaen"/>
          <w:iCs/>
          <w:sz w:val="22"/>
          <w:szCs w:val="22"/>
        </w:rPr>
        <w:t>.</w:t>
      </w:r>
      <w:r w:rsidR="00A716F7" w:rsidRPr="00320DDF">
        <w:rPr>
          <w:rFonts w:ascii="Garamond" w:hAnsi="Garamond" w:cs="Sylfaen"/>
          <w:iCs/>
          <w:sz w:val="22"/>
          <w:szCs w:val="22"/>
        </w:rPr>
        <w:t>3</w:t>
      </w:r>
      <w:r w:rsidRPr="00320DDF">
        <w:rPr>
          <w:rFonts w:ascii="Garamond" w:hAnsi="Garamond" w:cs="Sylfaen"/>
          <w:iCs/>
          <w:sz w:val="22"/>
          <w:szCs w:val="22"/>
        </w:rPr>
        <w:t xml:space="preserve">% q/q (y/y </w:t>
      </w:r>
      <w:r w:rsidR="00A716F7" w:rsidRPr="00320DDF">
        <w:rPr>
          <w:rFonts w:ascii="Garamond" w:hAnsi="Garamond" w:cs="Sylfaen"/>
          <w:iCs/>
          <w:sz w:val="22"/>
          <w:szCs w:val="22"/>
        </w:rPr>
        <w:t>de</w:t>
      </w:r>
      <w:r w:rsidRPr="00320DDF">
        <w:rPr>
          <w:rFonts w:ascii="Garamond" w:hAnsi="Garamond" w:cs="Sylfaen"/>
          <w:iCs/>
          <w:sz w:val="22"/>
          <w:szCs w:val="22"/>
        </w:rPr>
        <w:t>preciation</w:t>
      </w:r>
      <w:r w:rsidR="00CE202C" w:rsidRPr="00320DDF">
        <w:rPr>
          <w:rFonts w:ascii="Garamond" w:hAnsi="Garamond" w:cs="Sylfaen"/>
          <w:iCs/>
          <w:sz w:val="22"/>
          <w:szCs w:val="22"/>
        </w:rPr>
        <w:t>: 3</w:t>
      </w:r>
      <w:r w:rsidRPr="00320DDF">
        <w:rPr>
          <w:rFonts w:ascii="Garamond" w:hAnsi="Garamond" w:cs="Sylfaen"/>
          <w:iCs/>
          <w:sz w:val="22"/>
          <w:szCs w:val="22"/>
        </w:rPr>
        <w:t>.</w:t>
      </w:r>
      <w:r w:rsidR="00CE202C" w:rsidRPr="00320DDF">
        <w:rPr>
          <w:rFonts w:ascii="Garamond" w:hAnsi="Garamond" w:cs="Sylfaen"/>
          <w:iCs/>
          <w:sz w:val="22"/>
          <w:szCs w:val="22"/>
        </w:rPr>
        <w:t>3</w:t>
      </w:r>
      <w:r w:rsidRPr="00320DDF">
        <w:rPr>
          <w:rFonts w:ascii="Garamond" w:hAnsi="Garamond" w:cs="Sylfaen"/>
          <w:sz w:val="22"/>
          <w:szCs w:val="22"/>
        </w:rPr>
        <w:t>%)</w:t>
      </w:r>
      <w:r w:rsidR="002A5F78" w:rsidRPr="00320DDF">
        <w:rPr>
          <w:rFonts w:ascii="Garamond" w:hAnsi="Garamond" w:cs="Sylfaen"/>
          <w:sz w:val="22"/>
          <w:szCs w:val="22"/>
        </w:rPr>
        <w:t xml:space="preserve">; the </w:t>
      </w:r>
      <w:r w:rsidRPr="00320DDF">
        <w:rPr>
          <w:rStyle w:val="longtext"/>
          <w:rFonts w:ascii="Garamond" w:hAnsi="Garamond"/>
          <w:sz w:val="22"/>
          <w:szCs w:val="22"/>
        </w:rPr>
        <w:t xml:space="preserve">average exchange rate </w:t>
      </w:r>
      <w:r w:rsidR="002A5F78" w:rsidRPr="00320DDF">
        <w:rPr>
          <w:rStyle w:val="longtext"/>
          <w:rFonts w:ascii="Garamond" w:hAnsi="Garamond"/>
          <w:sz w:val="22"/>
          <w:szCs w:val="22"/>
        </w:rPr>
        <w:t xml:space="preserve">reached </w:t>
      </w:r>
      <w:r w:rsidR="00CE202C" w:rsidRPr="00320DDF">
        <w:rPr>
          <w:rStyle w:val="longtext"/>
          <w:rFonts w:ascii="Garamond" w:hAnsi="Garamond"/>
          <w:sz w:val="22"/>
          <w:szCs w:val="22"/>
        </w:rPr>
        <w:t>1.065 dollars</w:t>
      </w:r>
      <w:r w:rsidR="000A48A7" w:rsidRPr="00320DDF">
        <w:rPr>
          <w:rStyle w:val="longtext"/>
          <w:rFonts w:ascii="Garamond" w:hAnsi="Garamond"/>
          <w:sz w:val="22"/>
          <w:szCs w:val="22"/>
        </w:rPr>
        <w:t xml:space="preserve"> </w:t>
      </w:r>
      <w:r w:rsidRPr="00320DDF">
        <w:rPr>
          <w:rStyle w:val="longtext"/>
          <w:rFonts w:ascii="Garamond" w:hAnsi="Garamond"/>
          <w:sz w:val="22"/>
          <w:szCs w:val="22"/>
        </w:rPr>
        <w:t xml:space="preserve">for one </w:t>
      </w:r>
      <w:r w:rsidR="002A5F78" w:rsidRPr="00320DDF">
        <w:rPr>
          <w:rStyle w:val="longtext"/>
          <w:rFonts w:ascii="Garamond" w:hAnsi="Garamond"/>
          <w:sz w:val="22"/>
          <w:szCs w:val="22"/>
        </w:rPr>
        <w:t>euro</w:t>
      </w:r>
      <w:r w:rsidR="00CE202C" w:rsidRPr="00320DDF">
        <w:rPr>
          <w:rStyle w:val="longtext"/>
          <w:rFonts w:ascii="Garamond" w:hAnsi="Garamond"/>
          <w:sz w:val="22"/>
          <w:szCs w:val="22"/>
        </w:rPr>
        <w:t xml:space="preserve"> instead of forecast value of 1.08 dollars, which has been driven by uncertainties over political future in Europe.</w:t>
      </w:r>
    </w:p>
    <w:p w14:paraId="2B77594A" w14:textId="77777777" w:rsidR="00C84135" w:rsidRPr="00320DDF" w:rsidRDefault="00C84135" w:rsidP="0006101A">
      <w:pPr>
        <w:spacing w:line="360" w:lineRule="auto"/>
        <w:jc w:val="both"/>
        <w:rPr>
          <w:rStyle w:val="longtext"/>
          <w:rFonts w:ascii="Garamond" w:hAnsi="Garamond"/>
          <w:sz w:val="22"/>
          <w:szCs w:val="22"/>
        </w:rPr>
      </w:pPr>
    </w:p>
    <w:p w14:paraId="1CA929A0" w14:textId="77777777" w:rsidR="002278AA" w:rsidRPr="00320DDF" w:rsidRDefault="005409F0" w:rsidP="0006101A">
      <w:pPr>
        <w:spacing w:line="360" w:lineRule="auto"/>
        <w:jc w:val="both"/>
        <w:rPr>
          <w:rFonts w:ascii="Garamond" w:hAnsi="Garamond"/>
          <w:sz w:val="22"/>
          <w:szCs w:val="22"/>
        </w:rPr>
      </w:pPr>
      <w:r w:rsidRPr="00320DDF">
        <w:rPr>
          <w:rFonts w:ascii="Garamond" w:hAnsi="Garamond"/>
          <w:sz w:val="22"/>
          <w:szCs w:val="22"/>
        </w:rPr>
        <w:t>According to preliminary estimates of State Statistics Service of the</w:t>
      </w:r>
      <w:r w:rsidRPr="00320DDF">
        <w:rPr>
          <w:rFonts w:ascii="Garamond" w:hAnsi="Garamond"/>
          <w:b/>
          <w:sz w:val="22"/>
          <w:szCs w:val="22"/>
        </w:rPr>
        <w:t xml:space="preserve"> Russian Federation</w:t>
      </w:r>
      <w:r w:rsidRPr="00320DDF">
        <w:rPr>
          <w:rFonts w:ascii="Garamond" w:hAnsi="Garamond"/>
          <w:sz w:val="22"/>
          <w:szCs w:val="22"/>
        </w:rPr>
        <w:t>, e</w:t>
      </w:r>
      <w:r w:rsidR="00A716F7" w:rsidRPr="00320DDF">
        <w:rPr>
          <w:rFonts w:ascii="Garamond" w:hAnsi="Garamond"/>
          <w:sz w:val="22"/>
          <w:szCs w:val="22"/>
        </w:rPr>
        <w:t>conom</w:t>
      </w:r>
      <w:r w:rsidRPr="00320DDF">
        <w:rPr>
          <w:rFonts w:ascii="Garamond" w:hAnsi="Garamond"/>
          <w:sz w:val="22"/>
          <w:szCs w:val="22"/>
        </w:rPr>
        <w:t xml:space="preserve">y was recovering at a slower pace </w:t>
      </w:r>
      <w:r w:rsidR="002278AA" w:rsidRPr="00320DDF">
        <w:rPr>
          <w:rFonts w:ascii="Garamond" w:hAnsi="Garamond"/>
          <w:sz w:val="22"/>
          <w:szCs w:val="22"/>
        </w:rPr>
        <w:t xml:space="preserve">in the </w:t>
      </w:r>
      <w:r w:rsidR="00A716F7" w:rsidRPr="00320DDF">
        <w:rPr>
          <w:rFonts w:ascii="Garamond" w:hAnsi="Garamond"/>
          <w:sz w:val="22"/>
          <w:szCs w:val="22"/>
        </w:rPr>
        <w:t>f</w:t>
      </w:r>
      <w:r w:rsidRPr="00320DDF">
        <w:rPr>
          <w:rFonts w:ascii="Garamond" w:hAnsi="Garamond"/>
          <w:sz w:val="22"/>
          <w:szCs w:val="22"/>
        </w:rPr>
        <w:t xml:space="preserve">irst </w:t>
      </w:r>
      <w:r w:rsidR="002278AA" w:rsidRPr="00320DDF">
        <w:rPr>
          <w:rFonts w:ascii="Garamond" w:hAnsi="Garamond"/>
          <w:sz w:val="22"/>
          <w:szCs w:val="22"/>
        </w:rPr>
        <w:t>quarter of 201</w:t>
      </w:r>
      <w:r w:rsidRPr="00320DDF">
        <w:rPr>
          <w:rFonts w:ascii="Garamond" w:hAnsi="Garamond"/>
          <w:sz w:val="22"/>
          <w:szCs w:val="22"/>
        </w:rPr>
        <w:t>7; it amounted to 0</w:t>
      </w:r>
      <w:r w:rsidR="00A716F7" w:rsidRPr="00320DDF">
        <w:rPr>
          <w:rFonts w:ascii="Garamond" w:hAnsi="Garamond"/>
          <w:sz w:val="22"/>
          <w:szCs w:val="22"/>
        </w:rPr>
        <w:t>.</w:t>
      </w:r>
      <w:r w:rsidRPr="00320DDF">
        <w:rPr>
          <w:rFonts w:ascii="Garamond" w:hAnsi="Garamond"/>
          <w:sz w:val="22"/>
          <w:szCs w:val="22"/>
        </w:rPr>
        <w:t>5</w:t>
      </w:r>
      <w:r w:rsidR="00A716F7" w:rsidRPr="00320DDF">
        <w:rPr>
          <w:rFonts w:ascii="Garamond" w:hAnsi="Garamond"/>
          <w:sz w:val="22"/>
          <w:szCs w:val="22"/>
        </w:rPr>
        <w:t>% y/y against t</w:t>
      </w:r>
      <w:r w:rsidR="00DB22AE" w:rsidRPr="00320DDF">
        <w:rPr>
          <w:rFonts w:ascii="Garamond" w:hAnsi="Garamond"/>
          <w:sz w:val="22"/>
          <w:szCs w:val="22"/>
        </w:rPr>
        <w:t xml:space="preserve">he </w:t>
      </w:r>
      <w:r w:rsidRPr="00320DDF">
        <w:rPr>
          <w:rFonts w:ascii="Garamond" w:hAnsi="Garamond"/>
          <w:sz w:val="22"/>
          <w:szCs w:val="22"/>
        </w:rPr>
        <w:t xml:space="preserve">prediction of </w:t>
      </w:r>
      <w:r w:rsidRPr="00320DDF">
        <w:rPr>
          <w:rFonts w:ascii="Garamond" w:hAnsi="Garamond"/>
          <w:sz w:val="22"/>
          <w:szCs w:val="22"/>
        </w:rPr>
        <w:lastRenderedPageBreak/>
        <w:t>0.9% growth</w:t>
      </w:r>
      <w:r w:rsidR="00784AA4" w:rsidRPr="00320DDF">
        <w:rPr>
          <w:rFonts w:ascii="Garamond" w:hAnsi="Garamond"/>
          <w:sz w:val="22"/>
          <w:szCs w:val="22"/>
        </w:rPr>
        <w:t xml:space="preserve">. The Russian ruble appreciated during the quarter beyond prediction, reaching 7.4% q/q, explained by a certain rise in </w:t>
      </w:r>
      <w:r w:rsidR="00674919" w:rsidRPr="00320DDF">
        <w:rPr>
          <w:rFonts w:ascii="Garamond" w:hAnsi="Garamond"/>
          <w:sz w:val="22"/>
          <w:szCs w:val="22"/>
        </w:rPr>
        <w:t xml:space="preserve">international oil prices </w:t>
      </w:r>
      <w:r w:rsidR="00784AA4" w:rsidRPr="00320DDF">
        <w:rPr>
          <w:rFonts w:ascii="Garamond" w:hAnsi="Garamond"/>
          <w:sz w:val="22"/>
          <w:szCs w:val="22"/>
        </w:rPr>
        <w:t xml:space="preserve">and a weaker-than-expected effect from a currency intervention program by the Russian Finance Ministry. The ruble’s appreciation has been 27.8% over the same quarter last year. </w:t>
      </w:r>
      <w:r w:rsidR="00DB22AE" w:rsidRPr="00320DDF">
        <w:rPr>
          <w:rFonts w:ascii="Garamond" w:hAnsi="Garamond"/>
          <w:sz w:val="22"/>
          <w:szCs w:val="22"/>
        </w:rPr>
        <w:t xml:space="preserve">In the </w:t>
      </w:r>
      <w:r w:rsidR="00BF7187" w:rsidRPr="00320DDF">
        <w:rPr>
          <w:rFonts w:ascii="Garamond" w:hAnsi="Garamond"/>
          <w:sz w:val="22"/>
          <w:szCs w:val="22"/>
        </w:rPr>
        <w:t>f</w:t>
      </w:r>
      <w:r w:rsidR="00784AA4" w:rsidRPr="00320DDF">
        <w:rPr>
          <w:rFonts w:ascii="Garamond" w:hAnsi="Garamond"/>
          <w:sz w:val="22"/>
          <w:szCs w:val="22"/>
        </w:rPr>
        <w:t>irst</w:t>
      </w:r>
      <w:r w:rsidR="00DB22AE" w:rsidRPr="00320DDF">
        <w:rPr>
          <w:rFonts w:ascii="Garamond" w:hAnsi="Garamond"/>
          <w:sz w:val="22"/>
          <w:szCs w:val="22"/>
        </w:rPr>
        <w:t xml:space="preserve"> quarter </w:t>
      </w:r>
      <w:r w:rsidR="00BF7187" w:rsidRPr="00320DDF">
        <w:rPr>
          <w:rFonts w:ascii="Garamond" w:hAnsi="Garamond"/>
          <w:sz w:val="22"/>
          <w:szCs w:val="22"/>
        </w:rPr>
        <w:t>of 201</w:t>
      </w:r>
      <w:r w:rsidR="00784AA4" w:rsidRPr="00320DDF">
        <w:rPr>
          <w:rFonts w:ascii="Garamond" w:hAnsi="Garamond"/>
          <w:sz w:val="22"/>
          <w:szCs w:val="22"/>
        </w:rPr>
        <w:t>7</w:t>
      </w:r>
      <w:r w:rsidR="00BF7187" w:rsidRPr="00320DDF">
        <w:rPr>
          <w:rFonts w:ascii="Garamond" w:hAnsi="Garamond"/>
          <w:sz w:val="22"/>
          <w:szCs w:val="22"/>
        </w:rPr>
        <w:t xml:space="preserve"> </w:t>
      </w:r>
      <w:r w:rsidR="00DB22AE" w:rsidRPr="00320DDF">
        <w:rPr>
          <w:rFonts w:ascii="Garamond" w:hAnsi="Garamond"/>
          <w:sz w:val="22"/>
          <w:szCs w:val="22"/>
        </w:rPr>
        <w:t xml:space="preserve">the inflation </w:t>
      </w:r>
      <w:r w:rsidR="00BF7187" w:rsidRPr="00320DDF">
        <w:rPr>
          <w:rFonts w:ascii="Garamond" w:hAnsi="Garamond"/>
          <w:sz w:val="22"/>
          <w:szCs w:val="22"/>
        </w:rPr>
        <w:t xml:space="preserve">further decelerated </w:t>
      </w:r>
      <w:r w:rsidR="00DB22AE" w:rsidRPr="00320DDF">
        <w:rPr>
          <w:rFonts w:ascii="Garamond" w:hAnsi="Garamond"/>
          <w:sz w:val="22"/>
          <w:szCs w:val="22"/>
        </w:rPr>
        <w:t xml:space="preserve">to </w:t>
      </w:r>
      <w:r w:rsidR="00F0744B" w:rsidRPr="00320DDF">
        <w:rPr>
          <w:rFonts w:ascii="Garamond" w:hAnsi="Garamond"/>
          <w:sz w:val="22"/>
          <w:szCs w:val="22"/>
        </w:rPr>
        <w:t>4</w:t>
      </w:r>
      <w:r w:rsidR="00DB22AE" w:rsidRPr="00320DDF">
        <w:rPr>
          <w:rFonts w:ascii="Garamond" w:hAnsi="Garamond"/>
          <w:sz w:val="22"/>
          <w:szCs w:val="22"/>
        </w:rPr>
        <w:t>.</w:t>
      </w:r>
      <w:r w:rsidR="00F0744B" w:rsidRPr="00320DDF">
        <w:rPr>
          <w:rFonts w:ascii="Garamond" w:hAnsi="Garamond"/>
          <w:sz w:val="22"/>
          <w:szCs w:val="22"/>
        </w:rPr>
        <w:t>5%, instead of the forecast 5.6%,</w:t>
      </w:r>
      <w:r w:rsidR="00E61D64" w:rsidRPr="00320DDF">
        <w:rPr>
          <w:rFonts w:ascii="Garamond" w:hAnsi="Garamond"/>
          <w:sz w:val="22"/>
          <w:szCs w:val="22"/>
        </w:rPr>
        <w:t xml:space="preserve"> </w:t>
      </w:r>
      <w:r w:rsidR="000E1369" w:rsidRPr="00320DDF">
        <w:rPr>
          <w:rFonts w:ascii="Garamond" w:hAnsi="Garamond"/>
          <w:sz w:val="22"/>
          <w:szCs w:val="22"/>
        </w:rPr>
        <w:t xml:space="preserve">which is </w:t>
      </w:r>
      <w:r w:rsidR="00BF7187" w:rsidRPr="00320DDF">
        <w:rPr>
          <w:rFonts w:ascii="Garamond" w:hAnsi="Garamond"/>
          <w:sz w:val="22"/>
          <w:szCs w:val="22"/>
        </w:rPr>
        <w:t xml:space="preserve">determined by </w:t>
      </w:r>
      <w:r w:rsidR="00DB22AE" w:rsidRPr="00320DDF">
        <w:rPr>
          <w:rFonts w:ascii="Garamond" w:hAnsi="Garamond"/>
          <w:sz w:val="22"/>
          <w:szCs w:val="22"/>
        </w:rPr>
        <w:t xml:space="preserve">fallen prices of </w:t>
      </w:r>
      <w:r w:rsidR="00BF7187" w:rsidRPr="00320DDF">
        <w:rPr>
          <w:rFonts w:ascii="Garamond" w:hAnsi="Garamond"/>
          <w:sz w:val="22"/>
          <w:szCs w:val="22"/>
        </w:rPr>
        <w:t xml:space="preserve">food and </w:t>
      </w:r>
      <w:r w:rsidR="00DB22AE" w:rsidRPr="00320DDF">
        <w:rPr>
          <w:rFonts w:ascii="Garamond" w:hAnsi="Garamond"/>
          <w:sz w:val="22"/>
          <w:szCs w:val="22"/>
        </w:rPr>
        <w:t>non-food products and service</w:t>
      </w:r>
      <w:r w:rsidR="00BF7187" w:rsidRPr="00320DDF">
        <w:rPr>
          <w:rFonts w:ascii="Garamond" w:hAnsi="Garamond"/>
          <w:sz w:val="22"/>
          <w:szCs w:val="22"/>
        </w:rPr>
        <w:t xml:space="preserve"> tariff</w:t>
      </w:r>
      <w:r w:rsidR="00DB22AE" w:rsidRPr="00320DDF">
        <w:rPr>
          <w:rFonts w:ascii="Garamond" w:hAnsi="Garamond"/>
          <w:sz w:val="22"/>
          <w:szCs w:val="22"/>
        </w:rPr>
        <w:t xml:space="preserve">s. </w:t>
      </w:r>
      <w:r w:rsidR="00510483" w:rsidRPr="00320DDF">
        <w:rPr>
          <w:rFonts w:ascii="Garamond" w:hAnsi="Garamond"/>
          <w:sz w:val="22"/>
          <w:szCs w:val="22"/>
        </w:rPr>
        <w:t xml:space="preserve">Note, however, that the inflation rate continues running above </w:t>
      </w:r>
      <w:r w:rsidR="00E61D64" w:rsidRPr="00320DDF">
        <w:rPr>
          <w:rFonts w:ascii="Garamond" w:hAnsi="Garamond"/>
          <w:sz w:val="22"/>
          <w:szCs w:val="22"/>
        </w:rPr>
        <w:t xml:space="preserve">the </w:t>
      </w:r>
      <w:r w:rsidR="00510483" w:rsidRPr="00320DDF">
        <w:rPr>
          <w:rFonts w:ascii="Garamond" w:hAnsi="Garamond"/>
          <w:sz w:val="22"/>
          <w:szCs w:val="22"/>
        </w:rPr>
        <w:t>4% target</w:t>
      </w:r>
      <w:r w:rsidR="00E61D64" w:rsidRPr="00320DDF">
        <w:rPr>
          <w:rFonts w:ascii="Garamond" w:hAnsi="Garamond"/>
          <w:sz w:val="22"/>
          <w:szCs w:val="22"/>
        </w:rPr>
        <w:t xml:space="preserve"> although </w:t>
      </w:r>
      <w:r w:rsidR="00510483" w:rsidRPr="00320DDF">
        <w:rPr>
          <w:rFonts w:ascii="Garamond" w:hAnsi="Garamond"/>
          <w:sz w:val="22"/>
          <w:szCs w:val="22"/>
        </w:rPr>
        <w:t>inflationary expectations</w:t>
      </w:r>
      <w:r w:rsidR="00E61D64" w:rsidRPr="00320DDF">
        <w:rPr>
          <w:rFonts w:ascii="Garamond" w:hAnsi="Garamond"/>
          <w:sz w:val="22"/>
          <w:szCs w:val="22"/>
        </w:rPr>
        <w:t xml:space="preserve"> subdued to a certain extent. </w:t>
      </w:r>
      <w:r w:rsidR="00393C1D" w:rsidRPr="00320DDF">
        <w:rPr>
          <w:rFonts w:ascii="Garamond" w:hAnsi="Garamond"/>
          <w:sz w:val="22"/>
          <w:szCs w:val="22"/>
        </w:rPr>
        <w:t xml:space="preserve">Under </w:t>
      </w:r>
      <w:r w:rsidR="002B30E4" w:rsidRPr="00320DDF">
        <w:rPr>
          <w:rFonts w:ascii="Garamond" w:hAnsi="Garamond"/>
          <w:sz w:val="22"/>
          <w:szCs w:val="22"/>
        </w:rPr>
        <w:t>such circumstances</w:t>
      </w:r>
      <w:r w:rsidR="00510483" w:rsidRPr="00320DDF">
        <w:rPr>
          <w:rFonts w:ascii="Garamond" w:hAnsi="Garamond"/>
          <w:sz w:val="22"/>
          <w:szCs w:val="22"/>
        </w:rPr>
        <w:t>,</w:t>
      </w:r>
      <w:r w:rsidR="002B30E4" w:rsidRPr="00320DDF">
        <w:rPr>
          <w:rFonts w:ascii="Garamond" w:hAnsi="Garamond"/>
          <w:sz w:val="22"/>
          <w:szCs w:val="22"/>
        </w:rPr>
        <w:t xml:space="preserve"> </w:t>
      </w:r>
      <w:r w:rsidR="002278AA" w:rsidRPr="00320DDF">
        <w:rPr>
          <w:rFonts w:ascii="Garamond" w:hAnsi="Garamond"/>
          <w:sz w:val="22"/>
          <w:szCs w:val="22"/>
        </w:rPr>
        <w:t xml:space="preserve">the Bank of Russia </w:t>
      </w:r>
      <w:r w:rsidR="00E61D64" w:rsidRPr="00320DDF">
        <w:rPr>
          <w:rFonts w:ascii="Garamond" w:hAnsi="Garamond"/>
          <w:sz w:val="22"/>
          <w:szCs w:val="22"/>
        </w:rPr>
        <w:t xml:space="preserve">reduced </w:t>
      </w:r>
      <w:r w:rsidR="00015E64" w:rsidRPr="00320DDF">
        <w:rPr>
          <w:rFonts w:ascii="Garamond" w:hAnsi="Garamond"/>
          <w:sz w:val="22"/>
          <w:szCs w:val="22"/>
        </w:rPr>
        <w:t>the policy rate</w:t>
      </w:r>
      <w:r w:rsidR="00E61D64" w:rsidRPr="00320DDF">
        <w:rPr>
          <w:rFonts w:ascii="Garamond" w:hAnsi="Garamond"/>
          <w:sz w:val="22"/>
          <w:szCs w:val="22"/>
        </w:rPr>
        <w:t xml:space="preserve"> by 0.25 pp to 9.75% in the first quarter of 2017</w:t>
      </w:r>
      <w:r w:rsidR="00015E64" w:rsidRPr="00320DDF">
        <w:rPr>
          <w:rFonts w:ascii="Garamond" w:hAnsi="Garamond"/>
          <w:sz w:val="22"/>
          <w:szCs w:val="22"/>
        </w:rPr>
        <w:t>s</w:t>
      </w:r>
      <w:r w:rsidR="002278AA" w:rsidRPr="00320DDF">
        <w:rPr>
          <w:rFonts w:ascii="Garamond" w:hAnsi="Garamond"/>
          <w:sz w:val="22"/>
          <w:szCs w:val="22"/>
        </w:rPr>
        <w:t>.</w:t>
      </w:r>
      <w:r w:rsidR="00E61D64" w:rsidRPr="00320DDF">
        <w:rPr>
          <w:rFonts w:ascii="Garamond" w:hAnsi="Garamond"/>
          <w:sz w:val="22"/>
          <w:szCs w:val="22"/>
        </w:rPr>
        <w:t xml:space="preserve"> It should be mentioned that the Bank of Russia further pursued an interest rate cut policy in April, as was expected.</w:t>
      </w:r>
    </w:p>
    <w:p w14:paraId="20AEAC61" w14:textId="77777777" w:rsidR="00DB6B0F" w:rsidRPr="00320DDF" w:rsidRDefault="00DB6B0F" w:rsidP="0006101A">
      <w:pPr>
        <w:spacing w:line="360" w:lineRule="auto"/>
        <w:jc w:val="both"/>
        <w:rPr>
          <w:rFonts w:ascii="Garamond" w:hAnsi="Garamond"/>
          <w:sz w:val="22"/>
          <w:szCs w:val="22"/>
        </w:rPr>
      </w:pPr>
    </w:p>
    <w:p w14:paraId="6817C320" w14:textId="77777777" w:rsidR="00093D0F" w:rsidRPr="00320DDF" w:rsidRDefault="00DB6B0F" w:rsidP="0006101A">
      <w:pPr>
        <w:spacing w:line="360" w:lineRule="auto"/>
        <w:jc w:val="both"/>
        <w:rPr>
          <w:rFonts w:ascii="Garamond" w:hAnsi="Garamond"/>
          <w:sz w:val="22"/>
          <w:szCs w:val="22"/>
        </w:rPr>
      </w:pPr>
      <w:r w:rsidRPr="00320DDF">
        <w:rPr>
          <w:rFonts w:ascii="Garamond" w:hAnsi="Garamond"/>
          <w:sz w:val="22"/>
          <w:szCs w:val="22"/>
        </w:rPr>
        <w:t xml:space="preserve">In the </w:t>
      </w:r>
      <w:r w:rsidR="0032215E" w:rsidRPr="00320DDF">
        <w:rPr>
          <w:rFonts w:ascii="Garamond" w:hAnsi="Garamond"/>
          <w:sz w:val="22"/>
          <w:szCs w:val="22"/>
        </w:rPr>
        <w:t>f</w:t>
      </w:r>
      <w:r w:rsidR="002E38A4" w:rsidRPr="00320DDF">
        <w:rPr>
          <w:rFonts w:ascii="Garamond" w:hAnsi="Garamond"/>
          <w:sz w:val="22"/>
          <w:szCs w:val="22"/>
        </w:rPr>
        <w:t>irst quarter of 2017</w:t>
      </w:r>
      <w:r w:rsidRPr="00320DDF">
        <w:rPr>
          <w:rFonts w:ascii="Garamond" w:hAnsi="Garamond"/>
          <w:sz w:val="22"/>
          <w:szCs w:val="22"/>
        </w:rPr>
        <w:t xml:space="preserve"> the </w:t>
      </w:r>
      <w:r w:rsidRPr="00320DDF">
        <w:rPr>
          <w:rFonts w:ascii="Garamond" w:hAnsi="Garamond"/>
          <w:b/>
          <w:sz w:val="22"/>
          <w:szCs w:val="22"/>
        </w:rPr>
        <w:t>price of Brent crude oil</w:t>
      </w:r>
      <w:r w:rsidRPr="00320DDF">
        <w:rPr>
          <w:rFonts w:ascii="Garamond" w:hAnsi="Garamond"/>
          <w:sz w:val="22"/>
          <w:szCs w:val="22"/>
        </w:rPr>
        <w:t xml:space="preserve"> at </w:t>
      </w:r>
      <w:r w:rsidRPr="00320DDF">
        <w:rPr>
          <w:rFonts w:ascii="Garamond" w:hAnsi="Garamond"/>
          <w:iCs/>
          <w:sz w:val="22"/>
          <w:szCs w:val="22"/>
        </w:rPr>
        <w:t xml:space="preserve">Intercontinental Exchange </w:t>
      </w:r>
      <w:r w:rsidR="00093D0F" w:rsidRPr="00320DDF">
        <w:rPr>
          <w:rFonts w:ascii="Garamond" w:hAnsi="Garamond"/>
          <w:iCs/>
          <w:sz w:val="22"/>
          <w:szCs w:val="22"/>
        </w:rPr>
        <w:t>r</w:t>
      </w:r>
      <w:r w:rsidR="0032215E" w:rsidRPr="00320DDF">
        <w:rPr>
          <w:rFonts w:ascii="Garamond" w:hAnsi="Garamond"/>
          <w:iCs/>
          <w:sz w:val="22"/>
          <w:szCs w:val="22"/>
        </w:rPr>
        <w:t xml:space="preserve">ose by </w:t>
      </w:r>
      <w:r w:rsidR="002E38A4" w:rsidRPr="00320DDF">
        <w:rPr>
          <w:rFonts w:ascii="Garamond" w:hAnsi="Garamond"/>
          <w:iCs/>
          <w:sz w:val="22"/>
          <w:szCs w:val="22"/>
        </w:rPr>
        <w:t>8</w:t>
      </w:r>
      <w:r w:rsidR="0032215E" w:rsidRPr="00320DDF">
        <w:rPr>
          <w:rFonts w:ascii="Garamond" w:hAnsi="Garamond"/>
          <w:iCs/>
          <w:sz w:val="22"/>
          <w:szCs w:val="22"/>
        </w:rPr>
        <w:t>.</w:t>
      </w:r>
      <w:r w:rsidR="002E38A4" w:rsidRPr="00320DDF">
        <w:rPr>
          <w:rFonts w:ascii="Garamond" w:hAnsi="Garamond"/>
          <w:iCs/>
          <w:sz w:val="22"/>
          <w:szCs w:val="22"/>
        </w:rPr>
        <w:t>2</w:t>
      </w:r>
      <w:r w:rsidR="0032215E" w:rsidRPr="00320DDF">
        <w:rPr>
          <w:rFonts w:ascii="Garamond" w:hAnsi="Garamond"/>
          <w:iCs/>
          <w:sz w:val="22"/>
          <w:szCs w:val="22"/>
        </w:rPr>
        <w:t xml:space="preserve">% </w:t>
      </w:r>
      <w:r w:rsidR="00F91A6F" w:rsidRPr="00320DDF">
        <w:rPr>
          <w:rFonts w:ascii="Garamond" w:hAnsi="Garamond"/>
          <w:iCs/>
          <w:sz w:val="22"/>
          <w:szCs w:val="22"/>
        </w:rPr>
        <w:t>against the previous quarter</w:t>
      </w:r>
      <w:r w:rsidR="00093D0F" w:rsidRPr="00320DDF">
        <w:rPr>
          <w:rFonts w:ascii="Garamond" w:hAnsi="Garamond"/>
          <w:iCs/>
          <w:sz w:val="22"/>
          <w:szCs w:val="22"/>
        </w:rPr>
        <w:t>, averaging</w:t>
      </w:r>
      <w:r w:rsidR="00F91A6F" w:rsidRPr="00320DDF">
        <w:rPr>
          <w:rFonts w:ascii="Garamond" w:hAnsi="Garamond"/>
          <w:iCs/>
          <w:sz w:val="22"/>
          <w:szCs w:val="22"/>
        </w:rPr>
        <w:t xml:space="preserve"> </w:t>
      </w:r>
      <w:r w:rsidRPr="00320DDF">
        <w:rPr>
          <w:rFonts w:ascii="Garamond" w:hAnsi="Garamond"/>
          <w:sz w:val="22"/>
          <w:szCs w:val="22"/>
        </w:rPr>
        <w:t xml:space="preserve">USD </w:t>
      </w:r>
      <w:r w:rsidR="0032215E" w:rsidRPr="00320DDF">
        <w:rPr>
          <w:rFonts w:ascii="Garamond" w:hAnsi="Garamond"/>
          <w:sz w:val="22"/>
          <w:szCs w:val="22"/>
        </w:rPr>
        <w:t>5</w:t>
      </w:r>
      <w:r w:rsidR="002E38A4" w:rsidRPr="00320DDF">
        <w:rPr>
          <w:rFonts w:ascii="Garamond" w:hAnsi="Garamond"/>
          <w:sz w:val="22"/>
          <w:szCs w:val="22"/>
        </w:rPr>
        <w:t>4</w:t>
      </w:r>
      <w:r w:rsidRPr="00320DDF">
        <w:rPr>
          <w:rFonts w:ascii="Garamond" w:hAnsi="Garamond"/>
          <w:sz w:val="22"/>
          <w:szCs w:val="22"/>
        </w:rPr>
        <w:t>.</w:t>
      </w:r>
      <w:r w:rsidR="0032215E" w:rsidRPr="00320DDF">
        <w:rPr>
          <w:rFonts w:ascii="Garamond" w:hAnsi="Garamond"/>
          <w:sz w:val="22"/>
          <w:szCs w:val="22"/>
        </w:rPr>
        <w:t>0</w:t>
      </w:r>
      <w:r w:rsidRPr="00320DDF">
        <w:rPr>
          <w:rFonts w:ascii="Garamond" w:hAnsi="Garamond"/>
          <w:sz w:val="22"/>
          <w:szCs w:val="22"/>
        </w:rPr>
        <w:t xml:space="preserve"> a barrel</w:t>
      </w:r>
      <w:r w:rsidR="00A067DD" w:rsidRPr="00320DDF">
        <w:rPr>
          <w:rFonts w:ascii="Garamond" w:hAnsi="Garamond"/>
          <w:sz w:val="22"/>
          <w:szCs w:val="22"/>
        </w:rPr>
        <w:t xml:space="preserve">. The price increase was quite predictable as </w:t>
      </w:r>
      <w:r w:rsidR="00093D0F" w:rsidRPr="00320DDF">
        <w:rPr>
          <w:rFonts w:ascii="Garamond" w:hAnsi="Garamond"/>
          <w:sz w:val="22"/>
          <w:szCs w:val="22"/>
        </w:rPr>
        <w:t xml:space="preserve">OPEC </w:t>
      </w:r>
      <w:r w:rsidR="00855499" w:rsidRPr="00320DDF">
        <w:rPr>
          <w:rFonts w:ascii="Garamond" w:hAnsi="Garamond"/>
          <w:sz w:val="22"/>
          <w:szCs w:val="22"/>
        </w:rPr>
        <w:t>and n</w:t>
      </w:r>
      <w:r w:rsidR="00A067DD" w:rsidRPr="00320DDF">
        <w:rPr>
          <w:rFonts w:ascii="Garamond" w:hAnsi="Garamond"/>
          <w:sz w:val="22"/>
          <w:szCs w:val="22"/>
        </w:rPr>
        <w:t xml:space="preserve">on-OPEC members had agreed to </w:t>
      </w:r>
      <w:r w:rsidR="00093D0F" w:rsidRPr="00320DDF">
        <w:rPr>
          <w:rFonts w:ascii="Garamond" w:hAnsi="Garamond"/>
          <w:sz w:val="22"/>
          <w:szCs w:val="22"/>
        </w:rPr>
        <w:t>reduce oil production</w:t>
      </w:r>
      <w:r w:rsidR="00A067DD" w:rsidRPr="00320DDF">
        <w:rPr>
          <w:rFonts w:ascii="Garamond" w:hAnsi="Garamond"/>
          <w:sz w:val="22"/>
          <w:szCs w:val="22"/>
        </w:rPr>
        <w:t xml:space="preserve"> in the world</w:t>
      </w:r>
      <w:r w:rsidR="00093D0F" w:rsidRPr="00320DDF">
        <w:rPr>
          <w:rFonts w:ascii="Garamond" w:hAnsi="Garamond"/>
          <w:sz w:val="22"/>
          <w:szCs w:val="22"/>
        </w:rPr>
        <w:t>.</w:t>
      </w:r>
    </w:p>
    <w:p w14:paraId="72A5A42C" w14:textId="77777777" w:rsidR="00093D0F" w:rsidRPr="00320DDF" w:rsidRDefault="00093D0F" w:rsidP="0006101A">
      <w:pPr>
        <w:spacing w:line="360" w:lineRule="auto"/>
        <w:jc w:val="both"/>
        <w:rPr>
          <w:rFonts w:ascii="Garamond" w:hAnsi="Garamond"/>
          <w:sz w:val="22"/>
          <w:szCs w:val="22"/>
        </w:rPr>
      </w:pPr>
    </w:p>
    <w:p w14:paraId="57982E5C" w14:textId="77777777" w:rsidR="00E137D0" w:rsidRPr="00320DDF" w:rsidRDefault="00E137D0" w:rsidP="0006101A">
      <w:pPr>
        <w:spacing w:line="360" w:lineRule="auto"/>
        <w:jc w:val="both"/>
        <w:rPr>
          <w:rFonts w:ascii="Garamond" w:hAnsi="Garamond"/>
          <w:sz w:val="22"/>
          <w:szCs w:val="22"/>
        </w:rPr>
      </w:pPr>
      <w:r w:rsidRPr="00320DDF">
        <w:rPr>
          <w:rFonts w:ascii="Garamond" w:hAnsi="Garamond"/>
          <w:sz w:val="22"/>
          <w:szCs w:val="22"/>
        </w:rPr>
        <w:t xml:space="preserve">In the </w:t>
      </w:r>
      <w:r w:rsidR="00B06C58" w:rsidRPr="00320DDF">
        <w:rPr>
          <w:rFonts w:ascii="Garamond" w:hAnsi="Garamond"/>
          <w:sz w:val="22"/>
          <w:szCs w:val="22"/>
        </w:rPr>
        <w:t>f</w:t>
      </w:r>
      <w:r w:rsidR="00855499" w:rsidRPr="00320DDF">
        <w:rPr>
          <w:rFonts w:ascii="Garamond" w:hAnsi="Garamond"/>
          <w:sz w:val="22"/>
          <w:szCs w:val="22"/>
        </w:rPr>
        <w:t xml:space="preserve">irst </w:t>
      </w:r>
      <w:r w:rsidRPr="00320DDF">
        <w:rPr>
          <w:rFonts w:ascii="Garamond" w:hAnsi="Garamond"/>
          <w:sz w:val="22"/>
          <w:szCs w:val="22"/>
        </w:rPr>
        <w:t>quarter of 201</w:t>
      </w:r>
      <w:r w:rsidR="00855499" w:rsidRPr="00320DDF">
        <w:rPr>
          <w:rFonts w:ascii="Garamond" w:hAnsi="Garamond"/>
          <w:sz w:val="22"/>
          <w:szCs w:val="22"/>
        </w:rPr>
        <w:t>7</w:t>
      </w:r>
      <w:r w:rsidRPr="00320DDF">
        <w:rPr>
          <w:rFonts w:ascii="Garamond" w:hAnsi="Garamond"/>
          <w:sz w:val="22"/>
          <w:szCs w:val="22"/>
        </w:rPr>
        <w:t xml:space="preserve"> the </w:t>
      </w:r>
      <w:r w:rsidRPr="00320DDF">
        <w:rPr>
          <w:rFonts w:ascii="Garamond" w:hAnsi="Garamond"/>
          <w:b/>
          <w:sz w:val="22"/>
          <w:szCs w:val="22"/>
        </w:rPr>
        <w:t>price of copper</w:t>
      </w:r>
      <w:r w:rsidRPr="00320DDF">
        <w:rPr>
          <w:rFonts w:ascii="Garamond" w:hAnsi="Garamond"/>
          <w:sz w:val="22"/>
          <w:szCs w:val="22"/>
        </w:rPr>
        <w:t xml:space="preserve"> at the London Metal Exchange </w:t>
      </w:r>
      <w:r w:rsidR="004726FE" w:rsidRPr="00320DDF">
        <w:rPr>
          <w:rFonts w:ascii="Garamond" w:hAnsi="Garamond"/>
          <w:sz w:val="22"/>
          <w:szCs w:val="22"/>
        </w:rPr>
        <w:t>grew</w:t>
      </w:r>
      <w:r w:rsidRPr="00320DDF">
        <w:rPr>
          <w:rFonts w:ascii="Garamond" w:hAnsi="Garamond"/>
          <w:sz w:val="22"/>
          <w:szCs w:val="22"/>
        </w:rPr>
        <w:t xml:space="preserve"> </w:t>
      </w:r>
      <w:r w:rsidR="00B06C58" w:rsidRPr="00320DDF">
        <w:rPr>
          <w:rFonts w:ascii="Garamond" w:hAnsi="Garamond"/>
          <w:sz w:val="22"/>
          <w:szCs w:val="22"/>
        </w:rPr>
        <w:t>a sizable 10.</w:t>
      </w:r>
      <w:r w:rsidR="00855499" w:rsidRPr="00320DDF">
        <w:rPr>
          <w:rFonts w:ascii="Garamond" w:hAnsi="Garamond"/>
          <w:sz w:val="22"/>
          <w:szCs w:val="22"/>
        </w:rPr>
        <w:t>1</w:t>
      </w:r>
      <w:r w:rsidR="00093D0F" w:rsidRPr="00320DDF">
        <w:rPr>
          <w:rFonts w:ascii="Garamond" w:hAnsi="Garamond"/>
          <w:sz w:val="22"/>
          <w:szCs w:val="22"/>
        </w:rPr>
        <w:t xml:space="preserve">% </w:t>
      </w:r>
      <w:r w:rsidR="00855499" w:rsidRPr="00320DDF">
        <w:rPr>
          <w:rFonts w:ascii="Garamond" w:hAnsi="Garamond"/>
          <w:sz w:val="22"/>
          <w:szCs w:val="22"/>
        </w:rPr>
        <w:t>to USD 5840 per ton on average</w:t>
      </w:r>
      <w:r w:rsidR="00DE3DF0" w:rsidRPr="00320DDF">
        <w:rPr>
          <w:rFonts w:ascii="Garamond" w:hAnsi="Garamond"/>
          <w:sz w:val="22"/>
          <w:szCs w:val="22"/>
        </w:rPr>
        <w:t xml:space="preserve">, </w:t>
      </w:r>
      <w:r w:rsidR="00855499" w:rsidRPr="00320DDF">
        <w:rPr>
          <w:rFonts w:ascii="Garamond" w:hAnsi="Garamond"/>
          <w:sz w:val="22"/>
          <w:szCs w:val="22"/>
        </w:rPr>
        <w:t>somewhat at a higher level against the previous quarter, m</w:t>
      </w:r>
      <w:r w:rsidR="00B01D01" w:rsidRPr="00320DDF">
        <w:rPr>
          <w:rFonts w:ascii="Garamond" w:hAnsi="Garamond"/>
          <w:sz w:val="22"/>
          <w:szCs w:val="22"/>
        </w:rPr>
        <w:t xml:space="preserve">ostly </w:t>
      </w:r>
      <w:r w:rsidR="00CF0734" w:rsidRPr="00320DDF">
        <w:rPr>
          <w:rFonts w:ascii="Garamond" w:hAnsi="Garamond"/>
          <w:sz w:val="22"/>
          <w:szCs w:val="22"/>
        </w:rPr>
        <w:t xml:space="preserve">driven by </w:t>
      </w:r>
      <w:r w:rsidR="00B06C58" w:rsidRPr="00320DDF">
        <w:rPr>
          <w:rFonts w:ascii="Garamond" w:hAnsi="Garamond"/>
          <w:sz w:val="22"/>
          <w:szCs w:val="22"/>
        </w:rPr>
        <w:t xml:space="preserve">expectations for </w:t>
      </w:r>
      <w:r w:rsidR="00855499" w:rsidRPr="00320DDF">
        <w:rPr>
          <w:rFonts w:ascii="Garamond" w:hAnsi="Garamond"/>
          <w:sz w:val="22"/>
          <w:szCs w:val="22"/>
        </w:rPr>
        <w:t xml:space="preserve">continued </w:t>
      </w:r>
      <w:r w:rsidR="00CF0734" w:rsidRPr="00320DDF">
        <w:rPr>
          <w:rFonts w:ascii="Garamond" w:hAnsi="Garamond"/>
          <w:sz w:val="22"/>
          <w:szCs w:val="22"/>
        </w:rPr>
        <w:t>demand in China</w:t>
      </w:r>
      <w:r w:rsidRPr="00320DDF">
        <w:rPr>
          <w:rFonts w:ascii="Garamond" w:hAnsi="Garamond"/>
          <w:sz w:val="22"/>
          <w:szCs w:val="22"/>
        </w:rPr>
        <w:t>.</w:t>
      </w:r>
    </w:p>
    <w:p w14:paraId="04375B5D" w14:textId="77777777" w:rsidR="00DE3DF0" w:rsidRPr="00320DDF" w:rsidRDefault="00DE3DF0" w:rsidP="0006101A">
      <w:pPr>
        <w:spacing w:line="360" w:lineRule="auto"/>
        <w:jc w:val="both"/>
        <w:rPr>
          <w:rFonts w:ascii="Garamond" w:hAnsi="Garamond"/>
          <w:sz w:val="22"/>
          <w:szCs w:val="22"/>
        </w:rPr>
      </w:pPr>
    </w:p>
    <w:p w14:paraId="5AB8AD64" w14:textId="77777777" w:rsidR="002278AA" w:rsidRPr="00320DDF" w:rsidRDefault="00DE3DF0" w:rsidP="0006101A">
      <w:pPr>
        <w:spacing w:line="360" w:lineRule="auto"/>
        <w:jc w:val="both"/>
        <w:rPr>
          <w:rStyle w:val="longtext"/>
          <w:rFonts w:ascii="Garamond" w:hAnsi="Garamond"/>
          <w:sz w:val="22"/>
          <w:szCs w:val="22"/>
          <w:shd w:val="clear" w:color="auto" w:fill="FFFFFF"/>
        </w:rPr>
      </w:pPr>
      <w:r w:rsidRPr="00320DDF">
        <w:rPr>
          <w:rFonts w:ascii="Garamond" w:hAnsi="Garamond"/>
          <w:sz w:val="22"/>
          <w:szCs w:val="22"/>
        </w:rPr>
        <w:t>The e</w:t>
      </w:r>
      <w:r w:rsidRPr="00320DDF">
        <w:rPr>
          <w:rStyle w:val="longtext"/>
          <w:rFonts w:ascii="Garamond" w:hAnsi="Garamond"/>
          <w:sz w:val="22"/>
          <w:szCs w:val="22"/>
          <w:shd w:val="clear" w:color="auto" w:fill="FFFFFF"/>
        </w:rPr>
        <w:t xml:space="preserve">xport price of </w:t>
      </w:r>
      <w:r w:rsidRPr="00320DDF">
        <w:rPr>
          <w:rStyle w:val="longtext"/>
          <w:rFonts w:ascii="Garamond" w:hAnsi="Garamond"/>
          <w:b/>
          <w:sz w:val="22"/>
          <w:szCs w:val="22"/>
          <w:shd w:val="clear" w:color="auto" w:fill="FFFFFF"/>
        </w:rPr>
        <w:t xml:space="preserve">hard red wheat </w:t>
      </w:r>
      <w:r w:rsidR="0023109D" w:rsidRPr="00320DDF">
        <w:rPr>
          <w:rStyle w:val="longtext"/>
          <w:rFonts w:ascii="Garamond" w:hAnsi="Garamond"/>
          <w:sz w:val="22"/>
          <w:szCs w:val="22"/>
          <w:shd w:val="clear" w:color="auto" w:fill="FFFFFF"/>
        </w:rPr>
        <w:t xml:space="preserve">grew </w:t>
      </w:r>
      <w:r w:rsidRPr="00320DDF">
        <w:rPr>
          <w:rStyle w:val="longtext"/>
          <w:rFonts w:ascii="Garamond" w:hAnsi="Garamond"/>
          <w:sz w:val="22"/>
          <w:szCs w:val="22"/>
          <w:shd w:val="clear" w:color="auto" w:fill="FFFFFF"/>
        </w:rPr>
        <w:t xml:space="preserve">during </w:t>
      </w:r>
      <w:r w:rsidRPr="00320DDF">
        <w:rPr>
          <w:rFonts w:ascii="Garamond" w:hAnsi="Garamond"/>
          <w:sz w:val="22"/>
          <w:szCs w:val="22"/>
        </w:rPr>
        <w:t xml:space="preserve">the </w:t>
      </w:r>
      <w:r w:rsidR="003B5DE5" w:rsidRPr="00320DDF">
        <w:rPr>
          <w:rFonts w:ascii="Garamond" w:hAnsi="Garamond"/>
          <w:sz w:val="22"/>
          <w:szCs w:val="22"/>
        </w:rPr>
        <w:t>q</w:t>
      </w:r>
      <w:r w:rsidRPr="00320DDF">
        <w:rPr>
          <w:rFonts w:ascii="Garamond" w:hAnsi="Garamond"/>
          <w:sz w:val="22"/>
          <w:szCs w:val="22"/>
        </w:rPr>
        <w:t xml:space="preserve">uarter </w:t>
      </w:r>
      <w:r w:rsidR="003B5DE5" w:rsidRPr="00320DDF">
        <w:rPr>
          <w:rFonts w:ascii="Garamond" w:hAnsi="Garamond"/>
          <w:sz w:val="22"/>
          <w:szCs w:val="22"/>
        </w:rPr>
        <w:t xml:space="preserve">by 17.1% (y/y price </w:t>
      </w:r>
      <w:r w:rsidR="003B5DE5" w:rsidRPr="00320DDF">
        <w:rPr>
          <w:rStyle w:val="longtext"/>
          <w:rFonts w:ascii="Garamond" w:hAnsi="Garamond"/>
          <w:sz w:val="22"/>
          <w:szCs w:val="22"/>
        </w:rPr>
        <w:t>decrease: 11.7%</w:t>
      </w:r>
      <w:r w:rsidR="003B5DE5" w:rsidRPr="00320DDF">
        <w:rPr>
          <w:rStyle w:val="longtext"/>
          <w:rFonts w:ascii="Garamond" w:hAnsi="Garamond"/>
          <w:sz w:val="22"/>
          <w:szCs w:val="22"/>
          <w:lang w:val="hy-AM"/>
        </w:rPr>
        <w:t>)</w:t>
      </w:r>
      <w:r w:rsidR="003B5DE5" w:rsidRPr="00320DDF">
        <w:rPr>
          <w:rStyle w:val="longtext"/>
          <w:rFonts w:ascii="Garamond" w:hAnsi="Garamond"/>
          <w:sz w:val="22"/>
          <w:szCs w:val="22"/>
        </w:rPr>
        <w:t xml:space="preserve"> to </w:t>
      </w:r>
      <w:r w:rsidR="003B5DE5" w:rsidRPr="00320DDF">
        <w:rPr>
          <w:rStyle w:val="longtext"/>
          <w:rFonts w:ascii="Garamond" w:hAnsi="Garamond"/>
          <w:sz w:val="22"/>
          <w:szCs w:val="22"/>
          <w:shd w:val="clear" w:color="auto" w:fill="FFFFFF"/>
        </w:rPr>
        <w:t>USD 3.9 a bushel on average. The wheat prices are also at higher levels due</w:t>
      </w:r>
      <w:r w:rsidR="00A95B49" w:rsidRPr="00320DDF">
        <w:rPr>
          <w:rFonts w:ascii="Garamond" w:hAnsi="Garamond"/>
          <w:sz w:val="22"/>
          <w:szCs w:val="22"/>
        </w:rPr>
        <w:t xml:space="preserve"> to</w:t>
      </w:r>
      <w:r w:rsidRPr="00320DDF">
        <w:rPr>
          <w:rFonts w:ascii="Garamond" w:hAnsi="Garamond"/>
          <w:sz w:val="22"/>
          <w:szCs w:val="22"/>
        </w:rPr>
        <w:t xml:space="preserve"> </w:t>
      </w:r>
      <w:r w:rsidR="003B5DE5" w:rsidRPr="00320DDF">
        <w:rPr>
          <w:rFonts w:ascii="Garamond" w:hAnsi="Garamond"/>
          <w:sz w:val="22"/>
          <w:szCs w:val="22"/>
        </w:rPr>
        <w:t>reduction of output and expectations for somewhat less harvest</w:t>
      </w:r>
      <w:r w:rsidRPr="00320DDF">
        <w:rPr>
          <w:rStyle w:val="longtext"/>
          <w:rFonts w:ascii="Garamond" w:hAnsi="Garamond"/>
          <w:sz w:val="22"/>
          <w:szCs w:val="22"/>
          <w:shd w:val="clear" w:color="auto" w:fill="FFFFFF"/>
        </w:rPr>
        <w:t xml:space="preserve">. </w:t>
      </w:r>
    </w:p>
    <w:p w14:paraId="79E0AE6A" w14:textId="77777777" w:rsidR="00A36A51" w:rsidRPr="00320DDF" w:rsidRDefault="00A36A51" w:rsidP="0006101A">
      <w:pPr>
        <w:spacing w:line="360" w:lineRule="auto"/>
        <w:jc w:val="both"/>
        <w:rPr>
          <w:rStyle w:val="longtext"/>
          <w:rFonts w:ascii="Garamond" w:hAnsi="Garamond"/>
          <w:sz w:val="22"/>
          <w:szCs w:val="22"/>
          <w:shd w:val="clear" w:color="auto" w:fill="FFFFFF"/>
        </w:rPr>
      </w:pPr>
    </w:p>
    <w:p w14:paraId="3B901796" w14:textId="77777777" w:rsidR="00A36A51" w:rsidRPr="00320DDF" w:rsidRDefault="003C00F1" w:rsidP="0006101A">
      <w:pPr>
        <w:spacing w:line="360" w:lineRule="auto"/>
        <w:jc w:val="both"/>
        <w:rPr>
          <w:rStyle w:val="longtext"/>
          <w:rFonts w:ascii="Garamond" w:hAnsi="Garamond"/>
          <w:sz w:val="22"/>
          <w:szCs w:val="22"/>
          <w:shd w:val="clear" w:color="auto" w:fill="FFFFFF"/>
        </w:rPr>
      </w:pPr>
      <w:r w:rsidRPr="00320DDF">
        <w:rPr>
          <w:rStyle w:val="longtext"/>
          <w:rFonts w:ascii="Garamond" w:hAnsi="Garamond"/>
          <w:sz w:val="22"/>
          <w:szCs w:val="22"/>
        </w:rPr>
        <w:t>T</w:t>
      </w:r>
      <w:r w:rsidR="00A36A51" w:rsidRPr="00320DDF">
        <w:rPr>
          <w:rStyle w:val="longtext"/>
          <w:rFonts w:ascii="Garamond" w:hAnsi="Garamond"/>
          <w:sz w:val="22"/>
          <w:szCs w:val="22"/>
        </w:rPr>
        <w:t xml:space="preserve">he price index of </w:t>
      </w:r>
      <w:r w:rsidR="00A36A51" w:rsidRPr="00320DDF">
        <w:rPr>
          <w:rStyle w:val="longtext"/>
          <w:rFonts w:ascii="Garamond" w:hAnsi="Garamond"/>
          <w:b/>
          <w:sz w:val="22"/>
          <w:szCs w:val="22"/>
        </w:rPr>
        <w:t>unprocessed sugar</w:t>
      </w:r>
      <w:r w:rsidR="00A36A51" w:rsidRPr="00320DDF">
        <w:rPr>
          <w:rStyle w:val="longtext"/>
          <w:rFonts w:ascii="Garamond" w:hAnsi="Garamond"/>
          <w:sz w:val="22"/>
          <w:szCs w:val="22"/>
        </w:rPr>
        <w:t xml:space="preserve"> at the </w:t>
      </w:r>
      <w:r w:rsidR="00A36A51" w:rsidRPr="00320DDF">
        <w:rPr>
          <w:rFonts w:ascii="Garamond" w:eastAsia="MS Mincho" w:hAnsi="Garamond"/>
          <w:iCs/>
          <w:sz w:val="22"/>
          <w:szCs w:val="22"/>
        </w:rPr>
        <w:t>New York Board-Intercontinental Exchange</w:t>
      </w:r>
      <w:r w:rsidR="0086764D" w:rsidRPr="00320DDF">
        <w:rPr>
          <w:rFonts w:ascii="Garamond" w:eastAsia="MS Mincho" w:hAnsi="Garamond"/>
          <w:iCs/>
          <w:sz w:val="22"/>
          <w:szCs w:val="22"/>
          <w:lang w:val="hy-AM"/>
        </w:rPr>
        <w:t xml:space="preserve"> </w:t>
      </w:r>
      <w:r w:rsidR="003B5DE5" w:rsidRPr="00320DDF">
        <w:rPr>
          <w:rFonts w:ascii="Garamond" w:eastAsia="MS Mincho" w:hAnsi="Garamond"/>
          <w:iCs/>
          <w:sz w:val="22"/>
          <w:szCs w:val="22"/>
        </w:rPr>
        <w:t>stood at a lower</w:t>
      </w:r>
      <w:r w:rsidR="00C536A7" w:rsidRPr="00320DDF">
        <w:rPr>
          <w:rFonts w:ascii="Garamond" w:eastAsia="MS Mincho" w:hAnsi="Garamond"/>
          <w:iCs/>
          <w:sz w:val="22"/>
          <w:szCs w:val="22"/>
        </w:rPr>
        <w:t>-</w:t>
      </w:r>
      <w:r w:rsidR="003B5DE5" w:rsidRPr="00320DDF">
        <w:rPr>
          <w:rFonts w:ascii="Garamond" w:eastAsia="MS Mincho" w:hAnsi="Garamond"/>
          <w:iCs/>
          <w:sz w:val="22"/>
          <w:szCs w:val="22"/>
        </w:rPr>
        <w:t xml:space="preserve">than-anticipated level in </w:t>
      </w:r>
      <w:r w:rsidRPr="00320DDF">
        <w:rPr>
          <w:rStyle w:val="longtext"/>
          <w:rFonts w:ascii="Garamond" w:hAnsi="Garamond"/>
          <w:sz w:val="22"/>
          <w:szCs w:val="22"/>
        </w:rPr>
        <w:t>the f</w:t>
      </w:r>
      <w:r w:rsidR="003B5DE5" w:rsidRPr="00320DDF">
        <w:rPr>
          <w:rStyle w:val="longtext"/>
          <w:rFonts w:ascii="Garamond" w:hAnsi="Garamond"/>
          <w:sz w:val="22"/>
          <w:szCs w:val="22"/>
        </w:rPr>
        <w:t>irst quarter of 2017</w:t>
      </w:r>
      <w:r w:rsidRPr="00320DDF">
        <w:rPr>
          <w:rFonts w:ascii="Garamond" w:eastAsia="MS Mincho" w:hAnsi="Garamond"/>
          <w:iCs/>
          <w:sz w:val="22"/>
          <w:szCs w:val="22"/>
        </w:rPr>
        <w:t xml:space="preserve">, </w:t>
      </w:r>
      <w:r w:rsidR="00C536A7" w:rsidRPr="00320DDF">
        <w:rPr>
          <w:rFonts w:ascii="Garamond" w:eastAsia="MS Mincho" w:hAnsi="Garamond"/>
          <w:iCs/>
          <w:sz w:val="22"/>
          <w:szCs w:val="22"/>
        </w:rPr>
        <w:t xml:space="preserve">driven by sluggish global demand and in expectation of abundant crops in </w:t>
      </w:r>
      <w:r w:rsidRPr="00320DDF">
        <w:rPr>
          <w:rFonts w:ascii="Garamond" w:eastAsia="MS Mincho" w:hAnsi="Garamond"/>
          <w:iCs/>
          <w:sz w:val="22"/>
          <w:szCs w:val="22"/>
        </w:rPr>
        <w:t>Brazil – a principal producer and exporter</w:t>
      </w:r>
      <w:r w:rsidR="0001484B" w:rsidRPr="00320DDF">
        <w:rPr>
          <w:rStyle w:val="longtext"/>
          <w:rFonts w:ascii="Garamond" w:hAnsi="Garamond"/>
          <w:sz w:val="22"/>
          <w:szCs w:val="22"/>
        </w:rPr>
        <w:t>.</w:t>
      </w:r>
    </w:p>
    <w:p w14:paraId="21E5B1BB" w14:textId="77777777" w:rsidR="00586351" w:rsidRPr="00320DDF" w:rsidRDefault="00586351" w:rsidP="0006101A">
      <w:pPr>
        <w:spacing w:line="360" w:lineRule="auto"/>
        <w:jc w:val="both"/>
        <w:rPr>
          <w:rStyle w:val="longtext"/>
          <w:rFonts w:ascii="Garamond" w:hAnsi="Garamond"/>
          <w:sz w:val="22"/>
          <w:szCs w:val="22"/>
          <w:shd w:val="clear" w:color="auto" w:fill="FFFFFF"/>
        </w:rPr>
      </w:pPr>
    </w:p>
    <w:p w14:paraId="03E01D6B" w14:textId="77777777" w:rsidR="00586351" w:rsidRPr="00320DDF" w:rsidRDefault="00CF27FC" w:rsidP="0006101A">
      <w:pPr>
        <w:spacing w:line="360" w:lineRule="auto"/>
        <w:jc w:val="both"/>
        <w:rPr>
          <w:rFonts w:ascii="Garamond" w:hAnsi="Garamond" w:cs="Sylfaen"/>
          <w:b/>
          <w:sz w:val="22"/>
          <w:szCs w:val="22"/>
        </w:rPr>
      </w:pPr>
      <w:r w:rsidRPr="00320DDF">
        <w:rPr>
          <w:rFonts w:ascii="Garamond" w:hAnsi="Garamond" w:cs="Sylfaen"/>
          <w:b/>
          <w:sz w:val="22"/>
          <w:szCs w:val="22"/>
        </w:rPr>
        <w:t>Summary: inf</w:t>
      </w:r>
      <w:r w:rsidR="00586351" w:rsidRPr="00320DDF">
        <w:rPr>
          <w:rFonts w:ascii="Garamond" w:hAnsi="Garamond" w:cs="Sylfaen"/>
          <w:b/>
          <w:sz w:val="22"/>
          <w:szCs w:val="22"/>
        </w:rPr>
        <w:t xml:space="preserve">lationary trends </w:t>
      </w:r>
      <w:r w:rsidRPr="00320DDF">
        <w:rPr>
          <w:rFonts w:ascii="Garamond" w:hAnsi="Garamond" w:cs="Sylfaen"/>
          <w:b/>
          <w:sz w:val="22"/>
          <w:szCs w:val="22"/>
        </w:rPr>
        <w:t xml:space="preserve">observable in </w:t>
      </w:r>
      <w:r w:rsidR="00586351" w:rsidRPr="00320DDF">
        <w:rPr>
          <w:rFonts w:ascii="Garamond" w:hAnsi="Garamond" w:cs="Sylfaen"/>
          <w:b/>
          <w:sz w:val="22"/>
          <w:szCs w:val="22"/>
        </w:rPr>
        <w:t xml:space="preserve">the world’s commodity </w:t>
      </w:r>
      <w:r w:rsidR="006356C4" w:rsidRPr="00320DDF">
        <w:rPr>
          <w:rFonts w:ascii="Garamond" w:hAnsi="Garamond" w:cs="Sylfaen"/>
          <w:b/>
          <w:sz w:val="22"/>
          <w:szCs w:val="22"/>
        </w:rPr>
        <w:t xml:space="preserve">and food product </w:t>
      </w:r>
      <w:r w:rsidR="00586351" w:rsidRPr="00320DDF">
        <w:rPr>
          <w:rFonts w:ascii="Garamond" w:hAnsi="Garamond" w:cs="Sylfaen"/>
          <w:b/>
          <w:sz w:val="22"/>
          <w:szCs w:val="22"/>
        </w:rPr>
        <w:t xml:space="preserve">markets </w:t>
      </w:r>
      <w:r w:rsidR="006356C4" w:rsidRPr="00320DDF">
        <w:rPr>
          <w:rFonts w:ascii="Garamond" w:hAnsi="Garamond" w:cs="Sylfaen"/>
          <w:b/>
          <w:sz w:val="22"/>
          <w:szCs w:val="22"/>
        </w:rPr>
        <w:t xml:space="preserve">in </w:t>
      </w:r>
      <w:r w:rsidR="00586351" w:rsidRPr="00320DDF">
        <w:rPr>
          <w:rFonts w:ascii="Garamond" w:hAnsi="Garamond" w:cs="Sylfaen"/>
          <w:b/>
          <w:sz w:val="22"/>
          <w:szCs w:val="22"/>
        </w:rPr>
        <w:t xml:space="preserve">the </w:t>
      </w:r>
      <w:r w:rsidR="0017763C" w:rsidRPr="00320DDF">
        <w:rPr>
          <w:rFonts w:ascii="Garamond" w:hAnsi="Garamond" w:cs="Sylfaen"/>
          <w:b/>
          <w:sz w:val="22"/>
          <w:szCs w:val="22"/>
        </w:rPr>
        <w:t xml:space="preserve">first </w:t>
      </w:r>
      <w:r w:rsidR="00586351" w:rsidRPr="00320DDF">
        <w:rPr>
          <w:rFonts w:ascii="Garamond" w:hAnsi="Garamond" w:cs="Sylfaen"/>
          <w:b/>
          <w:sz w:val="22"/>
          <w:szCs w:val="22"/>
        </w:rPr>
        <w:t>quarter of 201</w:t>
      </w:r>
      <w:r w:rsidR="0017763C" w:rsidRPr="00320DDF">
        <w:rPr>
          <w:rFonts w:ascii="Garamond" w:hAnsi="Garamond" w:cs="Sylfaen"/>
          <w:b/>
          <w:sz w:val="22"/>
          <w:szCs w:val="22"/>
        </w:rPr>
        <w:t>7</w:t>
      </w:r>
      <w:r w:rsidRPr="00320DDF">
        <w:rPr>
          <w:rFonts w:ascii="Garamond" w:hAnsi="Garamond" w:cs="Sylfaen"/>
          <w:b/>
          <w:sz w:val="22"/>
          <w:szCs w:val="22"/>
        </w:rPr>
        <w:t xml:space="preserve"> were</w:t>
      </w:r>
      <w:r w:rsidR="00586351" w:rsidRPr="00320DDF">
        <w:rPr>
          <w:rFonts w:ascii="Garamond" w:hAnsi="Garamond" w:cs="Sylfaen"/>
          <w:b/>
          <w:sz w:val="22"/>
          <w:szCs w:val="22"/>
        </w:rPr>
        <w:t xml:space="preserve"> in line with the previous program’s forecast</w:t>
      </w:r>
      <w:r w:rsidR="006356C4" w:rsidRPr="00320DDF">
        <w:rPr>
          <w:rFonts w:ascii="Garamond" w:hAnsi="Garamond" w:cs="Sylfaen"/>
          <w:b/>
          <w:sz w:val="22"/>
          <w:szCs w:val="22"/>
        </w:rPr>
        <w:t>s</w:t>
      </w:r>
      <w:r w:rsidR="0017763C" w:rsidRPr="00320DDF">
        <w:rPr>
          <w:rFonts w:ascii="Garamond" w:hAnsi="Garamond" w:cs="Sylfaen"/>
          <w:b/>
          <w:sz w:val="22"/>
          <w:szCs w:val="22"/>
        </w:rPr>
        <w:t>.</w:t>
      </w:r>
      <w:r w:rsidR="004D5B22" w:rsidRPr="00320DDF">
        <w:rPr>
          <w:rFonts w:ascii="Garamond" w:hAnsi="Garamond" w:cs="Sylfaen"/>
          <w:b/>
          <w:sz w:val="22"/>
          <w:szCs w:val="22"/>
        </w:rPr>
        <w:t xml:space="preserve"> </w:t>
      </w:r>
      <w:r w:rsidR="0017763C" w:rsidRPr="00320DDF">
        <w:rPr>
          <w:rFonts w:ascii="Garamond" w:hAnsi="Garamond" w:cs="Sylfaen"/>
          <w:b/>
          <w:sz w:val="22"/>
          <w:szCs w:val="22"/>
        </w:rPr>
        <w:t xml:space="preserve">However, </w:t>
      </w:r>
      <w:r w:rsidR="003A3042" w:rsidRPr="00320DDF">
        <w:rPr>
          <w:rFonts w:ascii="Garamond" w:hAnsi="Garamond" w:cs="Sylfaen"/>
          <w:b/>
          <w:sz w:val="22"/>
          <w:szCs w:val="22"/>
        </w:rPr>
        <w:t>world copper ma</w:t>
      </w:r>
      <w:r w:rsidR="00F979AB" w:rsidRPr="00320DDF">
        <w:rPr>
          <w:rFonts w:ascii="Garamond" w:hAnsi="Garamond" w:cs="Sylfaen"/>
          <w:b/>
          <w:sz w:val="22"/>
          <w:szCs w:val="22"/>
        </w:rPr>
        <w:t xml:space="preserve">rkets </w:t>
      </w:r>
      <w:r w:rsidR="0008725F" w:rsidRPr="00320DDF">
        <w:rPr>
          <w:rFonts w:ascii="Garamond" w:hAnsi="Garamond" w:cs="Sylfaen"/>
          <w:b/>
          <w:sz w:val="22"/>
          <w:szCs w:val="22"/>
        </w:rPr>
        <w:t xml:space="preserve">saw </w:t>
      </w:r>
      <w:r w:rsidR="003A3042" w:rsidRPr="00320DDF">
        <w:rPr>
          <w:rFonts w:ascii="Garamond" w:hAnsi="Garamond" w:cs="Sylfaen"/>
          <w:b/>
          <w:sz w:val="22"/>
          <w:szCs w:val="22"/>
        </w:rPr>
        <w:t>h</w:t>
      </w:r>
      <w:r w:rsidR="004D5B22" w:rsidRPr="00320DDF">
        <w:rPr>
          <w:rFonts w:ascii="Garamond" w:hAnsi="Garamond" w:cs="Sylfaen"/>
          <w:b/>
          <w:sz w:val="22"/>
          <w:szCs w:val="22"/>
        </w:rPr>
        <w:t xml:space="preserve">igher-than-expected price </w:t>
      </w:r>
      <w:r w:rsidR="003A3042" w:rsidRPr="00320DDF">
        <w:rPr>
          <w:rFonts w:ascii="Garamond" w:hAnsi="Garamond" w:cs="Sylfaen"/>
          <w:b/>
          <w:sz w:val="22"/>
          <w:szCs w:val="22"/>
        </w:rPr>
        <w:t>inflation</w:t>
      </w:r>
      <w:r w:rsidR="004D5B22" w:rsidRPr="00320DDF">
        <w:rPr>
          <w:rFonts w:ascii="Garamond" w:hAnsi="Garamond" w:cs="Sylfaen"/>
          <w:b/>
          <w:sz w:val="22"/>
          <w:szCs w:val="22"/>
        </w:rPr>
        <w:t>.</w:t>
      </w:r>
    </w:p>
    <w:p w14:paraId="47D5341D" w14:textId="77777777" w:rsidR="001A1846" w:rsidRPr="00320DDF" w:rsidRDefault="001A1846" w:rsidP="0006101A">
      <w:pPr>
        <w:spacing w:line="360" w:lineRule="auto"/>
        <w:jc w:val="both"/>
        <w:rPr>
          <w:rFonts w:ascii="Garamond" w:hAnsi="Garamond" w:cs="Sylfaen"/>
          <w:b/>
          <w:sz w:val="22"/>
          <w:szCs w:val="22"/>
        </w:rPr>
      </w:pPr>
    </w:p>
    <w:p w14:paraId="593D16BF" w14:textId="77777777" w:rsidR="003A3042" w:rsidRPr="00320DDF" w:rsidRDefault="003A3042" w:rsidP="003A3042">
      <w:pPr>
        <w:spacing w:line="360" w:lineRule="auto"/>
        <w:jc w:val="center"/>
        <w:rPr>
          <w:rFonts w:ascii="Garamond" w:hAnsi="Garamond"/>
          <w:b/>
          <w:bCs/>
          <w:sz w:val="22"/>
          <w:szCs w:val="22"/>
        </w:rPr>
      </w:pPr>
      <w:r w:rsidRPr="00320DDF">
        <w:rPr>
          <w:rFonts w:ascii="Garamond" w:hAnsi="Garamond"/>
          <w:b/>
          <w:bCs/>
          <w:sz w:val="22"/>
          <w:szCs w:val="22"/>
        </w:rPr>
        <w:t>………………………………………………………………………………………………………………..</w:t>
      </w:r>
    </w:p>
    <w:p w14:paraId="179E91E7" w14:textId="77777777" w:rsidR="001B04FD" w:rsidRPr="00320DDF" w:rsidRDefault="001B04FD" w:rsidP="003A3042">
      <w:pPr>
        <w:spacing w:line="360" w:lineRule="auto"/>
        <w:jc w:val="center"/>
        <w:rPr>
          <w:rFonts w:ascii="Garamond" w:hAnsi="Garamond"/>
          <w:b/>
          <w:bCs/>
          <w:sz w:val="22"/>
          <w:szCs w:val="22"/>
        </w:rPr>
      </w:pPr>
    </w:p>
    <w:p w14:paraId="39500FB4" w14:textId="77777777" w:rsidR="005A000D" w:rsidRPr="00320DDF" w:rsidRDefault="005A000D" w:rsidP="003A3042">
      <w:pPr>
        <w:spacing w:line="360" w:lineRule="auto"/>
        <w:jc w:val="center"/>
        <w:rPr>
          <w:rFonts w:ascii="Garamond" w:hAnsi="Garamond"/>
          <w:b/>
          <w:bCs/>
          <w:sz w:val="22"/>
          <w:szCs w:val="22"/>
        </w:rPr>
      </w:pPr>
    </w:p>
    <w:p w14:paraId="4F773C7D" w14:textId="77777777" w:rsidR="005A000D" w:rsidRPr="00320DDF" w:rsidRDefault="005A000D" w:rsidP="003A3042">
      <w:pPr>
        <w:spacing w:line="360" w:lineRule="auto"/>
        <w:jc w:val="center"/>
        <w:rPr>
          <w:rFonts w:ascii="Garamond" w:hAnsi="Garamond"/>
          <w:b/>
          <w:bCs/>
          <w:sz w:val="22"/>
          <w:szCs w:val="22"/>
        </w:rPr>
      </w:pPr>
    </w:p>
    <w:p w14:paraId="2C5867EB" w14:textId="77777777" w:rsidR="005A000D" w:rsidRPr="00320DDF" w:rsidRDefault="005A000D" w:rsidP="003A3042">
      <w:pPr>
        <w:spacing w:line="360" w:lineRule="auto"/>
        <w:jc w:val="center"/>
        <w:rPr>
          <w:rFonts w:ascii="Garamond" w:hAnsi="Garamond"/>
          <w:b/>
          <w:bCs/>
          <w:sz w:val="22"/>
          <w:szCs w:val="22"/>
        </w:rPr>
      </w:pPr>
    </w:p>
    <w:p w14:paraId="56977A69" w14:textId="77777777" w:rsidR="005A000D" w:rsidRPr="00320DDF" w:rsidRDefault="005A000D" w:rsidP="003A3042">
      <w:pPr>
        <w:spacing w:line="360" w:lineRule="auto"/>
        <w:jc w:val="center"/>
        <w:rPr>
          <w:rFonts w:ascii="Garamond" w:hAnsi="Garamond"/>
          <w:b/>
          <w:bCs/>
          <w:sz w:val="22"/>
          <w:szCs w:val="22"/>
        </w:rPr>
      </w:pPr>
    </w:p>
    <w:p w14:paraId="0C3FF865" w14:textId="77777777" w:rsidR="005A000D" w:rsidRPr="00320DDF" w:rsidRDefault="005A000D" w:rsidP="003A3042">
      <w:pPr>
        <w:spacing w:line="360" w:lineRule="auto"/>
        <w:jc w:val="center"/>
        <w:rPr>
          <w:rFonts w:ascii="Garamond" w:hAnsi="Garamond"/>
          <w:b/>
          <w:bCs/>
          <w:sz w:val="22"/>
          <w:szCs w:val="22"/>
        </w:rPr>
      </w:pPr>
    </w:p>
    <w:p w14:paraId="0D2903E6" w14:textId="77777777" w:rsidR="005A000D" w:rsidRPr="00320DDF" w:rsidRDefault="005A000D" w:rsidP="003A3042">
      <w:pPr>
        <w:spacing w:line="360" w:lineRule="auto"/>
        <w:jc w:val="center"/>
        <w:rPr>
          <w:rFonts w:ascii="Garamond" w:hAnsi="Garamond"/>
          <w:b/>
          <w:bCs/>
          <w:sz w:val="22"/>
          <w:szCs w:val="22"/>
        </w:rPr>
      </w:pPr>
    </w:p>
    <w:p w14:paraId="798753C9" w14:textId="77777777" w:rsidR="003A3042" w:rsidRPr="00320DDF" w:rsidRDefault="003A3042" w:rsidP="003A3042">
      <w:pPr>
        <w:spacing w:line="360" w:lineRule="auto"/>
        <w:jc w:val="center"/>
        <w:rPr>
          <w:rFonts w:ascii="Garamond" w:hAnsi="Garamond"/>
          <w:b/>
          <w:bCs/>
          <w:sz w:val="22"/>
          <w:szCs w:val="22"/>
        </w:rPr>
      </w:pPr>
      <w:r w:rsidRPr="00320DDF">
        <w:rPr>
          <w:rFonts w:ascii="Garamond" w:hAnsi="Garamond"/>
          <w:b/>
          <w:bCs/>
          <w:sz w:val="22"/>
          <w:szCs w:val="22"/>
        </w:rPr>
        <w:t>BOARD OF CBA</w:t>
      </w:r>
    </w:p>
    <w:p w14:paraId="57A63FED" w14:textId="77777777" w:rsidR="001B04FD" w:rsidRPr="00320DDF" w:rsidRDefault="001B04FD" w:rsidP="003A3042">
      <w:pPr>
        <w:spacing w:line="360" w:lineRule="auto"/>
        <w:jc w:val="center"/>
        <w:rPr>
          <w:rFonts w:ascii="Garamond" w:hAnsi="Garamond"/>
          <w:b/>
          <w:bCs/>
          <w:sz w:val="22"/>
          <w:szCs w:val="22"/>
        </w:rPr>
      </w:pPr>
    </w:p>
    <w:p w14:paraId="1FEF5552" w14:textId="77777777" w:rsidR="003A3042" w:rsidRPr="00320DDF" w:rsidRDefault="003A3042" w:rsidP="003A3042">
      <w:pPr>
        <w:spacing w:line="360" w:lineRule="auto"/>
        <w:jc w:val="center"/>
        <w:rPr>
          <w:rFonts w:ascii="Garamond" w:hAnsi="Garamond"/>
          <w:b/>
          <w:bCs/>
          <w:sz w:val="22"/>
          <w:szCs w:val="22"/>
        </w:rPr>
      </w:pPr>
      <w:r w:rsidRPr="00320DDF">
        <w:rPr>
          <w:rFonts w:ascii="Garamond" w:hAnsi="Garamond"/>
          <w:b/>
          <w:bCs/>
          <w:sz w:val="22"/>
          <w:szCs w:val="22"/>
        </w:rPr>
        <w:t>MINUTES</w:t>
      </w:r>
    </w:p>
    <w:p w14:paraId="3BA8E5AF" w14:textId="77777777" w:rsidR="003A3042" w:rsidRPr="00320DDF" w:rsidRDefault="003A3042" w:rsidP="003A3042">
      <w:pPr>
        <w:spacing w:line="360" w:lineRule="auto"/>
        <w:jc w:val="center"/>
        <w:rPr>
          <w:rFonts w:ascii="Garamond" w:hAnsi="Garamond"/>
          <w:b/>
          <w:bCs/>
          <w:sz w:val="22"/>
          <w:szCs w:val="22"/>
        </w:rPr>
      </w:pPr>
      <w:r w:rsidRPr="00320DDF">
        <w:rPr>
          <w:rFonts w:ascii="Garamond" w:hAnsi="Garamond"/>
          <w:b/>
          <w:bCs/>
          <w:sz w:val="22"/>
          <w:szCs w:val="22"/>
        </w:rPr>
        <w:t>(1</w:t>
      </w:r>
      <w:r w:rsidR="002B3484" w:rsidRPr="00320DDF">
        <w:rPr>
          <w:rFonts w:ascii="Garamond" w:hAnsi="Garamond"/>
          <w:b/>
          <w:bCs/>
          <w:sz w:val="22"/>
          <w:szCs w:val="22"/>
        </w:rPr>
        <w:t>6</w:t>
      </w:r>
      <w:r w:rsidRPr="00320DDF">
        <w:rPr>
          <w:rFonts w:ascii="Garamond" w:hAnsi="Garamond"/>
          <w:b/>
          <w:bCs/>
          <w:sz w:val="22"/>
          <w:szCs w:val="22"/>
        </w:rPr>
        <w:t>.0</w:t>
      </w:r>
      <w:r w:rsidR="002B3484" w:rsidRPr="00320DDF">
        <w:rPr>
          <w:rFonts w:ascii="Garamond" w:hAnsi="Garamond"/>
          <w:b/>
          <w:bCs/>
          <w:sz w:val="22"/>
          <w:szCs w:val="22"/>
        </w:rPr>
        <w:t>5</w:t>
      </w:r>
      <w:r w:rsidRPr="00320DDF">
        <w:rPr>
          <w:rFonts w:ascii="Garamond" w:hAnsi="Garamond"/>
          <w:b/>
          <w:bCs/>
          <w:sz w:val="22"/>
          <w:szCs w:val="22"/>
        </w:rPr>
        <w:t>.2017)</w:t>
      </w:r>
    </w:p>
    <w:p w14:paraId="59803B92" w14:textId="77777777" w:rsidR="003A3042" w:rsidRPr="00320DDF" w:rsidRDefault="003A3042" w:rsidP="003A3042">
      <w:pPr>
        <w:spacing w:line="360" w:lineRule="auto"/>
        <w:jc w:val="center"/>
        <w:rPr>
          <w:rFonts w:ascii="Garamond" w:hAnsi="Garamond"/>
          <w:b/>
          <w:bCs/>
          <w:sz w:val="22"/>
          <w:szCs w:val="22"/>
        </w:rPr>
      </w:pPr>
    </w:p>
    <w:p w14:paraId="277A3771" w14:textId="77777777" w:rsidR="003A3042" w:rsidRPr="00320DDF" w:rsidRDefault="003A3042" w:rsidP="003A3042">
      <w:pPr>
        <w:spacing w:line="360" w:lineRule="auto"/>
        <w:jc w:val="center"/>
        <w:rPr>
          <w:rFonts w:ascii="Garamond" w:hAnsi="Garamond"/>
          <w:sz w:val="22"/>
          <w:szCs w:val="22"/>
        </w:rPr>
      </w:pPr>
      <w:r w:rsidRPr="00320DDF">
        <w:rPr>
          <w:rFonts w:ascii="Garamond" w:hAnsi="Garamond"/>
          <w:b/>
          <w:bCs/>
          <w:sz w:val="22"/>
          <w:szCs w:val="22"/>
        </w:rPr>
        <w:t xml:space="preserve">Refinancing Rate of </w:t>
      </w:r>
      <w:r w:rsidR="002B3484" w:rsidRPr="00320DDF">
        <w:rPr>
          <w:rFonts w:ascii="Garamond" w:hAnsi="Garamond"/>
          <w:b/>
          <w:bCs/>
          <w:sz w:val="22"/>
          <w:szCs w:val="22"/>
        </w:rPr>
        <w:t>May</w:t>
      </w:r>
      <w:r w:rsidRPr="00320DDF">
        <w:rPr>
          <w:rFonts w:ascii="Garamond" w:hAnsi="Garamond"/>
          <w:b/>
          <w:bCs/>
          <w:sz w:val="22"/>
          <w:szCs w:val="22"/>
        </w:rPr>
        <w:t xml:space="preserve"> </w:t>
      </w:r>
      <w:r w:rsidR="001B04FD" w:rsidRPr="00320DDF">
        <w:rPr>
          <w:rFonts w:ascii="Garamond" w:hAnsi="Garamond"/>
          <w:b/>
          <w:bCs/>
          <w:sz w:val="22"/>
          <w:szCs w:val="22"/>
        </w:rPr>
        <w:t>1</w:t>
      </w:r>
      <w:r w:rsidR="002B3484" w:rsidRPr="00320DDF">
        <w:rPr>
          <w:rFonts w:ascii="Garamond" w:hAnsi="Garamond"/>
          <w:b/>
          <w:bCs/>
          <w:sz w:val="22"/>
          <w:szCs w:val="22"/>
        </w:rPr>
        <w:t>6</w:t>
      </w:r>
      <w:r w:rsidRPr="00320DDF">
        <w:rPr>
          <w:rFonts w:ascii="Garamond" w:hAnsi="Garamond"/>
          <w:b/>
          <w:bCs/>
          <w:sz w:val="22"/>
          <w:szCs w:val="22"/>
        </w:rPr>
        <w:t>, 201</w:t>
      </w:r>
      <w:r w:rsidR="001B04FD" w:rsidRPr="00320DDF">
        <w:rPr>
          <w:rFonts w:ascii="Garamond" w:hAnsi="Garamond"/>
          <w:b/>
          <w:bCs/>
          <w:sz w:val="22"/>
          <w:szCs w:val="22"/>
        </w:rPr>
        <w:t>7</w:t>
      </w:r>
    </w:p>
    <w:p w14:paraId="16ADB701" w14:textId="77777777" w:rsidR="003A3042" w:rsidRPr="00320DDF" w:rsidRDefault="003A3042" w:rsidP="003A3042">
      <w:pPr>
        <w:spacing w:line="360" w:lineRule="auto"/>
        <w:jc w:val="center"/>
        <w:rPr>
          <w:rFonts w:ascii="Garamond" w:hAnsi="Garamond"/>
          <w:sz w:val="22"/>
          <w:szCs w:val="22"/>
        </w:rPr>
      </w:pPr>
    </w:p>
    <w:p w14:paraId="215269BF" w14:textId="77777777" w:rsidR="003A3042" w:rsidRPr="00320DDF" w:rsidRDefault="003A3042" w:rsidP="006E600B">
      <w:pPr>
        <w:pStyle w:val="BodyText"/>
        <w:spacing w:line="360" w:lineRule="auto"/>
        <w:jc w:val="center"/>
        <w:rPr>
          <w:rFonts w:ascii="Garamond" w:hAnsi="Garamond"/>
          <w:b/>
        </w:rPr>
      </w:pPr>
      <w:r w:rsidRPr="00320DDF">
        <w:rPr>
          <w:rFonts w:ascii="Garamond" w:hAnsi="Garamond"/>
          <w:b/>
        </w:rPr>
        <w:t xml:space="preserve">The CBA Board Meeting of </w:t>
      </w:r>
      <w:r w:rsidR="002B3484" w:rsidRPr="00320DDF">
        <w:rPr>
          <w:rFonts w:ascii="Garamond" w:hAnsi="Garamond"/>
          <w:b/>
        </w:rPr>
        <w:t>May</w:t>
      </w:r>
      <w:r w:rsidR="006E600B" w:rsidRPr="00320DDF">
        <w:rPr>
          <w:rFonts w:ascii="Garamond" w:hAnsi="Garamond"/>
          <w:b/>
          <w:bCs/>
        </w:rPr>
        <w:t xml:space="preserve"> 1</w:t>
      </w:r>
      <w:r w:rsidR="002B3484" w:rsidRPr="00320DDF">
        <w:rPr>
          <w:rFonts w:ascii="Garamond" w:hAnsi="Garamond"/>
          <w:b/>
          <w:bCs/>
        </w:rPr>
        <w:t>6</w:t>
      </w:r>
      <w:r w:rsidR="006E600B" w:rsidRPr="00320DDF">
        <w:rPr>
          <w:rFonts w:ascii="Garamond" w:hAnsi="Garamond"/>
          <w:b/>
          <w:bCs/>
        </w:rPr>
        <w:t>, 2017</w:t>
      </w:r>
      <w:r w:rsidRPr="00320DDF">
        <w:rPr>
          <w:rFonts w:ascii="Garamond" w:hAnsi="Garamond"/>
          <w:b/>
        </w:rPr>
        <w:t xml:space="preserve"> attended by Chairman</w:t>
      </w:r>
      <w:r w:rsidR="002B3484" w:rsidRPr="00320DDF">
        <w:rPr>
          <w:rFonts w:ascii="Garamond" w:hAnsi="Garamond"/>
          <w:b/>
        </w:rPr>
        <w:t xml:space="preserve"> Arthur Javadyan, Deputy Chairman </w:t>
      </w:r>
      <w:proofErr w:type="spellStart"/>
      <w:r w:rsidR="002B3484" w:rsidRPr="00320DDF">
        <w:rPr>
          <w:rFonts w:ascii="Garamond" w:hAnsi="Garamond"/>
          <w:b/>
        </w:rPr>
        <w:t>Nerses</w:t>
      </w:r>
      <w:proofErr w:type="spellEnd"/>
      <w:r w:rsidR="002B3484" w:rsidRPr="00320DDF">
        <w:rPr>
          <w:rFonts w:ascii="Garamond" w:hAnsi="Garamond"/>
          <w:b/>
        </w:rPr>
        <w:t xml:space="preserve"> </w:t>
      </w:r>
      <w:proofErr w:type="spellStart"/>
      <w:r w:rsidR="002B3484" w:rsidRPr="00320DDF">
        <w:rPr>
          <w:rFonts w:ascii="Garamond" w:hAnsi="Garamond"/>
          <w:b/>
        </w:rPr>
        <w:t>Yeritsyan</w:t>
      </w:r>
      <w:proofErr w:type="spellEnd"/>
      <w:r w:rsidRPr="00320DDF">
        <w:rPr>
          <w:rFonts w:ascii="Garamond" w:hAnsi="Garamond"/>
          <w:b/>
        </w:rPr>
        <w:t xml:space="preserve">, and Board Members Ashot Mkrtchyan, Arthur Stepanyan, Armenak Darbinyan, Oleg </w:t>
      </w:r>
      <w:proofErr w:type="spellStart"/>
      <w:r w:rsidRPr="00320DDF">
        <w:rPr>
          <w:rFonts w:ascii="Garamond" w:hAnsi="Garamond"/>
          <w:b/>
        </w:rPr>
        <w:t>Aghasyan</w:t>
      </w:r>
      <w:proofErr w:type="spellEnd"/>
      <w:r w:rsidRPr="00320DDF">
        <w:rPr>
          <w:rFonts w:ascii="Garamond" w:hAnsi="Garamond"/>
          <w:b/>
        </w:rPr>
        <w:t xml:space="preserve"> and </w:t>
      </w:r>
      <w:proofErr w:type="spellStart"/>
      <w:r w:rsidRPr="00320DDF">
        <w:rPr>
          <w:rFonts w:ascii="Garamond" w:hAnsi="Garamond"/>
          <w:b/>
        </w:rPr>
        <w:t>Arkadi</w:t>
      </w:r>
      <w:proofErr w:type="spellEnd"/>
      <w:r w:rsidRPr="00320DDF">
        <w:rPr>
          <w:rFonts w:ascii="Garamond" w:hAnsi="Garamond"/>
          <w:b/>
        </w:rPr>
        <w:t xml:space="preserve"> Khachatryan.</w:t>
      </w:r>
    </w:p>
    <w:p w14:paraId="71AF89B1" w14:textId="77777777" w:rsidR="003A3042" w:rsidRPr="00320DDF" w:rsidRDefault="003A3042" w:rsidP="003A3042">
      <w:pPr>
        <w:spacing w:line="360" w:lineRule="auto"/>
        <w:jc w:val="both"/>
        <w:rPr>
          <w:rFonts w:ascii="Garamond" w:hAnsi="Garamond"/>
          <w:sz w:val="22"/>
          <w:szCs w:val="22"/>
        </w:rPr>
      </w:pPr>
    </w:p>
    <w:p w14:paraId="76424C2D"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 xml:space="preserve">The Board meeting opened with presentation of Situation Report as of </w:t>
      </w:r>
      <w:r w:rsidR="002B3484" w:rsidRPr="00320DDF">
        <w:rPr>
          <w:rFonts w:ascii="Garamond" w:hAnsi="Garamond"/>
          <w:sz w:val="22"/>
          <w:szCs w:val="22"/>
        </w:rPr>
        <w:t>May</w:t>
      </w:r>
      <w:r w:rsidR="006E600B" w:rsidRPr="00320DDF">
        <w:rPr>
          <w:rFonts w:ascii="Garamond" w:hAnsi="Garamond"/>
          <w:bCs/>
          <w:sz w:val="22"/>
          <w:szCs w:val="22"/>
        </w:rPr>
        <w:t xml:space="preserve"> 1</w:t>
      </w:r>
      <w:r w:rsidR="002B3484" w:rsidRPr="00320DDF">
        <w:rPr>
          <w:rFonts w:ascii="Garamond" w:hAnsi="Garamond"/>
          <w:bCs/>
          <w:sz w:val="22"/>
          <w:szCs w:val="22"/>
        </w:rPr>
        <w:t>6</w:t>
      </w:r>
      <w:r w:rsidR="006E600B" w:rsidRPr="00320DDF">
        <w:rPr>
          <w:rFonts w:ascii="Garamond" w:hAnsi="Garamond"/>
          <w:bCs/>
          <w:sz w:val="22"/>
          <w:szCs w:val="22"/>
        </w:rPr>
        <w:t>, 2017</w:t>
      </w:r>
      <w:r w:rsidRPr="00320DDF">
        <w:rPr>
          <w:rFonts w:ascii="Garamond" w:hAnsi="Garamond"/>
          <w:sz w:val="22"/>
          <w:szCs w:val="22"/>
        </w:rPr>
        <w:t xml:space="preserve">. It addressed current developments on inflation, external environment and real, fiscal and monetary sectors of the economy. </w:t>
      </w:r>
    </w:p>
    <w:p w14:paraId="6871445E" w14:textId="77777777" w:rsidR="003A3042" w:rsidRPr="00320DDF" w:rsidRDefault="003A3042" w:rsidP="003A3042">
      <w:pPr>
        <w:spacing w:line="360" w:lineRule="auto"/>
        <w:jc w:val="both"/>
        <w:rPr>
          <w:rFonts w:ascii="Garamond" w:hAnsi="Garamond"/>
          <w:sz w:val="22"/>
          <w:szCs w:val="22"/>
        </w:rPr>
      </w:pPr>
    </w:p>
    <w:p w14:paraId="5C58CB40" w14:textId="77777777" w:rsidR="00CD734C" w:rsidRPr="00320DDF" w:rsidRDefault="003A3042" w:rsidP="003A3042">
      <w:pPr>
        <w:spacing w:line="360" w:lineRule="auto"/>
        <w:jc w:val="both"/>
        <w:rPr>
          <w:rFonts w:ascii="Garamond" w:hAnsi="Garamond"/>
          <w:sz w:val="22"/>
          <w:szCs w:val="22"/>
        </w:rPr>
      </w:pPr>
      <w:r w:rsidRPr="00320DDF">
        <w:rPr>
          <w:rFonts w:ascii="Garamond" w:hAnsi="Garamond"/>
          <w:sz w:val="22"/>
          <w:szCs w:val="22"/>
        </w:rPr>
        <w:t>The</w:t>
      </w:r>
      <w:r w:rsidR="006E600B" w:rsidRPr="00320DDF">
        <w:rPr>
          <w:rFonts w:ascii="Garamond" w:hAnsi="Garamond"/>
          <w:sz w:val="22"/>
          <w:szCs w:val="22"/>
        </w:rPr>
        <w:t xml:space="preserve">re was </w:t>
      </w:r>
      <w:r w:rsidR="002B3484" w:rsidRPr="00320DDF">
        <w:rPr>
          <w:rFonts w:ascii="Garamond" w:hAnsi="Garamond"/>
          <w:sz w:val="22"/>
          <w:szCs w:val="22"/>
        </w:rPr>
        <w:t>1</w:t>
      </w:r>
      <w:r w:rsidR="006E600B" w:rsidRPr="00320DDF">
        <w:rPr>
          <w:rFonts w:ascii="Garamond" w:hAnsi="Garamond"/>
          <w:sz w:val="22"/>
          <w:szCs w:val="22"/>
        </w:rPr>
        <w:t>.</w:t>
      </w:r>
      <w:r w:rsidR="002B3484" w:rsidRPr="00320DDF">
        <w:rPr>
          <w:rFonts w:ascii="Garamond" w:hAnsi="Garamond"/>
          <w:sz w:val="22"/>
          <w:szCs w:val="22"/>
        </w:rPr>
        <w:t>0</w:t>
      </w:r>
      <w:r w:rsidR="006E600B" w:rsidRPr="00320DDF">
        <w:rPr>
          <w:rFonts w:ascii="Garamond" w:hAnsi="Garamond"/>
          <w:sz w:val="22"/>
          <w:szCs w:val="22"/>
        </w:rPr>
        <w:t xml:space="preserve">% of inflation in </w:t>
      </w:r>
      <w:r w:rsidR="002B3484" w:rsidRPr="00320DDF">
        <w:rPr>
          <w:rFonts w:ascii="Garamond" w:hAnsi="Garamond"/>
          <w:sz w:val="22"/>
          <w:szCs w:val="22"/>
        </w:rPr>
        <w:t>April</w:t>
      </w:r>
      <w:r w:rsidR="006E600B" w:rsidRPr="00320DDF">
        <w:rPr>
          <w:rFonts w:ascii="Garamond" w:hAnsi="Garamond"/>
          <w:sz w:val="22"/>
          <w:szCs w:val="22"/>
        </w:rPr>
        <w:t xml:space="preserve"> 2017 </w:t>
      </w:r>
      <w:r w:rsidR="00F93140" w:rsidRPr="00320DDF">
        <w:rPr>
          <w:rFonts w:ascii="Garamond" w:hAnsi="Garamond"/>
          <w:sz w:val="22"/>
          <w:szCs w:val="22"/>
        </w:rPr>
        <w:t>against 0</w:t>
      </w:r>
      <w:r w:rsidR="006E600B" w:rsidRPr="00320DDF">
        <w:rPr>
          <w:rFonts w:ascii="Garamond" w:hAnsi="Garamond"/>
          <w:sz w:val="22"/>
          <w:szCs w:val="22"/>
        </w:rPr>
        <w:t>.</w:t>
      </w:r>
      <w:r w:rsidR="00F93140" w:rsidRPr="00320DDF">
        <w:rPr>
          <w:rFonts w:ascii="Garamond" w:hAnsi="Garamond"/>
          <w:sz w:val="22"/>
          <w:szCs w:val="22"/>
        </w:rPr>
        <w:t>3</w:t>
      </w:r>
      <w:r w:rsidR="006E600B" w:rsidRPr="00320DDF">
        <w:rPr>
          <w:rFonts w:ascii="Garamond" w:hAnsi="Garamond"/>
          <w:sz w:val="22"/>
          <w:szCs w:val="22"/>
        </w:rPr>
        <w:t xml:space="preserve">% </w:t>
      </w:r>
      <w:r w:rsidR="00F93140" w:rsidRPr="00320DDF">
        <w:rPr>
          <w:rFonts w:ascii="Garamond" w:hAnsi="Garamond"/>
          <w:sz w:val="22"/>
          <w:szCs w:val="22"/>
        </w:rPr>
        <w:t xml:space="preserve">of deflation </w:t>
      </w:r>
      <w:r w:rsidR="006E600B" w:rsidRPr="00320DDF">
        <w:rPr>
          <w:rFonts w:ascii="Garamond" w:hAnsi="Garamond"/>
          <w:sz w:val="22"/>
          <w:szCs w:val="22"/>
        </w:rPr>
        <w:t xml:space="preserve">recorded in the same month of the previous year, in which case the </w:t>
      </w:r>
      <w:r w:rsidR="00F93140" w:rsidRPr="00320DDF">
        <w:rPr>
          <w:rFonts w:ascii="Garamond" w:hAnsi="Garamond"/>
          <w:sz w:val="22"/>
          <w:szCs w:val="22"/>
        </w:rPr>
        <w:t>12-month in</w:t>
      </w:r>
      <w:r w:rsidRPr="00320DDF">
        <w:rPr>
          <w:rFonts w:ascii="Garamond" w:hAnsi="Garamond"/>
          <w:sz w:val="22"/>
          <w:szCs w:val="22"/>
        </w:rPr>
        <w:t xml:space="preserve">flation rate </w:t>
      </w:r>
      <w:r w:rsidR="00F93140" w:rsidRPr="00320DDF">
        <w:rPr>
          <w:rFonts w:ascii="Garamond" w:hAnsi="Garamond"/>
          <w:sz w:val="22"/>
          <w:szCs w:val="22"/>
        </w:rPr>
        <w:t>has increased</w:t>
      </w:r>
      <w:r w:rsidRPr="00320DDF">
        <w:rPr>
          <w:rFonts w:ascii="Garamond" w:hAnsi="Garamond"/>
          <w:sz w:val="22"/>
          <w:szCs w:val="22"/>
        </w:rPr>
        <w:t xml:space="preserve">, reaching </w:t>
      </w:r>
      <w:r w:rsidR="00F93140" w:rsidRPr="00320DDF">
        <w:rPr>
          <w:rFonts w:ascii="Garamond" w:hAnsi="Garamond"/>
          <w:sz w:val="22"/>
          <w:szCs w:val="22"/>
        </w:rPr>
        <w:t>1</w:t>
      </w:r>
      <w:r w:rsidRPr="00320DDF">
        <w:rPr>
          <w:rFonts w:ascii="Garamond" w:hAnsi="Garamond"/>
          <w:sz w:val="22"/>
          <w:szCs w:val="22"/>
        </w:rPr>
        <w:t>.</w:t>
      </w:r>
      <w:r w:rsidR="00F93140" w:rsidRPr="00320DDF">
        <w:rPr>
          <w:rFonts w:ascii="Garamond" w:hAnsi="Garamond"/>
          <w:sz w:val="22"/>
          <w:szCs w:val="22"/>
        </w:rPr>
        <w:t>2</w:t>
      </w:r>
      <w:r w:rsidRPr="00320DDF">
        <w:rPr>
          <w:rFonts w:ascii="Garamond" w:hAnsi="Garamond"/>
          <w:sz w:val="22"/>
          <w:szCs w:val="22"/>
        </w:rPr>
        <w:t>%</w:t>
      </w:r>
      <w:r w:rsidR="00F93140" w:rsidRPr="00320DDF">
        <w:rPr>
          <w:rFonts w:ascii="Garamond" w:hAnsi="Garamond"/>
          <w:sz w:val="22"/>
          <w:szCs w:val="22"/>
        </w:rPr>
        <w:t xml:space="preserve"> at the end of the month</w:t>
      </w:r>
      <w:r w:rsidRPr="00320DDF">
        <w:rPr>
          <w:rFonts w:ascii="Garamond" w:hAnsi="Garamond"/>
          <w:sz w:val="22"/>
          <w:szCs w:val="22"/>
        </w:rPr>
        <w:t xml:space="preserve">. </w:t>
      </w:r>
      <w:r w:rsidR="005F710B" w:rsidRPr="00320DDF">
        <w:rPr>
          <w:rFonts w:ascii="Garamond" w:hAnsi="Garamond"/>
          <w:sz w:val="22"/>
          <w:szCs w:val="22"/>
        </w:rPr>
        <w:t xml:space="preserve">Such a high inflation registered in April (average inflation of the same month in the last 6 years has been -0.2%) was mainly due to a </w:t>
      </w:r>
      <w:r w:rsidR="00CD734C" w:rsidRPr="00320DDF">
        <w:rPr>
          <w:rFonts w:ascii="Garamond" w:hAnsi="Garamond"/>
          <w:sz w:val="22"/>
          <w:szCs w:val="22"/>
        </w:rPr>
        <w:t xml:space="preserve">1.8% </w:t>
      </w:r>
      <w:r w:rsidR="005F710B" w:rsidRPr="00320DDF">
        <w:rPr>
          <w:rFonts w:ascii="Garamond" w:hAnsi="Garamond"/>
          <w:sz w:val="22"/>
          <w:szCs w:val="22"/>
        </w:rPr>
        <w:t>rise in prices of food products</w:t>
      </w:r>
      <w:r w:rsidR="00CD734C" w:rsidRPr="00320DDF">
        <w:rPr>
          <w:rFonts w:ascii="Garamond" w:hAnsi="Garamond"/>
          <w:sz w:val="22"/>
          <w:szCs w:val="22"/>
        </w:rPr>
        <w:t xml:space="preserve">, having </w:t>
      </w:r>
      <w:r w:rsidR="005F710B" w:rsidRPr="00320DDF">
        <w:rPr>
          <w:rFonts w:ascii="Garamond" w:hAnsi="Garamond"/>
          <w:sz w:val="22"/>
          <w:szCs w:val="22"/>
        </w:rPr>
        <w:t>contributed to headline inflation by 0.8 p</w:t>
      </w:r>
      <w:r w:rsidR="00CD734C" w:rsidRPr="00320DDF">
        <w:rPr>
          <w:rFonts w:ascii="Garamond" w:hAnsi="Garamond"/>
          <w:sz w:val="22"/>
          <w:szCs w:val="22"/>
        </w:rPr>
        <w:t>p</w:t>
      </w:r>
      <w:r w:rsidR="005F710B" w:rsidRPr="00320DDF">
        <w:rPr>
          <w:rFonts w:ascii="Garamond" w:hAnsi="Garamond"/>
          <w:sz w:val="22"/>
          <w:szCs w:val="22"/>
        </w:rPr>
        <w:t>.</w:t>
      </w:r>
      <w:r w:rsidR="00CD734C" w:rsidRPr="00320DDF">
        <w:rPr>
          <w:rFonts w:ascii="Garamond" w:hAnsi="Garamond"/>
          <w:sz w:val="22"/>
          <w:szCs w:val="22"/>
        </w:rPr>
        <w:t xml:space="preserve"> The 12-month inflation rate has incurred mostly the influence of supply-side factors, to which the Central Bank normally reacts </w:t>
      </w:r>
      <w:r w:rsidR="003F29B6" w:rsidRPr="00320DDF">
        <w:rPr>
          <w:rFonts w:ascii="Garamond" w:hAnsi="Garamond"/>
          <w:sz w:val="22"/>
          <w:szCs w:val="22"/>
        </w:rPr>
        <w:t>partially</w:t>
      </w:r>
      <w:r w:rsidR="00CD734C" w:rsidRPr="00320DDF">
        <w:rPr>
          <w:rFonts w:ascii="Garamond" w:hAnsi="Garamond"/>
          <w:sz w:val="22"/>
          <w:szCs w:val="22"/>
        </w:rPr>
        <w:t>, especially when core inflation continues recovering in line with the expected rates. It was estimated that a faster re</w:t>
      </w:r>
      <w:r w:rsidR="003F29B6" w:rsidRPr="00320DDF">
        <w:rPr>
          <w:rFonts w:ascii="Garamond" w:hAnsi="Garamond"/>
          <w:sz w:val="22"/>
          <w:szCs w:val="22"/>
        </w:rPr>
        <w:t>bounding of</w:t>
      </w:r>
      <w:r w:rsidR="00CD734C" w:rsidRPr="00320DDF">
        <w:rPr>
          <w:rFonts w:ascii="Garamond" w:hAnsi="Garamond"/>
          <w:sz w:val="22"/>
          <w:szCs w:val="22"/>
        </w:rPr>
        <w:t xml:space="preserve"> aggregate demand would </w:t>
      </w:r>
      <w:r w:rsidR="003F29B6" w:rsidRPr="00320DDF">
        <w:rPr>
          <w:rFonts w:ascii="Garamond" w:hAnsi="Garamond"/>
          <w:sz w:val="22"/>
          <w:szCs w:val="22"/>
        </w:rPr>
        <w:t>lead the core inflation to recover rapidly than anticipated</w:t>
      </w:r>
      <w:r w:rsidR="00CD734C" w:rsidRPr="00320DDF">
        <w:rPr>
          <w:rFonts w:ascii="Garamond" w:hAnsi="Garamond"/>
          <w:sz w:val="22"/>
          <w:szCs w:val="22"/>
        </w:rPr>
        <w:t>, and</w:t>
      </w:r>
      <w:r w:rsidR="003F29B6" w:rsidRPr="00320DDF">
        <w:rPr>
          <w:rFonts w:ascii="Garamond" w:hAnsi="Garamond"/>
          <w:sz w:val="22"/>
          <w:szCs w:val="22"/>
        </w:rPr>
        <w:t xml:space="preserve"> that </w:t>
      </w:r>
      <w:r w:rsidR="00CD734C" w:rsidRPr="00320DDF">
        <w:rPr>
          <w:rFonts w:ascii="Garamond" w:hAnsi="Garamond"/>
          <w:sz w:val="22"/>
          <w:szCs w:val="22"/>
        </w:rPr>
        <w:t xml:space="preserve">the 12-month inflation </w:t>
      </w:r>
      <w:r w:rsidR="003F29B6" w:rsidRPr="00320DDF">
        <w:rPr>
          <w:rFonts w:ascii="Garamond" w:hAnsi="Garamond"/>
          <w:sz w:val="22"/>
          <w:szCs w:val="22"/>
        </w:rPr>
        <w:t xml:space="preserve">rate would </w:t>
      </w:r>
      <w:r w:rsidR="00CD734C" w:rsidRPr="00320DDF">
        <w:rPr>
          <w:rFonts w:ascii="Garamond" w:hAnsi="Garamond"/>
          <w:sz w:val="22"/>
          <w:szCs w:val="22"/>
        </w:rPr>
        <w:t xml:space="preserve">be </w:t>
      </w:r>
      <w:r w:rsidR="003F29B6" w:rsidRPr="00320DDF">
        <w:rPr>
          <w:rFonts w:ascii="Garamond" w:hAnsi="Garamond"/>
          <w:sz w:val="22"/>
          <w:szCs w:val="22"/>
        </w:rPr>
        <w:t>with</w:t>
      </w:r>
      <w:r w:rsidR="00CD734C" w:rsidRPr="00320DDF">
        <w:rPr>
          <w:rFonts w:ascii="Garamond" w:hAnsi="Garamond"/>
          <w:sz w:val="22"/>
          <w:szCs w:val="22"/>
        </w:rPr>
        <w:t xml:space="preserve">in the </w:t>
      </w:r>
      <w:r w:rsidR="003F29B6" w:rsidRPr="00320DDF">
        <w:rPr>
          <w:rFonts w:ascii="Garamond" w:hAnsi="Garamond"/>
          <w:sz w:val="22"/>
          <w:szCs w:val="22"/>
        </w:rPr>
        <w:t xml:space="preserve">confidence </w:t>
      </w:r>
      <w:r w:rsidR="00CD734C" w:rsidRPr="00320DDF">
        <w:rPr>
          <w:rFonts w:ascii="Garamond" w:hAnsi="Garamond"/>
          <w:sz w:val="22"/>
          <w:szCs w:val="22"/>
        </w:rPr>
        <w:t>band</w:t>
      </w:r>
      <w:r w:rsidR="003F29B6" w:rsidRPr="00320DDF">
        <w:rPr>
          <w:rFonts w:ascii="Garamond" w:hAnsi="Garamond"/>
          <w:sz w:val="22"/>
          <w:szCs w:val="22"/>
        </w:rPr>
        <w:t xml:space="preserve"> during the year</w:t>
      </w:r>
      <w:r w:rsidR="00CD734C" w:rsidRPr="00320DDF">
        <w:rPr>
          <w:rFonts w:ascii="Garamond" w:hAnsi="Garamond"/>
          <w:sz w:val="22"/>
          <w:szCs w:val="22"/>
        </w:rPr>
        <w:t xml:space="preserve">. It was also noted that inflation risks </w:t>
      </w:r>
      <w:r w:rsidR="003F29B6" w:rsidRPr="00320DDF">
        <w:rPr>
          <w:rFonts w:ascii="Garamond" w:hAnsi="Garamond"/>
          <w:sz w:val="22"/>
          <w:szCs w:val="22"/>
        </w:rPr>
        <w:t>we</w:t>
      </w:r>
      <w:r w:rsidR="00CD734C" w:rsidRPr="00320DDF">
        <w:rPr>
          <w:rFonts w:ascii="Garamond" w:hAnsi="Garamond"/>
          <w:sz w:val="22"/>
          <w:szCs w:val="22"/>
        </w:rPr>
        <w:t xml:space="preserve">re </w:t>
      </w:r>
      <w:r w:rsidR="003F29B6" w:rsidRPr="00320DDF">
        <w:rPr>
          <w:rFonts w:ascii="Garamond" w:hAnsi="Garamond"/>
          <w:sz w:val="22"/>
          <w:szCs w:val="22"/>
        </w:rPr>
        <w:t xml:space="preserve">now </w:t>
      </w:r>
      <w:r w:rsidR="00CD734C" w:rsidRPr="00320DDF">
        <w:rPr>
          <w:rFonts w:ascii="Garamond" w:hAnsi="Garamond"/>
          <w:sz w:val="22"/>
          <w:szCs w:val="22"/>
        </w:rPr>
        <w:t>balanced.</w:t>
      </w:r>
    </w:p>
    <w:p w14:paraId="557A2ED0" w14:textId="77777777" w:rsidR="003F29B6" w:rsidRPr="00320DDF" w:rsidRDefault="003F29B6" w:rsidP="003A3042">
      <w:pPr>
        <w:spacing w:line="360" w:lineRule="auto"/>
        <w:jc w:val="both"/>
        <w:rPr>
          <w:rFonts w:ascii="Garamond" w:hAnsi="Garamond"/>
          <w:sz w:val="22"/>
          <w:szCs w:val="22"/>
        </w:rPr>
      </w:pPr>
    </w:p>
    <w:p w14:paraId="4B62D63A" w14:textId="77777777" w:rsidR="003F29B6" w:rsidRPr="00320DDF" w:rsidRDefault="00760307" w:rsidP="003A3042">
      <w:pPr>
        <w:spacing w:line="360" w:lineRule="auto"/>
        <w:jc w:val="both"/>
        <w:rPr>
          <w:rFonts w:ascii="Garamond" w:hAnsi="Garamond"/>
          <w:sz w:val="22"/>
          <w:szCs w:val="22"/>
        </w:rPr>
      </w:pPr>
      <w:r w:rsidRPr="00320DDF">
        <w:rPr>
          <w:rFonts w:ascii="Garamond" w:hAnsi="Garamond"/>
          <w:sz w:val="22"/>
          <w:szCs w:val="22"/>
        </w:rPr>
        <w:t>For e</w:t>
      </w:r>
      <w:r w:rsidR="003F29B6" w:rsidRPr="00320DDF">
        <w:rPr>
          <w:rFonts w:ascii="Garamond" w:hAnsi="Garamond"/>
          <w:sz w:val="22"/>
          <w:szCs w:val="22"/>
        </w:rPr>
        <w:t>xternal sector developments</w:t>
      </w:r>
      <w:r w:rsidR="008274F3" w:rsidRPr="00320DDF">
        <w:rPr>
          <w:rFonts w:ascii="Garamond" w:hAnsi="Garamond"/>
          <w:sz w:val="22"/>
          <w:szCs w:val="22"/>
        </w:rPr>
        <w:t>,</w:t>
      </w:r>
      <w:r w:rsidRPr="00320DDF">
        <w:rPr>
          <w:rFonts w:ascii="Garamond" w:hAnsi="Garamond"/>
          <w:sz w:val="22"/>
          <w:szCs w:val="22"/>
        </w:rPr>
        <w:t xml:space="preserve"> </w:t>
      </w:r>
      <w:r w:rsidR="003F29B6" w:rsidRPr="00320DDF">
        <w:rPr>
          <w:rFonts w:ascii="Garamond" w:hAnsi="Garamond"/>
          <w:sz w:val="22"/>
          <w:szCs w:val="22"/>
        </w:rPr>
        <w:t xml:space="preserve">it was </w:t>
      </w:r>
      <w:r w:rsidR="002C4F37" w:rsidRPr="00320DDF">
        <w:rPr>
          <w:rFonts w:ascii="Garamond" w:hAnsi="Garamond"/>
          <w:sz w:val="22"/>
          <w:szCs w:val="22"/>
        </w:rPr>
        <w:t xml:space="preserve">noted </w:t>
      </w:r>
      <w:r w:rsidR="003F29B6" w:rsidRPr="00320DDF">
        <w:rPr>
          <w:rFonts w:ascii="Garamond" w:hAnsi="Garamond"/>
          <w:sz w:val="22"/>
          <w:szCs w:val="22"/>
        </w:rPr>
        <w:t xml:space="preserve">that in spite of </w:t>
      </w:r>
      <w:r w:rsidRPr="00320DDF">
        <w:rPr>
          <w:rFonts w:ascii="Garamond" w:hAnsi="Garamond"/>
          <w:sz w:val="22"/>
          <w:szCs w:val="22"/>
        </w:rPr>
        <w:t xml:space="preserve">price deflation in </w:t>
      </w:r>
      <w:r w:rsidR="003F29B6" w:rsidRPr="00320DDF">
        <w:rPr>
          <w:rFonts w:ascii="Garamond" w:hAnsi="Garamond"/>
          <w:sz w:val="22"/>
          <w:szCs w:val="22"/>
        </w:rPr>
        <w:t xml:space="preserve">the main food </w:t>
      </w:r>
      <w:r w:rsidRPr="00320DDF">
        <w:rPr>
          <w:rFonts w:ascii="Garamond" w:hAnsi="Garamond"/>
          <w:sz w:val="22"/>
          <w:szCs w:val="22"/>
        </w:rPr>
        <w:t xml:space="preserve">product </w:t>
      </w:r>
      <w:r w:rsidR="003F29B6" w:rsidRPr="00320DDF">
        <w:rPr>
          <w:rFonts w:ascii="Garamond" w:hAnsi="Garamond"/>
          <w:sz w:val="22"/>
          <w:szCs w:val="22"/>
        </w:rPr>
        <w:t>market</w:t>
      </w:r>
      <w:r w:rsidRPr="00320DDF">
        <w:rPr>
          <w:rFonts w:ascii="Garamond" w:hAnsi="Garamond"/>
          <w:sz w:val="22"/>
          <w:szCs w:val="22"/>
        </w:rPr>
        <w:t>s</w:t>
      </w:r>
      <w:r w:rsidR="003F29B6" w:rsidRPr="00320DDF">
        <w:rPr>
          <w:rFonts w:ascii="Garamond" w:hAnsi="Garamond"/>
          <w:sz w:val="22"/>
          <w:szCs w:val="22"/>
        </w:rPr>
        <w:t xml:space="preserve"> in April (Food and Agriculture </w:t>
      </w:r>
      <w:r w:rsidRPr="00320DDF">
        <w:rPr>
          <w:rFonts w:ascii="Garamond" w:hAnsi="Garamond"/>
          <w:sz w:val="22"/>
          <w:szCs w:val="22"/>
        </w:rPr>
        <w:t xml:space="preserve">Organization’s (FAO) Food Price Index of May 4th of 2017 fell in April by 1.8% against the previous month’s index, </w:t>
      </w:r>
      <w:r w:rsidR="002C4F37" w:rsidRPr="00320DDF">
        <w:rPr>
          <w:rFonts w:ascii="Garamond" w:hAnsi="Garamond"/>
          <w:sz w:val="22"/>
          <w:szCs w:val="22"/>
        </w:rPr>
        <w:t>yet it had risen by around 10.0% over the same reference period last year)</w:t>
      </w:r>
      <w:r w:rsidR="003F29B6" w:rsidRPr="00320DDF">
        <w:rPr>
          <w:rFonts w:ascii="Garamond" w:hAnsi="Garamond"/>
          <w:sz w:val="22"/>
          <w:szCs w:val="22"/>
        </w:rPr>
        <w:t xml:space="preserve"> published on May 4, the food price index in April fell by 1.8% the previous month while over the same period last year increased by 10.0 percent), </w:t>
      </w:r>
      <w:r w:rsidR="002C4F37" w:rsidRPr="00320DDF">
        <w:rPr>
          <w:rFonts w:ascii="Garamond" w:hAnsi="Garamond"/>
          <w:sz w:val="22"/>
          <w:szCs w:val="22"/>
        </w:rPr>
        <w:t xml:space="preserve">minor </w:t>
      </w:r>
      <w:r w:rsidR="003F29B6" w:rsidRPr="00320DDF">
        <w:rPr>
          <w:rFonts w:ascii="Garamond" w:hAnsi="Garamond"/>
          <w:sz w:val="22"/>
          <w:szCs w:val="22"/>
        </w:rPr>
        <w:t>inflationary trends will largely be p</w:t>
      </w:r>
      <w:r w:rsidR="002C4F37" w:rsidRPr="00320DDF">
        <w:rPr>
          <w:rFonts w:ascii="Garamond" w:hAnsi="Garamond"/>
          <w:sz w:val="22"/>
          <w:szCs w:val="22"/>
        </w:rPr>
        <w:t>ersisting in short-term and medium-term perspectives, according to the Central Bank estimate</w:t>
      </w:r>
      <w:r w:rsidR="003F29B6" w:rsidRPr="00320DDF">
        <w:rPr>
          <w:rFonts w:ascii="Garamond" w:hAnsi="Garamond"/>
          <w:sz w:val="22"/>
          <w:szCs w:val="22"/>
        </w:rPr>
        <w:t>.</w:t>
      </w:r>
    </w:p>
    <w:p w14:paraId="29C141CB" w14:textId="77777777" w:rsidR="002C4F37" w:rsidRPr="00320DDF" w:rsidRDefault="002C4F37" w:rsidP="003A3042">
      <w:pPr>
        <w:spacing w:line="360" w:lineRule="auto"/>
        <w:jc w:val="both"/>
        <w:rPr>
          <w:rFonts w:ascii="Garamond" w:hAnsi="Garamond"/>
          <w:sz w:val="22"/>
          <w:szCs w:val="22"/>
        </w:rPr>
      </w:pPr>
    </w:p>
    <w:p w14:paraId="7605D099" w14:textId="77777777" w:rsidR="002C4F37" w:rsidRPr="00320DDF" w:rsidRDefault="002C4F37" w:rsidP="003A3042">
      <w:pPr>
        <w:spacing w:line="360" w:lineRule="auto"/>
        <w:jc w:val="both"/>
        <w:rPr>
          <w:rFonts w:ascii="Garamond" w:hAnsi="Garamond"/>
          <w:sz w:val="22"/>
          <w:szCs w:val="22"/>
        </w:rPr>
      </w:pPr>
      <w:r w:rsidRPr="00320DDF">
        <w:rPr>
          <w:rFonts w:ascii="Garamond" w:hAnsi="Garamond"/>
          <w:sz w:val="22"/>
          <w:szCs w:val="22"/>
        </w:rPr>
        <w:lastRenderedPageBreak/>
        <w:t>For developments in the domestic economy</w:t>
      </w:r>
      <w:r w:rsidR="008274F3" w:rsidRPr="00320DDF">
        <w:rPr>
          <w:rFonts w:ascii="Garamond" w:hAnsi="Garamond"/>
          <w:sz w:val="22"/>
          <w:szCs w:val="22"/>
        </w:rPr>
        <w:t>,</w:t>
      </w:r>
      <w:r w:rsidRPr="00320DDF">
        <w:rPr>
          <w:rFonts w:ascii="Garamond" w:hAnsi="Garamond"/>
          <w:sz w:val="22"/>
          <w:szCs w:val="22"/>
        </w:rPr>
        <w:t xml:space="preserve"> it was admitted that economic activity in the first quarter of the year proved relatively high, which has incurred mostly the effect of high </w:t>
      </w:r>
      <w:r w:rsidR="00A24E2E" w:rsidRPr="00320DDF">
        <w:rPr>
          <w:rFonts w:ascii="Garamond" w:hAnsi="Garamond"/>
          <w:sz w:val="22"/>
          <w:szCs w:val="22"/>
        </w:rPr>
        <w:t>growth reported</w:t>
      </w:r>
      <w:r w:rsidRPr="00320DDF">
        <w:rPr>
          <w:rFonts w:ascii="Garamond" w:hAnsi="Garamond"/>
          <w:sz w:val="22"/>
          <w:szCs w:val="22"/>
        </w:rPr>
        <w:t xml:space="preserve"> in </w:t>
      </w:r>
      <w:r w:rsidR="00320DDF" w:rsidRPr="00320DDF">
        <w:rPr>
          <w:rFonts w:ascii="Garamond" w:hAnsi="Garamond"/>
          <w:sz w:val="22"/>
          <w:szCs w:val="22"/>
        </w:rPr>
        <w:t xml:space="preserve">industry, </w:t>
      </w:r>
      <w:r w:rsidRPr="00320DDF">
        <w:rPr>
          <w:rFonts w:ascii="Garamond" w:hAnsi="Garamond"/>
          <w:sz w:val="22"/>
          <w:szCs w:val="22"/>
        </w:rPr>
        <w:t xml:space="preserve">services and trade sectors. As a result, </w:t>
      </w:r>
      <w:r w:rsidR="008F1811" w:rsidRPr="00320DDF">
        <w:rPr>
          <w:rFonts w:ascii="Garamond" w:hAnsi="Garamond"/>
          <w:sz w:val="22"/>
          <w:szCs w:val="22"/>
        </w:rPr>
        <w:t>the first quarter 2017 ec</w:t>
      </w:r>
      <w:r w:rsidRPr="00320DDF">
        <w:rPr>
          <w:rFonts w:ascii="Garamond" w:hAnsi="Garamond"/>
          <w:sz w:val="22"/>
          <w:szCs w:val="22"/>
        </w:rPr>
        <w:t>onomic growth is estimated at 5.0%</w:t>
      </w:r>
      <w:r w:rsidR="008F1811" w:rsidRPr="00320DDF">
        <w:rPr>
          <w:rFonts w:ascii="Garamond" w:hAnsi="Garamond"/>
          <w:sz w:val="22"/>
          <w:szCs w:val="22"/>
        </w:rPr>
        <w:t>,</w:t>
      </w:r>
      <w:r w:rsidRPr="00320DDF">
        <w:rPr>
          <w:rFonts w:ascii="Garamond" w:hAnsi="Garamond"/>
          <w:sz w:val="22"/>
          <w:szCs w:val="22"/>
        </w:rPr>
        <w:t xml:space="preserve"> which includes </w:t>
      </w:r>
      <w:r w:rsidR="008F1811" w:rsidRPr="00320DDF">
        <w:rPr>
          <w:rFonts w:ascii="Garamond" w:hAnsi="Garamond"/>
          <w:sz w:val="22"/>
          <w:szCs w:val="22"/>
        </w:rPr>
        <w:t xml:space="preserve">both </w:t>
      </w:r>
      <w:r w:rsidRPr="00320DDF">
        <w:rPr>
          <w:rFonts w:ascii="Garamond" w:hAnsi="Garamond"/>
          <w:sz w:val="22"/>
          <w:szCs w:val="22"/>
        </w:rPr>
        <w:t>supply and demand</w:t>
      </w:r>
      <w:r w:rsidR="008F1811" w:rsidRPr="00320DDF">
        <w:rPr>
          <w:rFonts w:ascii="Garamond" w:hAnsi="Garamond"/>
          <w:sz w:val="22"/>
          <w:szCs w:val="22"/>
        </w:rPr>
        <w:t xml:space="preserve"> components</w:t>
      </w:r>
      <w:r w:rsidRPr="00320DDF">
        <w:rPr>
          <w:rFonts w:ascii="Garamond" w:hAnsi="Garamond"/>
          <w:sz w:val="22"/>
          <w:szCs w:val="22"/>
        </w:rPr>
        <w:t xml:space="preserve">, </w:t>
      </w:r>
      <w:r w:rsidR="008F1811" w:rsidRPr="00320DDF">
        <w:rPr>
          <w:rFonts w:ascii="Garamond" w:hAnsi="Garamond"/>
          <w:sz w:val="22"/>
          <w:szCs w:val="22"/>
        </w:rPr>
        <w:t xml:space="preserve">based on which </w:t>
      </w:r>
      <w:r w:rsidRPr="00320DDF">
        <w:rPr>
          <w:rFonts w:ascii="Garamond" w:hAnsi="Garamond"/>
          <w:sz w:val="22"/>
          <w:szCs w:val="22"/>
        </w:rPr>
        <w:t>some of the effects w</w:t>
      </w:r>
      <w:r w:rsidR="008F1811" w:rsidRPr="00320DDF">
        <w:rPr>
          <w:rFonts w:ascii="Garamond" w:hAnsi="Garamond"/>
          <w:sz w:val="22"/>
          <w:szCs w:val="22"/>
        </w:rPr>
        <w:t>ill eliminate starting from the second quarter</w:t>
      </w:r>
      <w:r w:rsidRPr="00320DDF">
        <w:rPr>
          <w:rFonts w:ascii="Garamond" w:hAnsi="Garamond"/>
          <w:sz w:val="22"/>
          <w:szCs w:val="22"/>
        </w:rPr>
        <w:t xml:space="preserve">. However, some of them will remain in the current year, based on </w:t>
      </w:r>
      <w:r w:rsidR="008274F3" w:rsidRPr="00320DDF">
        <w:rPr>
          <w:rFonts w:ascii="Garamond" w:hAnsi="Garamond"/>
          <w:sz w:val="22"/>
          <w:szCs w:val="22"/>
        </w:rPr>
        <w:t xml:space="preserve">which </w:t>
      </w:r>
      <w:r w:rsidRPr="00320DDF">
        <w:rPr>
          <w:rFonts w:ascii="Garamond" w:hAnsi="Garamond"/>
          <w:sz w:val="22"/>
          <w:szCs w:val="22"/>
        </w:rPr>
        <w:t xml:space="preserve">the economic growth forecast for 2017 </w:t>
      </w:r>
      <w:r w:rsidR="008274F3" w:rsidRPr="00320DDF">
        <w:rPr>
          <w:rFonts w:ascii="Garamond" w:hAnsi="Garamond"/>
          <w:sz w:val="22"/>
          <w:szCs w:val="22"/>
        </w:rPr>
        <w:t xml:space="preserve">has been </w:t>
      </w:r>
      <w:r w:rsidRPr="00320DDF">
        <w:rPr>
          <w:rFonts w:ascii="Garamond" w:hAnsi="Garamond"/>
          <w:sz w:val="22"/>
          <w:szCs w:val="22"/>
        </w:rPr>
        <w:t>revised up</w:t>
      </w:r>
      <w:r w:rsidR="008274F3" w:rsidRPr="00320DDF">
        <w:rPr>
          <w:rFonts w:ascii="Garamond" w:hAnsi="Garamond"/>
          <w:sz w:val="22"/>
          <w:szCs w:val="22"/>
        </w:rPr>
        <w:t>side</w:t>
      </w:r>
      <w:r w:rsidRPr="00320DDF">
        <w:rPr>
          <w:rFonts w:ascii="Garamond" w:hAnsi="Garamond"/>
          <w:sz w:val="22"/>
          <w:szCs w:val="22"/>
        </w:rPr>
        <w:t xml:space="preserve">, 3.3-4.8% from 2.2-3.2% in the previous forecast. At the same time, </w:t>
      </w:r>
      <w:r w:rsidR="00F85DDB" w:rsidRPr="00320DDF">
        <w:rPr>
          <w:rFonts w:ascii="Garamond" w:hAnsi="Garamond"/>
          <w:sz w:val="22"/>
          <w:szCs w:val="22"/>
        </w:rPr>
        <w:t xml:space="preserve">domestic demand is recovering faster than expected, influenced by </w:t>
      </w:r>
      <w:r w:rsidRPr="00320DDF">
        <w:rPr>
          <w:rFonts w:ascii="Garamond" w:hAnsi="Garamond"/>
          <w:sz w:val="22"/>
          <w:szCs w:val="22"/>
        </w:rPr>
        <w:t>expansionary monetary and fiscal policies</w:t>
      </w:r>
      <w:r w:rsidR="00564239" w:rsidRPr="00320DDF">
        <w:rPr>
          <w:rFonts w:ascii="Garamond" w:hAnsi="Garamond"/>
          <w:sz w:val="22"/>
          <w:szCs w:val="22"/>
        </w:rPr>
        <w:t xml:space="preserve"> </w:t>
      </w:r>
      <w:r w:rsidR="00F85DDB" w:rsidRPr="00320DDF">
        <w:rPr>
          <w:rFonts w:ascii="Garamond" w:hAnsi="Garamond"/>
          <w:sz w:val="22"/>
          <w:szCs w:val="22"/>
        </w:rPr>
        <w:t>conducted in 2015-2016</w:t>
      </w:r>
      <w:r w:rsidRPr="00320DDF">
        <w:rPr>
          <w:rFonts w:ascii="Garamond" w:hAnsi="Garamond"/>
          <w:sz w:val="22"/>
          <w:szCs w:val="22"/>
        </w:rPr>
        <w:t xml:space="preserve">. </w:t>
      </w:r>
      <w:r w:rsidR="00842347" w:rsidRPr="00320DDF">
        <w:rPr>
          <w:rFonts w:ascii="Garamond" w:hAnsi="Garamond"/>
          <w:sz w:val="22"/>
          <w:szCs w:val="22"/>
        </w:rPr>
        <w:t xml:space="preserve">Rebounding aggregate demand somewhat affected </w:t>
      </w:r>
      <w:r w:rsidRPr="00320DDF">
        <w:rPr>
          <w:rFonts w:ascii="Garamond" w:hAnsi="Garamond"/>
          <w:sz w:val="22"/>
          <w:szCs w:val="22"/>
        </w:rPr>
        <w:t xml:space="preserve">the developments </w:t>
      </w:r>
      <w:r w:rsidR="00842347" w:rsidRPr="00320DDF">
        <w:rPr>
          <w:rFonts w:ascii="Garamond" w:hAnsi="Garamond"/>
          <w:sz w:val="22"/>
          <w:szCs w:val="22"/>
        </w:rPr>
        <w:t>with</w:t>
      </w:r>
      <w:r w:rsidRPr="00320DDF">
        <w:rPr>
          <w:rFonts w:ascii="Garamond" w:hAnsi="Garamond"/>
          <w:sz w:val="22"/>
          <w:szCs w:val="22"/>
        </w:rPr>
        <w:t xml:space="preserve"> the current account, leading to the accelerat</w:t>
      </w:r>
      <w:r w:rsidR="00842347" w:rsidRPr="00320DDF">
        <w:rPr>
          <w:rFonts w:ascii="Garamond" w:hAnsi="Garamond"/>
          <w:sz w:val="22"/>
          <w:szCs w:val="22"/>
        </w:rPr>
        <w:t xml:space="preserve">ed </w:t>
      </w:r>
      <w:r w:rsidRPr="00320DDF">
        <w:rPr>
          <w:rFonts w:ascii="Garamond" w:hAnsi="Garamond"/>
          <w:sz w:val="22"/>
          <w:szCs w:val="22"/>
        </w:rPr>
        <w:t xml:space="preserve">growth </w:t>
      </w:r>
      <w:r w:rsidR="00842347" w:rsidRPr="00320DDF">
        <w:rPr>
          <w:rFonts w:ascii="Garamond" w:hAnsi="Garamond"/>
          <w:sz w:val="22"/>
          <w:szCs w:val="22"/>
        </w:rPr>
        <w:t xml:space="preserve">rates </w:t>
      </w:r>
      <w:r w:rsidRPr="00320DDF">
        <w:rPr>
          <w:rFonts w:ascii="Garamond" w:hAnsi="Garamond"/>
          <w:sz w:val="22"/>
          <w:szCs w:val="22"/>
        </w:rPr>
        <w:t>in real import of goods and services</w:t>
      </w:r>
      <w:r w:rsidR="00842347" w:rsidRPr="00320DDF">
        <w:rPr>
          <w:rFonts w:ascii="Garamond" w:hAnsi="Garamond"/>
          <w:sz w:val="22"/>
          <w:szCs w:val="22"/>
        </w:rPr>
        <w:t xml:space="preserve">, as real growth rates in export of goods and services slowed down to a certain extent. </w:t>
      </w:r>
      <w:r w:rsidRPr="00320DDF">
        <w:rPr>
          <w:rFonts w:ascii="Garamond" w:hAnsi="Garamond"/>
          <w:sz w:val="22"/>
          <w:szCs w:val="22"/>
        </w:rPr>
        <w:t>In terms of aggregate demand</w:t>
      </w:r>
      <w:r w:rsidR="00842347" w:rsidRPr="00320DDF">
        <w:rPr>
          <w:rFonts w:ascii="Garamond" w:hAnsi="Garamond"/>
          <w:sz w:val="22"/>
          <w:szCs w:val="22"/>
        </w:rPr>
        <w:t>,</w:t>
      </w:r>
      <w:r w:rsidRPr="00320DDF">
        <w:rPr>
          <w:rFonts w:ascii="Garamond" w:hAnsi="Garamond"/>
          <w:sz w:val="22"/>
          <w:szCs w:val="22"/>
        </w:rPr>
        <w:t xml:space="preserve"> </w:t>
      </w:r>
      <w:r w:rsidR="00B64E44" w:rsidRPr="00320DDF">
        <w:rPr>
          <w:rFonts w:ascii="Garamond" w:hAnsi="Garamond"/>
          <w:sz w:val="22"/>
          <w:szCs w:val="22"/>
        </w:rPr>
        <w:t xml:space="preserve">the Board also </w:t>
      </w:r>
      <w:r w:rsidRPr="00320DDF">
        <w:rPr>
          <w:rFonts w:ascii="Garamond" w:hAnsi="Garamond"/>
          <w:sz w:val="22"/>
          <w:szCs w:val="22"/>
        </w:rPr>
        <w:t xml:space="preserve">highlighted the impact of </w:t>
      </w:r>
      <w:r w:rsidR="00B64E44" w:rsidRPr="00320DDF">
        <w:rPr>
          <w:rFonts w:ascii="Garamond" w:hAnsi="Garamond"/>
          <w:sz w:val="22"/>
          <w:szCs w:val="22"/>
        </w:rPr>
        <w:t xml:space="preserve">the </w:t>
      </w:r>
      <w:r w:rsidRPr="00320DDF">
        <w:rPr>
          <w:rFonts w:ascii="Garamond" w:hAnsi="Garamond"/>
          <w:sz w:val="22"/>
          <w:szCs w:val="22"/>
        </w:rPr>
        <w:t xml:space="preserve">fiscal policy </w:t>
      </w:r>
      <w:r w:rsidR="00B64E44" w:rsidRPr="00320DDF">
        <w:rPr>
          <w:rFonts w:ascii="Garamond" w:hAnsi="Garamond"/>
          <w:sz w:val="22"/>
          <w:szCs w:val="22"/>
        </w:rPr>
        <w:t xml:space="preserve">to be </w:t>
      </w:r>
      <w:r w:rsidRPr="00320DDF">
        <w:rPr>
          <w:rFonts w:ascii="Garamond" w:hAnsi="Garamond"/>
          <w:sz w:val="22"/>
          <w:szCs w:val="22"/>
        </w:rPr>
        <w:t>implemented</w:t>
      </w:r>
      <w:r w:rsidR="00B64E44" w:rsidRPr="00320DDF">
        <w:rPr>
          <w:rFonts w:ascii="Garamond" w:hAnsi="Garamond"/>
          <w:sz w:val="22"/>
          <w:szCs w:val="22"/>
        </w:rPr>
        <w:t xml:space="preserve">, which is </w:t>
      </w:r>
      <w:r w:rsidRPr="00320DDF">
        <w:rPr>
          <w:rFonts w:ascii="Garamond" w:hAnsi="Garamond"/>
          <w:sz w:val="22"/>
          <w:szCs w:val="22"/>
        </w:rPr>
        <w:t>an estimated 3.1</w:t>
      </w:r>
      <w:r w:rsidR="00034E52" w:rsidRPr="00034E52">
        <w:rPr>
          <w:rFonts w:ascii="Garamond" w:hAnsi="Garamond" w:cs="Sylfaen"/>
          <w:sz w:val="22"/>
          <w:szCs w:val="22"/>
        </w:rPr>
        <w:t xml:space="preserve"> </w:t>
      </w:r>
      <w:r w:rsidR="00034E52" w:rsidRPr="00320DDF">
        <w:rPr>
          <w:rFonts w:ascii="Garamond" w:hAnsi="Garamond" w:cs="Sylfaen"/>
          <w:sz w:val="22"/>
          <w:szCs w:val="22"/>
        </w:rPr>
        <w:t>percentage point</w:t>
      </w:r>
      <w:r w:rsidRPr="00320DDF">
        <w:rPr>
          <w:rFonts w:ascii="Garamond" w:hAnsi="Garamond"/>
          <w:sz w:val="22"/>
          <w:szCs w:val="22"/>
        </w:rPr>
        <w:t xml:space="preserve"> </w:t>
      </w:r>
      <w:r w:rsidR="00B64E44" w:rsidRPr="00320DDF">
        <w:rPr>
          <w:rFonts w:ascii="Garamond" w:hAnsi="Garamond"/>
          <w:sz w:val="22"/>
          <w:szCs w:val="22"/>
        </w:rPr>
        <w:t>contractionary for 2017</w:t>
      </w:r>
      <w:r w:rsidRPr="00320DDF">
        <w:rPr>
          <w:rFonts w:ascii="Garamond" w:hAnsi="Garamond"/>
          <w:sz w:val="22"/>
          <w:szCs w:val="22"/>
        </w:rPr>
        <w:t xml:space="preserve">, but may be adjusted depending on </w:t>
      </w:r>
      <w:r w:rsidR="00B64E44" w:rsidRPr="00320DDF">
        <w:rPr>
          <w:rFonts w:ascii="Garamond" w:hAnsi="Garamond"/>
          <w:sz w:val="22"/>
          <w:szCs w:val="22"/>
        </w:rPr>
        <w:t>how the</w:t>
      </w:r>
      <w:r w:rsidRPr="00320DDF">
        <w:rPr>
          <w:rFonts w:ascii="Garamond" w:hAnsi="Garamond"/>
          <w:sz w:val="22"/>
          <w:szCs w:val="22"/>
        </w:rPr>
        <w:t xml:space="preserve"> implementation of fiscal policy</w:t>
      </w:r>
      <w:r w:rsidR="00B64E44" w:rsidRPr="00320DDF">
        <w:rPr>
          <w:rFonts w:ascii="Garamond" w:hAnsi="Garamond"/>
          <w:sz w:val="22"/>
          <w:szCs w:val="22"/>
        </w:rPr>
        <w:t xml:space="preserve"> will unfold</w:t>
      </w:r>
      <w:r w:rsidRPr="00320DDF">
        <w:rPr>
          <w:rFonts w:ascii="Garamond" w:hAnsi="Garamond"/>
          <w:sz w:val="22"/>
          <w:szCs w:val="22"/>
        </w:rPr>
        <w:t xml:space="preserve">. As a result, </w:t>
      </w:r>
      <w:r w:rsidR="00B64E44" w:rsidRPr="00320DDF">
        <w:rPr>
          <w:rFonts w:ascii="Garamond" w:hAnsi="Garamond"/>
          <w:sz w:val="22"/>
          <w:szCs w:val="22"/>
        </w:rPr>
        <w:t xml:space="preserve">a positive GDP gap is estimated for </w:t>
      </w:r>
      <w:r w:rsidRPr="00320DDF">
        <w:rPr>
          <w:rFonts w:ascii="Garamond" w:hAnsi="Garamond"/>
          <w:sz w:val="22"/>
          <w:szCs w:val="22"/>
        </w:rPr>
        <w:t xml:space="preserve">the first quarter of </w:t>
      </w:r>
      <w:r w:rsidR="00B64E44" w:rsidRPr="00320DDF">
        <w:rPr>
          <w:rFonts w:ascii="Garamond" w:hAnsi="Garamond"/>
          <w:sz w:val="22"/>
          <w:szCs w:val="22"/>
        </w:rPr>
        <w:t xml:space="preserve">2017, which will be somewhat </w:t>
      </w:r>
      <w:r w:rsidRPr="00320DDF">
        <w:rPr>
          <w:rFonts w:ascii="Garamond" w:hAnsi="Garamond"/>
          <w:sz w:val="22"/>
          <w:szCs w:val="22"/>
        </w:rPr>
        <w:t>inflationary on domestic prices.</w:t>
      </w:r>
    </w:p>
    <w:p w14:paraId="58208533" w14:textId="77777777" w:rsidR="00AB3310" w:rsidRPr="00320DDF" w:rsidRDefault="00AB3310" w:rsidP="003A3042">
      <w:pPr>
        <w:spacing w:line="360" w:lineRule="auto"/>
        <w:jc w:val="both"/>
        <w:rPr>
          <w:rFonts w:ascii="Garamond" w:hAnsi="Garamond"/>
          <w:sz w:val="22"/>
          <w:szCs w:val="22"/>
        </w:rPr>
      </w:pPr>
    </w:p>
    <w:p w14:paraId="72A2ED09" w14:textId="77777777" w:rsidR="00AB3310" w:rsidRPr="00320DDF" w:rsidRDefault="00AB3310" w:rsidP="003A3042">
      <w:pPr>
        <w:spacing w:line="360" w:lineRule="auto"/>
        <w:jc w:val="both"/>
        <w:rPr>
          <w:rFonts w:ascii="Garamond" w:hAnsi="Garamond"/>
          <w:sz w:val="22"/>
          <w:szCs w:val="22"/>
        </w:rPr>
      </w:pPr>
      <w:r w:rsidRPr="00320DDF">
        <w:rPr>
          <w:rFonts w:ascii="Garamond" w:hAnsi="Garamond"/>
          <w:sz w:val="22"/>
          <w:szCs w:val="22"/>
        </w:rPr>
        <w:t xml:space="preserve">The Board also discussed the developments in financial market where a </w:t>
      </w:r>
      <w:r w:rsidR="005C76E4" w:rsidRPr="00320DDF">
        <w:rPr>
          <w:rFonts w:ascii="Garamond" w:hAnsi="Garamond"/>
          <w:sz w:val="22"/>
          <w:szCs w:val="22"/>
        </w:rPr>
        <w:t xml:space="preserve">further </w:t>
      </w:r>
      <w:r w:rsidRPr="00320DDF">
        <w:rPr>
          <w:rFonts w:ascii="Garamond" w:hAnsi="Garamond"/>
          <w:sz w:val="22"/>
          <w:szCs w:val="22"/>
        </w:rPr>
        <w:t>downward trend in interest rates in almost all segments has been observ</w:t>
      </w:r>
      <w:r w:rsidR="005C76E4" w:rsidRPr="00320DDF">
        <w:rPr>
          <w:rFonts w:ascii="Garamond" w:hAnsi="Garamond"/>
          <w:sz w:val="22"/>
          <w:szCs w:val="22"/>
        </w:rPr>
        <w:t>able</w:t>
      </w:r>
      <w:r w:rsidRPr="00320DDF">
        <w:rPr>
          <w:rFonts w:ascii="Garamond" w:hAnsi="Garamond"/>
          <w:sz w:val="22"/>
          <w:szCs w:val="22"/>
        </w:rPr>
        <w:t xml:space="preserve">. </w:t>
      </w:r>
      <w:r w:rsidR="005C76E4" w:rsidRPr="00320DDF">
        <w:rPr>
          <w:rFonts w:ascii="Garamond" w:hAnsi="Garamond"/>
          <w:sz w:val="22"/>
          <w:szCs w:val="22"/>
        </w:rPr>
        <w:t>It was e</w:t>
      </w:r>
      <w:r w:rsidRPr="00320DDF">
        <w:rPr>
          <w:rFonts w:ascii="Garamond" w:hAnsi="Garamond"/>
          <w:sz w:val="22"/>
          <w:szCs w:val="22"/>
        </w:rPr>
        <w:t>mphasized th</w:t>
      </w:r>
      <w:r w:rsidR="005C76E4" w:rsidRPr="00320DDF">
        <w:rPr>
          <w:rFonts w:ascii="Garamond" w:hAnsi="Garamond"/>
          <w:sz w:val="22"/>
          <w:szCs w:val="22"/>
        </w:rPr>
        <w:t>at s</w:t>
      </w:r>
      <w:r w:rsidRPr="00320DDF">
        <w:rPr>
          <w:rFonts w:ascii="Garamond" w:hAnsi="Garamond"/>
          <w:sz w:val="22"/>
          <w:szCs w:val="22"/>
        </w:rPr>
        <w:t xml:space="preserve">hort-term market rates </w:t>
      </w:r>
      <w:r w:rsidR="005C76E4" w:rsidRPr="00320DDF">
        <w:rPr>
          <w:rFonts w:ascii="Garamond" w:hAnsi="Garamond"/>
          <w:sz w:val="22"/>
          <w:szCs w:val="22"/>
        </w:rPr>
        <w:t xml:space="preserve">have been </w:t>
      </w:r>
      <w:r w:rsidRPr="00320DDF">
        <w:rPr>
          <w:rFonts w:ascii="Garamond" w:hAnsi="Garamond"/>
          <w:sz w:val="22"/>
          <w:szCs w:val="22"/>
        </w:rPr>
        <w:t>very close to the Central Bank</w:t>
      </w:r>
      <w:r w:rsidR="005C76E4" w:rsidRPr="00320DDF">
        <w:rPr>
          <w:rFonts w:ascii="Garamond" w:hAnsi="Garamond"/>
          <w:sz w:val="22"/>
          <w:szCs w:val="22"/>
        </w:rPr>
        <w:t>’</w:t>
      </w:r>
      <w:r w:rsidRPr="00320DDF">
        <w:rPr>
          <w:rFonts w:ascii="Garamond" w:hAnsi="Garamond"/>
          <w:sz w:val="22"/>
          <w:szCs w:val="22"/>
        </w:rPr>
        <w:t>s policy</w:t>
      </w:r>
      <w:r w:rsidR="005C76E4" w:rsidRPr="00320DDF">
        <w:rPr>
          <w:rFonts w:ascii="Garamond" w:hAnsi="Garamond"/>
          <w:sz w:val="22"/>
          <w:szCs w:val="22"/>
        </w:rPr>
        <w:t xml:space="preserve"> rate and </w:t>
      </w:r>
      <w:r w:rsidR="00DF0C5E" w:rsidRPr="00320DDF">
        <w:rPr>
          <w:rFonts w:ascii="Garamond" w:hAnsi="Garamond"/>
          <w:sz w:val="22"/>
          <w:szCs w:val="22"/>
        </w:rPr>
        <w:t xml:space="preserve">have </w:t>
      </w:r>
      <w:r w:rsidR="005C76E4" w:rsidRPr="00320DDF">
        <w:rPr>
          <w:rFonts w:ascii="Garamond" w:hAnsi="Garamond"/>
          <w:sz w:val="22"/>
          <w:szCs w:val="22"/>
        </w:rPr>
        <w:t xml:space="preserve">facilitated the transmission of decreasing effect onto </w:t>
      </w:r>
      <w:r w:rsidRPr="00320DDF">
        <w:rPr>
          <w:rFonts w:ascii="Garamond" w:hAnsi="Garamond"/>
          <w:sz w:val="22"/>
          <w:szCs w:val="22"/>
        </w:rPr>
        <w:t>long-term interest rates.</w:t>
      </w:r>
    </w:p>
    <w:p w14:paraId="6F6C679B" w14:textId="77777777" w:rsidR="00CD734C" w:rsidRPr="00320DDF" w:rsidRDefault="00CD734C" w:rsidP="003A3042">
      <w:pPr>
        <w:spacing w:line="360" w:lineRule="auto"/>
        <w:jc w:val="both"/>
        <w:rPr>
          <w:rFonts w:ascii="Garamond" w:hAnsi="Garamond"/>
          <w:sz w:val="22"/>
          <w:szCs w:val="22"/>
        </w:rPr>
      </w:pPr>
    </w:p>
    <w:p w14:paraId="2CCF9088"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 xml:space="preserve">Following presentation of the Situation Report and the developments in external and domestic macroeconomic environments, the Board began discussing the monetary policy directions and </w:t>
      </w:r>
      <w:r w:rsidR="000922F4" w:rsidRPr="00320DDF">
        <w:rPr>
          <w:rFonts w:ascii="Garamond" w:hAnsi="Garamond"/>
          <w:sz w:val="22"/>
          <w:szCs w:val="22"/>
        </w:rPr>
        <w:t xml:space="preserve">the </w:t>
      </w:r>
      <w:r w:rsidRPr="00320DDF">
        <w:rPr>
          <w:rFonts w:ascii="Garamond" w:hAnsi="Garamond"/>
          <w:sz w:val="22"/>
          <w:szCs w:val="22"/>
        </w:rPr>
        <w:t xml:space="preserve">interest rate decision-making. </w:t>
      </w:r>
      <w:r w:rsidR="008C17EC" w:rsidRPr="00320DDF">
        <w:rPr>
          <w:rFonts w:ascii="Garamond" w:hAnsi="Garamond"/>
          <w:sz w:val="22"/>
          <w:szCs w:val="22"/>
        </w:rPr>
        <w:t xml:space="preserve">Admitting that the current policy rate is still impulsive, the Board decided to </w:t>
      </w:r>
      <w:r w:rsidR="00320DDF" w:rsidRPr="00320DDF">
        <w:rPr>
          <w:rFonts w:ascii="Garamond" w:hAnsi="Garamond"/>
          <w:sz w:val="22"/>
          <w:szCs w:val="22"/>
        </w:rPr>
        <w:t xml:space="preserve">leave the refinancing rate unchanged, </w:t>
      </w:r>
      <w:r w:rsidR="008C17EC" w:rsidRPr="00320DDF">
        <w:rPr>
          <w:rFonts w:ascii="Garamond" w:hAnsi="Garamond"/>
          <w:sz w:val="22"/>
          <w:szCs w:val="22"/>
        </w:rPr>
        <w:t>6.0%</w:t>
      </w:r>
      <w:r w:rsidR="00320DDF" w:rsidRPr="00320DDF">
        <w:rPr>
          <w:rFonts w:ascii="Garamond" w:hAnsi="Garamond"/>
          <w:sz w:val="22"/>
          <w:szCs w:val="22"/>
        </w:rPr>
        <w:t xml:space="preserve">. </w:t>
      </w:r>
    </w:p>
    <w:p w14:paraId="31E8888D" w14:textId="77777777" w:rsidR="003A3042" w:rsidRPr="00320DDF" w:rsidRDefault="003A3042" w:rsidP="003A3042">
      <w:pPr>
        <w:spacing w:line="360" w:lineRule="auto"/>
        <w:jc w:val="both"/>
        <w:rPr>
          <w:rFonts w:ascii="Garamond" w:hAnsi="Garamond"/>
          <w:sz w:val="22"/>
          <w:szCs w:val="22"/>
        </w:rPr>
      </w:pPr>
    </w:p>
    <w:p w14:paraId="40CB4637"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The Board approved the decision on interest rates of monetary instruments of the C</w:t>
      </w:r>
      <w:r w:rsidR="008D326B" w:rsidRPr="00320DDF">
        <w:rPr>
          <w:rFonts w:ascii="Garamond" w:hAnsi="Garamond"/>
          <w:sz w:val="22"/>
          <w:szCs w:val="22"/>
        </w:rPr>
        <w:t xml:space="preserve">entral </w:t>
      </w:r>
      <w:r w:rsidRPr="00320DDF">
        <w:rPr>
          <w:rFonts w:ascii="Garamond" w:hAnsi="Garamond"/>
          <w:sz w:val="22"/>
          <w:szCs w:val="22"/>
        </w:rPr>
        <w:t>B</w:t>
      </w:r>
      <w:r w:rsidR="008D326B" w:rsidRPr="00320DDF">
        <w:rPr>
          <w:rFonts w:ascii="Garamond" w:hAnsi="Garamond"/>
          <w:sz w:val="22"/>
          <w:szCs w:val="22"/>
        </w:rPr>
        <w:t>ank</w:t>
      </w:r>
      <w:r w:rsidRPr="00320DDF">
        <w:rPr>
          <w:rFonts w:ascii="Garamond" w:hAnsi="Garamond"/>
          <w:sz w:val="22"/>
          <w:szCs w:val="22"/>
        </w:rPr>
        <w:t xml:space="preserve"> and the proposed press release, which are attached hereto.</w:t>
      </w:r>
    </w:p>
    <w:p w14:paraId="51518046" w14:textId="77777777" w:rsidR="003A3042" w:rsidRPr="00320DDF" w:rsidRDefault="003A3042" w:rsidP="003A3042">
      <w:pPr>
        <w:spacing w:line="360" w:lineRule="auto"/>
        <w:jc w:val="center"/>
        <w:rPr>
          <w:rFonts w:ascii="Garamond" w:hAnsi="Garamond"/>
          <w:b/>
          <w:sz w:val="22"/>
          <w:szCs w:val="22"/>
        </w:rPr>
      </w:pPr>
    </w:p>
    <w:p w14:paraId="3EB2E488" w14:textId="77777777" w:rsidR="003A3042" w:rsidRPr="00320DDF" w:rsidRDefault="008018BD" w:rsidP="003A3042">
      <w:pPr>
        <w:spacing w:line="360" w:lineRule="auto"/>
        <w:jc w:val="center"/>
        <w:rPr>
          <w:rFonts w:ascii="Garamond" w:hAnsi="Garamond"/>
          <w:b/>
          <w:sz w:val="22"/>
          <w:szCs w:val="22"/>
        </w:rPr>
      </w:pPr>
      <w:r w:rsidRPr="00320DDF">
        <w:rPr>
          <w:rFonts w:ascii="Garamond" w:hAnsi="Garamond"/>
          <w:b/>
          <w:sz w:val="22"/>
          <w:szCs w:val="22"/>
        </w:rPr>
        <w:t>………………………………………………………………………………………………………………..</w:t>
      </w:r>
    </w:p>
    <w:p w14:paraId="6FF60CD8" w14:textId="77777777" w:rsidR="008018BD" w:rsidRPr="00320DDF" w:rsidRDefault="008018BD" w:rsidP="003A3042">
      <w:pPr>
        <w:spacing w:line="360" w:lineRule="auto"/>
        <w:jc w:val="center"/>
        <w:rPr>
          <w:rFonts w:ascii="Garamond" w:hAnsi="Garamond"/>
          <w:b/>
          <w:sz w:val="22"/>
          <w:szCs w:val="22"/>
        </w:rPr>
      </w:pPr>
    </w:p>
    <w:p w14:paraId="4D57B9B2" w14:textId="77777777" w:rsidR="005A000D" w:rsidRPr="00320DDF" w:rsidRDefault="005A000D" w:rsidP="003A3042">
      <w:pPr>
        <w:spacing w:line="360" w:lineRule="auto"/>
        <w:jc w:val="center"/>
        <w:rPr>
          <w:rFonts w:ascii="Garamond" w:hAnsi="Garamond"/>
          <w:b/>
          <w:sz w:val="22"/>
          <w:szCs w:val="22"/>
        </w:rPr>
      </w:pPr>
    </w:p>
    <w:p w14:paraId="397BCBFD" w14:textId="77777777" w:rsidR="005A000D" w:rsidRPr="00320DDF" w:rsidRDefault="005A000D" w:rsidP="003A3042">
      <w:pPr>
        <w:spacing w:line="360" w:lineRule="auto"/>
        <w:jc w:val="center"/>
        <w:rPr>
          <w:rFonts w:ascii="Garamond" w:hAnsi="Garamond"/>
          <w:b/>
          <w:sz w:val="22"/>
          <w:szCs w:val="22"/>
        </w:rPr>
      </w:pPr>
    </w:p>
    <w:p w14:paraId="5D4D7915" w14:textId="77777777" w:rsidR="003A3042" w:rsidRPr="00320DDF" w:rsidRDefault="003A3042" w:rsidP="003A3042">
      <w:pPr>
        <w:spacing w:line="360" w:lineRule="auto"/>
        <w:jc w:val="center"/>
        <w:rPr>
          <w:rFonts w:ascii="Garamond" w:hAnsi="Garamond"/>
          <w:b/>
          <w:sz w:val="22"/>
          <w:szCs w:val="22"/>
        </w:rPr>
      </w:pPr>
      <w:r w:rsidRPr="00320DDF">
        <w:rPr>
          <w:rFonts w:ascii="Garamond" w:hAnsi="Garamond"/>
          <w:b/>
          <w:sz w:val="22"/>
          <w:szCs w:val="22"/>
        </w:rPr>
        <w:t>THE CENTRAL BANK OF THE REPUBLIC OF ARMENIA</w:t>
      </w:r>
    </w:p>
    <w:p w14:paraId="002B021C" w14:textId="77777777" w:rsidR="003A3042" w:rsidRPr="00320DDF" w:rsidRDefault="003A3042" w:rsidP="003A3042">
      <w:pPr>
        <w:spacing w:line="360" w:lineRule="auto"/>
        <w:jc w:val="center"/>
        <w:rPr>
          <w:rFonts w:ascii="Garamond" w:hAnsi="Garamond"/>
          <w:b/>
          <w:sz w:val="22"/>
          <w:szCs w:val="22"/>
        </w:rPr>
      </w:pPr>
      <w:r w:rsidRPr="00320DDF">
        <w:rPr>
          <w:rFonts w:ascii="Garamond" w:hAnsi="Garamond"/>
          <w:b/>
          <w:sz w:val="22"/>
          <w:szCs w:val="22"/>
        </w:rPr>
        <w:t>BOARD RESOLUTION</w:t>
      </w:r>
    </w:p>
    <w:p w14:paraId="0CFC99BB" w14:textId="77777777" w:rsidR="003A3042" w:rsidRPr="00320DDF" w:rsidRDefault="003A3042" w:rsidP="003A3042">
      <w:pPr>
        <w:spacing w:line="360" w:lineRule="auto"/>
        <w:jc w:val="center"/>
        <w:rPr>
          <w:rFonts w:ascii="Garamond" w:hAnsi="Garamond"/>
          <w:b/>
          <w:sz w:val="22"/>
          <w:szCs w:val="22"/>
        </w:rPr>
      </w:pPr>
    </w:p>
    <w:p w14:paraId="51A25F32" w14:textId="77777777" w:rsidR="003A3042" w:rsidRPr="00320DDF" w:rsidRDefault="003A3042" w:rsidP="003A3042">
      <w:pPr>
        <w:spacing w:line="360" w:lineRule="auto"/>
        <w:jc w:val="center"/>
        <w:rPr>
          <w:rFonts w:ascii="Garamond" w:hAnsi="Garamond"/>
          <w:b/>
          <w:sz w:val="22"/>
          <w:szCs w:val="22"/>
        </w:rPr>
      </w:pPr>
      <w:r w:rsidRPr="00320DDF">
        <w:rPr>
          <w:rFonts w:ascii="Garamond" w:hAnsi="Garamond"/>
          <w:b/>
          <w:sz w:val="22"/>
          <w:szCs w:val="22"/>
        </w:rPr>
        <w:lastRenderedPageBreak/>
        <w:t>Interest rates of operations by the C</w:t>
      </w:r>
      <w:r w:rsidR="008D326B" w:rsidRPr="00320DDF">
        <w:rPr>
          <w:rFonts w:ascii="Garamond" w:hAnsi="Garamond"/>
          <w:b/>
          <w:sz w:val="22"/>
          <w:szCs w:val="22"/>
        </w:rPr>
        <w:t xml:space="preserve">entral </w:t>
      </w:r>
      <w:r w:rsidRPr="00320DDF">
        <w:rPr>
          <w:rFonts w:ascii="Garamond" w:hAnsi="Garamond"/>
          <w:b/>
          <w:sz w:val="22"/>
          <w:szCs w:val="22"/>
        </w:rPr>
        <w:t>B</w:t>
      </w:r>
      <w:r w:rsidR="008D326B" w:rsidRPr="00320DDF">
        <w:rPr>
          <w:rFonts w:ascii="Garamond" w:hAnsi="Garamond"/>
          <w:b/>
          <w:sz w:val="22"/>
          <w:szCs w:val="22"/>
        </w:rPr>
        <w:t>ank</w:t>
      </w:r>
      <w:r w:rsidRPr="00320DDF">
        <w:rPr>
          <w:rFonts w:ascii="Garamond" w:hAnsi="Garamond"/>
          <w:b/>
          <w:sz w:val="22"/>
          <w:szCs w:val="22"/>
        </w:rPr>
        <w:t xml:space="preserve"> in the financial market </w:t>
      </w:r>
    </w:p>
    <w:p w14:paraId="5D2AD539" w14:textId="77777777" w:rsidR="003A3042" w:rsidRPr="00320DDF" w:rsidRDefault="003A3042" w:rsidP="003A3042">
      <w:pPr>
        <w:spacing w:line="360" w:lineRule="auto"/>
        <w:jc w:val="center"/>
        <w:rPr>
          <w:rFonts w:ascii="Garamond" w:hAnsi="Garamond"/>
          <w:sz w:val="22"/>
          <w:szCs w:val="22"/>
        </w:rPr>
      </w:pPr>
    </w:p>
    <w:p w14:paraId="4F42D4FB"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 xml:space="preserve">By virtue of Article 20 (c) of the Republic of Armenia Law on the Central Bank, the </w:t>
      </w:r>
      <w:r w:rsidR="00EA5C74" w:rsidRPr="00320DDF">
        <w:rPr>
          <w:rFonts w:ascii="Garamond" w:hAnsi="Garamond"/>
          <w:sz w:val="22"/>
          <w:szCs w:val="22"/>
        </w:rPr>
        <w:t xml:space="preserve">Board of the </w:t>
      </w:r>
      <w:r w:rsidRPr="00320DDF">
        <w:rPr>
          <w:rFonts w:ascii="Garamond" w:hAnsi="Garamond"/>
          <w:sz w:val="22"/>
          <w:szCs w:val="22"/>
        </w:rPr>
        <w:t xml:space="preserve">Central Bank of the Republic of Armenia </w:t>
      </w:r>
      <w:r w:rsidRPr="00320DDF">
        <w:rPr>
          <w:rFonts w:ascii="Garamond" w:hAnsi="Garamond"/>
          <w:b/>
          <w:sz w:val="22"/>
          <w:szCs w:val="22"/>
        </w:rPr>
        <w:t>enacts:</w:t>
      </w:r>
    </w:p>
    <w:p w14:paraId="51F182E4"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1.</w:t>
      </w:r>
      <w:r w:rsidRPr="00320DDF">
        <w:rPr>
          <w:rFonts w:ascii="Garamond" w:hAnsi="Garamond"/>
          <w:sz w:val="22"/>
          <w:szCs w:val="22"/>
        </w:rPr>
        <w:tab/>
      </w:r>
      <w:r w:rsidR="00320DDF" w:rsidRPr="00320DDF">
        <w:rPr>
          <w:rFonts w:ascii="Garamond" w:hAnsi="Garamond"/>
          <w:sz w:val="22"/>
          <w:szCs w:val="22"/>
        </w:rPr>
        <w:t xml:space="preserve">Leave </w:t>
      </w:r>
      <w:r w:rsidRPr="00320DDF">
        <w:rPr>
          <w:rFonts w:ascii="Garamond" w:hAnsi="Garamond"/>
          <w:sz w:val="22"/>
          <w:szCs w:val="22"/>
        </w:rPr>
        <w:t>the ref</w:t>
      </w:r>
      <w:r w:rsidR="008D326B" w:rsidRPr="00320DDF">
        <w:rPr>
          <w:rFonts w:ascii="Garamond" w:hAnsi="Garamond"/>
          <w:sz w:val="22"/>
          <w:szCs w:val="22"/>
        </w:rPr>
        <w:t>inancing rate of the C</w:t>
      </w:r>
      <w:r w:rsidR="004C0E8B" w:rsidRPr="00320DDF">
        <w:rPr>
          <w:rFonts w:ascii="Garamond" w:hAnsi="Garamond"/>
          <w:sz w:val="22"/>
          <w:szCs w:val="22"/>
        </w:rPr>
        <w:t xml:space="preserve">entral </w:t>
      </w:r>
      <w:r w:rsidR="008D326B" w:rsidRPr="00320DDF">
        <w:rPr>
          <w:rFonts w:ascii="Garamond" w:hAnsi="Garamond"/>
          <w:sz w:val="22"/>
          <w:szCs w:val="22"/>
        </w:rPr>
        <w:t>B</w:t>
      </w:r>
      <w:r w:rsidR="004C0E8B" w:rsidRPr="00320DDF">
        <w:rPr>
          <w:rFonts w:ascii="Garamond" w:hAnsi="Garamond"/>
          <w:sz w:val="22"/>
          <w:szCs w:val="22"/>
        </w:rPr>
        <w:t xml:space="preserve">ank of the Republic of </w:t>
      </w:r>
      <w:r w:rsidR="008D326B" w:rsidRPr="00320DDF">
        <w:rPr>
          <w:rFonts w:ascii="Garamond" w:hAnsi="Garamond"/>
          <w:sz w:val="22"/>
          <w:szCs w:val="22"/>
        </w:rPr>
        <w:t>A</w:t>
      </w:r>
      <w:r w:rsidR="004C0E8B" w:rsidRPr="00320DDF">
        <w:rPr>
          <w:rFonts w:ascii="Garamond" w:hAnsi="Garamond"/>
          <w:sz w:val="22"/>
          <w:szCs w:val="22"/>
        </w:rPr>
        <w:t>rmenia</w:t>
      </w:r>
      <w:r w:rsidR="00320DDF" w:rsidRPr="00320DDF">
        <w:rPr>
          <w:rFonts w:ascii="Garamond" w:hAnsi="Garamond"/>
          <w:sz w:val="22"/>
          <w:szCs w:val="22"/>
        </w:rPr>
        <w:t xml:space="preserve"> unchanged,</w:t>
      </w:r>
      <w:r w:rsidR="004C0E8B" w:rsidRPr="00320DDF">
        <w:rPr>
          <w:rFonts w:ascii="Garamond" w:hAnsi="Garamond"/>
          <w:sz w:val="22"/>
          <w:szCs w:val="22"/>
        </w:rPr>
        <w:t xml:space="preserve"> </w:t>
      </w:r>
      <w:r w:rsidR="008D326B" w:rsidRPr="00320DDF">
        <w:rPr>
          <w:rFonts w:ascii="Garamond" w:hAnsi="Garamond"/>
          <w:sz w:val="22"/>
          <w:szCs w:val="22"/>
        </w:rPr>
        <w:t>at 6.0</w:t>
      </w:r>
      <w:r w:rsidRPr="00320DDF">
        <w:rPr>
          <w:rFonts w:ascii="Garamond" w:hAnsi="Garamond"/>
          <w:sz w:val="22"/>
          <w:szCs w:val="22"/>
        </w:rPr>
        <w:t>%.</w:t>
      </w:r>
    </w:p>
    <w:p w14:paraId="39373946"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2.</w:t>
      </w:r>
      <w:r w:rsidRPr="00320DDF">
        <w:rPr>
          <w:rFonts w:ascii="Garamond" w:hAnsi="Garamond"/>
          <w:sz w:val="22"/>
          <w:szCs w:val="22"/>
        </w:rPr>
        <w:tab/>
        <w:t xml:space="preserve">To the Financial Department of the </w:t>
      </w:r>
      <w:r w:rsidR="004C0E8B" w:rsidRPr="00320DDF">
        <w:rPr>
          <w:rFonts w:ascii="Garamond" w:hAnsi="Garamond"/>
          <w:sz w:val="22"/>
          <w:szCs w:val="22"/>
        </w:rPr>
        <w:t>Central Bank of the Republic of Armenia</w:t>
      </w:r>
      <w:r w:rsidRPr="00320DDF">
        <w:rPr>
          <w:rFonts w:ascii="Garamond" w:hAnsi="Garamond"/>
          <w:sz w:val="22"/>
          <w:szCs w:val="22"/>
        </w:rPr>
        <w:t xml:space="preserve"> to carry out operations in the financial ma</w:t>
      </w:r>
      <w:r w:rsidR="00EC2049" w:rsidRPr="00320DDF">
        <w:rPr>
          <w:rFonts w:ascii="Garamond" w:hAnsi="Garamond"/>
          <w:sz w:val="22"/>
          <w:szCs w:val="22"/>
        </w:rPr>
        <w:t xml:space="preserve">rket of the Republic of Armenia, using </w:t>
      </w:r>
      <w:r w:rsidRPr="00320DDF">
        <w:rPr>
          <w:rFonts w:ascii="Garamond" w:hAnsi="Garamond"/>
          <w:sz w:val="22"/>
          <w:szCs w:val="22"/>
        </w:rPr>
        <w:t>the interest rates, as follows:</w:t>
      </w:r>
    </w:p>
    <w:p w14:paraId="169D011B"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2.1</w:t>
      </w:r>
      <w:r w:rsidRPr="00320DDF">
        <w:rPr>
          <w:rFonts w:ascii="Garamond" w:hAnsi="Garamond"/>
          <w:sz w:val="22"/>
          <w:szCs w:val="22"/>
        </w:rPr>
        <w:tab/>
        <w:t>Lombard facility rate offered by the C</w:t>
      </w:r>
      <w:r w:rsidR="004C0E8B" w:rsidRPr="00320DDF">
        <w:rPr>
          <w:rFonts w:ascii="Garamond" w:hAnsi="Garamond"/>
          <w:sz w:val="22"/>
          <w:szCs w:val="22"/>
        </w:rPr>
        <w:t xml:space="preserve">entral </w:t>
      </w:r>
      <w:r w:rsidRPr="00320DDF">
        <w:rPr>
          <w:rFonts w:ascii="Garamond" w:hAnsi="Garamond"/>
          <w:sz w:val="22"/>
          <w:szCs w:val="22"/>
        </w:rPr>
        <w:t>B</w:t>
      </w:r>
      <w:r w:rsidR="004C0E8B" w:rsidRPr="00320DDF">
        <w:rPr>
          <w:rFonts w:ascii="Garamond" w:hAnsi="Garamond"/>
          <w:sz w:val="22"/>
          <w:szCs w:val="22"/>
        </w:rPr>
        <w:t>ank</w:t>
      </w:r>
      <w:r w:rsidRPr="00320DDF">
        <w:rPr>
          <w:rFonts w:ascii="Garamond" w:hAnsi="Garamond"/>
          <w:sz w:val="22"/>
          <w:szCs w:val="22"/>
        </w:rPr>
        <w:t xml:space="preserve"> to be</w:t>
      </w:r>
      <w:r w:rsidR="004C0E8B" w:rsidRPr="00320DDF">
        <w:rPr>
          <w:rFonts w:ascii="Garamond" w:hAnsi="Garamond"/>
          <w:sz w:val="22"/>
          <w:szCs w:val="22"/>
        </w:rPr>
        <w:t xml:space="preserve"> 7.</w:t>
      </w:r>
      <w:r w:rsidRPr="00320DDF">
        <w:rPr>
          <w:rFonts w:ascii="Garamond" w:hAnsi="Garamond"/>
          <w:sz w:val="22"/>
          <w:szCs w:val="22"/>
        </w:rPr>
        <w:t>5%.</w:t>
      </w:r>
    </w:p>
    <w:p w14:paraId="20403803"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2.2.</w:t>
      </w:r>
      <w:r w:rsidRPr="00320DDF">
        <w:rPr>
          <w:rFonts w:ascii="Garamond" w:hAnsi="Garamond"/>
          <w:sz w:val="22"/>
          <w:szCs w:val="22"/>
        </w:rPr>
        <w:tab/>
        <w:t>Deposit facility rate offered by the C</w:t>
      </w:r>
      <w:r w:rsidR="004C0E8B" w:rsidRPr="00320DDF">
        <w:rPr>
          <w:rFonts w:ascii="Garamond" w:hAnsi="Garamond"/>
          <w:sz w:val="22"/>
          <w:szCs w:val="22"/>
        </w:rPr>
        <w:t xml:space="preserve">entral </w:t>
      </w:r>
      <w:r w:rsidRPr="00320DDF">
        <w:rPr>
          <w:rFonts w:ascii="Garamond" w:hAnsi="Garamond"/>
          <w:sz w:val="22"/>
          <w:szCs w:val="22"/>
        </w:rPr>
        <w:t>B</w:t>
      </w:r>
      <w:r w:rsidR="004C0E8B" w:rsidRPr="00320DDF">
        <w:rPr>
          <w:rFonts w:ascii="Garamond" w:hAnsi="Garamond"/>
          <w:sz w:val="22"/>
          <w:szCs w:val="22"/>
        </w:rPr>
        <w:t>ank to be 4.</w:t>
      </w:r>
      <w:r w:rsidRPr="00320DDF">
        <w:rPr>
          <w:rFonts w:ascii="Garamond" w:hAnsi="Garamond"/>
          <w:sz w:val="22"/>
          <w:szCs w:val="22"/>
        </w:rPr>
        <w:t>5%.</w:t>
      </w:r>
    </w:p>
    <w:p w14:paraId="5AB17E57" w14:textId="77777777" w:rsidR="003A3042" w:rsidRPr="00320DDF" w:rsidRDefault="003A3042" w:rsidP="003A3042">
      <w:pPr>
        <w:spacing w:line="360" w:lineRule="auto"/>
        <w:jc w:val="both"/>
        <w:rPr>
          <w:rFonts w:ascii="Garamond" w:hAnsi="Garamond"/>
          <w:sz w:val="22"/>
          <w:szCs w:val="22"/>
        </w:rPr>
      </w:pPr>
      <w:r w:rsidRPr="00320DDF">
        <w:rPr>
          <w:rFonts w:ascii="Garamond" w:hAnsi="Garamond"/>
          <w:sz w:val="22"/>
          <w:szCs w:val="22"/>
        </w:rPr>
        <w:t>3.</w:t>
      </w:r>
      <w:r w:rsidRPr="00320DDF">
        <w:rPr>
          <w:rFonts w:ascii="Garamond" w:hAnsi="Garamond"/>
          <w:sz w:val="22"/>
          <w:szCs w:val="22"/>
        </w:rPr>
        <w:tab/>
        <w:t>This resolution shall take force on the day following the adoption thereof.</w:t>
      </w:r>
    </w:p>
    <w:p w14:paraId="6648B2BC" w14:textId="77777777" w:rsidR="003A3042" w:rsidRPr="00320DDF" w:rsidRDefault="003A3042" w:rsidP="003A3042">
      <w:pPr>
        <w:spacing w:line="360" w:lineRule="auto"/>
        <w:jc w:val="both"/>
        <w:rPr>
          <w:rFonts w:ascii="Garamond" w:hAnsi="Garamond"/>
          <w:sz w:val="22"/>
          <w:szCs w:val="22"/>
        </w:rPr>
      </w:pPr>
    </w:p>
    <w:p w14:paraId="0DFDBC0E" w14:textId="77777777" w:rsidR="003A3042" w:rsidRPr="00320DDF" w:rsidRDefault="003A3042" w:rsidP="003A3042">
      <w:pPr>
        <w:spacing w:line="360" w:lineRule="auto"/>
        <w:jc w:val="both"/>
        <w:rPr>
          <w:rFonts w:ascii="Garamond" w:hAnsi="Garamond"/>
          <w:b/>
          <w:sz w:val="22"/>
          <w:szCs w:val="22"/>
        </w:rPr>
      </w:pPr>
      <w:r w:rsidRPr="00320DDF">
        <w:rPr>
          <w:rFonts w:ascii="Garamond" w:hAnsi="Garamond"/>
          <w:b/>
          <w:sz w:val="22"/>
          <w:szCs w:val="22"/>
        </w:rPr>
        <w:t>Arthur Javadyan,</w:t>
      </w:r>
    </w:p>
    <w:p w14:paraId="5A240BD3" w14:textId="77777777" w:rsidR="00E71691" w:rsidRPr="00320DDF" w:rsidRDefault="003A3042" w:rsidP="003A3042">
      <w:pPr>
        <w:spacing w:line="360" w:lineRule="auto"/>
        <w:jc w:val="both"/>
        <w:rPr>
          <w:rFonts w:ascii="Garamond" w:hAnsi="Garamond"/>
          <w:sz w:val="22"/>
          <w:szCs w:val="22"/>
        </w:rPr>
      </w:pPr>
      <w:r w:rsidRPr="00320DDF">
        <w:rPr>
          <w:rFonts w:ascii="Garamond" w:hAnsi="Garamond"/>
          <w:b/>
          <w:sz w:val="22"/>
          <w:szCs w:val="22"/>
        </w:rPr>
        <w:t>Chairman of the CBA</w:t>
      </w:r>
    </w:p>
    <w:p w14:paraId="33E673F9" w14:textId="77777777" w:rsidR="005B1F13" w:rsidRDefault="005B1F13" w:rsidP="00E71691">
      <w:pPr>
        <w:spacing w:line="360" w:lineRule="auto"/>
        <w:jc w:val="both"/>
        <w:rPr>
          <w:rFonts w:ascii="Garamond" w:hAnsi="Garamond"/>
          <w:sz w:val="22"/>
          <w:szCs w:val="22"/>
        </w:rPr>
      </w:pPr>
    </w:p>
    <w:p w14:paraId="2AFBD486" w14:textId="77777777" w:rsidR="00320DDF" w:rsidRPr="00320DDF" w:rsidRDefault="00320DDF" w:rsidP="00320DDF">
      <w:pPr>
        <w:spacing w:line="360" w:lineRule="auto"/>
        <w:jc w:val="center"/>
        <w:rPr>
          <w:rFonts w:ascii="Garamond" w:hAnsi="Garamond"/>
          <w:b/>
          <w:sz w:val="22"/>
          <w:szCs w:val="22"/>
        </w:rPr>
      </w:pPr>
      <w:r w:rsidRPr="00320DDF">
        <w:rPr>
          <w:rFonts w:ascii="Garamond" w:hAnsi="Garamond"/>
          <w:b/>
          <w:sz w:val="22"/>
          <w:szCs w:val="22"/>
        </w:rPr>
        <w:t>PRESS RELEASE</w:t>
      </w:r>
    </w:p>
    <w:p w14:paraId="1A14F3F2" w14:textId="77777777" w:rsidR="00320DDF" w:rsidRPr="00320DDF" w:rsidRDefault="00320DDF" w:rsidP="00320DDF">
      <w:pPr>
        <w:spacing w:line="360" w:lineRule="auto"/>
        <w:jc w:val="center"/>
        <w:rPr>
          <w:rFonts w:ascii="Garamond" w:hAnsi="Garamond"/>
          <w:b/>
          <w:sz w:val="22"/>
          <w:szCs w:val="22"/>
        </w:rPr>
      </w:pPr>
      <w:r w:rsidRPr="00320DDF">
        <w:rPr>
          <w:rFonts w:ascii="Garamond" w:hAnsi="Garamond"/>
          <w:b/>
          <w:sz w:val="22"/>
          <w:szCs w:val="22"/>
        </w:rPr>
        <w:t>16.05.2017</w:t>
      </w:r>
    </w:p>
    <w:p w14:paraId="30DF4788" w14:textId="77777777" w:rsidR="00320DDF" w:rsidRDefault="00320DDF" w:rsidP="00320DDF">
      <w:pPr>
        <w:spacing w:line="360" w:lineRule="auto"/>
        <w:jc w:val="both"/>
        <w:rPr>
          <w:rFonts w:ascii="Garamond" w:hAnsi="Garamond"/>
          <w:sz w:val="22"/>
          <w:szCs w:val="22"/>
        </w:rPr>
      </w:pPr>
    </w:p>
    <w:p w14:paraId="00C8043A" w14:textId="77777777" w:rsidR="00320DDF" w:rsidRDefault="00320DDF" w:rsidP="00320DDF">
      <w:pPr>
        <w:spacing w:line="360" w:lineRule="auto"/>
        <w:jc w:val="both"/>
        <w:rPr>
          <w:rFonts w:ascii="Garamond" w:hAnsi="Garamond"/>
          <w:sz w:val="22"/>
          <w:szCs w:val="22"/>
        </w:rPr>
      </w:pPr>
      <w:r w:rsidRPr="00320DDF">
        <w:rPr>
          <w:rFonts w:ascii="Garamond" w:hAnsi="Garamond"/>
          <w:sz w:val="22"/>
          <w:szCs w:val="22"/>
        </w:rPr>
        <w:t>On a May 16, 2017 meeting, the Board of the Central Bank of Armenia decided to leave the refinancing rate unchanged, at the 6.0% level.</w:t>
      </w:r>
    </w:p>
    <w:p w14:paraId="1456D40E" w14:textId="77777777" w:rsidR="00320DDF" w:rsidRDefault="00320DDF" w:rsidP="00320DDF">
      <w:pPr>
        <w:spacing w:line="360" w:lineRule="auto"/>
        <w:jc w:val="both"/>
        <w:rPr>
          <w:rFonts w:ascii="Garamond" w:hAnsi="Garamond"/>
          <w:sz w:val="22"/>
          <w:szCs w:val="22"/>
        </w:rPr>
      </w:pPr>
    </w:p>
    <w:p w14:paraId="6211CC4A" w14:textId="77777777" w:rsidR="00320DDF" w:rsidRDefault="00320DDF" w:rsidP="00320DDF">
      <w:pPr>
        <w:spacing w:line="360" w:lineRule="auto"/>
        <w:jc w:val="both"/>
        <w:rPr>
          <w:rFonts w:ascii="Garamond" w:hAnsi="Garamond"/>
          <w:sz w:val="22"/>
          <w:szCs w:val="22"/>
        </w:rPr>
      </w:pPr>
      <w:r w:rsidRPr="00320DDF">
        <w:rPr>
          <w:rFonts w:ascii="Garamond" w:hAnsi="Garamond"/>
          <w:sz w:val="22"/>
          <w:szCs w:val="22"/>
        </w:rPr>
        <w:t>There was 1.0% inflation in April of 2017 compared with 0.3% deflation recorded in the same month of the previous year, which has been mainly attributable to higher levels of prices of agricultural products. In this circumstance, the 12-month inflation rate has expanded and entered a positive territory; it amounted to 1.2% at the end of April, exceeding the Central Bank forecasts. The Board estimates that in the forecast horizon the inflation will continue to recover, stabilizing around the target.</w:t>
      </w:r>
    </w:p>
    <w:p w14:paraId="5FD728DB" w14:textId="77777777" w:rsidR="00320DDF" w:rsidRDefault="00320DDF" w:rsidP="00320DDF">
      <w:pPr>
        <w:spacing w:line="360" w:lineRule="auto"/>
        <w:jc w:val="both"/>
        <w:rPr>
          <w:rFonts w:ascii="Garamond" w:hAnsi="Garamond"/>
          <w:sz w:val="22"/>
          <w:szCs w:val="22"/>
        </w:rPr>
      </w:pPr>
    </w:p>
    <w:p w14:paraId="5C47465A" w14:textId="77777777" w:rsidR="00320DDF" w:rsidRDefault="00320DDF" w:rsidP="00320DDF">
      <w:pPr>
        <w:spacing w:line="360" w:lineRule="auto"/>
        <w:jc w:val="both"/>
        <w:rPr>
          <w:rFonts w:ascii="Garamond" w:hAnsi="Garamond"/>
          <w:sz w:val="22"/>
          <w:szCs w:val="22"/>
        </w:rPr>
      </w:pPr>
      <w:r w:rsidRPr="00320DDF">
        <w:rPr>
          <w:rFonts w:ascii="Garamond" w:hAnsi="Garamond"/>
          <w:sz w:val="22"/>
          <w:szCs w:val="22"/>
        </w:rPr>
        <w:t>In the external environment, the global economic growth outlook is improving and inflationary patterns in international commodity markets are persisting. However, the Board of the Central Bank expects only moderate inflationary effects from the external sector in the forthcoming months.</w:t>
      </w:r>
    </w:p>
    <w:p w14:paraId="3562E102" w14:textId="77777777" w:rsidR="00320DDF" w:rsidRDefault="00320DDF" w:rsidP="00320DDF">
      <w:pPr>
        <w:spacing w:line="360" w:lineRule="auto"/>
        <w:jc w:val="both"/>
        <w:rPr>
          <w:rFonts w:ascii="Garamond" w:hAnsi="Garamond"/>
          <w:sz w:val="22"/>
          <w:szCs w:val="22"/>
        </w:rPr>
      </w:pPr>
    </w:p>
    <w:p w14:paraId="2D5EDC4D" w14:textId="77777777" w:rsidR="00320DDF" w:rsidRDefault="00320DDF" w:rsidP="00320DDF">
      <w:pPr>
        <w:spacing w:line="360" w:lineRule="auto"/>
        <w:jc w:val="both"/>
        <w:rPr>
          <w:rFonts w:ascii="Garamond" w:hAnsi="Garamond"/>
          <w:sz w:val="22"/>
          <w:szCs w:val="22"/>
        </w:rPr>
      </w:pPr>
      <w:r w:rsidRPr="00320DDF">
        <w:rPr>
          <w:rFonts w:ascii="Garamond" w:hAnsi="Garamond"/>
          <w:sz w:val="22"/>
          <w:szCs w:val="22"/>
        </w:rPr>
        <w:t xml:space="preserve">The Board notes that growth of economic activity in the first quarter of 2017 was strong enough, largely due to high growth registered in industry, rendered services and trade sectors. At the same time, the expansionary monetary policy implemented in recent years continues contributing to the recovery of domestic demand. As a result, it is expected that inflation will be within the confidence band already in 2017 and will stabilize </w:t>
      </w:r>
      <w:r w:rsidRPr="00320DDF">
        <w:rPr>
          <w:rFonts w:ascii="Garamond" w:hAnsi="Garamond"/>
          <w:sz w:val="22"/>
          <w:szCs w:val="22"/>
        </w:rPr>
        <w:lastRenderedPageBreak/>
        <w:t>around the target in the forecast horizon. Also, inflationary risks are estimated to be largely balanced at this point, in which case the Board considers it appropriate to leave the monetary conditions unchanged.</w:t>
      </w:r>
    </w:p>
    <w:p w14:paraId="2B362FE5" w14:textId="77777777" w:rsidR="00320DDF" w:rsidRDefault="00320DDF" w:rsidP="00320DDF">
      <w:pPr>
        <w:spacing w:line="360" w:lineRule="auto"/>
        <w:jc w:val="both"/>
        <w:rPr>
          <w:rFonts w:ascii="Garamond" w:hAnsi="Garamond"/>
          <w:sz w:val="22"/>
          <w:szCs w:val="22"/>
        </w:rPr>
      </w:pPr>
    </w:p>
    <w:p w14:paraId="58D82753" w14:textId="77777777" w:rsidR="00320DDF" w:rsidRDefault="00320DDF" w:rsidP="00320DDF">
      <w:pPr>
        <w:spacing w:line="360" w:lineRule="auto"/>
        <w:jc w:val="both"/>
        <w:rPr>
          <w:rFonts w:ascii="Garamond" w:hAnsi="Garamond"/>
          <w:sz w:val="22"/>
          <w:szCs w:val="22"/>
        </w:rPr>
      </w:pPr>
      <w:r w:rsidRPr="00320DDF">
        <w:rPr>
          <w:rFonts w:ascii="Garamond" w:hAnsi="Garamond"/>
          <w:sz w:val="22"/>
          <w:szCs w:val="22"/>
        </w:rPr>
        <w:t>However, should there emerge risks to the inflation deviating from its recovery path, the Central Bank would react by adjusting its monetary policy directions accordingly, while fulfilling the inflation target in the medium run.</w:t>
      </w:r>
    </w:p>
    <w:p w14:paraId="776991C3" w14:textId="77777777" w:rsidR="00320DDF" w:rsidRDefault="00320DDF" w:rsidP="00320DDF">
      <w:pPr>
        <w:spacing w:line="360" w:lineRule="auto"/>
        <w:jc w:val="both"/>
        <w:rPr>
          <w:rFonts w:ascii="Garamond" w:hAnsi="Garamond"/>
          <w:sz w:val="22"/>
          <w:szCs w:val="22"/>
        </w:rPr>
      </w:pPr>
    </w:p>
    <w:p w14:paraId="2809D449" w14:textId="77777777" w:rsidR="00320DDF" w:rsidRPr="00320DDF" w:rsidRDefault="00320DDF" w:rsidP="00320DDF">
      <w:pPr>
        <w:spacing w:line="360" w:lineRule="auto"/>
        <w:jc w:val="both"/>
        <w:rPr>
          <w:rFonts w:ascii="Garamond" w:hAnsi="Garamond"/>
          <w:sz w:val="22"/>
          <w:szCs w:val="22"/>
        </w:rPr>
      </w:pPr>
      <w:r w:rsidRPr="00320DDF">
        <w:rPr>
          <w:rFonts w:ascii="Garamond" w:hAnsi="Garamond"/>
          <w:sz w:val="22"/>
          <w:szCs w:val="22"/>
        </w:rPr>
        <w:t>Detailed information on setting of the interest rate will be available in Inflation Report (Monetary Policy Program Q2, 2017), to be published by May 26, 2017.</w:t>
      </w:r>
    </w:p>
    <w:p w14:paraId="1C21C478" w14:textId="77777777" w:rsidR="00320DDF" w:rsidRPr="00320DDF" w:rsidRDefault="00320DDF" w:rsidP="00320DDF">
      <w:pPr>
        <w:spacing w:line="360" w:lineRule="auto"/>
        <w:jc w:val="both"/>
        <w:rPr>
          <w:rFonts w:ascii="Garamond" w:hAnsi="Garamond"/>
          <w:sz w:val="22"/>
          <w:szCs w:val="22"/>
        </w:rPr>
      </w:pPr>
    </w:p>
    <w:p w14:paraId="567B022A" w14:textId="77777777" w:rsidR="00320DDF" w:rsidRDefault="00320DDF" w:rsidP="00E71691">
      <w:pPr>
        <w:spacing w:line="360" w:lineRule="auto"/>
        <w:jc w:val="both"/>
        <w:rPr>
          <w:rFonts w:ascii="Garamond" w:hAnsi="Garamond"/>
          <w:b/>
          <w:sz w:val="22"/>
          <w:szCs w:val="22"/>
        </w:rPr>
      </w:pPr>
    </w:p>
    <w:p w14:paraId="480EE58A" w14:textId="77777777" w:rsidR="00320DDF" w:rsidRDefault="00320DDF" w:rsidP="00E71691">
      <w:pPr>
        <w:spacing w:line="360" w:lineRule="auto"/>
        <w:jc w:val="both"/>
        <w:rPr>
          <w:rFonts w:ascii="Garamond" w:hAnsi="Garamond"/>
          <w:b/>
          <w:sz w:val="22"/>
          <w:szCs w:val="22"/>
        </w:rPr>
      </w:pPr>
      <w:r>
        <w:rPr>
          <w:rFonts w:ascii="Garamond" w:hAnsi="Garamond"/>
          <w:b/>
          <w:sz w:val="22"/>
          <w:szCs w:val="22"/>
        </w:rPr>
        <w:t>-------------------------------------------------------------------------------------------------------------------------------</w:t>
      </w:r>
    </w:p>
    <w:p w14:paraId="7E88C8A1" w14:textId="77777777" w:rsidR="005B1F13" w:rsidRPr="00320DDF" w:rsidRDefault="00320DDF" w:rsidP="00E71691">
      <w:pPr>
        <w:spacing w:line="360" w:lineRule="auto"/>
        <w:jc w:val="both"/>
        <w:rPr>
          <w:rFonts w:ascii="Garamond" w:hAnsi="Garamond"/>
          <w:sz w:val="22"/>
          <w:szCs w:val="22"/>
        </w:rPr>
      </w:pPr>
      <w:r w:rsidRPr="00320DDF">
        <w:rPr>
          <w:rFonts w:ascii="Garamond" w:hAnsi="Garamond"/>
          <w:b/>
          <w:sz w:val="22"/>
          <w:szCs w:val="22"/>
        </w:rPr>
        <w:t>Press Service of the Central Bank of Armenia</w:t>
      </w:r>
    </w:p>
    <w:sectPr w:rsidR="005B1F13" w:rsidRPr="00320DDF" w:rsidSect="004E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FF3F" w14:textId="77777777" w:rsidR="00ED3E03" w:rsidRDefault="00ED3E03" w:rsidP="004C715C">
      <w:r>
        <w:separator/>
      </w:r>
    </w:p>
  </w:endnote>
  <w:endnote w:type="continuationSeparator" w:id="0">
    <w:p w14:paraId="48350A8F" w14:textId="77777777" w:rsidR="00ED3E03" w:rsidRDefault="00ED3E03"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GHEA Grapalat">
    <w:panose1 w:val="02000506050000020003"/>
    <w:charset w:val="00"/>
    <w:family w:val="modern"/>
    <w:notTrueType/>
    <w:pitch w:val="variable"/>
    <w:sig w:usb0="A00006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BF19" w14:textId="77777777" w:rsidR="00ED3E03" w:rsidRDefault="00ED3E03" w:rsidP="004C715C">
      <w:r>
        <w:separator/>
      </w:r>
    </w:p>
  </w:footnote>
  <w:footnote w:type="continuationSeparator" w:id="0">
    <w:p w14:paraId="71E6BAB6" w14:textId="77777777" w:rsidR="00ED3E03" w:rsidRDefault="00ED3E03" w:rsidP="004C715C">
      <w:r>
        <w:continuationSeparator/>
      </w:r>
    </w:p>
  </w:footnote>
  <w:footnote w:id="1">
    <w:p w14:paraId="3ED256F4" w14:textId="77777777" w:rsidR="008274F3" w:rsidRPr="0029012B" w:rsidRDefault="008274F3" w:rsidP="0029012B">
      <w:pPr>
        <w:pStyle w:val="FootnoteText"/>
        <w:jc w:val="both"/>
        <w:rPr>
          <w:rFonts w:ascii="Garamond" w:hAnsi="Garamond"/>
        </w:rPr>
      </w:pPr>
      <w:r w:rsidRPr="0029012B">
        <w:rPr>
          <w:rStyle w:val="FootnoteReference"/>
          <w:rFonts w:ascii="Garamond" w:hAnsi="Garamond"/>
        </w:rPr>
        <w:t>1</w:t>
      </w:r>
      <w:r w:rsidRPr="0029012B">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29012B">
        <w:rPr>
          <w:rFonts w:ascii="Garamond" w:hAnsi="Garamond"/>
          <w:lang w:val="hy-AM"/>
        </w:rPr>
        <w:t xml:space="preserve"> IMF, </w:t>
      </w:r>
      <w:r w:rsidRPr="0029012B">
        <w:rPr>
          <w:rFonts w:ascii="Garamond" w:hAnsi="Garamond"/>
        </w:rPr>
        <w:t xml:space="preserve">the </w:t>
      </w:r>
      <w:r w:rsidRPr="0029012B">
        <w:rPr>
          <w:rFonts w:ascii="Garamond" w:hAnsi="Garamond"/>
          <w:lang w:val="hy-AM"/>
        </w:rPr>
        <w:t xml:space="preserve">World Bank, The Economist, Economist </w:t>
      </w:r>
      <w:r w:rsidRPr="0029012B">
        <w:rPr>
          <w:rFonts w:ascii="Garamond" w:hAnsi="Garamond"/>
        </w:rPr>
        <w:t xml:space="preserve">Intelligence Unit, the </w:t>
      </w:r>
      <w:r w:rsidRPr="0029012B">
        <w:rPr>
          <w:rFonts w:ascii="Garamond" w:hAnsi="Garamond"/>
          <w:lang w:val="hy-AM"/>
        </w:rPr>
        <w:t xml:space="preserve">Global Insight, </w:t>
      </w:r>
      <w:r w:rsidRPr="0029012B">
        <w:rPr>
          <w:rFonts w:ascii="Garamond" w:hAnsi="Garamond"/>
        </w:rPr>
        <w:t xml:space="preserve">the </w:t>
      </w:r>
      <w:r w:rsidRPr="0029012B">
        <w:rPr>
          <w:rFonts w:ascii="Garamond" w:hAnsi="Garamond"/>
          <w:lang w:val="hy-AM"/>
        </w:rPr>
        <w:t xml:space="preserve">Financial Times, </w:t>
      </w:r>
      <w:r w:rsidRPr="0029012B">
        <w:rPr>
          <w:rFonts w:ascii="Garamond" w:hAnsi="Garamond"/>
        </w:rPr>
        <w:t>and so on).</w:t>
      </w:r>
    </w:p>
  </w:footnote>
  <w:footnote w:id="2">
    <w:p w14:paraId="265EAA48" w14:textId="77777777" w:rsidR="008274F3" w:rsidRPr="0029012B" w:rsidRDefault="008274F3" w:rsidP="0029012B">
      <w:pPr>
        <w:pStyle w:val="FootnoteText"/>
        <w:jc w:val="both"/>
        <w:rPr>
          <w:rFonts w:ascii="Garamond" w:hAnsi="Garamond"/>
        </w:rPr>
      </w:pPr>
      <w:r>
        <w:rPr>
          <w:rStyle w:val="FootnoteReference"/>
        </w:rPr>
        <w:t>2</w:t>
      </w:r>
      <w:r w:rsidRPr="0029012B">
        <w:rPr>
          <w:rFonts w:ascii="Garamond" w:hAnsi="Garamond"/>
        </w:rPr>
        <w:t xml:space="preserve"> All forecasts for the external environment are based on the information available as of 2</w:t>
      </w:r>
      <w:r>
        <w:rPr>
          <w:rFonts w:ascii="Garamond" w:hAnsi="Garamond"/>
        </w:rPr>
        <w:t>5</w:t>
      </w:r>
      <w:r w:rsidRPr="0029012B">
        <w:rPr>
          <w:rFonts w:ascii="Garamond" w:hAnsi="Garamond"/>
        </w:rPr>
        <w:t>.</w:t>
      </w:r>
      <w:r>
        <w:rPr>
          <w:rFonts w:ascii="Garamond" w:hAnsi="Garamond"/>
        </w:rPr>
        <w:t>04</w:t>
      </w:r>
      <w:r w:rsidRPr="0029012B">
        <w:rPr>
          <w:rFonts w:ascii="Garamond" w:hAnsi="Garamond"/>
        </w:rPr>
        <w:t>.201</w:t>
      </w:r>
      <w:r>
        <w:rPr>
          <w:rFonts w:ascii="Garamond" w:hAnsi="Garamond"/>
        </w:rPr>
        <w:t>7</w:t>
      </w:r>
      <w:r w:rsidRPr="0029012B">
        <w:rPr>
          <w:rFonts w:ascii="Garamond" w:hAnsi="Garamond"/>
        </w:rPr>
        <w:t>.</w:t>
      </w:r>
    </w:p>
  </w:footnote>
  <w:footnote w:id="3">
    <w:p w14:paraId="18B74541" w14:textId="77777777" w:rsidR="008274F3" w:rsidRPr="005B6C26" w:rsidRDefault="008274F3" w:rsidP="00C70554">
      <w:pPr>
        <w:pStyle w:val="FootnoteText"/>
        <w:jc w:val="both"/>
        <w:rPr>
          <w:rFonts w:ascii="Garamond" w:hAnsi="Garamond"/>
          <w:lang w:val="pt-BR"/>
        </w:rPr>
      </w:pPr>
      <w:r>
        <w:rPr>
          <w:rStyle w:val="FootnoteReference"/>
        </w:rPr>
        <w:t>3</w:t>
      </w:r>
      <w:r w:rsidRPr="005B6C26">
        <w:rPr>
          <w:rFonts w:ascii="Garamond" w:hAnsi="Garamond"/>
        </w:rPr>
        <w:t xml:space="preserve"> The labor market data for 201</w:t>
      </w:r>
      <w:r>
        <w:rPr>
          <w:rFonts w:ascii="Garamond" w:hAnsi="Garamond"/>
        </w:rPr>
        <w:t>7</w:t>
      </w:r>
      <w:r w:rsidRPr="005B6C26">
        <w:rPr>
          <w:rFonts w:ascii="Garamond" w:hAnsi="Garamond"/>
        </w:rPr>
        <w:t>-201</w:t>
      </w:r>
      <w:r>
        <w:rPr>
          <w:rFonts w:ascii="Garamond" w:hAnsi="Garamond"/>
        </w:rPr>
        <w:t>9</w:t>
      </w:r>
      <w:r w:rsidRPr="005B6C26">
        <w:rPr>
          <w:rFonts w:ascii="Garamond" w:hAnsi="Garamond"/>
        </w:rPr>
        <w:t xml:space="preserve"> are the C</w:t>
      </w:r>
      <w:r>
        <w:rPr>
          <w:rFonts w:ascii="Garamond" w:hAnsi="Garamond"/>
        </w:rPr>
        <w:t xml:space="preserve">entral </w:t>
      </w:r>
      <w:r w:rsidRPr="005B6C26">
        <w:rPr>
          <w:rFonts w:ascii="Garamond" w:hAnsi="Garamond"/>
        </w:rPr>
        <w:t>B</w:t>
      </w:r>
      <w:r>
        <w:rPr>
          <w:rFonts w:ascii="Garamond" w:hAnsi="Garamond"/>
        </w:rPr>
        <w:t>ank</w:t>
      </w:r>
      <w:r w:rsidRPr="005B6C26">
        <w:rPr>
          <w:rFonts w:ascii="Garamond" w:hAnsi="Garamond"/>
        </w:rPr>
        <w:t xml:space="preserve"> projections which are based on the </w:t>
      </w:r>
      <w:r>
        <w:rPr>
          <w:rFonts w:ascii="Garamond" w:hAnsi="Garamond"/>
        </w:rPr>
        <w:t>fourth</w:t>
      </w:r>
      <w:r w:rsidRPr="005B6C26">
        <w:rPr>
          <w:rFonts w:ascii="Garamond" w:hAnsi="Garamond"/>
        </w:rPr>
        <w:t xml:space="preserve"> quarter of 2016 data and actual January-</w:t>
      </w:r>
      <w:r>
        <w:rPr>
          <w:rFonts w:ascii="Garamond" w:hAnsi="Garamond"/>
        </w:rPr>
        <w:t>February</w:t>
      </w:r>
      <w:r w:rsidRPr="005B6C26">
        <w:rPr>
          <w:rFonts w:ascii="Garamond" w:hAnsi="Garamond"/>
        </w:rPr>
        <w:t xml:space="preserve"> </w:t>
      </w:r>
      <w:r>
        <w:rPr>
          <w:rFonts w:ascii="Garamond" w:hAnsi="Garamond"/>
        </w:rPr>
        <w:t xml:space="preserve">of </w:t>
      </w:r>
      <w:r w:rsidRPr="005B6C26">
        <w:rPr>
          <w:rFonts w:ascii="Garamond" w:hAnsi="Garamond"/>
        </w:rPr>
        <w:t>201</w:t>
      </w:r>
      <w:r>
        <w:rPr>
          <w:rFonts w:ascii="Garamond" w:hAnsi="Garamond"/>
        </w:rPr>
        <w:t>7</w:t>
      </w:r>
      <w:r w:rsidRPr="005B6C26">
        <w:rPr>
          <w:rFonts w:ascii="Garamond" w:hAnsi="Garamond"/>
        </w:rPr>
        <w:t xml:space="preserve"> figures. The growth indicators presented in this sub-section are relative to the same reference period last year, unless otherwise specified.</w:t>
      </w:r>
    </w:p>
  </w:footnote>
  <w:footnote w:id="4">
    <w:p w14:paraId="49E891D3" w14:textId="77777777" w:rsidR="008274F3" w:rsidRDefault="008274F3" w:rsidP="007971BE">
      <w:pPr>
        <w:pStyle w:val="FootnoteText"/>
        <w:jc w:val="both"/>
      </w:pPr>
      <w:r>
        <w:rPr>
          <w:rStyle w:val="FootnoteReference"/>
        </w:rPr>
        <w:t>4</w:t>
      </w:r>
      <w:r>
        <w:t xml:space="preserve"> </w:t>
      </w:r>
      <w:r w:rsidRPr="000069EE">
        <w:rPr>
          <w:rFonts w:ascii="Garamond" w:hAnsi="Garamond"/>
        </w:rPr>
        <w:t>Average nominal wage</w:t>
      </w:r>
      <w:r>
        <w:rPr>
          <w:rFonts w:ascii="Garamond" w:hAnsi="Garamond"/>
        </w:rPr>
        <w:t xml:space="preserve"> constitutes a grand sum of salary and salary equivalents </w:t>
      </w:r>
      <w:r w:rsidRPr="000069EE">
        <w:rPr>
          <w:rFonts w:ascii="Garamond" w:hAnsi="Garamond"/>
        </w:rPr>
        <w:t>(</w:t>
      </w:r>
      <w:r>
        <w:rPr>
          <w:rFonts w:ascii="Garamond" w:hAnsi="Garamond"/>
        </w:rPr>
        <w:t>premiums</w:t>
      </w:r>
      <w:r w:rsidRPr="000069EE">
        <w:rPr>
          <w:rFonts w:ascii="Garamond" w:hAnsi="Garamond"/>
        </w:rPr>
        <w:t xml:space="preserve">, allowances, bonuses, </w:t>
      </w:r>
      <w:r>
        <w:rPr>
          <w:rFonts w:ascii="Garamond" w:hAnsi="Garamond"/>
        </w:rPr>
        <w:t>one-time incentive pays</w:t>
      </w:r>
      <w:r w:rsidRPr="000069EE">
        <w:rPr>
          <w:rFonts w:ascii="Garamond" w:hAnsi="Garamond"/>
        </w:rPr>
        <w:t>, etc.)</w:t>
      </w:r>
      <w:r>
        <w:rPr>
          <w:rFonts w:ascii="Garamond" w:hAnsi="Garamond"/>
        </w:rPr>
        <w:t>.</w:t>
      </w:r>
    </w:p>
  </w:footnote>
  <w:footnote w:id="5">
    <w:p w14:paraId="7A2F22DE" w14:textId="77777777" w:rsidR="008274F3" w:rsidRPr="00D810B0" w:rsidRDefault="008274F3" w:rsidP="00D810B0">
      <w:pPr>
        <w:pStyle w:val="FootnoteText"/>
        <w:jc w:val="both"/>
        <w:rPr>
          <w:rFonts w:ascii="Garamond" w:hAnsi="Garamond"/>
        </w:rPr>
      </w:pPr>
      <w:r>
        <w:rPr>
          <w:rStyle w:val="FootnoteReference"/>
        </w:rPr>
        <w:t>5</w:t>
      </w:r>
      <w:r w:rsidRPr="00D810B0">
        <w:rPr>
          <w:rFonts w:ascii="Garamond" w:hAnsi="Garamond"/>
        </w:rPr>
        <w:t xml:space="preserve"> The data of real growth of private consumption</w:t>
      </w:r>
      <w:r>
        <w:rPr>
          <w:rFonts w:ascii="Garamond" w:hAnsi="Garamond"/>
        </w:rPr>
        <w:t>,</w:t>
      </w:r>
      <w:r w:rsidRPr="00D810B0">
        <w:rPr>
          <w:rFonts w:ascii="Garamond" w:hAnsi="Garamond"/>
        </w:rPr>
        <w:t xml:space="preserve"> investments</w:t>
      </w:r>
      <w:r>
        <w:rPr>
          <w:rFonts w:ascii="Garamond" w:hAnsi="Garamond"/>
        </w:rPr>
        <w:t xml:space="preserve">, private spending and domestic demand </w:t>
      </w:r>
      <w:r w:rsidRPr="00D810B0">
        <w:rPr>
          <w:rFonts w:ascii="Garamond" w:hAnsi="Garamond"/>
        </w:rPr>
        <w:t>for 201</w:t>
      </w:r>
      <w:r>
        <w:rPr>
          <w:rFonts w:ascii="Garamond" w:hAnsi="Garamond"/>
        </w:rPr>
        <w:t>7</w:t>
      </w:r>
      <w:r w:rsidRPr="00D810B0">
        <w:rPr>
          <w:rFonts w:ascii="Garamond" w:hAnsi="Garamond"/>
        </w:rPr>
        <w:t>-201</w:t>
      </w:r>
      <w:r>
        <w:rPr>
          <w:rFonts w:ascii="Garamond" w:hAnsi="Garamond"/>
        </w:rPr>
        <w:t>9</w:t>
      </w:r>
      <w:r w:rsidRPr="00D810B0">
        <w:rPr>
          <w:rFonts w:ascii="Garamond" w:hAnsi="Garamond"/>
        </w:rPr>
        <w:t xml:space="preserve"> are the C</w:t>
      </w:r>
      <w:r>
        <w:rPr>
          <w:rFonts w:ascii="Garamond" w:hAnsi="Garamond"/>
        </w:rPr>
        <w:t xml:space="preserve">entral </w:t>
      </w:r>
      <w:r w:rsidRPr="00D810B0">
        <w:rPr>
          <w:rFonts w:ascii="Garamond" w:hAnsi="Garamond"/>
        </w:rPr>
        <w:t>B</w:t>
      </w:r>
      <w:r>
        <w:rPr>
          <w:rFonts w:ascii="Garamond" w:hAnsi="Garamond"/>
        </w:rPr>
        <w:t xml:space="preserve">ank </w:t>
      </w:r>
      <w:r w:rsidRPr="00D810B0">
        <w:rPr>
          <w:rFonts w:ascii="Garamond" w:hAnsi="Garamond"/>
        </w:rPr>
        <w:t xml:space="preserve">estimates. These actual figures are as of the </w:t>
      </w:r>
      <w:r>
        <w:rPr>
          <w:rFonts w:ascii="Garamond" w:hAnsi="Garamond"/>
        </w:rPr>
        <w:t xml:space="preserve">fourth </w:t>
      </w:r>
      <w:r w:rsidRPr="00D810B0">
        <w:rPr>
          <w:rFonts w:ascii="Garamond" w:hAnsi="Garamond"/>
        </w:rPr>
        <w:t>quarter of 201</w:t>
      </w:r>
      <w:r>
        <w:rPr>
          <w:rFonts w:ascii="Garamond" w:hAnsi="Garamond"/>
        </w:rPr>
        <w:t>6</w:t>
      </w:r>
      <w:r w:rsidRPr="00D810B0">
        <w:rPr>
          <w:rFonts w:ascii="Garamond" w:hAnsi="Garamond"/>
        </w:rPr>
        <w:t xml:space="preserve"> published by the National Statistics Service of Armenia. The real growth indicators represented in this sub-section are relative to the same reference period last year, unless otherwise specified.</w:t>
      </w:r>
    </w:p>
  </w:footnote>
  <w:footnote w:id="6">
    <w:p w14:paraId="7D5988F8" w14:textId="77777777" w:rsidR="008274F3" w:rsidRPr="00031B30" w:rsidRDefault="008274F3" w:rsidP="00031B30">
      <w:pPr>
        <w:pStyle w:val="FootnoteText"/>
        <w:jc w:val="both"/>
        <w:rPr>
          <w:rFonts w:ascii="Garamond" w:hAnsi="Garamond"/>
        </w:rPr>
      </w:pPr>
      <w:r w:rsidRPr="00031B30">
        <w:rPr>
          <w:rStyle w:val="FootnoteReference"/>
          <w:rFonts w:ascii="Garamond" w:hAnsi="Garamond"/>
        </w:rPr>
        <w:t>6</w:t>
      </w:r>
      <w:r w:rsidRPr="00031B30">
        <w:rPr>
          <w:rFonts w:ascii="Garamond" w:hAnsi="Garamond"/>
        </w:rPr>
        <w:t xml:space="preserve"> The previous year’s unprecedented growth of this item owed to a record growth of sub-item “Other products made of previous metals and metals”, which was not reported in the first quarter of 2017.</w:t>
      </w:r>
    </w:p>
  </w:footnote>
  <w:footnote w:id="7">
    <w:p w14:paraId="6EE888B4" w14:textId="77777777" w:rsidR="008274F3" w:rsidRPr="00031B30" w:rsidRDefault="008274F3" w:rsidP="00031B30">
      <w:pPr>
        <w:pStyle w:val="FootnoteText"/>
        <w:jc w:val="both"/>
        <w:rPr>
          <w:rFonts w:ascii="Garamond" w:hAnsi="Garamond"/>
        </w:rPr>
      </w:pPr>
      <w:r w:rsidRPr="00031B30">
        <w:rPr>
          <w:rStyle w:val="FootnoteReference"/>
          <w:rFonts w:ascii="Garamond" w:hAnsi="Garamond"/>
        </w:rPr>
        <w:t>7</w:t>
      </w:r>
      <w:r w:rsidRPr="00031B30">
        <w:rPr>
          <w:rFonts w:ascii="Garamond" w:hAnsi="Garamond"/>
        </w:rPr>
        <w:t xml:space="preserve"> </w:t>
      </w:r>
      <w:r>
        <w:rPr>
          <w:rFonts w:ascii="Garamond" w:hAnsi="Garamond"/>
        </w:rPr>
        <w:t>T</w:t>
      </w:r>
      <w:r w:rsidRPr="00031B30">
        <w:rPr>
          <w:rFonts w:ascii="Garamond" w:hAnsi="Garamond"/>
        </w:rPr>
        <w:t>he</w:t>
      </w:r>
      <w:r>
        <w:rPr>
          <w:rFonts w:ascii="Garamond" w:hAnsi="Garamond"/>
        </w:rPr>
        <w:t xml:space="preserve"> indicators defined under </w:t>
      </w:r>
      <w:r w:rsidRPr="00031B30">
        <w:rPr>
          <w:rFonts w:ascii="Garamond" w:hAnsi="Garamond"/>
        </w:rPr>
        <w:t xml:space="preserve">the laws of the state budget </w:t>
      </w:r>
      <w:r>
        <w:rPr>
          <w:rFonts w:ascii="Garamond" w:hAnsi="Garamond"/>
        </w:rPr>
        <w:t>are subject to adjustment under selected Government decrees, and are placed at the Government’s website</w:t>
      </w:r>
      <w:r w:rsidRPr="00031B30">
        <w:rPr>
          <w:rFonts w:ascii="Garamond" w:hAnsi="Garamond"/>
        </w:rPr>
        <w:t>://www.e-gov.am.</w:t>
      </w:r>
    </w:p>
  </w:footnote>
  <w:footnote w:id="8">
    <w:p w14:paraId="69D14FE8" w14:textId="77777777" w:rsidR="008274F3" w:rsidRPr="00031B30" w:rsidRDefault="008274F3" w:rsidP="00031B30">
      <w:pPr>
        <w:pStyle w:val="FootnoteText"/>
        <w:jc w:val="both"/>
        <w:rPr>
          <w:rFonts w:ascii="Garamond" w:hAnsi="Garamond"/>
        </w:rPr>
      </w:pPr>
      <w:r>
        <w:rPr>
          <w:rStyle w:val="FootnoteReference"/>
        </w:rPr>
        <w:t>8</w:t>
      </w:r>
      <w:r w:rsidRPr="00031B30">
        <w:rPr>
          <w:rFonts w:ascii="Garamond" w:hAnsi="Garamond"/>
        </w:rPr>
        <w:t xml:space="preserve"> The 2017 GDP is the Central Bank estimate.</w:t>
      </w:r>
    </w:p>
  </w:footnote>
  <w:footnote w:id="9">
    <w:p w14:paraId="1DF3747D" w14:textId="77777777" w:rsidR="008274F3" w:rsidRPr="001805F5" w:rsidRDefault="008274F3" w:rsidP="001805F5">
      <w:pPr>
        <w:pStyle w:val="FootnoteText"/>
        <w:jc w:val="both"/>
        <w:rPr>
          <w:rFonts w:ascii="Garamond" w:hAnsi="Garamond"/>
        </w:rPr>
      </w:pPr>
      <w:r>
        <w:rPr>
          <w:rStyle w:val="FootnoteReference"/>
        </w:rPr>
        <w:t>10</w:t>
      </w:r>
      <w:r w:rsidRPr="001805F5">
        <w:rPr>
          <w:rFonts w:ascii="Garamond" w:hAnsi="Garamond"/>
        </w:rPr>
        <w:t xml:space="preserve"> </w:t>
      </w:r>
      <w:r>
        <w:rPr>
          <w:rFonts w:ascii="Garamond" w:hAnsi="Garamond"/>
        </w:rPr>
        <w:t xml:space="preserve">Some </w:t>
      </w:r>
      <w:r w:rsidRPr="001805F5">
        <w:rPr>
          <w:rFonts w:ascii="Garamond" w:hAnsi="Garamond"/>
        </w:rPr>
        <w:t xml:space="preserve">statistical discrepancy between the </w:t>
      </w:r>
      <w:r>
        <w:rPr>
          <w:rFonts w:ascii="Garamond" w:hAnsi="Garamond"/>
        </w:rPr>
        <w:t xml:space="preserve">grand sum of certain commodity items’ </w:t>
      </w:r>
      <w:r w:rsidRPr="001805F5">
        <w:rPr>
          <w:rFonts w:ascii="Garamond" w:hAnsi="Garamond"/>
        </w:rPr>
        <w:t>contribution to</w:t>
      </w:r>
      <w:r>
        <w:rPr>
          <w:rFonts w:ascii="Garamond" w:hAnsi="Garamond"/>
        </w:rPr>
        <w:t xml:space="preserve"> inflation and the </w:t>
      </w:r>
      <w:r w:rsidRPr="001805F5">
        <w:rPr>
          <w:rFonts w:ascii="Garamond" w:hAnsi="Garamond"/>
        </w:rPr>
        <w:t>official</w:t>
      </w:r>
      <w:r>
        <w:rPr>
          <w:rFonts w:ascii="Garamond" w:hAnsi="Garamond"/>
        </w:rPr>
        <w:t>ly published</w:t>
      </w:r>
      <w:r w:rsidRPr="001805F5">
        <w:rPr>
          <w:rFonts w:ascii="Garamond" w:hAnsi="Garamond"/>
        </w:rPr>
        <w:t xml:space="preserve"> </w:t>
      </w:r>
      <w:r>
        <w:rPr>
          <w:rFonts w:ascii="Garamond" w:hAnsi="Garamond"/>
        </w:rPr>
        <w:t xml:space="preserve">headline inflation can be found due to the characteristics of </w:t>
      </w:r>
      <w:r w:rsidRPr="001805F5">
        <w:rPr>
          <w:rFonts w:ascii="Garamond" w:hAnsi="Garamond"/>
        </w:rPr>
        <w:t>statistical methodology</w:t>
      </w:r>
      <w:r>
        <w:rPr>
          <w:rFonts w:ascii="Garamond" w:hAnsi="Garamond"/>
        </w:rPr>
        <w:t xml:space="preserve"> for inflation calculation</w:t>
      </w:r>
      <w:r w:rsidRPr="001805F5">
        <w:rPr>
          <w:rFonts w:ascii="Garamond" w:hAnsi="Garamond"/>
        </w:rPr>
        <w:t>.</w:t>
      </w:r>
    </w:p>
  </w:footnote>
  <w:footnote w:id="10">
    <w:p w14:paraId="1FC8A6E5" w14:textId="77777777" w:rsidR="008274F3" w:rsidRPr="009C2884" w:rsidRDefault="008274F3" w:rsidP="009C2884">
      <w:pPr>
        <w:pStyle w:val="FootnoteText"/>
        <w:jc w:val="both"/>
        <w:rPr>
          <w:rFonts w:ascii="Garamond" w:eastAsia="Calibri" w:hAnsi="Garamond" w:cs="Sylfaen"/>
          <w:lang w:val="hy-AM"/>
        </w:rPr>
      </w:pPr>
      <w:r>
        <w:rPr>
          <w:rStyle w:val="FootnoteReference"/>
        </w:rPr>
        <w:t>12</w:t>
      </w:r>
      <w:r w:rsidRPr="009C2884">
        <w:rPr>
          <w:rFonts w:ascii="Garamond" w:hAnsi="Garamond"/>
        </w:rPr>
        <w:t xml:space="preserve"> </w:t>
      </w:r>
      <w:r w:rsidRPr="009C2884">
        <w:rPr>
          <w:rFonts w:ascii="Garamond" w:eastAsia="Calibri" w:hAnsi="Garamond" w:cs="Sylfaen"/>
        </w:rPr>
        <w:t>T</w:t>
      </w:r>
      <w:r w:rsidRPr="009C2884">
        <w:rPr>
          <w:rFonts w:ascii="Garamond" w:hAnsi="Garamond"/>
        </w:rPr>
        <w:t>he price index change for January-</w:t>
      </w:r>
      <w:r>
        <w:rPr>
          <w:rFonts w:ascii="Garamond" w:hAnsi="Garamond"/>
        </w:rPr>
        <w:t>March</w:t>
      </w:r>
      <w:r w:rsidRPr="009C2884">
        <w:rPr>
          <w:rFonts w:ascii="Garamond" w:hAnsi="Garamond"/>
        </w:rPr>
        <w:t xml:space="preserve"> 201</w:t>
      </w:r>
      <w:r>
        <w:rPr>
          <w:rFonts w:ascii="Garamond" w:hAnsi="Garamond"/>
        </w:rPr>
        <w:t>7</w:t>
      </w:r>
      <w:r w:rsidRPr="009C2884">
        <w:rPr>
          <w:rFonts w:ascii="Garamond" w:hAnsi="Garamond"/>
        </w:rPr>
        <w:t xml:space="preserve"> is relative to the same reference period last year, unless otherwise specified.</w:t>
      </w:r>
    </w:p>
  </w:footnote>
  <w:footnote w:id="11">
    <w:p w14:paraId="6FB75D9B" w14:textId="77777777" w:rsidR="008274F3" w:rsidRPr="00EC0F2E" w:rsidRDefault="008274F3" w:rsidP="00EC0F2E">
      <w:pPr>
        <w:pStyle w:val="FootnoteText"/>
        <w:jc w:val="both"/>
        <w:rPr>
          <w:rFonts w:ascii="Garamond" w:hAnsi="Garamond"/>
        </w:rPr>
      </w:pPr>
      <w:r>
        <w:rPr>
          <w:rStyle w:val="FootnoteReference"/>
        </w:rPr>
        <w:t>13</w:t>
      </w:r>
      <w:r w:rsidRPr="00EC0F2E">
        <w:rPr>
          <w:rFonts w:ascii="Garamond" w:hAnsi="Garamond"/>
        </w:rPr>
        <w:t xml:space="preserve"> The indicators of y/y real growth of value added in sectors of the economy for January-</w:t>
      </w:r>
      <w:r>
        <w:rPr>
          <w:rFonts w:ascii="Garamond" w:hAnsi="Garamond"/>
        </w:rPr>
        <w:t>March</w:t>
      </w:r>
      <w:r w:rsidRPr="00EC0F2E">
        <w:rPr>
          <w:rFonts w:ascii="Garamond" w:hAnsi="Garamond"/>
        </w:rPr>
        <w:t xml:space="preserve"> 201</w:t>
      </w:r>
      <w:r>
        <w:rPr>
          <w:rFonts w:ascii="Garamond" w:hAnsi="Garamond"/>
        </w:rPr>
        <w:t>7</w:t>
      </w:r>
      <w:r w:rsidRPr="00EC0F2E">
        <w:rPr>
          <w:rFonts w:ascii="Garamond" w:hAnsi="Garamond"/>
        </w:rPr>
        <w:t xml:space="preserve"> are the C</w:t>
      </w:r>
      <w:r>
        <w:rPr>
          <w:rFonts w:ascii="Garamond" w:hAnsi="Garamond"/>
        </w:rPr>
        <w:t xml:space="preserve">entral Bank </w:t>
      </w:r>
      <w:r w:rsidRPr="00EC0F2E">
        <w:rPr>
          <w:rFonts w:ascii="Garamond" w:hAnsi="Garamond"/>
        </w:rPr>
        <w:t>forecasts, whereas the indicators of sub-sectors represent growth rates in output volumes for January-</w:t>
      </w:r>
      <w:r>
        <w:rPr>
          <w:rFonts w:ascii="Garamond" w:hAnsi="Garamond"/>
        </w:rPr>
        <w:t xml:space="preserve">March </w:t>
      </w:r>
      <w:r w:rsidRPr="00EC0F2E">
        <w:rPr>
          <w:rFonts w:ascii="Garamond" w:hAnsi="Garamond"/>
        </w:rPr>
        <w:t>201</w:t>
      </w:r>
      <w:r>
        <w:rPr>
          <w:rFonts w:ascii="Garamond" w:hAnsi="Garamond"/>
        </w:rPr>
        <w:t>7</w:t>
      </w:r>
      <w:r w:rsidRPr="00EC0F2E">
        <w:rPr>
          <w:rFonts w:ascii="Garamond" w:hAnsi="Garamond"/>
        </w:rPr>
        <w:t>, unless otherwise specified.</w:t>
      </w:r>
    </w:p>
  </w:footnote>
  <w:footnote w:id="12">
    <w:p w14:paraId="688EE8E9" w14:textId="77777777" w:rsidR="008274F3" w:rsidRPr="006E1188" w:rsidRDefault="008274F3" w:rsidP="006E1188">
      <w:pPr>
        <w:pStyle w:val="FootnoteText"/>
        <w:jc w:val="both"/>
        <w:rPr>
          <w:rFonts w:ascii="Garamond" w:hAnsi="Garamond"/>
        </w:rPr>
      </w:pPr>
      <w:r w:rsidRPr="006E1188">
        <w:rPr>
          <w:rStyle w:val="FootnoteReference"/>
          <w:rFonts w:ascii="Garamond" w:hAnsi="Garamond"/>
        </w:rPr>
        <w:t>14</w:t>
      </w:r>
      <w:r w:rsidRPr="006E1188">
        <w:rPr>
          <w:rFonts w:ascii="Garamond" w:hAnsi="Garamond"/>
        </w:rPr>
        <w:t xml:space="preserve"> The growth potential of the economy in the first quarter of 2017 is estimated to be around 4.5%, which is higher than the previous quarter </w:t>
      </w:r>
      <w:r>
        <w:rPr>
          <w:rFonts w:ascii="Garamond" w:hAnsi="Garamond"/>
        </w:rPr>
        <w:t xml:space="preserve">by approximately </w:t>
      </w:r>
      <w:r w:rsidRPr="006E1188">
        <w:rPr>
          <w:rFonts w:ascii="Garamond" w:hAnsi="Garamond"/>
        </w:rPr>
        <w:t>3.0 percentage points.</w:t>
      </w:r>
    </w:p>
  </w:footnote>
  <w:footnote w:id="13">
    <w:p w14:paraId="4D8A182C" w14:textId="77777777" w:rsidR="008274F3" w:rsidRPr="0065044E" w:rsidRDefault="008274F3" w:rsidP="0065044E">
      <w:pPr>
        <w:pStyle w:val="FootnoteText"/>
        <w:jc w:val="both"/>
        <w:rPr>
          <w:rFonts w:ascii="Garamond" w:hAnsi="Garamond"/>
        </w:rPr>
      </w:pPr>
      <w:r>
        <w:rPr>
          <w:rStyle w:val="FootnoteReference"/>
        </w:rPr>
        <w:t>15</w:t>
      </w:r>
      <w:r w:rsidRPr="0065044E">
        <w:rPr>
          <w:rFonts w:ascii="Garamond" w:hAnsi="Garamond"/>
        </w:rPr>
        <w:t xml:space="preserve"> The private spending, private consumption and private investment indicators for the </w:t>
      </w:r>
      <w:r>
        <w:rPr>
          <w:rFonts w:ascii="Garamond" w:hAnsi="Garamond"/>
        </w:rPr>
        <w:t xml:space="preserve">first </w:t>
      </w:r>
      <w:r w:rsidRPr="0065044E">
        <w:rPr>
          <w:rFonts w:ascii="Garamond" w:hAnsi="Garamond"/>
        </w:rPr>
        <w:t>quarter of 201</w:t>
      </w:r>
      <w:r>
        <w:rPr>
          <w:rFonts w:ascii="Garamond" w:hAnsi="Garamond"/>
        </w:rPr>
        <w:t>7</w:t>
      </w:r>
      <w:r w:rsidRPr="0065044E">
        <w:rPr>
          <w:rFonts w:ascii="Garamond" w:hAnsi="Garamond"/>
        </w:rPr>
        <w:t xml:space="preserve"> are the C</w:t>
      </w:r>
      <w:r>
        <w:rPr>
          <w:rFonts w:ascii="Garamond" w:hAnsi="Garamond"/>
        </w:rPr>
        <w:t xml:space="preserve">entral </w:t>
      </w:r>
      <w:r w:rsidRPr="0065044E">
        <w:rPr>
          <w:rFonts w:ascii="Garamond" w:hAnsi="Garamond"/>
        </w:rPr>
        <w:t>B</w:t>
      </w:r>
      <w:r>
        <w:rPr>
          <w:rFonts w:ascii="Garamond" w:hAnsi="Garamond"/>
        </w:rPr>
        <w:t>ank</w:t>
      </w:r>
      <w:r w:rsidRPr="0065044E">
        <w:rPr>
          <w:rFonts w:ascii="Garamond" w:hAnsi="Garamond"/>
        </w:rPr>
        <w:t xml:space="preserve"> estimates which are based on the </w:t>
      </w:r>
      <w:r>
        <w:rPr>
          <w:rFonts w:ascii="Garamond" w:hAnsi="Garamond"/>
        </w:rPr>
        <w:t xml:space="preserve">actual fourth </w:t>
      </w:r>
      <w:r w:rsidRPr="0065044E">
        <w:rPr>
          <w:rFonts w:ascii="Garamond" w:hAnsi="Garamond"/>
        </w:rPr>
        <w:t>quarter 201</w:t>
      </w:r>
      <w:r>
        <w:rPr>
          <w:rFonts w:ascii="Garamond" w:hAnsi="Garamond"/>
        </w:rPr>
        <w:t>6</w:t>
      </w:r>
      <w:r w:rsidRPr="0065044E">
        <w:rPr>
          <w:rFonts w:ascii="Garamond" w:hAnsi="Garamond"/>
        </w:rPr>
        <w:t xml:space="preserve"> data. The growth estimates provided in this sub-section are relative to the same reference period last year, unless otherwise specified.</w:t>
      </w:r>
    </w:p>
  </w:footnote>
  <w:footnote w:id="14">
    <w:p w14:paraId="45CE2E8B" w14:textId="77777777" w:rsidR="008274F3" w:rsidRPr="00F05148" w:rsidRDefault="008274F3" w:rsidP="00F05148">
      <w:pPr>
        <w:pStyle w:val="FootnoteText"/>
        <w:jc w:val="both"/>
        <w:rPr>
          <w:rFonts w:ascii="Garamond" w:hAnsi="Garamond"/>
        </w:rPr>
      </w:pPr>
      <w:r w:rsidRPr="00F05148">
        <w:rPr>
          <w:rStyle w:val="FootnoteReference"/>
          <w:rFonts w:ascii="Garamond" w:hAnsi="Garamond"/>
        </w:rPr>
        <w:t>16</w:t>
      </w:r>
      <w:r w:rsidRPr="00F05148">
        <w:rPr>
          <w:rFonts w:ascii="Garamond" w:hAnsi="Garamond"/>
        </w:rPr>
        <w:t xml:space="preserve"> </w:t>
      </w:r>
      <w:r>
        <w:rPr>
          <w:rFonts w:ascii="Garamond" w:hAnsi="Garamond"/>
        </w:rPr>
        <w:t>F</w:t>
      </w:r>
      <w:r w:rsidRPr="00F05148">
        <w:rPr>
          <w:rFonts w:ascii="Garamond" w:hAnsi="Garamond"/>
        </w:rPr>
        <w:t xml:space="preserve">urther developments in private spending and </w:t>
      </w:r>
      <w:r>
        <w:rPr>
          <w:rFonts w:ascii="Garamond" w:hAnsi="Garamond"/>
        </w:rPr>
        <w:t>inflationary effects therefrom are</w:t>
      </w:r>
      <w:r w:rsidRPr="00F05148">
        <w:rPr>
          <w:rFonts w:ascii="Garamond" w:hAnsi="Garamond"/>
        </w:rPr>
        <w:t xml:space="preserve"> presented in more detail in the section</w:t>
      </w:r>
      <w:r>
        <w:rPr>
          <w:rFonts w:ascii="Garamond" w:hAnsi="Garamond"/>
        </w:rPr>
        <w:t xml:space="preserve"> of forecasts</w:t>
      </w:r>
      <w:r w:rsidRPr="00F05148">
        <w:rPr>
          <w:rFonts w:ascii="Garamond" w:hAnsi="Garamond"/>
        </w:rPr>
        <w:t>.</w:t>
      </w:r>
    </w:p>
  </w:footnote>
  <w:footnote w:id="15">
    <w:p w14:paraId="11DC6D2E" w14:textId="77777777" w:rsidR="008274F3" w:rsidRDefault="008274F3" w:rsidP="009D7FBF">
      <w:pPr>
        <w:pStyle w:val="FootnoteText"/>
        <w:jc w:val="both"/>
      </w:pPr>
      <w:r>
        <w:rPr>
          <w:rStyle w:val="FootnoteReference"/>
        </w:rPr>
        <w:t>17</w:t>
      </w:r>
      <w:r>
        <w:t xml:space="preserve"> </w:t>
      </w:r>
      <w:r w:rsidRPr="00C270AF">
        <w:rPr>
          <w:rFonts w:ascii="Garamond" w:hAnsi="Garamond"/>
          <w:lang w:val="pt-BR"/>
        </w:rPr>
        <w:t>Real export and import growth indicators are the C</w:t>
      </w:r>
      <w:r>
        <w:rPr>
          <w:rFonts w:ascii="Garamond" w:hAnsi="Garamond"/>
          <w:lang w:val="pt-BR"/>
        </w:rPr>
        <w:t xml:space="preserve">entral </w:t>
      </w:r>
      <w:r w:rsidRPr="00C270AF">
        <w:rPr>
          <w:rFonts w:ascii="Garamond" w:hAnsi="Garamond"/>
          <w:lang w:val="pt-BR"/>
        </w:rPr>
        <w:t>B</w:t>
      </w:r>
      <w:r>
        <w:rPr>
          <w:rFonts w:ascii="Garamond" w:hAnsi="Garamond"/>
          <w:lang w:val="pt-BR"/>
        </w:rPr>
        <w:t>ank</w:t>
      </w:r>
      <w:r w:rsidRPr="00C270AF">
        <w:rPr>
          <w:rFonts w:ascii="Garamond" w:hAnsi="Garamond"/>
          <w:lang w:val="pt-BR"/>
        </w:rPr>
        <w:t xml:space="preserve"> estimates</w:t>
      </w:r>
      <w:r w:rsidRPr="00C270AF">
        <w:rPr>
          <w:rFonts w:ascii="Garamond" w:hAnsi="Garamond"/>
          <w:color w:val="000000"/>
        </w:rPr>
        <w:t>.</w:t>
      </w:r>
    </w:p>
  </w:footnote>
  <w:footnote w:id="16">
    <w:p w14:paraId="505539A7" w14:textId="77777777" w:rsidR="008274F3" w:rsidRPr="002847C1" w:rsidRDefault="008274F3" w:rsidP="002847C1">
      <w:pPr>
        <w:pStyle w:val="FootnoteText"/>
        <w:jc w:val="both"/>
        <w:rPr>
          <w:rFonts w:ascii="Garamond" w:hAnsi="Garamond"/>
        </w:rPr>
      </w:pPr>
      <w:r>
        <w:rPr>
          <w:rStyle w:val="FootnoteReference"/>
        </w:rPr>
        <w:t>18</w:t>
      </w:r>
      <w:r w:rsidRPr="002847C1">
        <w:rPr>
          <w:rFonts w:ascii="Garamond" w:hAnsi="Garamond"/>
        </w:rPr>
        <w:t xml:space="preserve"> The labor market data for the </w:t>
      </w:r>
      <w:r>
        <w:rPr>
          <w:rFonts w:ascii="Garamond" w:hAnsi="Garamond"/>
        </w:rPr>
        <w:t xml:space="preserve">first </w:t>
      </w:r>
      <w:r w:rsidRPr="002847C1">
        <w:rPr>
          <w:rFonts w:ascii="Garamond" w:hAnsi="Garamond"/>
        </w:rPr>
        <w:t>quarter of 201</w:t>
      </w:r>
      <w:r>
        <w:rPr>
          <w:rFonts w:ascii="Garamond" w:hAnsi="Garamond"/>
        </w:rPr>
        <w:t>7</w:t>
      </w:r>
      <w:r w:rsidRPr="002847C1">
        <w:rPr>
          <w:rFonts w:ascii="Garamond" w:hAnsi="Garamond"/>
        </w:rPr>
        <w:t xml:space="preserve"> are the C</w:t>
      </w:r>
      <w:r>
        <w:rPr>
          <w:rFonts w:ascii="Garamond" w:hAnsi="Garamond"/>
        </w:rPr>
        <w:t xml:space="preserve">entral </w:t>
      </w:r>
      <w:r w:rsidRPr="002847C1">
        <w:rPr>
          <w:rFonts w:ascii="Garamond" w:hAnsi="Garamond"/>
        </w:rPr>
        <w:t>B</w:t>
      </w:r>
      <w:r>
        <w:rPr>
          <w:rFonts w:ascii="Garamond" w:hAnsi="Garamond"/>
        </w:rPr>
        <w:t xml:space="preserve">ank </w:t>
      </w:r>
      <w:r w:rsidRPr="002847C1">
        <w:rPr>
          <w:rFonts w:ascii="Garamond" w:hAnsi="Garamond"/>
        </w:rPr>
        <w:t xml:space="preserve">estimates which are based on the </w:t>
      </w:r>
      <w:r>
        <w:rPr>
          <w:rFonts w:ascii="Garamond" w:hAnsi="Garamond"/>
        </w:rPr>
        <w:t>fourth quarter 2016</w:t>
      </w:r>
      <w:r w:rsidRPr="002847C1">
        <w:rPr>
          <w:rFonts w:ascii="Garamond" w:hAnsi="Garamond"/>
        </w:rPr>
        <w:t xml:space="preserve"> data and actual </w:t>
      </w:r>
      <w:r>
        <w:rPr>
          <w:rFonts w:ascii="Garamond" w:hAnsi="Garamond"/>
        </w:rPr>
        <w:t>January</w:t>
      </w:r>
      <w:r w:rsidRPr="002847C1">
        <w:rPr>
          <w:rFonts w:ascii="Garamond" w:hAnsi="Garamond"/>
        </w:rPr>
        <w:t>-</w:t>
      </w:r>
      <w:r>
        <w:rPr>
          <w:rFonts w:ascii="Garamond" w:hAnsi="Garamond"/>
        </w:rPr>
        <w:t>February</w:t>
      </w:r>
      <w:r w:rsidRPr="002847C1">
        <w:rPr>
          <w:rFonts w:ascii="Garamond" w:hAnsi="Garamond"/>
        </w:rPr>
        <w:t xml:space="preserve"> 201</w:t>
      </w:r>
      <w:r>
        <w:rPr>
          <w:rFonts w:ascii="Garamond" w:hAnsi="Garamond"/>
        </w:rPr>
        <w:t>7</w:t>
      </w:r>
      <w:r w:rsidRPr="002847C1">
        <w:rPr>
          <w:rFonts w:ascii="Garamond" w:hAnsi="Garamond"/>
        </w:rPr>
        <w:t xml:space="preserve"> figures. The growth indicators provided in this sub-section are relative to the same reference period last year, unless otherwise specified.</w:t>
      </w:r>
    </w:p>
  </w:footnote>
  <w:footnote w:id="17">
    <w:p w14:paraId="7091A17E" w14:textId="77777777" w:rsidR="008274F3" w:rsidRPr="008D531F" w:rsidRDefault="008274F3" w:rsidP="008D531F">
      <w:pPr>
        <w:pStyle w:val="FootnoteText"/>
        <w:jc w:val="both"/>
        <w:rPr>
          <w:rFonts w:ascii="Garamond" w:hAnsi="Garamond"/>
        </w:rPr>
      </w:pPr>
      <w:r>
        <w:rPr>
          <w:rStyle w:val="FootnoteReference"/>
        </w:rPr>
        <w:t>19</w:t>
      </w:r>
      <w:r>
        <w:t xml:space="preserve"> </w:t>
      </w:r>
      <w:r w:rsidRPr="008D531F">
        <w:rPr>
          <w:rFonts w:ascii="Garamond" w:hAnsi="Garamond"/>
          <w:iCs/>
        </w:rPr>
        <w:t xml:space="preserve">The review of the fiscal sector was done using preliminary actual consolidated budget indicators </w:t>
      </w:r>
      <w:r>
        <w:rPr>
          <w:rFonts w:ascii="Garamond" w:hAnsi="Garamond"/>
          <w:iCs/>
        </w:rPr>
        <w:t xml:space="preserve">(local budgets as an estimate) </w:t>
      </w:r>
      <w:r w:rsidRPr="008D531F">
        <w:rPr>
          <w:rFonts w:ascii="Garamond" w:hAnsi="Garamond"/>
          <w:iCs/>
        </w:rPr>
        <w:t xml:space="preserve">prepared on the basis of preliminary actual indicators of the </w:t>
      </w:r>
      <w:r>
        <w:rPr>
          <w:rFonts w:ascii="Garamond" w:hAnsi="Garamond"/>
          <w:iCs/>
        </w:rPr>
        <w:t>first quarter of 2017</w:t>
      </w:r>
      <w:r w:rsidRPr="008D531F">
        <w:rPr>
          <w:rFonts w:ascii="Garamond" w:hAnsi="Garamond"/>
          <w:iCs/>
        </w:rPr>
        <w:t xml:space="preserve"> (PIU funds included), excluding off-budgetary funds. The impact of revenues was calculated in respect of the nominal GDP indicator while the impact of expenditures, in respect of an estimated economic potential.</w:t>
      </w:r>
    </w:p>
  </w:footnote>
  <w:footnote w:id="18">
    <w:p w14:paraId="1DED5935" w14:textId="77777777" w:rsidR="008274F3" w:rsidRPr="00B24F76" w:rsidRDefault="008274F3" w:rsidP="00B24F76">
      <w:pPr>
        <w:pStyle w:val="FootnoteText"/>
        <w:jc w:val="both"/>
        <w:rPr>
          <w:rFonts w:ascii="Garamond" w:hAnsi="Garamond"/>
        </w:rPr>
      </w:pPr>
      <w:r>
        <w:rPr>
          <w:rStyle w:val="FootnoteReference"/>
        </w:rPr>
        <w:t>20</w:t>
      </w:r>
      <w:r w:rsidRPr="00201FF4">
        <w:rPr>
          <w:rFonts w:ascii="Garamond" w:hAnsi="Garamond"/>
        </w:rPr>
        <w:t xml:space="preserve"> </w:t>
      </w:r>
      <w:r>
        <w:rPr>
          <w:rFonts w:ascii="Garamond" w:hAnsi="Garamond"/>
        </w:rPr>
        <w:t xml:space="preserve">Comparison was made with the Central Bank projections. </w:t>
      </w:r>
    </w:p>
  </w:footnote>
  <w:footnote w:id="19">
    <w:p w14:paraId="3584189A" w14:textId="77777777" w:rsidR="008274F3" w:rsidRPr="00727D7E" w:rsidRDefault="008274F3" w:rsidP="00727D7E">
      <w:pPr>
        <w:pStyle w:val="FootnoteText"/>
        <w:jc w:val="both"/>
        <w:rPr>
          <w:rFonts w:ascii="Garamond" w:hAnsi="Garamond"/>
        </w:rPr>
      </w:pPr>
      <w:r w:rsidRPr="00727D7E">
        <w:rPr>
          <w:rStyle w:val="FootnoteReference"/>
          <w:rFonts w:ascii="Garamond" w:hAnsi="Garamond"/>
        </w:rPr>
        <w:t>21</w:t>
      </w:r>
      <w:r w:rsidRPr="00727D7E">
        <w:rPr>
          <w:rFonts w:ascii="Garamond" w:hAnsi="Garamond"/>
        </w:rPr>
        <w:t xml:space="preserve"> </w:t>
      </w:r>
      <w:r>
        <w:rPr>
          <w:rFonts w:ascii="Garamond" w:hAnsi="Garamond"/>
        </w:rPr>
        <w:t>Further i</w:t>
      </w:r>
      <w:r w:rsidRPr="00727D7E">
        <w:rPr>
          <w:rFonts w:ascii="Garamond" w:hAnsi="Garamond"/>
        </w:rPr>
        <w:t xml:space="preserve">nflationary effects of aggregate demand and labor market are described in the </w:t>
      </w:r>
      <w:r>
        <w:rPr>
          <w:rFonts w:ascii="Garamond" w:hAnsi="Garamond"/>
        </w:rPr>
        <w:t xml:space="preserve">forecasts </w:t>
      </w:r>
      <w:r w:rsidRPr="00727D7E">
        <w:rPr>
          <w:rFonts w:ascii="Garamond" w:hAnsi="Garamond"/>
        </w:rPr>
        <w:t>section.</w:t>
      </w:r>
    </w:p>
  </w:footnote>
  <w:footnote w:id="20">
    <w:p w14:paraId="27B09753" w14:textId="77777777" w:rsidR="008274F3" w:rsidRPr="00041745" w:rsidRDefault="008274F3" w:rsidP="00041745">
      <w:pPr>
        <w:pStyle w:val="FootnoteText"/>
        <w:jc w:val="both"/>
        <w:rPr>
          <w:rFonts w:ascii="Garamond" w:hAnsi="Garamond"/>
        </w:rPr>
      </w:pPr>
      <w:r w:rsidRPr="00041745">
        <w:rPr>
          <w:rStyle w:val="FootnoteReference"/>
          <w:rFonts w:ascii="Garamond" w:hAnsi="Garamond"/>
        </w:rPr>
        <w:t>22</w:t>
      </w:r>
      <w:r w:rsidRPr="00041745">
        <w:rPr>
          <w:rFonts w:ascii="Garamond" w:hAnsi="Garamond"/>
        </w:rPr>
        <w:t xml:space="preserve"> It is important to note that anchored inflationary expectations </w:t>
      </w:r>
      <w:r>
        <w:rPr>
          <w:rFonts w:ascii="Garamond" w:hAnsi="Garamond"/>
        </w:rPr>
        <w:t xml:space="preserve">is </w:t>
      </w:r>
      <w:r w:rsidRPr="00041745">
        <w:rPr>
          <w:rFonts w:ascii="Garamond" w:hAnsi="Garamond"/>
        </w:rPr>
        <w:t>one precondition for effective transmission of monetary policy</w:t>
      </w:r>
      <w:r>
        <w:rPr>
          <w:rFonts w:ascii="Garamond" w:hAnsi="Garamond"/>
        </w:rPr>
        <w:t xml:space="preserve">, and such expectations </w:t>
      </w:r>
      <w:r w:rsidRPr="00041745">
        <w:rPr>
          <w:rFonts w:ascii="Garamond" w:hAnsi="Garamond"/>
        </w:rPr>
        <w:t xml:space="preserve">may differ significantly from actual inflation. For example, actual inflation in 2015-2016 has been lower from the target, whereas the Central Bank surveys pointed to the fact that perception of the households and companies about inflation </w:t>
      </w:r>
      <w:r>
        <w:rPr>
          <w:rFonts w:ascii="Garamond" w:hAnsi="Garamond"/>
        </w:rPr>
        <w:t xml:space="preserve">had been </w:t>
      </w:r>
      <w:r w:rsidRPr="00041745">
        <w:rPr>
          <w:rFonts w:ascii="Garamond" w:hAnsi="Garamond"/>
        </w:rPr>
        <w:t>high.</w:t>
      </w:r>
    </w:p>
  </w:footnote>
  <w:footnote w:id="21">
    <w:p w14:paraId="3CAA1AA7" w14:textId="77777777" w:rsidR="008274F3" w:rsidRPr="00B462E6" w:rsidRDefault="008274F3">
      <w:pPr>
        <w:pStyle w:val="FootnoteText"/>
        <w:rPr>
          <w:rFonts w:ascii="Garamond" w:hAnsi="Garamond"/>
        </w:rPr>
      </w:pPr>
      <w:r w:rsidRPr="00B462E6">
        <w:rPr>
          <w:rStyle w:val="FootnoteReference"/>
          <w:rFonts w:ascii="Garamond" w:hAnsi="Garamond"/>
        </w:rPr>
        <w:t>23</w:t>
      </w:r>
      <w:r w:rsidRPr="00B462E6">
        <w:rPr>
          <w:rFonts w:ascii="Garamond" w:hAnsi="Garamond"/>
        </w:rPr>
        <w:t xml:space="preserve"> See “Inflation Report</w:t>
      </w:r>
      <w:r>
        <w:rPr>
          <w:rFonts w:ascii="Garamond" w:hAnsi="Garamond"/>
        </w:rPr>
        <w:t>/</w:t>
      </w:r>
      <w:r w:rsidRPr="00B462E6">
        <w:rPr>
          <w:rFonts w:ascii="Garamond" w:hAnsi="Garamond"/>
        </w:rPr>
        <w:t>3-16</w:t>
      </w:r>
      <w:r>
        <w:rPr>
          <w:rFonts w:ascii="Garamond" w:hAnsi="Garamond"/>
        </w:rPr>
        <w:t>”</w:t>
      </w:r>
      <w:r w:rsidRPr="00B462E6">
        <w:rPr>
          <w:rFonts w:ascii="Garamond" w:hAnsi="Garamond"/>
        </w:rPr>
        <w:t xml:space="preserve">, </w:t>
      </w:r>
      <w:hyperlink r:id="rId1" w:history="1">
        <w:r w:rsidRPr="00B462E6">
          <w:rPr>
            <w:rStyle w:val="Hyperlink"/>
            <w:rFonts w:ascii="Garamond" w:hAnsi="Garamond"/>
            <w:lang w:val="hy-AM"/>
          </w:rPr>
          <w:t>https://www.cba.am/AM/pperiodicals/Gnach% 203-16hay.pdf</w:t>
        </w:r>
      </w:hyperlink>
      <w:r w:rsidRPr="00B462E6">
        <w:rPr>
          <w:rFonts w:ascii="Garamond" w:hAnsi="Garamond"/>
          <w:lang w:val="hy-AM"/>
        </w:rPr>
        <w:t xml:space="preserve">, </w:t>
      </w:r>
      <w:r w:rsidRPr="00B462E6">
        <w:rPr>
          <w:rFonts w:ascii="Garamond" w:hAnsi="Garamond"/>
        </w:rPr>
        <w:t xml:space="preserve">pages </w:t>
      </w:r>
      <w:r w:rsidRPr="00B462E6">
        <w:rPr>
          <w:rFonts w:ascii="Garamond" w:hAnsi="Garamond"/>
          <w:lang w:val="hy-AM"/>
        </w:rPr>
        <w:t>4-10</w:t>
      </w:r>
      <w:r w:rsidRPr="00B462E6">
        <w:rPr>
          <w:rFonts w:ascii="Garamond" w:hAnsi="Garamond"/>
        </w:rPr>
        <w:t>.</w:t>
      </w:r>
    </w:p>
  </w:footnote>
  <w:footnote w:id="22">
    <w:p w14:paraId="64CD47CA" w14:textId="77777777" w:rsidR="008274F3" w:rsidRPr="00A73DC7" w:rsidRDefault="008274F3" w:rsidP="00A73DC7">
      <w:pPr>
        <w:pStyle w:val="FootnoteText"/>
        <w:jc w:val="both"/>
        <w:rPr>
          <w:rFonts w:ascii="Garamond" w:hAnsi="Garamond" w:cs="Calibri"/>
        </w:rPr>
      </w:pPr>
      <w:r w:rsidRPr="00A73DC7">
        <w:rPr>
          <w:rStyle w:val="FootnoteReference"/>
          <w:rFonts w:ascii="Garamond" w:hAnsi="Garamond" w:cs="Calibri"/>
        </w:rPr>
        <w:t>24</w:t>
      </w:r>
      <w:r w:rsidRPr="00A73DC7">
        <w:rPr>
          <w:rFonts w:ascii="Garamond" w:hAnsi="Garamond" w:cs="Calibri"/>
        </w:rPr>
        <w:t xml:space="preserve"> Repo transactions with 1-14-day maturities constituted 99% of interbank repo transactions in the first quarter of 2017.</w:t>
      </w:r>
    </w:p>
  </w:footnote>
  <w:footnote w:id="23">
    <w:p w14:paraId="32480965" w14:textId="77777777" w:rsidR="008274F3" w:rsidRPr="00277BE5" w:rsidRDefault="008274F3" w:rsidP="00FD4627">
      <w:pPr>
        <w:pStyle w:val="FootnoteText"/>
        <w:jc w:val="both"/>
        <w:rPr>
          <w:rFonts w:ascii="Garamond" w:hAnsi="Garamond"/>
        </w:rPr>
      </w:pPr>
      <w:r>
        <w:rPr>
          <w:rStyle w:val="FootnoteReference"/>
        </w:rPr>
        <w:t>25</w:t>
      </w:r>
      <w:r>
        <w:t xml:space="preserve"> </w:t>
      </w:r>
      <w:r w:rsidRPr="00277BE5">
        <w:rPr>
          <w:rFonts w:ascii="Garamond" w:hAnsi="Garamond"/>
        </w:rPr>
        <w:t xml:space="preserve">The </w:t>
      </w:r>
      <w:r>
        <w:rPr>
          <w:rFonts w:ascii="Garamond" w:hAnsi="Garamond"/>
        </w:rPr>
        <w:t xml:space="preserve">first </w:t>
      </w:r>
      <w:r w:rsidRPr="00277BE5">
        <w:rPr>
          <w:rFonts w:ascii="Garamond" w:hAnsi="Garamond"/>
        </w:rPr>
        <w:t>quarter 201</w:t>
      </w:r>
      <w:r>
        <w:rPr>
          <w:rFonts w:ascii="Garamond" w:hAnsi="Garamond"/>
        </w:rPr>
        <w:t>7</w:t>
      </w:r>
      <w:r w:rsidRPr="00277BE5">
        <w:rPr>
          <w:rFonts w:ascii="Garamond" w:hAnsi="Garamond"/>
        </w:rPr>
        <w:t xml:space="preserve"> indicator of the real exchange rate is the C</w:t>
      </w:r>
      <w:r>
        <w:rPr>
          <w:rFonts w:ascii="Garamond" w:hAnsi="Garamond"/>
        </w:rPr>
        <w:t xml:space="preserve">entral </w:t>
      </w:r>
      <w:r w:rsidRPr="00277BE5">
        <w:rPr>
          <w:rFonts w:ascii="Garamond" w:hAnsi="Garamond"/>
        </w:rPr>
        <w:t>B</w:t>
      </w:r>
      <w:r>
        <w:rPr>
          <w:rFonts w:ascii="Garamond" w:hAnsi="Garamond"/>
        </w:rPr>
        <w:t xml:space="preserve">ank </w:t>
      </w:r>
      <w:r w:rsidRPr="00277BE5">
        <w:rPr>
          <w:rFonts w:ascii="Garamond" w:hAnsi="Garamond"/>
        </w:rPr>
        <w:t>estimate.</w:t>
      </w:r>
    </w:p>
  </w:footnote>
  <w:footnote w:id="24">
    <w:p w14:paraId="109D2895" w14:textId="77777777" w:rsidR="008274F3" w:rsidRPr="00D154B0" w:rsidRDefault="008274F3" w:rsidP="00D154B0">
      <w:pPr>
        <w:pStyle w:val="FootnoteText"/>
        <w:jc w:val="both"/>
        <w:rPr>
          <w:rFonts w:ascii="Garamond" w:hAnsi="Garamond"/>
        </w:rPr>
      </w:pPr>
      <w:r>
        <w:rPr>
          <w:rStyle w:val="FootnoteReference"/>
        </w:rPr>
        <w:t>26</w:t>
      </w:r>
      <w:r>
        <w:t xml:space="preserve"> </w:t>
      </w:r>
      <w:r w:rsidRPr="004C1B43">
        <w:rPr>
          <w:rFonts w:ascii="Garamond" w:hAnsi="Garamond"/>
        </w:rPr>
        <w:t xml:space="preserve">The </w:t>
      </w:r>
      <w:r>
        <w:rPr>
          <w:rFonts w:ascii="Garamond" w:hAnsi="Garamond"/>
        </w:rPr>
        <w:t>first</w:t>
      </w:r>
      <w:r w:rsidRPr="004C1B43">
        <w:rPr>
          <w:rFonts w:ascii="Garamond" w:hAnsi="Garamond"/>
        </w:rPr>
        <w:t xml:space="preserve"> quarter </w:t>
      </w:r>
      <w:r>
        <w:rPr>
          <w:rFonts w:ascii="Garamond" w:hAnsi="Garamond"/>
        </w:rPr>
        <w:t xml:space="preserve">2017 </w:t>
      </w:r>
      <w:r w:rsidRPr="004C1B43">
        <w:rPr>
          <w:rFonts w:ascii="Garamond" w:hAnsi="Garamond"/>
        </w:rPr>
        <w:t>balance of payments</w:t>
      </w:r>
      <w:r>
        <w:rPr>
          <w:rFonts w:ascii="Sylfaen" w:hAnsi="Sylfaen"/>
          <w:lang w:val="hy-AM"/>
        </w:rPr>
        <w:t xml:space="preserve"> </w:t>
      </w:r>
      <w:r w:rsidRPr="004C1B43">
        <w:rPr>
          <w:rFonts w:ascii="Garamond" w:hAnsi="Garamond"/>
        </w:rPr>
        <w:t xml:space="preserve">will be </w:t>
      </w:r>
      <w:r>
        <w:rPr>
          <w:rFonts w:ascii="Garamond" w:hAnsi="Garamond"/>
        </w:rPr>
        <w:t xml:space="preserve">published at the end of June 2017, according to the timetable. </w:t>
      </w:r>
      <w:r w:rsidRPr="00D154B0">
        <w:rPr>
          <w:rFonts w:ascii="Garamond" w:hAnsi="Garamond"/>
        </w:rPr>
        <w:t xml:space="preserve">The </w:t>
      </w:r>
      <w:r>
        <w:rPr>
          <w:rFonts w:ascii="Garamond" w:hAnsi="Garamond"/>
        </w:rPr>
        <w:t>first</w:t>
      </w:r>
      <w:r w:rsidRPr="00D154B0">
        <w:rPr>
          <w:rFonts w:ascii="Garamond" w:hAnsi="Garamond"/>
        </w:rPr>
        <w:t xml:space="preserve"> quarter 201</w:t>
      </w:r>
      <w:r>
        <w:rPr>
          <w:rFonts w:ascii="Garamond" w:hAnsi="Garamond"/>
        </w:rPr>
        <w:t>7</w:t>
      </w:r>
      <w:r w:rsidRPr="00D154B0">
        <w:rPr>
          <w:rFonts w:ascii="Garamond" w:hAnsi="Garamond"/>
        </w:rPr>
        <w:t xml:space="preserve"> indicators are the C</w:t>
      </w:r>
      <w:r>
        <w:rPr>
          <w:rFonts w:ascii="Garamond" w:hAnsi="Garamond"/>
        </w:rPr>
        <w:t xml:space="preserve">entral </w:t>
      </w:r>
      <w:r w:rsidRPr="00D154B0">
        <w:rPr>
          <w:rFonts w:ascii="Garamond" w:hAnsi="Garamond"/>
        </w:rPr>
        <w:t>B</w:t>
      </w:r>
      <w:r>
        <w:rPr>
          <w:rFonts w:ascii="Garamond" w:hAnsi="Garamond"/>
        </w:rPr>
        <w:t>ank’</w:t>
      </w:r>
      <w:r w:rsidRPr="00D154B0">
        <w:rPr>
          <w:rFonts w:ascii="Garamond" w:hAnsi="Garamond"/>
        </w:rPr>
        <w:t>s forecasts and estimates.</w:t>
      </w:r>
    </w:p>
  </w:footnote>
  <w:footnote w:id="25">
    <w:p w14:paraId="782A9B24" w14:textId="77777777" w:rsidR="008274F3" w:rsidRPr="00587E3E" w:rsidRDefault="008274F3" w:rsidP="00587E3E">
      <w:pPr>
        <w:pStyle w:val="FootnoteText"/>
        <w:jc w:val="both"/>
        <w:rPr>
          <w:rFonts w:ascii="Garamond" w:hAnsi="Garamond"/>
        </w:rPr>
      </w:pPr>
      <w:r>
        <w:rPr>
          <w:rStyle w:val="FootnoteReference"/>
        </w:rPr>
        <w:t>27</w:t>
      </w:r>
      <w:r w:rsidRPr="00587E3E">
        <w:rPr>
          <w:rFonts w:ascii="Garamond" w:hAnsi="Garamond"/>
        </w:rPr>
        <w:t xml:space="preserve"> The export and import indicators are represented on a balance-of-payments basis, i.e. by credit and debit, respectively.</w:t>
      </w:r>
    </w:p>
  </w:footnote>
  <w:footnote w:id="26">
    <w:p w14:paraId="158EAB11" w14:textId="77777777" w:rsidR="008274F3" w:rsidRPr="00587E3E" w:rsidRDefault="008274F3" w:rsidP="00587E3E">
      <w:pPr>
        <w:pStyle w:val="FootnoteText"/>
        <w:jc w:val="both"/>
        <w:rPr>
          <w:rFonts w:ascii="Garamond" w:hAnsi="Garamond"/>
        </w:rPr>
      </w:pPr>
      <w:r>
        <w:rPr>
          <w:rStyle w:val="FootnoteReference"/>
        </w:rPr>
        <w:t>28</w:t>
      </w:r>
      <w:r w:rsidRPr="00587E3E">
        <w:rPr>
          <w:rFonts w:ascii="Garamond" w:hAnsi="Garamond"/>
        </w:rPr>
        <w:t xml:space="preserve"> The deficit of trade balance was calculated on a balance-of-payments basis, where export is credit, import debit.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15E3"/>
    <w:rsid w:val="00002453"/>
    <w:rsid w:val="0000246A"/>
    <w:rsid w:val="000036BD"/>
    <w:rsid w:val="00003FDA"/>
    <w:rsid w:val="000069A7"/>
    <w:rsid w:val="000069EE"/>
    <w:rsid w:val="00007E90"/>
    <w:rsid w:val="00010589"/>
    <w:rsid w:val="00011D64"/>
    <w:rsid w:val="00013801"/>
    <w:rsid w:val="0001484B"/>
    <w:rsid w:val="00015474"/>
    <w:rsid w:val="00015E64"/>
    <w:rsid w:val="00021FED"/>
    <w:rsid w:val="0002241A"/>
    <w:rsid w:val="00022436"/>
    <w:rsid w:val="0002372B"/>
    <w:rsid w:val="00023FE1"/>
    <w:rsid w:val="0002455C"/>
    <w:rsid w:val="00027123"/>
    <w:rsid w:val="00027AFD"/>
    <w:rsid w:val="00031B30"/>
    <w:rsid w:val="00032592"/>
    <w:rsid w:val="000325E1"/>
    <w:rsid w:val="00032D90"/>
    <w:rsid w:val="000330B4"/>
    <w:rsid w:val="00034E52"/>
    <w:rsid w:val="000359CC"/>
    <w:rsid w:val="00037273"/>
    <w:rsid w:val="00037B7B"/>
    <w:rsid w:val="0004107C"/>
    <w:rsid w:val="000411C1"/>
    <w:rsid w:val="00041212"/>
    <w:rsid w:val="00041745"/>
    <w:rsid w:val="0004316E"/>
    <w:rsid w:val="0004335E"/>
    <w:rsid w:val="00043B62"/>
    <w:rsid w:val="00044CE2"/>
    <w:rsid w:val="00046660"/>
    <w:rsid w:val="00046A8D"/>
    <w:rsid w:val="00046C53"/>
    <w:rsid w:val="00046E56"/>
    <w:rsid w:val="000471F2"/>
    <w:rsid w:val="00050B69"/>
    <w:rsid w:val="00051ACE"/>
    <w:rsid w:val="0005368A"/>
    <w:rsid w:val="00053725"/>
    <w:rsid w:val="00054262"/>
    <w:rsid w:val="000547DE"/>
    <w:rsid w:val="00057357"/>
    <w:rsid w:val="00057FE2"/>
    <w:rsid w:val="0006101A"/>
    <w:rsid w:val="0006126B"/>
    <w:rsid w:val="00061597"/>
    <w:rsid w:val="00061A2D"/>
    <w:rsid w:val="0006206E"/>
    <w:rsid w:val="0006381A"/>
    <w:rsid w:val="0006417D"/>
    <w:rsid w:val="00064FDD"/>
    <w:rsid w:val="00067289"/>
    <w:rsid w:val="0006729F"/>
    <w:rsid w:val="000672E1"/>
    <w:rsid w:val="0006742C"/>
    <w:rsid w:val="000678C3"/>
    <w:rsid w:val="00067ACB"/>
    <w:rsid w:val="000704AE"/>
    <w:rsid w:val="00071477"/>
    <w:rsid w:val="00071CBE"/>
    <w:rsid w:val="00072000"/>
    <w:rsid w:val="000724EF"/>
    <w:rsid w:val="00073136"/>
    <w:rsid w:val="0007346C"/>
    <w:rsid w:val="00073B73"/>
    <w:rsid w:val="000742A1"/>
    <w:rsid w:val="000749EE"/>
    <w:rsid w:val="0007729A"/>
    <w:rsid w:val="00080A7F"/>
    <w:rsid w:val="00081224"/>
    <w:rsid w:val="00081238"/>
    <w:rsid w:val="00082416"/>
    <w:rsid w:val="000826B0"/>
    <w:rsid w:val="0008391C"/>
    <w:rsid w:val="00085D5B"/>
    <w:rsid w:val="00087190"/>
    <w:rsid w:val="0008725F"/>
    <w:rsid w:val="00087B4E"/>
    <w:rsid w:val="0009011E"/>
    <w:rsid w:val="00090E2A"/>
    <w:rsid w:val="00091128"/>
    <w:rsid w:val="000917CA"/>
    <w:rsid w:val="000918EC"/>
    <w:rsid w:val="000922F4"/>
    <w:rsid w:val="000930D8"/>
    <w:rsid w:val="0009353E"/>
    <w:rsid w:val="00093826"/>
    <w:rsid w:val="00093D0F"/>
    <w:rsid w:val="00095C7E"/>
    <w:rsid w:val="00097B79"/>
    <w:rsid w:val="000A0098"/>
    <w:rsid w:val="000A20A2"/>
    <w:rsid w:val="000A2AB2"/>
    <w:rsid w:val="000A2C22"/>
    <w:rsid w:val="000A2E88"/>
    <w:rsid w:val="000A2F1E"/>
    <w:rsid w:val="000A48A7"/>
    <w:rsid w:val="000A60FF"/>
    <w:rsid w:val="000A73C7"/>
    <w:rsid w:val="000B069A"/>
    <w:rsid w:val="000B24F7"/>
    <w:rsid w:val="000B4301"/>
    <w:rsid w:val="000B52F7"/>
    <w:rsid w:val="000B6343"/>
    <w:rsid w:val="000B65B8"/>
    <w:rsid w:val="000B689E"/>
    <w:rsid w:val="000B6A81"/>
    <w:rsid w:val="000B6E34"/>
    <w:rsid w:val="000B791C"/>
    <w:rsid w:val="000C2AE7"/>
    <w:rsid w:val="000C3992"/>
    <w:rsid w:val="000C4B1B"/>
    <w:rsid w:val="000C5D85"/>
    <w:rsid w:val="000C7D93"/>
    <w:rsid w:val="000D054A"/>
    <w:rsid w:val="000D0564"/>
    <w:rsid w:val="000D07A7"/>
    <w:rsid w:val="000D08EA"/>
    <w:rsid w:val="000D1179"/>
    <w:rsid w:val="000D1448"/>
    <w:rsid w:val="000D14E4"/>
    <w:rsid w:val="000D1AB7"/>
    <w:rsid w:val="000D1C9B"/>
    <w:rsid w:val="000D20D6"/>
    <w:rsid w:val="000D3D35"/>
    <w:rsid w:val="000D6BB2"/>
    <w:rsid w:val="000D74DD"/>
    <w:rsid w:val="000D75D8"/>
    <w:rsid w:val="000D7B5A"/>
    <w:rsid w:val="000E025E"/>
    <w:rsid w:val="000E1369"/>
    <w:rsid w:val="000E2114"/>
    <w:rsid w:val="000E4A76"/>
    <w:rsid w:val="000E504C"/>
    <w:rsid w:val="000E5483"/>
    <w:rsid w:val="000E5C26"/>
    <w:rsid w:val="000E5E10"/>
    <w:rsid w:val="000E72F2"/>
    <w:rsid w:val="000F1590"/>
    <w:rsid w:val="000F16DA"/>
    <w:rsid w:val="000F2DFD"/>
    <w:rsid w:val="000F4AA2"/>
    <w:rsid w:val="000F5B41"/>
    <w:rsid w:val="000F60CD"/>
    <w:rsid w:val="000F6DDC"/>
    <w:rsid w:val="000F6E4D"/>
    <w:rsid w:val="000F744F"/>
    <w:rsid w:val="00100842"/>
    <w:rsid w:val="00102D2B"/>
    <w:rsid w:val="001030B5"/>
    <w:rsid w:val="001039DC"/>
    <w:rsid w:val="00104668"/>
    <w:rsid w:val="00106C08"/>
    <w:rsid w:val="00107D1A"/>
    <w:rsid w:val="00110538"/>
    <w:rsid w:val="00110FB8"/>
    <w:rsid w:val="00112D54"/>
    <w:rsid w:val="00114AC1"/>
    <w:rsid w:val="001151D0"/>
    <w:rsid w:val="0012120D"/>
    <w:rsid w:val="00121565"/>
    <w:rsid w:val="001220BD"/>
    <w:rsid w:val="00122757"/>
    <w:rsid w:val="00123862"/>
    <w:rsid w:val="00125313"/>
    <w:rsid w:val="001256B7"/>
    <w:rsid w:val="0012594D"/>
    <w:rsid w:val="00125C0A"/>
    <w:rsid w:val="00125E97"/>
    <w:rsid w:val="00125EBA"/>
    <w:rsid w:val="00126A1D"/>
    <w:rsid w:val="00127AC7"/>
    <w:rsid w:val="00127D3C"/>
    <w:rsid w:val="00127DE6"/>
    <w:rsid w:val="00130A59"/>
    <w:rsid w:val="001317A3"/>
    <w:rsid w:val="001321BE"/>
    <w:rsid w:val="00132731"/>
    <w:rsid w:val="00132EED"/>
    <w:rsid w:val="00133A63"/>
    <w:rsid w:val="00134A83"/>
    <w:rsid w:val="001361C9"/>
    <w:rsid w:val="001368A5"/>
    <w:rsid w:val="00136EB9"/>
    <w:rsid w:val="00137211"/>
    <w:rsid w:val="001400E2"/>
    <w:rsid w:val="00140E92"/>
    <w:rsid w:val="001416A4"/>
    <w:rsid w:val="00144320"/>
    <w:rsid w:val="00144DC5"/>
    <w:rsid w:val="001478A7"/>
    <w:rsid w:val="00147E8E"/>
    <w:rsid w:val="001503AC"/>
    <w:rsid w:val="0015203A"/>
    <w:rsid w:val="00152132"/>
    <w:rsid w:val="00153861"/>
    <w:rsid w:val="00153D45"/>
    <w:rsid w:val="00154ACF"/>
    <w:rsid w:val="00155C05"/>
    <w:rsid w:val="001576AE"/>
    <w:rsid w:val="001577E3"/>
    <w:rsid w:val="00160A11"/>
    <w:rsid w:val="00161820"/>
    <w:rsid w:val="00161D6D"/>
    <w:rsid w:val="00162C9B"/>
    <w:rsid w:val="00164749"/>
    <w:rsid w:val="00164FC7"/>
    <w:rsid w:val="00166A0A"/>
    <w:rsid w:val="001678F7"/>
    <w:rsid w:val="00167B8F"/>
    <w:rsid w:val="001703AA"/>
    <w:rsid w:val="001707B2"/>
    <w:rsid w:val="00170831"/>
    <w:rsid w:val="001711FF"/>
    <w:rsid w:val="00171759"/>
    <w:rsid w:val="00171EEE"/>
    <w:rsid w:val="001725FE"/>
    <w:rsid w:val="00174ADA"/>
    <w:rsid w:val="001765D4"/>
    <w:rsid w:val="0017763C"/>
    <w:rsid w:val="00177B94"/>
    <w:rsid w:val="001805F5"/>
    <w:rsid w:val="00181D5F"/>
    <w:rsid w:val="00183124"/>
    <w:rsid w:val="00183E51"/>
    <w:rsid w:val="00185F10"/>
    <w:rsid w:val="0018605A"/>
    <w:rsid w:val="0018680E"/>
    <w:rsid w:val="00186A58"/>
    <w:rsid w:val="001876C6"/>
    <w:rsid w:val="00187B89"/>
    <w:rsid w:val="00190C97"/>
    <w:rsid w:val="001910F6"/>
    <w:rsid w:val="00191BEF"/>
    <w:rsid w:val="00192F8D"/>
    <w:rsid w:val="00193B82"/>
    <w:rsid w:val="00193D63"/>
    <w:rsid w:val="00194C11"/>
    <w:rsid w:val="00195151"/>
    <w:rsid w:val="001956F7"/>
    <w:rsid w:val="00195814"/>
    <w:rsid w:val="001968B5"/>
    <w:rsid w:val="00197AEE"/>
    <w:rsid w:val="001A146B"/>
    <w:rsid w:val="001A1846"/>
    <w:rsid w:val="001A2F04"/>
    <w:rsid w:val="001A32D2"/>
    <w:rsid w:val="001A3426"/>
    <w:rsid w:val="001A443C"/>
    <w:rsid w:val="001A4AC0"/>
    <w:rsid w:val="001A531C"/>
    <w:rsid w:val="001A5F83"/>
    <w:rsid w:val="001A7EDA"/>
    <w:rsid w:val="001B04FD"/>
    <w:rsid w:val="001B0CE1"/>
    <w:rsid w:val="001B2A01"/>
    <w:rsid w:val="001B3B55"/>
    <w:rsid w:val="001B3D95"/>
    <w:rsid w:val="001B3DE5"/>
    <w:rsid w:val="001B4187"/>
    <w:rsid w:val="001B446D"/>
    <w:rsid w:val="001B5AA1"/>
    <w:rsid w:val="001B7864"/>
    <w:rsid w:val="001C02B8"/>
    <w:rsid w:val="001C28A9"/>
    <w:rsid w:val="001C3604"/>
    <w:rsid w:val="001C399F"/>
    <w:rsid w:val="001C4340"/>
    <w:rsid w:val="001C43BA"/>
    <w:rsid w:val="001C4B04"/>
    <w:rsid w:val="001C595E"/>
    <w:rsid w:val="001C59A8"/>
    <w:rsid w:val="001C741D"/>
    <w:rsid w:val="001D0EF9"/>
    <w:rsid w:val="001D0F31"/>
    <w:rsid w:val="001D1E8D"/>
    <w:rsid w:val="001D2573"/>
    <w:rsid w:val="001D300B"/>
    <w:rsid w:val="001D381B"/>
    <w:rsid w:val="001D4949"/>
    <w:rsid w:val="001D57F3"/>
    <w:rsid w:val="001D74AC"/>
    <w:rsid w:val="001D7CB5"/>
    <w:rsid w:val="001E1DD3"/>
    <w:rsid w:val="001E2107"/>
    <w:rsid w:val="001E25C2"/>
    <w:rsid w:val="001E499D"/>
    <w:rsid w:val="001E5B26"/>
    <w:rsid w:val="001F10C1"/>
    <w:rsid w:val="001F25A9"/>
    <w:rsid w:val="001F303A"/>
    <w:rsid w:val="001F34AC"/>
    <w:rsid w:val="001F4847"/>
    <w:rsid w:val="001F5018"/>
    <w:rsid w:val="001F574E"/>
    <w:rsid w:val="001F6105"/>
    <w:rsid w:val="001F6E3F"/>
    <w:rsid w:val="002002B9"/>
    <w:rsid w:val="00200EF8"/>
    <w:rsid w:val="00201050"/>
    <w:rsid w:val="00201A71"/>
    <w:rsid w:val="00201FF4"/>
    <w:rsid w:val="00202757"/>
    <w:rsid w:val="00202A42"/>
    <w:rsid w:val="002039B9"/>
    <w:rsid w:val="0020403A"/>
    <w:rsid w:val="002069E7"/>
    <w:rsid w:val="0020769A"/>
    <w:rsid w:val="00210BA6"/>
    <w:rsid w:val="00210C68"/>
    <w:rsid w:val="00211DA2"/>
    <w:rsid w:val="002128F2"/>
    <w:rsid w:val="00212976"/>
    <w:rsid w:val="002130E0"/>
    <w:rsid w:val="00213EC8"/>
    <w:rsid w:val="00215850"/>
    <w:rsid w:val="002158AD"/>
    <w:rsid w:val="00215B58"/>
    <w:rsid w:val="00215B7C"/>
    <w:rsid w:val="00220E40"/>
    <w:rsid w:val="00222235"/>
    <w:rsid w:val="00222C21"/>
    <w:rsid w:val="00223057"/>
    <w:rsid w:val="00223AAF"/>
    <w:rsid w:val="00225172"/>
    <w:rsid w:val="002278AA"/>
    <w:rsid w:val="002278EE"/>
    <w:rsid w:val="0023070D"/>
    <w:rsid w:val="0023109D"/>
    <w:rsid w:val="00231DC1"/>
    <w:rsid w:val="00232D4E"/>
    <w:rsid w:val="00232E26"/>
    <w:rsid w:val="00233015"/>
    <w:rsid w:val="00234079"/>
    <w:rsid w:val="00235FE1"/>
    <w:rsid w:val="00236A23"/>
    <w:rsid w:val="00237D6F"/>
    <w:rsid w:val="002405A7"/>
    <w:rsid w:val="00240A76"/>
    <w:rsid w:val="00240D65"/>
    <w:rsid w:val="00241C4F"/>
    <w:rsid w:val="00241F5F"/>
    <w:rsid w:val="0024338E"/>
    <w:rsid w:val="00244247"/>
    <w:rsid w:val="0024485F"/>
    <w:rsid w:val="00245D79"/>
    <w:rsid w:val="00246E16"/>
    <w:rsid w:val="00247CA1"/>
    <w:rsid w:val="00251231"/>
    <w:rsid w:val="00251551"/>
    <w:rsid w:val="00251CAF"/>
    <w:rsid w:val="00251F39"/>
    <w:rsid w:val="002525CE"/>
    <w:rsid w:val="00253686"/>
    <w:rsid w:val="0025529A"/>
    <w:rsid w:val="002554A7"/>
    <w:rsid w:val="0025631D"/>
    <w:rsid w:val="00257B58"/>
    <w:rsid w:val="0026014A"/>
    <w:rsid w:val="00262ABF"/>
    <w:rsid w:val="00262EF6"/>
    <w:rsid w:val="00265997"/>
    <w:rsid w:val="00265F5B"/>
    <w:rsid w:val="002664BE"/>
    <w:rsid w:val="00266519"/>
    <w:rsid w:val="002667B0"/>
    <w:rsid w:val="002712F3"/>
    <w:rsid w:val="00271625"/>
    <w:rsid w:val="00274016"/>
    <w:rsid w:val="00274562"/>
    <w:rsid w:val="00274690"/>
    <w:rsid w:val="00275761"/>
    <w:rsid w:val="00275AB5"/>
    <w:rsid w:val="002762A2"/>
    <w:rsid w:val="00276ADF"/>
    <w:rsid w:val="00277BE5"/>
    <w:rsid w:val="00280C40"/>
    <w:rsid w:val="00282573"/>
    <w:rsid w:val="00282B25"/>
    <w:rsid w:val="00282CDE"/>
    <w:rsid w:val="00284736"/>
    <w:rsid w:val="002847C1"/>
    <w:rsid w:val="00284EE4"/>
    <w:rsid w:val="002862F9"/>
    <w:rsid w:val="00286BB6"/>
    <w:rsid w:val="002871A6"/>
    <w:rsid w:val="0029012B"/>
    <w:rsid w:val="00290291"/>
    <w:rsid w:val="00290AB8"/>
    <w:rsid w:val="00290B98"/>
    <w:rsid w:val="00290C7F"/>
    <w:rsid w:val="00291537"/>
    <w:rsid w:val="00293B44"/>
    <w:rsid w:val="00294ED3"/>
    <w:rsid w:val="0029667E"/>
    <w:rsid w:val="00296F05"/>
    <w:rsid w:val="00297F63"/>
    <w:rsid w:val="00297FDF"/>
    <w:rsid w:val="002A03CA"/>
    <w:rsid w:val="002A098D"/>
    <w:rsid w:val="002A0B0B"/>
    <w:rsid w:val="002A1012"/>
    <w:rsid w:val="002A11DD"/>
    <w:rsid w:val="002A1688"/>
    <w:rsid w:val="002A2090"/>
    <w:rsid w:val="002A3AF9"/>
    <w:rsid w:val="002A3B1E"/>
    <w:rsid w:val="002A52AC"/>
    <w:rsid w:val="002A5F78"/>
    <w:rsid w:val="002A6B43"/>
    <w:rsid w:val="002A7713"/>
    <w:rsid w:val="002B0816"/>
    <w:rsid w:val="002B2148"/>
    <w:rsid w:val="002B235A"/>
    <w:rsid w:val="002B258A"/>
    <w:rsid w:val="002B30E4"/>
    <w:rsid w:val="002B3484"/>
    <w:rsid w:val="002B458B"/>
    <w:rsid w:val="002B57F4"/>
    <w:rsid w:val="002C1A9C"/>
    <w:rsid w:val="002C20A8"/>
    <w:rsid w:val="002C2ACB"/>
    <w:rsid w:val="002C3366"/>
    <w:rsid w:val="002C34C7"/>
    <w:rsid w:val="002C49F7"/>
    <w:rsid w:val="002C4F0A"/>
    <w:rsid w:val="002C4F37"/>
    <w:rsid w:val="002C5781"/>
    <w:rsid w:val="002C6448"/>
    <w:rsid w:val="002C67ED"/>
    <w:rsid w:val="002C6CE2"/>
    <w:rsid w:val="002C6D47"/>
    <w:rsid w:val="002D22BF"/>
    <w:rsid w:val="002D34D2"/>
    <w:rsid w:val="002D3505"/>
    <w:rsid w:val="002D3865"/>
    <w:rsid w:val="002D3C62"/>
    <w:rsid w:val="002D5CC6"/>
    <w:rsid w:val="002D68FD"/>
    <w:rsid w:val="002D7474"/>
    <w:rsid w:val="002D7587"/>
    <w:rsid w:val="002D7862"/>
    <w:rsid w:val="002E14BA"/>
    <w:rsid w:val="002E167B"/>
    <w:rsid w:val="002E38A4"/>
    <w:rsid w:val="002E3D03"/>
    <w:rsid w:val="002E5664"/>
    <w:rsid w:val="002E7657"/>
    <w:rsid w:val="002E7E19"/>
    <w:rsid w:val="002F02CC"/>
    <w:rsid w:val="002F084F"/>
    <w:rsid w:val="002F1EDA"/>
    <w:rsid w:val="002F1F35"/>
    <w:rsid w:val="002F35D6"/>
    <w:rsid w:val="002F44CD"/>
    <w:rsid w:val="002F4EEA"/>
    <w:rsid w:val="002F4FEC"/>
    <w:rsid w:val="002F6052"/>
    <w:rsid w:val="002F6442"/>
    <w:rsid w:val="002F7498"/>
    <w:rsid w:val="003012C2"/>
    <w:rsid w:val="003012F2"/>
    <w:rsid w:val="00303F1E"/>
    <w:rsid w:val="003046CA"/>
    <w:rsid w:val="0030500E"/>
    <w:rsid w:val="00305723"/>
    <w:rsid w:val="00305DB7"/>
    <w:rsid w:val="003063B8"/>
    <w:rsid w:val="00307544"/>
    <w:rsid w:val="003078C9"/>
    <w:rsid w:val="00307BE9"/>
    <w:rsid w:val="003100A4"/>
    <w:rsid w:val="00312EC1"/>
    <w:rsid w:val="003144A8"/>
    <w:rsid w:val="003147F5"/>
    <w:rsid w:val="0031487C"/>
    <w:rsid w:val="00315AA3"/>
    <w:rsid w:val="00315DF6"/>
    <w:rsid w:val="0031702A"/>
    <w:rsid w:val="0032076D"/>
    <w:rsid w:val="00320DDF"/>
    <w:rsid w:val="0032215E"/>
    <w:rsid w:val="00322300"/>
    <w:rsid w:val="00322BA3"/>
    <w:rsid w:val="00324194"/>
    <w:rsid w:val="003253BD"/>
    <w:rsid w:val="00325A21"/>
    <w:rsid w:val="00326EB9"/>
    <w:rsid w:val="003279A4"/>
    <w:rsid w:val="00330050"/>
    <w:rsid w:val="003301B0"/>
    <w:rsid w:val="00330491"/>
    <w:rsid w:val="00331036"/>
    <w:rsid w:val="00331B03"/>
    <w:rsid w:val="00332437"/>
    <w:rsid w:val="0033322B"/>
    <w:rsid w:val="003354D2"/>
    <w:rsid w:val="003360CC"/>
    <w:rsid w:val="0033638A"/>
    <w:rsid w:val="00337802"/>
    <w:rsid w:val="00337C74"/>
    <w:rsid w:val="00337E9B"/>
    <w:rsid w:val="00340201"/>
    <w:rsid w:val="00340ADC"/>
    <w:rsid w:val="0034145E"/>
    <w:rsid w:val="0034270F"/>
    <w:rsid w:val="00343FCB"/>
    <w:rsid w:val="00344292"/>
    <w:rsid w:val="0034549B"/>
    <w:rsid w:val="00345F88"/>
    <w:rsid w:val="0034638E"/>
    <w:rsid w:val="00347413"/>
    <w:rsid w:val="00347AC8"/>
    <w:rsid w:val="00347B30"/>
    <w:rsid w:val="00347C30"/>
    <w:rsid w:val="00347FFA"/>
    <w:rsid w:val="0035133B"/>
    <w:rsid w:val="0035146E"/>
    <w:rsid w:val="00351E8F"/>
    <w:rsid w:val="00353133"/>
    <w:rsid w:val="00354945"/>
    <w:rsid w:val="003562CE"/>
    <w:rsid w:val="003603CD"/>
    <w:rsid w:val="00360818"/>
    <w:rsid w:val="00363061"/>
    <w:rsid w:val="00363BB2"/>
    <w:rsid w:val="00363F81"/>
    <w:rsid w:val="00364A36"/>
    <w:rsid w:val="00366569"/>
    <w:rsid w:val="003675AE"/>
    <w:rsid w:val="00367884"/>
    <w:rsid w:val="00370025"/>
    <w:rsid w:val="003702D9"/>
    <w:rsid w:val="003735BC"/>
    <w:rsid w:val="00373CE0"/>
    <w:rsid w:val="003742CD"/>
    <w:rsid w:val="00374A46"/>
    <w:rsid w:val="0037593B"/>
    <w:rsid w:val="0037679E"/>
    <w:rsid w:val="00377763"/>
    <w:rsid w:val="00377DC5"/>
    <w:rsid w:val="0038021C"/>
    <w:rsid w:val="00380B84"/>
    <w:rsid w:val="00381DE7"/>
    <w:rsid w:val="00382FA3"/>
    <w:rsid w:val="003831CF"/>
    <w:rsid w:val="00383887"/>
    <w:rsid w:val="00384986"/>
    <w:rsid w:val="00385474"/>
    <w:rsid w:val="00385D40"/>
    <w:rsid w:val="00385D6B"/>
    <w:rsid w:val="00386395"/>
    <w:rsid w:val="0038729D"/>
    <w:rsid w:val="00387B38"/>
    <w:rsid w:val="00387D46"/>
    <w:rsid w:val="00392A3D"/>
    <w:rsid w:val="00392C0F"/>
    <w:rsid w:val="00393C1D"/>
    <w:rsid w:val="003940EB"/>
    <w:rsid w:val="00394A76"/>
    <w:rsid w:val="003A0393"/>
    <w:rsid w:val="003A0502"/>
    <w:rsid w:val="003A06D4"/>
    <w:rsid w:val="003A0906"/>
    <w:rsid w:val="003A2219"/>
    <w:rsid w:val="003A272E"/>
    <w:rsid w:val="003A2A39"/>
    <w:rsid w:val="003A2B37"/>
    <w:rsid w:val="003A3042"/>
    <w:rsid w:val="003A3BC5"/>
    <w:rsid w:val="003A4003"/>
    <w:rsid w:val="003A423E"/>
    <w:rsid w:val="003A44FA"/>
    <w:rsid w:val="003A4B8A"/>
    <w:rsid w:val="003A4F6C"/>
    <w:rsid w:val="003A7A94"/>
    <w:rsid w:val="003B032D"/>
    <w:rsid w:val="003B0C7D"/>
    <w:rsid w:val="003B0DC1"/>
    <w:rsid w:val="003B3280"/>
    <w:rsid w:val="003B5819"/>
    <w:rsid w:val="003B583C"/>
    <w:rsid w:val="003B5CD0"/>
    <w:rsid w:val="003B5DE5"/>
    <w:rsid w:val="003B7186"/>
    <w:rsid w:val="003B7412"/>
    <w:rsid w:val="003B7483"/>
    <w:rsid w:val="003C00F1"/>
    <w:rsid w:val="003C05E3"/>
    <w:rsid w:val="003C2EB6"/>
    <w:rsid w:val="003C2ED0"/>
    <w:rsid w:val="003C304D"/>
    <w:rsid w:val="003C329C"/>
    <w:rsid w:val="003C386D"/>
    <w:rsid w:val="003C4F0C"/>
    <w:rsid w:val="003C554D"/>
    <w:rsid w:val="003C63F3"/>
    <w:rsid w:val="003C718B"/>
    <w:rsid w:val="003C73A7"/>
    <w:rsid w:val="003C7510"/>
    <w:rsid w:val="003C7CC1"/>
    <w:rsid w:val="003D0CAE"/>
    <w:rsid w:val="003D238F"/>
    <w:rsid w:val="003D2829"/>
    <w:rsid w:val="003D2E75"/>
    <w:rsid w:val="003D3B6B"/>
    <w:rsid w:val="003D4491"/>
    <w:rsid w:val="003D47FF"/>
    <w:rsid w:val="003D4808"/>
    <w:rsid w:val="003D52B1"/>
    <w:rsid w:val="003D5A71"/>
    <w:rsid w:val="003D6B47"/>
    <w:rsid w:val="003D7913"/>
    <w:rsid w:val="003D791F"/>
    <w:rsid w:val="003D7D01"/>
    <w:rsid w:val="003D7EC2"/>
    <w:rsid w:val="003E0FC6"/>
    <w:rsid w:val="003E1A5D"/>
    <w:rsid w:val="003E2200"/>
    <w:rsid w:val="003E2678"/>
    <w:rsid w:val="003E3604"/>
    <w:rsid w:val="003E3E73"/>
    <w:rsid w:val="003E47CB"/>
    <w:rsid w:val="003E6532"/>
    <w:rsid w:val="003E6782"/>
    <w:rsid w:val="003E7A84"/>
    <w:rsid w:val="003F0BDB"/>
    <w:rsid w:val="003F12D9"/>
    <w:rsid w:val="003F283B"/>
    <w:rsid w:val="003F29B6"/>
    <w:rsid w:val="003F3873"/>
    <w:rsid w:val="003F3BA2"/>
    <w:rsid w:val="003F44C4"/>
    <w:rsid w:val="003F4B76"/>
    <w:rsid w:val="003F7526"/>
    <w:rsid w:val="003F7B10"/>
    <w:rsid w:val="00400525"/>
    <w:rsid w:val="004027E1"/>
    <w:rsid w:val="00404010"/>
    <w:rsid w:val="004048CF"/>
    <w:rsid w:val="00404B04"/>
    <w:rsid w:val="0040524F"/>
    <w:rsid w:val="004053C4"/>
    <w:rsid w:val="0040556D"/>
    <w:rsid w:val="0041099B"/>
    <w:rsid w:val="00410A65"/>
    <w:rsid w:val="00411847"/>
    <w:rsid w:val="00412C4B"/>
    <w:rsid w:val="00412CA9"/>
    <w:rsid w:val="00414223"/>
    <w:rsid w:val="004143E4"/>
    <w:rsid w:val="004144CA"/>
    <w:rsid w:val="00414562"/>
    <w:rsid w:val="004150BC"/>
    <w:rsid w:val="00416086"/>
    <w:rsid w:val="0041702C"/>
    <w:rsid w:val="00417635"/>
    <w:rsid w:val="004208A2"/>
    <w:rsid w:val="00420C07"/>
    <w:rsid w:val="00422363"/>
    <w:rsid w:val="00422A33"/>
    <w:rsid w:val="00422B72"/>
    <w:rsid w:val="00423538"/>
    <w:rsid w:val="004236E7"/>
    <w:rsid w:val="004250AA"/>
    <w:rsid w:val="004258B2"/>
    <w:rsid w:val="00425B30"/>
    <w:rsid w:val="00425E31"/>
    <w:rsid w:val="004303E9"/>
    <w:rsid w:val="0043068E"/>
    <w:rsid w:val="00430CFB"/>
    <w:rsid w:val="00431888"/>
    <w:rsid w:val="00432A35"/>
    <w:rsid w:val="00433B8F"/>
    <w:rsid w:val="004346DE"/>
    <w:rsid w:val="0043486A"/>
    <w:rsid w:val="0043651F"/>
    <w:rsid w:val="00437821"/>
    <w:rsid w:val="00437A01"/>
    <w:rsid w:val="0044181F"/>
    <w:rsid w:val="004425BA"/>
    <w:rsid w:val="00442FCA"/>
    <w:rsid w:val="00443ACF"/>
    <w:rsid w:val="0044404F"/>
    <w:rsid w:val="00444E23"/>
    <w:rsid w:val="00444E38"/>
    <w:rsid w:val="00445741"/>
    <w:rsid w:val="00446522"/>
    <w:rsid w:val="00446630"/>
    <w:rsid w:val="00446B4F"/>
    <w:rsid w:val="00447C48"/>
    <w:rsid w:val="004506E9"/>
    <w:rsid w:val="00450C8B"/>
    <w:rsid w:val="004510DA"/>
    <w:rsid w:val="00451E46"/>
    <w:rsid w:val="004520EB"/>
    <w:rsid w:val="004535B0"/>
    <w:rsid w:val="00454718"/>
    <w:rsid w:val="00454FFC"/>
    <w:rsid w:val="00455F3D"/>
    <w:rsid w:val="00457554"/>
    <w:rsid w:val="0045783C"/>
    <w:rsid w:val="00462227"/>
    <w:rsid w:val="00464E5A"/>
    <w:rsid w:val="004659BE"/>
    <w:rsid w:val="00466B47"/>
    <w:rsid w:val="00467085"/>
    <w:rsid w:val="00467C15"/>
    <w:rsid w:val="00467FAB"/>
    <w:rsid w:val="00470096"/>
    <w:rsid w:val="004726FE"/>
    <w:rsid w:val="00474127"/>
    <w:rsid w:val="00477644"/>
    <w:rsid w:val="004778FB"/>
    <w:rsid w:val="00480B10"/>
    <w:rsid w:val="00481359"/>
    <w:rsid w:val="0048353C"/>
    <w:rsid w:val="00484009"/>
    <w:rsid w:val="004844E2"/>
    <w:rsid w:val="00485525"/>
    <w:rsid w:val="004857C0"/>
    <w:rsid w:val="00486266"/>
    <w:rsid w:val="0048633B"/>
    <w:rsid w:val="00487893"/>
    <w:rsid w:val="0048797E"/>
    <w:rsid w:val="00487D9A"/>
    <w:rsid w:val="00487E12"/>
    <w:rsid w:val="0049042F"/>
    <w:rsid w:val="0049095F"/>
    <w:rsid w:val="00490CF9"/>
    <w:rsid w:val="004921DD"/>
    <w:rsid w:val="00492AFD"/>
    <w:rsid w:val="004933AC"/>
    <w:rsid w:val="00493463"/>
    <w:rsid w:val="00493A0E"/>
    <w:rsid w:val="004956C9"/>
    <w:rsid w:val="00495A83"/>
    <w:rsid w:val="00496CC1"/>
    <w:rsid w:val="004A0ABD"/>
    <w:rsid w:val="004A0D05"/>
    <w:rsid w:val="004A18CF"/>
    <w:rsid w:val="004A2CC7"/>
    <w:rsid w:val="004A3B43"/>
    <w:rsid w:val="004A3B8E"/>
    <w:rsid w:val="004A4CD2"/>
    <w:rsid w:val="004A4E1C"/>
    <w:rsid w:val="004A6421"/>
    <w:rsid w:val="004A66A1"/>
    <w:rsid w:val="004A730F"/>
    <w:rsid w:val="004A7D99"/>
    <w:rsid w:val="004B103C"/>
    <w:rsid w:val="004B11F4"/>
    <w:rsid w:val="004B1E9C"/>
    <w:rsid w:val="004B2020"/>
    <w:rsid w:val="004B5205"/>
    <w:rsid w:val="004B6192"/>
    <w:rsid w:val="004B6914"/>
    <w:rsid w:val="004B6BF4"/>
    <w:rsid w:val="004B6C1D"/>
    <w:rsid w:val="004B722B"/>
    <w:rsid w:val="004C090B"/>
    <w:rsid w:val="004C0BEE"/>
    <w:rsid w:val="004C0CA3"/>
    <w:rsid w:val="004C0E8B"/>
    <w:rsid w:val="004C1B43"/>
    <w:rsid w:val="004C22DC"/>
    <w:rsid w:val="004C2AB9"/>
    <w:rsid w:val="004C2D90"/>
    <w:rsid w:val="004C3474"/>
    <w:rsid w:val="004C38A3"/>
    <w:rsid w:val="004C3AE8"/>
    <w:rsid w:val="004C3D1F"/>
    <w:rsid w:val="004C715C"/>
    <w:rsid w:val="004C797D"/>
    <w:rsid w:val="004C7B38"/>
    <w:rsid w:val="004D09C9"/>
    <w:rsid w:val="004D308A"/>
    <w:rsid w:val="004D30A5"/>
    <w:rsid w:val="004D48DE"/>
    <w:rsid w:val="004D5B22"/>
    <w:rsid w:val="004D7651"/>
    <w:rsid w:val="004D7E21"/>
    <w:rsid w:val="004E0858"/>
    <w:rsid w:val="004E202E"/>
    <w:rsid w:val="004E3BA7"/>
    <w:rsid w:val="004E5D71"/>
    <w:rsid w:val="004E609F"/>
    <w:rsid w:val="004E7752"/>
    <w:rsid w:val="004F16FC"/>
    <w:rsid w:val="004F1D2A"/>
    <w:rsid w:val="004F215F"/>
    <w:rsid w:val="004F2476"/>
    <w:rsid w:val="004F30C0"/>
    <w:rsid w:val="004F33C6"/>
    <w:rsid w:val="004F346B"/>
    <w:rsid w:val="004F349B"/>
    <w:rsid w:val="004F411D"/>
    <w:rsid w:val="004F4927"/>
    <w:rsid w:val="004F5E13"/>
    <w:rsid w:val="004F623C"/>
    <w:rsid w:val="004F6F4D"/>
    <w:rsid w:val="004F764F"/>
    <w:rsid w:val="004F776B"/>
    <w:rsid w:val="004F78DC"/>
    <w:rsid w:val="0050052C"/>
    <w:rsid w:val="005029F4"/>
    <w:rsid w:val="0050397E"/>
    <w:rsid w:val="00504667"/>
    <w:rsid w:val="005046F7"/>
    <w:rsid w:val="00504B62"/>
    <w:rsid w:val="0050565E"/>
    <w:rsid w:val="005067F5"/>
    <w:rsid w:val="00507533"/>
    <w:rsid w:val="00510483"/>
    <w:rsid w:val="00511AE3"/>
    <w:rsid w:val="00512667"/>
    <w:rsid w:val="00512D47"/>
    <w:rsid w:val="005152A6"/>
    <w:rsid w:val="005163CB"/>
    <w:rsid w:val="005171CE"/>
    <w:rsid w:val="00520437"/>
    <w:rsid w:val="0052080A"/>
    <w:rsid w:val="005218A5"/>
    <w:rsid w:val="00523597"/>
    <w:rsid w:val="0052421F"/>
    <w:rsid w:val="00525190"/>
    <w:rsid w:val="00525378"/>
    <w:rsid w:val="005259C0"/>
    <w:rsid w:val="00526614"/>
    <w:rsid w:val="00530B3A"/>
    <w:rsid w:val="00530CE8"/>
    <w:rsid w:val="00531341"/>
    <w:rsid w:val="005341FC"/>
    <w:rsid w:val="005355D1"/>
    <w:rsid w:val="00535682"/>
    <w:rsid w:val="00537305"/>
    <w:rsid w:val="005409F0"/>
    <w:rsid w:val="00541805"/>
    <w:rsid w:val="00545FCA"/>
    <w:rsid w:val="005461F6"/>
    <w:rsid w:val="0054663B"/>
    <w:rsid w:val="0054755B"/>
    <w:rsid w:val="00550497"/>
    <w:rsid w:val="00551648"/>
    <w:rsid w:val="005536D8"/>
    <w:rsid w:val="0055383A"/>
    <w:rsid w:val="00553BC9"/>
    <w:rsid w:val="005551F5"/>
    <w:rsid w:val="00555ADF"/>
    <w:rsid w:val="00555FFC"/>
    <w:rsid w:val="0055635D"/>
    <w:rsid w:val="00556C32"/>
    <w:rsid w:val="00561725"/>
    <w:rsid w:val="00561F78"/>
    <w:rsid w:val="00562146"/>
    <w:rsid w:val="005623DD"/>
    <w:rsid w:val="00564239"/>
    <w:rsid w:val="0056429F"/>
    <w:rsid w:val="0056430E"/>
    <w:rsid w:val="00565B53"/>
    <w:rsid w:val="00567054"/>
    <w:rsid w:val="0056744F"/>
    <w:rsid w:val="005704CA"/>
    <w:rsid w:val="00570B34"/>
    <w:rsid w:val="005711CF"/>
    <w:rsid w:val="005712B4"/>
    <w:rsid w:val="0057315C"/>
    <w:rsid w:val="00573367"/>
    <w:rsid w:val="0057461E"/>
    <w:rsid w:val="00575757"/>
    <w:rsid w:val="00577965"/>
    <w:rsid w:val="0058041A"/>
    <w:rsid w:val="0058057F"/>
    <w:rsid w:val="005816B6"/>
    <w:rsid w:val="00581F38"/>
    <w:rsid w:val="00583366"/>
    <w:rsid w:val="0058366E"/>
    <w:rsid w:val="005858AE"/>
    <w:rsid w:val="00585EE7"/>
    <w:rsid w:val="00586351"/>
    <w:rsid w:val="00587CF6"/>
    <w:rsid w:val="00587E3E"/>
    <w:rsid w:val="005908C2"/>
    <w:rsid w:val="00590A8F"/>
    <w:rsid w:val="00590C92"/>
    <w:rsid w:val="005911A1"/>
    <w:rsid w:val="0059187E"/>
    <w:rsid w:val="00592BBF"/>
    <w:rsid w:val="00593603"/>
    <w:rsid w:val="005947CE"/>
    <w:rsid w:val="00595B32"/>
    <w:rsid w:val="005973A3"/>
    <w:rsid w:val="00597C08"/>
    <w:rsid w:val="00597D2C"/>
    <w:rsid w:val="005A000D"/>
    <w:rsid w:val="005A0098"/>
    <w:rsid w:val="005A1CAD"/>
    <w:rsid w:val="005A2599"/>
    <w:rsid w:val="005A26ED"/>
    <w:rsid w:val="005A3D76"/>
    <w:rsid w:val="005A3DF9"/>
    <w:rsid w:val="005A4407"/>
    <w:rsid w:val="005A4C03"/>
    <w:rsid w:val="005A5A7D"/>
    <w:rsid w:val="005A5C2F"/>
    <w:rsid w:val="005A7839"/>
    <w:rsid w:val="005B014E"/>
    <w:rsid w:val="005B0FF8"/>
    <w:rsid w:val="005B1F13"/>
    <w:rsid w:val="005B2402"/>
    <w:rsid w:val="005B304B"/>
    <w:rsid w:val="005B492E"/>
    <w:rsid w:val="005B5519"/>
    <w:rsid w:val="005B5728"/>
    <w:rsid w:val="005B6088"/>
    <w:rsid w:val="005B6C26"/>
    <w:rsid w:val="005B71D4"/>
    <w:rsid w:val="005B7241"/>
    <w:rsid w:val="005C13AE"/>
    <w:rsid w:val="005C2D85"/>
    <w:rsid w:val="005C40A7"/>
    <w:rsid w:val="005C4780"/>
    <w:rsid w:val="005C5202"/>
    <w:rsid w:val="005C6077"/>
    <w:rsid w:val="005C76E4"/>
    <w:rsid w:val="005C7EAB"/>
    <w:rsid w:val="005D0421"/>
    <w:rsid w:val="005D2065"/>
    <w:rsid w:val="005D3434"/>
    <w:rsid w:val="005D3B98"/>
    <w:rsid w:val="005D4A2B"/>
    <w:rsid w:val="005D7302"/>
    <w:rsid w:val="005E09C2"/>
    <w:rsid w:val="005E0A5E"/>
    <w:rsid w:val="005E18D3"/>
    <w:rsid w:val="005E1B6A"/>
    <w:rsid w:val="005E2744"/>
    <w:rsid w:val="005E4964"/>
    <w:rsid w:val="005E7050"/>
    <w:rsid w:val="005E7070"/>
    <w:rsid w:val="005E7B96"/>
    <w:rsid w:val="005E7CCB"/>
    <w:rsid w:val="005E7ECB"/>
    <w:rsid w:val="005F25EC"/>
    <w:rsid w:val="005F301D"/>
    <w:rsid w:val="005F3B95"/>
    <w:rsid w:val="005F4368"/>
    <w:rsid w:val="005F49EB"/>
    <w:rsid w:val="005F6DF3"/>
    <w:rsid w:val="005F6E98"/>
    <w:rsid w:val="005F710B"/>
    <w:rsid w:val="005F742B"/>
    <w:rsid w:val="0060114E"/>
    <w:rsid w:val="0060136B"/>
    <w:rsid w:val="00601435"/>
    <w:rsid w:val="0060157B"/>
    <w:rsid w:val="00601F50"/>
    <w:rsid w:val="006021FA"/>
    <w:rsid w:val="00603367"/>
    <w:rsid w:val="00603F5A"/>
    <w:rsid w:val="00604F36"/>
    <w:rsid w:val="00605CB1"/>
    <w:rsid w:val="0060632D"/>
    <w:rsid w:val="00607E10"/>
    <w:rsid w:val="006104F0"/>
    <w:rsid w:val="00610C0D"/>
    <w:rsid w:val="00610D1F"/>
    <w:rsid w:val="006117AE"/>
    <w:rsid w:val="00612B5F"/>
    <w:rsid w:val="00612F44"/>
    <w:rsid w:val="0061514B"/>
    <w:rsid w:val="00617CFD"/>
    <w:rsid w:val="006203FB"/>
    <w:rsid w:val="00620810"/>
    <w:rsid w:val="00620E48"/>
    <w:rsid w:val="00621421"/>
    <w:rsid w:val="00624325"/>
    <w:rsid w:val="00624B99"/>
    <w:rsid w:val="00624BFA"/>
    <w:rsid w:val="006251FD"/>
    <w:rsid w:val="00625F3B"/>
    <w:rsid w:val="00625FEC"/>
    <w:rsid w:val="00626CD2"/>
    <w:rsid w:val="00627C60"/>
    <w:rsid w:val="00630551"/>
    <w:rsid w:val="006313F6"/>
    <w:rsid w:val="00631797"/>
    <w:rsid w:val="00633B21"/>
    <w:rsid w:val="006341F3"/>
    <w:rsid w:val="006346C5"/>
    <w:rsid w:val="006349D2"/>
    <w:rsid w:val="006356C4"/>
    <w:rsid w:val="00635B9A"/>
    <w:rsid w:val="00637FC0"/>
    <w:rsid w:val="006419FF"/>
    <w:rsid w:val="00642749"/>
    <w:rsid w:val="006427EB"/>
    <w:rsid w:val="0064300B"/>
    <w:rsid w:val="006431D8"/>
    <w:rsid w:val="00644E6F"/>
    <w:rsid w:val="00645A95"/>
    <w:rsid w:val="00645AA9"/>
    <w:rsid w:val="00645E53"/>
    <w:rsid w:val="006460AE"/>
    <w:rsid w:val="00646A73"/>
    <w:rsid w:val="00647315"/>
    <w:rsid w:val="006501FB"/>
    <w:rsid w:val="0065044E"/>
    <w:rsid w:val="006507E5"/>
    <w:rsid w:val="00652B80"/>
    <w:rsid w:val="00655B0C"/>
    <w:rsid w:val="00656908"/>
    <w:rsid w:val="00656D9F"/>
    <w:rsid w:val="00656DB6"/>
    <w:rsid w:val="00657889"/>
    <w:rsid w:val="00660D91"/>
    <w:rsid w:val="00660DB8"/>
    <w:rsid w:val="0066332E"/>
    <w:rsid w:val="00664339"/>
    <w:rsid w:val="006652C5"/>
    <w:rsid w:val="0066543D"/>
    <w:rsid w:val="00667AD6"/>
    <w:rsid w:val="00667C70"/>
    <w:rsid w:val="006714C4"/>
    <w:rsid w:val="006727D1"/>
    <w:rsid w:val="006727F8"/>
    <w:rsid w:val="00672812"/>
    <w:rsid w:val="006728B4"/>
    <w:rsid w:val="00674919"/>
    <w:rsid w:val="00674C4D"/>
    <w:rsid w:val="00675C6E"/>
    <w:rsid w:val="00675CCC"/>
    <w:rsid w:val="00676B75"/>
    <w:rsid w:val="00677F76"/>
    <w:rsid w:val="00684F9A"/>
    <w:rsid w:val="00685FED"/>
    <w:rsid w:val="00686DFC"/>
    <w:rsid w:val="0069027D"/>
    <w:rsid w:val="00691E63"/>
    <w:rsid w:val="0069285E"/>
    <w:rsid w:val="00692B20"/>
    <w:rsid w:val="00693D5D"/>
    <w:rsid w:val="00694C2A"/>
    <w:rsid w:val="00695318"/>
    <w:rsid w:val="00696790"/>
    <w:rsid w:val="00696E1F"/>
    <w:rsid w:val="00697884"/>
    <w:rsid w:val="00697A4C"/>
    <w:rsid w:val="006A0B32"/>
    <w:rsid w:val="006A0C40"/>
    <w:rsid w:val="006A18CE"/>
    <w:rsid w:val="006A2082"/>
    <w:rsid w:val="006A39D2"/>
    <w:rsid w:val="006A39D3"/>
    <w:rsid w:val="006A4D5F"/>
    <w:rsid w:val="006A562D"/>
    <w:rsid w:val="006A648E"/>
    <w:rsid w:val="006A66DE"/>
    <w:rsid w:val="006A75B1"/>
    <w:rsid w:val="006A7967"/>
    <w:rsid w:val="006A7E57"/>
    <w:rsid w:val="006B14C9"/>
    <w:rsid w:val="006B2799"/>
    <w:rsid w:val="006B3671"/>
    <w:rsid w:val="006B4624"/>
    <w:rsid w:val="006B5568"/>
    <w:rsid w:val="006B5AED"/>
    <w:rsid w:val="006C2E3C"/>
    <w:rsid w:val="006C2F1E"/>
    <w:rsid w:val="006C309B"/>
    <w:rsid w:val="006C3C4F"/>
    <w:rsid w:val="006C6566"/>
    <w:rsid w:val="006C681A"/>
    <w:rsid w:val="006D0289"/>
    <w:rsid w:val="006D048A"/>
    <w:rsid w:val="006D0708"/>
    <w:rsid w:val="006D0D1C"/>
    <w:rsid w:val="006D1765"/>
    <w:rsid w:val="006D17A5"/>
    <w:rsid w:val="006D4343"/>
    <w:rsid w:val="006D4423"/>
    <w:rsid w:val="006D4540"/>
    <w:rsid w:val="006D5EA0"/>
    <w:rsid w:val="006E1188"/>
    <w:rsid w:val="006E21E2"/>
    <w:rsid w:val="006E25F7"/>
    <w:rsid w:val="006E3C27"/>
    <w:rsid w:val="006E3D7F"/>
    <w:rsid w:val="006E410B"/>
    <w:rsid w:val="006E5077"/>
    <w:rsid w:val="006E54FD"/>
    <w:rsid w:val="006E600B"/>
    <w:rsid w:val="006E66FC"/>
    <w:rsid w:val="006E6B3F"/>
    <w:rsid w:val="006E6DC7"/>
    <w:rsid w:val="006E715B"/>
    <w:rsid w:val="006F0733"/>
    <w:rsid w:val="006F0967"/>
    <w:rsid w:val="006F0AA1"/>
    <w:rsid w:val="006F12FC"/>
    <w:rsid w:val="006F2CF9"/>
    <w:rsid w:val="006F2F51"/>
    <w:rsid w:val="006F4CA9"/>
    <w:rsid w:val="006F4F16"/>
    <w:rsid w:val="006F5C7B"/>
    <w:rsid w:val="006F615B"/>
    <w:rsid w:val="006F6790"/>
    <w:rsid w:val="006F687A"/>
    <w:rsid w:val="006F7E2F"/>
    <w:rsid w:val="007009AF"/>
    <w:rsid w:val="00700E1A"/>
    <w:rsid w:val="00701809"/>
    <w:rsid w:val="00703248"/>
    <w:rsid w:val="0070516A"/>
    <w:rsid w:val="0070598B"/>
    <w:rsid w:val="007073E8"/>
    <w:rsid w:val="00707909"/>
    <w:rsid w:val="00707F34"/>
    <w:rsid w:val="007149A1"/>
    <w:rsid w:val="00714C05"/>
    <w:rsid w:val="00715C5B"/>
    <w:rsid w:val="00715CAB"/>
    <w:rsid w:val="007177CF"/>
    <w:rsid w:val="00717B80"/>
    <w:rsid w:val="00720607"/>
    <w:rsid w:val="00720C09"/>
    <w:rsid w:val="00720FE0"/>
    <w:rsid w:val="00721072"/>
    <w:rsid w:val="00721F1C"/>
    <w:rsid w:val="0072219E"/>
    <w:rsid w:val="00724223"/>
    <w:rsid w:val="00724834"/>
    <w:rsid w:val="00725594"/>
    <w:rsid w:val="00726AAA"/>
    <w:rsid w:val="00727D5A"/>
    <w:rsid w:val="00727D7E"/>
    <w:rsid w:val="0073075D"/>
    <w:rsid w:val="00731645"/>
    <w:rsid w:val="00731916"/>
    <w:rsid w:val="00732B64"/>
    <w:rsid w:val="00732F30"/>
    <w:rsid w:val="00733691"/>
    <w:rsid w:val="00735337"/>
    <w:rsid w:val="00735B72"/>
    <w:rsid w:val="007361B0"/>
    <w:rsid w:val="00736695"/>
    <w:rsid w:val="00736801"/>
    <w:rsid w:val="00740F1A"/>
    <w:rsid w:val="00744360"/>
    <w:rsid w:val="00746CFB"/>
    <w:rsid w:val="00750214"/>
    <w:rsid w:val="00750F76"/>
    <w:rsid w:val="0075154D"/>
    <w:rsid w:val="00751B76"/>
    <w:rsid w:val="007526AE"/>
    <w:rsid w:val="0075284A"/>
    <w:rsid w:val="007531BB"/>
    <w:rsid w:val="00753EF4"/>
    <w:rsid w:val="00754617"/>
    <w:rsid w:val="0075478D"/>
    <w:rsid w:val="00754CC8"/>
    <w:rsid w:val="00757B83"/>
    <w:rsid w:val="00760307"/>
    <w:rsid w:val="007604BF"/>
    <w:rsid w:val="00760D4B"/>
    <w:rsid w:val="00760E3E"/>
    <w:rsid w:val="007629C5"/>
    <w:rsid w:val="00762D82"/>
    <w:rsid w:val="00763244"/>
    <w:rsid w:val="0076352E"/>
    <w:rsid w:val="007640C7"/>
    <w:rsid w:val="0076442D"/>
    <w:rsid w:val="007649DD"/>
    <w:rsid w:val="007653F3"/>
    <w:rsid w:val="00766E37"/>
    <w:rsid w:val="00767DAA"/>
    <w:rsid w:val="007703CF"/>
    <w:rsid w:val="00770546"/>
    <w:rsid w:val="00771723"/>
    <w:rsid w:val="00772012"/>
    <w:rsid w:val="0077297C"/>
    <w:rsid w:val="00772DBE"/>
    <w:rsid w:val="00772E0A"/>
    <w:rsid w:val="00773E23"/>
    <w:rsid w:val="007748E0"/>
    <w:rsid w:val="00775D92"/>
    <w:rsid w:val="007763F7"/>
    <w:rsid w:val="00777C96"/>
    <w:rsid w:val="00777E10"/>
    <w:rsid w:val="007800EB"/>
    <w:rsid w:val="00781208"/>
    <w:rsid w:val="0078191B"/>
    <w:rsid w:val="00781D10"/>
    <w:rsid w:val="007825BC"/>
    <w:rsid w:val="007826AB"/>
    <w:rsid w:val="007845A6"/>
    <w:rsid w:val="00784773"/>
    <w:rsid w:val="00784AA4"/>
    <w:rsid w:val="00784BE5"/>
    <w:rsid w:val="00785232"/>
    <w:rsid w:val="007864FD"/>
    <w:rsid w:val="007904DB"/>
    <w:rsid w:val="0079065E"/>
    <w:rsid w:val="007910ED"/>
    <w:rsid w:val="007913D9"/>
    <w:rsid w:val="00791BB3"/>
    <w:rsid w:val="00791F62"/>
    <w:rsid w:val="00792663"/>
    <w:rsid w:val="00794D69"/>
    <w:rsid w:val="007971BE"/>
    <w:rsid w:val="007A00DC"/>
    <w:rsid w:val="007A018C"/>
    <w:rsid w:val="007A1712"/>
    <w:rsid w:val="007A195E"/>
    <w:rsid w:val="007A22C3"/>
    <w:rsid w:val="007A2661"/>
    <w:rsid w:val="007A334D"/>
    <w:rsid w:val="007A5E4F"/>
    <w:rsid w:val="007A7963"/>
    <w:rsid w:val="007B0C01"/>
    <w:rsid w:val="007B1F64"/>
    <w:rsid w:val="007B2903"/>
    <w:rsid w:val="007B35DB"/>
    <w:rsid w:val="007B3CF8"/>
    <w:rsid w:val="007B5328"/>
    <w:rsid w:val="007B56F4"/>
    <w:rsid w:val="007B6235"/>
    <w:rsid w:val="007B7D3B"/>
    <w:rsid w:val="007C085F"/>
    <w:rsid w:val="007C1708"/>
    <w:rsid w:val="007C2671"/>
    <w:rsid w:val="007C5238"/>
    <w:rsid w:val="007C65D9"/>
    <w:rsid w:val="007C6A1A"/>
    <w:rsid w:val="007C6E9B"/>
    <w:rsid w:val="007C71CE"/>
    <w:rsid w:val="007D1160"/>
    <w:rsid w:val="007D12F9"/>
    <w:rsid w:val="007D38C4"/>
    <w:rsid w:val="007D3AD8"/>
    <w:rsid w:val="007D3CA9"/>
    <w:rsid w:val="007D4556"/>
    <w:rsid w:val="007D4EF1"/>
    <w:rsid w:val="007E2033"/>
    <w:rsid w:val="007E27EB"/>
    <w:rsid w:val="007E3F00"/>
    <w:rsid w:val="007E4AEC"/>
    <w:rsid w:val="007E6451"/>
    <w:rsid w:val="007E71BE"/>
    <w:rsid w:val="007E7CA8"/>
    <w:rsid w:val="007F0C12"/>
    <w:rsid w:val="007F0CBE"/>
    <w:rsid w:val="007F0E48"/>
    <w:rsid w:val="007F1BA5"/>
    <w:rsid w:val="007F2A0A"/>
    <w:rsid w:val="007F2F4D"/>
    <w:rsid w:val="007F35EA"/>
    <w:rsid w:val="007F57CF"/>
    <w:rsid w:val="007F5EC7"/>
    <w:rsid w:val="007F5F1C"/>
    <w:rsid w:val="007F6373"/>
    <w:rsid w:val="007F7966"/>
    <w:rsid w:val="0080061F"/>
    <w:rsid w:val="0080160D"/>
    <w:rsid w:val="008018BD"/>
    <w:rsid w:val="00803F3B"/>
    <w:rsid w:val="008044D0"/>
    <w:rsid w:val="00804A54"/>
    <w:rsid w:val="00804AFD"/>
    <w:rsid w:val="008050A1"/>
    <w:rsid w:val="0080512E"/>
    <w:rsid w:val="00805360"/>
    <w:rsid w:val="00805C31"/>
    <w:rsid w:val="00811309"/>
    <w:rsid w:val="00812398"/>
    <w:rsid w:val="00814F10"/>
    <w:rsid w:val="0081608B"/>
    <w:rsid w:val="0081627D"/>
    <w:rsid w:val="0081713A"/>
    <w:rsid w:val="00817BAF"/>
    <w:rsid w:val="00820043"/>
    <w:rsid w:val="00820623"/>
    <w:rsid w:val="008233C2"/>
    <w:rsid w:val="00823881"/>
    <w:rsid w:val="0082623D"/>
    <w:rsid w:val="00826FC7"/>
    <w:rsid w:val="008274F3"/>
    <w:rsid w:val="00827F77"/>
    <w:rsid w:val="00831789"/>
    <w:rsid w:val="00831B10"/>
    <w:rsid w:val="008320C5"/>
    <w:rsid w:val="00832B91"/>
    <w:rsid w:val="008337C7"/>
    <w:rsid w:val="00833EDB"/>
    <w:rsid w:val="00835906"/>
    <w:rsid w:val="008364DE"/>
    <w:rsid w:val="0083770B"/>
    <w:rsid w:val="00840DC1"/>
    <w:rsid w:val="00841B2F"/>
    <w:rsid w:val="00841BED"/>
    <w:rsid w:val="00842347"/>
    <w:rsid w:val="00843AF7"/>
    <w:rsid w:val="00844655"/>
    <w:rsid w:val="00844810"/>
    <w:rsid w:val="00844E51"/>
    <w:rsid w:val="0084681C"/>
    <w:rsid w:val="00847264"/>
    <w:rsid w:val="00850014"/>
    <w:rsid w:val="0085120F"/>
    <w:rsid w:val="00851D27"/>
    <w:rsid w:val="00852FBB"/>
    <w:rsid w:val="00855499"/>
    <w:rsid w:val="00856023"/>
    <w:rsid w:val="00856DF9"/>
    <w:rsid w:val="008579FC"/>
    <w:rsid w:val="00857EA9"/>
    <w:rsid w:val="008600DA"/>
    <w:rsid w:val="00860808"/>
    <w:rsid w:val="00860D7D"/>
    <w:rsid w:val="00860E8B"/>
    <w:rsid w:val="00861ACA"/>
    <w:rsid w:val="00866375"/>
    <w:rsid w:val="0086764D"/>
    <w:rsid w:val="00870300"/>
    <w:rsid w:val="00870A61"/>
    <w:rsid w:val="00871951"/>
    <w:rsid w:val="00872C35"/>
    <w:rsid w:val="0087441C"/>
    <w:rsid w:val="00875137"/>
    <w:rsid w:val="00877CAD"/>
    <w:rsid w:val="00880749"/>
    <w:rsid w:val="00880925"/>
    <w:rsid w:val="00880C18"/>
    <w:rsid w:val="00883A18"/>
    <w:rsid w:val="008858EC"/>
    <w:rsid w:val="0088659E"/>
    <w:rsid w:val="008911F9"/>
    <w:rsid w:val="00891283"/>
    <w:rsid w:val="0089155E"/>
    <w:rsid w:val="008917C7"/>
    <w:rsid w:val="00892532"/>
    <w:rsid w:val="00892BD6"/>
    <w:rsid w:val="008931CF"/>
    <w:rsid w:val="00895770"/>
    <w:rsid w:val="008958B5"/>
    <w:rsid w:val="0089667B"/>
    <w:rsid w:val="008977BC"/>
    <w:rsid w:val="008A073A"/>
    <w:rsid w:val="008A1788"/>
    <w:rsid w:val="008A19C9"/>
    <w:rsid w:val="008A45A4"/>
    <w:rsid w:val="008A542E"/>
    <w:rsid w:val="008A627C"/>
    <w:rsid w:val="008A662E"/>
    <w:rsid w:val="008A6B03"/>
    <w:rsid w:val="008A728A"/>
    <w:rsid w:val="008A77AF"/>
    <w:rsid w:val="008B0104"/>
    <w:rsid w:val="008B0DAA"/>
    <w:rsid w:val="008B1A36"/>
    <w:rsid w:val="008B2854"/>
    <w:rsid w:val="008B3876"/>
    <w:rsid w:val="008B3C72"/>
    <w:rsid w:val="008B46FC"/>
    <w:rsid w:val="008B4B41"/>
    <w:rsid w:val="008B4CFA"/>
    <w:rsid w:val="008B5B1D"/>
    <w:rsid w:val="008B6991"/>
    <w:rsid w:val="008C028D"/>
    <w:rsid w:val="008C1056"/>
    <w:rsid w:val="008C17EC"/>
    <w:rsid w:val="008C1D93"/>
    <w:rsid w:val="008C2077"/>
    <w:rsid w:val="008C4457"/>
    <w:rsid w:val="008C4463"/>
    <w:rsid w:val="008C5362"/>
    <w:rsid w:val="008C5470"/>
    <w:rsid w:val="008C57FB"/>
    <w:rsid w:val="008C7485"/>
    <w:rsid w:val="008D16C8"/>
    <w:rsid w:val="008D1C78"/>
    <w:rsid w:val="008D1D08"/>
    <w:rsid w:val="008D2F70"/>
    <w:rsid w:val="008D312C"/>
    <w:rsid w:val="008D31A3"/>
    <w:rsid w:val="008D326B"/>
    <w:rsid w:val="008D531F"/>
    <w:rsid w:val="008D5718"/>
    <w:rsid w:val="008D6213"/>
    <w:rsid w:val="008D6235"/>
    <w:rsid w:val="008D794A"/>
    <w:rsid w:val="008D7ACE"/>
    <w:rsid w:val="008E001C"/>
    <w:rsid w:val="008E0324"/>
    <w:rsid w:val="008E1499"/>
    <w:rsid w:val="008E3E8C"/>
    <w:rsid w:val="008E5307"/>
    <w:rsid w:val="008E5A34"/>
    <w:rsid w:val="008F049B"/>
    <w:rsid w:val="008F0E6B"/>
    <w:rsid w:val="008F0F9D"/>
    <w:rsid w:val="008F1811"/>
    <w:rsid w:val="008F2F5C"/>
    <w:rsid w:val="008F3FB7"/>
    <w:rsid w:val="008F4C50"/>
    <w:rsid w:val="008F4CD8"/>
    <w:rsid w:val="008F6268"/>
    <w:rsid w:val="009004A3"/>
    <w:rsid w:val="00900BD5"/>
    <w:rsid w:val="00901189"/>
    <w:rsid w:val="00902642"/>
    <w:rsid w:val="0090268C"/>
    <w:rsid w:val="009035E3"/>
    <w:rsid w:val="00903FB2"/>
    <w:rsid w:val="0090492A"/>
    <w:rsid w:val="00906BF1"/>
    <w:rsid w:val="00907B56"/>
    <w:rsid w:val="00907F05"/>
    <w:rsid w:val="00910A0D"/>
    <w:rsid w:val="00913120"/>
    <w:rsid w:val="0091461F"/>
    <w:rsid w:val="00916D57"/>
    <w:rsid w:val="00920858"/>
    <w:rsid w:val="00921068"/>
    <w:rsid w:val="009213E1"/>
    <w:rsid w:val="00923284"/>
    <w:rsid w:val="0092387B"/>
    <w:rsid w:val="00925BD9"/>
    <w:rsid w:val="0092723C"/>
    <w:rsid w:val="0093583A"/>
    <w:rsid w:val="00936344"/>
    <w:rsid w:val="00936B90"/>
    <w:rsid w:val="00937789"/>
    <w:rsid w:val="009404F7"/>
    <w:rsid w:val="00940A04"/>
    <w:rsid w:val="00940BD2"/>
    <w:rsid w:val="00940D97"/>
    <w:rsid w:val="009418DB"/>
    <w:rsid w:val="0094190E"/>
    <w:rsid w:val="0094352D"/>
    <w:rsid w:val="009438E2"/>
    <w:rsid w:val="00943D04"/>
    <w:rsid w:val="00945824"/>
    <w:rsid w:val="009464FC"/>
    <w:rsid w:val="00946621"/>
    <w:rsid w:val="00946959"/>
    <w:rsid w:val="009471FB"/>
    <w:rsid w:val="009477DA"/>
    <w:rsid w:val="0095116E"/>
    <w:rsid w:val="00951B5B"/>
    <w:rsid w:val="00952A1A"/>
    <w:rsid w:val="00953886"/>
    <w:rsid w:val="0095506C"/>
    <w:rsid w:val="00955EC3"/>
    <w:rsid w:val="0095623E"/>
    <w:rsid w:val="00960D79"/>
    <w:rsid w:val="009620E3"/>
    <w:rsid w:val="00963FAA"/>
    <w:rsid w:val="00965804"/>
    <w:rsid w:val="009659DF"/>
    <w:rsid w:val="00965C3E"/>
    <w:rsid w:val="00966537"/>
    <w:rsid w:val="009667B0"/>
    <w:rsid w:val="009667F0"/>
    <w:rsid w:val="00967AE1"/>
    <w:rsid w:val="00967CA7"/>
    <w:rsid w:val="009709BC"/>
    <w:rsid w:val="00971BDD"/>
    <w:rsid w:val="00972E6D"/>
    <w:rsid w:val="00972F5A"/>
    <w:rsid w:val="009738A0"/>
    <w:rsid w:val="00973B4A"/>
    <w:rsid w:val="00973C7F"/>
    <w:rsid w:val="00975A03"/>
    <w:rsid w:val="00976E2E"/>
    <w:rsid w:val="00982761"/>
    <w:rsid w:val="00982CAE"/>
    <w:rsid w:val="009846C8"/>
    <w:rsid w:val="009867FE"/>
    <w:rsid w:val="00991582"/>
    <w:rsid w:val="00992045"/>
    <w:rsid w:val="00992192"/>
    <w:rsid w:val="00992786"/>
    <w:rsid w:val="00992902"/>
    <w:rsid w:val="00992E67"/>
    <w:rsid w:val="00993156"/>
    <w:rsid w:val="00993E0B"/>
    <w:rsid w:val="009942D1"/>
    <w:rsid w:val="00994FA5"/>
    <w:rsid w:val="00995280"/>
    <w:rsid w:val="009957F7"/>
    <w:rsid w:val="0099608A"/>
    <w:rsid w:val="009960FD"/>
    <w:rsid w:val="0099631A"/>
    <w:rsid w:val="0099740A"/>
    <w:rsid w:val="009A0C5D"/>
    <w:rsid w:val="009A15E1"/>
    <w:rsid w:val="009A2E19"/>
    <w:rsid w:val="009A5858"/>
    <w:rsid w:val="009A5A72"/>
    <w:rsid w:val="009A5B93"/>
    <w:rsid w:val="009A67FD"/>
    <w:rsid w:val="009A7646"/>
    <w:rsid w:val="009B3BFF"/>
    <w:rsid w:val="009B3C35"/>
    <w:rsid w:val="009B52FB"/>
    <w:rsid w:val="009B5348"/>
    <w:rsid w:val="009B539C"/>
    <w:rsid w:val="009B54D7"/>
    <w:rsid w:val="009B57DB"/>
    <w:rsid w:val="009B71E5"/>
    <w:rsid w:val="009C1A54"/>
    <w:rsid w:val="009C2498"/>
    <w:rsid w:val="009C2669"/>
    <w:rsid w:val="009C2884"/>
    <w:rsid w:val="009C32B5"/>
    <w:rsid w:val="009C4E75"/>
    <w:rsid w:val="009C6378"/>
    <w:rsid w:val="009C6B91"/>
    <w:rsid w:val="009C7692"/>
    <w:rsid w:val="009C7703"/>
    <w:rsid w:val="009D2C17"/>
    <w:rsid w:val="009D2E7A"/>
    <w:rsid w:val="009D2F92"/>
    <w:rsid w:val="009D33C4"/>
    <w:rsid w:val="009D3428"/>
    <w:rsid w:val="009D385B"/>
    <w:rsid w:val="009D41D9"/>
    <w:rsid w:val="009D5450"/>
    <w:rsid w:val="009D685F"/>
    <w:rsid w:val="009D7FBF"/>
    <w:rsid w:val="009E00FF"/>
    <w:rsid w:val="009E2E4A"/>
    <w:rsid w:val="009E3780"/>
    <w:rsid w:val="009E68A2"/>
    <w:rsid w:val="009F06FA"/>
    <w:rsid w:val="009F0DF7"/>
    <w:rsid w:val="009F13D7"/>
    <w:rsid w:val="009F264E"/>
    <w:rsid w:val="009F26BF"/>
    <w:rsid w:val="009F3168"/>
    <w:rsid w:val="009F3866"/>
    <w:rsid w:val="009F5707"/>
    <w:rsid w:val="009F5715"/>
    <w:rsid w:val="00A00F56"/>
    <w:rsid w:val="00A0249E"/>
    <w:rsid w:val="00A03C6F"/>
    <w:rsid w:val="00A067DD"/>
    <w:rsid w:val="00A067FA"/>
    <w:rsid w:val="00A06E1C"/>
    <w:rsid w:val="00A10FC8"/>
    <w:rsid w:val="00A11EDE"/>
    <w:rsid w:val="00A124AF"/>
    <w:rsid w:val="00A13E8F"/>
    <w:rsid w:val="00A140AF"/>
    <w:rsid w:val="00A1454E"/>
    <w:rsid w:val="00A15545"/>
    <w:rsid w:val="00A16425"/>
    <w:rsid w:val="00A20863"/>
    <w:rsid w:val="00A22BB5"/>
    <w:rsid w:val="00A24E2E"/>
    <w:rsid w:val="00A25235"/>
    <w:rsid w:val="00A25C29"/>
    <w:rsid w:val="00A269AB"/>
    <w:rsid w:val="00A26C22"/>
    <w:rsid w:val="00A26DB6"/>
    <w:rsid w:val="00A31E07"/>
    <w:rsid w:val="00A3265C"/>
    <w:rsid w:val="00A32806"/>
    <w:rsid w:val="00A32AB2"/>
    <w:rsid w:val="00A33C4E"/>
    <w:rsid w:val="00A33C9E"/>
    <w:rsid w:val="00A35F3D"/>
    <w:rsid w:val="00A36A51"/>
    <w:rsid w:val="00A37C42"/>
    <w:rsid w:val="00A40624"/>
    <w:rsid w:val="00A40D3A"/>
    <w:rsid w:val="00A41B23"/>
    <w:rsid w:val="00A41E9D"/>
    <w:rsid w:val="00A4251D"/>
    <w:rsid w:val="00A4502A"/>
    <w:rsid w:val="00A4507B"/>
    <w:rsid w:val="00A46093"/>
    <w:rsid w:val="00A47859"/>
    <w:rsid w:val="00A4793E"/>
    <w:rsid w:val="00A47F2B"/>
    <w:rsid w:val="00A51FAC"/>
    <w:rsid w:val="00A52AB3"/>
    <w:rsid w:val="00A531B2"/>
    <w:rsid w:val="00A541E3"/>
    <w:rsid w:val="00A54CB5"/>
    <w:rsid w:val="00A56248"/>
    <w:rsid w:val="00A568EB"/>
    <w:rsid w:val="00A56AAD"/>
    <w:rsid w:val="00A57178"/>
    <w:rsid w:val="00A6035A"/>
    <w:rsid w:val="00A60998"/>
    <w:rsid w:val="00A62DC1"/>
    <w:rsid w:val="00A63A11"/>
    <w:rsid w:val="00A6429D"/>
    <w:rsid w:val="00A64499"/>
    <w:rsid w:val="00A650A7"/>
    <w:rsid w:val="00A65F4C"/>
    <w:rsid w:val="00A665F1"/>
    <w:rsid w:val="00A666FC"/>
    <w:rsid w:val="00A66EF4"/>
    <w:rsid w:val="00A67283"/>
    <w:rsid w:val="00A70330"/>
    <w:rsid w:val="00A705C3"/>
    <w:rsid w:val="00A716F7"/>
    <w:rsid w:val="00A71E7E"/>
    <w:rsid w:val="00A72111"/>
    <w:rsid w:val="00A73BBC"/>
    <w:rsid w:val="00A73DC7"/>
    <w:rsid w:val="00A74504"/>
    <w:rsid w:val="00A753F4"/>
    <w:rsid w:val="00A75718"/>
    <w:rsid w:val="00A766F8"/>
    <w:rsid w:val="00A772D2"/>
    <w:rsid w:val="00A77641"/>
    <w:rsid w:val="00A80F21"/>
    <w:rsid w:val="00A81409"/>
    <w:rsid w:val="00A814B7"/>
    <w:rsid w:val="00A827AE"/>
    <w:rsid w:val="00A83C67"/>
    <w:rsid w:val="00A83FE2"/>
    <w:rsid w:val="00A84528"/>
    <w:rsid w:val="00A84952"/>
    <w:rsid w:val="00A8585C"/>
    <w:rsid w:val="00A9096B"/>
    <w:rsid w:val="00A9243C"/>
    <w:rsid w:val="00A94297"/>
    <w:rsid w:val="00A95A01"/>
    <w:rsid w:val="00A95B49"/>
    <w:rsid w:val="00A96CCB"/>
    <w:rsid w:val="00A97807"/>
    <w:rsid w:val="00AA0240"/>
    <w:rsid w:val="00AA3811"/>
    <w:rsid w:val="00AA433C"/>
    <w:rsid w:val="00AA6636"/>
    <w:rsid w:val="00AA7020"/>
    <w:rsid w:val="00AB2767"/>
    <w:rsid w:val="00AB2E19"/>
    <w:rsid w:val="00AB3310"/>
    <w:rsid w:val="00AB41B8"/>
    <w:rsid w:val="00AB4579"/>
    <w:rsid w:val="00AB4F41"/>
    <w:rsid w:val="00AB58B1"/>
    <w:rsid w:val="00AB63DE"/>
    <w:rsid w:val="00AB68D7"/>
    <w:rsid w:val="00AC08B8"/>
    <w:rsid w:val="00AC1083"/>
    <w:rsid w:val="00AC22BB"/>
    <w:rsid w:val="00AC238F"/>
    <w:rsid w:val="00AC2962"/>
    <w:rsid w:val="00AC2FAF"/>
    <w:rsid w:val="00AC37B4"/>
    <w:rsid w:val="00AC45B2"/>
    <w:rsid w:val="00AC498C"/>
    <w:rsid w:val="00AC5012"/>
    <w:rsid w:val="00AC743D"/>
    <w:rsid w:val="00AC74F4"/>
    <w:rsid w:val="00AD038A"/>
    <w:rsid w:val="00AD087E"/>
    <w:rsid w:val="00AD26C4"/>
    <w:rsid w:val="00AD458C"/>
    <w:rsid w:val="00AD51AA"/>
    <w:rsid w:val="00AD5403"/>
    <w:rsid w:val="00AD644C"/>
    <w:rsid w:val="00AD6CC5"/>
    <w:rsid w:val="00AD742C"/>
    <w:rsid w:val="00AD7591"/>
    <w:rsid w:val="00AD778E"/>
    <w:rsid w:val="00AD780C"/>
    <w:rsid w:val="00AD7FBC"/>
    <w:rsid w:val="00AE080E"/>
    <w:rsid w:val="00AE0B4A"/>
    <w:rsid w:val="00AE1191"/>
    <w:rsid w:val="00AE1718"/>
    <w:rsid w:val="00AE343D"/>
    <w:rsid w:val="00AE3586"/>
    <w:rsid w:val="00AE50EC"/>
    <w:rsid w:val="00AE556A"/>
    <w:rsid w:val="00AE6881"/>
    <w:rsid w:val="00AE761D"/>
    <w:rsid w:val="00AE78EC"/>
    <w:rsid w:val="00AF1697"/>
    <w:rsid w:val="00AF221A"/>
    <w:rsid w:val="00AF22E1"/>
    <w:rsid w:val="00AF2805"/>
    <w:rsid w:val="00AF2F46"/>
    <w:rsid w:val="00AF3093"/>
    <w:rsid w:val="00AF328F"/>
    <w:rsid w:val="00AF3E86"/>
    <w:rsid w:val="00AF422D"/>
    <w:rsid w:val="00AF5912"/>
    <w:rsid w:val="00AF5BA8"/>
    <w:rsid w:val="00AF61E4"/>
    <w:rsid w:val="00B01C5D"/>
    <w:rsid w:val="00B01D01"/>
    <w:rsid w:val="00B0387B"/>
    <w:rsid w:val="00B04247"/>
    <w:rsid w:val="00B04E2F"/>
    <w:rsid w:val="00B05EAA"/>
    <w:rsid w:val="00B06C58"/>
    <w:rsid w:val="00B074AD"/>
    <w:rsid w:val="00B07AD9"/>
    <w:rsid w:val="00B07D8A"/>
    <w:rsid w:val="00B07E2E"/>
    <w:rsid w:val="00B117C8"/>
    <w:rsid w:val="00B12789"/>
    <w:rsid w:val="00B12CCE"/>
    <w:rsid w:val="00B141FB"/>
    <w:rsid w:val="00B14EEE"/>
    <w:rsid w:val="00B155A9"/>
    <w:rsid w:val="00B1566C"/>
    <w:rsid w:val="00B15F2B"/>
    <w:rsid w:val="00B164AF"/>
    <w:rsid w:val="00B237AC"/>
    <w:rsid w:val="00B24F76"/>
    <w:rsid w:val="00B26AF5"/>
    <w:rsid w:val="00B31431"/>
    <w:rsid w:val="00B326BB"/>
    <w:rsid w:val="00B33D2E"/>
    <w:rsid w:val="00B33FB1"/>
    <w:rsid w:val="00B37CB4"/>
    <w:rsid w:val="00B4298B"/>
    <w:rsid w:val="00B42FC1"/>
    <w:rsid w:val="00B432B3"/>
    <w:rsid w:val="00B43B44"/>
    <w:rsid w:val="00B43F6E"/>
    <w:rsid w:val="00B45B5F"/>
    <w:rsid w:val="00B462E6"/>
    <w:rsid w:val="00B47D0E"/>
    <w:rsid w:val="00B50260"/>
    <w:rsid w:val="00B509E7"/>
    <w:rsid w:val="00B5129B"/>
    <w:rsid w:val="00B51400"/>
    <w:rsid w:val="00B517E0"/>
    <w:rsid w:val="00B520F5"/>
    <w:rsid w:val="00B5251C"/>
    <w:rsid w:val="00B52C47"/>
    <w:rsid w:val="00B538A5"/>
    <w:rsid w:val="00B550FB"/>
    <w:rsid w:val="00B560EC"/>
    <w:rsid w:val="00B56449"/>
    <w:rsid w:val="00B568B2"/>
    <w:rsid w:val="00B568F0"/>
    <w:rsid w:val="00B56DD3"/>
    <w:rsid w:val="00B56FA0"/>
    <w:rsid w:val="00B57C33"/>
    <w:rsid w:val="00B60003"/>
    <w:rsid w:val="00B602F8"/>
    <w:rsid w:val="00B60487"/>
    <w:rsid w:val="00B6080C"/>
    <w:rsid w:val="00B609B3"/>
    <w:rsid w:val="00B615D6"/>
    <w:rsid w:val="00B61925"/>
    <w:rsid w:val="00B62113"/>
    <w:rsid w:val="00B62906"/>
    <w:rsid w:val="00B62C86"/>
    <w:rsid w:val="00B63A91"/>
    <w:rsid w:val="00B63FB0"/>
    <w:rsid w:val="00B6486D"/>
    <w:rsid w:val="00B64AED"/>
    <w:rsid w:val="00B64E44"/>
    <w:rsid w:val="00B66CB5"/>
    <w:rsid w:val="00B67F25"/>
    <w:rsid w:val="00B70240"/>
    <w:rsid w:val="00B705A8"/>
    <w:rsid w:val="00B7152D"/>
    <w:rsid w:val="00B71614"/>
    <w:rsid w:val="00B72159"/>
    <w:rsid w:val="00B73306"/>
    <w:rsid w:val="00B754FA"/>
    <w:rsid w:val="00B7707D"/>
    <w:rsid w:val="00B820B9"/>
    <w:rsid w:val="00B83A1F"/>
    <w:rsid w:val="00B85443"/>
    <w:rsid w:val="00B87843"/>
    <w:rsid w:val="00B90835"/>
    <w:rsid w:val="00B9097E"/>
    <w:rsid w:val="00B915E2"/>
    <w:rsid w:val="00B91BD5"/>
    <w:rsid w:val="00B9360C"/>
    <w:rsid w:val="00B93ECF"/>
    <w:rsid w:val="00B95189"/>
    <w:rsid w:val="00BA0C37"/>
    <w:rsid w:val="00BA383F"/>
    <w:rsid w:val="00BA3E6A"/>
    <w:rsid w:val="00BA44AD"/>
    <w:rsid w:val="00BA472E"/>
    <w:rsid w:val="00BA51A7"/>
    <w:rsid w:val="00BA5700"/>
    <w:rsid w:val="00BA697A"/>
    <w:rsid w:val="00BB01A1"/>
    <w:rsid w:val="00BB01E0"/>
    <w:rsid w:val="00BB1C12"/>
    <w:rsid w:val="00BB21D1"/>
    <w:rsid w:val="00BB259A"/>
    <w:rsid w:val="00BB25D6"/>
    <w:rsid w:val="00BB4AE9"/>
    <w:rsid w:val="00BB5D03"/>
    <w:rsid w:val="00BB637D"/>
    <w:rsid w:val="00BB6AC4"/>
    <w:rsid w:val="00BB7097"/>
    <w:rsid w:val="00BB71DD"/>
    <w:rsid w:val="00BC0952"/>
    <w:rsid w:val="00BC0EEE"/>
    <w:rsid w:val="00BC20D7"/>
    <w:rsid w:val="00BC32F9"/>
    <w:rsid w:val="00BC3DCD"/>
    <w:rsid w:val="00BC44A9"/>
    <w:rsid w:val="00BC5001"/>
    <w:rsid w:val="00BC6F44"/>
    <w:rsid w:val="00BD0E7F"/>
    <w:rsid w:val="00BD1873"/>
    <w:rsid w:val="00BD46D8"/>
    <w:rsid w:val="00BD4FDE"/>
    <w:rsid w:val="00BD5053"/>
    <w:rsid w:val="00BD5220"/>
    <w:rsid w:val="00BD5D3A"/>
    <w:rsid w:val="00BD60BD"/>
    <w:rsid w:val="00BE05D0"/>
    <w:rsid w:val="00BE0681"/>
    <w:rsid w:val="00BE23D0"/>
    <w:rsid w:val="00BE2803"/>
    <w:rsid w:val="00BE367A"/>
    <w:rsid w:val="00BE58BE"/>
    <w:rsid w:val="00BE64E6"/>
    <w:rsid w:val="00BE66C2"/>
    <w:rsid w:val="00BE6B36"/>
    <w:rsid w:val="00BE7257"/>
    <w:rsid w:val="00BF0570"/>
    <w:rsid w:val="00BF0B92"/>
    <w:rsid w:val="00BF0ECD"/>
    <w:rsid w:val="00BF149B"/>
    <w:rsid w:val="00BF1ADB"/>
    <w:rsid w:val="00BF1B10"/>
    <w:rsid w:val="00BF1B40"/>
    <w:rsid w:val="00BF1D1D"/>
    <w:rsid w:val="00BF2ED0"/>
    <w:rsid w:val="00BF42D2"/>
    <w:rsid w:val="00BF64E8"/>
    <w:rsid w:val="00BF7187"/>
    <w:rsid w:val="00BF72C5"/>
    <w:rsid w:val="00BF7E20"/>
    <w:rsid w:val="00C005EF"/>
    <w:rsid w:val="00C008E3"/>
    <w:rsid w:val="00C009AB"/>
    <w:rsid w:val="00C02E1F"/>
    <w:rsid w:val="00C06496"/>
    <w:rsid w:val="00C06588"/>
    <w:rsid w:val="00C067D0"/>
    <w:rsid w:val="00C077A5"/>
    <w:rsid w:val="00C07F9D"/>
    <w:rsid w:val="00C100B1"/>
    <w:rsid w:val="00C10C7D"/>
    <w:rsid w:val="00C11F74"/>
    <w:rsid w:val="00C12708"/>
    <w:rsid w:val="00C12895"/>
    <w:rsid w:val="00C12FB5"/>
    <w:rsid w:val="00C133B7"/>
    <w:rsid w:val="00C13B8F"/>
    <w:rsid w:val="00C15113"/>
    <w:rsid w:val="00C15421"/>
    <w:rsid w:val="00C1693B"/>
    <w:rsid w:val="00C20845"/>
    <w:rsid w:val="00C211EC"/>
    <w:rsid w:val="00C21A3D"/>
    <w:rsid w:val="00C21F9D"/>
    <w:rsid w:val="00C228D3"/>
    <w:rsid w:val="00C247F6"/>
    <w:rsid w:val="00C255F1"/>
    <w:rsid w:val="00C268C4"/>
    <w:rsid w:val="00C26C15"/>
    <w:rsid w:val="00C270AF"/>
    <w:rsid w:val="00C273D4"/>
    <w:rsid w:val="00C278BD"/>
    <w:rsid w:val="00C27AF7"/>
    <w:rsid w:val="00C317EB"/>
    <w:rsid w:val="00C322EA"/>
    <w:rsid w:val="00C33AE9"/>
    <w:rsid w:val="00C33FED"/>
    <w:rsid w:val="00C34689"/>
    <w:rsid w:val="00C348DE"/>
    <w:rsid w:val="00C34DEC"/>
    <w:rsid w:val="00C35118"/>
    <w:rsid w:val="00C36E7C"/>
    <w:rsid w:val="00C3783D"/>
    <w:rsid w:val="00C40009"/>
    <w:rsid w:val="00C42AE2"/>
    <w:rsid w:val="00C43431"/>
    <w:rsid w:val="00C4551D"/>
    <w:rsid w:val="00C47E98"/>
    <w:rsid w:val="00C50087"/>
    <w:rsid w:val="00C505BB"/>
    <w:rsid w:val="00C50F25"/>
    <w:rsid w:val="00C536A7"/>
    <w:rsid w:val="00C5440B"/>
    <w:rsid w:val="00C545CE"/>
    <w:rsid w:val="00C55DA1"/>
    <w:rsid w:val="00C56670"/>
    <w:rsid w:val="00C56A1B"/>
    <w:rsid w:val="00C57636"/>
    <w:rsid w:val="00C577CD"/>
    <w:rsid w:val="00C57A01"/>
    <w:rsid w:val="00C57F35"/>
    <w:rsid w:val="00C61717"/>
    <w:rsid w:val="00C61BAE"/>
    <w:rsid w:val="00C622D6"/>
    <w:rsid w:val="00C62516"/>
    <w:rsid w:val="00C634D5"/>
    <w:rsid w:val="00C634EB"/>
    <w:rsid w:val="00C642F3"/>
    <w:rsid w:val="00C64491"/>
    <w:rsid w:val="00C64DA5"/>
    <w:rsid w:val="00C659D7"/>
    <w:rsid w:val="00C661EF"/>
    <w:rsid w:val="00C704BE"/>
    <w:rsid w:val="00C70554"/>
    <w:rsid w:val="00C70FB2"/>
    <w:rsid w:val="00C71775"/>
    <w:rsid w:val="00C71DA3"/>
    <w:rsid w:val="00C74C75"/>
    <w:rsid w:val="00C750DB"/>
    <w:rsid w:val="00C7610B"/>
    <w:rsid w:val="00C76518"/>
    <w:rsid w:val="00C76D93"/>
    <w:rsid w:val="00C77DF9"/>
    <w:rsid w:val="00C81FC7"/>
    <w:rsid w:val="00C821A3"/>
    <w:rsid w:val="00C82592"/>
    <w:rsid w:val="00C82894"/>
    <w:rsid w:val="00C83D74"/>
    <w:rsid w:val="00C84135"/>
    <w:rsid w:val="00C85F1C"/>
    <w:rsid w:val="00C86693"/>
    <w:rsid w:val="00C874A8"/>
    <w:rsid w:val="00C87EAE"/>
    <w:rsid w:val="00C87EB6"/>
    <w:rsid w:val="00C91181"/>
    <w:rsid w:val="00C951E1"/>
    <w:rsid w:val="00C959AE"/>
    <w:rsid w:val="00C95BB3"/>
    <w:rsid w:val="00C95F08"/>
    <w:rsid w:val="00C961E2"/>
    <w:rsid w:val="00C96A90"/>
    <w:rsid w:val="00C9745D"/>
    <w:rsid w:val="00CA0B40"/>
    <w:rsid w:val="00CA1BFB"/>
    <w:rsid w:val="00CA2C67"/>
    <w:rsid w:val="00CA32DB"/>
    <w:rsid w:val="00CA5AB0"/>
    <w:rsid w:val="00CA5D68"/>
    <w:rsid w:val="00CA735D"/>
    <w:rsid w:val="00CA7F9D"/>
    <w:rsid w:val="00CB0A81"/>
    <w:rsid w:val="00CB1AD5"/>
    <w:rsid w:val="00CB1B9E"/>
    <w:rsid w:val="00CB2461"/>
    <w:rsid w:val="00CB32F9"/>
    <w:rsid w:val="00CB3EAF"/>
    <w:rsid w:val="00CB40D2"/>
    <w:rsid w:val="00CB434E"/>
    <w:rsid w:val="00CB4E02"/>
    <w:rsid w:val="00CC10FC"/>
    <w:rsid w:val="00CC235C"/>
    <w:rsid w:val="00CC279B"/>
    <w:rsid w:val="00CC4A09"/>
    <w:rsid w:val="00CC53B0"/>
    <w:rsid w:val="00CC6220"/>
    <w:rsid w:val="00CC6ADE"/>
    <w:rsid w:val="00CC6C39"/>
    <w:rsid w:val="00CC73A5"/>
    <w:rsid w:val="00CC79DD"/>
    <w:rsid w:val="00CC7FC5"/>
    <w:rsid w:val="00CD0669"/>
    <w:rsid w:val="00CD18CA"/>
    <w:rsid w:val="00CD29E8"/>
    <w:rsid w:val="00CD2EC4"/>
    <w:rsid w:val="00CD3390"/>
    <w:rsid w:val="00CD3666"/>
    <w:rsid w:val="00CD3FCC"/>
    <w:rsid w:val="00CD441A"/>
    <w:rsid w:val="00CD4B2A"/>
    <w:rsid w:val="00CD5D9F"/>
    <w:rsid w:val="00CD5F9E"/>
    <w:rsid w:val="00CD6EFA"/>
    <w:rsid w:val="00CD734C"/>
    <w:rsid w:val="00CD78BA"/>
    <w:rsid w:val="00CE038A"/>
    <w:rsid w:val="00CE0941"/>
    <w:rsid w:val="00CE0A67"/>
    <w:rsid w:val="00CE1134"/>
    <w:rsid w:val="00CE19EB"/>
    <w:rsid w:val="00CE1E50"/>
    <w:rsid w:val="00CE202C"/>
    <w:rsid w:val="00CE23E3"/>
    <w:rsid w:val="00CE29A5"/>
    <w:rsid w:val="00CE2FF3"/>
    <w:rsid w:val="00CE346D"/>
    <w:rsid w:val="00CE3A1E"/>
    <w:rsid w:val="00CE41D3"/>
    <w:rsid w:val="00CE4CC8"/>
    <w:rsid w:val="00CE4D65"/>
    <w:rsid w:val="00CE5121"/>
    <w:rsid w:val="00CE52D9"/>
    <w:rsid w:val="00CE5743"/>
    <w:rsid w:val="00CE5887"/>
    <w:rsid w:val="00CE5ED6"/>
    <w:rsid w:val="00CE5EEB"/>
    <w:rsid w:val="00CE60B7"/>
    <w:rsid w:val="00CE66DD"/>
    <w:rsid w:val="00CF0734"/>
    <w:rsid w:val="00CF0A3F"/>
    <w:rsid w:val="00CF0C0C"/>
    <w:rsid w:val="00CF1E07"/>
    <w:rsid w:val="00CF27FC"/>
    <w:rsid w:val="00CF2BD0"/>
    <w:rsid w:val="00CF2EC9"/>
    <w:rsid w:val="00CF3DAD"/>
    <w:rsid w:val="00CF60ED"/>
    <w:rsid w:val="00CF678B"/>
    <w:rsid w:val="00CF7E1B"/>
    <w:rsid w:val="00D004B4"/>
    <w:rsid w:val="00D01FBC"/>
    <w:rsid w:val="00D028EF"/>
    <w:rsid w:val="00D03B70"/>
    <w:rsid w:val="00D04752"/>
    <w:rsid w:val="00D0709E"/>
    <w:rsid w:val="00D07B25"/>
    <w:rsid w:val="00D11F44"/>
    <w:rsid w:val="00D12B57"/>
    <w:rsid w:val="00D12E95"/>
    <w:rsid w:val="00D13110"/>
    <w:rsid w:val="00D13C48"/>
    <w:rsid w:val="00D147C0"/>
    <w:rsid w:val="00D14EA8"/>
    <w:rsid w:val="00D154B0"/>
    <w:rsid w:val="00D15808"/>
    <w:rsid w:val="00D1643E"/>
    <w:rsid w:val="00D16501"/>
    <w:rsid w:val="00D16DD0"/>
    <w:rsid w:val="00D17C48"/>
    <w:rsid w:val="00D2179C"/>
    <w:rsid w:val="00D21FD7"/>
    <w:rsid w:val="00D23264"/>
    <w:rsid w:val="00D23FFF"/>
    <w:rsid w:val="00D256FE"/>
    <w:rsid w:val="00D25F84"/>
    <w:rsid w:val="00D26DAC"/>
    <w:rsid w:val="00D26ECD"/>
    <w:rsid w:val="00D26F61"/>
    <w:rsid w:val="00D27583"/>
    <w:rsid w:val="00D27632"/>
    <w:rsid w:val="00D27BB4"/>
    <w:rsid w:val="00D30922"/>
    <w:rsid w:val="00D32052"/>
    <w:rsid w:val="00D32335"/>
    <w:rsid w:val="00D327A4"/>
    <w:rsid w:val="00D32E94"/>
    <w:rsid w:val="00D32FBA"/>
    <w:rsid w:val="00D33491"/>
    <w:rsid w:val="00D33DFD"/>
    <w:rsid w:val="00D3403C"/>
    <w:rsid w:val="00D34A05"/>
    <w:rsid w:val="00D34A3A"/>
    <w:rsid w:val="00D366B4"/>
    <w:rsid w:val="00D37098"/>
    <w:rsid w:val="00D374D8"/>
    <w:rsid w:val="00D4161C"/>
    <w:rsid w:val="00D42100"/>
    <w:rsid w:val="00D43766"/>
    <w:rsid w:val="00D46DA9"/>
    <w:rsid w:val="00D47B58"/>
    <w:rsid w:val="00D47C9D"/>
    <w:rsid w:val="00D50622"/>
    <w:rsid w:val="00D51CC0"/>
    <w:rsid w:val="00D529AD"/>
    <w:rsid w:val="00D52C21"/>
    <w:rsid w:val="00D5386C"/>
    <w:rsid w:val="00D53A9B"/>
    <w:rsid w:val="00D53CE7"/>
    <w:rsid w:val="00D54899"/>
    <w:rsid w:val="00D54D40"/>
    <w:rsid w:val="00D55F8B"/>
    <w:rsid w:val="00D56A1D"/>
    <w:rsid w:val="00D602C6"/>
    <w:rsid w:val="00D60BA5"/>
    <w:rsid w:val="00D60F57"/>
    <w:rsid w:val="00D60FE6"/>
    <w:rsid w:val="00D61BC4"/>
    <w:rsid w:val="00D62F83"/>
    <w:rsid w:val="00D62F87"/>
    <w:rsid w:val="00D6328C"/>
    <w:rsid w:val="00D63327"/>
    <w:rsid w:val="00D64DCC"/>
    <w:rsid w:val="00D6500C"/>
    <w:rsid w:val="00D65BB7"/>
    <w:rsid w:val="00D6619B"/>
    <w:rsid w:val="00D67812"/>
    <w:rsid w:val="00D70FA0"/>
    <w:rsid w:val="00D71242"/>
    <w:rsid w:val="00D723DA"/>
    <w:rsid w:val="00D724A0"/>
    <w:rsid w:val="00D72519"/>
    <w:rsid w:val="00D72A2E"/>
    <w:rsid w:val="00D731F9"/>
    <w:rsid w:val="00D74721"/>
    <w:rsid w:val="00D74A08"/>
    <w:rsid w:val="00D75A7D"/>
    <w:rsid w:val="00D76692"/>
    <w:rsid w:val="00D770B1"/>
    <w:rsid w:val="00D80B0A"/>
    <w:rsid w:val="00D810B0"/>
    <w:rsid w:val="00D81CA7"/>
    <w:rsid w:val="00D81DBC"/>
    <w:rsid w:val="00D82287"/>
    <w:rsid w:val="00D82FAE"/>
    <w:rsid w:val="00D83B69"/>
    <w:rsid w:val="00D83F2B"/>
    <w:rsid w:val="00D84536"/>
    <w:rsid w:val="00D84CB5"/>
    <w:rsid w:val="00D8536E"/>
    <w:rsid w:val="00D86695"/>
    <w:rsid w:val="00D8723D"/>
    <w:rsid w:val="00D8748B"/>
    <w:rsid w:val="00D876ED"/>
    <w:rsid w:val="00D90B8B"/>
    <w:rsid w:val="00D9408D"/>
    <w:rsid w:val="00D95754"/>
    <w:rsid w:val="00D970C2"/>
    <w:rsid w:val="00DA2471"/>
    <w:rsid w:val="00DA3928"/>
    <w:rsid w:val="00DA6002"/>
    <w:rsid w:val="00DB0661"/>
    <w:rsid w:val="00DB1A8B"/>
    <w:rsid w:val="00DB22AE"/>
    <w:rsid w:val="00DB24EA"/>
    <w:rsid w:val="00DB26F7"/>
    <w:rsid w:val="00DB4014"/>
    <w:rsid w:val="00DB53EF"/>
    <w:rsid w:val="00DB55C0"/>
    <w:rsid w:val="00DB6B0F"/>
    <w:rsid w:val="00DB7671"/>
    <w:rsid w:val="00DC2DD1"/>
    <w:rsid w:val="00DC2F31"/>
    <w:rsid w:val="00DC32BE"/>
    <w:rsid w:val="00DC347D"/>
    <w:rsid w:val="00DC3ACE"/>
    <w:rsid w:val="00DC3C73"/>
    <w:rsid w:val="00DC3F0A"/>
    <w:rsid w:val="00DC405B"/>
    <w:rsid w:val="00DC501D"/>
    <w:rsid w:val="00DC55A0"/>
    <w:rsid w:val="00DC6307"/>
    <w:rsid w:val="00DC74DD"/>
    <w:rsid w:val="00DC7E01"/>
    <w:rsid w:val="00DD125B"/>
    <w:rsid w:val="00DD3369"/>
    <w:rsid w:val="00DD54DF"/>
    <w:rsid w:val="00DD6164"/>
    <w:rsid w:val="00DD628C"/>
    <w:rsid w:val="00DD675A"/>
    <w:rsid w:val="00DD68EA"/>
    <w:rsid w:val="00DD7D99"/>
    <w:rsid w:val="00DE1B9B"/>
    <w:rsid w:val="00DE1C1D"/>
    <w:rsid w:val="00DE363D"/>
    <w:rsid w:val="00DE377A"/>
    <w:rsid w:val="00DE3DF0"/>
    <w:rsid w:val="00DE53E5"/>
    <w:rsid w:val="00DE5AD8"/>
    <w:rsid w:val="00DE5D6F"/>
    <w:rsid w:val="00DE6172"/>
    <w:rsid w:val="00DE79EF"/>
    <w:rsid w:val="00DF0C5E"/>
    <w:rsid w:val="00DF15B3"/>
    <w:rsid w:val="00DF1EBF"/>
    <w:rsid w:val="00DF25A9"/>
    <w:rsid w:val="00DF3034"/>
    <w:rsid w:val="00E002FC"/>
    <w:rsid w:val="00E00977"/>
    <w:rsid w:val="00E00CD2"/>
    <w:rsid w:val="00E02B39"/>
    <w:rsid w:val="00E04CB9"/>
    <w:rsid w:val="00E058E9"/>
    <w:rsid w:val="00E06CB9"/>
    <w:rsid w:val="00E1126A"/>
    <w:rsid w:val="00E11304"/>
    <w:rsid w:val="00E137D0"/>
    <w:rsid w:val="00E14046"/>
    <w:rsid w:val="00E14715"/>
    <w:rsid w:val="00E15843"/>
    <w:rsid w:val="00E15CA2"/>
    <w:rsid w:val="00E165E1"/>
    <w:rsid w:val="00E1750E"/>
    <w:rsid w:val="00E2226F"/>
    <w:rsid w:val="00E22737"/>
    <w:rsid w:val="00E22FF2"/>
    <w:rsid w:val="00E23111"/>
    <w:rsid w:val="00E23D05"/>
    <w:rsid w:val="00E247D4"/>
    <w:rsid w:val="00E26826"/>
    <w:rsid w:val="00E27D6D"/>
    <w:rsid w:val="00E27EB1"/>
    <w:rsid w:val="00E30A58"/>
    <w:rsid w:val="00E31CBC"/>
    <w:rsid w:val="00E323A5"/>
    <w:rsid w:val="00E33507"/>
    <w:rsid w:val="00E33FF4"/>
    <w:rsid w:val="00E3547A"/>
    <w:rsid w:val="00E35770"/>
    <w:rsid w:val="00E3577F"/>
    <w:rsid w:val="00E3634A"/>
    <w:rsid w:val="00E36407"/>
    <w:rsid w:val="00E36B10"/>
    <w:rsid w:val="00E37D3F"/>
    <w:rsid w:val="00E41FE2"/>
    <w:rsid w:val="00E42322"/>
    <w:rsid w:val="00E447F2"/>
    <w:rsid w:val="00E44D7B"/>
    <w:rsid w:val="00E4515D"/>
    <w:rsid w:val="00E452AD"/>
    <w:rsid w:val="00E4663C"/>
    <w:rsid w:val="00E475C7"/>
    <w:rsid w:val="00E50A4A"/>
    <w:rsid w:val="00E51C4E"/>
    <w:rsid w:val="00E5404F"/>
    <w:rsid w:val="00E5405B"/>
    <w:rsid w:val="00E545F0"/>
    <w:rsid w:val="00E5460C"/>
    <w:rsid w:val="00E5467D"/>
    <w:rsid w:val="00E546C4"/>
    <w:rsid w:val="00E55DC0"/>
    <w:rsid w:val="00E57266"/>
    <w:rsid w:val="00E572EF"/>
    <w:rsid w:val="00E57496"/>
    <w:rsid w:val="00E57CFA"/>
    <w:rsid w:val="00E60CAE"/>
    <w:rsid w:val="00E614AF"/>
    <w:rsid w:val="00E6187B"/>
    <w:rsid w:val="00E61D64"/>
    <w:rsid w:val="00E61E62"/>
    <w:rsid w:val="00E62397"/>
    <w:rsid w:val="00E62AE2"/>
    <w:rsid w:val="00E63C6F"/>
    <w:rsid w:val="00E64417"/>
    <w:rsid w:val="00E6445C"/>
    <w:rsid w:val="00E6549E"/>
    <w:rsid w:val="00E66FB0"/>
    <w:rsid w:val="00E70851"/>
    <w:rsid w:val="00E70FBB"/>
    <w:rsid w:val="00E711E8"/>
    <w:rsid w:val="00E71516"/>
    <w:rsid w:val="00E71524"/>
    <w:rsid w:val="00E71691"/>
    <w:rsid w:val="00E731CF"/>
    <w:rsid w:val="00E735BA"/>
    <w:rsid w:val="00E75071"/>
    <w:rsid w:val="00E760B4"/>
    <w:rsid w:val="00E763F8"/>
    <w:rsid w:val="00E76CF8"/>
    <w:rsid w:val="00E807D1"/>
    <w:rsid w:val="00E80A61"/>
    <w:rsid w:val="00E80B6B"/>
    <w:rsid w:val="00E8152B"/>
    <w:rsid w:val="00E81BB3"/>
    <w:rsid w:val="00E82305"/>
    <w:rsid w:val="00E828A1"/>
    <w:rsid w:val="00E83594"/>
    <w:rsid w:val="00E837D8"/>
    <w:rsid w:val="00E842D6"/>
    <w:rsid w:val="00E85F7D"/>
    <w:rsid w:val="00E8690A"/>
    <w:rsid w:val="00E869D9"/>
    <w:rsid w:val="00E87661"/>
    <w:rsid w:val="00E906BE"/>
    <w:rsid w:val="00E90748"/>
    <w:rsid w:val="00E91274"/>
    <w:rsid w:val="00E91BCE"/>
    <w:rsid w:val="00E930A8"/>
    <w:rsid w:val="00E9467F"/>
    <w:rsid w:val="00E94D91"/>
    <w:rsid w:val="00E960F6"/>
    <w:rsid w:val="00E96F50"/>
    <w:rsid w:val="00E970AF"/>
    <w:rsid w:val="00EA20AD"/>
    <w:rsid w:val="00EA2166"/>
    <w:rsid w:val="00EA242F"/>
    <w:rsid w:val="00EA2530"/>
    <w:rsid w:val="00EA27A3"/>
    <w:rsid w:val="00EA31C1"/>
    <w:rsid w:val="00EA46B4"/>
    <w:rsid w:val="00EA5C74"/>
    <w:rsid w:val="00EA633E"/>
    <w:rsid w:val="00EA7BD8"/>
    <w:rsid w:val="00EA7D96"/>
    <w:rsid w:val="00EB0218"/>
    <w:rsid w:val="00EB0768"/>
    <w:rsid w:val="00EB11F5"/>
    <w:rsid w:val="00EB1BBB"/>
    <w:rsid w:val="00EB564C"/>
    <w:rsid w:val="00EB790F"/>
    <w:rsid w:val="00EB7DBD"/>
    <w:rsid w:val="00EC0192"/>
    <w:rsid w:val="00EC0F2E"/>
    <w:rsid w:val="00EC15E0"/>
    <w:rsid w:val="00EC2049"/>
    <w:rsid w:val="00EC2202"/>
    <w:rsid w:val="00EC2B0F"/>
    <w:rsid w:val="00EC45CF"/>
    <w:rsid w:val="00EC4EEE"/>
    <w:rsid w:val="00EC7096"/>
    <w:rsid w:val="00EC7736"/>
    <w:rsid w:val="00EC7803"/>
    <w:rsid w:val="00EC7C52"/>
    <w:rsid w:val="00ED0008"/>
    <w:rsid w:val="00ED1479"/>
    <w:rsid w:val="00ED1C47"/>
    <w:rsid w:val="00ED2067"/>
    <w:rsid w:val="00ED28D6"/>
    <w:rsid w:val="00ED2DD0"/>
    <w:rsid w:val="00ED37D9"/>
    <w:rsid w:val="00ED3931"/>
    <w:rsid w:val="00ED3E03"/>
    <w:rsid w:val="00ED4F25"/>
    <w:rsid w:val="00ED5780"/>
    <w:rsid w:val="00EE150F"/>
    <w:rsid w:val="00EE17D1"/>
    <w:rsid w:val="00EE226C"/>
    <w:rsid w:val="00EE388D"/>
    <w:rsid w:val="00EE4E34"/>
    <w:rsid w:val="00EE5831"/>
    <w:rsid w:val="00EE7B3F"/>
    <w:rsid w:val="00EE7CBE"/>
    <w:rsid w:val="00EF05C0"/>
    <w:rsid w:val="00EF27CC"/>
    <w:rsid w:val="00EF2B48"/>
    <w:rsid w:val="00EF316E"/>
    <w:rsid w:val="00EF3CB3"/>
    <w:rsid w:val="00EF6EAC"/>
    <w:rsid w:val="00EF7984"/>
    <w:rsid w:val="00F005A8"/>
    <w:rsid w:val="00F0198A"/>
    <w:rsid w:val="00F0285E"/>
    <w:rsid w:val="00F028AC"/>
    <w:rsid w:val="00F028F0"/>
    <w:rsid w:val="00F035F5"/>
    <w:rsid w:val="00F04444"/>
    <w:rsid w:val="00F05148"/>
    <w:rsid w:val="00F0568A"/>
    <w:rsid w:val="00F056E6"/>
    <w:rsid w:val="00F05785"/>
    <w:rsid w:val="00F05822"/>
    <w:rsid w:val="00F06A7E"/>
    <w:rsid w:val="00F0744B"/>
    <w:rsid w:val="00F1147D"/>
    <w:rsid w:val="00F11522"/>
    <w:rsid w:val="00F11A6F"/>
    <w:rsid w:val="00F12835"/>
    <w:rsid w:val="00F1319F"/>
    <w:rsid w:val="00F1359D"/>
    <w:rsid w:val="00F136FD"/>
    <w:rsid w:val="00F13FEB"/>
    <w:rsid w:val="00F149E0"/>
    <w:rsid w:val="00F15C23"/>
    <w:rsid w:val="00F1637D"/>
    <w:rsid w:val="00F16A10"/>
    <w:rsid w:val="00F2030E"/>
    <w:rsid w:val="00F2099A"/>
    <w:rsid w:val="00F210BE"/>
    <w:rsid w:val="00F21E5E"/>
    <w:rsid w:val="00F22FFD"/>
    <w:rsid w:val="00F23C0F"/>
    <w:rsid w:val="00F244DB"/>
    <w:rsid w:val="00F2493D"/>
    <w:rsid w:val="00F2535E"/>
    <w:rsid w:val="00F27451"/>
    <w:rsid w:val="00F2750C"/>
    <w:rsid w:val="00F30B77"/>
    <w:rsid w:val="00F30CE8"/>
    <w:rsid w:val="00F31E88"/>
    <w:rsid w:val="00F3288A"/>
    <w:rsid w:val="00F33532"/>
    <w:rsid w:val="00F340A0"/>
    <w:rsid w:val="00F349B9"/>
    <w:rsid w:val="00F36833"/>
    <w:rsid w:val="00F36D3E"/>
    <w:rsid w:val="00F3762E"/>
    <w:rsid w:val="00F40311"/>
    <w:rsid w:val="00F4153C"/>
    <w:rsid w:val="00F42198"/>
    <w:rsid w:val="00F4313E"/>
    <w:rsid w:val="00F45468"/>
    <w:rsid w:val="00F458E9"/>
    <w:rsid w:val="00F45A7D"/>
    <w:rsid w:val="00F47C15"/>
    <w:rsid w:val="00F50850"/>
    <w:rsid w:val="00F50B3C"/>
    <w:rsid w:val="00F5151D"/>
    <w:rsid w:val="00F51B36"/>
    <w:rsid w:val="00F51B85"/>
    <w:rsid w:val="00F5281B"/>
    <w:rsid w:val="00F5537E"/>
    <w:rsid w:val="00F5538C"/>
    <w:rsid w:val="00F56008"/>
    <w:rsid w:val="00F56D4C"/>
    <w:rsid w:val="00F610E9"/>
    <w:rsid w:val="00F61806"/>
    <w:rsid w:val="00F61E8B"/>
    <w:rsid w:val="00F64C5B"/>
    <w:rsid w:val="00F653FC"/>
    <w:rsid w:val="00F665A6"/>
    <w:rsid w:val="00F6771F"/>
    <w:rsid w:val="00F67C4C"/>
    <w:rsid w:val="00F67D2B"/>
    <w:rsid w:val="00F67D8C"/>
    <w:rsid w:val="00F71D3B"/>
    <w:rsid w:val="00F7220A"/>
    <w:rsid w:val="00F72A58"/>
    <w:rsid w:val="00F72DAA"/>
    <w:rsid w:val="00F731A9"/>
    <w:rsid w:val="00F75123"/>
    <w:rsid w:val="00F7763A"/>
    <w:rsid w:val="00F77B3C"/>
    <w:rsid w:val="00F80712"/>
    <w:rsid w:val="00F80772"/>
    <w:rsid w:val="00F81F39"/>
    <w:rsid w:val="00F82782"/>
    <w:rsid w:val="00F83784"/>
    <w:rsid w:val="00F856C1"/>
    <w:rsid w:val="00F85B59"/>
    <w:rsid w:val="00F85DDB"/>
    <w:rsid w:val="00F85FAD"/>
    <w:rsid w:val="00F90453"/>
    <w:rsid w:val="00F91349"/>
    <w:rsid w:val="00F91A6F"/>
    <w:rsid w:val="00F91DDA"/>
    <w:rsid w:val="00F929C6"/>
    <w:rsid w:val="00F93140"/>
    <w:rsid w:val="00F93F19"/>
    <w:rsid w:val="00F94771"/>
    <w:rsid w:val="00F95DF1"/>
    <w:rsid w:val="00F95F2A"/>
    <w:rsid w:val="00F96024"/>
    <w:rsid w:val="00F979AB"/>
    <w:rsid w:val="00FA1779"/>
    <w:rsid w:val="00FA20E5"/>
    <w:rsid w:val="00FA22AC"/>
    <w:rsid w:val="00FA234E"/>
    <w:rsid w:val="00FA2775"/>
    <w:rsid w:val="00FA27EE"/>
    <w:rsid w:val="00FA2AD3"/>
    <w:rsid w:val="00FA2CC6"/>
    <w:rsid w:val="00FA2DBA"/>
    <w:rsid w:val="00FA387A"/>
    <w:rsid w:val="00FA3958"/>
    <w:rsid w:val="00FA4DBB"/>
    <w:rsid w:val="00FA5448"/>
    <w:rsid w:val="00FA63DA"/>
    <w:rsid w:val="00FA661B"/>
    <w:rsid w:val="00FA6FA7"/>
    <w:rsid w:val="00FB006B"/>
    <w:rsid w:val="00FB0E39"/>
    <w:rsid w:val="00FB0EF7"/>
    <w:rsid w:val="00FB1CCD"/>
    <w:rsid w:val="00FB2200"/>
    <w:rsid w:val="00FB232F"/>
    <w:rsid w:val="00FB246E"/>
    <w:rsid w:val="00FB42CF"/>
    <w:rsid w:val="00FB5314"/>
    <w:rsid w:val="00FB5853"/>
    <w:rsid w:val="00FC1344"/>
    <w:rsid w:val="00FC14A0"/>
    <w:rsid w:val="00FC2E34"/>
    <w:rsid w:val="00FC3168"/>
    <w:rsid w:val="00FC5B82"/>
    <w:rsid w:val="00FC6302"/>
    <w:rsid w:val="00FC632E"/>
    <w:rsid w:val="00FD0429"/>
    <w:rsid w:val="00FD2B86"/>
    <w:rsid w:val="00FD31A0"/>
    <w:rsid w:val="00FD3669"/>
    <w:rsid w:val="00FD37D2"/>
    <w:rsid w:val="00FD4627"/>
    <w:rsid w:val="00FD6DC6"/>
    <w:rsid w:val="00FE05D7"/>
    <w:rsid w:val="00FE26B2"/>
    <w:rsid w:val="00FE296D"/>
    <w:rsid w:val="00FE456A"/>
    <w:rsid w:val="00FE4604"/>
    <w:rsid w:val="00FE5317"/>
    <w:rsid w:val="00FE6E82"/>
    <w:rsid w:val="00FE773A"/>
    <w:rsid w:val="00FE7BAB"/>
    <w:rsid w:val="00FF0D27"/>
    <w:rsid w:val="00FF11D2"/>
    <w:rsid w:val="00FF1A48"/>
    <w:rsid w:val="00FF1B7C"/>
    <w:rsid w:val="00FF2209"/>
    <w:rsid w:val="00FF254D"/>
    <w:rsid w:val="00FF26AF"/>
    <w:rsid w:val="00FF2E3F"/>
    <w:rsid w:val="00FF3CD9"/>
    <w:rsid w:val="00FF4C44"/>
    <w:rsid w:val="00FF560B"/>
    <w:rsid w:val="00FF7337"/>
    <w:rsid w:val="00FF7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7812"/>
  <w15:docId w15:val="{8C12BCDE-B378-444D-B1BA-89F9ABE2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27451"/>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27451"/>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27451"/>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uiPriority w:val="99"/>
    <w:semiHidden/>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character" w:customStyle="1" w:styleId="apple-converted-space">
    <w:name w:val="apple-converted-space"/>
    <w:basedOn w:val="DefaultParagraphFont"/>
    <w:rsid w:val="00051ACE"/>
  </w:style>
  <w:style w:type="paragraph" w:styleId="BodyText">
    <w:name w:val="Body Text"/>
    <w:basedOn w:val="Normal"/>
    <w:link w:val="BodyTextChar"/>
    <w:uiPriority w:val="99"/>
    <w:unhideWhenUsed/>
    <w:rsid w:val="006A7E57"/>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6A7E57"/>
    <w:rPr>
      <w:rFonts w:ascii="GHEA Grapalat" w:eastAsia="Calibri" w:hAnsi="GHEA Grapalat" w:cs="Times New Roman"/>
    </w:rPr>
  </w:style>
  <w:style w:type="character" w:customStyle="1" w:styleId="Heading1Char">
    <w:name w:val="Heading 1 Char"/>
    <w:basedOn w:val="DefaultParagraphFont"/>
    <w:link w:val="Heading1"/>
    <w:rsid w:val="00F27451"/>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27451"/>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27451"/>
    <w:rPr>
      <w:rFonts w:ascii="Arial Armenian" w:eastAsia="Times New Roman" w:hAnsi="Arial Armenian" w:cs="Times New Roman"/>
      <w:b/>
      <w:spacing w:val="40"/>
      <w:szCs w:val="23"/>
    </w:rPr>
  </w:style>
  <w:style w:type="paragraph" w:styleId="BalloonText">
    <w:name w:val="Balloon Text"/>
    <w:basedOn w:val="Normal"/>
    <w:link w:val="BalloonTextChar"/>
    <w:uiPriority w:val="99"/>
    <w:semiHidden/>
    <w:unhideWhenUsed/>
    <w:rsid w:val="00994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FA5"/>
    <w:rPr>
      <w:rFonts w:ascii="Segoe UI" w:eastAsia="Times New Roman" w:hAnsi="Segoe UI" w:cs="Segoe UI"/>
      <w:sz w:val="18"/>
      <w:szCs w:val="18"/>
    </w:rPr>
  </w:style>
  <w:style w:type="paragraph" w:styleId="IntenseQuote">
    <w:name w:val="Intense Quote"/>
    <w:basedOn w:val="Normal"/>
    <w:next w:val="Normal"/>
    <w:link w:val="IntenseQuoteChar"/>
    <w:uiPriority w:val="30"/>
    <w:qFormat/>
    <w:rsid w:val="002665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66519"/>
    <w:rPr>
      <w:rFonts w:ascii="Times LatArm" w:eastAsia="Times New Roman" w:hAnsi="Times LatArm" w:cs="Times New Roman"/>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ba.am/AM/pperiodicals/Gnach%25%20203-16ha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9BF6B-6846-47DF-8811-DA295ECA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30</Pages>
  <Words>9920</Words>
  <Characters>56547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15</cp:revision>
  <dcterms:created xsi:type="dcterms:W3CDTF">2017-06-21T06:30:00Z</dcterms:created>
  <dcterms:modified xsi:type="dcterms:W3CDTF">2024-02-02T13:09:00Z</dcterms:modified>
</cp:coreProperties>
</file>