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E6D1" w14:textId="77777777" w:rsidR="00A4793E" w:rsidRPr="00441A9C" w:rsidRDefault="00A4793E" w:rsidP="00A4793E">
      <w:pPr>
        <w:pStyle w:val="Heading1"/>
        <w:spacing w:line="312" w:lineRule="auto"/>
        <w:ind w:right="336" w:firstLine="1300"/>
        <w:jc w:val="right"/>
        <w:rPr>
          <w:rFonts w:ascii="Garamond" w:hAnsi="Garamond" w:cs="Sylfaen"/>
          <w:color w:val="auto"/>
          <w:spacing w:val="20"/>
          <w:w w:val="110"/>
          <w:sz w:val="22"/>
          <w:szCs w:val="22"/>
          <w:u w:val="none"/>
          <w:lang w:val="en-US"/>
        </w:rPr>
      </w:pPr>
      <w:r w:rsidRPr="00441A9C">
        <w:rPr>
          <w:rFonts w:ascii="Garamond" w:hAnsi="Garamond" w:cs="Sylfaen"/>
          <w:color w:val="auto"/>
          <w:spacing w:val="20"/>
          <w:w w:val="110"/>
          <w:sz w:val="22"/>
          <w:szCs w:val="22"/>
          <w:u w:val="none"/>
          <w:lang w:val="en-US"/>
        </w:rPr>
        <w:t xml:space="preserve">THE CENTRAL BANK </w:t>
      </w:r>
    </w:p>
    <w:p w14:paraId="65FF9C77" w14:textId="77777777" w:rsidR="00A4793E" w:rsidRPr="00441A9C" w:rsidRDefault="00A4793E" w:rsidP="00A4793E">
      <w:pPr>
        <w:pStyle w:val="Heading1"/>
        <w:spacing w:line="312" w:lineRule="auto"/>
        <w:ind w:right="336" w:firstLine="1300"/>
        <w:jc w:val="right"/>
        <w:rPr>
          <w:rFonts w:ascii="Garamond" w:hAnsi="Garamond"/>
          <w:color w:val="auto"/>
          <w:spacing w:val="20"/>
          <w:w w:val="110"/>
          <w:sz w:val="22"/>
          <w:szCs w:val="22"/>
          <w:u w:val="none"/>
        </w:rPr>
      </w:pPr>
      <w:r w:rsidRPr="00441A9C">
        <w:rPr>
          <w:rFonts w:ascii="Garamond" w:hAnsi="Garamond" w:cs="Sylfaen"/>
          <w:color w:val="auto"/>
          <w:spacing w:val="20"/>
          <w:w w:val="110"/>
          <w:sz w:val="22"/>
          <w:szCs w:val="22"/>
          <w:u w:val="none"/>
          <w:lang w:val="en-US"/>
        </w:rPr>
        <w:t>OF THE REPUBLIC OF ARMENIA</w:t>
      </w:r>
    </w:p>
    <w:p w14:paraId="1A227872" w14:textId="77777777" w:rsidR="00A4793E" w:rsidRPr="00441A9C" w:rsidRDefault="00A4793E" w:rsidP="00A4793E">
      <w:pPr>
        <w:tabs>
          <w:tab w:val="left" w:pos="600"/>
        </w:tabs>
        <w:spacing w:line="312" w:lineRule="auto"/>
        <w:ind w:right="336" w:firstLine="400"/>
        <w:jc w:val="center"/>
        <w:rPr>
          <w:rFonts w:ascii="Garamond" w:hAnsi="Garamond"/>
          <w:sz w:val="22"/>
          <w:szCs w:val="22"/>
        </w:rPr>
      </w:pPr>
    </w:p>
    <w:p w14:paraId="37736084" w14:textId="77777777" w:rsidR="00A4793E" w:rsidRPr="00441A9C" w:rsidRDefault="00A4793E" w:rsidP="00A4793E">
      <w:pPr>
        <w:tabs>
          <w:tab w:val="left" w:pos="600"/>
        </w:tabs>
        <w:spacing w:line="312" w:lineRule="auto"/>
        <w:ind w:right="336" w:firstLine="400"/>
        <w:jc w:val="center"/>
        <w:rPr>
          <w:rFonts w:ascii="Garamond" w:hAnsi="Garamond"/>
          <w:sz w:val="22"/>
          <w:szCs w:val="22"/>
        </w:rPr>
      </w:pPr>
    </w:p>
    <w:p w14:paraId="604A7D25" w14:textId="77777777" w:rsidR="00A4793E" w:rsidRPr="00441A9C" w:rsidRDefault="00A4793E" w:rsidP="00A4793E">
      <w:pPr>
        <w:tabs>
          <w:tab w:val="left" w:pos="600"/>
        </w:tabs>
        <w:spacing w:line="312" w:lineRule="auto"/>
        <w:ind w:right="336" w:firstLine="400"/>
        <w:jc w:val="center"/>
        <w:rPr>
          <w:rFonts w:ascii="Garamond" w:hAnsi="Garamond"/>
          <w:sz w:val="22"/>
          <w:szCs w:val="22"/>
        </w:rPr>
      </w:pPr>
    </w:p>
    <w:p w14:paraId="24AFE270" w14:textId="77777777" w:rsidR="00A4793E" w:rsidRPr="00441A9C" w:rsidRDefault="00A4793E" w:rsidP="00A4793E">
      <w:pPr>
        <w:pStyle w:val="Heading7"/>
        <w:spacing w:line="312" w:lineRule="auto"/>
        <w:ind w:right="336" w:firstLine="400"/>
        <w:jc w:val="right"/>
        <w:rPr>
          <w:rFonts w:ascii="Garamond" w:hAnsi="Garamond" w:cs="Sylfaen"/>
          <w:b w:val="0"/>
          <w:spacing w:val="10"/>
          <w:w w:val="110"/>
          <w:szCs w:val="22"/>
        </w:rPr>
      </w:pPr>
      <w:r w:rsidRPr="00441A9C">
        <w:rPr>
          <w:rFonts w:ascii="Garamond" w:hAnsi="Garamond" w:cs="Sylfaen"/>
          <w:b w:val="0"/>
          <w:spacing w:val="10"/>
          <w:w w:val="110"/>
          <w:szCs w:val="22"/>
        </w:rPr>
        <w:t>Approved under Board of the Central Bank Resolution No. 1</w:t>
      </w:r>
      <w:r w:rsidR="00F74AC2" w:rsidRPr="00441A9C">
        <w:rPr>
          <w:rFonts w:ascii="Garamond" w:hAnsi="Garamond" w:cs="Sylfaen"/>
          <w:b w:val="0"/>
          <w:spacing w:val="10"/>
          <w:w w:val="110"/>
          <w:szCs w:val="22"/>
        </w:rPr>
        <w:t>89</w:t>
      </w:r>
      <w:r w:rsidRPr="00441A9C">
        <w:rPr>
          <w:rFonts w:ascii="Garamond" w:hAnsi="Garamond" w:cs="Sylfaen"/>
          <w:b w:val="0"/>
          <w:spacing w:val="10"/>
          <w:w w:val="110"/>
          <w:szCs w:val="22"/>
        </w:rPr>
        <w:t>A,</w:t>
      </w:r>
    </w:p>
    <w:p w14:paraId="0A8EAF0B" w14:textId="77777777" w:rsidR="00A4793E" w:rsidRPr="00441A9C" w:rsidRDefault="00A4793E" w:rsidP="00A4793E">
      <w:pPr>
        <w:pStyle w:val="Heading7"/>
        <w:spacing w:line="312" w:lineRule="auto"/>
        <w:ind w:right="328" w:firstLine="400"/>
        <w:jc w:val="right"/>
        <w:rPr>
          <w:rFonts w:ascii="Garamond" w:hAnsi="Garamond"/>
          <w:b w:val="0"/>
          <w:i/>
          <w:spacing w:val="10"/>
          <w:w w:val="110"/>
          <w:szCs w:val="22"/>
          <w:lang w:val="hy-AM"/>
        </w:rPr>
      </w:pPr>
      <w:r w:rsidRPr="00441A9C">
        <w:rPr>
          <w:rFonts w:ascii="Garamond" w:hAnsi="Garamond" w:cs="Sylfaen"/>
          <w:b w:val="0"/>
          <w:spacing w:val="10"/>
          <w:w w:val="110"/>
          <w:szCs w:val="22"/>
        </w:rPr>
        <w:t xml:space="preserve">dated </w:t>
      </w:r>
      <w:r w:rsidR="00F74AC2" w:rsidRPr="00441A9C">
        <w:rPr>
          <w:rFonts w:ascii="Garamond" w:hAnsi="Garamond" w:cs="Sylfaen"/>
          <w:b w:val="0"/>
          <w:spacing w:val="10"/>
          <w:w w:val="110"/>
          <w:szCs w:val="22"/>
        </w:rPr>
        <w:t>August</w:t>
      </w:r>
      <w:r w:rsidRPr="00441A9C">
        <w:rPr>
          <w:rFonts w:ascii="Garamond" w:hAnsi="Garamond" w:cs="Sylfaen"/>
          <w:b w:val="0"/>
          <w:spacing w:val="10"/>
          <w:w w:val="110"/>
          <w:szCs w:val="22"/>
        </w:rPr>
        <w:t xml:space="preserve"> 2</w:t>
      </w:r>
      <w:r w:rsidR="00F74AC2" w:rsidRPr="00441A9C">
        <w:rPr>
          <w:rFonts w:ascii="Garamond" w:hAnsi="Garamond" w:cs="Sylfaen"/>
          <w:b w:val="0"/>
          <w:spacing w:val="10"/>
          <w:w w:val="110"/>
          <w:szCs w:val="22"/>
        </w:rPr>
        <w:t>5</w:t>
      </w:r>
      <w:r w:rsidRPr="00441A9C">
        <w:rPr>
          <w:rFonts w:ascii="Garamond" w:hAnsi="Garamond" w:cs="Sylfaen"/>
          <w:b w:val="0"/>
          <w:spacing w:val="10"/>
          <w:w w:val="110"/>
          <w:szCs w:val="22"/>
        </w:rPr>
        <w:t>, 2017</w:t>
      </w:r>
    </w:p>
    <w:p w14:paraId="1EDDEFFF" w14:textId="77777777" w:rsidR="00A4793E" w:rsidRPr="00441A9C" w:rsidRDefault="00A4793E" w:rsidP="00A4793E">
      <w:pPr>
        <w:tabs>
          <w:tab w:val="left" w:pos="600"/>
        </w:tabs>
        <w:spacing w:line="312" w:lineRule="auto"/>
        <w:ind w:right="336" w:firstLine="400"/>
        <w:jc w:val="center"/>
        <w:rPr>
          <w:rFonts w:ascii="Garamond" w:hAnsi="Garamond"/>
          <w:sz w:val="22"/>
          <w:szCs w:val="22"/>
        </w:rPr>
      </w:pPr>
    </w:p>
    <w:p w14:paraId="434CC98D" w14:textId="77777777" w:rsidR="00A4793E" w:rsidRPr="00441A9C" w:rsidRDefault="00A4793E" w:rsidP="00A4793E">
      <w:pPr>
        <w:tabs>
          <w:tab w:val="left" w:pos="600"/>
        </w:tabs>
        <w:spacing w:line="312" w:lineRule="auto"/>
        <w:ind w:right="336" w:firstLine="400"/>
        <w:jc w:val="center"/>
        <w:rPr>
          <w:rFonts w:ascii="Garamond" w:hAnsi="Garamond"/>
          <w:sz w:val="22"/>
          <w:szCs w:val="22"/>
        </w:rPr>
      </w:pPr>
    </w:p>
    <w:p w14:paraId="73DCFDBC" w14:textId="77777777" w:rsidR="00A4793E" w:rsidRPr="00441A9C" w:rsidRDefault="00A4793E" w:rsidP="00A4793E">
      <w:pPr>
        <w:tabs>
          <w:tab w:val="left" w:pos="600"/>
        </w:tabs>
        <w:spacing w:line="312" w:lineRule="auto"/>
        <w:ind w:right="336" w:firstLine="400"/>
        <w:jc w:val="center"/>
        <w:rPr>
          <w:rFonts w:ascii="Garamond" w:hAnsi="Garamond"/>
          <w:sz w:val="22"/>
          <w:szCs w:val="22"/>
        </w:rPr>
      </w:pPr>
    </w:p>
    <w:p w14:paraId="7FFF1B7D" w14:textId="77777777" w:rsidR="00A4793E" w:rsidRPr="00441A9C" w:rsidRDefault="00A4793E" w:rsidP="00A4793E">
      <w:pPr>
        <w:tabs>
          <w:tab w:val="left" w:pos="600"/>
        </w:tabs>
        <w:spacing w:line="312" w:lineRule="auto"/>
        <w:ind w:right="336" w:firstLine="400"/>
        <w:jc w:val="center"/>
        <w:rPr>
          <w:rFonts w:ascii="Garamond" w:hAnsi="Garamond"/>
          <w:sz w:val="22"/>
          <w:szCs w:val="22"/>
        </w:rPr>
      </w:pPr>
    </w:p>
    <w:p w14:paraId="78CE96E6" w14:textId="77777777" w:rsidR="00A4793E" w:rsidRPr="00441A9C" w:rsidRDefault="00A4793E" w:rsidP="00A4793E">
      <w:pPr>
        <w:tabs>
          <w:tab w:val="left" w:pos="600"/>
        </w:tabs>
        <w:spacing w:line="312" w:lineRule="auto"/>
        <w:ind w:right="336" w:firstLine="400"/>
        <w:jc w:val="center"/>
        <w:rPr>
          <w:rFonts w:ascii="Garamond" w:hAnsi="Garamond"/>
          <w:sz w:val="22"/>
          <w:szCs w:val="22"/>
        </w:rPr>
      </w:pPr>
    </w:p>
    <w:p w14:paraId="287FE593" w14:textId="77777777" w:rsidR="00A4793E" w:rsidRPr="00441A9C" w:rsidRDefault="00A4793E" w:rsidP="00A4793E">
      <w:pPr>
        <w:tabs>
          <w:tab w:val="left" w:pos="600"/>
        </w:tabs>
        <w:spacing w:line="312" w:lineRule="auto"/>
        <w:ind w:right="336" w:firstLine="400"/>
        <w:jc w:val="center"/>
        <w:rPr>
          <w:rFonts w:ascii="Garamond" w:hAnsi="Garamond"/>
          <w:sz w:val="22"/>
          <w:szCs w:val="22"/>
        </w:rPr>
      </w:pPr>
    </w:p>
    <w:p w14:paraId="4D970128" w14:textId="77777777" w:rsidR="00A4793E" w:rsidRPr="00441A9C" w:rsidRDefault="00A4793E" w:rsidP="00A4793E">
      <w:pPr>
        <w:tabs>
          <w:tab w:val="left" w:pos="600"/>
        </w:tabs>
        <w:spacing w:line="312" w:lineRule="auto"/>
        <w:ind w:right="336" w:firstLine="400"/>
        <w:jc w:val="center"/>
        <w:rPr>
          <w:rFonts w:ascii="Garamond" w:hAnsi="Garamond"/>
          <w:sz w:val="22"/>
          <w:szCs w:val="22"/>
        </w:rPr>
      </w:pPr>
    </w:p>
    <w:p w14:paraId="351443AF" w14:textId="77777777" w:rsidR="00A4793E" w:rsidRPr="00441A9C" w:rsidRDefault="00A4793E" w:rsidP="00A4793E">
      <w:pPr>
        <w:ind w:right="336"/>
        <w:jc w:val="center"/>
        <w:rPr>
          <w:rFonts w:ascii="Garamond" w:hAnsi="Garamond"/>
          <w:sz w:val="22"/>
          <w:szCs w:val="22"/>
        </w:rPr>
      </w:pPr>
      <w:r w:rsidRPr="00441A9C">
        <w:rPr>
          <w:rFonts w:ascii="Garamond" w:hAnsi="Garamond"/>
          <w:sz w:val="22"/>
          <w:szCs w:val="22"/>
        </w:rPr>
        <w:tab/>
      </w:r>
    </w:p>
    <w:p w14:paraId="6575567B" w14:textId="77777777" w:rsidR="00A4793E" w:rsidRPr="00441A9C" w:rsidRDefault="00A4793E" w:rsidP="00A4793E">
      <w:pPr>
        <w:pStyle w:val="Heading2"/>
        <w:spacing w:line="240" w:lineRule="auto"/>
        <w:ind w:right="336" w:firstLine="0"/>
        <w:rPr>
          <w:rFonts w:ascii="Garamond" w:hAnsi="Garamond"/>
          <w:b/>
          <w:i w:val="0"/>
          <w:iCs w:val="0"/>
          <w:color w:val="auto"/>
          <w:spacing w:val="40"/>
          <w:w w:val="110"/>
          <w:sz w:val="22"/>
          <w:szCs w:val="22"/>
        </w:rPr>
      </w:pPr>
      <w:r w:rsidRPr="00441A9C">
        <w:rPr>
          <w:rFonts w:ascii="Garamond" w:hAnsi="Garamond"/>
          <w:b/>
          <w:i w:val="0"/>
          <w:iCs w:val="0"/>
          <w:color w:val="auto"/>
          <w:spacing w:val="40"/>
          <w:w w:val="110"/>
          <w:sz w:val="22"/>
          <w:szCs w:val="22"/>
          <w:lang w:val="en-US"/>
        </w:rPr>
        <w:t>Inflation Report</w:t>
      </w:r>
      <w:r w:rsidRPr="00441A9C">
        <w:rPr>
          <w:rFonts w:ascii="Garamond" w:hAnsi="Garamond"/>
          <w:b/>
          <w:i w:val="0"/>
          <w:iCs w:val="0"/>
          <w:color w:val="auto"/>
          <w:spacing w:val="40"/>
          <w:w w:val="110"/>
          <w:sz w:val="22"/>
          <w:szCs w:val="22"/>
        </w:rPr>
        <w:t xml:space="preserve"> </w:t>
      </w:r>
    </w:p>
    <w:p w14:paraId="61839894" w14:textId="77777777" w:rsidR="00A4793E" w:rsidRPr="00441A9C" w:rsidRDefault="00A4793E" w:rsidP="00A4793E">
      <w:pPr>
        <w:pStyle w:val="Heading2"/>
        <w:spacing w:line="240" w:lineRule="auto"/>
        <w:ind w:right="336" w:firstLine="0"/>
        <w:rPr>
          <w:rFonts w:ascii="Garamond" w:hAnsi="Garamond"/>
          <w:i w:val="0"/>
          <w:iCs w:val="0"/>
          <w:color w:val="auto"/>
          <w:sz w:val="22"/>
          <w:szCs w:val="22"/>
        </w:rPr>
      </w:pPr>
    </w:p>
    <w:p w14:paraId="10815530" w14:textId="77777777" w:rsidR="00A4793E" w:rsidRPr="00441A9C" w:rsidRDefault="00A4793E" w:rsidP="00A4793E">
      <w:pPr>
        <w:pStyle w:val="Heading2"/>
        <w:spacing w:line="240" w:lineRule="auto"/>
        <w:ind w:right="336" w:firstLine="0"/>
        <w:rPr>
          <w:rFonts w:ascii="Garamond" w:hAnsi="Garamond"/>
          <w:i w:val="0"/>
          <w:iCs w:val="0"/>
          <w:color w:val="auto"/>
          <w:sz w:val="22"/>
          <w:szCs w:val="22"/>
        </w:rPr>
      </w:pPr>
    </w:p>
    <w:p w14:paraId="4CADC9BC" w14:textId="77777777" w:rsidR="00A4793E" w:rsidRPr="00441A9C" w:rsidRDefault="00A4793E" w:rsidP="00A4793E">
      <w:pPr>
        <w:ind w:right="336"/>
        <w:rPr>
          <w:rFonts w:ascii="Garamond" w:hAnsi="Garamond"/>
          <w:sz w:val="22"/>
          <w:szCs w:val="22"/>
          <w:lang w:val="hy-AM"/>
        </w:rPr>
      </w:pPr>
    </w:p>
    <w:p w14:paraId="42210D16" w14:textId="77777777" w:rsidR="00A4793E" w:rsidRPr="00441A9C" w:rsidRDefault="00A4793E" w:rsidP="00A4793E">
      <w:pPr>
        <w:ind w:right="336"/>
        <w:rPr>
          <w:rFonts w:ascii="Garamond" w:hAnsi="Garamond"/>
          <w:sz w:val="22"/>
          <w:szCs w:val="22"/>
          <w:lang w:val="hy-AM"/>
        </w:rPr>
      </w:pPr>
    </w:p>
    <w:p w14:paraId="08FFCC07" w14:textId="77777777" w:rsidR="00A4793E" w:rsidRPr="00441A9C" w:rsidRDefault="00A4793E" w:rsidP="00A4793E">
      <w:pPr>
        <w:ind w:right="336"/>
        <w:rPr>
          <w:rFonts w:ascii="Garamond" w:hAnsi="Garamond"/>
          <w:sz w:val="22"/>
          <w:szCs w:val="22"/>
          <w:lang w:val="hy-AM"/>
        </w:rPr>
      </w:pPr>
    </w:p>
    <w:p w14:paraId="5842E383" w14:textId="77777777" w:rsidR="00A4793E" w:rsidRPr="00441A9C" w:rsidRDefault="00A4793E" w:rsidP="00A4793E">
      <w:pPr>
        <w:ind w:right="336"/>
        <w:rPr>
          <w:rFonts w:ascii="Garamond" w:hAnsi="Garamond"/>
          <w:sz w:val="22"/>
          <w:szCs w:val="22"/>
          <w:lang w:val="hy-AM"/>
        </w:rPr>
      </w:pPr>
    </w:p>
    <w:p w14:paraId="191EF08F" w14:textId="77777777" w:rsidR="00A4793E" w:rsidRPr="00441A9C" w:rsidRDefault="00A4793E" w:rsidP="00A4793E">
      <w:pPr>
        <w:ind w:right="336"/>
        <w:rPr>
          <w:rFonts w:ascii="Garamond" w:hAnsi="Garamond"/>
          <w:sz w:val="22"/>
          <w:szCs w:val="22"/>
          <w:lang w:val="hy-AM"/>
        </w:rPr>
      </w:pPr>
    </w:p>
    <w:p w14:paraId="52FF5ADD" w14:textId="77777777" w:rsidR="00A4793E" w:rsidRPr="00441A9C" w:rsidRDefault="00A4793E" w:rsidP="00A4793E">
      <w:pPr>
        <w:ind w:right="336"/>
        <w:rPr>
          <w:rFonts w:ascii="Garamond" w:hAnsi="Garamond"/>
          <w:sz w:val="22"/>
          <w:szCs w:val="22"/>
          <w:lang w:val="hy-AM"/>
        </w:rPr>
      </w:pPr>
    </w:p>
    <w:p w14:paraId="294DC3FA" w14:textId="77777777" w:rsidR="00A4793E" w:rsidRPr="00441A9C" w:rsidRDefault="00A4793E" w:rsidP="00A4793E">
      <w:pPr>
        <w:ind w:right="336"/>
        <w:rPr>
          <w:rFonts w:ascii="Garamond" w:hAnsi="Garamond"/>
          <w:sz w:val="22"/>
          <w:szCs w:val="22"/>
        </w:rPr>
      </w:pPr>
    </w:p>
    <w:p w14:paraId="276412AE" w14:textId="77777777" w:rsidR="00A4793E" w:rsidRPr="00441A9C" w:rsidRDefault="00A4793E" w:rsidP="00A4793E">
      <w:pPr>
        <w:ind w:right="336"/>
        <w:rPr>
          <w:rFonts w:ascii="Garamond" w:hAnsi="Garamond"/>
          <w:sz w:val="22"/>
          <w:szCs w:val="22"/>
        </w:rPr>
      </w:pPr>
    </w:p>
    <w:p w14:paraId="452D7447" w14:textId="77777777" w:rsidR="00A4793E" w:rsidRPr="00441A9C" w:rsidRDefault="00A4793E" w:rsidP="00A4793E">
      <w:pPr>
        <w:ind w:right="336"/>
        <w:rPr>
          <w:rFonts w:ascii="Garamond" w:hAnsi="Garamond"/>
          <w:sz w:val="22"/>
          <w:szCs w:val="22"/>
        </w:rPr>
      </w:pPr>
    </w:p>
    <w:p w14:paraId="7BD2A42D" w14:textId="77777777" w:rsidR="00A4793E" w:rsidRPr="00441A9C" w:rsidRDefault="00A4793E" w:rsidP="00A4793E">
      <w:pPr>
        <w:ind w:right="336"/>
        <w:rPr>
          <w:rFonts w:ascii="Garamond" w:hAnsi="Garamond"/>
          <w:sz w:val="22"/>
          <w:szCs w:val="22"/>
          <w:lang w:val="hy-AM"/>
        </w:rPr>
      </w:pPr>
    </w:p>
    <w:p w14:paraId="5AF15120" w14:textId="77777777" w:rsidR="00A4793E" w:rsidRPr="00441A9C" w:rsidRDefault="00A4793E" w:rsidP="00A4793E">
      <w:pPr>
        <w:ind w:right="336"/>
        <w:rPr>
          <w:rFonts w:ascii="Garamond" w:hAnsi="Garamond"/>
          <w:sz w:val="22"/>
          <w:szCs w:val="22"/>
          <w:lang w:val="hy-AM"/>
        </w:rPr>
      </w:pPr>
    </w:p>
    <w:p w14:paraId="76C21F59" w14:textId="77777777" w:rsidR="00A4793E" w:rsidRPr="00441A9C" w:rsidRDefault="00A4793E" w:rsidP="00A4793E">
      <w:pPr>
        <w:pStyle w:val="Heading2"/>
        <w:spacing w:line="240" w:lineRule="auto"/>
        <w:ind w:right="336" w:firstLine="0"/>
        <w:rPr>
          <w:rFonts w:ascii="Garamond" w:hAnsi="Garamond"/>
          <w:sz w:val="22"/>
          <w:szCs w:val="22"/>
          <w:lang w:val="en-US"/>
        </w:rPr>
      </w:pPr>
      <w:r w:rsidRPr="00441A9C">
        <w:rPr>
          <w:rFonts w:ascii="Garamond" w:hAnsi="Garamond"/>
          <w:iCs w:val="0"/>
          <w:color w:val="auto"/>
          <w:sz w:val="22"/>
          <w:szCs w:val="22"/>
          <w:lang w:val="en-US"/>
        </w:rPr>
        <w:t>Monetary Policy Program, Q</w:t>
      </w:r>
      <w:r w:rsidR="00F74AC2" w:rsidRPr="00441A9C">
        <w:rPr>
          <w:rFonts w:ascii="Garamond" w:hAnsi="Garamond"/>
          <w:iCs w:val="0"/>
          <w:color w:val="auto"/>
          <w:sz w:val="22"/>
          <w:szCs w:val="22"/>
          <w:lang w:val="en-US"/>
        </w:rPr>
        <w:t>3</w:t>
      </w:r>
      <w:r w:rsidRPr="00441A9C">
        <w:rPr>
          <w:rFonts w:ascii="Garamond" w:hAnsi="Garamond"/>
          <w:iCs w:val="0"/>
          <w:color w:val="auto"/>
          <w:sz w:val="22"/>
          <w:szCs w:val="22"/>
          <w:lang w:val="en-US"/>
        </w:rPr>
        <w:t>, 2017</w:t>
      </w:r>
    </w:p>
    <w:p w14:paraId="10399AA9" w14:textId="77777777" w:rsidR="00A4793E" w:rsidRPr="00441A9C" w:rsidRDefault="00A4793E" w:rsidP="00A4793E">
      <w:pPr>
        <w:ind w:right="336" w:firstLine="403"/>
        <w:rPr>
          <w:rFonts w:ascii="Garamond" w:hAnsi="Garamond" w:cs="Sylfaen"/>
          <w:b/>
          <w:i/>
          <w:spacing w:val="40"/>
          <w:w w:val="150"/>
          <w:sz w:val="22"/>
          <w:szCs w:val="22"/>
        </w:rPr>
      </w:pPr>
    </w:p>
    <w:p w14:paraId="0CEF0CA8" w14:textId="77777777" w:rsidR="00A4793E" w:rsidRPr="00441A9C" w:rsidRDefault="00A4793E" w:rsidP="00A4793E">
      <w:pPr>
        <w:spacing w:line="312" w:lineRule="auto"/>
        <w:ind w:right="336" w:firstLine="400"/>
        <w:jc w:val="right"/>
        <w:rPr>
          <w:rFonts w:ascii="Garamond" w:hAnsi="Garamond" w:cs="Sylfaen"/>
          <w:b/>
          <w:sz w:val="22"/>
          <w:szCs w:val="22"/>
        </w:rPr>
      </w:pPr>
      <w:r w:rsidRPr="00441A9C">
        <w:rPr>
          <w:rFonts w:ascii="Garamond" w:hAnsi="Garamond" w:cs="Sylfaen"/>
          <w:b/>
          <w:sz w:val="22"/>
          <w:szCs w:val="22"/>
        </w:rPr>
        <w:sym w:font="Wingdings 2" w:char="F0E7"/>
      </w:r>
    </w:p>
    <w:p w14:paraId="49C5328B" w14:textId="77777777" w:rsidR="00A4793E" w:rsidRPr="00441A9C" w:rsidRDefault="00A4793E" w:rsidP="00A4793E">
      <w:pPr>
        <w:autoSpaceDE w:val="0"/>
        <w:autoSpaceDN w:val="0"/>
        <w:adjustRightInd w:val="0"/>
        <w:spacing w:after="120" w:line="360" w:lineRule="auto"/>
        <w:ind w:left="720"/>
        <w:jc w:val="right"/>
        <w:rPr>
          <w:rFonts w:ascii="Garamond" w:hAnsi="Garamond"/>
          <w:sz w:val="22"/>
          <w:szCs w:val="22"/>
        </w:rPr>
      </w:pPr>
      <w:r w:rsidRPr="00441A9C">
        <w:rPr>
          <w:rFonts w:ascii="Garamond" w:hAnsi="Garamond"/>
          <w:iCs/>
          <w:sz w:val="22"/>
          <w:szCs w:val="22"/>
        </w:rPr>
        <w:t xml:space="preserve">      Status Report on Implementation of the Monetary Policy Program, Q</w:t>
      </w:r>
      <w:r w:rsidR="00F74AC2" w:rsidRPr="00441A9C">
        <w:rPr>
          <w:rFonts w:ascii="Garamond" w:hAnsi="Garamond"/>
          <w:iCs/>
          <w:sz w:val="22"/>
          <w:szCs w:val="22"/>
        </w:rPr>
        <w:t>2</w:t>
      </w:r>
      <w:r w:rsidRPr="00441A9C">
        <w:rPr>
          <w:rFonts w:ascii="Garamond" w:hAnsi="Garamond"/>
          <w:iCs/>
          <w:sz w:val="22"/>
          <w:szCs w:val="22"/>
        </w:rPr>
        <w:t>, 2017</w:t>
      </w:r>
    </w:p>
    <w:p w14:paraId="2D30CA1A" w14:textId="77777777" w:rsidR="00A4793E" w:rsidRPr="00441A9C" w:rsidRDefault="00A4793E" w:rsidP="00A4793E">
      <w:pPr>
        <w:autoSpaceDE w:val="0"/>
        <w:autoSpaceDN w:val="0"/>
        <w:adjustRightInd w:val="0"/>
        <w:spacing w:after="120" w:line="360" w:lineRule="auto"/>
        <w:jc w:val="both"/>
        <w:rPr>
          <w:rFonts w:ascii="Garamond" w:hAnsi="Garamond"/>
          <w:sz w:val="22"/>
          <w:szCs w:val="22"/>
        </w:rPr>
      </w:pPr>
    </w:p>
    <w:p w14:paraId="43C6057C" w14:textId="77777777" w:rsidR="00A4793E" w:rsidRPr="00441A9C" w:rsidRDefault="00A4793E" w:rsidP="00A4793E">
      <w:pPr>
        <w:autoSpaceDE w:val="0"/>
        <w:autoSpaceDN w:val="0"/>
        <w:adjustRightInd w:val="0"/>
        <w:spacing w:after="120" w:line="360" w:lineRule="auto"/>
        <w:jc w:val="both"/>
        <w:rPr>
          <w:rFonts w:ascii="Garamond" w:hAnsi="Garamond"/>
          <w:sz w:val="22"/>
          <w:szCs w:val="22"/>
        </w:rPr>
      </w:pPr>
    </w:p>
    <w:p w14:paraId="1ECD4F2C" w14:textId="77777777" w:rsidR="00A4793E" w:rsidRPr="00441A9C" w:rsidRDefault="00A4793E" w:rsidP="00A4793E">
      <w:pPr>
        <w:autoSpaceDE w:val="0"/>
        <w:autoSpaceDN w:val="0"/>
        <w:adjustRightInd w:val="0"/>
        <w:spacing w:after="120" w:line="360" w:lineRule="auto"/>
        <w:jc w:val="both"/>
        <w:rPr>
          <w:rFonts w:ascii="Garamond" w:hAnsi="Garamond"/>
          <w:sz w:val="22"/>
          <w:szCs w:val="22"/>
        </w:rPr>
      </w:pPr>
    </w:p>
    <w:p w14:paraId="45631EC1" w14:textId="77777777" w:rsidR="00A4793E" w:rsidRPr="00441A9C" w:rsidRDefault="00A4793E" w:rsidP="00A4793E">
      <w:pPr>
        <w:autoSpaceDE w:val="0"/>
        <w:autoSpaceDN w:val="0"/>
        <w:adjustRightInd w:val="0"/>
        <w:spacing w:after="120" w:line="360" w:lineRule="auto"/>
        <w:jc w:val="both"/>
        <w:rPr>
          <w:rFonts w:ascii="Garamond" w:hAnsi="Garamond"/>
          <w:sz w:val="22"/>
          <w:szCs w:val="22"/>
        </w:rPr>
      </w:pPr>
    </w:p>
    <w:p w14:paraId="069FAECE" w14:textId="77777777" w:rsidR="00A4793E" w:rsidRPr="00441A9C" w:rsidRDefault="00A4793E" w:rsidP="00A4793E">
      <w:pPr>
        <w:autoSpaceDE w:val="0"/>
        <w:autoSpaceDN w:val="0"/>
        <w:adjustRightInd w:val="0"/>
        <w:spacing w:after="120" w:line="360" w:lineRule="auto"/>
        <w:jc w:val="both"/>
        <w:rPr>
          <w:rFonts w:ascii="Garamond" w:hAnsi="Garamond"/>
          <w:sz w:val="22"/>
          <w:szCs w:val="22"/>
        </w:rPr>
      </w:pPr>
    </w:p>
    <w:p w14:paraId="3701BC66" w14:textId="77777777" w:rsidR="00A4793E" w:rsidRPr="00441A9C" w:rsidRDefault="00A4793E" w:rsidP="00A4793E">
      <w:pPr>
        <w:autoSpaceDE w:val="0"/>
        <w:autoSpaceDN w:val="0"/>
        <w:adjustRightInd w:val="0"/>
        <w:spacing w:after="120" w:line="360" w:lineRule="auto"/>
        <w:jc w:val="both"/>
        <w:rPr>
          <w:rFonts w:ascii="Garamond" w:hAnsi="Garamond"/>
          <w:sz w:val="22"/>
          <w:szCs w:val="22"/>
        </w:rPr>
      </w:pPr>
    </w:p>
    <w:p w14:paraId="58A56B4C" w14:textId="77777777" w:rsidR="00A4793E" w:rsidRPr="00441A9C" w:rsidRDefault="00A4793E" w:rsidP="00A4793E">
      <w:pPr>
        <w:autoSpaceDE w:val="0"/>
        <w:autoSpaceDN w:val="0"/>
        <w:adjustRightInd w:val="0"/>
        <w:spacing w:after="120" w:line="360" w:lineRule="auto"/>
        <w:jc w:val="both"/>
        <w:rPr>
          <w:rFonts w:ascii="Garamond" w:hAnsi="Garamond"/>
          <w:sz w:val="22"/>
          <w:szCs w:val="22"/>
        </w:rPr>
      </w:pPr>
    </w:p>
    <w:p w14:paraId="5D121F12" w14:textId="77777777" w:rsidR="00F74AC2" w:rsidRPr="00441A9C" w:rsidRDefault="00A4793E" w:rsidP="00A4793E">
      <w:pPr>
        <w:autoSpaceDE w:val="0"/>
        <w:autoSpaceDN w:val="0"/>
        <w:adjustRightInd w:val="0"/>
        <w:spacing w:after="120" w:line="360" w:lineRule="auto"/>
        <w:jc w:val="both"/>
        <w:rPr>
          <w:rFonts w:ascii="Garamond" w:hAnsi="Garamond"/>
          <w:sz w:val="22"/>
          <w:szCs w:val="22"/>
        </w:rPr>
      </w:pPr>
      <w:r w:rsidRPr="00441A9C">
        <w:rPr>
          <w:rFonts w:ascii="Garamond" w:hAnsi="Garamond"/>
          <w:sz w:val="22"/>
          <w:szCs w:val="22"/>
        </w:rPr>
        <w:lastRenderedPageBreak/>
        <w:t xml:space="preserve">The inflation targeting strategy of the Central Bank of Armenia highlights the importance of communicating of the Bank to the general public by publishing, inter alia, quarterly inflation reports. </w:t>
      </w:r>
    </w:p>
    <w:p w14:paraId="1B3ED4ED" w14:textId="77777777" w:rsidR="00F74AC2" w:rsidRPr="00441A9C" w:rsidRDefault="00F74AC2" w:rsidP="00A4793E">
      <w:pPr>
        <w:autoSpaceDE w:val="0"/>
        <w:autoSpaceDN w:val="0"/>
        <w:adjustRightInd w:val="0"/>
        <w:spacing w:after="120" w:line="360" w:lineRule="auto"/>
        <w:jc w:val="both"/>
        <w:rPr>
          <w:rFonts w:ascii="Garamond" w:hAnsi="Garamond"/>
          <w:sz w:val="22"/>
          <w:szCs w:val="22"/>
        </w:rPr>
      </w:pPr>
      <w:r w:rsidRPr="00441A9C">
        <w:rPr>
          <w:rFonts w:ascii="Garamond" w:hAnsi="Garamond"/>
          <w:sz w:val="22"/>
          <w:szCs w:val="22"/>
        </w:rPr>
        <w:t>The f</w:t>
      </w:r>
      <w:r w:rsidR="00A4793E" w:rsidRPr="00441A9C">
        <w:rPr>
          <w:rFonts w:ascii="Garamond" w:hAnsi="Garamond"/>
          <w:sz w:val="22"/>
          <w:szCs w:val="22"/>
        </w:rPr>
        <w:t xml:space="preserve">irst section of the inflation report includes </w:t>
      </w:r>
      <w:r w:rsidRPr="00441A9C">
        <w:rPr>
          <w:rFonts w:ascii="Garamond" w:hAnsi="Garamond"/>
          <w:sz w:val="22"/>
          <w:szCs w:val="22"/>
        </w:rPr>
        <w:t>the</w:t>
      </w:r>
      <w:r w:rsidR="00A4793E" w:rsidRPr="00441A9C">
        <w:rPr>
          <w:rFonts w:ascii="Garamond" w:hAnsi="Garamond"/>
          <w:sz w:val="22"/>
          <w:szCs w:val="22"/>
        </w:rPr>
        <w:t xml:space="preserve"> </w:t>
      </w:r>
      <w:r w:rsidRPr="00441A9C">
        <w:rPr>
          <w:rFonts w:ascii="Garamond" w:hAnsi="Garamond"/>
          <w:sz w:val="22"/>
          <w:szCs w:val="22"/>
        </w:rPr>
        <w:t>M</w:t>
      </w:r>
      <w:r w:rsidR="00A4793E" w:rsidRPr="00441A9C">
        <w:rPr>
          <w:rFonts w:ascii="Garamond" w:hAnsi="Garamond"/>
          <w:sz w:val="22"/>
          <w:szCs w:val="22"/>
        </w:rPr>
        <w:t xml:space="preserve">onetary </w:t>
      </w:r>
      <w:r w:rsidRPr="00441A9C">
        <w:rPr>
          <w:rFonts w:ascii="Garamond" w:hAnsi="Garamond"/>
          <w:sz w:val="22"/>
          <w:szCs w:val="22"/>
        </w:rPr>
        <w:t>P</w:t>
      </w:r>
      <w:r w:rsidR="00A4793E" w:rsidRPr="00441A9C">
        <w:rPr>
          <w:rFonts w:ascii="Garamond" w:hAnsi="Garamond"/>
          <w:sz w:val="22"/>
          <w:szCs w:val="22"/>
        </w:rPr>
        <w:t xml:space="preserve">olicy </w:t>
      </w:r>
      <w:r w:rsidRPr="00441A9C">
        <w:rPr>
          <w:rFonts w:ascii="Garamond" w:hAnsi="Garamond"/>
          <w:sz w:val="22"/>
          <w:szCs w:val="22"/>
        </w:rPr>
        <w:t>P</w:t>
      </w:r>
      <w:r w:rsidR="00A4793E" w:rsidRPr="00441A9C">
        <w:rPr>
          <w:rFonts w:ascii="Garamond" w:hAnsi="Garamond"/>
          <w:sz w:val="22"/>
          <w:szCs w:val="22"/>
        </w:rPr>
        <w:t xml:space="preserve">rogram that provides </w:t>
      </w:r>
      <w:r w:rsidR="00E304E6" w:rsidRPr="00441A9C">
        <w:rPr>
          <w:rFonts w:ascii="Garamond" w:hAnsi="Garamond"/>
          <w:sz w:val="22"/>
          <w:szCs w:val="22"/>
        </w:rPr>
        <w:t xml:space="preserve">main directions of the monetary policy in the forecast horizon as well as forecasts of </w:t>
      </w:r>
      <w:r w:rsidR="00A4793E" w:rsidRPr="00441A9C">
        <w:rPr>
          <w:rFonts w:ascii="Garamond" w:hAnsi="Garamond"/>
          <w:sz w:val="22"/>
          <w:szCs w:val="22"/>
        </w:rPr>
        <w:t xml:space="preserve">inflation and other macroeconomic indicators. </w:t>
      </w:r>
      <w:r w:rsidR="00E304E6" w:rsidRPr="00441A9C">
        <w:rPr>
          <w:rFonts w:ascii="Garamond" w:hAnsi="Garamond"/>
          <w:sz w:val="22"/>
          <w:szCs w:val="22"/>
        </w:rPr>
        <w:t>These forecasts are based on the Bank’s assessment of the current situation and future assumptions by the Bank, which also include the impact of the Bank operations.</w:t>
      </w:r>
    </w:p>
    <w:p w14:paraId="547B4457" w14:textId="77777777" w:rsidR="00A4793E" w:rsidRPr="00441A9C" w:rsidRDefault="00E304E6" w:rsidP="00A4793E">
      <w:pPr>
        <w:autoSpaceDE w:val="0"/>
        <w:autoSpaceDN w:val="0"/>
        <w:adjustRightInd w:val="0"/>
        <w:spacing w:after="120" w:line="360" w:lineRule="auto"/>
        <w:jc w:val="both"/>
        <w:rPr>
          <w:rFonts w:ascii="Garamond" w:hAnsi="Garamond" w:cs="Sylfaen"/>
          <w:sz w:val="22"/>
          <w:szCs w:val="22"/>
        </w:rPr>
      </w:pPr>
      <w:r w:rsidRPr="00441A9C">
        <w:rPr>
          <w:rFonts w:ascii="Garamond" w:hAnsi="Garamond"/>
          <w:sz w:val="22"/>
          <w:szCs w:val="22"/>
        </w:rPr>
        <w:t>The s</w:t>
      </w:r>
      <w:r w:rsidR="00A4793E" w:rsidRPr="00441A9C">
        <w:rPr>
          <w:rFonts w:ascii="Garamond" w:hAnsi="Garamond"/>
          <w:sz w:val="22"/>
          <w:szCs w:val="22"/>
        </w:rPr>
        <w:t xml:space="preserve">econd section includes </w:t>
      </w:r>
      <w:r w:rsidR="00A4793E" w:rsidRPr="00441A9C">
        <w:rPr>
          <w:rStyle w:val="longtext"/>
          <w:rFonts w:ascii="Garamond" w:hAnsi="Garamond"/>
          <w:color w:val="000000"/>
          <w:sz w:val="22"/>
          <w:szCs w:val="22"/>
          <w:shd w:val="clear" w:color="auto" w:fill="FFFFFF"/>
        </w:rPr>
        <w:t>status report on implementation of the monetary policy</w:t>
      </w:r>
      <w:r w:rsidR="00A4793E" w:rsidRPr="00441A9C">
        <w:rPr>
          <w:rFonts w:ascii="Garamond" w:hAnsi="Garamond"/>
          <w:sz w:val="22"/>
          <w:szCs w:val="22"/>
        </w:rPr>
        <w:t xml:space="preserve"> program</w:t>
      </w:r>
      <w:r w:rsidR="00A4793E" w:rsidRPr="00441A9C">
        <w:rPr>
          <w:rStyle w:val="longtext"/>
          <w:rFonts w:ascii="Garamond" w:hAnsi="Garamond"/>
          <w:color w:val="000000"/>
          <w:sz w:val="22"/>
          <w:szCs w:val="22"/>
          <w:shd w:val="clear" w:color="auto" w:fill="FFFFFF"/>
        </w:rPr>
        <w:t xml:space="preserve"> of the previous quarter, which </w:t>
      </w:r>
      <w:r w:rsidRPr="00441A9C">
        <w:rPr>
          <w:rStyle w:val="longtext"/>
          <w:rFonts w:ascii="Garamond" w:hAnsi="Garamond"/>
          <w:color w:val="000000"/>
          <w:sz w:val="22"/>
          <w:szCs w:val="22"/>
          <w:shd w:val="clear" w:color="auto" w:fill="FFFFFF"/>
        </w:rPr>
        <w:t xml:space="preserve">presents the results of monetary policy </w:t>
      </w:r>
      <w:r w:rsidR="00E0329F" w:rsidRPr="00441A9C">
        <w:rPr>
          <w:rStyle w:val="longtext"/>
          <w:rFonts w:ascii="Garamond" w:hAnsi="Garamond"/>
          <w:color w:val="000000"/>
          <w:sz w:val="22"/>
          <w:szCs w:val="22"/>
          <w:shd w:val="clear" w:color="auto" w:fill="FFFFFF"/>
        </w:rPr>
        <w:t xml:space="preserve">implementation </w:t>
      </w:r>
      <w:r w:rsidRPr="00441A9C">
        <w:rPr>
          <w:rStyle w:val="longtext"/>
          <w:rFonts w:ascii="Garamond" w:hAnsi="Garamond"/>
          <w:color w:val="000000"/>
          <w:sz w:val="22"/>
          <w:szCs w:val="22"/>
          <w:shd w:val="clear" w:color="auto" w:fill="FFFFFF"/>
        </w:rPr>
        <w:t xml:space="preserve">and </w:t>
      </w:r>
      <w:r w:rsidR="00E0329F" w:rsidRPr="00441A9C">
        <w:rPr>
          <w:rStyle w:val="longtext"/>
          <w:rFonts w:ascii="Garamond" w:hAnsi="Garamond"/>
          <w:color w:val="000000"/>
          <w:sz w:val="22"/>
          <w:szCs w:val="22"/>
          <w:shd w:val="clear" w:color="auto" w:fill="FFFFFF"/>
        </w:rPr>
        <w:t xml:space="preserve">covers the actual </w:t>
      </w:r>
      <w:r w:rsidR="00A4793E" w:rsidRPr="00441A9C">
        <w:rPr>
          <w:rStyle w:val="longtext"/>
          <w:rFonts w:ascii="Garamond" w:hAnsi="Garamond"/>
          <w:color w:val="000000"/>
          <w:sz w:val="22"/>
          <w:szCs w:val="22"/>
          <w:shd w:val="clear" w:color="auto" w:fill="FFFFFF"/>
        </w:rPr>
        <w:t>developments</w:t>
      </w:r>
      <w:r w:rsidR="00E0329F" w:rsidRPr="00441A9C">
        <w:rPr>
          <w:rStyle w:val="longtext"/>
          <w:rFonts w:ascii="Garamond" w:hAnsi="Garamond"/>
          <w:color w:val="000000"/>
          <w:sz w:val="22"/>
          <w:szCs w:val="22"/>
          <w:shd w:val="clear" w:color="auto" w:fill="FFFFFF"/>
        </w:rPr>
        <w:t xml:space="preserve"> in the domestic economy</w:t>
      </w:r>
      <w:r w:rsidR="00A4793E" w:rsidRPr="00441A9C">
        <w:rPr>
          <w:rStyle w:val="longtext"/>
          <w:rFonts w:ascii="Garamond" w:hAnsi="Garamond"/>
          <w:color w:val="000000"/>
          <w:sz w:val="22"/>
          <w:szCs w:val="22"/>
          <w:shd w:val="clear" w:color="auto" w:fill="FFFFFF"/>
        </w:rPr>
        <w:t>.</w:t>
      </w:r>
    </w:p>
    <w:p w14:paraId="17F998F2" w14:textId="77777777" w:rsidR="00A4793E" w:rsidRPr="00441A9C" w:rsidRDefault="00A4793E" w:rsidP="00A4793E">
      <w:pPr>
        <w:autoSpaceDE w:val="0"/>
        <w:autoSpaceDN w:val="0"/>
        <w:adjustRightInd w:val="0"/>
        <w:spacing w:after="120" w:line="360" w:lineRule="auto"/>
        <w:jc w:val="both"/>
        <w:rPr>
          <w:rFonts w:ascii="Garamond" w:hAnsi="Garamond" w:cs="Sylfaen"/>
          <w:sz w:val="22"/>
          <w:szCs w:val="22"/>
        </w:rPr>
      </w:pPr>
      <w:r w:rsidRPr="00441A9C">
        <w:rPr>
          <w:rFonts w:ascii="Garamond" w:hAnsi="Garamond"/>
          <w:sz w:val="22"/>
          <w:szCs w:val="22"/>
        </w:rPr>
        <w:t xml:space="preserve">Publishing of inflation forecast and assumptions underlying it makes the monetary policy of the Bank more transparent, understandable and predictable, which considerably increases the public confidence in the Bank. The Bank believes that a clear and trusted monetary policy positively affects the anchoring of inflation expectations and maintaining financial stability in terms of cost reduction. </w:t>
      </w:r>
    </w:p>
    <w:p w14:paraId="5D6D3F7F" w14:textId="77777777" w:rsidR="002F79E4" w:rsidRPr="00441A9C" w:rsidRDefault="002F79E4" w:rsidP="00A4793E">
      <w:pPr>
        <w:autoSpaceDE w:val="0"/>
        <w:autoSpaceDN w:val="0"/>
        <w:adjustRightInd w:val="0"/>
        <w:spacing w:after="120" w:line="360" w:lineRule="auto"/>
        <w:jc w:val="both"/>
        <w:rPr>
          <w:rFonts w:ascii="Garamond" w:hAnsi="Garamond"/>
          <w:sz w:val="22"/>
          <w:szCs w:val="22"/>
        </w:rPr>
      </w:pPr>
      <w:r w:rsidRPr="00441A9C">
        <w:rPr>
          <w:rFonts w:ascii="Garamond" w:hAnsi="Garamond"/>
          <w:sz w:val="22"/>
          <w:szCs w:val="22"/>
        </w:rPr>
        <w:t xml:space="preserve">According to the rule of monetary policy, the policy is aimed at minimizing the deviations between the 4% target and the inflation forecasts. The </w:t>
      </w:r>
      <w:r w:rsidR="00A306CD" w:rsidRPr="00441A9C">
        <w:rPr>
          <w:rFonts w:ascii="Garamond" w:hAnsi="Garamond"/>
          <w:sz w:val="22"/>
          <w:szCs w:val="22"/>
        </w:rPr>
        <w:t xml:space="preserve">path to inflation rate shaped </w:t>
      </w:r>
      <w:r w:rsidRPr="00441A9C">
        <w:rPr>
          <w:rFonts w:ascii="Garamond" w:hAnsi="Garamond"/>
          <w:sz w:val="22"/>
          <w:szCs w:val="22"/>
        </w:rPr>
        <w:t xml:space="preserve">as a result of </w:t>
      </w:r>
      <w:r w:rsidR="00A306CD" w:rsidRPr="00441A9C">
        <w:rPr>
          <w:rFonts w:ascii="Garamond" w:hAnsi="Garamond"/>
          <w:sz w:val="22"/>
          <w:szCs w:val="22"/>
        </w:rPr>
        <w:t xml:space="preserve">projected </w:t>
      </w:r>
      <w:r w:rsidRPr="00441A9C">
        <w:rPr>
          <w:rFonts w:ascii="Garamond" w:hAnsi="Garamond"/>
          <w:sz w:val="22"/>
          <w:szCs w:val="22"/>
        </w:rPr>
        <w:t xml:space="preserve">policy </w:t>
      </w:r>
      <w:r w:rsidR="00A306CD" w:rsidRPr="00441A9C">
        <w:rPr>
          <w:rFonts w:ascii="Garamond" w:hAnsi="Garamond"/>
          <w:sz w:val="22"/>
          <w:szCs w:val="22"/>
        </w:rPr>
        <w:t xml:space="preserve">directions </w:t>
      </w:r>
      <w:r w:rsidRPr="00441A9C">
        <w:rPr>
          <w:rFonts w:ascii="Garamond" w:hAnsi="Garamond"/>
          <w:sz w:val="22"/>
          <w:szCs w:val="22"/>
        </w:rPr>
        <w:t xml:space="preserve">is published </w:t>
      </w:r>
      <w:r w:rsidR="00A306CD" w:rsidRPr="00441A9C">
        <w:rPr>
          <w:rFonts w:ascii="Garamond" w:hAnsi="Garamond"/>
          <w:sz w:val="22"/>
          <w:szCs w:val="22"/>
        </w:rPr>
        <w:t>as a f</w:t>
      </w:r>
      <w:r w:rsidR="00A306CD" w:rsidRPr="00441A9C">
        <w:rPr>
          <w:rFonts w:ascii="Garamond" w:hAnsi="Garamond"/>
          <w:bCs/>
          <w:sz w:val="22"/>
          <w:szCs w:val="22"/>
        </w:rPr>
        <w:t xml:space="preserve">orecast probability distribution chart for </w:t>
      </w:r>
      <w:r w:rsidR="008B34C4" w:rsidRPr="00441A9C">
        <w:rPr>
          <w:rFonts w:ascii="Garamond" w:hAnsi="Garamond"/>
          <w:bCs/>
          <w:sz w:val="22"/>
          <w:szCs w:val="22"/>
        </w:rPr>
        <w:t>the</w:t>
      </w:r>
      <w:r w:rsidR="00A306CD" w:rsidRPr="00441A9C">
        <w:rPr>
          <w:rFonts w:ascii="Garamond" w:hAnsi="Garamond"/>
          <w:bCs/>
          <w:sz w:val="22"/>
          <w:szCs w:val="22"/>
        </w:rPr>
        <w:t xml:space="preserve"> </w:t>
      </w:r>
      <w:r w:rsidR="00066ADE" w:rsidRPr="00441A9C">
        <w:rPr>
          <w:rFonts w:ascii="Garamond" w:hAnsi="Garamond"/>
          <w:bCs/>
          <w:sz w:val="22"/>
          <w:szCs w:val="22"/>
        </w:rPr>
        <w:t>12</w:t>
      </w:r>
      <w:r w:rsidR="00A306CD" w:rsidRPr="00441A9C">
        <w:rPr>
          <w:rFonts w:ascii="Garamond" w:hAnsi="Garamond"/>
          <w:bCs/>
          <w:sz w:val="22"/>
          <w:szCs w:val="22"/>
        </w:rPr>
        <w:t>-</w:t>
      </w:r>
      <w:r w:rsidR="00066ADE" w:rsidRPr="00441A9C">
        <w:rPr>
          <w:rFonts w:ascii="Garamond" w:hAnsi="Garamond"/>
          <w:bCs/>
          <w:sz w:val="22"/>
          <w:szCs w:val="22"/>
        </w:rPr>
        <w:t xml:space="preserve">quarter time </w:t>
      </w:r>
      <w:r w:rsidR="00A306CD" w:rsidRPr="00441A9C">
        <w:rPr>
          <w:rFonts w:ascii="Garamond" w:hAnsi="Garamond"/>
          <w:bCs/>
          <w:sz w:val="22"/>
          <w:szCs w:val="22"/>
        </w:rPr>
        <w:t>horizon</w:t>
      </w:r>
      <w:r w:rsidR="00066ADE" w:rsidRPr="00441A9C">
        <w:rPr>
          <w:rFonts w:ascii="Garamond" w:hAnsi="Garamond"/>
          <w:sz w:val="22"/>
          <w:szCs w:val="22"/>
        </w:rPr>
        <w:t>.</w:t>
      </w:r>
    </w:p>
    <w:p w14:paraId="4329E532" w14:textId="77777777" w:rsidR="00A4793E" w:rsidRPr="00441A9C" w:rsidRDefault="00A4793E" w:rsidP="00A4793E">
      <w:pPr>
        <w:autoSpaceDE w:val="0"/>
        <w:autoSpaceDN w:val="0"/>
        <w:adjustRightInd w:val="0"/>
        <w:spacing w:after="120" w:line="360" w:lineRule="auto"/>
        <w:jc w:val="both"/>
        <w:rPr>
          <w:rFonts w:ascii="Garamond" w:hAnsi="Garamond" w:cs="Sylfaen"/>
          <w:sz w:val="22"/>
          <w:szCs w:val="22"/>
        </w:rPr>
      </w:pPr>
      <w:r w:rsidRPr="00441A9C">
        <w:rPr>
          <w:rFonts w:ascii="Garamond" w:hAnsi="Garamond"/>
          <w:sz w:val="22"/>
          <w:szCs w:val="22"/>
        </w:rPr>
        <w:t xml:space="preserve">Projections in this report are based on the actual information available by </w:t>
      </w:r>
      <w:r w:rsidR="008B34C4" w:rsidRPr="00441A9C">
        <w:rPr>
          <w:rFonts w:ascii="Garamond" w:hAnsi="Garamond"/>
          <w:sz w:val="22"/>
          <w:szCs w:val="22"/>
        </w:rPr>
        <w:t>August</w:t>
      </w:r>
      <w:r w:rsidRPr="00441A9C">
        <w:rPr>
          <w:rFonts w:ascii="Garamond" w:hAnsi="Garamond"/>
          <w:sz w:val="22"/>
          <w:szCs w:val="22"/>
        </w:rPr>
        <w:t xml:space="preserve"> 1</w:t>
      </w:r>
      <w:r w:rsidR="008B34C4" w:rsidRPr="00441A9C">
        <w:rPr>
          <w:rFonts w:ascii="Garamond" w:hAnsi="Garamond"/>
          <w:sz w:val="22"/>
          <w:szCs w:val="22"/>
        </w:rPr>
        <w:t>5</w:t>
      </w:r>
      <w:r w:rsidRPr="00441A9C">
        <w:rPr>
          <w:rFonts w:ascii="Garamond" w:hAnsi="Garamond"/>
          <w:sz w:val="22"/>
          <w:szCs w:val="22"/>
        </w:rPr>
        <w:t xml:space="preserve">, 2017, i.e. the day on which the refinancing rate was set, the results of a survey conducted by the Bank and the judgment made pursuant to the information on future developments of the macroeconomic environment. </w:t>
      </w:r>
    </w:p>
    <w:p w14:paraId="394A84E2" w14:textId="77777777" w:rsidR="00A4793E" w:rsidRPr="00441A9C" w:rsidRDefault="00A4793E" w:rsidP="00A4793E">
      <w:pPr>
        <w:spacing w:line="360" w:lineRule="auto"/>
        <w:jc w:val="both"/>
        <w:rPr>
          <w:rFonts w:ascii="Garamond" w:hAnsi="Garamond"/>
          <w:sz w:val="22"/>
          <w:szCs w:val="22"/>
        </w:rPr>
      </w:pPr>
      <w:r w:rsidRPr="00441A9C">
        <w:rPr>
          <w:rFonts w:ascii="Garamond" w:hAnsi="Garamond"/>
          <w:sz w:val="22"/>
          <w:szCs w:val="22"/>
        </w:rPr>
        <w:t xml:space="preserve">All inflation reports which have been published to date are available on the Bank’s website which also contains </w:t>
      </w:r>
      <w:r w:rsidR="008B34C4" w:rsidRPr="00441A9C">
        <w:rPr>
          <w:rFonts w:ascii="Garamond" w:hAnsi="Garamond"/>
          <w:sz w:val="22"/>
          <w:szCs w:val="22"/>
        </w:rPr>
        <w:t xml:space="preserve">all press-releases and other </w:t>
      </w:r>
      <w:r w:rsidRPr="00441A9C">
        <w:rPr>
          <w:rFonts w:ascii="Garamond" w:hAnsi="Garamond"/>
          <w:sz w:val="22"/>
          <w:szCs w:val="22"/>
        </w:rPr>
        <w:t>monetary policy</w:t>
      </w:r>
      <w:r w:rsidR="008B34C4" w:rsidRPr="00441A9C">
        <w:rPr>
          <w:rFonts w:ascii="Garamond" w:hAnsi="Garamond"/>
          <w:sz w:val="22"/>
          <w:szCs w:val="22"/>
        </w:rPr>
        <w:t>-related publications</w:t>
      </w:r>
      <w:r w:rsidRPr="00441A9C">
        <w:rPr>
          <w:rFonts w:ascii="Garamond" w:hAnsi="Garamond"/>
          <w:sz w:val="22"/>
          <w:szCs w:val="22"/>
        </w:rPr>
        <w:t>.</w:t>
      </w:r>
    </w:p>
    <w:p w14:paraId="7AD8A425" w14:textId="77777777" w:rsidR="00A4793E" w:rsidRPr="00441A9C" w:rsidRDefault="00A4793E" w:rsidP="00A4793E">
      <w:pPr>
        <w:spacing w:line="360" w:lineRule="auto"/>
        <w:jc w:val="both"/>
        <w:rPr>
          <w:rFonts w:ascii="Garamond" w:hAnsi="Garamond"/>
          <w:sz w:val="22"/>
          <w:szCs w:val="22"/>
        </w:rPr>
      </w:pPr>
    </w:p>
    <w:p w14:paraId="641E1BAC" w14:textId="77777777" w:rsidR="00A4793E" w:rsidRPr="00441A9C" w:rsidRDefault="00A4793E" w:rsidP="00A4793E">
      <w:pPr>
        <w:spacing w:line="360" w:lineRule="auto"/>
        <w:jc w:val="both"/>
        <w:rPr>
          <w:rFonts w:ascii="Garamond" w:hAnsi="Garamond"/>
          <w:b/>
          <w:sz w:val="22"/>
          <w:szCs w:val="22"/>
        </w:rPr>
      </w:pPr>
      <w:r w:rsidRPr="00441A9C">
        <w:rPr>
          <w:rFonts w:ascii="Garamond" w:hAnsi="Garamond"/>
          <w:b/>
          <w:sz w:val="22"/>
          <w:szCs w:val="22"/>
        </w:rPr>
        <w:t>1. Executive Summary</w:t>
      </w:r>
    </w:p>
    <w:p w14:paraId="7218759D" w14:textId="77777777" w:rsidR="00A4793E" w:rsidRPr="00441A9C" w:rsidRDefault="00A4793E" w:rsidP="00A4793E">
      <w:pPr>
        <w:spacing w:line="360" w:lineRule="auto"/>
        <w:jc w:val="both"/>
        <w:rPr>
          <w:rFonts w:ascii="Garamond" w:hAnsi="Garamond"/>
          <w:sz w:val="22"/>
          <w:szCs w:val="22"/>
        </w:rPr>
      </w:pPr>
    </w:p>
    <w:p w14:paraId="2F6509F6" w14:textId="77777777" w:rsidR="00A4793E" w:rsidRPr="00441A9C" w:rsidRDefault="00B14A59" w:rsidP="00A4793E">
      <w:pPr>
        <w:spacing w:line="360" w:lineRule="auto"/>
        <w:jc w:val="both"/>
        <w:rPr>
          <w:rFonts w:ascii="Garamond" w:hAnsi="Garamond"/>
          <w:b/>
          <w:sz w:val="22"/>
          <w:szCs w:val="22"/>
        </w:rPr>
      </w:pPr>
      <w:r w:rsidRPr="00441A9C">
        <w:rPr>
          <w:rFonts w:ascii="Garamond" w:hAnsi="Garamond"/>
          <w:b/>
          <w:sz w:val="22"/>
          <w:szCs w:val="22"/>
        </w:rPr>
        <w:t xml:space="preserve">According to the </w:t>
      </w:r>
      <w:r w:rsidR="00483CE6" w:rsidRPr="00441A9C">
        <w:rPr>
          <w:rFonts w:ascii="Garamond" w:hAnsi="Garamond"/>
          <w:b/>
          <w:sz w:val="22"/>
          <w:szCs w:val="22"/>
        </w:rPr>
        <w:t>Q3, 2017 M</w:t>
      </w:r>
      <w:r w:rsidRPr="00441A9C">
        <w:rPr>
          <w:rFonts w:ascii="Garamond" w:hAnsi="Garamond"/>
          <w:b/>
          <w:sz w:val="22"/>
          <w:szCs w:val="22"/>
        </w:rPr>
        <w:t xml:space="preserve">onetary </w:t>
      </w:r>
      <w:r w:rsidR="00483CE6" w:rsidRPr="00441A9C">
        <w:rPr>
          <w:rFonts w:ascii="Garamond" w:hAnsi="Garamond"/>
          <w:b/>
          <w:sz w:val="22"/>
          <w:szCs w:val="22"/>
        </w:rPr>
        <w:t>P</w:t>
      </w:r>
      <w:r w:rsidRPr="00441A9C">
        <w:rPr>
          <w:rFonts w:ascii="Garamond" w:hAnsi="Garamond"/>
          <w:b/>
          <w:sz w:val="22"/>
          <w:szCs w:val="22"/>
        </w:rPr>
        <w:t xml:space="preserve">olicy </w:t>
      </w:r>
      <w:r w:rsidR="00483CE6" w:rsidRPr="00441A9C">
        <w:rPr>
          <w:rFonts w:ascii="Garamond" w:hAnsi="Garamond"/>
          <w:b/>
          <w:sz w:val="22"/>
          <w:szCs w:val="22"/>
        </w:rPr>
        <w:t>P</w:t>
      </w:r>
      <w:r w:rsidRPr="00441A9C">
        <w:rPr>
          <w:rFonts w:ascii="Garamond" w:hAnsi="Garamond"/>
          <w:b/>
          <w:sz w:val="22"/>
          <w:szCs w:val="22"/>
        </w:rPr>
        <w:t xml:space="preserve">rogram </w:t>
      </w:r>
      <w:r w:rsidR="00483CE6" w:rsidRPr="00441A9C">
        <w:rPr>
          <w:rFonts w:ascii="Garamond" w:hAnsi="Garamond"/>
          <w:b/>
          <w:sz w:val="22"/>
          <w:szCs w:val="22"/>
        </w:rPr>
        <w:t xml:space="preserve">of the Central Bank of Armenia (“the Central Bank”), </w:t>
      </w:r>
      <w:r w:rsidR="000122CD">
        <w:rPr>
          <w:rFonts w:ascii="Garamond" w:hAnsi="Garamond"/>
          <w:b/>
          <w:sz w:val="22"/>
          <w:szCs w:val="22"/>
        </w:rPr>
        <w:t xml:space="preserve">up </w:t>
      </w:r>
      <w:r w:rsidR="00FA707F" w:rsidRPr="00441A9C">
        <w:rPr>
          <w:rFonts w:ascii="Garamond" w:hAnsi="Garamond"/>
          <w:b/>
          <w:sz w:val="22"/>
          <w:szCs w:val="22"/>
        </w:rPr>
        <w:t xml:space="preserve">until </w:t>
      </w:r>
      <w:r w:rsidR="009173A3" w:rsidRPr="00441A9C">
        <w:rPr>
          <w:rFonts w:ascii="Garamond" w:hAnsi="Garamond"/>
          <w:b/>
          <w:sz w:val="22"/>
          <w:szCs w:val="22"/>
        </w:rPr>
        <w:t xml:space="preserve">the end of 2017 </w:t>
      </w:r>
      <w:r w:rsidR="00483CE6" w:rsidRPr="00441A9C">
        <w:rPr>
          <w:rFonts w:ascii="Garamond" w:hAnsi="Garamond"/>
          <w:b/>
          <w:sz w:val="22"/>
          <w:szCs w:val="22"/>
        </w:rPr>
        <w:t xml:space="preserve">the </w:t>
      </w:r>
      <w:r w:rsidRPr="00441A9C">
        <w:rPr>
          <w:rFonts w:ascii="Garamond" w:hAnsi="Garamond"/>
          <w:b/>
          <w:sz w:val="22"/>
          <w:szCs w:val="22"/>
        </w:rPr>
        <w:t>inflation will continue expand</w:t>
      </w:r>
      <w:r w:rsidR="00483CE6" w:rsidRPr="00441A9C">
        <w:rPr>
          <w:rFonts w:ascii="Garamond" w:hAnsi="Garamond"/>
          <w:b/>
          <w:sz w:val="22"/>
          <w:szCs w:val="22"/>
        </w:rPr>
        <w:t>ing</w:t>
      </w:r>
      <w:r w:rsidRPr="00441A9C">
        <w:rPr>
          <w:rFonts w:ascii="Garamond" w:hAnsi="Garamond"/>
          <w:b/>
          <w:sz w:val="22"/>
          <w:szCs w:val="22"/>
        </w:rPr>
        <w:t xml:space="preserve">, </w:t>
      </w:r>
      <w:r w:rsidR="002F004C" w:rsidRPr="00441A9C">
        <w:rPr>
          <w:rFonts w:ascii="Garamond" w:hAnsi="Garamond"/>
          <w:b/>
          <w:sz w:val="22"/>
          <w:szCs w:val="22"/>
        </w:rPr>
        <w:t xml:space="preserve">shaping within </w:t>
      </w:r>
      <w:r w:rsidR="00483CE6" w:rsidRPr="00441A9C">
        <w:rPr>
          <w:rFonts w:ascii="Garamond" w:hAnsi="Garamond"/>
          <w:b/>
          <w:sz w:val="22"/>
          <w:szCs w:val="22"/>
        </w:rPr>
        <w:t>the confidence band; in</w:t>
      </w:r>
      <w:r w:rsidRPr="00441A9C">
        <w:rPr>
          <w:rFonts w:ascii="Garamond" w:hAnsi="Garamond"/>
          <w:b/>
          <w:sz w:val="22"/>
          <w:szCs w:val="22"/>
        </w:rPr>
        <w:t xml:space="preserve"> the forecast horizon </w:t>
      </w:r>
      <w:r w:rsidR="00483CE6" w:rsidRPr="00441A9C">
        <w:rPr>
          <w:rFonts w:ascii="Garamond" w:hAnsi="Garamond"/>
          <w:b/>
          <w:sz w:val="22"/>
          <w:szCs w:val="22"/>
        </w:rPr>
        <w:t xml:space="preserve">it </w:t>
      </w:r>
      <w:r w:rsidRPr="00441A9C">
        <w:rPr>
          <w:rFonts w:ascii="Garamond" w:hAnsi="Garamond"/>
          <w:b/>
          <w:sz w:val="22"/>
          <w:szCs w:val="22"/>
        </w:rPr>
        <w:t>will stabilize around the 4%</w:t>
      </w:r>
      <w:r w:rsidR="00483CE6" w:rsidRPr="00441A9C">
        <w:rPr>
          <w:rFonts w:ascii="Garamond" w:hAnsi="Garamond"/>
          <w:b/>
          <w:sz w:val="22"/>
          <w:szCs w:val="22"/>
        </w:rPr>
        <w:t xml:space="preserve"> target</w:t>
      </w:r>
      <w:r w:rsidRPr="00441A9C">
        <w:rPr>
          <w:rFonts w:ascii="Garamond" w:hAnsi="Garamond"/>
          <w:b/>
          <w:sz w:val="22"/>
          <w:szCs w:val="22"/>
        </w:rPr>
        <w:t>.</w:t>
      </w:r>
      <w:r w:rsidR="00483CE6" w:rsidRPr="00441A9C">
        <w:rPr>
          <w:rFonts w:ascii="Garamond" w:hAnsi="Garamond"/>
          <w:b/>
          <w:sz w:val="22"/>
          <w:szCs w:val="22"/>
        </w:rPr>
        <w:t xml:space="preserve"> </w:t>
      </w:r>
    </w:p>
    <w:p w14:paraId="523BFB02" w14:textId="77777777" w:rsidR="00A4793E" w:rsidRPr="00441A9C" w:rsidRDefault="00A4793E" w:rsidP="00A4793E">
      <w:pPr>
        <w:spacing w:line="360" w:lineRule="auto"/>
        <w:jc w:val="both"/>
        <w:rPr>
          <w:rFonts w:ascii="Garamond" w:hAnsi="Garamond"/>
          <w:b/>
          <w:sz w:val="22"/>
          <w:szCs w:val="22"/>
        </w:rPr>
      </w:pPr>
    </w:p>
    <w:p w14:paraId="621950FE" w14:textId="2120266C" w:rsidR="00FA707F" w:rsidRPr="00441A9C" w:rsidRDefault="00D52289" w:rsidP="00A4793E">
      <w:pPr>
        <w:spacing w:line="360" w:lineRule="auto"/>
        <w:jc w:val="both"/>
        <w:rPr>
          <w:rFonts w:ascii="Garamond" w:hAnsi="Garamond" w:cs="Sylfaen"/>
          <w:sz w:val="22"/>
          <w:szCs w:val="22"/>
        </w:rPr>
      </w:pPr>
      <w:r w:rsidRPr="00441A9C">
        <w:rPr>
          <w:rFonts w:ascii="Garamond" w:hAnsi="Garamond" w:cs="Sylfaen"/>
          <w:sz w:val="22"/>
          <w:szCs w:val="22"/>
        </w:rPr>
        <w:t>Positive developments in the macroeconomic environment expected in the short run will primarily contribute to t</w:t>
      </w:r>
      <w:r w:rsidR="00FA707F" w:rsidRPr="00441A9C">
        <w:rPr>
          <w:rFonts w:ascii="Garamond" w:hAnsi="Garamond" w:cs="Sylfaen"/>
          <w:sz w:val="22"/>
          <w:szCs w:val="22"/>
        </w:rPr>
        <w:t>he</w:t>
      </w:r>
      <w:r w:rsidRPr="00441A9C">
        <w:rPr>
          <w:rFonts w:ascii="Garamond" w:hAnsi="Garamond" w:cs="Sylfaen"/>
          <w:sz w:val="22"/>
          <w:szCs w:val="22"/>
        </w:rPr>
        <w:t xml:space="preserve"> recovery of the</w:t>
      </w:r>
      <w:r w:rsidR="00FA707F" w:rsidRPr="00441A9C">
        <w:rPr>
          <w:rFonts w:ascii="Garamond" w:hAnsi="Garamond" w:cs="Sylfaen"/>
          <w:sz w:val="22"/>
          <w:szCs w:val="22"/>
        </w:rPr>
        <w:t xml:space="preserve"> 12-month inflation </w:t>
      </w:r>
      <w:r w:rsidRPr="00441A9C">
        <w:rPr>
          <w:rFonts w:ascii="Garamond" w:hAnsi="Garamond" w:cs="Sylfaen"/>
          <w:sz w:val="22"/>
          <w:szCs w:val="22"/>
        </w:rPr>
        <w:t xml:space="preserve">rate, owing to </w:t>
      </w:r>
      <w:r w:rsidR="00FA707F" w:rsidRPr="00441A9C">
        <w:rPr>
          <w:rFonts w:ascii="Garamond" w:hAnsi="Garamond" w:cs="Sylfaen"/>
          <w:sz w:val="22"/>
          <w:szCs w:val="22"/>
        </w:rPr>
        <w:t>relatively high activity observ</w:t>
      </w:r>
      <w:r w:rsidRPr="00441A9C">
        <w:rPr>
          <w:rFonts w:ascii="Garamond" w:hAnsi="Garamond" w:cs="Sylfaen"/>
          <w:sz w:val="22"/>
          <w:szCs w:val="22"/>
        </w:rPr>
        <w:t xml:space="preserve">ed </w:t>
      </w:r>
      <w:r w:rsidR="00FA707F" w:rsidRPr="00441A9C">
        <w:rPr>
          <w:rFonts w:ascii="Garamond" w:hAnsi="Garamond" w:cs="Sylfaen"/>
          <w:sz w:val="22"/>
          <w:szCs w:val="22"/>
        </w:rPr>
        <w:t xml:space="preserve">in </w:t>
      </w:r>
      <w:r w:rsidRPr="00441A9C">
        <w:rPr>
          <w:rFonts w:ascii="Garamond" w:hAnsi="Garamond" w:cs="Sylfaen"/>
          <w:sz w:val="22"/>
          <w:szCs w:val="22"/>
        </w:rPr>
        <w:t xml:space="preserve">both </w:t>
      </w:r>
      <w:r w:rsidR="00FA707F" w:rsidRPr="00441A9C">
        <w:rPr>
          <w:rFonts w:ascii="Garamond" w:hAnsi="Garamond" w:cs="Sylfaen"/>
          <w:sz w:val="22"/>
          <w:szCs w:val="22"/>
        </w:rPr>
        <w:t xml:space="preserve">the external and </w:t>
      </w:r>
      <w:r w:rsidRPr="00441A9C">
        <w:rPr>
          <w:rFonts w:ascii="Garamond" w:hAnsi="Garamond" w:cs="Sylfaen"/>
          <w:sz w:val="22"/>
          <w:szCs w:val="22"/>
        </w:rPr>
        <w:t xml:space="preserve">domestic </w:t>
      </w:r>
      <w:r w:rsidR="00FA707F" w:rsidRPr="00441A9C">
        <w:rPr>
          <w:rFonts w:ascii="Garamond" w:hAnsi="Garamond" w:cs="Sylfaen"/>
          <w:sz w:val="22"/>
          <w:szCs w:val="22"/>
        </w:rPr>
        <w:t>economies since the beginning of the year.</w:t>
      </w:r>
      <w:r w:rsidRPr="00441A9C">
        <w:rPr>
          <w:rFonts w:ascii="Garamond" w:hAnsi="Garamond" w:cs="Sylfaen"/>
          <w:sz w:val="22"/>
          <w:szCs w:val="22"/>
        </w:rPr>
        <w:t xml:space="preserve"> At the same time, it is estimated that the impact of expansionary monetary policy on inflation will still be noticeable.</w:t>
      </w:r>
      <w:r w:rsidR="00CD1597" w:rsidRPr="00441A9C">
        <w:rPr>
          <w:rFonts w:ascii="Garamond" w:hAnsi="Garamond" w:cs="Sylfaen"/>
          <w:sz w:val="22"/>
          <w:szCs w:val="22"/>
        </w:rPr>
        <w:t xml:space="preserve"> Macroeconomic developments of the second quarter have been mostly in line with the baseline scenario, </w:t>
      </w:r>
      <w:r w:rsidR="00B23BA3" w:rsidRPr="00441A9C">
        <w:rPr>
          <w:rFonts w:ascii="Garamond" w:hAnsi="Garamond" w:cs="Sylfaen"/>
          <w:sz w:val="22"/>
          <w:szCs w:val="22"/>
        </w:rPr>
        <w:t xml:space="preserve">so </w:t>
      </w:r>
      <w:r w:rsidR="00CD1597" w:rsidRPr="00441A9C">
        <w:rPr>
          <w:rFonts w:ascii="Garamond" w:hAnsi="Garamond" w:cs="Sylfaen"/>
          <w:sz w:val="22"/>
          <w:szCs w:val="22"/>
        </w:rPr>
        <w:t xml:space="preserve">the Central Bank </w:t>
      </w:r>
      <w:r w:rsidR="00B23BA3" w:rsidRPr="00441A9C">
        <w:rPr>
          <w:rFonts w:ascii="Garamond" w:hAnsi="Garamond" w:cs="Sylfaen"/>
          <w:sz w:val="22"/>
          <w:szCs w:val="22"/>
        </w:rPr>
        <w:t xml:space="preserve">decided to </w:t>
      </w:r>
      <w:r w:rsidR="00CD1597" w:rsidRPr="00441A9C">
        <w:rPr>
          <w:rFonts w:ascii="Garamond" w:hAnsi="Garamond" w:cs="Sylfaen"/>
          <w:sz w:val="22"/>
          <w:szCs w:val="22"/>
        </w:rPr>
        <w:t xml:space="preserve">leave the </w:t>
      </w:r>
      <w:r w:rsidR="00CD1597" w:rsidRPr="00441A9C">
        <w:rPr>
          <w:rFonts w:ascii="Garamond" w:hAnsi="Garamond" w:cs="Sylfaen"/>
          <w:sz w:val="22"/>
          <w:szCs w:val="22"/>
        </w:rPr>
        <w:lastRenderedPageBreak/>
        <w:t>monetary conditions unchanged</w:t>
      </w:r>
      <w:r w:rsidR="00B23BA3" w:rsidRPr="00441A9C">
        <w:rPr>
          <w:rFonts w:ascii="Garamond" w:hAnsi="Garamond" w:cs="Sylfaen"/>
          <w:sz w:val="22"/>
          <w:szCs w:val="22"/>
        </w:rPr>
        <w:t>;</w:t>
      </w:r>
      <w:r w:rsidR="00CD1597" w:rsidRPr="00441A9C">
        <w:rPr>
          <w:rFonts w:ascii="Garamond" w:hAnsi="Garamond" w:cs="Sylfaen"/>
          <w:sz w:val="22"/>
          <w:szCs w:val="22"/>
        </w:rPr>
        <w:t xml:space="preserve"> </w:t>
      </w:r>
      <w:r w:rsidR="00B23BA3" w:rsidRPr="00441A9C">
        <w:rPr>
          <w:rFonts w:ascii="Garamond" w:hAnsi="Garamond" w:cs="Sylfaen"/>
          <w:sz w:val="22"/>
          <w:szCs w:val="22"/>
        </w:rPr>
        <w:t>this corresponded</w:t>
      </w:r>
      <w:r w:rsidR="00CD1597" w:rsidRPr="00441A9C">
        <w:rPr>
          <w:rFonts w:ascii="Garamond" w:hAnsi="Garamond" w:cs="Sylfaen"/>
          <w:sz w:val="22"/>
          <w:szCs w:val="22"/>
        </w:rPr>
        <w:t xml:space="preserve"> to the impulses the </w:t>
      </w:r>
      <w:r w:rsidR="00D312BE" w:rsidRPr="00441A9C">
        <w:rPr>
          <w:rFonts w:ascii="Garamond" w:hAnsi="Garamond" w:cs="Sylfaen"/>
          <w:sz w:val="22"/>
          <w:szCs w:val="22"/>
        </w:rPr>
        <w:t xml:space="preserve">Central Bank’s </w:t>
      </w:r>
      <w:r w:rsidR="00CD1597" w:rsidRPr="00441A9C">
        <w:rPr>
          <w:rFonts w:ascii="Garamond" w:hAnsi="Garamond" w:cs="Sylfaen"/>
          <w:sz w:val="22"/>
          <w:szCs w:val="22"/>
        </w:rPr>
        <w:t xml:space="preserve">Board previously gave to the financial market that </w:t>
      </w:r>
      <w:r w:rsidR="00D312BE" w:rsidRPr="00441A9C">
        <w:rPr>
          <w:rFonts w:ascii="Garamond" w:hAnsi="Garamond" w:cs="Sylfaen"/>
          <w:sz w:val="22"/>
          <w:szCs w:val="22"/>
        </w:rPr>
        <w:t xml:space="preserve">should the </w:t>
      </w:r>
      <w:r w:rsidR="00CD1597" w:rsidRPr="00441A9C">
        <w:rPr>
          <w:rFonts w:ascii="Garamond" w:hAnsi="Garamond" w:cs="Sylfaen"/>
          <w:sz w:val="22"/>
          <w:szCs w:val="22"/>
        </w:rPr>
        <w:t>expected macroeconomic developments</w:t>
      </w:r>
      <w:r w:rsidR="00D312BE" w:rsidRPr="00441A9C">
        <w:rPr>
          <w:rFonts w:ascii="Garamond" w:hAnsi="Garamond" w:cs="Sylfaen"/>
          <w:sz w:val="22"/>
          <w:szCs w:val="22"/>
        </w:rPr>
        <w:t xml:space="preserve"> unfold </w:t>
      </w:r>
      <w:r w:rsidR="00CD1597" w:rsidRPr="00441A9C">
        <w:rPr>
          <w:rFonts w:ascii="Garamond" w:hAnsi="Garamond" w:cs="Sylfaen"/>
          <w:sz w:val="22"/>
          <w:szCs w:val="22"/>
        </w:rPr>
        <w:t>the policy rate w</w:t>
      </w:r>
      <w:r w:rsidR="00B23BA3" w:rsidRPr="00441A9C">
        <w:rPr>
          <w:rFonts w:ascii="Garamond" w:hAnsi="Garamond" w:cs="Sylfaen"/>
          <w:sz w:val="22"/>
          <w:szCs w:val="22"/>
        </w:rPr>
        <w:t xml:space="preserve">ould </w:t>
      </w:r>
      <w:r w:rsidR="00CD1597" w:rsidRPr="00441A9C">
        <w:rPr>
          <w:rFonts w:ascii="Garamond" w:hAnsi="Garamond" w:cs="Sylfaen"/>
          <w:sz w:val="22"/>
          <w:szCs w:val="22"/>
        </w:rPr>
        <w:t>remain unchanged for some time.</w:t>
      </w:r>
      <w:r w:rsidR="00C069E3" w:rsidRPr="00441A9C">
        <w:rPr>
          <w:rFonts w:ascii="Garamond" w:hAnsi="Garamond" w:cs="Sylfaen"/>
          <w:sz w:val="22"/>
          <w:szCs w:val="22"/>
        </w:rPr>
        <w:t xml:space="preserve"> The Central Bank estimates that monetary conditions will further be expansionary in the foreseeable future</w:t>
      </w:r>
      <w:r w:rsidR="00410D23" w:rsidRPr="00441A9C">
        <w:rPr>
          <w:rFonts w:ascii="Garamond" w:hAnsi="Garamond" w:cs="Sylfaen"/>
          <w:sz w:val="22"/>
          <w:szCs w:val="22"/>
        </w:rPr>
        <w:t>,</w:t>
      </w:r>
      <w:r w:rsidR="00C069E3" w:rsidRPr="00441A9C">
        <w:rPr>
          <w:rFonts w:ascii="Garamond" w:hAnsi="Garamond" w:cs="Sylfaen"/>
          <w:sz w:val="22"/>
          <w:szCs w:val="22"/>
        </w:rPr>
        <w:t xml:space="preserve"> </w:t>
      </w:r>
      <w:r w:rsidR="00410D23" w:rsidRPr="00441A9C">
        <w:rPr>
          <w:rFonts w:ascii="Garamond" w:hAnsi="Garamond" w:cs="Sylfaen"/>
          <w:sz w:val="22"/>
          <w:szCs w:val="22"/>
        </w:rPr>
        <w:t>under which circumstance the</w:t>
      </w:r>
      <w:r w:rsidR="00C069E3" w:rsidRPr="00441A9C">
        <w:rPr>
          <w:rFonts w:ascii="Garamond" w:hAnsi="Garamond" w:cs="Sylfaen"/>
          <w:sz w:val="22"/>
          <w:szCs w:val="22"/>
        </w:rPr>
        <w:t xml:space="preserve"> GDP </w:t>
      </w:r>
      <w:r w:rsidR="0077067C">
        <w:rPr>
          <w:rFonts w:ascii="Garamond" w:hAnsi="Garamond" w:cs="Sylfaen"/>
          <w:sz w:val="22"/>
          <w:szCs w:val="22"/>
        </w:rPr>
        <w:t>gap</w:t>
      </w:r>
      <w:r w:rsidR="00742CD8">
        <w:rPr>
          <w:rFonts w:ascii="Garamond" w:hAnsi="Garamond" w:cs="Sylfaen"/>
          <w:sz w:val="22"/>
          <w:szCs w:val="22"/>
        </w:rPr>
        <w:t xml:space="preserve"> </w:t>
      </w:r>
      <w:r w:rsidR="00C069E3" w:rsidRPr="00441A9C">
        <w:rPr>
          <w:rFonts w:ascii="Garamond" w:hAnsi="Garamond" w:cs="Sylfaen"/>
          <w:sz w:val="22"/>
          <w:szCs w:val="22"/>
        </w:rPr>
        <w:t xml:space="preserve">will </w:t>
      </w:r>
      <w:r w:rsidR="00410D23" w:rsidRPr="00441A9C">
        <w:rPr>
          <w:rFonts w:ascii="Garamond" w:hAnsi="Garamond" w:cs="Sylfaen"/>
          <w:sz w:val="22"/>
          <w:szCs w:val="22"/>
        </w:rPr>
        <w:t xml:space="preserve">run slightly positive in the </w:t>
      </w:r>
      <w:r w:rsidR="00C069E3" w:rsidRPr="00441A9C">
        <w:rPr>
          <w:rFonts w:ascii="Garamond" w:hAnsi="Garamond" w:cs="Sylfaen"/>
          <w:sz w:val="22"/>
          <w:szCs w:val="22"/>
        </w:rPr>
        <w:t xml:space="preserve">medium </w:t>
      </w:r>
      <w:r w:rsidR="00410D23" w:rsidRPr="00441A9C">
        <w:rPr>
          <w:rFonts w:ascii="Garamond" w:hAnsi="Garamond" w:cs="Sylfaen"/>
          <w:sz w:val="22"/>
          <w:szCs w:val="22"/>
        </w:rPr>
        <w:t>run</w:t>
      </w:r>
      <w:r w:rsidR="00C069E3" w:rsidRPr="00441A9C">
        <w:rPr>
          <w:rFonts w:ascii="Garamond" w:hAnsi="Garamond" w:cs="Sylfaen"/>
          <w:sz w:val="22"/>
          <w:szCs w:val="22"/>
        </w:rPr>
        <w:t xml:space="preserve">, </w:t>
      </w:r>
      <w:r w:rsidR="00410D23" w:rsidRPr="00441A9C">
        <w:rPr>
          <w:rFonts w:ascii="Garamond" w:hAnsi="Garamond" w:cs="Sylfaen"/>
          <w:sz w:val="22"/>
          <w:szCs w:val="22"/>
        </w:rPr>
        <w:t xml:space="preserve">making sure the </w:t>
      </w:r>
      <w:r w:rsidR="00C069E3" w:rsidRPr="00441A9C">
        <w:rPr>
          <w:rFonts w:ascii="Garamond" w:hAnsi="Garamond" w:cs="Sylfaen"/>
          <w:sz w:val="22"/>
          <w:szCs w:val="22"/>
        </w:rPr>
        <w:t xml:space="preserve">inflation </w:t>
      </w:r>
      <w:r w:rsidR="00410D23" w:rsidRPr="00441A9C">
        <w:rPr>
          <w:rFonts w:ascii="Garamond" w:hAnsi="Garamond" w:cs="Sylfaen"/>
          <w:sz w:val="22"/>
          <w:szCs w:val="22"/>
        </w:rPr>
        <w:t>stabilizes around the target</w:t>
      </w:r>
      <w:r w:rsidR="00A7425C" w:rsidRPr="00441A9C">
        <w:rPr>
          <w:rFonts w:ascii="Garamond" w:hAnsi="Garamond" w:cs="Sylfaen"/>
          <w:sz w:val="22"/>
          <w:szCs w:val="22"/>
        </w:rPr>
        <w:t xml:space="preserve"> in the forecast horizon</w:t>
      </w:r>
      <w:r w:rsidR="00410D23" w:rsidRPr="00441A9C">
        <w:rPr>
          <w:rFonts w:ascii="Garamond" w:hAnsi="Garamond" w:cs="Sylfaen"/>
          <w:sz w:val="22"/>
          <w:szCs w:val="22"/>
        </w:rPr>
        <w:t>.</w:t>
      </w:r>
    </w:p>
    <w:p w14:paraId="0045153E" w14:textId="77777777" w:rsidR="009C2AD4" w:rsidRPr="00441A9C" w:rsidRDefault="009C2AD4" w:rsidP="00A4793E">
      <w:pPr>
        <w:spacing w:line="360" w:lineRule="auto"/>
        <w:jc w:val="both"/>
        <w:rPr>
          <w:rFonts w:ascii="Garamond" w:hAnsi="Garamond" w:cs="Sylfaen"/>
          <w:sz w:val="22"/>
          <w:szCs w:val="22"/>
        </w:rPr>
      </w:pPr>
    </w:p>
    <w:p w14:paraId="754C8D63" w14:textId="77777777" w:rsidR="009C2AD4" w:rsidRPr="00441A9C" w:rsidRDefault="009C2AD4" w:rsidP="00A4793E">
      <w:pPr>
        <w:spacing w:line="360" w:lineRule="auto"/>
        <w:jc w:val="both"/>
        <w:rPr>
          <w:rFonts w:ascii="Garamond" w:hAnsi="Garamond" w:cs="Sylfaen"/>
          <w:sz w:val="22"/>
          <w:szCs w:val="22"/>
        </w:rPr>
      </w:pPr>
      <w:r w:rsidRPr="00441A9C">
        <w:rPr>
          <w:rFonts w:ascii="Garamond" w:hAnsi="Garamond"/>
          <w:b/>
          <w:sz w:val="22"/>
          <w:szCs w:val="22"/>
        </w:rPr>
        <w:t xml:space="preserve">In view of </w:t>
      </w:r>
      <w:r w:rsidR="00680EFE" w:rsidRPr="00441A9C">
        <w:rPr>
          <w:rFonts w:ascii="Garamond" w:hAnsi="Garamond"/>
          <w:b/>
          <w:sz w:val="22"/>
          <w:szCs w:val="22"/>
        </w:rPr>
        <w:t xml:space="preserve">registered </w:t>
      </w:r>
      <w:r w:rsidRPr="00441A9C">
        <w:rPr>
          <w:rFonts w:ascii="Garamond" w:hAnsi="Garamond"/>
          <w:b/>
          <w:sz w:val="22"/>
          <w:szCs w:val="22"/>
        </w:rPr>
        <w:t>high economic activity in the first half of the year</w:t>
      </w:r>
      <w:r w:rsidR="00680EFE" w:rsidRPr="00441A9C">
        <w:rPr>
          <w:rFonts w:ascii="Garamond" w:hAnsi="Garamond"/>
          <w:b/>
          <w:sz w:val="22"/>
          <w:szCs w:val="22"/>
        </w:rPr>
        <w:t>,</w:t>
      </w:r>
      <w:r w:rsidRPr="00441A9C">
        <w:rPr>
          <w:rFonts w:ascii="Garamond" w:hAnsi="Garamond"/>
          <w:b/>
          <w:sz w:val="22"/>
          <w:szCs w:val="22"/>
        </w:rPr>
        <w:t xml:space="preserve"> the Central Bank has revised the 2017 economic growth forecast upside. In the forecast horizon the economic growth rates will accelerate, gradually approaching the long-term equilibrium.</w:t>
      </w:r>
    </w:p>
    <w:p w14:paraId="14D91311" w14:textId="77777777" w:rsidR="009C2AD4" w:rsidRPr="00441A9C" w:rsidRDefault="009C2AD4" w:rsidP="00A4793E">
      <w:pPr>
        <w:spacing w:line="360" w:lineRule="auto"/>
        <w:jc w:val="both"/>
        <w:rPr>
          <w:rFonts w:ascii="Garamond" w:hAnsi="Garamond" w:cs="Sylfaen"/>
          <w:sz w:val="22"/>
          <w:szCs w:val="22"/>
        </w:rPr>
      </w:pPr>
    </w:p>
    <w:p w14:paraId="66BD3E07" w14:textId="77777777" w:rsidR="008B17B3" w:rsidRPr="00441A9C" w:rsidRDefault="008B17B3" w:rsidP="00A4793E">
      <w:pPr>
        <w:spacing w:line="360" w:lineRule="auto"/>
        <w:jc w:val="both"/>
        <w:rPr>
          <w:rFonts w:ascii="Garamond" w:hAnsi="Garamond" w:cs="Sylfaen"/>
          <w:sz w:val="22"/>
          <w:szCs w:val="22"/>
        </w:rPr>
      </w:pPr>
      <w:r w:rsidRPr="00441A9C">
        <w:rPr>
          <w:rFonts w:ascii="Garamond" w:hAnsi="Garamond" w:cs="Sylfaen"/>
          <w:sz w:val="22"/>
          <w:szCs w:val="22"/>
        </w:rPr>
        <w:t xml:space="preserve">Economic growth is recovering primarily by supply factors, owing to increased productivity in industry and service sectors, in particular. Rebounding of aggregate demand is underpinned by both continuous recovery of external demand and positive behavior of domestic demand, which, </w:t>
      </w:r>
      <w:r w:rsidR="00051F32" w:rsidRPr="00441A9C">
        <w:rPr>
          <w:rFonts w:ascii="Garamond" w:hAnsi="Garamond" w:cs="Sylfaen"/>
          <w:sz w:val="22"/>
          <w:szCs w:val="22"/>
        </w:rPr>
        <w:t>under a contractionary</w:t>
      </w:r>
      <w:r w:rsidRPr="00441A9C">
        <w:rPr>
          <w:rFonts w:ascii="Garamond" w:hAnsi="Garamond" w:cs="Sylfaen"/>
          <w:sz w:val="22"/>
          <w:szCs w:val="22"/>
        </w:rPr>
        <w:t xml:space="preserve"> fiscal polic</w:t>
      </w:r>
      <w:r w:rsidR="00051F32" w:rsidRPr="00441A9C">
        <w:rPr>
          <w:rFonts w:ascii="Garamond" w:hAnsi="Garamond" w:cs="Sylfaen"/>
          <w:sz w:val="22"/>
          <w:szCs w:val="22"/>
        </w:rPr>
        <w:t>y</w:t>
      </w:r>
      <w:r w:rsidRPr="00441A9C">
        <w:rPr>
          <w:rFonts w:ascii="Garamond" w:hAnsi="Garamond" w:cs="Sylfaen"/>
          <w:sz w:val="22"/>
          <w:szCs w:val="22"/>
        </w:rPr>
        <w:t xml:space="preserve">, is fully driven by </w:t>
      </w:r>
      <w:r w:rsidR="00051F32" w:rsidRPr="00441A9C">
        <w:rPr>
          <w:rFonts w:ascii="Garamond" w:hAnsi="Garamond" w:cs="Sylfaen"/>
          <w:sz w:val="22"/>
          <w:szCs w:val="22"/>
        </w:rPr>
        <w:t>expan</w:t>
      </w:r>
      <w:r w:rsidRPr="00441A9C">
        <w:rPr>
          <w:rFonts w:ascii="Garamond" w:hAnsi="Garamond" w:cs="Sylfaen"/>
          <w:sz w:val="22"/>
          <w:szCs w:val="22"/>
        </w:rPr>
        <w:t>s</w:t>
      </w:r>
      <w:r w:rsidR="00051F32" w:rsidRPr="00441A9C">
        <w:rPr>
          <w:rFonts w:ascii="Garamond" w:hAnsi="Garamond" w:cs="Sylfaen"/>
          <w:sz w:val="22"/>
          <w:szCs w:val="22"/>
        </w:rPr>
        <w:t xml:space="preserve">ionary </w:t>
      </w:r>
      <w:r w:rsidRPr="00441A9C">
        <w:rPr>
          <w:rFonts w:ascii="Garamond" w:hAnsi="Garamond" w:cs="Sylfaen"/>
          <w:sz w:val="22"/>
          <w:szCs w:val="22"/>
        </w:rPr>
        <w:t>monetary policy</w:t>
      </w:r>
      <w:r w:rsidR="00051F32" w:rsidRPr="00441A9C">
        <w:rPr>
          <w:rFonts w:ascii="Garamond" w:hAnsi="Garamond" w:cs="Sylfaen"/>
          <w:sz w:val="22"/>
          <w:szCs w:val="22"/>
        </w:rPr>
        <w:t xml:space="preserve"> implementation. </w:t>
      </w:r>
      <w:r w:rsidR="00AF0187" w:rsidRPr="00441A9C">
        <w:rPr>
          <w:rFonts w:ascii="Garamond" w:hAnsi="Garamond" w:cs="Sylfaen"/>
          <w:sz w:val="22"/>
          <w:szCs w:val="22"/>
        </w:rPr>
        <w:t>In the structure of domestic demand, p</w:t>
      </w:r>
      <w:r w:rsidRPr="00441A9C">
        <w:rPr>
          <w:rFonts w:ascii="Garamond" w:hAnsi="Garamond" w:cs="Sylfaen"/>
          <w:sz w:val="22"/>
          <w:szCs w:val="22"/>
        </w:rPr>
        <w:t>rivate investment also increases</w:t>
      </w:r>
      <w:r w:rsidR="00AF0187" w:rsidRPr="00441A9C">
        <w:rPr>
          <w:rFonts w:ascii="Garamond" w:hAnsi="Garamond" w:cs="Sylfaen"/>
          <w:sz w:val="22"/>
          <w:szCs w:val="22"/>
        </w:rPr>
        <w:t>;</w:t>
      </w:r>
      <w:r w:rsidRPr="00441A9C">
        <w:rPr>
          <w:rFonts w:ascii="Garamond" w:hAnsi="Garamond" w:cs="Sylfaen"/>
          <w:sz w:val="22"/>
          <w:szCs w:val="22"/>
        </w:rPr>
        <w:t xml:space="preserve"> </w:t>
      </w:r>
      <w:r w:rsidR="00AF0187" w:rsidRPr="00441A9C">
        <w:rPr>
          <w:rFonts w:ascii="Garamond" w:hAnsi="Garamond" w:cs="Sylfaen"/>
          <w:sz w:val="22"/>
          <w:szCs w:val="22"/>
        </w:rPr>
        <w:t xml:space="preserve">this may </w:t>
      </w:r>
      <w:r w:rsidRPr="00441A9C">
        <w:rPr>
          <w:rFonts w:ascii="Garamond" w:hAnsi="Garamond" w:cs="Sylfaen"/>
          <w:sz w:val="22"/>
          <w:szCs w:val="22"/>
        </w:rPr>
        <w:t>positive</w:t>
      </w:r>
      <w:r w:rsidR="00AF0187" w:rsidRPr="00441A9C">
        <w:rPr>
          <w:rFonts w:ascii="Garamond" w:hAnsi="Garamond" w:cs="Sylfaen"/>
          <w:sz w:val="22"/>
          <w:szCs w:val="22"/>
        </w:rPr>
        <w:t>ly</w:t>
      </w:r>
      <w:r w:rsidRPr="00441A9C">
        <w:rPr>
          <w:rFonts w:ascii="Garamond" w:hAnsi="Garamond" w:cs="Sylfaen"/>
          <w:sz w:val="22"/>
          <w:szCs w:val="22"/>
        </w:rPr>
        <w:t xml:space="preserve"> </w:t>
      </w:r>
      <w:r w:rsidR="00AF0187" w:rsidRPr="00441A9C">
        <w:rPr>
          <w:rFonts w:ascii="Garamond" w:hAnsi="Garamond" w:cs="Sylfaen"/>
          <w:sz w:val="22"/>
          <w:szCs w:val="22"/>
        </w:rPr>
        <w:t xml:space="preserve">contribute to the </w:t>
      </w:r>
      <w:r w:rsidRPr="00441A9C">
        <w:rPr>
          <w:rFonts w:ascii="Garamond" w:hAnsi="Garamond" w:cs="Sylfaen"/>
          <w:sz w:val="22"/>
          <w:szCs w:val="22"/>
        </w:rPr>
        <w:t>GDP growth</w:t>
      </w:r>
      <w:r w:rsidR="00AF0187" w:rsidRPr="00441A9C">
        <w:rPr>
          <w:rFonts w:ascii="Garamond" w:hAnsi="Garamond" w:cs="Sylfaen"/>
          <w:sz w:val="22"/>
          <w:szCs w:val="22"/>
        </w:rPr>
        <w:t xml:space="preserve"> potential in future</w:t>
      </w:r>
      <w:r w:rsidRPr="00441A9C">
        <w:rPr>
          <w:rFonts w:ascii="Garamond" w:hAnsi="Garamond" w:cs="Sylfaen"/>
          <w:sz w:val="22"/>
          <w:szCs w:val="22"/>
        </w:rPr>
        <w:t>.</w:t>
      </w:r>
    </w:p>
    <w:p w14:paraId="05017DFE" w14:textId="77777777" w:rsidR="00AF0B39" w:rsidRPr="00441A9C" w:rsidRDefault="00AF0B39" w:rsidP="00A4793E">
      <w:pPr>
        <w:spacing w:line="360" w:lineRule="auto"/>
        <w:jc w:val="both"/>
        <w:rPr>
          <w:rFonts w:ascii="Garamond" w:hAnsi="Garamond" w:cs="Sylfaen"/>
          <w:sz w:val="22"/>
          <w:szCs w:val="22"/>
        </w:rPr>
      </w:pPr>
    </w:p>
    <w:p w14:paraId="254B3EE2" w14:textId="2670B067" w:rsidR="00AF0B39" w:rsidRPr="00441A9C" w:rsidRDefault="00AF0B39" w:rsidP="00A4793E">
      <w:pPr>
        <w:spacing w:line="360" w:lineRule="auto"/>
        <w:jc w:val="both"/>
        <w:rPr>
          <w:rFonts w:ascii="Garamond" w:hAnsi="Garamond" w:cs="Sylfaen"/>
          <w:sz w:val="22"/>
          <w:szCs w:val="22"/>
        </w:rPr>
      </w:pPr>
      <w:r w:rsidRPr="00441A9C">
        <w:rPr>
          <w:rFonts w:ascii="Garamond" w:hAnsi="Garamond" w:cs="Sylfaen"/>
          <w:sz w:val="22"/>
          <w:szCs w:val="22"/>
        </w:rPr>
        <w:t xml:space="preserve">Economic growth in the medium-term perspective will strive for its long-term potential, </w:t>
      </w:r>
      <w:r w:rsidR="0015014A" w:rsidRPr="00441A9C">
        <w:rPr>
          <w:rFonts w:ascii="Garamond" w:hAnsi="Garamond" w:cs="Sylfaen"/>
          <w:sz w:val="22"/>
          <w:szCs w:val="22"/>
        </w:rPr>
        <w:t>staying within the</w:t>
      </w:r>
      <w:r w:rsidRPr="00441A9C">
        <w:rPr>
          <w:rFonts w:ascii="Garamond" w:hAnsi="Garamond" w:cs="Sylfaen"/>
          <w:sz w:val="22"/>
          <w:szCs w:val="22"/>
        </w:rPr>
        <w:t xml:space="preserve"> 4</w:t>
      </w:r>
      <w:r w:rsidR="00742CD8">
        <w:rPr>
          <w:rFonts w:ascii="Garamond" w:hAnsi="Garamond" w:cs="Sylfaen"/>
          <w:sz w:val="22"/>
          <w:szCs w:val="22"/>
        </w:rPr>
        <w:t>-</w:t>
      </w:r>
      <w:r w:rsidRPr="00441A9C">
        <w:rPr>
          <w:rFonts w:ascii="Garamond" w:hAnsi="Garamond" w:cs="Sylfaen"/>
          <w:sz w:val="22"/>
          <w:szCs w:val="22"/>
        </w:rPr>
        <w:t>5%</w:t>
      </w:r>
      <w:r w:rsidR="0015014A" w:rsidRPr="00441A9C">
        <w:rPr>
          <w:rFonts w:ascii="Garamond" w:hAnsi="Garamond" w:cs="Sylfaen"/>
          <w:sz w:val="22"/>
          <w:szCs w:val="22"/>
        </w:rPr>
        <w:t xml:space="preserve"> range</w:t>
      </w:r>
      <w:r w:rsidRPr="00441A9C">
        <w:rPr>
          <w:rFonts w:ascii="Garamond" w:hAnsi="Garamond" w:cs="Sylfaen"/>
          <w:sz w:val="22"/>
          <w:szCs w:val="22"/>
        </w:rPr>
        <w:t xml:space="preserve">. </w:t>
      </w:r>
      <w:r w:rsidR="0015014A" w:rsidRPr="00441A9C">
        <w:rPr>
          <w:rFonts w:ascii="Garamond" w:hAnsi="Garamond" w:cs="Sylfaen"/>
          <w:sz w:val="22"/>
          <w:szCs w:val="22"/>
        </w:rPr>
        <w:t xml:space="preserve">In the meanwhile, the tradable sector of the economy will remain </w:t>
      </w:r>
      <w:r w:rsidRPr="00441A9C">
        <w:rPr>
          <w:rFonts w:ascii="Garamond" w:hAnsi="Garamond" w:cs="Sylfaen"/>
          <w:sz w:val="22"/>
          <w:szCs w:val="22"/>
        </w:rPr>
        <w:t xml:space="preserve">the </w:t>
      </w:r>
      <w:r w:rsidR="0015014A" w:rsidRPr="00441A9C">
        <w:rPr>
          <w:rFonts w:ascii="Garamond" w:hAnsi="Garamond" w:cs="Sylfaen"/>
          <w:sz w:val="22"/>
          <w:szCs w:val="22"/>
        </w:rPr>
        <w:t xml:space="preserve">key </w:t>
      </w:r>
      <w:r w:rsidRPr="00441A9C">
        <w:rPr>
          <w:rFonts w:ascii="Garamond" w:hAnsi="Garamond" w:cs="Sylfaen"/>
          <w:sz w:val="22"/>
          <w:szCs w:val="22"/>
        </w:rPr>
        <w:t>driv</w:t>
      </w:r>
      <w:r w:rsidR="0015014A" w:rsidRPr="00441A9C">
        <w:rPr>
          <w:rFonts w:ascii="Garamond" w:hAnsi="Garamond" w:cs="Sylfaen"/>
          <w:sz w:val="22"/>
          <w:szCs w:val="22"/>
        </w:rPr>
        <w:t>er to</w:t>
      </w:r>
      <w:r w:rsidRPr="00441A9C">
        <w:rPr>
          <w:rFonts w:ascii="Garamond" w:hAnsi="Garamond" w:cs="Sylfaen"/>
          <w:sz w:val="22"/>
          <w:szCs w:val="22"/>
        </w:rPr>
        <w:t xml:space="preserve"> economic growth, which will </w:t>
      </w:r>
      <w:r w:rsidR="0015014A" w:rsidRPr="00441A9C">
        <w:rPr>
          <w:rFonts w:ascii="Garamond" w:hAnsi="Garamond" w:cs="Sylfaen"/>
          <w:sz w:val="22"/>
          <w:szCs w:val="22"/>
        </w:rPr>
        <w:t xml:space="preserve">be fueled by persistent </w:t>
      </w:r>
      <w:r w:rsidRPr="00441A9C">
        <w:rPr>
          <w:rFonts w:ascii="Garamond" w:hAnsi="Garamond" w:cs="Sylfaen"/>
          <w:sz w:val="22"/>
          <w:szCs w:val="22"/>
        </w:rPr>
        <w:t>productivity</w:t>
      </w:r>
      <w:r w:rsidR="0015014A" w:rsidRPr="00441A9C">
        <w:rPr>
          <w:rFonts w:ascii="Garamond" w:hAnsi="Garamond" w:cs="Sylfaen"/>
          <w:sz w:val="22"/>
          <w:szCs w:val="22"/>
        </w:rPr>
        <w:t xml:space="preserve"> growth rates </w:t>
      </w:r>
      <w:r w:rsidRPr="00441A9C">
        <w:rPr>
          <w:rFonts w:ascii="Garamond" w:hAnsi="Garamond" w:cs="Sylfaen"/>
          <w:sz w:val="22"/>
          <w:szCs w:val="22"/>
        </w:rPr>
        <w:t xml:space="preserve">and </w:t>
      </w:r>
      <w:r w:rsidR="0015014A" w:rsidRPr="00441A9C">
        <w:rPr>
          <w:rFonts w:ascii="Garamond" w:hAnsi="Garamond" w:cs="Sylfaen"/>
          <w:sz w:val="22"/>
          <w:szCs w:val="22"/>
        </w:rPr>
        <w:t>Armenia’</w:t>
      </w:r>
      <w:r w:rsidRPr="00441A9C">
        <w:rPr>
          <w:rFonts w:ascii="Garamond" w:hAnsi="Garamond" w:cs="Sylfaen"/>
          <w:sz w:val="22"/>
          <w:szCs w:val="22"/>
        </w:rPr>
        <w:t xml:space="preserve">s competitiveness </w:t>
      </w:r>
      <w:r w:rsidR="0015014A" w:rsidRPr="00441A9C">
        <w:rPr>
          <w:rFonts w:ascii="Garamond" w:hAnsi="Garamond"/>
          <w:bCs/>
          <w:iCs/>
          <w:sz w:val="22"/>
          <w:szCs w:val="22"/>
        </w:rPr>
        <w:t>in an</w:t>
      </w:r>
      <w:r w:rsidR="0015014A" w:rsidRPr="00441A9C">
        <w:rPr>
          <w:rFonts w:ascii="Garamond" w:hAnsi="Garamond"/>
          <w:sz w:val="22"/>
          <w:szCs w:val="22"/>
        </w:rPr>
        <w:t xml:space="preserve"> inflation environment much lower </w:t>
      </w:r>
      <w:r w:rsidR="005744DF" w:rsidRPr="00441A9C">
        <w:rPr>
          <w:rFonts w:ascii="Garamond" w:hAnsi="Garamond"/>
          <w:sz w:val="22"/>
          <w:szCs w:val="22"/>
        </w:rPr>
        <w:t xml:space="preserve">than in </w:t>
      </w:r>
      <w:r w:rsidR="0015014A" w:rsidRPr="00441A9C">
        <w:rPr>
          <w:rFonts w:ascii="Garamond" w:hAnsi="Garamond"/>
          <w:sz w:val="22"/>
          <w:szCs w:val="22"/>
        </w:rPr>
        <w:t>trade partner countries</w:t>
      </w:r>
      <w:r w:rsidRPr="00441A9C">
        <w:rPr>
          <w:rFonts w:ascii="Garamond" w:hAnsi="Garamond" w:cs="Sylfaen"/>
          <w:sz w:val="22"/>
          <w:szCs w:val="22"/>
        </w:rPr>
        <w:t>.</w:t>
      </w:r>
    </w:p>
    <w:p w14:paraId="52B83420" w14:textId="77777777" w:rsidR="003C7934" w:rsidRPr="00441A9C" w:rsidRDefault="003C7934" w:rsidP="00A4793E">
      <w:pPr>
        <w:spacing w:line="360" w:lineRule="auto"/>
        <w:jc w:val="both"/>
        <w:rPr>
          <w:rFonts w:ascii="Garamond" w:hAnsi="Garamond" w:cs="Sylfaen"/>
          <w:sz w:val="22"/>
          <w:szCs w:val="22"/>
        </w:rPr>
      </w:pPr>
    </w:p>
    <w:p w14:paraId="7FB48929" w14:textId="3DC747F4" w:rsidR="003C7934" w:rsidRPr="00441A9C" w:rsidRDefault="003C7934" w:rsidP="00A4793E">
      <w:pPr>
        <w:spacing w:line="360" w:lineRule="auto"/>
        <w:jc w:val="both"/>
        <w:rPr>
          <w:rFonts w:ascii="Garamond" w:hAnsi="Garamond" w:cs="Sylfaen"/>
          <w:sz w:val="22"/>
          <w:szCs w:val="22"/>
        </w:rPr>
      </w:pPr>
      <w:r w:rsidRPr="00441A9C">
        <w:rPr>
          <w:rFonts w:ascii="Garamond" w:hAnsi="Garamond" w:cs="Sylfaen"/>
          <w:b/>
          <w:sz w:val="22"/>
          <w:szCs w:val="22"/>
        </w:rPr>
        <w:t>In the forecast horizon</w:t>
      </w:r>
      <w:r w:rsidRPr="00441A9C">
        <w:rPr>
          <w:rFonts w:ascii="Garamond" w:hAnsi="Garamond" w:cs="Sylfaen"/>
          <w:sz w:val="22"/>
          <w:szCs w:val="22"/>
        </w:rPr>
        <w:t xml:space="preserve"> risks to the </w:t>
      </w:r>
      <w:r w:rsidR="0031394F" w:rsidRPr="00441A9C">
        <w:rPr>
          <w:rFonts w:ascii="Garamond" w:hAnsi="Garamond" w:cs="Sylfaen"/>
          <w:sz w:val="22"/>
          <w:szCs w:val="22"/>
        </w:rPr>
        <w:t xml:space="preserve">implementation of </w:t>
      </w:r>
      <w:r w:rsidRPr="00441A9C">
        <w:rPr>
          <w:rFonts w:ascii="Garamond" w:hAnsi="Garamond" w:cs="Sylfaen"/>
          <w:sz w:val="22"/>
          <w:szCs w:val="22"/>
        </w:rPr>
        <w:t xml:space="preserve">monetary policy program are balanced and largely depend on </w:t>
      </w:r>
      <w:r w:rsidR="004D16C7" w:rsidRPr="00441A9C">
        <w:rPr>
          <w:rFonts w:ascii="Garamond" w:hAnsi="Garamond" w:cs="Sylfaen"/>
          <w:sz w:val="22"/>
          <w:szCs w:val="22"/>
        </w:rPr>
        <w:t xml:space="preserve">how fast </w:t>
      </w:r>
      <w:r w:rsidRPr="00441A9C">
        <w:rPr>
          <w:rFonts w:ascii="Garamond" w:hAnsi="Garamond" w:cs="Sylfaen"/>
          <w:sz w:val="22"/>
          <w:szCs w:val="22"/>
        </w:rPr>
        <w:t>the global and domestic demand</w:t>
      </w:r>
      <w:r w:rsidR="004D16C7" w:rsidRPr="00441A9C">
        <w:rPr>
          <w:rFonts w:ascii="Garamond" w:hAnsi="Garamond" w:cs="Sylfaen"/>
          <w:sz w:val="22"/>
          <w:szCs w:val="22"/>
        </w:rPr>
        <w:t xml:space="preserve"> will recover</w:t>
      </w:r>
      <w:r w:rsidRPr="00441A9C">
        <w:rPr>
          <w:rFonts w:ascii="Garamond" w:hAnsi="Garamond" w:cs="Sylfaen"/>
          <w:sz w:val="22"/>
          <w:szCs w:val="22"/>
        </w:rPr>
        <w:t>. In the short-term, inflation risks may also</w:t>
      </w:r>
      <w:r w:rsidR="0031394F" w:rsidRPr="00441A9C">
        <w:rPr>
          <w:rFonts w:ascii="Garamond" w:hAnsi="Garamond" w:cs="Sylfaen"/>
          <w:sz w:val="22"/>
          <w:szCs w:val="22"/>
        </w:rPr>
        <w:t xml:space="preserve"> show up </w:t>
      </w:r>
      <w:r w:rsidRPr="00441A9C">
        <w:rPr>
          <w:rFonts w:ascii="Garamond" w:hAnsi="Garamond" w:cs="Sylfaen"/>
          <w:sz w:val="22"/>
          <w:szCs w:val="22"/>
        </w:rPr>
        <w:t>as a result of volatil</w:t>
      </w:r>
      <w:r w:rsidR="0031394F" w:rsidRPr="00441A9C">
        <w:rPr>
          <w:rFonts w:ascii="Garamond" w:hAnsi="Garamond" w:cs="Sylfaen"/>
          <w:sz w:val="22"/>
          <w:szCs w:val="22"/>
        </w:rPr>
        <w:t xml:space="preserve">e prices of domestic </w:t>
      </w:r>
      <w:r w:rsidRPr="00441A9C">
        <w:rPr>
          <w:rFonts w:ascii="Garamond" w:hAnsi="Garamond" w:cs="Sylfaen"/>
          <w:sz w:val="22"/>
          <w:szCs w:val="22"/>
        </w:rPr>
        <w:t xml:space="preserve">agricultural </w:t>
      </w:r>
      <w:r w:rsidR="0031394F" w:rsidRPr="00441A9C">
        <w:rPr>
          <w:rFonts w:ascii="Garamond" w:hAnsi="Garamond" w:cs="Sylfaen"/>
          <w:sz w:val="22"/>
          <w:szCs w:val="22"/>
        </w:rPr>
        <w:t>products</w:t>
      </w:r>
      <w:r w:rsidRPr="00441A9C">
        <w:rPr>
          <w:rFonts w:ascii="Garamond" w:hAnsi="Garamond" w:cs="Sylfaen"/>
          <w:sz w:val="22"/>
          <w:szCs w:val="22"/>
        </w:rPr>
        <w:t xml:space="preserve"> and raw materials in international markets</w:t>
      </w:r>
      <w:r w:rsidR="0031394F" w:rsidRPr="00441A9C">
        <w:rPr>
          <w:rFonts w:ascii="Garamond" w:hAnsi="Garamond" w:cs="Sylfaen"/>
          <w:sz w:val="22"/>
          <w:szCs w:val="22"/>
        </w:rPr>
        <w:t>, as well as because of</w:t>
      </w:r>
      <w:r w:rsidRPr="00441A9C">
        <w:rPr>
          <w:rFonts w:ascii="Garamond" w:hAnsi="Garamond" w:cs="Sylfaen"/>
          <w:sz w:val="22"/>
          <w:szCs w:val="22"/>
        </w:rPr>
        <w:t xml:space="preserve"> geopolitical developments and </w:t>
      </w:r>
      <w:r w:rsidR="00742CD8">
        <w:rPr>
          <w:rFonts w:ascii="Garamond" w:hAnsi="Garamond" w:cs="Sylfaen"/>
          <w:sz w:val="22"/>
          <w:szCs w:val="22"/>
        </w:rPr>
        <w:t xml:space="preserve">formation </w:t>
      </w:r>
      <w:r w:rsidRPr="00441A9C">
        <w:rPr>
          <w:rFonts w:ascii="Garamond" w:hAnsi="Garamond" w:cs="Sylfaen"/>
          <w:sz w:val="22"/>
          <w:szCs w:val="22"/>
        </w:rPr>
        <w:t xml:space="preserve">economic </w:t>
      </w:r>
      <w:r w:rsidR="00742CD8">
        <w:rPr>
          <w:rFonts w:ascii="Garamond" w:hAnsi="Garamond" w:cs="Sylfaen"/>
          <w:sz w:val="22"/>
          <w:szCs w:val="22"/>
        </w:rPr>
        <w:t>expectations</w:t>
      </w:r>
      <w:r w:rsidR="0031394F" w:rsidRPr="00441A9C">
        <w:rPr>
          <w:rFonts w:ascii="Garamond" w:hAnsi="Garamond" w:cs="Sylfaen"/>
          <w:sz w:val="22"/>
          <w:szCs w:val="22"/>
        </w:rPr>
        <w:t xml:space="preserve"> </w:t>
      </w:r>
      <w:r w:rsidRPr="00441A9C">
        <w:rPr>
          <w:rFonts w:ascii="Garamond" w:hAnsi="Garamond" w:cs="Sylfaen"/>
          <w:sz w:val="22"/>
          <w:szCs w:val="22"/>
        </w:rPr>
        <w:t>the</w:t>
      </w:r>
      <w:r w:rsidR="0031394F" w:rsidRPr="00441A9C">
        <w:rPr>
          <w:rFonts w:ascii="Garamond" w:hAnsi="Garamond" w:cs="Sylfaen"/>
          <w:sz w:val="22"/>
          <w:szCs w:val="22"/>
        </w:rPr>
        <w:t>reon</w:t>
      </w:r>
      <w:r w:rsidRPr="00441A9C">
        <w:rPr>
          <w:rFonts w:ascii="Garamond" w:hAnsi="Garamond" w:cs="Sylfaen"/>
          <w:sz w:val="22"/>
          <w:szCs w:val="22"/>
        </w:rPr>
        <w:t>.</w:t>
      </w:r>
      <w:r w:rsidR="0031394F" w:rsidRPr="00441A9C">
        <w:rPr>
          <w:rFonts w:ascii="Garamond" w:hAnsi="Garamond" w:cs="Sylfaen"/>
          <w:sz w:val="22"/>
          <w:szCs w:val="22"/>
        </w:rPr>
        <w:t xml:space="preserve"> </w:t>
      </w:r>
      <w:r w:rsidR="0031394F" w:rsidRPr="00441A9C">
        <w:rPr>
          <w:rFonts w:ascii="Garamond" w:hAnsi="Garamond"/>
          <w:sz w:val="22"/>
          <w:szCs w:val="22"/>
        </w:rPr>
        <w:t xml:space="preserve">If </w:t>
      </w:r>
      <w:r w:rsidR="007153C6" w:rsidRPr="00441A9C">
        <w:rPr>
          <w:rFonts w:ascii="Garamond" w:hAnsi="Garamond"/>
          <w:sz w:val="22"/>
          <w:szCs w:val="22"/>
        </w:rPr>
        <w:t xml:space="preserve">these </w:t>
      </w:r>
      <w:r w:rsidR="0031394F" w:rsidRPr="00441A9C">
        <w:rPr>
          <w:rFonts w:ascii="Garamond" w:hAnsi="Garamond"/>
          <w:sz w:val="22"/>
          <w:szCs w:val="22"/>
        </w:rPr>
        <w:t>risks materialize, the Central Bank will react accordingly by maintaining the inflation target in the medium run.</w:t>
      </w:r>
    </w:p>
    <w:p w14:paraId="4BFEEC6B" w14:textId="77777777" w:rsidR="003C7934" w:rsidRPr="00441A9C" w:rsidRDefault="003C7934" w:rsidP="00A4793E">
      <w:pPr>
        <w:spacing w:line="360" w:lineRule="auto"/>
        <w:jc w:val="both"/>
        <w:rPr>
          <w:rFonts w:ascii="Garamond" w:hAnsi="Garamond" w:cs="Sylfaen"/>
          <w:sz w:val="22"/>
          <w:szCs w:val="22"/>
        </w:rPr>
      </w:pPr>
    </w:p>
    <w:p w14:paraId="0DC0AEE6" w14:textId="77777777" w:rsidR="004F78DC" w:rsidRPr="00441A9C" w:rsidRDefault="004F78DC" w:rsidP="00B117C8">
      <w:pPr>
        <w:spacing w:line="360" w:lineRule="auto"/>
        <w:jc w:val="both"/>
        <w:rPr>
          <w:rFonts w:ascii="Garamond" w:hAnsi="Garamond" w:cs="GHEA Grapalat"/>
          <w:sz w:val="22"/>
          <w:szCs w:val="22"/>
        </w:rPr>
      </w:pPr>
      <w:r w:rsidRPr="00441A9C">
        <w:rPr>
          <w:rFonts w:ascii="Garamond" w:hAnsi="Garamond"/>
          <w:b/>
          <w:sz w:val="22"/>
          <w:szCs w:val="22"/>
        </w:rPr>
        <w:t>2. Forecast, Forecast Changes and Risks</w:t>
      </w:r>
    </w:p>
    <w:p w14:paraId="340261DB" w14:textId="77777777" w:rsidR="004F78DC" w:rsidRPr="00441A9C" w:rsidRDefault="004F78DC" w:rsidP="00B117C8">
      <w:pPr>
        <w:spacing w:line="360" w:lineRule="auto"/>
        <w:jc w:val="both"/>
        <w:rPr>
          <w:rStyle w:val="FootnoteReference"/>
          <w:rFonts w:ascii="Garamond" w:hAnsi="Garamond"/>
          <w:b/>
          <w:sz w:val="22"/>
          <w:szCs w:val="22"/>
        </w:rPr>
      </w:pPr>
      <w:r w:rsidRPr="00441A9C">
        <w:rPr>
          <w:rFonts w:ascii="Garamond" w:hAnsi="Garamond"/>
          <w:b/>
          <w:sz w:val="22"/>
          <w:szCs w:val="22"/>
        </w:rPr>
        <w:t>2.1. External environment</w:t>
      </w:r>
      <w:r w:rsidR="004C715C" w:rsidRPr="00441A9C">
        <w:rPr>
          <w:rStyle w:val="FootnoteReference"/>
          <w:rFonts w:ascii="Garamond" w:hAnsi="Garamond"/>
          <w:b/>
          <w:sz w:val="22"/>
          <w:szCs w:val="22"/>
        </w:rPr>
        <w:footnoteReference w:customMarkFollows="1" w:id="1"/>
        <w:t>1</w:t>
      </w:r>
    </w:p>
    <w:p w14:paraId="5A70E027" w14:textId="77777777" w:rsidR="00B15F2B" w:rsidRPr="00441A9C" w:rsidRDefault="00B15F2B" w:rsidP="00B117C8">
      <w:pPr>
        <w:spacing w:line="360" w:lineRule="auto"/>
        <w:jc w:val="both"/>
        <w:rPr>
          <w:rFonts w:ascii="Garamond" w:hAnsi="Garamond"/>
          <w:b/>
          <w:sz w:val="22"/>
          <w:szCs w:val="22"/>
        </w:rPr>
      </w:pPr>
    </w:p>
    <w:p w14:paraId="375430F4" w14:textId="77777777" w:rsidR="00B15F2B" w:rsidRPr="00441A9C" w:rsidRDefault="00562EDA" w:rsidP="00B117C8">
      <w:pPr>
        <w:spacing w:line="360" w:lineRule="auto"/>
        <w:jc w:val="both"/>
        <w:rPr>
          <w:rFonts w:ascii="Garamond" w:hAnsi="Garamond" w:cs="Sylfaen"/>
          <w:b/>
          <w:sz w:val="22"/>
          <w:szCs w:val="22"/>
        </w:rPr>
      </w:pPr>
      <w:r w:rsidRPr="00441A9C">
        <w:rPr>
          <w:rFonts w:ascii="Garamond" w:hAnsi="Garamond" w:cs="Sylfaen"/>
          <w:b/>
          <w:sz w:val="22"/>
          <w:szCs w:val="22"/>
        </w:rPr>
        <w:lastRenderedPageBreak/>
        <w:t>World economy will continue growing in 2017 in line with previous forecasts. Slower</w:t>
      </w:r>
      <w:r w:rsidR="00512667" w:rsidRPr="00441A9C">
        <w:rPr>
          <w:rFonts w:ascii="Garamond" w:hAnsi="Garamond" w:cs="Sylfaen"/>
          <w:b/>
          <w:sz w:val="22"/>
          <w:szCs w:val="22"/>
        </w:rPr>
        <w:t xml:space="preserve"> </w:t>
      </w:r>
      <w:r w:rsidR="00CD18CA" w:rsidRPr="00441A9C">
        <w:rPr>
          <w:rFonts w:ascii="Garamond" w:hAnsi="Garamond" w:cs="Sylfaen"/>
          <w:b/>
          <w:sz w:val="22"/>
          <w:szCs w:val="22"/>
        </w:rPr>
        <w:t xml:space="preserve">economic growth </w:t>
      </w:r>
      <w:r w:rsidR="00512667" w:rsidRPr="00441A9C">
        <w:rPr>
          <w:rFonts w:ascii="Garamond" w:hAnsi="Garamond" w:cs="Sylfaen"/>
          <w:b/>
          <w:sz w:val="22"/>
          <w:szCs w:val="22"/>
        </w:rPr>
        <w:t xml:space="preserve">rates are expected </w:t>
      </w:r>
      <w:r w:rsidR="00CD18CA" w:rsidRPr="00441A9C">
        <w:rPr>
          <w:rFonts w:ascii="Garamond" w:hAnsi="Garamond" w:cs="Sylfaen"/>
          <w:b/>
          <w:sz w:val="22"/>
          <w:szCs w:val="22"/>
        </w:rPr>
        <w:t>in the USA</w:t>
      </w:r>
      <w:r w:rsidR="00512667" w:rsidRPr="00441A9C">
        <w:rPr>
          <w:rFonts w:ascii="Garamond" w:hAnsi="Garamond" w:cs="Sylfaen"/>
          <w:b/>
          <w:sz w:val="22"/>
          <w:szCs w:val="22"/>
        </w:rPr>
        <w:t xml:space="preserve"> and Russia – principal trade partners to Armenia</w:t>
      </w:r>
      <w:r w:rsidR="00CD18CA" w:rsidRPr="00441A9C">
        <w:rPr>
          <w:rFonts w:ascii="Garamond" w:hAnsi="Garamond" w:cs="Sylfaen"/>
          <w:b/>
          <w:sz w:val="22"/>
          <w:szCs w:val="22"/>
        </w:rPr>
        <w:t xml:space="preserve">, </w:t>
      </w:r>
      <w:r w:rsidR="00DC405B" w:rsidRPr="00441A9C">
        <w:rPr>
          <w:rFonts w:ascii="Garamond" w:hAnsi="Garamond" w:cs="Sylfaen"/>
          <w:b/>
          <w:sz w:val="22"/>
          <w:szCs w:val="22"/>
        </w:rPr>
        <w:t xml:space="preserve">and </w:t>
      </w:r>
      <w:r w:rsidR="00E70851" w:rsidRPr="00441A9C">
        <w:rPr>
          <w:rFonts w:ascii="Garamond" w:hAnsi="Garamond" w:cs="Sylfaen"/>
          <w:b/>
          <w:sz w:val="22"/>
          <w:szCs w:val="22"/>
        </w:rPr>
        <w:t>some</w:t>
      </w:r>
      <w:r w:rsidRPr="00441A9C">
        <w:rPr>
          <w:rFonts w:ascii="Garamond" w:hAnsi="Garamond" w:cs="Sylfaen"/>
          <w:b/>
          <w:sz w:val="22"/>
          <w:szCs w:val="22"/>
        </w:rPr>
        <w:t xml:space="preserve"> acceleration of</w:t>
      </w:r>
      <w:r w:rsidR="00E70851" w:rsidRPr="00441A9C">
        <w:rPr>
          <w:rFonts w:ascii="Garamond" w:hAnsi="Garamond" w:cs="Sylfaen"/>
          <w:b/>
          <w:sz w:val="22"/>
          <w:szCs w:val="22"/>
        </w:rPr>
        <w:t xml:space="preserve"> growth in </w:t>
      </w:r>
      <w:r w:rsidR="00CD18CA" w:rsidRPr="00441A9C">
        <w:rPr>
          <w:rFonts w:ascii="Garamond" w:hAnsi="Garamond" w:cs="Sylfaen"/>
          <w:b/>
          <w:sz w:val="22"/>
          <w:szCs w:val="22"/>
        </w:rPr>
        <w:t xml:space="preserve">the </w:t>
      </w:r>
      <w:r w:rsidR="00E70851" w:rsidRPr="00441A9C">
        <w:rPr>
          <w:rFonts w:ascii="Garamond" w:hAnsi="Garamond" w:cs="Sylfaen"/>
          <w:b/>
          <w:sz w:val="22"/>
          <w:szCs w:val="22"/>
        </w:rPr>
        <w:t>E</w:t>
      </w:r>
      <w:r w:rsidR="00CD18CA" w:rsidRPr="00441A9C">
        <w:rPr>
          <w:rFonts w:ascii="Garamond" w:hAnsi="Garamond" w:cs="Sylfaen"/>
          <w:b/>
          <w:sz w:val="22"/>
          <w:szCs w:val="22"/>
        </w:rPr>
        <w:t>uro</w:t>
      </w:r>
      <w:r w:rsidR="00E70851" w:rsidRPr="00441A9C">
        <w:rPr>
          <w:rFonts w:ascii="Garamond" w:hAnsi="Garamond" w:cs="Sylfaen"/>
          <w:b/>
          <w:sz w:val="22"/>
          <w:szCs w:val="22"/>
        </w:rPr>
        <w:t>zone</w:t>
      </w:r>
      <w:r w:rsidR="00B15F2B" w:rsidRPr="00441A9C">
        <w:rPr>
          <w:rFonts w:ascii="Garamond" w:hAnsi="Garamond" w:cs="Sylfaen"/>
          <w:b/>
          <w:sz w:val="22"/>
          <w:szCs w:val="22"/>
        </w:rPr>
        <w:t xml:space="preserve">. </w:t>
      </w:r>
    </w:p>
    <w:p w14:paraId="33E6D2FD" w14:textId="77777777" w:rsidR="00B15F2B" w:rsidRPr="00441A9C" w:rsidRDefault="00B15F2B" w:rsidP="00B117C8">
      <w:pPr>
        <w:spacing w:line="360" w:lineRule="auto"/>
        <w:jc w:val="both"/>
        <w:rPr>
          <w:rFonts w:ascii="Garamond" w:hAnsi="Garamond" w:cs="Sylfaen"/>
          <w:b/>
          <w:i/>
          <w:sz w:val="22"/>
          <w:szCs w:val="22"/>
        </w:rPr>
      </w:pPr>
    </w:p>
    <w:p w14:paraId="3938FF4A" w14:textId="77777777" w:rsidR="00B15F2B" w:rsidRPr="00441A9C" w:rsidRDefault="001B6F9C" w:rsidP="00B117C8">
      <w:pPr>
        <w:spacing w:line="360" w:lineRule="auto"/>
        <w:jc w:val="both"/>
        <w:rPr>
          <w:rFonts w:ascii="Garamond" w:hAnsi="Garamond"/>
          <w:b/>
          <w:sz w:val="22"/>
          <w:szCs w:val="22"/>
        </w:rPr>
      </w:pPr>
      <w:r w:rsidRPr="00441A9C">
        <w:rPr>
          <w:rFonts w:ascii="Garamond" w:hAnsi="Garamond"/>
          <w:b/>
          <w:sz w:val="22"/>
          <w:szCs w:val="22"/>
        </w:rPr>
        <w:t>Some stability in international commodity and food product markets is anticipated in the second half of 2017 after the price-fall in the beginning of the year</w:t>
      </w:r>
      <w:r w:rsidR="002A66A7" w:rsidRPr="00441A9C">
        <w:rPr>
          <w:rFonts w:ascii="Garamond" w:hAnsi="Garamond"/>
          <w:b/>
          <w:sz w:val="22"/>
          <w:szCs w:val="22"/>
        </w:rPr>
        <w:t>;</w:t>
      </w:r>
      <w:r w:rsidRPr="00441A9C">
        <w:rPr>
          <w:rFonts w:ascii="Garamond" w:hAnsi="Garamond"/>
          <w:b/>
          <w:sz w:val="22"/>
          <w:szCs w:val="22"/>
        </w:rPr>
        <w:t xml:space="preserve"> </w:t>
      </w:r>
      <w:r w:rsidR="002A66A7" w:rsidRPr="00441A9C">
        <w:rPr>
          <w:rFonts w:ascii="Garamond" w:hAnsi="Garamond"/>
          <w:b/>
          <w:sz w:val="22"/>
          <w:szCs w:val="22"/>
        </w:rPr>
        <w:t>m</w:t>
      </w:r>
      <w:r w:rsidR="00DC405B" w:rsidRPr="00441A9C">
        <w:rPr>
          <w:rFonts w:ascii="Garamond" w:hAnsi="Garamond"/>
          <w:b/>
          <w:sz w:val="22"/>
          <w:szCs w:val="22"/>
        </w:rPr>
        <w:t>inor i</w:t>
      </w:r>
      <w:r w:rsidR="00315AA3" w:rsidRPr="00441A9C">
        <w:rPr>
          <w:rFonts w:ascii="Garamond" w:hAnsi="Garamond"/>
          <w:b/>
          <w:sz w:val="22"/>
          <w:szCs w:val="22"/>
        </w:rPr>
        <w:t>n</w:t>
      </w:r>
      <w:r w:rsidR="00A83FE2" w:rsidRPr="00441A9C">
        <w:rPr>
          <w:rFonts w:ascii="Garamond" w:hAnsi="Garamond"/>
          <w:b/>
          <w:sz w:val="22"/>
          <w:szCs w:val="22"/>
        </w:rPr>
        <w:t xml:space="preserve">flationary </w:t>
      </w:r>
      <w:r w:rsidR="00315AA3" w:rsidRPr="00441A9C">
        <w:rPr>
          <w:rFonts w:ascii="Garamond" w:hAnsi="Garamond"/>
          <w:b/>
          <w:sz w:val="22"/>
          <w:szCs w:val="22"/>
        </w:rPr>
        <w:t>patterns</w:t>
      </w:r>
      <w:r w:rsidR="00A83FE2" w:rsidRPr="00441A9C">
        <w:rPr>
          <w:rFonts w:ascii="Garamond" w:hAnsi="Garamond"/>
          <w:b/>
          <w:sz w:val="22"/>
          <w:szCs w:val="22"/>
        </w:rPr>
        <w:t xml:space="preserve"> </w:t>
      </w:r>
      <w:r w:rsidR="00A40624" w:rsidRPr="00441A9C">
        <w:rPr>
          <w:rFonts w:ascii="Garamond" w:hAnsi="Garamond"/>
          <w:b/>
          <w:sz w:val="22"/>
          <w:szCs w:val="22"/>
        </w:rPr>
        <w:t xml:space="preserve">will </w:t>
      </w:r>
      <w:r w:rsidR="00E70851" w:rsidRPr="00441A9C">
        <w:rPr>
          <w:rFonts w:ascii="Garamond" w:hAnsi="Garamond"/>
          <w:b/>
          <w:sz w:val="22"/>
          <w:szCs w:val="22"/>
        </w:rPr>
        <w:t xml:space="preserve">be observable </w:t>
      </w:r>
      <w:r w:rsidR="002A66A7" w:rsidRPr="00441A9C">
        <w:rPr>
          <w:rFonts w:ascii="Garamond" w:hAnsi="Garamond"/>
          <w:b/>
          <w:sz w:val="22"/>
          <w:szCs w:val="22"/>
        </w:rPr>
        <w:t>in these markets</w:t>
      </w:r>
      <w:r w:rsidR="00A40624" w:rsidRPr="00441A9C">
        <w:rPr>
          <w:rFonts w:ascii="Garamond" w:hAnsi="Garamond"/>
          <w:b/>
          <w:sz w:val="22"/>
          <w:szCs w:val="22"/>
        </w:rPr>
        <w:t xml:space="preserve">, except for </w:t>
      </w:r>
      <w:r w:rsidR="00DC405B" w:rsidRPr="00441A9C">
        <w:rPr>
          <w:rFonts w:ascii="Garamond" w:hAnsi="Garamond"/>
          <w:b/>
          <w:sz w:val="22"/>
          <w:szCs w:val="22"/>
        </w:rPr>
        <w:t>the sugar market</w:t>
      </w:r>
      <w:r w:rsidR="00A83FE2" w:rsidRPr="00441A9C">
        <w:rPr>
          <w:rFonts w:ascii="Garamond" w:hAnsi="Garamond"/>
          <w:b/>
          <w:sz w:val="22"/>
          <w:szCs w:val="22"/>
        </w:rPr>
        <w:t xml:space="preserve">. </w:t>
      </w:r>
    </w:p>
    <w:p w14:paraId="5AA68961" w14:textId="77777777" w:rsidR="00F028F0" w:rsidRPr="00441A9C" w:rsidRDefault="00F028F0" w:rsidP="00B117C8">
      <w:pPr>
        <w:spacing w:line="360" w:lineRule="auto"/>
        <w:jc w:val="both"/>
        <w:rPr>
          <w:rFonts w:ascii="Garamond" w:hAnsi="Garamond"/>
          <w:b/>
          <w:i/>
          <w:sz w:val="22"/>
          <w:szCs w:val="22"/>
        </w:rPr>
      </w:pPr>
    </w:p>
    <w:p w14:paraId="41F143BA" w14:textId="77777777" w:rsidR="00C322EA" w:rsidRPr="00441A9C" w:rsidRDefault="00F028F0" w:rsidP="00B117C8">
      <w:pPr>
        <w:spacing w:line="360" w:lineRule="auto"/>
        <w:jc w:val="both"/>
        <w:rPr>
          <w:rFonts w:ascii="Garamond" w:hAnsi="Garamond" w:cs="Sylfaen"/>
          <w:color w:val="000000"/>
          <w:sz w:val="22"/>
          <w:szCs w:val="22"/>
        </w:rPr>
      </w:pPr>
      <w:r w:rsidRPr="00441A9C">
        <w:rPr>
          <w:rFonts w:ascii="Garamond" w:hAnsi="Garamond" w:cs="Sylfaen"/>
          <w:sz w:val="22"/>
          <w:szCs w:val="22"/>
        </w:rPr>
        <w:t xml:space="preserve">Economic growth in the </w:t>
      </w:r>
      <w:r w:rsidR="002A66A7" w:rsidRPr="00441A9C">
        <w:rPr>
          <w:rFonts w:ascii="Garamond" w:hAnsi="Garamond" w:cs="Sylfaen"/>
          <w:b/>
          <w:sz w:val="22"/>
          <w:szCs w:val="22"/>
        </w:rPr>
        <w:t>US</w:t>
      </w:r>
      <w:r w:rsidRPr="00441A9C">
        <w:rPr>
          <w:rFonts w:ascii="Garamond" w:hAnsi="Garamond" w:cs="Sylfaen"/>
          <w:b/>
          <w:sz w:val="22"/>
          <w:szCs w:val="22"/>
        </w:rPr>
        <w:t>A</w:t>
      </w:r>
      <w:r w:rsidRPr="00441A9C">
        <w:rPr>
          <w:rFonts w:ascii="Garamond" w:hAnsi="Garamond" w:cs="Sylfaen"/>
          <w:sz w:val="22"/>
          <w:szCs w:val="22"/>
        </w:rPr>
        <w:t xml:space="preserve"> </w:t>
      </w:r>
      <w:r w:rsidR="004D7E21" w:rsidRPr="00441A9C">
        <w:rPr>
          <w:rFonts w:ascii="Garamond" w:hAnsi="Garamond" w:cs="Sylfaen"/>
          <w:sz w:val="22"/>
          <w:szCs w:val="22"/>
        </w:rPr>
        <w:t xml:space="preserve">is </w:t>
      </w:r>
      <w:r w:rsidRPr="00441A9C">
        <w:rPr>
          <w:rFonts w:ascii="Garamond" w:hAnsi="Garamond" w:cs="Sylfaen"/>
          <w:sz w:val="22"/>
          <w:szCs w:val="22"/>
        </w:rPr>
        <w:t xml:space="preserve">forecast </w:t>
      </w:r>
      <w:r w:rsidR="00D0709E" w:rsidRPr="00441A9C">
        <w:rPr>
          <w:rFonts w:ascii="Garamond" w:hAnsi="Garamond" w:cs="Sylfaen"/>
          <w:sz w:val="22"/>
          <w:szCs w:val="22"/>
        </w:rPr>
        <w:t xml:space="preserve">to be </w:t>
      </w:r>
      <w:r w:rsidR="004D7E21" w:rsidRPr="00441A9C">
        <w:rPr>
          <w:rFonts w:ascii="Garamond" w:hAnsi="Garamond" w:cs="Sylfaen"/>
          <w:sz w:val="22"/>
          <w:szCs w:val="22"/>
        </w:rPr>
        <w:t>2</w:t>
      </w:r>
      <w:r w:rsidRPr="00441A9C">
        <w:rPr>
          <w:rFonts w:ascii="Garamond" w:hAnsi="Garamond" w:cs="Sylfaen"/>
          <w:sz w:val="22"/>
          <w:szCs w:val="22"/>
        </w:rPr>
        <w:t>.</w:t>
      </w:r>
      <w:r w:rsidR="002A66A7" w:rsidRPr="00441A9C">
        <w:rPr>
          <w:rFonts w:ascii="Garamond" w:hAnsi="Garamond" w:cs="Sylfaen"/>
          <w:sz w:val="22"/>
          <w:szCs w:val="22"/>
        </w:rPr>
        <w:t>0</w:t>
      </w:r>
      <w:r w:rsidRPr="00441A9C">
        <w:rPr>
          <w:rFonts w:ascii="Garamond" w:hAnsi="Garamond" w:cs="Sylfaen"/>
          <w:sz w:val="22"/>
          <w:szCs w:val="22"/>
        </w:rPr>
        <w:t>%</w:t>
      </w:r>
      <w:r w:rsidR="004D7E21" w:rsidRPr="00441A9C">
        <w:rPr>
          <w:rFonts w:ascii="Garamond" w:hAnsi="Garamond" w:cs="Sylfaen"/>
          <w:sz w:val="22"/>
          <w:szCs w:val="22"/>
        </w:rPr>
        <w:t xml:space="preserve"> in 2017 </w:t>
      </w:r>
      <w:r w:rsidR="00DC405B" w:rsidRPr="00441A9C">
        <w:rPr>
          <w:rFonts w:ascii="Garamond" w:hAnsi="Garamond" w:cs="Sylfaen"/>
          <w:sz w:val="22"/>
          <w:szCs w:val="22"/>
        </w:rPr>
        <w:t>against a</w:t>
      </w:r>
      <w:r w:rsidR="004D7E21" w:rsidRPr="00441A9C">
        <w:rPr>
          <w:rFonts w:ascii="Garamond" w:hAnsi="Garamond" w:cs="Sylfaen"/>
          <w:sz w:val="22"/>
          <w:szCs w:val="22"/>
        </w:rPr>
        <w:t xml:space="preserve"> </w:t>
      </w:r>
      <w:r w:rsidR="00DC405B" w:rsidRPr="00441A9C">
        <w:rPr>
          <w:rFonts w:ascii="Garamond" w:hAnsi="Garamond" w:cs="Sylfaen"/>
          <w:sz w:val="22"/>
          <w:szCs w:val="22"/>
        </w:rPr>
        <w:t>former prediction of 2</w:t>
      </w:r>
      <w:r w:rsidR="004D7E21" w:rsidRPr="00441A9C">
        <w:rPr>
          <w:rFonts w:ascii="Garamond" w:hAnsi="Garamond" w:cs="Sylfaen"/>
          <w:sz w:val="22"/>
          <w:szCs w:val="22"/>
        </w:rPr>
        <w:t>.</w:t>
      </w:r>
      <w:r w:rsidR="002A66A7" w:rsidRPr="00441A9C">
        <w:rPr>
          <w:rFonts w:ascii="Garamond" w:hAnsi="Garamond" w:cs="Sylfaen"/>
          <w:sz w:val="22"/>
          <w:szCs w:val="22"/>
        </w:rPr>
        <w:t>4</w:t>
      </w:r>
      <w:r w:rsidR="004D7E21" w:rsidRPr="00441A9C">
        <w:rPr>
          <w:rFonts w:ascii="Garamond" w:hAnsi="Garamond" w:cs="Sylfaen"/>
          <w:sz w:val="22"/>
          <w:szCs w:val="22"/>
        </w:rPr>
        <w:t>% growth</w:t>
      </w:r>
      <w:r w:rsidR="00DC405B" w:rsidRPr="00441A9C">
        <w:rPr>
          <w:rFonts w:ascii="Garamond" w:hAnsi="Garamond" w:cs="Sylfaen"/>
          <w:sz w:val="22"/>
          <w:szCs w:val="22"/>
        </w:rPr>
        <w:t xml:space="preserve">, </w:t>
      </w:r>
      <w:r w:rsidR="002A66A7" w:rsidRPr="00441A9C">
        <w:rPr>
          <w:rFonts w:ascii="Garamond" w:hAnsi="Garamond" w:cs="Sylfaen"/>
          <w:sz w:val="22"/>
          <w:szCs w:val="22"/>
        </w:rPr>
        <w:t xml:space="preserve">yet </w:t>
      </w:r>
      <w:r w:rsidR="004D7E21" w:rsidRPr="00441A9C">
        <w:rPr>
          <w:rFonts w:ascii="Garamond" w:hAnsi="Garamond" w:cs="Sylfaen"/>
          <w:color w:val="000000"/>
          <w:sz w:val="22"/>
          <w:szCs w:val="22"/>
        </w:rPr>
        <w:t xml:space="preserve">the medium-term </w:t>
      </w:r>
      <w:r w:rsidR="002A66A7" w:rsidRPr="00441A9C">
        <w:rPr>
          <w:rFonts w:ascii="Garamond" w:hAnsi="Garamond" w:cs="Sylfaen"/>
          <w:color w:val="000000"/>
          <w:sz w:val="22"/>
          <w:szCs w:val="22"/>
        </w:rPr>
        <w:t xml:space="preserve">projections remained </w:t>
      </w:r>
      <w:r w:rsidR="00DC405B" w:rsidRPr="00441A9C">
        <w:rPr>
          <w:rFonts w:ascii="Garamond" w:hAnsi="Garamond" w:cs="Sylfaen"/>
          <w:color w:val="000000"/>
          <w:sz w:val="22"/>
          <w:szCs w:val="22"/>
        </w:rPr>
        <w:t xml:space="preserve">consistent with </w:t>
      </w:r>
      <w:r w:rsidR="002A66A7" w:rsidRPr="00441A9C">
        <w:rPr>
          <w:rFonts w:ascii="Garamond" w:hAnsi="Garamond" w:cs="Sylfaen"/>
          <w:color w:val="000000"/>
          <w:sz w:val="22"/>
          <w:szCs w:val="22"/>
        </w:rPr>
        <w:t xml:space="preserve">the </w:t>
      </w:r>
      <w:r w:rsidR="00DC405B" w:rsidRPr="00441A9C">
        <w:rPr>
          <w:rFonts w:ascii="Garamond" w:hAnsi="Garamond" w:cs="Sylfaen"/>
          <w:color w:val="000000"/>
          <w:sz w:val="22"/>
          <w:szCs w:val="22"/>
        </w:rPr>
        <w:t xml:space="preserve">previous </w:t>
      </w:r>
      <w:r w:rsidR="002A66A7" w:rsidRPr="00441A9C">
        <w:rPr>
          <w:rFonts w:ascii="Garamond" w:hAnsi="Garamond" w:cs="Sylfaen"/>
          <w:color w:val="000000"/>
          <w:sz w:val="22"/>
          <w:szCs w:val="22"/>
        </w:rPr>
        <w:t>ones</w:t>
      </w:r>
      <w:r w:rsidR="00CB434E" w:rsidRPr="00441A9C">
        <w:rPr>
          <w:rStyle w:val="FootnoteReference"/>
          <w:rFonts w:ascii="Garamond" w:hAnsi="Garamond" w:cs="Sylfaen"/>
          <w:color w:val="000000"/>
          <w:sz w:val="22"/>
          <w:szCs w:val="22"/>
        </w:rPr>
        <w:footnoteReference w:customMarkFollows="1" w:id="2"/>
        <w:t>2</w:t>
      </w:r>
      <w:r w:rsidR="0018680E" w:rsidRPr="00441A9C">
        <w:rPr>
          <w:rFonts w:ascii="Garamond" w:hAnsi="Garamond" w:cs="Sylfaen"/>
          <w:color w:val="000000"/>
          <w:sz w:val="22"/>
          <w:szCs w:val="22"/>
        </w:rPr>
        <w:t>.</w:t>
      </w:r>
      <w:r w:rsidR="00762F73" w:rsidRPr="00441A9C">
        <w:rPr>
          <w:rFonts w:ascii="Garamond" w:hAnsi="Garamond" w:cs="Sylfaen"/>
          <w:color w:val="000000"/>
          <w:sz w:val="22"/>
          <w:szCs w:val="22"/>
        </w:rPr>
        <w:t xml:space="preserve"> The revision of economic growth </w:t>
      </w:r>
      <w:r w:rsidR="00B806FC" w:rsidRPr="00441A9C">
        <w:rPr>
          <w:rFonts w:ascii="Garamond" w:hAnsi="Garamond" w:cs="Sylfaen"/>
          <w:color w:val="000000"/>
          <w:sz w:val="22"/>
          <w:szCs w:val="22"/>
        </w:rPr>
        <w:t>owed primarily to</w:t>
      </w:r>
      <w:r w:rsidR="005E58D7" w:rsidRPr="00441A9C">
        <w:rPr>
          <w:rFonts w:ascii="Garamond" w:hAnsi="Garamond" w:cs="Sylfaen"/>
          <w:color w:val="000000"/>
          <w:sz w:val="22"/>
          <w:szCs w:val="22"/>
        </w:rPr>
        <w:t xml:space="preserve"> a lower growth indicator registered in </w:t>
      </w:r>
      <w:r w:rsidR="00762F73" w:rsidRPr="00441A9C">
        <w:rPr>
          <w:rFonts w:ascii="Garamond" w:hAnsi="Garamond" w:cs="Sylfaen"/>
          <w:color w:val="000000"/>
          <w:sz w:val="22"/>
          <w:szCs w:val="22"/>
        </w:rPr>
        <w:t xml:space="preserve">the first half of </w:t>
      </w:r>
      <w:r w:rsidR="005E58D7" w:rsidRPr="00441A9C">
        <w:rPr>
          <w:rFonts w:ascii="Garamond" w:hAnsi="Garamond" w:cs="Sylfaen"/>
          <w:color w:val="000000"/>
          <w:sz w:val="22"/>
          <w:szCs w:val="22"/>
        </w:rPr>
        <w:t xml:space="preserve">2017 and an expectation that the </w:t>
      </w:r>
      <w:r w:rsidR="00762F73" w:rsidRPr="00441A9C">
        <w:rPr>
          <w:rFonts w:ascii="Garamond" w:hAnsi="Garamond" w:cs="Sylfaen"/>
          <w:color w:val="000000"/>
          <w:sz w:val="22"/>
          <w:szCs w:val="22"/>
        </w:rPr>
        <w:t>US</w:t>
      </w:r>
      <w:r w:rsidR="005E58D7" w:rsidRPr="00441A9C">
        <w:rPr>
          <w:rFonts w:ascii="Garamond" w:hAnsi="Garamond" w:cs="Sylfaen"/>
          <w:color w:val="000000"/>
          <w:sz w:val="22"/>
          <w:szCs w:val="22"/>
        </w:rPr>
        <w:t xml:space="preserve"> f</w:t>
      </w:r>
      <w:r w:rsidR="00762F73" w:rsidRPr="00441A9C">
        <w:rPr>
          <w:rFonts w:ascii="Garamond" w:hAnsi="Garamond" w:cs="Sylfaen"/>
          <w:color w:val="000000"/>
          <w:sz w:val="22"/>
          <w:szCs w:val="22"/>
        </w:rPr>
        <w:t xml:space="preserve">iscal </w:t>
      </w:r>
      <w:r w:rsidR="005E58D7" w:rsidRPr="00441A9C">
        <w:rPr>
          <w:rFonts w:ascii="Garamond" w:hAnsi="Garamond" w:cs="Sylfaen"/>
          <w:color w:val="000000"/>
          <w:sz w:val="22"/>
          <w:szCs w:val="22"/>
        </w:rPr>
        <w:t>p</w:t>
      </w:r>
      <w:r w:rsidR="00762F73" w:rsidRPr="00441A9C">
        <w:rPr>
          <w:rFonts w:ascii="Garamond" w:hAnsi="Garamond" w:cs="Sylfaen"/>
          <w:color w:val="000000"/>
          <w:sz w:val="22"/>
          <w:szCs w:val="22"/>
        </w:rPr>
        <w:t xml:space="preserve">olicy will </w:t>
      </w:r>
      <w:r w:rsidR="005E58D7" w:rsidRPr="00441A9C">
        <w:rPr>
          <w:rFonts w:ascii="Garamond" w:hAnsi="Garamond" w:cs="Sylfaen"/>
          <w:color w:val="000000"/>
          <w:sz w:val="22"/>
          <w:szCs w:val="22"/>
        </w:rPr>
        <w:t xml:space="preserve">come in </w:t>
      </w:r>
      <w:r w:rsidR="00762F73" w:rsidRPr="00441A9C">
        <w:rPr>
          <w:rFonts w:ascii="Garamond" w:hAnsi="Garamond" w:cs="Sylfaen"/>
          <w:color w:val="000000"/>
          <w:sz w:val="22"/>
          <w:szCs w:val="22"/>
        </w:rPr>
        <w:t>less expansi</w:t>
      </w:r>
      <w:r w:rsidR="005E58D7" w:rsidRPr="00441A9C">
        <w:rPr>
          <w:rFonts w:ascii="Garamond" w:hAnsi="Garamond" w:cs="Sylfaen"/>
          <w:color w:val="000000"/>
          <w:sz w:val="22"/>
          <w:szCs w:val="22"/>
        </w:rPr>
        <w:t xml:space="preserve">onary </w:t>
      </w:r>
      <w:r w:rsidR="00762F73" w:rsidRPr="00441A9C">
        <w:rPr>
          <w:rFonts w:ascii="Garamond" w:hAnsi="Garamond" w:cs="Sylfaen"/>
          <w:color w:val="000000"/>
          <w:sz w:val="22"/>
          <w:szCs w:val="22"/>
        </w:rPr>
        <w:t xml:space="preserve">compared to the previous one. In </w:t>
      </w:r>
      <w:r w:rsidR="004C3182" w:rsidRPr="00441A9C">
        <w:rPr>
          <w:rFonts w:ascii="Garamond" w:hAnsi="Garamond" w:cs="Sylfaen"/>
          <w:color w:val="000000"/>
          <w:sz w:val="22"/>
          <w:szCs w:val="22"/>
        </w:rPr>
        <w:t>such a circumstance</w:t>
      </w:r>
      <w:r w:rsidR="00762F73" w:rsidRPr="00441A9C">
        <w:rPr>
          <w:rFonts w:ascii="Garamond" w:hAnsi="Garamond" w:cs="Sylfaen"/>
          <w:color w:val="000000"/>
          <w:sz w:val="22"/>
          <w:szCs w:val="22"/>
        </w:rPr>
        <w:t xml:space="preserve">, as well as </w:t>
      </w:r>
      <w:r w:rsidR="004C3182" w:rsidRPr="00441A9C">
        <w:rPr>
          <w:rFonts w:ascii="Garamond" w:hAnsi="Garamond" w:cs="Sylfaen"/>
          <w:color w:val="000000"/>
          <w:sz w:val="22"/>
          <w:szCs w:val="22"/>
        </w:rPr>
        <w:t xml:space="preserve">if </w:t>
      </w:r>
      <w:r w:rsidR="00762F73" w:rsidRPr="00441A9C">
        <w:rPr>
          <w:rFonts w:ascii="Garamond" w:hAnsi="Garamond" w:cs="Sylfaen"/>
          <w:color w:val="000000"/>
          <w:sz w:val="22"/>
          <w:szCs w:val="22"/>
        </w:rPr>
        <w:t>the inflation rate</w:t>
      </w:r>
      <w:r w:rsidR="004C3182" w:rsidRPr="00441A9C">
        <w:rPr>
          <w:rFonts w:ascii="Garamond" w:hAnsi="Garamond" w:cs="Sylfaen"/>
          <w:color w:val="000000"/>
          <w:sz w:val="22"/>
          <w:szCs w:val="22"/>
        </w:rPr>
        <w:t xml:space="preserve"> runs above the target</w:t>
      </w:r>
      <w:r w:rsidR="00762F73" w:rsidRPr="00441A9C">
        <w:rPr>
          <w:rFonts w:ascii="Garamond" w:hAnsi="Garamond" w:cs="Sylfaen"/>
          <w:color w:val="000000"/>
          <w:sz w:val="22"/>
          <w:szCs w:val="22"/>
        </w:rPr>
        <w:t xml:space="preserve">, </w:t>
      </w:r>
      <w:r w:rsidR="004C3182" w:rsidRPr="00441A9C">
        <w:rPr>
          <w:rFonts w:ascii="Garamond" w:hAnsi="Garamond" w:cs="Sylfaen"/>
          <w:color w:val="000000"/>
          <w:sz w:val="22"/>
          <w:szCs w:val="22"/>
        </w:rPr>
        <w:t xml:space="preserve">the US Federal Reserve System might </w:t>
      </w:r>
      <w:r w:rsidR="00762F73" w:rsidRPr="00441A9C">
        <w:rPr>
          <w:rFonts w:ascii="Garamond" w:hAnsi="Garamond" w:cs="Sylfaen"/>
          <w:color w:val="000000"/>
          <w:sz w:val="22"/>
          <w:szCs w:val="22"/>
        </w:rPr>
        <w:t>continue rais</w:t>
      </w:r>
      <w:r w:rsidR="004C3182" w:rsidRPr="00441A9C">
        <w:rPr>
          <w:rFonts w:ascii="Garamond" w:hAnsi="Garamond" w:cs="Sylfaen"/>
          <w:color w:val="000000"/>
          <w:sz w:val="22"/>
          <w:szCs w:val="22"/>
        </w:rPr>
        <w:t>ing</w:t>
      </w:r>
      <w:r w:rsidR="00762F73" w:rsidRPr="00441A9C">
        <w:rPr>
          <w:rFonts w:ascii="Garamond" w:hAnsi="Garamond" w:cs="Sylfaen"/>
          <w:color w:val="000000"/>
          <w:sz w:val="22"/>
          <w:szCs w:val="22"/>
        </w:rPr>
        <w:t xml:space="preserve"> </w:t>
      </w:r>
      <w:r w:rsidR="004C3182" w:rsidRPr="00441A9C">
        <w:rPr>
          <w:rFonts w:ascii="Garamond" w:hAnsi="Garamond" w:cs="Sylfaen"/>
          <w:color w:val="000000"/>
          <w:sz w:val="22"/>
          <w:szCs w:val="22"/>
        </w:rPr>
        <w:t xml:space="preserve">the policy rate more </w:t>
      </w:r>
      <w:r w:rsidR="00762F73" w:rsidRPr="00441A9C">
        <w:rPr>
          <w:rFonts w:ascii="Garamond" w:hAnsi="Garamond" w:cs="Sylfaen"/>
          <w:color w:val="000000"/>
          <w:sz w:val="22"/>
          <w:szCs w:val="22"/>
        </w:rPr>
        <w:t>slow</w:t>
      </w:r>
      <w:r w:rsidR="004C3182" w:rsidRPr="00441A9C">
        <w:rPr>
          <w:rFonts w:ascii="Garamond" w:hAnsi="Garamond" w:cs="Sylfaen"/>
          <w:color w:val="000000"/>
          <w:sz w:val="22"/>
          <w:szCs w:val="22"/>
        </w:rPr>
        <w:t>ly</w:t>
      </w:r>
      <w:r w:rsidR="00762F73" w:rsidRPr="00441A9C">
        <w:rPr>
          <w:rFonts w:ascii="Garamond" w:hAnsi="Garamond" w:cs="Sylfaen"/>
          <w:color w:val="000000"/>
          <w:sz w:val="22"/>
          <w:szCs w:val="22"/>
        </w:rPr>
        <w:t xml:space="preserve"> than previously expected.</w:t>
      </w:r>
      <w:r w:rsidR="0018680E" w:rsidRPr="00441A9C">
        <w:rPr>
          <w:rFonts w:ascii="Garamond" w:hAnsi="Garamond" w:cs="Sylfaen"/>
          <w:color w:val="000000"/>
          <w:sz w:val="22"/>
          <w:szCs w:val="22"/>
        </w:rPr>
        <w:t xml:space="preserve"> </w:t>
      </w:r>
    </w:p>
    <w:p w14:paraId="5FC00937" w14:textId="77777777" w:rsidR="00C322EA" w:rsidRPr="00441A9C" w:rsidRDefault="00C322EA" w:rsidP="00B117C8">
      <w:pPr>
        <w:spacing w:line="360" w:lineRule="auto"/>
        <w:jc w:val="both"/>
        <w:rPr>
          <w:rFonts w:ascii="Garamond" w:hAnsi="Garamond" w:cs="Sylfaen"/>
          <w:color w:val="000000"/>
          <w:sz w:val="22"/>
          <w:szCs w:val="22"/>
        </w:rPr>
      </w:pPr>
    </w:p>
    <w:p w14:paraId="652E6A3B" w14:textId="77777777" w:rsidR="00C11F74" w:rsidRPr="00441A9C" w:rsidRDefault="00C11F74" w:rsidP="00B117C8">
      <w:pPr>
        <w:spacing w:line="360" w:lineRule="auto"/>
        <w:jc w:val="both"/>
        <w:rPr>
          <w:rFonts w:ascii="Garamond" w:hAnsi="Garamond"/>
          <w:sz w:val="22"/>
          <w:szCs w:val="22"/>
        </w:rPr>
      </w:pPr>
      <w:r w:rsidRPr="00441A9C">
        <w:rPr>
          <w:rFonts w:ascii="Garamond" w:hAnsi="Garamond"/>
          <w:sz w:val="22"/>
          <w:szCs w:val="22"/>
        </w:rPr>
        <w:t xml:space="preserve">Economic growth in </w:t>
      </w:r>
      <w:r w:rsidRPr="00441A9C">
        <w:rPr>
          <w:rFonts w:ascii="Garamond" w:hAnsi="Garamond"/>
          <w:b/>
          <w:sz w:val="22"/>
          <w:szCs w:val="22"/>
        </w:rPr>
        <w:t>Eurozone</w:t>
      </w:r>
      <w:r w:rsidRPr="00441A9C">
        <w:rPr>
          <w:rFonts w:ascii="Garamond" w:hAnsi="Garamond"/>
          <w:sz w:val="22"/>
          <w:szCs w:val="22"/>
        </w:rPr>
        <w:t xml:space="preserve"> in 201</w:t>
      </w:r>
      <w:r w:rsidR="00CB434E" w:rsidRPr="00441A9C">
        <w:rPr>
          <w:rFonts w:ascii="Garamond" w:hAnsi="Garamond"/>
          <w:sz w:val="22"/>
          <w:szCs w:val="22"/>
        </w:rPr>
        <w:t>7</w:t>
      </w:r>
      <w:r w:rsidRPr="00441A9C">
        <w:rPr>
          <w:rFonts w:ascii="Garamond" w:hAnsi="Garamond"/>
          <w:sz w:val="22"/>
          <w:szCs w:val="22"/>
        </w:rPr>
        <w:t xml:space="preserve"> is predicted to </w:t>
      </w:r>
      <w:r w:rsidR="00AE080E" w:rsidRPr="00441A9C">
        <w:rPr>
          <w:rFonts w:ascii="Garamond" w:hAnsi="Garamond"/>
          <w:sz w:val="22"/>
          <w:szCs w:val="22"/>
        </w:rPr>
        <w:t>be 1</w:t>
      </w:r>
      <w:r w:rsidRPr="00441A9C">
        <w:rPr>
          <w:rFonts w:ascii="Garamond" w:hAnsi="Garamond"/>
          <w:sz w:val="22"/>
          <w:szCs w:val="22"/>
        </w:rPr>
        <w:t>.</w:t>
      </w:r>
      <w:r w:rsidR="00114FC0" w:rsidRPr="00441A9C">
        <w:rPr>
          <w:rFonts w:ascii="Garamond" w:hAnsi="Garamond"/>
          <w:sz w:val="22"/>
          <w:szCs w:val="22"/>
        </w:rPr>
        <w:t>9</w:t>
      </w:r>
      <w:r w:rsidRPr="00441A9C">
        <w:rPr>
          <w:rFonts w:ascii="Garamond" w:hAnsi="Garamond"/>
          <w:sz w:val="22"/>
          <w:szCs w:val="22"/>
        </w:rPr>
        <w:t xml:space="preserve">% </w:t>
      </w:r>
      <w:r w:rsidR="00CB434E" w:rsidRPr="00441A9C">
        <w:rPr>
          <w:rFonts w:ascii="Garamond" w:hAnsi="Garamond"/>
          <w:sz w:val="22"/>
          <w:szCs w:val="22"/>
        </w:rPr>
        <w:t xml:space="preserve">compared to </w:t>
      </w:r>
      <w:r w:rsidR="00E247D4" w:rsidRPr="00441A9C">
        <w:rPr>
          <w:rFonts w:ascii="Garamond" w:hAnsi="Garamond"/>
          <w:sz w:val="22"/>
          <w:szCs w:val="22"/>
        </w:rPr>
        <w:t xml:space="preserve">the previous growth forecast of </w:t>
      </w:r>
      <w:r w:rsidR="00CB434E" w:rsidRPr="00441A9C">
        <w:rPr>
          <w:rFonts w:ascii="Garamond" w:hAnsi="Garamond"/>
          <w:sz w:val="22"/>
          <w:szCs w:val="22"/>
        </w:rPr>
        <w:t>1.</w:t>
      </w:r>
      <w:r w:rsidR="00114FC0" w:rsidRPr="00441A9C">
        <w:rPr>
          <w:rFonts w:ascii="Garamond" w:hAnsi="Garamond"/>
          <w:sz w:val="22"/>
          <w:szCs w:val="22"/>
        </w:rPr>
        <w:t>2</w:t>
      </w:r>
      <w:r w:rsidR="00D724A0" w:rsidRPr="00441A9C">
        <w:rPr>
          <w:rFonts w:ascii="Garamond" w:hAnsi="Garamond"/>
          <w:sz w:val="22"/>
          <w:szCs w:val="22"/>
        </w:rPr>
        <w:t xml:space="preserve">%. </w:t>
      </w:r>
      <w:r w:rsidR="00114FC0" w:rsidRPr="00441A9C">
        <w:rPr>
          <w:rFonts w:ascii="Garamond" w:hAnsi="Garamond"/>
          <w:sz w:val="22"/>
          <w:szCs w:val="22"/>
        </w:rPr>
        <w:t>This revision largely owes to upside adjustment of growth indicator in major Eurozone countries – Germany, France, Spain and Italy, which is driven by a significant increase in domestic demand, a decline in the unemployment rate and lessened political uncertainties. However, it should be noted that in the medium term the economic growth will run at the level of 1.4% as in the previous forecast, and the European Central Bank will continue to pursue a low interest rates policy up until the start of 2018.</w:t>
      </w:r>
      <w:r w:rsidR="00E869D9" w:rsidRPr="00441A9C">
        <w:rPr>
          <w:rFonts w:ascii="Garamond" w:hAnsi="Garamond" w:cs="Sylfaen"/>
          <w:color w:val="000000"/>
          <w:sz w:val="22"/>
          <w:szCs w:val="22"/>
        </w:rPr>
        <w:t xml:space="preserve"> </w:t>
      </w:r>
    </w:p>
    <w:p w14:paraId="40AE3ED0" w14:textId="77777777" w:rsidR="00F11522" w:rsidRPr="00441A9C" w:rsidRDefault="00F11522" w:rsidP="00B117C8">
      <w:pPr>
        <w:spacing w:line="360" w:lineRule="auto"/>
        <w:jc w:val="both"/>
        <w:rPr>
          <w:rFonts w:ascii="Garamond" w:hAnsi="Garamond"/>
          <w:sz w:val="22"/>
          <w:szCs w:val="22"/>
        </w:rPr>
      </w:pPr>
    </w:p>
    <w:p w14:paraId="77AC822F" w14:textId="77777777" w:rsidR="00114AC1" w:rsidRPr="00441A9C" w:rsidRDefault="00E247D4" w:rsidP="00B117C8">
      <w:pPr>
        <w:spacing w:line="360" w:lineRule="auto"/>
        <w:jc w:val="both"/>
        <w:rPr>
          <w:rFonts w:ascii="Garamond" w:hAnsi="Garamond" w:cs="Sylfaen"/>
          <w:sz w:val="22"/>
          <w:szCs w:val="22"/>
        </w:rPr>
      </w:pPr>
      <w:r w:rsidRPr="00441A9C">
        <w:rPr>
          <w:rFonts w:ascii="Garamond" w:hAnsi="Garamond" w:cs="Sylfaen"/>
          <w:sz w:val="22"/>
          <w:szCs w:val="22"/>
        </w:rPr>
        <w:t>E</w:t>
      </w:r>
      <w:r w:rsidR="00F11522" w:rsidRPr="00441A9C">
        <w:rPr>
          <w:rFonts w:ascii="Garamond" w:hAnsi="Garamond" w:cs="Sylfaen"/>
          <w:sz w:val="22"/>
          <w:szCs w:val="22"/>
        </w:rPr>
        <w:t xml:space="preserve">conomic </w:t>
      </w:r>
      <w:r w:rsidR="00DC55A0" w:rsidRPr="00441A9C">
        <w:rPr>
          <w:rFonts w:ascii="Garamond" w:hAnsi="Garamond" w:cs="Sylfaen"/>
          <w:sz w:val="22"/>
          <w:szCs w:val="22"/>
        </w:rPr>
        <w:t xml:space="preserve">growth </w:t>
      </w:r>
      <w:r w:rsidR="00F11522" w:rsidRPr="00441A9C">
        <w:rPr>
          <w:rFonts w:ascii="Garamond" w:hAnsi="Garamond" w:cs="Sylfaen"/>
          <w:sz w:val="22"/>
          <w:szCs w:val="22"/>
        </w:rPr>
        <w:t xml:space="preserve">in </w:t>
      </w:r>
      <w:r w:rsidR="00F11522" w:rsidRPr="00441A9C">
        <w:rPr>
          <w:rFonts w:ascii="Garamond" w:hAnsi="Garamond" w:cs="Sylfaen"/>
          <w:b/>
          <w:sz w:val="22"/>
          <w:szCs w:val="22"/>
        </w:rPr>
        <w:t>Russia</w:t>
      </w:r>
      <w:r w:rsidR="00F11522" w:rsidRPr="00441A9C">
        <w:rPr>
          <w:rFonts w:ascii="Garamond" w:hAnsi="Garamond" w:cs="Sylfaen"/>
          <w:sz w:val="22"/>
          <w:szCs w:val="22"/>
        </w:rPr>
        <w:t xml:space="preserve"> </w:t>
      </w:r>
      <w:r w:rsidR="00195151" w:rsidRPr="00441A9C">
        <w:rPr>
          <w:rFonts w:ascii="Garamond" w:hAnsi="Garamond" w:cs="Sylfaen"/>
          <w:sz w:val="22"/>
          <w:szCs w:val="22"/>
        </w:rPr>
        <w:t>i</w:t>
      </w:r>
      <w:r w:rsidR="00DC55A0" w:rsidRPr="00441A9C">
        <w:rPr>
          <w:rFonts w:ascii="Garamond" w:hAnsi="Garamond" w:cs="Sylfaen"/>
          <w:sz w:val="22"/>
          <w:szCs w:val="22"/>
        </w:rPr>
        <w:t xml:space="preserve">n 2017 </w:t>
      </w:r>
      <w:r w:rsidRPr="00441A9C">
        <w:rPr>
          <w:rFonts w:ascii="Garamond" w:hAnsi="Garamond" w:cs="Sylfaen"/>
          <w:sz w:val="22"/>
          <w:szCs w:val="22"/>
        </w:rPr>
        <w:t xml:space="preserve">is </w:t>
      </w:r>
      <w:r w:rsidR="00D3233C" w:rsidRPr="00441A9C">
        <w:rPr>
          <w:rFonts w:ascii="Garamond" w:hAnsi="Garamond" w:cs="Sylfaen"/>
          <w:sz w:val="22"/>
          <w:szCs w:val="22"/>
        </w:rPr>
        <w:t xml:space="preserve">expected </w:t>
      </w:r>
      <w:r w:rsidRPr="00441A9C">
        <w:rPr>
          <w:rFonts w:ascii="Garamond" w:hAnsi="Garamond" w:cs="Sylfaen"/>
          <w:sz w:val="22"/>
          <w:szCs w:val="22"/>
        </w:rPr>
        <w:t>to be 1.</w:t>
      </w:r>
      <w:r w:rsidR="00D3233C" w:rsidRPr="00441A9C">
        <w:rPr>
          <w:rFonts w:ascii="Garamond" w:hAnsi="Garamond" w:cs="Sylfaen"/>
          <w:sz w:val="22"/>
          <w:szCs w:val="22"/>
        </w:rPr>
        <w:t>5</w:t>
      </w:r>
      <w:r w:rsidRPr="00441A9C">
        <w:rPr>
          <w:rFonts w:ascii="Garamond" w:hAnsi="Garamond" w:cs="Sylfaen"/>
          <w:sz w:val="22"/>
          <w:szCs w:val="22"/>
        </w:rPr>
        <w:t>% compared with a previous forecast of 1</w:t>
      </w:r>
      <w:r w:rsidR="00195151" w:rsidRPr="00441A9C">
        <w:rPr>
          <w:rFonts w:ascii="Garamond" w:hAnsi="Garamond" w:cs="Sylfaen"/>
          <w:color w:val="000000"/>
          <w:sz w:val="22"/>
          <w:szCs w:val="22"/>
        </w:rPr>
        <w:t>.</w:t>
      </w:r>
      <w:r w:rsidR="00D3233C" w:rsidRPr="00441A9C">
        <w:rPr>
          <w:rFonts w:ascii="Garamond" w:hAnsi="Garamond" w:cs="Sylfaen"/>
          <w:color w:val="000000"/>
          <w:sz w:val="22"/>
          <w:szCs w:val="22"/>
        </w:rPr>
        <w:t>6</w:t>
      </w:r>
      <w:r w:rsidR="00195151" w:rsidRPr="00441A9C">
        <w:rPr>
          <w:rFonts w:ascii="Garamond" w:hAnsi="Garamond" w:cs="Sylfaen"/>
          <w:color w:val="000000"/>
          <w:sz w:val="22"/>
          <w:szCs w:val="22"/>
        </w:rPr>
        <w:t>%</w:t>
      </w:r>
      <w:r w:rsidR="00D3233C" w:rsidRPr="00441A9C">
        <w:rPr>
          <w:rFonts w:ascii="Garamond" w:hAnsi="Garamond" w:cs="Sylfaen"/>
          <w:color w:val="000000"/>
          <w:sz w:val="22"/>
          <w:szCs w:val="22"/>
        </w:rPr>
        <w:t>. The adjustment is mainly related to using of new reciprocal economic sanctions and, as a consequence, a certain reduction in the expected investment. In the short term, inflation is expected to be higher compared with the previous forecast (which still runs below the target) due to expectation of less</w:t>
      </w:r>
      <w:r w:rsidR="00ED1A8B" w:rsidRPr="00441A9C">
        <w:rPr>
          <w:rFonts w:ascii="Garamond" w:hAnsi="Garamond" w:cs="Sylfaen"/>
          <w:color w:val="000000"/>
          <w:sz w:val="22"/>
          <w:szCs w:val="22"/>
        </w:rPr>
        <w:t>er</w:t>
      </w:r>
      <w:r w:rsidR="00D3233C" w:rsidRPr="00441A9C">
        <w:rPr>
          <w:rFonts w:ascii="Garamond" w:hAnsi="Garamond" w:cs="Sylfaen"/>
          <w:color w:val="000000"/>
          <w:sz w:val="22"/>
          <w:szCs w:val="22"/>
        </w:rPr>
        <w:t xml:space="preserve"> harvest as a result of poor weather conditions</w:t>
      </w:r>
      <w:r w:rsidR="00ED1A8B" w:rsidRPr="00441A9C">
        <w:rPr>
          <w:rFonts w:ascii="Garamond" w:hAnsi="Garamond" w:cs="Sylfaen"/>
          <w:color w:val="000000"/>
          <w:sz w:val="22"/>
          <w:szCs w:val="22"/>
        </w:rPr>
        <w:t>,</w:t>
      </w:r>
      <w:r w:rsidR="00D3233C" w:rsidRPr="00441A9C">
        <w:rPr>
          <w:rFonts w:ascii="Garamond" w:hAnsi="Garamond" w:cs="Sylfaen"/>
          <w:color w:val="000000"/>
          <w:sz w:val="22"/>
          <w:szCs w:val="22"/>
        </w:rPr>
        <w:t xml:space="preserve"> under which </w:t>
      </w:r>
      <w:r w:rsidR="00ED1A8B" w:rsidRPr="00441A9C">
        <w:rPr>
          <w:rFonts w:ascii="Garamond" w:hAnsi="Garamond" w:cs="Sylfaen"/>
          <w:color w:val="000000"/>
          <w:sz w:val="22"/>
          <w:szCs w:val="22"/>
        </w:rPr>
        <w:t xml:space="preserve">circumstances the Central Bank of Russia </w:t>
      </w:r>
      <w:r w:rsidR="00D3233C" w:rsidRPr="00441A9C">
        <w:rPr>
          <w:rFonts w:ascii="Garamond" w:hAnsi="Garamond" w:cs="Sylfaen"/>
          <w:color w:val="000000"/>
          <w:sz w:val="22"/>
          <w:szCs w:val="22"/>
        </w:rPr>
        <w:t>will</w:t>
      </w:r>
      <w:r w:rsidR="00ED1A8B" w:rsidRPr="00441A9C">
        <w:rPr>
          <w:rFonts w:ascii="Garamond" w:hAnsi="Garamond" w:cs="Sylfaen"/>
          <w:color w:val="000000"/>
          <w:sz w:val="22"/>
          <w:szCs w:val="22"/>
        </w:rPr>
        <w:t>, in the short run,</w:t>
      </w:r>
      <w:r w:rsidR="00D3233C" w:rsidRPr="00441A9C">
        <w:rPr>
          <w:rFonts w:ascii="Garamond" w:hAnsi="Garamond" w:cs="Sylfaen"/>
          <w:color w:val="000000"/>
          <w:sz w:val="22"/>
          <w:szCs w:val="22"/>
        </w:rPr>
        <w:t xml:space="preserve"> </w:t>
      </w:r>
      <w:r w:rsidR="00ED1A8B" w:rsidRPr="00441A9C">
        <w:rPr>
          <w:rFonts w:ascii="Garamond" w:hAnsi="Garamond" w:cs="Sylfaen"/>
          <w:color w:val="000000"/>
          <w:sz w:val="22"/>
          <w:szCs w:val="22"/>
        </w:rPr>
        <w:t xml:space="preserve">carry out </w:t>
      </w:r>
      <w:r w:rsidR="00D3233C" w:rsidRPr="00441A9C">
        <w:rPr>
          <w:rFonts w:ascii="Garamond" w:hAnsi="Garamond" w:cs="Sylfaen"/>
          <w:color w:val="000000"/>
          <w:sz w:val="22"/>
          <w:szCs w:val="22"/>
        </w:rPr>
        <w:t>a less expansi</w:t>
      </w:r>
      <w:r w:rsidR="00ED1A8B" w:rsidRPr="00441A9C">
        <w:rPr>
          <w:rFonts w:ascii="Garamond" w:hAnsi="Garamond" w:cs="Sylfaen"/>
          <w:color w:val="000000"/>
          <w:sz w:val="22"/>
          <w:szCs w:val="22"/>
        </w:rPr>
        <w:t xml:space="preserve">onary </w:t>
      </w:r>
      <w:r w:rsidR="00D3233C" w:rsidRPr="00441A9C">
        <w:rPr>
          <w:rFonts w:ascii="Garamond" w:hAnsi="Garamond" w:cs="Sylfaen"/>
          <w:color w:val="000000"/>
          <w:sz w:val="22"/>
          <w:szCs w:val="22"/>
        </w:rPr>
        <w:t>monetary policy compared to the previous forecast.</w:t>
      </w:r>
      <w:r w:rsidR="00337C74" w:rsidRPr="00441A9C">
        <w:rPr>
          <w:rFonts w:ascii="Garamond" w:hAnsi="Garamond" w:cs="Sylfaen"/>
          <w:color w:val="000000"/>
          <w:sz w:val="22"/>
          <w:szCs w:val="22"/>
        </w:rPr>
        <w:t xml:space="preserve">                      </w:t>
      </w:r>
    </w:p>
    <w:p w14:paraId="300B3000" w14:textId="77777777" w:rsidR="00275AB5" w:rsidRPr="00441A9C" w:rsidRDefault="00275AB5" w:rsidP="00B117C8">
      <w:pPr>
        <w:spacing w:line="360" w:lineRule="auto"/>
        <w:jc w:val="both"/>
        <w:rPr>
          <w:rFonts w:ascii="Garamond" w:hAnsi="Garamond" w:cs="Sylfaen"/>
          <w:sz w:val="22"/>
          <w:szCs w:val="22"/>
        </w:rPr>
      </w:pPr>
    </w:p>
    <w:p w14:paraId="383D2B45" w14:textId="77777777" w:rsidR="001C3604" w:rsidRPr="00441A9C" w:rsidRDefault="003603CD" w:rsidP="00B117C8">
      <w:pPr>
        <w:spacing w:line="360" w:lineRule="auto"/>
        <w:jc w:val="both"/>
        <w:rPr>
          <w:rFonts w:ascii="Garamond" w:hAnsi="Garamond" w:cs="Sylfaen"/>
          <w:color w:val="000000"/>
          <w:sz w:val="22"/>
          <w:szCs w:val="22"/>
        </w:rPr>
      </w:pPr>
      <w:r w:rsidRPr="00441A9C">
        <w:rPr>
          <w:rFonts w:ascii="Garamond" w:hAnsi="Garamond" w:cs="Sylfaen"/>
          <w:color w:val="000000"/>
          <w:sz w:val="22"/>
          <w:szCs w:val="22"/>
        </w:rPr>
        <w:t xml:space="preserve">According to the IMF </w:t>
      </w:r>
      <w:r w:rsidR="0011055F" w:rsidRPr="00441A9C">
        <w:rPr>
          <w:rFonts w:ascii="Garamond" w:hAnsi="Garamond" w:cs="Sylfaen"/>
          <w:color w:val="000000"/>
          <w:sz w:val="22"/>
          <w:szCs w:val="22"/>
        </w:rPr>
        <w:t>July</w:t>
      </w:r>
      <w:r w:rsidR="00D602C6" w:rsidRPr="00441A9C">
        <w:rPr>
          <w:rFonts w:ascii="Garamond" w:hAnsi="Garamond" w:cs="Sylfaen"/>
          <w:color w:val="000000"/>
          <w:sz w:val="22"/>
          <w:szCs w:val="22"/>
        </w:rPr>
        <w:t xml:space="preserve"> </w:t>
      </w:r>
      <w:r w:rsidRPr="00441A9C">
        <w:rPr>
          <w:rFonts w:ascii="Garamond" w:hAnsi="Garamond" w:cs="Sylfaen"/>
          <w:color w:val="000000"/>
          <w:sz w:val="22"/>
          <w:szCs w:val="22"/>
        </w:rPr>
        <w:t>201</w:t>
      </w:r>
      <w:r w:rsidR="00114AC1" w:rsidRPr="00441A9C">
        <w:rPr>
          <w:rFonts w:ascii="Garamond" w:hAnsi="Garamond" w:cs="Sylfaen"/>
          <w:color w:val="000000"/>
          <w:sz w:val="22"/>
          <w:szCs w:val="22"/>
        </w:rPr>
        <w:t>7</w:t>
      </w:r>
      <w:r w:rsidRPr="00441A9C">
        <w:rPr>
          <w:rFonts w:ascii="Garamond" w:hAnsi="Garamond" w:cs="Sylfaen"/>
          <w:color w:val="000000"/>
          <w:sz w:val="22"/>
          <w:szCs w:val="22"/>
        </w:rPr>
        <w:t xml:space="preserve"> report “</w:t>
      </w:r>
      <w:r w:rsidR="00274690" w:rsidRPr="00441A9C">
        <w:rPr>
          <w:rFonts w:ascii="Garamond" w:hAnsi="Garamond" w:cs="Sylfaen"/>
          <w:color w:val="000000"/>
          <w:sz w:val="22"/>
          <w:szCs w:val="22"/>
        </w:rPr>
        <w:t>World</w:t>
      </w:r>
      <w:r w:rsidRPr="00441A9C">
        <w:rPr>
          <w:rFonts w:ascii="Garamond" w:hAnsi="Garamond" w:cs="Sylfaen"/>
          <w:color w:val="000000"/>
          <w:sz w:val="22"/>
          <w:szCs w:val="22"/>
        </w:rPr>
        <w:t xml:space="preserve"> Economic Outlook”, world econom</w:t>
      </w:r>
      <w:r w:rsidR="00A73BBC" w:rsidRPr="00441A9C">
        <w:rPr>
          <w:rFonts w:ascii="Garamond" w:hAnsi="Garamond" w:cs="Sylfaen"/>
          <w:color w:val="000000"/>
          <w:sz w:val="22"/>
          <w:szCs w:val="22"/>
        </w:rPr>
        <w:t>ic growth</w:t>
      </w:r>
      <w:r w:rsidR="00114AC1" w:rsidRPr="00441A9C">
        <w:rPr>
          <w:rFonts w:ascii="Garamond" w:hAnsi="Garamond" w:cs="Sylfaen"/>
          <w:color w:val="000000"/>
          <w:sz w:val="22"/>
          <w:szCs w:val="22"/>
        </w:rPr>
        <w:t xml:space="preserve"> forecast for 2017 is 3.</w:t>
      </w:r>
      <w:r w:rsidR="00D602C6" w:rsidRPr="00441A9C">
        <w:rPr>
          <w:rFonts w:ascii="Garamond" w:hAnsi="Garamond" w:cs="Sylfaen"/>
          <w:color w:val="000000"/>
          <w:sz w:val="22"/>
          <w:szCs w:val="22"/>
        </w:rPr>
        <w:t>5</w:t>
      </w:r>
      <w:r w:rsidR="003D7EC2" w:rsidRPr="00441A9C">
        <w:rPr>
          <w:rFonts w:ascii="Garamond" w:hAnsi="Garamond" w:cs="Sylfaen"/>
          <w:color w:val="000000"/>
          <w:sz w:val="22"/>
          <w:szCs w:val="22"/>
        </w:rPr>
        <w:t xml:space="preserve">%, which </w:t>
      </w:r>
      <w:r w:rsidR="0011055F" w:rsidRPr="00441A9C">
        <w:rPr>
          <w:rFonts w:ascii="Garamond" w:hAnsi="Garamond" w:cs="Sylfaen"/>
          <w:color w:val="000000"/>
          <w:sz w:val="22"/>
          <w:szCs w:val="22"/>
        </w:rPr>
        <w:t>means that the forecasts for April 2017 remained unchanged.</w:t>
      </w:r>
    </w:p>
    <w:p w14:paraId="1DB1C38B" w14:textId="77777777" w:rsidR="001C3604" w:rsidRPr="00441A9C" w:rsidRDefault="001C3604" w:rsidP="00B117C8">
      <w:pPr>
        <w:spacing w:line="360" w:lineRule="auto"/>
        <w:jc w:val="both"/>
        <w:rPr>
          <w:rFonts w:ascii="Garamond" w:hAnsi="Garamond" w:cs="Sylfaen"/>
          <w:color w:val="000000"/>
          <w:sz w:val="22"/>
          <w:szCs w:val="22"/>
        </w:rPr>
      </w:pPr>
    </w:p>
    <w:p w14:paraId="47A77E4B" w14:textId="77777777" w:rsidR="00751B76" w:rsidRPr="00441A9C" w:rsidRDefault="00B84CB5" w:rsidP="00B117C8">
      <w:pPr>
        <w:spacing w:line="360" w:lineRule="auto"/>
        <w:jc w:val="both"/>
        <w:rPr>
          <w:rFonts w:ascii="Garamond" w:hAnsi="Garamond" w:cs="Sylfaen"/>
          <w:sz w:val="22"/>
          <w:szCs w:val="22"/>
        </w:rPr>
      </w:pPr>
      <w:r w:rsidRPr="00441A9C">
        <w:rPr>
          <w:rFonts w:ascii="Garamond" w:hAnsi="Garamond" w:cs="Sylfaen"/>
          <w:sz w:val="22"/>
          <w:szCs w:val="22"/>
        </w:rPr>
        <w:lastRenderedPageBreak/>
        <w:t xml:space="preserve">In </w:t>
      </w:r>
      <w:r w:rsidRPr="00441A9C">
        <w:rPr>
          <w:rFonts w:ascii="Garamond" w:hAnsi="Garamond" w:cs="Sylfaen"/>
          <w:b/>
          <w:sz w:val="22"/>
          <w:szCs w:val="22"/>
        </w:rPr>
        <w:t>commodity and food product markets</w:t>
      </w:r>
      <w:r w:rsidRPr="00441A9C">
        <w:rPr>
          <w:rFonts w:ascii="Garamond" w:hAnsi="Garamond" w:cs="Sylfaen"/>
          <w:sz w:val="22"/>
          <w:szCs w:val="22"/>
        </w:rPr>
        <w:t xml:space="preserve"> in the second half of 2017, international prices are predicted to restore from their lows observable in the first half of the year, but in the mid-term these will be at a slightly lower level compared to the previous forecast. </w:t>
      </w:r>
      <w:r w:rsidR="00773B71" w:rsidRPr="00441A9C">
        <w:rPr>
          <w:rFonts w:ascii="Garamond" w:hAnsi="Garamond" w:cs="Sylfaen"/>
          <w:sz w:val="22"/>
          <w:szCs w:val="22"/>
        </w:rPr>
        <w:t xml:space="preserve">In particular, </w:t>
      </w:r>
      <w:r w:rsidR="00F31015" w:rsidRPr="00441A9C">
        <w:rPr>
          <w:rFonts w:ascii="Garamond" w:hAnsi="Garamond" w:cs="Sylfaen"/>
          <w:sz w:val="22"/>
          <w:szCs w:val="22"/>
        </w:rPr>
        <w:t xml:space="preserve">after demonstrating low price trends at the beginning of the year, the </w:t>
      </w:r>
      <w:r w:rsidR="00773B71" w:rsidRPr="00441A9C">
        <w:rPr>
          <w:rFonts w:ascii="Garamond" w:hAnsi="Garamond" w:cs="Sylfaen"/>
          <w:sz w:val="22"/>
          <w:szCs w:val="22"/>
        </w:rPr>
        <w:t xml:space="preserve">international copper prices will strengthen in the third quarter of 2017, </w:t>
      </w:r>
      <w:r w:rsidR="00F31015" w:rsidRPr="00441A9C">
        <w:rPr>
          <w:rFonts w:ascii="Garamond" w:hAnsi="Garamond" w:cs="Sylfaen"/>
          <w:sz w:val="22"/>
          <w:szCs w:val="22"/>
        </w:rPr>
        <w:t>driven largely by a</w:t>
      </w:r>
      <w:r w:rsidR="00773B71" w:rsidRPr="00441A9C">
        <w:rPr>
          <w:rFonts w:ascii="Garamond" w:hAnsi="Garamond" w:cs="Sylfaen"/>
          <w:sz w:val="22"/>
          <w:szCs w:val="22"/>
        </w:rPr>
        <w:t xml:space="preserve"> substantial increase in demand from China, but in the m</w:t>
      </w:r>
      <w:r w:rsidR="00F31015" w:rsidRPr="00441A9C">
        <w:rPr>
          <w:rFonts w:ascii="Garamond" w:hAnsi="Garamond" w:cs="Sylfaen"/>
          <w:sz w:val="22"/>
          <w:szCs w:val="22"/>
        </w:rPr>
        <w:t xml:space="preserve">edium run </w:t>
      </w:r>
      <w:r w:rsidR="00773B71" w:rsidRPr="00441A9C">
        <w:rPr>
          <w:rFonts w:ascii="Garamond" w:hAnsi="Garamond" w:cs="Sylfaen"/>
          <w:sz w:val="22"/>
          <w:szCs w:val="22"/>
        </w:rPr>
        <w:t xml:space="preserve">the prices will decline slightly </w:t>
      </w:r>
      <w:r w:rsidR="00F31015" w:rsidRPr="00441A9C">
        <w:rPr>
          <w:rFonts w:ascii="Garamond" w:hAnsi="Garamond" w:cs="Sylfaen"/>
          <w:sz w:val="22"/>
          <w:szCs w:val="22"/>
        </w:rPr>
        <w:t xml:space="preserve">from their short-term levels </w:t>
      </w:r>
      <w:r w:rsidR="00773B71" w:rsidRPr="00441A9C">
        <w:rPr>
          <w:rFonts w:ascii="Garamond" w:hAnsi="Garamond" w:cs="Sylfaen"/>
          <w:sz w:val="22"/>
          <w:szCs w:val="22"/>
        </w:rPr>
        <w:t xml:space="preserve">due to the abolition of </w:t>
      </w:r>
      <w:r w:rsidR="00F31015" w:rsidRPr="00441A9C">
        <w:rPr>
          <w:rFonts w:ascii="Garamond" w:hAnsi="Garamond" w:cs="Sylfaen"/>
          <w:sz w:val="22"/>
          <w:szCs w:val="22"/>
        </w:rPr>
        <w:t xml:space="preserve">expected </w:t>
      </w:r>
      <w:r w:rsidR="00773B71" w:rsidRPr="00441A9C">
        <w:rPr>
          <w:rFonts w:ascii="Garamond" w:hAnsi="Garamond" w:cs="Sylfaen"/>
          <w:sz w:val="22"/>
          <w:szCs w:val="22"/>
        </w:rPr>
        <w:t xml:space="preserve">major investments in </w:t>
      </w:r>
      <w:r w:rsidR="00F31015" w:rsidRPr="00441A9C">
        <w:rPr>
          <w:rFonts w:ascii="Garamond" w:hAnsi="Garamond" w:cs="Sylfaen"/>
          <w:sz w:val="22"/>
          <w:szCs w:val="22"/>
        </w:rPr>
        <w:t xml:space="preserve">the </w:t>
      </w:r>
      <w:r w:rsidR="00773B71" w:rsidRPr="00441A9C">
        <w:rPr>
          <w:rFonts w:ascii="Garamond" w:hAnsi="Garamond" w:cs="Sylfaen"/>
          <w:sz w:val="22"/>
          <w:szCs w:val="22"/>
        </w:rPr>
        <w:t>US infrastructure</w:t>
      </w:r>
      <w:r w:rsidR="00F31015" w:rsidRPr="00441A9C">
        <w:rPr>
          <w:rFonts w:ascii="Garamond" w:hAnsi="Garamond" w:cs="Sylfaen"/>
          <w:sz w:val="22"/>
          <w:szCs w:val="22"/>
        </w:rPr>
        <w:t>s</w:t>
      </w:r>
      <w:r w:rsidR="00773B71" w:rsidRPr="00441A9C">
        <w:rPr>
          <w:rFonts w:ascii="Garamond" w:hAnsi="Garamond" w:cs="Sylfaen"/>
          <w:sz w:val="22"/>
          <w:szCs w:val="22"/>
        </w:rPr>
        <w:t>.</w:t>
      </w:r>
      <w:r w:rsidR="00841BED" w:rsidRPr="00441A9C">
        <w:rPr>
          <w:rFonts w:ascii="Garamond" w:hAnsi="Garamond" w:cs="Sylfaen"/>
          <w:sz w:val="22"/>
          <w:szCs w:val="22"/>
        </w:rPr>
        <w:t xml:space="preserve"> </w:t>
      </w:r>
      <w:r w:rsidR="0006742C" w:rsidRPr="00441A9C">
        <w:rPr>
          <w:rFonts w:ascii="Garamond" w:hAnsi="Garamond" w:cs="Sylfaen"/>
          <w:sz w:val="22"/>
          <w:szCs w:val="22"/>
        </w:rPr>
        <w:t xml:space="preserve">Risks to the developments in </w:t>
      </w:r>
      <w:r w:rsidR="00F340A0" w:rsidRPr="00441A9C">
        <w:rPr>
          <w:rFonts w:ascii="Garamond" w:hAnsi="Garamond" w:cs="Sylfaen"/>
          <w:sz w:val="22"/>
          <w:szCs w:val="22"/>
        </w:rPr>
        <w:t xml:space="preserve">international </w:t>
      </w:r>
      <w:r w:rsidR="00F31015" w:rsidRPr="00441A9C">
        <w:rPr>
          <w:rFonts w:ascii="Garamond" w:hAnsi="Garamond" w:cs="Sylfaen"/>
          <w:sz w:val="22"/>
          <w:szCs w:val="22"/>
        </w:rPr>
        <w:t xml:space="preserve">commodity </w:t>
      </w:r>
      <w:r w:rsidR="00F340A0" w:rsidRPr="00441A9C">
        <w:rPr>
          <w:rFonts w:ascii="Garamond" w:hAnsi="Garamond" w:cs="Sylfaen"/>
          <w:sz w:val="22"/>
          <w:szCs w:val="22"/>
        </w:rPr>
        <w:t xml:space="preserve">prices </w:t>
      </w:r>
      <w:r w:rsidR="00B615D6" w:rsidRPr="00441A9C">
        <w:rPr>
          <w:rFonts w:ascii="Garamond" w:hAnsi="Garamond" w:cs="Sylfaen"/>
          <w:sz w:val="22"/>
          <w:szCs w:val="22"/>
        </w:rPr>
        <w:t xml:space="preserve">are </w:t>
      </w:r>
      <w:r w:rsidR="00F340A0" w:rsidRPr="00441A9C">
        <w:rPr>
          <w:rFonts w:ascii="Garamond" w:hAnsi="Garamond" w:cs="Sylfaen"/>
          <w:sz w:val="22"/>
          <w:szCs w:val="22"/>
        </w:rPr>
        <w:t xml:space="preserve">positioned </w:t>
      </w:r>
      <w:r w:rsidR="00F31015" w:rsidRPr="00441A9C">
        <w:rPr>
          <w:rFonts w:ascii="Garamond" w:hAnsi="Garamond" w:cs="Sylfaen"/>
          <w:sz w:val="22"/>
          <w:szCs w:val="22"/>
        </w:rPr>
        <w:t>down</w:t>
      </w:r>
      <w:r w:rsidR="00F340A0" w:rsidRPr="00441A9C">
        <w:rPr>
          <w:rFonts w:ascii="Garamond" w:hAnsi="Garamond" w:cs="Sylfaen"/>
          <w:sz w:val="22"/>
          <w:szCs w:val="22"/>
        </w:rPr>
        <w:t xml:space="preserve">ward due to </w:t>
      </w:r>
      <w:r w:rsidR="00F31015" w:rsidRPr="00441A9C">
        <w:rPr>
          <w:rFonts w:ascii="Garamond" w:hAnsi="Garamond" w:cs="Sylfaen"/>
          <w:sz w:val="22"/>
          <w:szCs w:val="22"/>
        </w:rPr>
        <w:t xml:space="preserve">reducing demand as a result of </w:t>
      </w:r>
      <w:r w:rsidR="00F340A0" w:rsidRPr="00441A9C">
        <w:rPr>
          <w:rFonts w:ascii="Garamond" w:hAnsi="Garamond" w:cs="Sylfaen"/>
          <w:sz w:val="22"/>
          <w:szCs w:val="22"/>
        </w:rPr>
        <w:t xml:space="preserve">political </w:t>
      </w:r>
      <w:r w:rsidR="00F31015" w:rsidRPr="00441A9C">
        <w:rPr>
          <w:rFonts w:ascii="Garamond" w:hAnsi="Garamond" w:cs="Sylfaen"/>
          <w:sz w:val="22"/>
          <w:szCs w:val="22"/>
        </w:rPr>
        <w:t xml:space="preserve">uncertainties in the USA, whereas risks are expected to </w:t>
      </w:r>
      <w:r w:rsidR="0016042E" w:rsidRPr="00441A9C">
        <w:rPr>
          <w:rFonts w:ascii="Garamond" w:hAnsi="Garamond" w:cs="Sylfaen"/>
          <w:sz w:val="22"/>
          <w:szCs w:val="22"/>
        </w:rPr>
        <w:t xml:space="preserve">rise </w:t>
      </w:r>
      <w:r w:rsidR="00F31015" w:rsidRPr="00441A9C">
        <w:rPr>
          <w:rFonts w:ascii="Garamond" w:hAnsi="Garamond" w:cs="Sylfaen"/>
          <w:sz w:val="22"/>
          <w:szCs w:val="22"/>
        </w:rPr>
        <w:t xml:space="preserve">in food markets owing to </w:t>
      </w:r>
      <w:r w:rsidR="00F340A0" w:rsidRPr="00441A9C">
        <w:rPr>
          <w:rFonts w:ascii="Garamond" w:hAnsi="Garamond" w:cs="Sylfaen"/>
          <w:sz w:val="22"/>
          <w:szCs w:val="22"/>
        </w:rPr>
        <w:t xml:space="preserve">the </w:t>
      </w:r>
      <w:r w:rsidR="0016042E" w:rsidRPr="00441A9C">
        <w:rPr>
          <w:rFonts w:ascii="Garamond" w:hAnsi="Garamond" w:cs="Sylfaen"/>
          <w:sz w:val="22"/>
          <w:szCs w:val="22"/>
        </w:rPr>
        <w:t xml:space="preserve">US </w:t>
      </w:r>
      <w:r w:rsidR="00F340A0" w:rsidRPr="00441A9C">
        <w:rPr>
          <w:rFonts w:ascii="Garamond" w:hAnsi="Garamond" w:cs="Sylfaen"/>
          <w:sz w:val="22"/>
          <w:szCs w:val="22"/>
        </w:rPr>
        <w:t xml:space="preserve">dollar depreciation. </w:t>
      </w:r>
    </w:p>
    <w:p w14:paraId="7FA4D211" w14:textId="77777777" w:rsidR="003B583C" w:rsidRPr="00441A9C" w:rsidRDefault="003B583C" w:rsidP="00B117C8">
      <w:pPr>
        <w:spacing w:line="360" w:lineRule="auto"/>
        <w:jc w:val="both"/>
        <w:rPr>
          <w:rFonts w:ascii="Garamond" w:hAnsi="Garamond"/>
          <w:sz w:val="22"/>
          <w:szCs w:val="22"/>
        </w:rPr>
      </w:pPr>
    </w:p>
    <w:p w14:paraId="711BD9AC" w14:textId="77777777" w:rsidR="00400525" w:rsidRPr="00441A9C" w:rsidRDefault="00400525" w:rsidP="00B117C8">
      <w:pPr>
        <w:spacing w:line="360" w:lineRule="auto"/>
        <w:jc w:val="both"/>
        <w:rPr>
          <w:rFonts w:ascii="Garamond" w:hAnsi="Garamond"/>
          <w:b/>
          <w:sz w:val="22"/>
          <w:szCs w:val="22"/>
        </w:rPr>
      </w:pPr>
      <w:r w:rsidRPr="00441A9C">
        <w:rPr>
          <w:rFonts w:ascii="Garamond" w:hAnsi="Garamond"/>
          <w:b/>
          <w:sz w:val="22"/>
          <w:szCs w:val="22"/>
        </w:rPr>
        <w:t>2.2. Aggregate supply and aggregate demand</w:t>
      </w:r>
    </w:p>
    <w:p w14:paraId="547A934B" w14:textId="77777777" w:rsidR="00400525" w:rsidRPr="00441A9C" w:rsidRDefault="00400525" w:rsidP="00B117C8">
      <w:pPr>
        <w:spacing w:line="360" w:lineRule="auto"/>
        <w:jc w:val="both"/>
        <w:rPr>
          <w:rFonts w:ascii="Garamond" w:hAnsi="Garamond"/>
          <w:sz w:val="22"/>
          <w:szCs w:val="22"/>
        </w:rPr>
      </w:pPr>
      <w:r w:rsidRPr="00441A9C">
        <w:rPr>
          <w:rFonts w:ascii="Garamond" w:hAnsi="Garamond"/>
          <w:b/>
          <w:sz w:val="22"/>
          <w:szCs w:val="22"/>
        </w:rPr>
        <w:t>Aggregate supply</w:t>
      </w:r>
    </w:p>
    <w:p w14:paraId="7D718F2A" w14:textId="77777777" w:rsidR="00344292" w:rsidRPr="00441A9C" w:rsidRDefault="00344292" w:rsidP="00B117C8">
      <w:pPr>
        <w:spacing w:line="360" w:lineRule="auto"/>
        <w:jc w:val="both"/>
        <w:rPr>
          <w:rFonts w:ascii="Garamond" w:hAnsi="Garamond"/>
          <w:b/>
          <w:spacing w:val="20"/>
          <w:sz w:val="22"/>
          <w:szCs w:val="22"/>
        </w:rPr>
      </w:pPr>
    </w:p>
    <w:p w14:paraId="088E462E" w14:textId="4A64B565" w:rsidR="006F0C22" w:rsidRPr="00441A9C" w:rsidRDefault="00400525" w:rsidP="00B117C8">
      <w:pPr>
        <w:spacing w:line="360" w:lineRule="auto"/>
        <w:jc w:val="both"/>
        <w:rPr>
          <w:rFonts w:ascii="Garamond" w:hAnsi="Garamond"/>
          <w:sz w:val="22"/>
          <w:szCs w:val="22"/>
        </w:rPr>
      </w:pPr>
      <w:r w:rsidRPr="00441A9C">
        <w:rPr>
          <w:rFonts w:ascii="Garamond" w:hAnsi="Garamond"/>
          <w:bCs/>
          <w:iCs/>
          <w:sz w:val="22"/>
          <w:szCs w:val="22"/>
        </w:rPr>
        <w:t xml:space="preserve">The </w:t>
      </w:r>
      <w:r w:rsidR="00DA5723" w:rsidRPr="00441A9C">
        <w:rPr>
          <w:rFonts w:ascii="Garamond" w:hAnsi="Garamond"/>
          <w:b/>
          <w:bCs/>
          <w:iCs/>
          <w:sz w:val="22"/>
          <w:szCs w:val="22"/>
        </w:rPr>
        <w:t xml:space="preserve">central value of </w:t>
      </w:r>
      <w:r w:rsidRPr="00441A9C">
        <w:rPr>
          <w:rFonts w:ascii="Garamond" w:hAnsi="Garamond"/>
          <w:b/>
          <w:bCs/>
          <w:iCs/>
          <w:sz w:val="22"/>
          <w:szCs w:val="22"/>
        </w:rPr>
        <w:t xml:space="preserve">economic growth </w:t>
      </w:r>
      <w:r w:rsidR="00DA5723" w:rsidRPr="00441A9C">
        <w:rPr>
          <w:rFonts w:ascii="Garamond" w:hAnsi="Garamond"/>
          <w:b/>
          <w:bCs/>
          <w:iCs/>
          <w:sz w:val="22"/>
          <w:szCs w:val="22"/>
        </w:rPr>
        <w:t xml:space="preserve">forecast </w:t>
      </w:r>
      <w:r w:rsidR="004B6192" w:rsidRPr="00441A9C">
        <w:rPr>
          <w:rFonts w:ascii="Garamond" w:hAnsi="Garamond"/>
          <w:b/>
          <w:bCs/>
          <w:iCs/>
          <w:sz w:val="22"/>
          <w:szCs w:val="22"/>
        </w:rPr>
        <w:t>for 201</w:t>
      </w:r>
      <w:r w:rsidR="000E2114" w:rsidRPr="00441A9C">
        <w:rPr>
          <w:rFonts w:ascii="Garamond" w:hAnsi="Garamond"/>
          <w:b/>
          <w:bCs/>
          <w:iCs/>
          <w:sz w:val="22"/>
          <w:szCs w:val="22"/>
        </w:rPr>
        <w:t>7</w:t>
      </w:r>
      <w:r w:rsidR="004B6192" w:rsidRPr="00441A9C">
        <w:rPr>
          <w:rFonts w:ascii="Garamond" w:hAnsi="Garamond"/>
          <w:b/>
          <w:bCs/>
          <w:iCs/>
          <w:sz w:val="22"/>
          <w:szCs w:val="22"/>
        </w:rPr>
        <w:t xml:space="preserve"> </w:t>
      </w:r>
      <w:r w:rsidR="000122CD">
        <w:rPr>
          <w:rFonts w:ascii="Garamond" w:hAnsi="Garamond"/>
          <w:b/>
          <w:bCs/>
          <w:iCs/>
          <w:sz w:val="22"/>
          <w:szCs w:val="22"/>
        </w:rPr>
        <w:t>h</w:t>
      </w:r>
      <w:r w:rsidR="00DA5723" w:rsidRPr="00441A9C">
        <w:rPr>
          <w:rFonts w:ascii="Garamond" w:hAnsi="Garamond"/>
          <w:b/>
          <w:bCs/>
          <w:iCs/>
          <w:sz w:val="22"/>
          <w:szCs w:val="22"/>
        </w:rPr>
        <w:t>as</w:t>
      </w:r>
      <w:r w:rsidR="00C74C75" w:rsidRPr="00441A9C">
        <w:rPr>
          <w:rFonts w:ascii="Garamond" w:hAnsi="Garamond"/>
          <w:b/>
          <w:bCs/>
          <w:iCs/>
          <w:sz w:val="22"/>
          <w:szCs w:val="22"/>
        </w:rPr>
        <w:t xml:space="preserve"> </w:t>
      </w:r>
      <w:r w:rsidR="000122CD">
        <w:rPr>
          <w:rFonts w:ascii="Garamond" w:hAnsi="Garamond"/>
          <w:b/>
          <w:bCs/>
          <w:iCs/>
          <w:sz w:val="22"/>
          <w:szCs w:val="22"/>
        </w:rPr>
        <w:t xml:space="preserve">been </w:t>
      </w:r>
      <w:r w:rsidR="001A1CB5" w:rsidRPr="00441A9C">
        <w:rPr>
          <w:rFonts w:ascii="Garamond" w:hAnsi="Garamond"/>
          <w:b/>
          <w:bCs/>
          <w:iCs/>
          <w:sz w:val="22"/>
          <w:szCs w:val="22"/>
        </w:rPr>
        <w:t>revised</w:t>
      </w:r>
      <w:r w:rsidR="00DA5723" w:rsidRPr="00441A9C">
        <w:rPr>
          <w:rFonts w:ascii="Garamond" w:hAnsi="Garamond"/>
          <w:b/>
          <w:bCs/>
          <w:iCs/>
          <w:sz w:val="22"/>
          <w:szCs w:val="22"/>
        </w:rPr>
        <w:t xml:space="preserve"> </w:t>
      </w:r>
      <w:r w:rsidR="000E2114" w:rsidRPr="00441A9C">
        <w:rPr>
          <w:rFonts w:ascii="Garamond" w:hAnsi="Garamond"/>
          <w:b/>
          <w:bCs/>
          <w:iCs/>
          <w:sz w:val="22"/>
          <w:szCs w:val="22"/>
        </w:rPr>
        <w:t>up</w:t>
      </w:r>
      <w:r w:rsidR="00C74C75" w:rsidRPr="00441A9C">
        <w:rPr>
          <w:rFonts w:ascii="Garamond" w:hAnsi="Garamond"/>
          <w:b/>
          <w:bCs/>
          <w:iCs/>
          <w:sz w:val="22"/>
          <w:szCs w:val="22"/>
        </w:rPr>
        <w:t>side</w:t>
      </w:r>
      <w:r w:rsidR="00DA5723" w:rsidRPr="00441A9C">
        <w:rPr>
          <w:rFonts w:ascii="Garamond" w:hAnsi="Garamond"/>
          <w:bCs/>
          <w:iCs/>
          <w:sz w:val="22"/>
          <w:szCs w:val="22"/>
        </w:rPr>
        <w:t xml:space="preserve">. </w:t>
      </w:r>
      <w:r w:rsidR="001A1CB5" w:rsidRPr="00441A9C">
        <w:rPr>
          <w:rFonts w:ascii="Garamond" w:hAnsi="Garamond"/>
          <w:bCs/>
          <w:iCs/>
          <w:sz w:val="22"/>
          <w:szCs w:val="22"/>
        </w:rPr>
        <w:t>Note that, factors</w:t>
      </w:r>
      <w:r w:rsidR="006636EB">
        <w:rPr>
          <w:rFonts w:ascii="Garamond" w:hAnsi="Garamond"/>
          <w:bCs/>
          <w:iCs/>
          <w:sz w:val="22"/>
          <w:szCs w:val="22"/>
        </w:rPr>
        <w:t xml:space="preserve"> behind the revision</w:t>
      </w:r>
      <w:r w:rsidR="001A1CB5" w:rsidRPr="00441A9C">
        <w:rPr>
          <w:rFonts w:ascii="Garamond" w:hAnsi="Garamond"/>
          <w:bCs/>
          <w:iCs/>
          <w:sz w:val="22"/>
          <w:szCs w:val="22"/>
        </w:rPr>
        <w:t xml:space="preserve"> such as high growth in tourism and rapid expansion of the tradable sector, </w:t>
      </w:r>
      <w:r w:rsidR="006636EB">
        <w:rPr>
          <w:rFonts w:ascii="Garamond" w:hAnsi="Garamond"/>
          <w:bCs/>
          <w:iCs/>
          <w:sz w:val="22"/>
          <w:szCs w:val="22"/>
        </w:rPr>
        <w:t xml:space="preserve">were </w:t>
      </w:r>
      <w:proofErr w:type="gramStart"/>
      <w:r w:rsidR="006636EB">
        <w:rPr>
          <w:rFonts w:ascii="Garamond" w:hAnsi="Garamond"/>
          <w:bCs/>
          <w:iCs/>
          <w:sz w:val="22"/>
          <w:szCs w:val="22"/>
        </w:rPr>
        <w:t xml:space="preserve">mentioned </w:t>
      </w:r>
      <w:r w:rsidR="006636EB" w:rsidRPr="00441A9C">
        <w:rPr>
          <w:rFonts w:ascii="Garamond" w:hAnsi="Garamond"/>
          <w:bCs/>
          <w:iCs/>
          <w:sz w:val="22"/>
          <w:szCs w:val="22"/>
        </w:rPr>
        <w:t xml:space="preserve"> </w:t>
      </w:r>
      <w:r w:rsidR="001A1CB5" w:rsidRPr="00441A9C">
        <w:rPr>
          <w:rFonts w:ascii="Garamond" w:hAnsi="Garamond"/>
          <w:bCs/>
          <w:iCs/>
          <w:sz w:val="22"/>
          <w:szCs w:val="22"/>
        </w:rPr>
        <w:t>as</w:t>
      </w:r>
      <w:proofErr w:type="gramEnd"/>
      <w:r w:rsidR="001A1CB5" w:rsidRPr="00441A9C">
        <w:rPr>
          <w:rFonts w:ascii="Garamond" w:hAnsi="Garamond"/>
          <w:bCs/>
          <w:iCs/>
          <w:sz w:val="22"/>
          <w:szCs w:val="22"/>
        </w:rPr>
        <w:t xml:space="preserve"> positive risks in the previous monetary policy program. </w:t>
      </w:r>
      <w:r w:rsidRPr="00441A9C">
        <w:rPr>
          <w:rFonts w:ascii="Garamond" w:hAnsi="Garamond"/>
          <w:sz w:val="22"/>
          <w:szCs w:val="22"/>
        </w:rPr>
        <w:t>As a result, the 201</w:t>
      </w:r>
      <w:r w:rsidR="004F1D2A" w:rsidRPr="00441A9C">
        <w:rPr>
          <w:rFonts w:ascii="Garamond" w:hAnsi="Garamond"/>
          <w:sz w:val="22"/>
          <w:szCs w:val="22"/>
        </w:rPr>
        <w:t>7</w:t>
      </w:r>
      <w:r w:rsidRPr="00441A9C">
        <w:rPr>
          <w:rFonts w:ascii="Garamond" w:hAnsi="Garamond"/>
          <w:sz w:val="22"/>
          <w:szCs w:val="22"/>
        </w:rPr>
        <w:t xml:space="preserve"> economic growth is </w:t>
      </w:r>
      <w:r w:rsidR="003E2200" w:rsidRPr="00441A9C">
        <w:rPr>
          <w:rFonts w:ascii="Garamond" w:hAnsi="Garamond"/>
          <w:sz w:val="22"/>
          <w:szCs w:val="22"/>
        </w:rPr>
        <w:t xml:space="preserve">estimated </w:t>
      </w:r>
      <w:r w:rsidRPr="00441A9C">
        <w:rPr>
          <w:rFonts w:ascii="Garamond" w:hAnsi="Garamond"/>
          <w:sz w:val="22"/>
          <w:szCs w:val="22"/>
        </w:rPr>
        <w:t xml:space="preserve">in the range of </w:t>
      </w:r>
      <w:r w:rsidR="004F1D2A" w:rsidRPr="00441A9C">
        <w:rPr>
          <w:rFonts w:ascii="Garamond" w:hAnsi="Garamond"/>
          <w:sz w:val="22"/>
          <w:szCs w:val="22"/>
        </w:rPr>
        <w:t>3</w:t>
      </w:r>
      <w:r w:rsidRPr="00441A9C">
        <w:rPr>
          <w:rFonts w:ascii="Garamond" w:hAnsi="Garamond"/>
          <w:sz w:val="22"/>
          <w:szCs w:val="22"/>
        </w:rPr>
        <w:t>.</w:t>
      </w:r>
      <w:r w:rsidR="001A1CB5" w:rsidRPr="00441A9C">
        <w:rPr>
          <w:rFonts w:ascii="Garamond" w:hAnsi="Garamond"/>
          <w:sz w:val="22"/>
          <w:szCs w:val="22"/>
        </w:rPr>
        <w:t>9</w:t>
      </w:r>
      <w:r w:rsidRPr="00441A9C">
        <w:rPr>
          <w:rFonts w:ascii="Garamond" w:hAnsi="Garamond"/>
          <w:sz w:val="22"/>
          <w:szCs w:val="22"/>
        </w:rPr>
        <w:t>-</w:t>
      </w:r>
      <w:r w:rsidR="004F1D2A" w:rsidRPr="00441A9C">
        <w:rPr>
          <w:rFonts w:ascii="Garamond" w:hAnsi="Garamond"/>
          <w:sz w:val="22"/>
          <w:szCs w:val="22"/>
        </w:rPr>
        <w:t>4</w:t>
      </w:r>
      <w:r w:rsidRPr="00441A9C">
        <w:rPr>
          <w:rFonts w:ascii="Garamond" w:hAnsi="Garamond"/>
          <w:sz w:val="22"/>
          <w:szCs w:val="22"/>
        </w:rPr>
        <w:t>.</w:t>
      </w:r>
      <w:r w:rsidR="004F1D2A" w:rsidRPr="00441A9C">
        <w:rPr>
          <w:rFonts w:ascii="Garamond" w:hAnsi="Garamond"/>
          <w:sz w:val="22"/>
          <w:szCs w:val="22"/>
        </w:rPr>
        <w:t>8</w:t>
      </w:r>
      <w:r w:rsidRPr="00441A9C">
        <w:rPr>
          <w:rFonts w:ascii="Garamond" w:hAnsi="Garamond"/>
          <w:sz w:val="22"/>
          <w:szCs w:val="22"/>
        </w:rPr>
        <w:t>%</w:t>
      </w:r>
      <w:r w:rsidR="001A1CB5" w:rsidRPr="00441A9C">
        <w:rPr>
          <w:rFonts w:ascii="Garamond" w:hAnsi="Garamond"/>
          <w:sz w:val="22"/>
          <w:szCs w:val="22"/>
        </w:rPr>
        <w:t xml:space="preserve"> instead of the former forecast of 3.3-4.8%</w:t>
      </w:r>
      <w:r w:rsidRPr="00441A9C">
        <w:rPr>
          <w:rFonts w:ascii="Garamond" w:hAnsi="Garamond"/>
          <w:sz w:val="22"/>
          <w:szCs w:val="22"/>
        </w:rPr>
        <w:t xml:space="preserve">. </w:t>
      </w:r>
      <w:r w:rsidR="001A1CB5" w:rsidRPr="00441A9C">
        <w:rPr>
          <w:rFonts w:ascii="Garamond" w:hAnsi="Garamond"/>
          <w:sz w:val="22"/>
          <w:szCs w:val="22"/>
        </w:rPr>
        <w:t>The m</w:t>
      </w:r>
      <w:r w:rsidR="006F0C22" w:rsidRPr="00441A9C">
        <w:rPr>
          <w:rFonts w:ascii="Garamond" w:hAnsi="Garamond"/>
          <w:sz w:val="22"/>
          <w:szCs w:val="22"/>
        </w:rPr>
        <w:t>edium</w:t>
      </w:r>
      <w:r w:rsidR="004F1D2A" w:rsidRPr="00441A9C">
        <w:rPr>
          <w:rFonts w:ascii="Garamond" w:hAnsi="Garamond"/>
          <w:sz w:val="22"/>
          <w:szCs w:val="22"/>
        </w:rPr>
        <w:t>-term forecast</w:t>
      </w:r>
      <w:r w:rsidR="006F0C22" w:rsidRPr="00441A9C">
        <w:rPr>
          <w:rFonts w:ascii="Garamond" w:hAnsi="Garamond"/>
          <w:sz w:val="22"/>
          <w:szCs w:val="22"/>
        </w:rPr>
        <w:t xml:space="preserve"> revisions</w:t>
      </w:r>
      <w:r w:rsidR="004F1D2A" w:rsidRPr="00441A9C">
        <w:rPr>
          <w:rFonts w:ascii="Garamond" w:hAnsi="Garamond"/>
          <w:sz w:val="22"/>
          <w:szCs w:val="22"/>
        </w:rPr>
        <w:t xml:space="preserve"> </w:t>
      </w:r>
      <w:r w:rsidR="006F0C22" w:rsidRPr="00441A9C">
        <w:rPr>
          <w:rFonts w:ascii="Garamond" w:hAnsi="Garamond"/>
          <w:sz w:val="22"/>
          <w:szCs w:val="22"/>
        </w:rPr>
        <w:t>are</w:t>
      </w:r>
      <w:r w:rsidR="001A1CB5" w:rsidRPr="00441A9C">
        <w:rPr>
          <w:rFonts w:ascii="Garamond" w:hAnsi="Garamond"/>
          <w:sz w:val="22"/>
          <w:szCs w:val="22"/>
        </w:rPr>
        <w:t xml:space="preserve"> negligible</w:t>
      </w:r>
      <w:r w:rsidR="004F1D2A" w:rsidRPr="00441A9C">
        <w:rPr>
          <w:rFonts w:ascii="Garamond" w:hAnsi="Garamond"/>
          <w:sz w:val="22"/>
          <w:szCs w:val="22"/>
        </w:rPr>
        <w:t xml:space="preserve">: economic growth in 2018 </w:t>
      </w:r>
      <w:r w:rsidR="006F0C22" w:rsidRPr="00441A9C">
        <w:rPr>
          <w:rFonts w:ascii="Garamond" w:hAnsi="Garamond"/>
          <w:sz w:val="22"/>
          <w:szCs w:val="22"/>
        </w:rPr>
        <w:t xml:space="preserve">is expected </w:t>
      </w:r>
      <w:r w:rsidR="004F1D2A" w:rsidRPr="00441A9C">
        <w:rPr>
          <w:rFonts w:ascii="Garamond" w:hAnsi="Garamond"/>
          <w:sz w:val="22"/>
          <w:szCs w:val="22"/>
        </w:rPr>
        <w:t>within 2.</w:t>
      </w:r>
      <w:r w:rsidR="006F0C22" w:rsidRPr="00441A9C">
        <w:rPr>
          <w:rFonts w:ascii="Garamond" w:hAnsi="Garamond"/>
          <w:sz w:val="22"/>
          <w:szCs w:val="22"/>
        </w:rPr>
        <w:t>8</w:t>
      </w:r>
      <w:r w:rsidR="004F1D2A" w:rsidRPr="00441A9C">
        <w:rPr>
          <w:rFonts w:ascii="Garamond" w:hAnsi="Garamond"/>
          <w:sz w:val="22"/>
          <w:szCs w:val="22"/>
        </w:rPr>
        <w:t>-4.</w:t>
      </w:r>
      <w:r w:rsidR="006F0C22" w:rsidRPr="00441A9C">
        <w:rPr>
          <w:rFonts w:ascii="Garamond" w:hAnsi="Garamond"/>
          <w:sz w:val="22"/>
          <w:szCs w:val="22"/>
        </w:rPr>
        <w:t>2</w:t>
      </w:r>
      <w:r w:rsidR="004F1D2A" w:rsidRPr="00441A9C">
        <w:rPr>
          <w:rFonts w:ascii="Garamond" w:hAnsi="Garamond"/>
          <w:sz w:val="22"/>
          <w:szCs w:val="22"/>
        </w:rPr>
        <w:t>%, in 2019, in the range of 3.</w:t>
      </w:r>
      <w:r w:rsidR="006F0C22" w:rsidRPr="00441A9C">
        <w:rPr>
          <w:rFonts w:ascii="Garamond" w:hAnsi="Garamond"/>
          <w:sz w:val="22"/>
          <w:szCs w:val="22"/>
        </w:rPr>
        <w:t>2</w:t>
      </w:r>
      <w:r w:rsidR="004F1D2A" w:rsidRPr="00441A9C">
        <w:rPr>
          <w:rFonts w:ascii="Garamond" w:hAnsi="Garamond"/>
          <w:sz w:val="22"/>
          <w:szCs w:val="22"/>
        </w:rPr>
        <w:t>-</w:t>
      </w:r>
      <w:r w:rsidR="006F0C22" w:rsidRPr="00441A9C">
        <w:rPr>
          <w:rFonts w:ascii="Garamond" w:hAnsi="Garamond"/>
          <w:sz w:val="22"/>
          <w:szCs w:val="22"/>
        </w:rPr>
        <w:t>4</w:t>
      </w:r>
      <w:r w:rsidR="004F1D2A" w:rsidRPr="00441A9C">
        <w:rPr>
          <w:rFonts w:ascii="Garamond" w:hAnsi="Garamond"/>
          <w:sz w:val="22"/>
          <w:szCs w:val="22"/>
        </w:rPr>
        <w:t>.</w:t>
      </w:r>
      <w:r w:rsidR="006F0C22" w:rsidRPr="00441A9C">
        <w:rPr>
          <w:rFonts w:ascii="Garamond" w:hAnsi="Garamond"/>
          <w:sz w:val="22"/>
          <w:szCs w:val="22"/>
        </w:rPr>
        <w:t>8</w:t>
      </w:r>
      <w:r w:rsidR="004F1D2A" w:rsidRPr="00441A9C">
        <w:rPr>
          <w:rFonts w:ascii="Garamond" w:hAnsi="Garamond"/>
          <w:sz w:val="22"/>
          <w:szCs w:val="22"/>
        </w:rPr>
        <w:t>%</w:t>
      </w:r>
      <w:r w:rsidR="006F0C22" w:rsidRPr="00441A9C">
        <w:rPr>
          <w:rFonts w:ascii="Garamond" w:hAnsi="Garamond"/>
          <w:sz w:val="22"/>
          <w:szCs w:val="22"/>
        </w:rPr>
        <w:t xml:space="preserve"> and in the first half of 2020, 3.7-5.4%</w:t>
      </w:r>
      <w:r w:rsidR="004F1D2A" w:rsidRPr="00441A9C">
        <w:rPr>
          <w:rFonts w:ascii="Garamond" w:hAnsi="Garamond"/>
          <w:sz w:val="22"/>
          <w:szCs w:val="22"/>
        </w:rPr>
        <w:t xml:space="preserve">. </w:t>
      </w:r>
    </w:p>
    <w:p w14:paraId="5527195E" w14:textId="77777777" w:rsidR="006F0C22" w:rsidRPr="00441A9C" w:rsidRDefault="006F0C22" w:rsidP="00B117C8">
      <w:pPr>
        <w:spacing w:line="360" w:lineRule="auto"/>
        <w:jc w:val="both"/>
        <w:rPr>
          <w:rFonts w:ascii="Garamond" w:hAnsi="Garamond"/>
          <w:sz w:val="22"/>
          <w:szCs w:val="22"/>
        </w:rPr>
      </w:pPr>
    </w:p>
    <w:p w14:paraId="58051000" w14:textId="77777777" w:rsidR="008B46FC" w:rsidRPr="00441A9C" w:rsidRDefault="008B46FC" w:rsidP="00B117C8">
      <w:pPr>
        <w:spacing w:line="360" w:lineRule="auto"/>
        <w:jc w:val="both"/>
        <w:rPr>
          <w:rFonts w:ascii="Garamond" w:eastAsia="Calibri" w:hAnsi="Garamond" w:cs="Sylfaen"/>
          <w:sz w:val="22"/>
          <w:szCs w:val="22"/>
        </w:rPr>
      </w:pPr>
      <w:r w:rsidRPr="00441A9C">
        <w:rPr>
          <w:rFonts w:ascii="Garamond" w:eastAsia="Calibri" w:hAnsi="Garamond" w:cs="Sylfaen"/>
          <w:sz w:val="22"/>
          <w:szCs w:val="22"/>
        </w:rPr>
        <w:t>The following developments are expected in the sectors of the domestic economy in the forecast horizon:</w:t>
      </w:r>
    </w:p>
    <w:p w14:paraId="5543BC92" w14:textId="77777777" w:rsidR="000B52F7" w:rsidRPr="00441A9C" w:rsidRDefault="000B52F7" w:rsidP="00B117C8">
      <w:pPr>
        <w:spacing w:line="360" w:lineRule="auto"/>
        <w:jc w:val="both"/>
        <w:rPr>
          <w:rFonts w:ascii="Garamond" w:eastAsia="Calibri" w:hAnsi="Garamond" w:cs="Sylfaen"/>
          <w:sz w:val="22"/>
          <w:szCs w:val="22"/>
        </w:rPr>
      </w:pPr>
    </w:p>
    <w:p w14:paraId="22A60E73" w14:textId="77777777" w:rsidR="00F56008" w:rsidRPr="00441A9C" w:rsidRDefault="000B52F7" w:rsidP="00B117C8">
      <w:pPr>
        <w:spacing w:line="360" w:lineRule="auto"/>
        <w:jc w:val="both"/>
        <w:rPr>
          <w:rFonts w:ascii="Garamond" w:hAnsi="Garamond"/>
          <w:sz w:val="22"/>
          <w:szCs w:val="22"/>
        </w:rPr>
      </w:pPr>
      <w:r w:rsidRPr="00441A9C">
        <w:rPr>
          <w:rFonts w:ascii="Garamond" w:hAnsi="Garamond"/>
          <w:bCs/>
          <w:iCs/>
          <w:color w:val="000000"/>
          <w:sz w:val="22"/>
          <w:szCs w:val="22"/>
        </w:rPr>
        <w:t xml:space="preserve">For </w:t>
      </w:r>
      <w:r w:rsidRPr="00441A9C">
        <w:rPr>
          <w:rFonts w:ascii="Garamond" w:hAnsi="Garamond"/>
          <w:b/>
          <w:bCs/>
          <w:iCs/>
          <w:color w:val="000000"/>
          <w:sz w:val="22"/>
          <w:szCs w:val="22"/>
        </w:rPr>
        <w:t>Industry</w:t>
      </w:r>
      <w:r w:rsidRPr="00441A9C">
        <w:rPr>
          <w:rFonts w:ascii="Garamond" w:hAnsi="Garamond"/>
          <w:bCs/>
          <w:iCs/>
          <w:color w:val="000000"/>
          <w:sz w:val="22"/>
          <w:szCs w:val="22"/>
        </w:rPr>
        <w:t xml:space="preserve">, the </w:t>
      </w:r>
      <w:r w:rsidR="00097BA0" w:rsidRPr="00441A9C">
        <w:rPr>
          <w:rFonts w:ascii="Garamond" w:hAnsi="Garamond"/>
          <w:bCs/>
          <w:iCs/>
          <w:color w:val="000000"/>
          <w:sz w:val="22"/>
          <w:szCs w:val="22"/>
        </w:rPr>
        <w:t xml:space="preserve">2017 </w:t>
      </w:r>
      <w:r w:rsidRPr="00441A9C">
        <w:rPr>
          <w:rFonts w:ascii="Garamond" w:hAnsi="Garamond"/>
          <w:bCs/>
          <w:iCs/>
          <w:color w:val="000000"/>
          <w:sz w:val="22"/>
          <w:szCs w:val="22"/>
        </w:rPr>
        <w:t xml:space="preserve">forecasts were revised </w:t>
      </w:r>
      <w:r w:rsidR="00B520F5" w:rsidRPr="00441A9C">
        <w:rPr>
          <w:rFonts w:ascii="Garamond" w:hAnsi="Garamond"/>
          <w:bCs/>
          <w:iCs/>
          <w:color w:val="000000"/>
          <w:sz w:val="22"/>
          <w:szCs w:val="22"/>
        </w:rPr>
        <w:t>up</w:t>
      </w:r>
      <w:r w:rsidRPr="00441A9C">
        <w:rPr>
          <w:rFonts w:ascii="Garamond" w:hAnsi="Garamond"/>
          <w:bCs/>
          <w:iCs/>
          <w:color w:val="000000"/>
          <w:sz w:val="22"/>
          <w:szCs w:val="22"/>
        </w:rPr>
        <w:t xml:space="preserve">side </w:t>
      </w:r>
      <w:r w:rsidR="004B11F4" w:rsidRPr="00441A9C">
        <w:rPr>
          <w:rFonts w:ascii="Garamond" w:hAnsi="Garamond"/>
          <w:bCs/>
          <w:iCs/>
          <w:color w:val="000000"/>
          <w:sz w:val="22"/>
          <w:szCs w:val="22"/>
        </w:rPr>
        <w:t xml:space="preserve">owing to </w:t>
      </w:r>
      <w:r w:rsidR="00097BA0" w:rsidRPr="00441A9C">
        <w:rPr>
          <w:rFonts w:ascii="Garamond" w:hAnsi="Garamond"/>
          <w:bCs/>
          <w:iCs/>
          <w:color w:val="000000"/>
          <w:sz w:val="22"/>
          <w:szCs w:val="22"/>
        </w:rPr>
        <w:t xml:space="preserve">strong </w:t>
      </w:r>
      <w:r w:rsidR="00B520F5" w:rsidRPr="00441A9C">
        <w:rPr>
          <w:rFonts w:ascii="Garamond" w:hAnsi="Garamond"/>
          <w:bCs/>
          <w:iCs/>
          <w:color w:val="000000"/>
          <w:sz w:val="22"/>
          <w:szCs w:val="22"/>
        </w:rPr>
        <w:t xml:space="preserve">economic activity in the </w:t>
      </w:r>
      <w:r w:rsidR="00097BA0" w:rsidRPr="00441A9C">
        <w:rPr>
          <w:rFonts w:ascii="Garamond" w:hAnsi="Garamond"/>
          <w:bCs/>
          <w:iCs/>
          <w:color w:val="000000"/>
          <w:sz w:val="22"/>
          <w:szCs w:val="22"/>
        </w:rPr>
        <w:t xml:space="preserve">first half of the year </w:t>
      </w:r>
      <w:r w:rsidR="00B520F5" w:rsidRPr="00441A9C">
        <w:rPr>
          <w:rFonts w:ascii="Garamond" w:hAnsi="Garamond"/>
          <w:bCs/>
          <w:iCs/>
          <w:color w:val="000000"/>
          <w:sz w:val="22"/>
          <w:szCs w:val="22"/>
        </w:rPr>
        <w:t xml:space="preserve">and </w:t>
      </w:r>
      <w:r w:rsidR="004B11F4" w:rsidRPr="00441A9C">
        <w:rPr>
          <w:rFonts w:ascii="Garamond" w:hAnsi="Garamond"/>
          <w:bCs/>
          <w:iCs/>
          <w:color w:val="000000"/>
          <w:sz w:val="22"/>
          <w:szCs w:val="22"/>
        </w:rPr>
        <w:t>higher prices of ore and minerals</w:t>
      </w:r>
      <w:r w:rsidR="00097BA0" w:rsidRPr="00441A9C">
        <w:rPr>
          <w:rFonts w:ascii="Garamond" w:hAnsi="Garamond"/>
          <w:bCs/>
          <w:iCs/>
          <w:color w:val="000000"/>
          <w:sz w:val="22"/>
          <w:szCs w:val="22"/>
        </w:rPr>
        <w:t xml:space="preserve"> registered in the same period of time</w:t>
      </w:r>
      <w:r w:rsidR="004B11F4" w:rsidRPr="00441A9C">
        <w:rPr>
          <w:rFonts w:ascii="Garamond" w:hAnsi="Garamond"/>
          <w:bCs/>
          <w:iCs/>
          <w:color w:val="000000"/>
          <w:sz w:val="22"/>
          <w:szCs w:val="22"/>
        </w:rPr>
        <w:t>.</w:t>
      </w:r>
      <w:r w:rsidR="00BD5220" w:rsidRPr="00441A9C">
        <w:rPr>
          <w:rFonts w:ascii="Garamond" w:hAnsi="Garamond"/>
          <w:bCs/>
          <w:iCs/>
          <w:color w:val="000000"/>
          <w:sz w:val="22"/>
          <w:szCs w:val="22"/>
        </w:rPr>
        <w:t xml:space="preserve"> </w:t>
      </w:r>
      <w:r w:rsidR="00097BA0" w:rsidRPr="00441A9C">
        <w:rPr>
          <w:rFonts w:ascii="Garamond" w:hAnsi="Garamond"/>
          <w:bCs/>
          <w:iCs/>
          <w:color w:val="000000"/>
          <w:sz w:val="22"/>
          <w:szCs w:val="22"/>
        </w:rPr>
        <w:t xml:space="preserve">It should be noted that these developments were outlined in the previous projections as positive risks to the industry. </w:t>
      </w:r>
      <w:r w:rsidRPr="00441A9C">
        <w:rPr>
          <w:rFonts w:ascii="Garamond" w:hAnsi="Garamond"/>
          <w:sz w:val="22"/>
          <w:szCs w:val="22"/>
        </w:rPr>
        <w:t>As a result, in 201</w:t>
      </w:r>
      <w:r w:rsidR="00B520F5" w:rsidRPr="00441A9C">
        <w:rPr>
          <w:rFonts w:ascii="Garamond" w:hAnsi="Garamond"/>
          <w:sz w:val="22"/>
          <w:szCs w:val="22"/>
        </w:rPr>
        <w:t>7</w:t>
      </w:r>
      <w:r w:rsidRPr="00441A9C">
        <w:rPr>
          <w:rFonts w:ascii="Garamond" w:hAnsi="Garamond"/>
          <w:sz w:val="22"/>
          <w:szCs w:val="22"/>
        </w:rPr>
        <w:t xml:space="preserve"> the </w:t>
      </w:r>
      <w:r w:rsidR="00A31399" w:rsidRPr="00441A9C">
        <w:rPr>
          <w:rFonts w:ascii="Garamond" w:hAnsi="Garamond"/>
          <w:sz w:val="22"/>
          <w:szCs w:val="22"/>
        </w:rPr>
        <w:t xml:space="preserve">growth of </w:t>
      </w:r>
      <w:r w:rsidRPr="00441A9C">
        <w:rPr>
          <w:rFonts w:ascii="Garamond" w:hAnsi="Garamond"/>
          <w:sz w:val="22"/>
          <w:szCs w:val="22"/>
        </w:rPr>
        <w:t xml:space="preserve">value added in industry is forecast </w:t>
      </w:r>
      <w:r w:rsidR="00A31399" w:rsidRPr="00441A9C">
        <w:rPr>
          <w:rFonts w:ascii="Garamond" w:hAnsi="Garamond"/>
          <w:sz w:val="22"/>
          <w:szCs w:val="22"/>
        </w:rPr>
        <w:t xml:space="preserve">within 7.8-8.6% against the previous forecast of </w:t>
      </w:r>
      <w:r w:rsidR="004B11F4" w:rsidRPr="00441A9C">
        <w:rPr>
          <w:rFonts w:ascii="Garamond" w:hAnsi="Garamond"/>
          <w:sz w:val="22"/>
          <w:szCs w:val="22"/>
        </w:rPr>
        <w:t>7</w:t>
      </w:r>
      <w:r w:rsidRPr="00441A9C">
        <w:rPr>
          <w:rFonts w:ascii="Garamond" w:hAnsi="Garamond"/>
          <w:sz w:val="22"/>
          <w:szCs w:val="22"/>
        </w:rPr>
        <w:t>.</w:t>
      </w:r>
      <w:r w:rsidR="004B11F4" w:rsidRPr="00441A9C">
        <w:rPr>
          <w:rFonts w:ascii="Garamond" w:hAnsi="Garamond"/>
          <w:sz w:val="22"/>
          <w:szCs w:val="22"/>
        </w:rPr>
        <w:t>2</w:t>
      </w:r>
      <w:r w:rsidRPr="00441A9C">
        <w:rPr>
          <w:rFonts w:ascii="Garamond" w:hAnsi="Garamond"/>
          <w:sz w:val="22"/>
          <w:szCs w:val="22"/>
        </w:rPr>
        <w:t>-</w:t>
      </w:r>
      <w:r w:rsidR="004B11F4" w:rsidRPr="00441A9C">
        <w:rPr>
          <w:rFonts w:ascii="Garamond" w:hAnsi="Garamond"/>
          <w:sz w:val="22"/>
          <w:szCs w:val="22"/>
        </w:rPr>
        <w:t>8</w:t>
      </w:r>
      <w:r w:rsidRPr="00441A9C">
        <w:rPr>
          <w:rFonts w:ascii="Garamond" w:hAnsi="Garamond"/>
          <w:sz w:val="22"/>
          <w:szCs w:val="22"/>
        </w:rPr>
        <w:t>.</w:t>
      </w:r>
      <w:r w:rsidR="004B11F4" w:rsidRPr="00441A9C">
        <w:rPr>
          <w:rFonts w:ascii="Garamond" w:hAnsi="Garamond"/>
          <w:sz w:val="22"/>
          <w:szCs w:val="22"/>
        </w:rPr>
        <w:t>4</w:t>
      </w:r>
      <w:r w:rsidRPr="00441A9C">
        <w:rPr>
          <w:rFonts w:ascii="Garamond" w:hAnsi="Garamond"/>
          <w:sz w:val="22"/>
          <w:szCs w:val="22"/>
        </w:rPr>
        <w:t>%</w:t>
      </w:r>
      <w:r w:rsidR="007A334D" w:rsidRPr="00441A9C">
        <w:rPr>
          <w:rFonts w:ascii="Garamond" w:hAnsi="Garamond"/>
          <w:sz w:val="22"/>
          <w:szCs w:val="22"/>
        </w:rPr>
        <w:t>.</w:t>
      </w:r>
      <w:r w:rsidRPr="00441A9C">
        <w:rPr>
          <w:rFonts w:ascii="Garamond" w:hAnsi="Garamond"/>
          <w:sz w:val="22"/>
          <w:szCs w:val="22"/>
        </w:rPr>
        <w:t xml:space="preserve"> </w:t>
      </w:r>
    </w:p>
    <w:p w14:paraId="57850A59" w14:textId="77777777" w:rsidR="00D81CA7" w:rsidRPr="00441A9C" w:rsidRDefault="00D81CA7" w:rsidP="00B117C8">
      <w:pPr>
        <w:spacing w:line="360" w:lineRule="auto"/>
        <w:jc w:val="both"/>
        <w:rPr>
          <w:rFonts w:ascii="Garamond" w:hAnsi="Garamond"/>
          <w:sz w:val="22"/>
          <w:szCs w:val="22"/>
        </w:rPr>
      </w:pPr>
    </w:p>
    <w:p w14:paraId="25EAD77E" w14:textId="77777777" w:rsidR="00814230" w:rsidRPr="00441A9C" w:rsidRDefault="00FF1B7C" w:rsidP="00B117C8">
      <w:pPr>
        <w:spacing w:line="360" w:lineRule="auto"/>
        <w:jc w:val="both"/>
        <w:rPr>
          <w:rFonts w:ascii="Garamond" w:hAnsi="Garamond"/>
          <w:b/>
          <w:bCs/>
          <w:iCs/>
          <w:color w:val="000000"/>
          <w:sz w:val="22"/>
          <w:szCs w:val="22"/>
        </w:rPr>
      </w:pPr>
      <w:r w:rsidRPr="00441A9C">
        <w:rPr>
          <w:rFonts w:ascii="Garamond" w:hAnsi="Garamond"/>
          <w:bCs/>
          <w:iCs/>
          <w:color w:val="000000"/>
          <w:sz w:val="22"/>
          <w:szCs w:val="22"/>
        </w:rPr>
        <w:t xml:space="preserve">For </w:t>
      </w:r>
      <w:r w:rsidRPr="00441A9C">
        <w:rPr>
          <w:rFonts w:ascii="Garamond" w:hAnsi="Garamond"/>
          <w:b/>
          <w:bCs/>
          <w:iCs/>
          <w:color w:val="000000"/>
          <w:sz w:val="22"/>
          <w:szCs w:val="22"/>
        </w:rPr>
        <w:t>Construction</w:t>
      </w:r>
      <w:r w:rsidR="00814230" w:rsidRPr="00441A9C">
        <w:rPr>
          <w:rFonts w:ascii="Garamond" w:hAnsi="Garamond"/>
          <w:bCs/>
          <w:iCs/>
          <w:color w:val="000000"/>
          <w:sz w:val="22"/>
          <w:szCs w:val="22"/>
        </w:rPr>
        <w:t>, the value added forecasts in the sector did not vary significantly from the previous ones; a 1.5-2.4% decline is anticipated in 2017.</w:t>
      </w:r>
      <w:r w:rsidR="00EC7C52" w:rsidRPr="00441A9C">
        <w:rPr>
          <w:rFonts w:ascii="Garamond" w:hAnsi="Garamond"/>
          <w:b/>
          <w:bCs/>
          <w:iCs/>
          <w:color w:val="000000"/>
          <w:sz w:val="22"/>
          <w:szCs w:val="22"/>
        </w:rPr>
        <w:t xml:space="preserve"> </w:t>
      </w:r>
    </w:p>
    <w:p w14:paraId="3D59CA79" w14:textId="77777777" w:rsidR="00814230" w:rsidRPr="00441A9C" w:rsidRDefault="00814230" w:rsidP="00B117C8">
      <w:pPr>
        <w:spacing w:line="360" w:lineRule="auto"/>
        <w:jc w:val="both"/>
        <w:rPr>
          <w:rFonts w:ascii="Garamond" w:hAnsi="Garamond"/>
          <w:b/>
          <w:bCs/>
          <w:iCs/>
          <w:color w:val="000000"/>
          <w:sz w:val="22"/>
          <w:szCs w:val="22"/>
        </w:rPr>
      </w:pPr>
    </w:p>
    <w:p w14:paraId="38B96BA9" w14:textId="77777777" w:rsidR="00EC7C52" w:rsidRPr="00441A9C" w:rsidRDefault="00814230" w:rsidP="00B117C8">
      <w:pPr>
        <w:spacing w:line="360" w:lineRule="auto"/>
        <w:jc w:val="both"/>
        <w:rPr>
          <w:rFonts w:ascii="Garamond" w:hAnsi="Garamond"/>
          <w:bCs/>
          <w:iCs/>
          <w:color w:val="000000"/>
          <w:sz w:val="22"/>
          <w:szCs w:val="22"/>
        </w:rPr>
      </w:pPr>
      <w:r w:rsidRPr="00441A9C">
        <w:rPr>
          <w:rFonts w:ascii="Garamond" w:hAnsi="Garamond"/>
          <w:bCs/>
          <w:iCs/>
          <w:color w:val="000000"/>
          <w:sz w:val="22"/>
          <w:szCs w:val="22"/>
        </w:rPr>
        <w:t xml:space="preserve">For </w:t>
      </w:r>
      <w:r w:rsidRPr="00441A9C">
        <w:rPr>
          <w:rFonts w:ascii="Garamond" w:hAnsi="Garamond"/>
          <w:b/>
          <w:bCs/>
          <w:iCs/>
          <w:color w:val="000000"/>
          <w:sz w:val="22"/>
          <w:szCs w:val="22"/>
        </w:rPr>
        <w:t>Agriculture</w:t>
      </w:r>
      <w:r w:rsidRPr="00441A9C">
        <w:rPr>
          <w:rFonts w:ascii="Garamond" w:hAnsi="Garamond"/>
          <w:bCs/>
          <w:iCs/>
          <w:color w:val="000000"/>
          <w:sz w:val="22"/>
          <w:szCs w:val="22"/>
        </w:rPr>
        <w:t xml:space="preserve">, economic activity slowed down since the second half of 2016 persisted over the first half of this year. As a result, the sector’s growth is estimated in the range of 1.6-2.4% instead of the previous estimation of 3.6-4.4%. </w:t>
      </w:r>
    </w:p>
    <w:p w14:paraId="3C63F4DB" w14:textId="77777777" w:rsidR="00EC7C52" w:rsidRPr="00441A9C" w:rsidRDefault="00EC7C52" w:rsidP="00B117C8">
      <w:pPr>
        <w:spacing w:line="360" w:lineRule="auto"/>
        <w:jc w:val="both"/>
        <w:rPr>
          <w:rFonts w:ascii="Garamond" w:hAnsi="Garamond"/>
          <w:bCs/>
          <w:iCs/>
          <w:color w:val="000000"/>
          <w:sz w:val="22"/>
          <w:szCs w:val="22"/>
        </w:rPr>
      </w:pPr>
    </w:p>
    <w:p w14:paraId="61B553D1" w14:textId="6AE80ABF" w:rsidR="00AC22BB" w:rsidRPr="00441A9C" w:rsidRDefault="009B3C35" w:rsidP="00B117C8">
      <w:pPr>
        <w:spacing w:line="360" w:lineRule="auto"/>
        <w:jc w:val="both"/>
        <w:rPr>
          <w:rFonts w:ascii="Garamond" w:hAnsi="Garamond"/>
          <w:bCs/>
          <w:iCs/>
          <w:color w:val="000000"/>
          <w:sz w:val="22"/>
          <w:szCs w:val="22"/>
        </w:rPr>
      </w:pPr>
      <w:r w:rsidRPr="00441A9C">
        <w:rPr>
          <w:rFonts w:ascii="Garamond" w:hAnsi="Garamond"/>
          <w:bCs/>
          <w:iCs/>
          <w:color w:val="000000"/>
          <w:sz w:val="22"/>
          <w:szCs w:val="22"/>
        </w:rPr>
        <w:lastRenderedPageBreak/>
        <w:t xml:space="preserve">For </w:t>
      </w:r>
      <w:r w:rsidRPr="00441A9C">
        <w:rPr>
          <w:rFonts w:ascii="Garamond" w:hAnsi="Garamond"/>
          <w:b/>
          <w:bCs/>
          <w:iCs/>
          <w:color w:val="000000"/>
          <w:sz w:val="22"/>
          <w:szCs w:val="22"/>
        </w:rPr>
        <w:t>Services</w:t>
      </w:r>
      <w:r w:rsidRPr="00441A9C">
        <w:rPr>
          <w:rFonts w:ascii="Garamond" w:hAnsi="Garamond"/>
          <w:bCs/>
          <w:iCs/>
          <w:color w:val="000000"/>
          <w:sz w:val="22"/>
          <w:szCs w:val="22"/>
        </w:rPr>
        <w:t>, the 201</w:t>
      </w:r>
      <w:r w:rsidR="00C642F3" w:rsidRPr="00441A9C">
        <w:rPr>
          <w:rFonts w:ascii="Garamond" w:hAnsi="Garamond"/>
          <w:bCs/>
          <w:iCs/>
          <w:color w:val="000000"/>
          <w:sz w:val="22"/>
          <w:szCs w:val="22"/>
        </w:rPr>
        <w:t>7</w:t>
      </w:r>
      <w:r w:rsidR="00071477" w:rsidRPr="00441A9C">
        <w:rPr>
          <w:rFonts w:ascii="Garamond" w:hAnsi="Garamond"/>
          <w:bCs/>
          <w:iCs/>
          <w:color w:val="000000"/>
          <w:sz w:val="22"/>
          <w:szCs w:val="22"/>
        </w:rPr>
        <w:t xml:space="preserve"> </w:t>
      </w:r>
      <w:r w:rsidR="008B24F0" w:rsidRPr="00441A9C">
        <w:rPr>
          <w:rFonts w:ascii="Garamond" w:hAnsi="Garamond"/>
          <w:bCs/>
          <w:iCs/>
          <w:color w:val="000000"/>
          <w:sz w:val="22"/>
          <w:szCs w:val="22"/>
        </w:rPr>
        <w:t xml:space="preserve">growth of </w:t>
      </w:r>
      <w:r w:rsidRPr="00441A9C">
        <w:rPr>
          <w:rFonts w:ascii="Garamond" w:hAnsi="Garamond"/>
          <w:bCs/>
          <w:iCs/>
          <w:color w:val="000000"/>
          <w:sz w:val="22"/>
          <w:szCs w:val="22"/>
        </w:rPr>
        <w:t>value</w:t>
      </w:r>
      <w:r w:rsidR="00C642F3" w:rsidRPr="00441A9C">
        <w:rPr>
          <w:rFonts w:ascii="Garamond" w:hAnsi="Garamond"/>
          <w:bCs/>
          <w:iCs/>
          <w:color w:val="000000"/>
          <w:sz w:val="22"/>
          <w:szCs w:val="22"/>
        </w:rPr>
        <w:t xml:space="preserve"> added </w:t>
      </w:r>
      <w:r w:rsidR="008B24F0" w:rsidRPr="00441A9C">
        <w:rPr>
          <w:rFonts w:ascii="Garamond" w:hAnsi="Garamond"/>
          <w:bCs/>
          <w:iCs/>
          <w:color w:val="000000"/>
          <w:sz w:val="22"/>
          <w:szCs w:val="22"/>
        </w:rPr>
        <w:t>will be within</w:t>
      </w:r>
      <w:r w:rsidR="00071477" w:rsidRPr="00441A9C">
        <w:rPr>
          <w:rFonts w:ascii="Garamond" w:hAnsi="Garamond"/>
          <w:bCs/>
          <w:iCs/>
          <w:color w:val="000000"/>
          <w:sz w:val="22"/>
          <w:szCs w:val="22"/>
        </w:rPr>
        <w:t xml:space="preserve"> </w:t>
      </w:r>
      <w:r w:rsidR="008B24F0" w:rsidRPr="00441A9C">
        <w:rPr>
          <w:rFonts w:ascii="Garamond" w:hAnsi="Garamond"/>
          <w:bCs/>
          <w:iCs/>
          <w:color w:val="000000"/>
          <w:sz w:val="22"/>
          <w:szCs w:val="22"/>
        </w:rPr>
        <w:t>4</w:t>
      </w:r>
      <w:r w:rsidR="00071477" w:rsidRPr="00441A9C">
        <w:rPr>
          <w:rFonts w:ascii="Garamond" w:hAnsi="Garamond"/>
          <w:bCs/>
          <w:iCs/>
          <w:color w:val="000000"/>
          <w:sz w:val="22"/>
          <w:szCs w:val="22"/>
        </w:rPr>
        <w:t>.</w:t>
      </w:r>
      <w:r w:rsidR="008B24F0" w:rsidRPr="00441A9C">
        <w:rPr>
          <w:rFonts w:ascii="Garamond" w:hAnsi="Garamond"/>
          <w:bCs/>
          <w:iCs/>
          <w:color w:val="000000"/>
          <w:sz w:val="22"/>
          <w:szCs w:val="22"/>
        </w:rPr>
        <w:t>2</w:t>
      </w:r>
      <w:r w:rsidR="00071477" w:rsidRPr="00441A9C">
        <w:rPr>
          <w:rFonts w:ascii="Garamond" w:hAnsi="Garamond"/>
          <w:bCs/>
          <w:iCs/>
          <w:color w:val="000000"/>
          <w:sz w:val="22"/>
          <w:szCs w:val="22"/>
        </w:rPr>
        <w:t>-4.</w:t>
      </w:r>
      <w:r w:rsidR="008B24F0" w:rsidRPr="00441A9C">
        <w:rPr>
          <w:rFonts w:ascii="Garamond" w:hAnsi="Garamond"/>
          <w:bCs/>
          <w:iCs/>
          <w:color w:val="000000"/>
          <w:sz w:val="22"/>
          <w:szCs w:val="22"/>
        </w:rPr>
        <w:t>6</w:t>
      </w:r>
      <w:r w:rsidR="00071477" w:rsidRPr="00441A9C">
        <w:rPr>
          <w:rFonts w:ascii="Garamond" w:hAnsi="Garamond"/>
          <w:bCs/>
          <w:iCs/>
          <w:color w:val="000000"/>
          <w:sz w:val="22"/>
          <w:szCs w:val="22"/>
        </w:rPr>
        <w:t>%</w:t>
      </w:r>
      <w:r w:rsidR="008B24F0" w:rsidRPr="00441A9C">
        <w:rPr>
          <w:rFonts w:ascii="Garamond" w:hAnsi="Garamond"/>
          <w:bCs/>
          <w:iCs/>
          <w:color w:val="000000"/>
          <w:sz w:val="22"/>
          <w:szCs w:val="22"/>
        </w:rPr>
        <w:t xml:space="preserve">, which is </w:t>
      </w:r>
      <w:r w:rsidR="00071477" w:rsidRPr="00441A9C">
        <w:rPr>
          <w:rFonts w:ascii="Garamond" w:hAnsi="Garamond"/>
          <w:bCs/>
          <w:iCs/>
          <w:color w:val="000000"/>
          <w:sz w:val="22"/>
          <w:szCs w:val="22"/>
        </w:rPr>
        <w:t>higher compared to the previous forecast</w:t>
      </w:r>
      <w:r w:rsidR="008B24F0" w:rsidRPr="00441A9C">
        <w:rPr>
          <w:rFonts w:ascii="Garamond" w:hAnsi="Garamond"/>
          <w:bCs/>
          <w:iCs/>
          <w:color w:val="000000"/>
          <w:sz w:val="22"/>
          <w:szCs w:val="22"/>
        </w:rPr>
        <w:t xml:space="preserve"> (3.4-4.0%).</w:t>
      </w:r>
      <w:r w:rsidR="00071477" w:rsidRPr="00441A9C">
        <w:rPr>
          <w:rFonts w:ascii="Garamond" w:hAnsi="Garamond"/>
          <w:bCs/>
          <w:iCs/>
          <w:color w:val="000000"/>
          <w:sz w:val="22"/>
          <w:szCs w:val="22"/>
        </w:rPr>
        <w:t xml:space="preserve"> </w:t>
      </w:r>
      <w:r w:rsidR="008B24F0" w:rsidRPr="00441A9C">
        <w:rPr>
          <w:rFonts w:ascii="Garamond" w:hAnsi="Garamond"/>
          <w:bCs/>
          <w:iCs/>
          <w:color w:val="000000"/>
          <w:sz w:val="22"/>
          <w:szCs w:val="22"/>
        </w:rPr>
        <w:t xml:space="preserve">The revision is largely determined by a </w:t>
      </w:r>
      <w:proofErr w:type="gramStart"/>
      <w:r w:rsidR="006636EB">
        <w:rPr>
          <w:rFonts w:ascii="Garamond" w:hAnsi="Garamond"/>
          <w:bCs/>
          <w:iCs/>
          <w:color w:val="000000"/>
          <w:sz w:val="22"/>
          <w:szCs w:val="22"/>
        </w:rPr>
        <w:t xml:space="preserve">higher </w:t>
      </w:r>
      <w:r w:rsidR="008B24F0" w:rsidRPr="00441A9C">
        <w:rPr>
          <w:rFonts w:ascii="Garamond" w:hAnsi="Garamond"/>
          <w:bCs/>
          <w:iCs/>
          <w:color w:val="000000"/>
          <w:sz w:val="22"/>
          <w:szCs w:val="22"/>
        </w:rPr>
        <w:t xml:space="preserve"> increase</w:t>
      </w:r>
      <w:proofErr w:type="gramEnd"/>
      <w:r w:rsidR="008B24F0" w:rsidRPr="00441A9C">
        <w:rPr>
          <w:rFonts w:ascii="Garamond" w:hAnsi="Garamond"/>
          <w:bCs/>
          <w:iCs/>
          <w:color w:val="000000"/>
          <w:sz w:val="22"/>
          <w:szCs w:val="22"/>
        </w:rPr>
        <w:t xml:space="preserve"> in the number of tourists visiting Armenia, </w:t>
      </w:r>
      <w:r w:rsidR="006636EB">
        <w:rPr>
          <w:rFonts w:ascii="Garamond" w:hAnsi="Garamond"/>
          <w:bCs/>
          <w:iCs/>
          <w:color w:val="000000"/>
          <w:sz w:val="22"/>
          <w:szCs w:val="22"/>
        </w:rPr>
        <w:t xml:space="preserve"> relative to</w:t>
      </w:r>
      <w:r w:rsidR="008B24F0" w:rsidRPr="00441A9C">
        <w:rPr>
          <w:rFonts w:ascii="Garamond" w:hAnsi="Garamond"/>
          <w:bCs/>
          <w:iCs/>
          <w:color w:val="000000"/>
          <w:sz w:val="22"/>
          <w:szCs w:val="22"/>
        </w:rPr>
        <w:t xml:space="preserve"> the Central Bank expectations</w:t>
      </w:r>
      <w:r w:rsidR="00071477" w:rsidRPr="00441A9C">
        <w:rPr>
          <w:rFonts w:ascii="Garamond" w:hAnsi="Garamond"/>
          <w:bCs/>
          <w:iCs/>
          <w:color w:val="000000"/>
          <w:sz w:val="22"/>
          <w:szCs w:val="22"/>
        </w:rPr>
        <w:t xml:space="preserve">. </w:t>
      </w:r>
    </w:p>
    <w:p w14:paraId="045D661A" w14:textId="77777777" w:rsidR="008B7443" w:rsidRPr="00441A9C" w:rsidRDefault="008B7443" w:rsidP="00B117C8">
      <w:pPr>
        <w:spacing w:line="360" w:lineRule="auto"/>
        <w:jc w:val="both"/>
        <w:rPr>
          <w:rFonts w:ascii="Garamond" w:hAnsi="Garamond"/>
          <w:bCs/>
          <w:iCs/>
          <w:color w:val="000000"/>
          <w:sz w:val="22"/>
          <w:szCs w:val="22"/>
        </w:rPr>
      </w:pPr>
    </w:p>
    <w:p w14:paraId="0E229983" w14:textId="77777777" w:rsidR="008B7443" w:rsidRPr="00441A9C" w:rsidRDefault="008B7443" w:rsidP="00B117C8">
      <w:pPr>
        <w:spacing w:line="360" w:lineRule="auto"/>
        <w:jc w:val="both"/>
        <w:rPr>
          <w:rFonts w:ascii="Garamond" w:hAnsi="Garamond"/>
          <w:sz w:val="22"/>
          <w:szCs w:val="22"/>
        </w:rPr>
      </w:pPr>
      <w:r w:rsidRPr="00441A9C">
        <w:rPr>
          <w:rFonts w:ascii="Garamond" w:hAnsi="Garamond"/>
          <w:sz w:val="22"/>
          <w:szCs w:val="22"/>
        </w:rPr>
        <w:t>The</w:t>
      </w:r>
      <w:r w:rsidR="007E5735" w:rsidRPr="00441A9C">
        <w:rPr>
          <w:rFonts w:ascii="Garamond" w:hAnsi="Garamond"/>
          <w:sz w:val="22"/>
          <w:szCs w:val="22"/>
        </w:rPr>
        <w:t xml:space="preserve">re have been no considerable revisions to the </w:t>
      </w:r>
      <w:r w:rsidRPr="00441A9C">
        <w:rPr>
          <w:rFonts w:ascii="Garamond" w:hAnsi="Garamond"/>
          <w:sz w:val="22"/>
          <w:szCs w:val="22"/>
        </w:rPr>
        <w:t xml:space="preserve">developments anticipated in the </w:t>
      </w:r>
      <w:r w:rsidR="007E5735" w:rsidRPr="00441A9C">
        <w:rPr>
          <w:rFonts w:ascii="Garamond" w:hAnsi="Garamond"/>
          <w:sz w:val="22"/>
          <w:szCs w:val="22"/>
        </w:rPr>
        <w:t xml:space="preserve">sectors of domestic </w:t>
      </w:r>
      <w:r w:rsidRPr="00441A9C">
        <w:rPr>
          <w:rFonts w:ascii="Garamond" w:hAnsi="Garamond"/>
          <w:sz w:val="22"/>
          <w:szCs w:val="22"/>
        </w:rPr>
        <w:t xml:space="preserve">economy </w:t>
      </w:r>
      <w:r w:rsidR="007E5735" w:rsidRPr="00441A9C">
        <w:rPr>
          <w:rFonts w:ascii="Garamond" w:hAnsi="Garamond"/>
          <w:sz w:val="22"/>
          <w:szCs w:val="22"/>
        </w:rPr>
        <w:t xml:space="preserve">for </w:t>
      </w:r>
      <w:r w:rsidRPr="00441A9C">
        <w:rPr>
          <w:rFonts w:ascii="Garamond" w:hAnsi="Garamond"/>
          <w:sz w:val="22"/>
          <w:szCs w:val="22"/>
        </w:rPr>
        <w:t>2018-2019</w:t>
      </w:r>
      <w:r w:rsidR="007E5735" w:rsidRPr="00441A9C">
        <w:rPr>
          <w:rFonts w:ascii="Garamond" w:hAnsi="Garamond"/>
          <w:sz w:val="22"/>
          <w:szCs w:val="22"/>
        </w:rPr>
        <w:t>:</w:t>
      </w:r>
      <w:r w:rsidRPr="00441A9C">
        <w:rPr>
          <w:rFonts w:ascii="Garamond" w:hAnsi="Garamond"/>
          <w:sz w:val="22"/>
          <w:szCs w:val="22"/>
        </w:rPr>
        <w:t xml:space="preserve"> industry, construction, agriculture and services are expected to increase by 6.0-7.0%, 2.0-2.8%, 4.4-5.2% and 3.1-3.7%</w:t>
      </w:r>
      <w:r w:rsidR="007E5735" w:rsidRPr="00441A9C">
        <w:rPr>
          <w:rFonts w:ascii="Garamond" w:hAnsi="Garamond"/>
          <w:sz w:val="22"/>
          <w:szCs w:val="22"/>
        </w:rPr>
        <w:t>,</w:t>
      </w:r>
      <w:r w:rsidRPr="00441A9C">
        <w:rPr>
          <w:rFonts w:ascii="Garamond" w:hAnsi="Garamond"/>
          <w:sz w:val="22"/>
          <w:szCs w:val="22"/>
        </w:rPr>
        <w:t xml:space="preserve"> respectively.</w:t>
      </w:r>
    </w:p>
    <w:p w14:paraId="6067F48E" w14:textId="77777777" w:rsidR="00AC22BB" w:rsidRPr="00441A9C" w:rsidRDefault="00AC22BB" w:rsidP="00B117C8">
      <w:pPr>
        <w:spacing w:line="360" w:lineRule="auto"/>
        <w:jc w:val="both"/>
        <w:rPr>
          <w:rFonts w:ascii="Garamond" w:hAnsi="Garamond"/>
          <w:sz w:val="22"/>
          <w:szCs w:val="22"/>
        </w:rPr>
      </w:pPr>
    </w:p>
    <w:p w14:paraId="0F1DCDBF" w14:textId="77777777" w:rsidR="00290291" w:rsidRPr="00441A9C" w:rsidRDefault="00071477" w:rsidP="00B117C8">
      <w:pPr>
        <w:spacing w:line="360" w:lineRule="auto"/>
        <w:jc w:val="both"/>
        <w:rPr>
          <w:rFonts w:ascii="Garamond" w:hAnsi="Garamond"/>
          <w:sz w:val="22"/>
          <w:szCs w:val="22"/>
        </w:rPr>
      </w:pPr>
      <w:r w:rsidRPr="00441A9C">
        <w:rPr>
          <w:rFonts w:ascii="Garamond" w:hAnsi="Garamond"/>
          <w:sz w:val="22"/>
          <w:szCs w:val="22"/>
        </w:rPr>
        <w:t>I</w:t>
      </w:r>
      <w:r w:rsidR="00290291" w:rsidRPr="00441A9C">
        <w:rPr>
          <w:rFonts w:ascii="Garamond" w:hAnsi="Garamond"/>
          <w:sz w:val="22"/>
          <w:szCs w:val="22"/>
        </w:rPr>
        <w:t xml:space="preserve">n the </w:t>
      </w:r>
      <w:r w:rsidR="00290291" w:rsidRPr="00441A9C">
        <w:rPr>
          <w:rFonts w:ascii="Garamond" w:hAnsi="Garamond"/>
          <w:b/>
          <w:sz w:val="22"/>
          <w:szCs w:val="22"/>
        </w:rPr>
        <w:t>forecast horizon</w:t>
      </w:r>
      <w:r w:rsidR="007E5735" w:rsidRPr="00441A9C">
        <w:rPr>
          <w:rFonts w:ascii="Garamond" w:hAnsi="Garamond"/>
          <w:sz w:val="22"/>
          <w:szCs w:val="22"/>
        </w:rPr>
        <w:t xml:space="preserve"> </w:t>
      </w:r>
      <w:r w:rsidR="00290291" w:rsidRPr="00441A9C">
        <w:rPr>
          <w:rFonts w:ascii="Garamond" w:hAnsi="Garamond"/>
          <w:bCs/>
          <w:iCs/>
          <w:color w:val="000000"/>
          <w:sz w:val="22"/>
          <w:szCs w:val="22"/>
        </w:rPr>
        <w:t>risks to the economic growth are dual-sided</w:t>
      </w:r>
      <w:r w:rsidR="007E5735" w:rsidRPr="00441A9C">
        <w:rPr>
          <w:rFonts w:ascii="Garamond" w:hAnsi="Garamond"/>
          <w:bCs/>
          <w:iCs/>
          <w:color w:val="000000"/>
          <w:sz w:val="22"/>
          <w:szCs w:val="22"/>
        </w:rPr>
        <w:t xml:space="preserve"> and balanced.</w:t>
      </w:r>
    </w:p>
    <w:p w14:paraId="056AC9EB" w14:textId="77777777" w:rsidR="00290291" w:rsidRPr="00441A9C" w:rsidRDefault="00290291" w:rsidP="00B117C8">
      <w:pPr>
        <w:spacing w:line="360" w:lineRule="auto"/>
        <w:jc w:val="both"/>
        <w:rPr>
          <w:rFonts w:ascii="Garamond" w:hAnsi="Garamond"/>
          <w:b/>
          <w:sz w:val="22"/>
          <w:szCs w:val="22"/>
        </w:rPr>
      </w:pPr>
    </w:p>
    <w:p w14:paraId="6CD0F251" w14:textId="23DBBB44" w:rsidR="00290291" w:rsidRPr="00441A9C" w:rsidRDefault="00290291" w:rsidP="00B117C8">
      <w:pPr>
        <w:spacing w:line="360" w:lineRule="auto"/>
        <w:jc w:val="both"/>
        <w:rPr>
          <w:rFonts w:ascii="Garamond" w:hAnsi="Garamond"/>
          <w:sz w:val="22"/>
          <w:szCs w:val="22"/>
        </w:rPr>
      </w:pPr>
      <w:r w:rsidRPr="00441A9C">
        <w:rPr>
          <w:rFonts w:ascii="Garamond" w:hAnsi="Garamond"/>
          <w:sz w:val="22"/>
          <w:szCs w:val="22"/>
        </w:rPr>
        <w:t xml:space="preserve">Among upside risks, most prominent </w:t>
      </w:r>
      <w:r w:rsidR="001678F7" w:rsidRPr="00441A9C">
        <w:rPr>
          <w:rFonts w:ascii="Garamond" w:hAnsi="Garamond"/>
          <w:sz w:val="22"/>
          <w:szCs w:val="22"/>
        </w:rPr>
        <w:t>is</w:t>
      </w:r>
      <w:r w:rsidRPr="00441A9C">
        <w:rPr>
          <w:rFonts w:ascii="Garamond" w:hAnsi="Garamond"/>
          <w:sz w:val="22"/>
          <w:szCs w:val="22"/>
        </w:rPr>
        <w:t xml:space="preserve"> the </w:t>
      </w:r>
      <w:r w:rsidR="001678F7" w:rsidRPr="00441A9C">
        <w:rPr>
          <w:rFonts w:ascii="Garamond" w:hAnsi="Garamond"/>
          <w:sz w:val="22"/>
          <w:szCs w:val="22"/>
        </w:rPr>
        <w:t xml:space="preserve">implementation of a number of projects </w:t>
      </w:r>
      <w:r w:rsidR="00071477" w:rsidRPr="00441A9C">
        <w:rPr>
          <w:rFonts w:ascii="Garamond" w:hAnsi="Garamond"/>
          <w:sz w:val="22"/>
          <w:szCs w:val="22"/>
        </w:rPr>
        <w:t xml:space="preserve">by the Government of Armenia </w:t>
      </w:r>
      <w:r w:rsidR="001678F7" w:rsidRPr="00441A9C">
        <w:rPr>
          <w:rFonts w:ascii="Garamond" w:hAnsi="Garamond"/>
          <w:sz w:val="22"/>
          <w:szCs w:val="22"/>
        </w:rPr>
        <w:t xml:space="preserve">aimed at improving the business climate and </w:t>
      </w:r>
      <w:r w:rsidR="007E5735" w:rsidRPr="00441A9C">
        <w:rPr>
          <w:rFonts w:ascii="Garamond" w:hAnsi="Garamond"/>
          <w:sz w:val="22"/>
          <w:szCs w:val="22"/>
        </w:rPr>
        <w:t xml:space="preserve">investment </w:t>
      </w:r>
      <w:r w:rsidR="00093826" w:rsidRPr="00441A9C">
        <w:rPr>
          <w:rFonts w:ascii="Garamond" w:hAnsi="Garamond"/>
          <w:sz w:val="22"/>
          <w:szCs w:val="22"/>
        </w:rPr>
        <w:t>promoti</w:t>
      </w:r>
      <w:r w:rsidR="007E5735" w:rsidRPr="00441A9C">
        <w:rPr>
          <w:rFonts w:ascii="Garamond" w:hAnsi="Garamond"/>
          <w:sz w:val="22"/>
          <w:szCs w:val="22"/>
        </w:rPr>
        <w:t xml:space="preserve">on </w:t>
      </w:r>
      <w:r w:rsidR="00093826" w:rsidRPr="00441A9C">
        <w:rPr>
          <w:rFonts w:ascii="Garamond" w:hAnsi="Garamond"/>
          <w:sz w:val="22"/>
          <w:szCs w:val="22"/>
        </w:rPr>
        <w:t xml:space="preserve">and </w:t>
      </w:r>
      <w:r w:rsidR="006636EB">
        <w:rPr>
          <w:rFonts w:ascii="Garamond" w:hAnsi="Garamond"/>
          <w:sz w:val="22"/>
          <w:szCs w:val="22"/>
        </w:rPr>
        <w:t xml:space="preserve">their impact </w:t>
      </w:r>
      <w:proofErr w:type="gramStart"/>
      <w:r w:rsidR="006636EB">
        <w:rPr>
          <w:rFonts w:ascii="Garamond" w:hAnsi="Garamond"/>
          <w:sz w:val="22"/>
          <w:szCs w:val="22"/>
        </w:rPr>
        <w:t xml:space="preserve">on </w:t>
      </w:r>
      <w:r w:rsidR="00093826" w:rsidRPr="00441A9C">
        <w:rPr>
          <w:rFonts w:ascii="Garamond" w:hAnsi="Garamond"/>
          <w:sz w:val="22"/>
          <w:szCs w:val="22"/>
        </w:rPr>
        <w:t xml:space="preserve"> the</w:t>
      </w:r>
      <w:proofErr w:type="gramEnd"/>
      <w:r w:rsidR="00093826" w:rsidRPr="00441A9C">
        <w:rPr>
          <w:rFonts w:ascii="Garamond" w:hAnsi="Garamond"/>
          <w:sz w:val="22"/>
          <w:szCs w:val="22"/>
        </w:rPr>
        <w:t xml:space="preserve"> economic growth. The domestic economic agents </w:t>
      </w:r>
      <w:r w:rsidR="00170831" w:rsidRPr="00441A9C">
        <w:rPr>
          <w:rFonts w:ascii="Garamond" w:hAnsi="Garamond"/>
          <w:sz w:val="22"/>
          <w:szCs w:val="22"/>
        </w:rPr>
        <w:t xml:space="preserve">exploring </w:t>
      </w:r>
      <w:r w:rsidR="007E5735" w:rsidRPr="00441A9C">
        <w:rPr>
          <w:rFonts w:ascii="Garamond" w:hAnsi="Garamond"/>
          <w:sz w:val="22"/>
          <w:szCs w:val="22"/>
        </w:rPr>
        <w:t xml:space="preserve">and entering </w:t>
      </w:r>
      <w:r w:rsidR="00170831" w:rsidRPr="00441A9C">
        <w:rPr>
          <w:rFonts w:ascii="Garamond" w:hAnsi="Garamond"/>
          <w:sz w:val="22"/>
          <w:szCs w:val="22"/>
        </w:rPr>
        <w:t>new export markets</w:t>
      </w:r>
      <w:r w:rsidR="00071477" w:rsidRPr="00441A9C">
        <w:rPr>
          <w:rFonts w:ascii="Garamond" w:hAnsi="Garamond"/>
          <w:sz w:val="22"/>
          <w:szCs w:val="22"/>
        </w:rPr>
        <w:t xml:space="preserve"> and creating new products </w:t>
      </w:r>
      <w:r w:rsidR="007E5735" w:rsidRPr="00441A9C">
        <w:rPr>
          <w:rFonts w:ascii="Garamond" w:hAnsi="Garamond"/>
          <w:sz w:val="22"/>
          <w:szCs w:val="22"/>
        </w:rPr>
        <w:t xml:space="preserve">in recent years </w:t>
      </w:r>
      <w:r w:rsidR="00071477" w:rsidRPr="00441A9C">
        <w:rPr>
          <w:rFonts w:ascii="Garamond" w:hAnsi="Garamond"/>
          <w:sz w:val="22"/>
          <w:szCs w:val="22"/>
        </w:rPr>
        <w:t xml:space="preserve">in order to bolster the GDP potential </w:t>
      </w:r>
      <w:r w:rsidR="00093826" w:rsidRPr="00441A9C">
        <w:rPr>
          <w:rFonts w:ascii="Garamond" w:hAnsi="Garamond"/>
          <w:sz w:val="22"/>
          <w:szCs w:val="22"/>
        </w:rPr>
        <w:t>are other positive risks to the growth.</w:t>
      </w:r>
    </w:p>
    <w:p w14:paraId="26ED053D" w14:textId="77777777" w:rsidR="006203FB" w:rsidRPr="00441A9C" w:rsidRDefault="006203FB" w:rsidP="00B117C8">
      <w:pPr>
        <w:spacing w:line="360" w:lineRule="auto"/>
        <w:jc w:val="both"/>
        <w:rPr>
          <w:rFonts w:ascii="Garamond" w:hAnsi="Garamond"/>
          <w:sz w:val="22"/>
          <w:szCs w:val="22"/>
        </w:rPr>
      </w:pPr>
    </w:p>
    <w:p w14:paraId="6DEEB9B8" w14:textId="77F0ACA9" w:rsidR="006203FB" w:rsidRPr="00441A9C" w:rsidRDefault="00A33C4E" w:rsidP="00B117C8">
      <w:pPr>
        <w:spacing w:line="360" w:lineRule="auto"/>
        <w:jc w:val="both"/>
        <w:rPr>
          <w:rFonts w:ascii="Garamond" w:hAnsi="Garamond"/>
          <w:sz w:val="22"/>
          <w:szCs w:val="22"/>
        </w:rPr>
      </w:pPr>
      <w:r w:rsidRPr="00441A9C">
        <w:rPr>
          <w:rFonts w:ascii="Garamond" w:hAnsi="Garamond"/>
          <w:sz w:val="22"/>
          <w:szCs w:val="22"/>
        </w:rPr>
        <w:t>A</w:t>
      </w:r>
      <w:r w:rsidR="00422B72" w:rsidRPr="00441A9C">
        <w:rPr>
          <w:rFonts w:ascii="Garamond" w:hAnsi="Garamond"/>
          <w:sz w:val="22"/>
          <w:szCs w:val="22"/>
        </w:rPr>
        <w:t xml:space="preserve"> </w:t>
      </w:r>
      <w:r w:rsidR="00CE0A67" w:rsidRPr="00441A9C">
        <w:rPr>
          <w:rFonts w:ascii="Garamond" w:hAnsi="Garamond"/>
          <w:sz w:val="22"/>
          <w:szCs w:val="22"/>
        </w:rPr>
        <w:t xml:space="preserve">slower-than-expected recovery of private demand in </w:t>
      </w:r>
      <w:r w:rsidR="00422B72" w:rsidRPr="00441A9C">
        <w:rPr>
          <w:rFonts w:ascii="Garamond" w:hAnsi="Garamond"/>
          <w:sz w:val="22"/>
          <w:szCs w:val="22"/>
        </w:rPr>
        <w:t>the medium run</w:t>
      </w:r>
      <w:r w:rsidR="00560262" w:rsidRPr="00441A9C">
        <w:rPr>
          <w:rFonts w:ascii="Garamond" w:hAnsi="Garamond"/>
          <w:sz w:val="22"/>
          <w:szCs w:val="22"/>
        </w:rPr>
        <w:t xml:space="preserve"> is a downside risk.</w:t>
      </w:r>
      <w:r w:rsidRPr="00441A9C">
        <w:rPr>
          <w:rFonts w:ascii="Garamond" w:hAnsi="Garamond"/>
          <w:sz w:val="22"/>
          <w:szCs w:val="22"/>
        </w:rPr>
        <w:t xml:space="preserve"> </w:t>
      </w:r>
      <w:r w:rsidR="006636EB">
        <w:rPr>
          <w:rFonts w:ascii="Garamond" w:hAnsi="Garamond"/>
          <w:sz w:val="22"/>
          <w:szCs w:val="22"/>
        </w:rPr>
        <w:t xml:space="preserve">The speed of recovery </w:t>
      </w:r>
      <w:proofErr w:type="gramStart"/>
      <w:r w:rsidR="006636EB">
        <w:rPr>
          <w:rFonts w:ascii="Garamond" w:hAnsi="Garamond"/>
          <w:sz w:val="22"/>
          <w:szCs w:val="22"/>
        </w:rPr>
        <w:t xml:space="preserve">of </w:t>
      </w:r>
      <w:r w:rsidR="006636EB" w:rsidRPr="00441A9C">
        <w:rPr>
          <w:rFonts w:ascii="Garamond" w:hAnsi="Garamond"/>
          <w:sz w:val="22"/>
          <w:szCs w:val="22"/>
        </w:rPr>
        <w:t xml:space="preserve"> </w:t>
      </w:r>
      <w:r w:rsidR="00560262" w:rsidRPr="00441A9C">
        <w:rPr>
          <w:rFonts w:ascii="Garamond" w:hAnsi="Garamond"/>
          <w:sz w:val="22"/>
          <w:szCs w:val="22"/>
        </w:rPr>
        <w:t>world</w:t>
      </w:r>
      <w:proofErr w:type="gramEnd"/>
      <w:r w:rsidR="00560262" w:rsidRPr="00441A9C">
        <w:rPr>
          <w:rFonts w:ascii="Garamond" w:hAnsi="Garamond"/>
          <w:sz w:val="22"/>
          <w:szCs w:val="22"/>
        </w:rPr>
        <w:t xml:space="preserve"> economy compared </w:t>
      </w:r>
      <w:r w:rsidR="00625F3B" w:rsidRPr="00441A9C">
        <w:rPr>
          <w:rFonts w:ascii="Garamond" w:hAnsi="Garamond"/>
          <w:sz w:val="22"/>
          <w:szCs w:val="22"/>
        </w:rPr>
        <w:t>to the baseline scenario, adverse weather conditions</w:t>
      </w:r>
      <w:r w:rsidR="00422B72" w:rsidRPr="00441A9C">
        <w:rPr>
          <w:rFonts w:ascii="Garamond" w:hAnsi="Garamond"/>
          <w:sz w:val="22"/>
          <w:szCs w:val="22"/>
        </w:rPr>
        <w:t xml:space="preserve"> </w:t>
      </w:r>
      <w:r w:rsidR="00CE0A67" w:rsidRPr="00441A9C">
        <w:rPr>
          <w:rFonts w:ascii="Garamond" w:hAnsi="Garamond"/>
          <w:sz w:val="22"/>
          <w:szCs w:val="22"/>
        </w:rPr>
        <w:t>and</w:t>
      </w:r>
      <w:r w:rsidR="006203FB" w:rsidRPr="00441A9C">
        <w:rPr>
          <w:rFonts w:ascii="Garamond" w:hAnsi="Garamond"/>
          <w:sz w:val="22"/>
          <w:szCs w:val="22"/>
        </w:rPr>
        <w:t xml:space="preserve"> </w:t>
      </w:r>
      <w:r w:rsidR="00625F3B" w:rsidRPr="00441A9C">
        <w:rPr>
          <w:rFonts w:ascii="Garamond" w:hAnsi="Garamond"/>
          <w:sz w:val="22"/>
          <w:szCs w:val="22"/>
        </w:rPr>
        <w:t xml:space="preserve">the </w:t>
      </w:r>
      <w:r w:rsidR="006203FB" w:rsidRPr="00441A9C">
        <w:rPr>
          <w:rFonts w:ascii="Garamond" w:hAnsi="Garamond"/>
          <w:sz w:val="22"/>
          <w:szCs w:val="22"/>
        </w:rPr>
        <w:t xml:space="preserve">pace </w:t>
      </w:r>
      <w:r w:rsidR="00560262" w:rsidRPr="00441A9C">
        <w:rPr>
          <w:rFonts w:ascii="Garamond" w:hAnsi="Garamond"/>
          <w:sz w:val="22"/>
          <w:szCs w:val="22"/>
        </w:rPr>
        <w:t xml:space="preserve">at which </w:t>
      </w:r>
      <w:r w:rsidR="006203FB" w:rsidRPr="00441A9C">
        <w:rPr>
          <w:rFonts w:ascii="Garamond" w:hAnsi="Garamond"/>
          <w:sz w:val="22"/>
          <w:szCs w:val="22"/>
        </w:rPr>
        <w:t>structural reforms</w:t>
      </w:r>
      <w:r w:rsidR="005623DD" w:rsidRPr="00441A9C">
        <w:rPr>
          <w:rFonts w:ascii="Garamond" w:hAnsi="Garamond"/>
          <w:sz w:val="22"/>
          <w:szCs w:val="22"/>
        </w:rPr>
        <w:t xml:space="preserve"> </w:t>
      </w:r>
      <w:r w:rsidR="00560262" w:rsidRPr="00441A9C">
        <w:rPr>
          <w:rFonts w:ascii="Garamond" w:hAnsi="Garamond"/>
          <w:sz w:val="22"/>
          <w:szCs w:val="22"/>
        </w:rPr>
        <w:t xml:space="preserve">are pushed ahead remain </w:t>
      </w:r>
      <w:r w:rsidR="00625F3B" w:rsidRPr="00441A9C">
        <w:rPr>
          <w:rFonts w:ascii="Garamond" w:hAnsi="Garamond"/>
          <w:sz w:val="22"/>
          <w:szCs w:val="22"/>
        </w:rPr>
        <w:t>dual-sided risks</w:t>
      </w:r>
      <w:r w:rsidR="006636EB">
        <w:rPr>
          <w:rFonts w:ascii="Garamond" w:hAnsi="Garamond"/>
          <w:sz w:val="22"/>
          <w:szCs w:val="22"/>
        </w:rPr>
        <w:t xml:space="preserve"> for economic growth</w:t>
      </w:r>
      <w:r w:rsidR="006203FB" w:rsidRPr="00441A9C">
        <w:rPr>
          <w:rFonts w:ascii="Garamond" w:hAnsi="Garamond"/>
          <w:sz w:val="22"/>
          <w:szCs w:val="22"/>
        </w:rPr>
        <w:t>.</w:t>
      </w:r>
    </w:p>
    <w:p w14:paraId="7A57A966" w14:textId="77777777" w:rsidR="00C70554" w:rsidRPr="00441A9C" w:rsidRDefault="00C70554" w:rsidP="00B117C8">
      <w:pPr>
        <w:spacing w:line="360" w:lineRule="auto"/>
        <w:jc w:val="both"/>
        <w:rPr>
          <w:rFonts w:ascii="Garamond" w:hAnsi="Garamond"/>
          <w:sz w:val="22"/>
          <w:szCs w:val="22"/>
        </w:rPr>
      </w:pPr>
    </w:p>
    <w:p w14:paraId="100A9B14" w14:textId="77777777" w:rsidR="00C70554" w:rsidRPr="00441A9C" w:rsidRDefault="00C70554" w:rsidP="00B117C8">
      <w:pPr>
        <w:spacing w:line="360" w:lineRule="auto"/>
        <w:jc w:val="both"/>
        <w:rPr>
          <w:rFonts w:ascii="Garamond" w:hAnsi="Garamond"/>
          <w:sz w:val="22"/>
          <w:szCs w:val="22"/>
        </w:rPr>
      </w:pPr>
      <w:r w:rsidRPr="00441A9C">
        <w:rPr>
          <w:rFonts w:ascii="Garamond" w:hAnsi="Garamond" w:cs="Sylfaen"/>
          <w:b/>
          <w:iCs/>
          <w:sz w:val="22"/>
          <w:szCs w:val="22"/>
        </w:rPr>
        <w:t>Labor market:</w:t>
      </w:r>
      <w:r w:rsidR="00625F3B" w:rsidRPr="00441A9C">
        <w:rPr>
          <w:rStyle w:val="FootnoteReference"/>
          <w:rFonts w:ascii="Garamond" w:hAnsi="Garamond" w:cs="Sylfaen"/>
          <w:iCs/>
          <w:sz w:val="22"/>
          <w:szCs w:val="22"/>
        </w:rPr>
        <w:footnoteReference w:customMarkFollows="1" w:id="3"/>
        <w:t>3</w:t>
      </w:r>
      <w:r w:rsidRPr="00441A9C">
        <w:rPr>
          <w:rFonts w:ascii="Garamond" w:hAnsi="Garamond" w:cs="Sylfaen"/>
          <w:iCs/>
          <w:sz w:val="22"/>
          <w:szCs w:val="22"/>
        </w:rPr>
        <w:t xml:space="preserve"> The </w:t>
      </w:r>
      <w:r w:rsidR="00E14046" w:rsidRPr="00441A9C">
        <w:rPr>
          <w:rFonts w:ascii="Garamond" w:hAnsi="Garamond" w:cs="Sylfaen"/>
          <w:iCs/>
          <w:sz w:val="22"/>
          <w:szCs w:val="22"/>
        </w:rPr>
        <w:t>average nominal wage</w:t>
      </w:r>
      <w:r w:rsidR="00446630" w:rsidRPr="00441A9C">
        <w:rPr>
          <w:rStyle w:val="FootnoteReference"/>
          <w:rFonts w:ascii="Garamond" w:hAnsi="Garamond" w:cs="Sylfaen"/>
          <w:iCs/>
          <w:sz w:val="22"/>
          <w:szCs w:val="22"/>
        </w:rPr>
        <w:footnoteReference w:customMarkFollows="1" w:id="4"/>
        <w:t>4</w:t>
      </w:r>
      <w:r w:rsidR="00E14046" w:rsidRPr="00441A9C">
        <w:rPr>
          <w:rFonts w:ascii="Garamond" w:hAnsi="Garamond" w:cs="Sylfaen"/>
          <w:iCs/>
          <w:sz w:val="22"/>
          <w:szCs w:val="22"/>
        </w:rPr>
        <w:t xml:space="preserve"> forecasts for </w:t>
      </w:r>
      <w:r w:rsidRPr="00441A9C">
        <w:rPr>
          <w:rFonts w:ascii="Garamond" w:hAnsi="Garamond" w:cs="Sylfaen"/>
          <w:iCs/>
          <w:sz w:val="22"/>
          <w:szCs w:val="22"/>
        </w:rPr>
        <w:t>201</w:t>
      </w:r>
      <w:r w:rsidR="008E001C" w:rsidRPr="00441A9C">
        <w:rPr>
          <w:rFonts w:ascii="Garamond" w:hAnsi="Garamond" w:cs="Sylfaen"/>
          <w:iCs/>
          <w:sz w:val="22"/>
          <w:szCs w:val="22"/>
        </w:rPr>
        <w:t>7</w:t>
      </w:r>
      <w:r w:rsidRPr="00441A9C">
        <w:rPr>
          <w:rFonts w:ascii="Garamond" w:hAnsi="Garamond" w:cs="Sylfaen"/>
          <w:iCs/>
          <w:sz w:val="22"/>
          <w:szCs w:val="22"/>
        </w:rPr>
        <w:t>-201</w:t>
      </w:r>
      <w:r w:rsidR="00E14046" w:rsidRPr="00441A9C">
        <w:rPr>
          <w:rFonts w:ascii="Garamond" w:hAnsi="Garamond" w:cs="Sylfaen"/>
          <w:iCs/>
          <w:sz w:val="22"/>
          <w:szCs w:val="22"/>
        </w:rPr>
        <w:t>9</w:t>
      </w:r>
      <w:r w:rsidRPr="00441A9C">
        <w:rPr>
          <w:rFonts w:ascii="Garamond" w:hAnsi="Garamond" w:cs="Sylfaen"/>
          <w:iCs/>
          <w:sz w:val="22"/>
          <w:szCs w:val="22"/>
        </w:rPr>
        <w:t xml:space="preserve"> </w:t>
      </w:r>
      <w:r w:rsidR="00E14046" w:rsidRPr="00441A9C">
        <w:rPr>
          <w:rFonts w:ascii="Garamond" w:hAnsi="Garamond" w:cs="Sylfaen"/>
          <w:iCs/>
          <w:sz w:val="22"/>
          <w:szCs w:val="22"/>
        </w:rPr>
        <w:t xml:space="preserve">were adjusted </w:t>
      </w:r>
      <w:r w:rsidR="00446630" w:rsidRPr="00441A9C">
        <w:rPr>
          <w:rFonts w:ascii="Garamond" w:hAnsi="Garamond" w:cs="Sylfaen"/>
          <w:iCs/>
          <w:sz w:val="22"/>
          <w:szCs w:val="22"/>
        </w:rPr>
        <w:t>up</w:t>
      </w:r>
      <w:r w:rsidR="00E14046" w:rsidRPr="00441A9C">
        <w:rPr>
          <w:rFonts w:ascii="Garamond" w:hAnsi="Garamond" w:cs="Sylfaen"/>
          <w:iCs/>
          <w:sz w:val="22"/>
          <w:szCs w:val="22"/>
        </w:rPr>
        <w:t xml:space="preserve">side </w:t>
      </w:r>
      <w:r w:rsidR="00560262" w:rsidRPr="00441A9C">
        <w:rPr>
          <w:rFonts w:ascii="Garamond" w:hAnsi="Garamond" w:cs="Sylfaen"/>
          <w:iCs/>
          <w:sz w:val="22"/>
          <w:szCs w:val="22"/>
        </w:rPr>
        <w:t xml:space="preserve">whereas </w:t>
      </w:r>
      <w:r w:rsidR="00446630" w:rsidRPr="00441A9C">
        <w:rPr>
          <w:rFonts w:ascii="Garamond" w:hAnsi="Garamond" w:cs="Sylfaen"/>
          <w:iCs/>
          <w:sz w:val="22"/>
          <w:szCs w:val="22"/>
        </w:rPr>
        <w:t>forecasts for the unemployment rate</w:t>
      </w:r>
      <w:r w:rsidR="00560262" w:rsidRPr="00441A9C">
        <w:rPr>
          <w:rFonts w:ascii="Garamond" w:hAnsi="Garamond" w:cs="Sylfaen"/>
          <w:iCs/>
          <w:sz w:val="22"/>
          <w:szCs w:val="22"/>
        </w:rPr>
        <w:t xml:space="preserve"> for the same period were virtually the same</w:t>
      </w:r>
      <w:r w:rsidR="00446630" w:rsidRPr="00441A9C">
        <w:rPr>
          <w:rFonts w:ascii="Garamond" w:hAnsi="Garamond" w:cs="Sylfaen"/>
          <w:iCs/>
          <w:sz w:val="22"/>
          <w:szCs w:val="22"/>
        </w:rPr>
        <w:t xml:space="preserve">. </w:t>
      </w:r>
    </w:p>
    <w:p w14:paraId="01EC0CD6" w14:textId="77777777" w:rsidR="000F60CD" w:rsidRPr="00441A9C" w:rsidRDefault="000F60CD" w:rsidP="00B117C8">
      <w:pPr>
        <w:spacing w:line="360" w:lineRule="auto"/>
        <w:jc w:val="both"/>
        <w:rPr>
          <w:rFonts w:ascii="Garamond" w:hAnsi="Garamond"/>
          <w:sz w:val="22"/>
          <w:szCs w:val="22"/>
        </w:rPr>
      </w:pPr>
    </w:p>
    <w:p w14:paraId="57B5148E" w14:textId="77777777" w:rsidR="00684E9C" w:rsidRPr="00441A9C" w:rsidRDefault="00B91079" w:rsidP="00B117C8">
      <w:pPr>
        <w:spacing w:line="360" w:lineRule="auto"/>
        <w:jc w:val="both"/>
        <w:rPr>
          <w:rFonts w:ascii="Garamond" w:hAnsi="Garamond"/>
          <w:sz w:val="22"/>
          <w:szCs w:val="22"/>
        </w:rPr>
      </w:pPr>
      <w:r w:rsidRPr="00441A9C">
        <w:rPr>
          <w:rFonts w:ascii="Garamond" w:hAnsi="Garamond"/>
          <w:sz w:val="22"/>
          <w:szCs w:val="22"/>
        </w:rPr>
        <w:t>Consistent with the previous Central Bank predictions, in 2017 the</w:t>
      </w:r>
      <w:r w:rsidR="00C20845" w:rsidRPr="00441A9C">
        <w:rPr>
          <w:rFonts w:ascii="Garamond" w:hAnsi="Garamond"/>
          <w:sz w:val="22"/>
          <w:szCs w:val="22"/>
        </w:rPr>
        <w:t xml:space="preserve"> average nominal wage </w:t>
      </w:r>
      <w:r w:rsidRPr="00441A9C">
        <w:rPr>
          <w:rFonts w:ascii="Garamond" w:hAnsi="Garamond"/>
          <w:sz w:val="22"/>
          <w:szCs w:val="22"/>
        </w:rPr>
        <w:t>is expected to grow by</w:t>
      </w:r>
      <w:r w:rsidR="00C20845" w:rsidRPr="00441A9C">
        <w:rPr>
          <w:rFonts w:ascii="Garamond" w:hAnsi="Garamond"/>
          <w:sz w:val="22"/>
          <w:szCs w:val="22"/>
        </w:rPr>
        <w:t xml:space="preserve"> 4.</w:t>
      </w:r>
      <w:r w:rsidRPr="00441A9C">
        <w:rPr>
          <w:rFonts w:ascii="Garamond" w:hAnsi="Garamond"/>
          <w:sz w:val="22"/>
          <w:szCs w:val="22"/>
        </w:rPr>
        <w:t>2%</w:t>
      </w:r>
      <w:r w:rsidR="00C20845" w:rsidRPr="00441A9C">
        <w:rPr>
          <w:rFonts w:ascii="Garamond" w:hAnsi="Garamond"/>
          <w:sz w:val="22"/>
          <w:szCs w:val="22"/>
        </w:rPr>
        <w:t xml:space="preserve"> </w:t>
      </w:r>
      <w:r w:rsidRPr="00441A9C">
        <w:rPr>
          <w:rFonts w:ascii="Garamond" w:hAnsi="Garamond"/>
          <w:sz w:val="22"/>
          <w:szCs w:val="22"/>
        </w:rPr>
        <w:t xml:space="preserve">in the </w:t>
      </w:r>
      <w:r w:rsidRPr="00441A9C">
        <w:rPr>
          <w:rFonts w:ascii="Garamond" w:hAnsi="Garamond"/>
          <w:b/>
          <w:sz w:val="22"/>
          <w:szCs w:val="22"/>
        </w:rPr>
        <w:t>private sector</w:t>
      </w:r>
      <w:r w:rsidRPr="00441A9C">
        <w:rPr>
          <w:rFonts w:ascii="Garamond" w:hAnsi="Garamond"/>
          <w:sz w:val="22"/>
          <w:szCs w:val="22"/>
        </w:rPr>
        <w:t xml:space="preserve"> and by 1.0% in</w:t>
      </w:r>
      <w:r w:rsidR="00C20845" w:rsidRPr="00441A9C">
        <w:rPr>
          <w:rFonts w:ascii="Garamond" w:hAnsi="Garamond"/>
          <w:sz w:val="22"/>
          <w:szCs w:val="22"/>
        </w:rPr>
        <w:t xml:space="preserve"> </w:t>
      </w:r>
      <w:r w:rsidRPr="00441A9C">
        <w:rPr>
          <w:rFonts w:ascii="Garamond" w:hAnsi="Garamond"/>
          <w:sz w:val="22"/>
          <w:szCs w:val="22"/>
        </w:rPr>
        <w:t xml:space="preserve">the </w:t>
      </w:r>
      <w:r w:rsidRPr="00441A9C">
        <w:rPr>
          <w:rFonts w:ascii="Garamond" w:hAnsi="Garamond"/>
          <w:b/>
          <w:sz w:val="22"/>
          <w:szCs w:val="22"/>
        </w:rPr>
        <w:t>public sector</w:t>
      </w:r>
      <w:r w:rsidR="00414F1D" w:rsidRPr="00441A9C">
        <w:rPr>
          <w:rFonts w:ascii="Garamond" w:hAnsi="Garamond"/>
          <w:b/>
          <w:sz w:val="22"/>
          <w:szCs w:val="22"/>
        </w:rPr>
        <w:t xml:space="preserve"> </w:t>
      </w:r>
      <w:r w:rsidR="00414F1D" w:rsidRPr="00441A9C">
        <w:rPr>
          <w:rFonts w:ascii="Garamond" w:hAnsi="Garamond"/>
          <w:sz w:val="22"/>
          <w:szCs w:val="22"/>
        </w:rPr>
        <w:t>(instead of formerly predicted 0.7% decline), driven by actual developments</w:t>
      </w:r>
      <w:r w:rsidRPr="00441A9C">
        <w:rPr>
          <w:rFonts w:ascii="Garamond" w:hAnsi="Garamond"/>
          <w:sz w:val="22"/>
          <w:szCs w:val="22"/>
        </w:rPr>
        <w:t>.</w:t>
      </w:r>
      <w:r w:rsidR="00414F1D" w:rsidRPr="00441A9C">
        <w:rPr>
          <w:rFonts w:ascii="Garamond" w:hAnsi="Garamond"/>
          <w:sz w:val="22"/>
          <w:szCs w:val="22"/>
        </w:rPr>
        <w:t xml:space="preserve"> In the forecast horizon, </w:t>
      </w:r>
      <w:r w:rsidR="00684E9C" w:rsidRPr="00441A9C">
        <w:rPr>
          <w:rFonts w:ascii="Garamond" w:hAnsi="Garamond"/>
          <w:sz w:val="22"/>
          <w:szCs w:val="22"/>
        </w:rPr>
        <w:t xml:space="preserve">the private and public sector wage growth will speed up </w:t>
      </w:r>
      <w:r w:rsidR="00414F1D" w:rsidRPr="00441A9C">
        <w:rPr>
          <w:rFonts w:ascii="Garamond" w:hAnsi="Garamond"/>
          <w:sz w:val="22"/>
          <w:szCs w:val="22"/>
        </w:rPr>
        <w:t xml:space="preserve">along with </w:t>
      </w:r>
      <w:r w:rsidR="00684E9C" w:rsidRPr="00441A9C">
        <w:rPr>
          <w:rFonts w:ascii="Garamond" w:hAnsi="Garamond"/>
          <w:sz w:val="22"/>
          <w:szCs w:val="22"/>
        </w:rPr>
        <w:t xml:space="preserve">acceleration of </w:t>
      </w:r>
      <w:r w:rsidR="00414F1D" w:rsidRPr="00441A9C">
        <w:rPr>
          <w:rFonts w:ascii="Garamond" w:hAnsi="Garamond"/>
          <w:sz w:val="22"/>
          <w:szCs w:val="22"/>
        </w:rPr>
        <w:t>economic growth and inflation</w:t>
      </w:r>
      <w:r w:rsidR="00684E9C" w:rsidRPr="00441A9C">
        <w:rPr>
          <w:rFonts w:ascii="Garamond" w:hAnsi="Garamond"/>
          <w:sz w:val="22"/>
          <w:szCs w:val="22"/>
        </w:rPr>
        <w:t>.</w:t>
      </w:r>
      <w:r w:rsidR="00414F1D" w:rsidRPr="00441A9C">
        <w:rPr>
          <w:rFonts w:ascii="Garamond" w:hAnsi="Garamond"/>
          <w:sz w:val="22"/>
          <w:szCs w:val="22"/>
        </w:rPr>
        <w:t xml:space="preserve"> </w:t>
      </w:r>
    </w:p>
    <w:p w14:paraId="58E268DF" w14:textId="77777777" w:rsidR="006568CC" w:rsidRPr="00441A9C" w:rsidRDefault="006568CC" w:rsidP="00B117C8">
      <w:pPr>
        <w:spacing w:line="360" w:lineRule="auto"/>
        <w:jc w:val="both"/>
        <w:rPr>
          <w:rFonts w:ascii="Garamond" w:hAnsi="Garamond"/>
          <w:sz w:val="22"/>
          <w:szCs w:val="22"/>
        </w:rPr>
      </w:pPr>
    </w:p>
    <w:p w14:paraId="00DE2954" w14:textId="77777777" w:rsidR="006568CC" w:rsidRPr="00441A9C" w:rsidRDefault="006568CC" w:rsidP="00B117C8">
      <w:pPr>
        <w:spacing w:line="360" w:lineRule="auto"/>
        <w:jc w:val="both"/>
        <w:rPr>
          <w:rFonts w:ascii="Garamond" w:hAnsi="Garamond"/>
          <w:sz w:val="22"/>
          <w:szCs w:val="22"/>
        </w:rPr>
      </w:pPr>
      <w:r w:rsidRPr="00441A9C">
        <w:rPr>
          <w:rFonts w:ascii="Garamond" w:hAnsi="Garamond"/>
          <w:sz w:val="22"/>
          <w:szCs w:val="22"/>
        </w:rPr>
        <w:t>The 2018-2020 forecasts for private and public sector wages do not vary much from the previous forecast by the Central Bank.</w:t>
      </w:r>
    </w:p>
    <w:p w14:paraId="65E427B9" w14:textId="77777777" w:rsidR="00684E9C" w:rsidRPr="00441A9C" w:rsidRDefault="00684E9C" w:rsidP="00B117C8">
      <w:pPr>
        <w:spacing w:line="360" w:lineRule="auto"/>
        <w:jc w:val="both"/>
        <w:rPr>
          <w:rFonts w:ascii="Garamond" w:hAnsi="Garamond"/>
          <w:sz w:val="22"/>
          <w:szCs w:val="22"/>
        </w:rPr>
      </w:pPr>
    </w:p>
    <w:p w14:paraId="7CD4C47D" w14:textId="77777777" w:rsidR="00E23D05" w:rsidRPr="00441A9C" w:rsidRDefault="00692B20" w:rsidP="00B117C8">
      <w:pPr>
        <w:spacing w:line="360" w:lineRule="auto"/>
        <w:jc w:val="both"/>
        <w:rPr>
          <w:rFonts w:ascii="Garamond" w:hAnsi="Garamond" w:cs="Sylfaen"/>
          <w:sz w:val="22"/>
          <w:szCs w:val="22"/>
        </w:rPr>
      </w:pPr>
      <w:r w:rsidRPr="00441A9C">
        <w:rPr>
          <w:rFonts w:ascii="Garamond" w:hAnsi="Garamond" w:cs="Sylfaen"/>
          <w:sz w:val="22"/>
          <w:szCs w:val="22"/>
        </w:rPr>
        <w:lastRenderedPageBreak/>
        <w:t xml:space="preserve">On the back of </w:t>
      </w:r>
      <w:r w:rsidR="00A665F1" w:rsidRPr="00441A9C">
        <w:rPr>
          <w:rFonts w:ascii="Garamond" w:hAnsi="Garamond" w:cs="Sylfaen"/>
          <w:sz w:val="22"/>
          <w:szCs w:val="22"/>
        </w:rPr>
        <w:t xml:space="preserve">the aforementioned </w:t>
      </w:r>
      <w:r w:rsidR="006568CC" w:rsidRPr="00441A9C">
        <w:rPr>
          <w:rFonts w:ascii="Garamond" w:hAnsi="Garamond" w:cs="Sylfaen"/>
          <w:sz w:val="22"/>
          <w:szCs w:val="22"/>
        </w:rPr>
        <w:t xml:space="preserve">developments, </w:t>
      </w:r>
      <w:r w:rsidR="00A665F1" w:rsidRPr="00441A9C">
        <w:rPr>
          <w:rFonts w:ascii="Garamond" w:hAnsi="Garamond" w:cs="Sylfaen"/>
          <w:sz w:val="22"/>
          <w:szCs w:val="22"/>
        </w:rPr>
        <w:t>t</w:t>
      </w:r>
      <w:r w:rsidR="00E23D05" w:rsidRPr="00441A9C">
        <w:rPr>
          <w:rFonts w:ascii="Garamond" w:hAnsi="Garamond" w:cs="Sylfaen"/>
          <w:sz w:val="22"/>
          <w:szCs w:val="22"/>
        </w:rPr>
        <w:t xml:space="preserve">he </w:t>
      </w:r>
      <w:r w:rsidR="006568CC" w:rsidRPr="00441A9C">
        <w:rPr>
          <w:rFonts w:ascii="Garamond" w:hAnsi="Garamond" w:cs="Sylfaen"/>
          <w:sz w:val="22"/>
          <w:szCs w:val="22"/>
        </w:rPr>
        <w:t xml:space="preserve">growth of </w:t>
      </w:r>
      <w:r w:rsidR="00E23D05" w:rsidRPr="00441A9C">
        <w:rPr>
          <w:rFonts w:ascii="Garamond" w:hAnsi="Garamond" w:cs="Sylfaen"/>
          <w:b/>
          <w:sz w:val="22"/>
          <w:szCs w:val="22"/>
        </w:rPr>
        <w:t xml:space="preserve">average nominal wage </w:t>
      </w:r>
      <w:r w:rsidR="00087190" w:rsidRPr="00441A9C">
        <w:rPr>
          <w:rFonts w:ascii="Garamond" w:hAnsi="Garamond" w:cs="Sylfaen"/>
          <w:b/>
          <w:sz w:val="22"/>
          <w:szCs w:val="22"/>
        </w:rPr>
        <w:t xml:space="preserve">is expected to </w:t>
      </w:r>
      <w:r w:rsidR="006568CC" w:rsidRPr="00441A9C">
        <w:rPr>
          <w:rFonts w:ascii="Garamond" w:hAnsi="Garamond" w:cs="Sylfaen"/>
          <w:b/>
          <w:sz w:val="22"/>
          <w:szCs w:val="22"/>
        </w:rPr>
        <w:t>reach 3.1</w:t>
      </w:r>
      <w:r w:rsidR="00E23D05" w:rsidRPr="00441A9C">
        <w:rPr>
          <w:rFonts w:ascii="Garamond" w:hAnsi="Garamond" w:cs="Sylfaen"/>
          <w:b/>
          <w:sz w:val="22"/>
          <w:szCs w:val="22"/>
        </w:rPr>
        <w:t>% in 2017</w:t>
      </w:r>
      <w:r w:rsidR="006568CC" w:rsidRPr="00441A9C">
        <w:rPr>
          <w:rFonts w:ascii="Garamond" w:hAnsi="Garamond" w:cs="Sylfaen"/>
          <w:b/>
          <w:sz w:val="22"/>
          <w:szCs w:val="22"/>
        </w:rPr>
        <w:t xml:space="preserve"> and to accelerate</w:t>
      </w:r>
      <w:r w:rsidR="000701E7">
        <w:rPr>
          <w:rFonts w:ascii="Garamond" w:hAnsi="Garamond" w:cs="Sylfaen"/>
          <w:b/>
          <w:sz w:val="22"/>
          <w:szCs w:val="22"/>
        </w:rPr>
        <w:t xml:space="preserve"> annually</w:t>
      </w:r>
      <w:r w:rsidR="006568CC" w:rsidRPr="00441A9C">
        <w:rPr>
          <w:rFonts w:ascii="Garamond" w:hAnsi="Garamond" w:cs="Sylfaen"/>
          <w:b/>
          <w:sz w:val="22"/>
          <w:szCs w:val="22"/>
        </w:rPr>
        <w:t xml:space="preserve"> </w:t>
      </w:r>
      <w:r w:rsidR="0001535B" w:rsidRPr="00441A9C">
        <w:rPr>
          <w:rFonts w:ascii="Garamond" w:hAnsi="Garamond" w:cs="Sylfaen"/>
          <w:b/>
          <w:sz w:val="22"/>
          <w:szCs w:val="22"/>
        </w:rPr>
        <w:t>by 0</w:t>
      </w:r>
      <w:r w:rsidR="00A665F1" w:rsidRPr="00441A9C">
        <w:rPr>
          <w:rFonts w:ascii="Garamond" w:hAnsi="Garamond" w:cs="Sylfaen"/>
          <w:b/>
          <w:sz w:val="22"/>
          <w:szCs w:val="22"/>
        </w:rPr>
        <w:t>.</w:t>
      </w:r>
      <w:r w:rsidR="0001535B" w:rsidRPr="00441A9C">
        <w:rPr>
          <w:rFonts w:ascii="Garamond" w:hAnsi="Garamond" w:cs="Sylfaen"/>
          <w:b/>
          <w:sz w:val="22"/>
          <w:szCs w:val="22"/>
        </w:rPr>
        <w:t>8</w:t>
      </w:r>
      <w:r w:rsidR="00A665F1" w:rsidRPr="00441A9C">
        <w:rPr>
          <w:rFonts w:ascii="Garamond" w:hAnsi="Garamond" w:cs="Sylfaen"/>
          <w:b/>
          <w:sz w:val="22"/>
          <w:szCs w:val="22"/>
        </w:rPr>
        <w:t>-</w:t>
      </w:r>
      <w:r w:rsidR="0001535B" w:rsidRPr="00441A9C">
        <w:rPr>
          <w:rFonts w:ascii="Garamond" w:hAnsi="Garamond" w:cs="Sylfaen"/>
          <w:b/>
          <w:sz w:val="22"/>
          <w:szCs w:val="22"/>
        </w:rPr>
        <w:t>1</w:t>
      </w:r>
      <w:r w:rsidR="00A665F1" w:rsidRPr="00441A9C">
        <w:rPr>
          <w:rFonts w:ascii="Garamond" w:hAnsi="Garamond" w:cs="Sylfaen"/>
          <w:b/>
          <w:sz w:val="22"/>
          <w:szCs w:val="22"/>
        </w:rPr>
        <w:t>.</w:t>
      </w:r>
      <w:r w:rsidR="0001535B" w:rsidRPr="00441A9C">
        <w:rPr>
          <w:rFonts w:ascii="Garamond" w:hAnsi="Garamond" w:cs="Sylfaen"/>
          <w:b/>
          <w:sz w:val="22"/>
          <w:szCs w:val="22"/>
        </w:rPr>
        <w:t>2 pp</w:t>
      </w:r>
      <w:r w:rsidR="00087190" w:rsidRPr="00441A9C">
        <w:rPr>
          <w:rFonts w:ascii="Garamond" w:hAnsi="Garamond" w:cs="Sylfaen"/>
          <w:b/>
          <w:sz w:val="22"/>
          <w:szCs w:val="22"/>
        </w:rPr>
        <w:t xml:space="preserve"> in </w:t>
      </w:r>
      <w:r w:rsidR="0001535B" w:rsidRPr="00441A9C">
        <w:rPr>
          <w:rFonts w:ascii="Garamond" w:hAnsi="Garamond" w:cs="Sylfaen"/>
          <w:b/>
          <w:sz w:val="22"/>
          <w:szCs w:val="22"/>
        </w:rPr>
        <w:t>the forecast horizon</w:t>
      </w:r>
      <w:r w:rsidR="00E23D05" w:rsidRPr="00441A9C">
        <w:rPr>
          <w:rFonts w:ascii="Garamond" w:hAnsi="Garamond" w:cs="Sylfaen"/>
          <w:sz w:val="22"/>
          <w:szCs w:val="22"/>
        </w:rPr>
        <w:t>.</w:t>
      </w:r>
    </w:p>
    <w:p w14:paraId="0982E460" w14:textId="77777777" w:rsidR="00E23D05" w:rsidRPr="00441A9C" w:rsidRDefault="00E23D05" w:rsidP="00B117C8">
      <w:pPr>
        <w:spacing w:line="360" w:lineRule="auto"/>
        <w:jc w:val="both"/>
        <w:rPr>
          <w:rFonts w:ascii="Garamond" w:hAnsi="Garamond" w:cs="Sylfaen"/>
          <w:sz w:val="22"/>
          <w:szCs w:val="22"/>
        </w:rPr>
      </w:pPr>
    </w:p>
    <w:p w14:paraId="7D7FFF2D" w14:textId="77777777" w:rsidR="0054755B" w:rsidRPr="00441A9C" w:rsidRDefault="0001535B" w:rsidP="00B117C8">
      <w:pPr>
        <w:spacing w:line="360" w:lineRule="auto"/>
        <w:jc w:val="both"/>
        <w:rPr>
          <w:rFonts w:ascii="Garamond" w:hAnsi="Garamond" w:cs="Sylfaen"/>
          <w:sz w:val="22"/>
          <w:szCs w:val="22"/>
        </w:rPr>
      </w:pPr>
      <w:r w:rsidRPr="00441A9C">
        <w:rPr>
          <w:rFonts w:ascii="Garamond" w:hAnsi="Garamond" w:cs="Sylfaen"/>
          <w:b/>
          <w:sz w:val="22"/>
          <w:szCs w:val="22"/>
        </w:rPr>
        <w:t xml:space="preserve">The </w:t>
      </w:r>
      <w:r w:rsidR="002509FD" w:rsidRPr="00441A9C">
        <w:rPr>
          <w:rFonts w:ascii="Garamond" w:hAnsi="Garamond" w:cs="Sylfaen"/>
          <w:b/>
          <w:sz w:val="22"/>
          <w:szCs w:val="22"/>
        </w:rPr>
        <w:t xml:space="preserve">2017-2020 </w:t>
      </w:r>
      <w:r w:rsidR="00A9096B" w:rsidRPr="00441A9C">
        <w:rPr>
          <w:rFonts w:ascii="Garamond" w:hAnsi="Garamond" w:cs="Sylfaen"/>
          <w:b/>
          <w:sz w:val="22"/>
          <w:szCs w:val="22"/>
        </w:rPr>
        <w:t>unemployment rate</w:t>
      </w:r>
      <w:r w:rsidR="002509FD" w:rsidRPr="00441A9C">
        <w:rPr>
          <w:rFonts w:ascii="Garamond" w:hAnsi="Garamond" w:cs="Sylfaen"/>
          <w:b/>
          <w:sz w:val="22"/>
          <w:szCs w:val="22"/>
        </w:rPr>
        <w:t xml:space="preserve">s </w:t>
      </w:r>
      <w:r w:rsidRPr="00441A9C">
        <w:rPr>
          <w:rFonts w:ascii="Garamond" w:hAnsi="Garamond" w:cs="Sylfaen"/>
          <w:b/>
          <w:sz w:val="22"/>
          <w:szCs w:val="22"/>
        </w:rPr>
        <w:t xml:space="preserve">remain virtually intact for revision. </w:t>
      </w:r>
      <w:r w:rsidRPr="00441A9C">
        <w:rPr>
          <w:rFonts w:ascii="Garamond" w:hAnsi="Garamond" w:cs="Sylfaen"/>
          <w:sz w:val="22"/>
          <w:szCs w:val="22"/>
        </w:rPr>
        <w:t xml:space="preserve">For 2017 the unemployment is forecast to be </w:t>
      </w:r>
      <w:r w:rsidR="0054755B" w:rsidRPr="00441A9C">
        <w:rPr>
          <w:rFonts w:ascii="Garamond" w:hAnsi="Garamond" w:cs="Sylfaen"/>
          <w:sz w:val="22"/>
          <w:szCs w:val="22"/>
        </w:rPr>
        <w:t>17.</w:t>
      </w:r>
      <w:r w:rsidRPr="00441A9C">
        <w:rPr>
          <w:rFonts w:ascii="Garamond" w:hAnsi="Garamond" w:cs="Sylfaen"/>
          <w:sz w:val="22"/>
          <w:szCs w:val="22"/>
        </w:rPr>
        <w:t>9</w:t>
      </w:r>
      <w:r w:rsidR="0054755B" w:rsidRPr="00441A9C">
        <w:rPr>
          <w:rFonts w:ascii="Garamond" w:hAnsi="Garamond" w:cs="Sylfaen"/>
          <w:sz w:val="22"/>
          <w:szCs w:val="22"/>
        </w:rPr>
        <w:t xml:space="preserve">%, which </w:t>
      </w:r>
      <w:r w:rsidR="002509FD" w:rsidRPr="00441A9C">
        <w:rPr>
          <w:rFonts w:ascii="Garamond" w:hAnsi="Garamond" w:cs="Sylfaen"/>
          <w:sz w:val="22"/>
          <w:szCs w:val="22"/>
        </w:rPr>
        <w:t>will gradually decrease by 0.3-0.5 p</w:t>
      </w:r>
      <w:r w:rsidR="0022323C" w:rsidRPr="00441A9C">
        <w:rPr>
          <w:rFonts w:ascii="Garamond" w:hAnsi="Garamond" w:cs="Sylfaen"/>
          <w:sz w:val="22"/>
          <w:szCs w:val="22"/>
        </w:rPr>
        <w:t xml:space="preserve">p </w:t>
      </w:r>
      <w:r w:rsidR="002509FD" w:rsidRPr="00441A9C">
        <w:rPr>
          <w:rFonts w:ascii="Garamond" w:hAnsi="Garamond" w:cs="Sylfaen"/>
          <w:sz w:val="22"/>
          <w:szCs w:val="22"/>
        </w:rPr>
        <w:t xml:space="preserve">year-on-year along with the economic growth </w:t>
      </w:r>
      <w:r w:rsidR="0022323C" w:rsidRPr="00441A9C">
        <w:rPr>
          <w:rFonts w:ascii="Garamond" w:hAnsi="Garamond" w:cs="Sylfaen"/>
          <w:sz w:val="22"/>
          <w:szCs w:val="22"/>
        </w:rPr>
        <w:t>to reach its mid-term equilibrium in the forecast horizon.</w:t>
      </w:r>
    </w:p>
    <w:p w14:paraId="326D6C6A" w14:textId="77777777" w:rsidR="0054755B" w:rsidRPr="00441A9C" w:rsidRDefault="0054755B" w:rsidP="00B117C8">
      <w:pPr>
        <w:spacing w:line="360" w:lineRule="auto"/>
        <w:jc w:val="both"/>
        <w:rPr>
          <w:rFonts w:ascii="Garamond" w:hAnsi="Garamond" w:cs="Sylfaen"/>
          <w:sz w:val="22"/>
          <w:szCs w:val="22"/>
        </w:rPr>
      </w:pPr>
    </w:p>
    <w:p w14:paraId="2AE4FD25" w14:textId="77777777" w:rsidR="003C2ED0" w:rsidRPr="00441A9C" w:rsidRDefault="000918EC" w:rsidP="00B117C8">
      <w:pPr>
        <w:spacing w:line="360" w:lineRule="auto"/>
        <w:jc w:val="both"/>
        <w:rPr>
          <w:rFonts w:ascii="Garamond" w:hAnsi="Garamond" w:cs="Sylfaen"/>
          <w:sz w:val="22"/>
          <w:szCs w:val="22"/>
        </w:rPr>
      </w:pPr>
      <w:r w:rsidRPr="00441A9C">
        <w:rPr>
          <w:rFonts w:ascii="Garamond" w:hAnsi="Garamond" w:cs="Sylfaen"/>
          <w:sz w:val="22"/>
          <w:szCs w:val="22"/>
        </w:rPr>
        <w:t xml:space="preserve">As a result of the above-mentioned developments, </w:t>
      </w:r>
      <w:r w:rsidR="00864A5F" w:rsidRPr="00441A9C">
        <w:rPr>
          <w:rFonts w:ascii="Garamond" w:hAnsi="Garamond" w:cs="Sylfaen"/>
          <w:b/>
          <w:sz w:val="22"/>
          <w:szCs w:val="22"/>
        </w:rPr>
        <w:t>in 2017 the productivity growth rate</w:t>
      </w:r>
      <w:r w:rsidR="003C2ED0" w:rsidRPr="00441A9C">
        <w:rPr>
          <w:rFonts w:ascii="Garamond" w:hAnsi="Garamond" w:cs="Sylfaen"/>
          <w:b/>
          <w:sz w:val="22"/>
          <w:szCs w:val="22"/>
        </w:rPr>
        <w:t xml:space="preserve"> will </w:t>
      </w:r>
      <w:r w:rsidR="00EF27CC" w:rsidRPr="00441A9C">
        <w:rPr>
          <w:rFonts w:ascii="Garamond" w:hAnsi="Garamond" w:cs="Sylfaen"/>
          <w:b/>
          <w:sz w:val="22"/>
          <w:szCs w:val="22"/>
        </w:rPr>
        <w:t>out</w:t>
      </w:r>
      <w:r w:rsidR="00864A5F" w:rsidRPr="00441A9C">
        <w:rPr>
          <w:rFonts w:ascii="Garamond" w:hAnsi="Garamond" w:cs="Sylfaen"/>
          <w:b/>
          <w:sz w:val="22"/>
          <w:szCs w:val="22"/>
        </w:rPr>
        <w:t>perform that of wage</w:t>
      </w:r>
      <w:r w:rsidR="003D2829" w:rsidRPr="00441A9C">
        <w:rPr>
          <w:rFonts w:ascii="Garamond" w:hAnsi="Garamond" w:cs="Sylfaen"/>
          <w:b/>
          <w:sz w:val="22"/>
          <w:szCs w:val="22"/>
        </w:rPr>
        <w:t xml:space="preserve">, </w:t>
      </w:r>
      <w:r w:rsidR="00864A5F" w:rsidRPr="00441A9C">
        <w:rPr>
          <w:rFonts w:ascii="Garamond" w:hAnsi="Garamond" w:cs="Sylfaen"/>
          <w:b/>
          <w:sz w:val="22"/>
          <w:szCs w:val="22"/>
        </w:rPr>
        <w:t>forcing the 0.2-0.4</w:t>
      </w:r>
      <w:r w:rsidR="00864A5F" w:rsidRPr="00441A9C">
        <w:rPr>
          <w:rFonts w:ascii="Garamond" w:eastAsia="Calibri" w:hAnsi="Garamond"/>
          <w:b/>
          <w:sz w:val="22"/>
          <w:szCs w:val="22"/>
        </w:rPr>
        <w:t>% inflationary pressures</w:t>
      </w:r>
      <w:r w:rsidR="00864A5F" w:rsidRPr="00441A9C">
        <w:rPr>
          <w:rFonts w:ascii="Garamond" w:hAnsi="Garamond" w:cs="Sylfaen"/>
          <w:b/>
          <w:sz w:val="22"/>
          <w:szCs w:val="22"/>
        </w:rPr>
        <w:t xml:space="preserve"> gradually out of </w:t>
      </w:r>
      <w:r w:rsidR="003D2829" w:rsidRPr="00441A9C">
        <w:rPr>
          <w:rFonts w:ascii="Garamond" w:eastAsia="Calibri" w:hAnsi="Garamond"/>
          <w:b/>
          <w:sz w:val="22"/>
          <w:szCs w:val="22"/>
        </w:rPr>
        <w:t>the consumer market</w:t>
      </w:r>
      <w:r w:rsidR="00864A5F" w:rsidRPr="00441A9C">
        <w:rPr>
          <w:rFonts w:ascii="Garamond" w:eastAsia="Calibri" w:hAnsi="Garamond"/>
          <w:b/>
          <w:sz w:val="22"/>
          <w:szCs w:val="22"/>
        </w:rPr>
        <w:t>.</w:t>
      </w:r>
      <w:r w:rsidR="003D2829" w:rsidRPr="00441A9C">
        <w:rPr>
          <w:rFonts w:ascii="Garamond" w:eastAsia="Calibri" w:hAnsi="Garamond"/>
          <w:b/>
          <w:sz w:val="22"/>
          <w:szCs w:val="22"/>
        </w:rPr>
        <w:t xml:space="preserve"> </w:t>
      </w:r>
      <w:r w:rsidR="00454750" w:rsidRPr="00441A9C">
        <w:rPr>
          <w:rFonts w:ascii="Garamond" w:eastAsia="Calibri" w:hAnsi="Garamond"/>
          <w:sz w:val="22"/>
          <w:szCs w:val="22"/>
        </w:rPr>
        <w:t>In the forecast horizon, a significant impact on the inflation from the labor market is not likely.</w:t>
      </w:r>
    </w:p>
    <w:p w14:paraId="2DD037BA" w14:textId="77777777" w:rsidR="00D810B0" w:rsidRPr="00441A9C" w:rsidRDefault="00D810B0" w:rsidP="00B117C8">
      <w:pPr>
        <w:spacing w:line="360" w:lineRule="auto"/>
        <w:jc w:val="both"/>
        <w:rPr>
          <w:rFonts w:ascii="Garamond" w:hAnsi="Garamond" w:cs="Sylfaen"/>
          <w:sz w:val="22"/>
          <w:szCs w:val="22"/>
        </w:rPr>
      </w:pPr>
    </w:p>
    <w:p w14:paraId="27F6B8C2" w14:textId="77777777" w:rsidR="00D810B0" w:rsidRPr="00441A9C" w:rsidRDefault="00D810B0" w:rsidP="00B117C8">
      <w:pPr>
        <w:spacing w:line="360" w:lineRule="auto"/>
        <w:jc w:val="both"/>
        <w:rPr>
          <w:rFonts w:ascii="Garamond" w:hAnsi="Garamond" w:cs="Sylfaen"/>
          <w:b/>
          <w:sz w:val="22"/>
          <w:szCs w:val="22"/>
        </w:rPr>
      </w:pPr>
      <w:r w:rsidRPr="00441A9C">
        <w:rPr>
          <w:rFonts w:ascii="Garamond" w:hAnsi="Garamond" w:cs="Sylfaen"/>
          <w:b/>
          <w:sz w:val="22"/>
          <w:szCs w:val="22"/>
        </w:rPr>
        <w:t>Aggregate demand</w:t>
      </w:r>
      <w:r w:rsidR="003D2829" w:rsidRPr="00441A9C">
        <w:rPr>
          <w:rStyle w:val="FootnoteReference"/>
          <w:rFonts w:ascii="Garamond" w:hAnsi="Garamond" w:cs="Sylfaen"/>
          <w:b/>
          <w:sz w:val="22"/>
          <w:szCs w:val="22"/>
        </w:rPr>
        <w:footnoteReference w:customMarkFollows="1" w:id="5"/>
        <w:t>5</w:t>
      </w:r>
    </w:p>
    <w:p w14:paraId="3F1AAA51" w14:textId="30DC7F7C" w:rsidR="00C659D7" w:rsidRPr="00441A9C" w:rsidRDefault="006C652B" w:rsidP="00B117C8">
      <w:pPr>
        <w:spacing w:line="360" w:lineRule="auto"/>
        <w:jc w:val="both"/>
        <w:rPr>
          <w:rFonts w:ascii="Garamond" w:hAnsi="Garamond" w:cs="Sylfaen"/>
          <w:b/>
          <w:iCs/>
          <w:sz w:val="22"/>
          <w:szCs w:val="22"/>
        </w:rPr>
      </w:pPr>
      <w:r w:rsidRPr="00441A9C">
        <w:rPr>
          <w:rFonts w:ascii="Garamond" w:hAnsi="Garamond" w:cs="Sylfaen"/>
          <w:b/>
          <w:iCs/>
          <w:sz w:val="22"/>
          <w:szCs w:val="22"/>
        </w:rPr>
        <w:t>Contrary to previous forecasts, the expected higher economic growth will positive</w:t>
      </w:r>
      <w:r w:rsidR="00E058BC" w:rsidRPr="00441A9C">
        <w:rPr>
          <w:rFonts w:ascii="Garamond" w:hAnsi="Garamond" w:cs="Sylfaen"/>
          <w:b/>
          <w:iCs/>
          <w:sz w:val="22"/>
          <w:szCs w:val="22"/>
        </w:rPr>
        <w:t>ly</w:t>
      </w:r>
      <w:r w:rsidRPr="00441A9C">
        <w:rPr>
          <w:rFonts w:ascii="Garamond" w:hAnsi="Garamond" w:cs="Sylfaen"/>
          <w:b/>
          <w:iCs/>
          <w:sz w:val="22"/>
          <w:szCs w:val="22"/>
        </w:rPr>
        <w:t xml:space="preserve"> </w:t>
      </w:r>
      <w:r w:rsidR="00E058BC" w:rsidRPr="00441A9C">
        <w:rPr>
          <w:rFonts w:ascii="Garamond" w:hAnsi="Garamond" w:cs="Sylfaen"/>
          <w:b/>
          <w:iCs/>
          <w:sz w:val="22"/>
          <w:szCs w:val="22"/>
        </w:rPr>
        <w:t>a</w:t>
      </w:r>
      <w:r w:rsidRPr="00441A9C">
        <w:rPr>
          <w:rFonts w:ascii="Garamond" w:hAnsi="Garamond" w:cs="Sylfaen"/>
          <w:b/>
          <w:iCs/>
          <w:sz w:val="22"/>
          <w:szCs w:val="22"/>
        </w:rPr>
        <w:t xml:space="preserve">ffect </w:t>
      </w:r>
      <w:r w:rsidR="00E058BC" w:rsidRPr="00441A9C">
        <w:rPr>
          <w:rFonts w:ascii="Garamond" w:hAnsi="Garamond" w:cs="Sylfaen"/>
          <w:b/>
          <w:iCs/>
          <w:sz w:val="22"/>
          <w:szCs w:val="22"/>
        </w:rPr>
        <w:t xml:space="preserve">the </w:t>
      </w:r>
      <w:r w:rsidRPr="00441A9C">
        <w:rPr>
          <w:rFonts w:ascii="Garamond" w:hAnsi="Garamond" w:cs="Sylfaen"/>
          <w:b/>
          <w:iCs/>
          <w:sz w:val="22"/>
          <w:szCs w:val="22"/>
        </w:rPr>
        <w:t xml:space="preserve">households’ and firms’ disposable income. </w:t>
      </w:r>
      <w:r w:rsidR="00F8424B">
        <w:rPr>
          <w:rFonts w:ascii="Garamond" w:hAnsi="Garamond" w:cs="Sylfaen"/>
          <w:b/>
          <w:iCs/>
          <w:sz w:val="22"/>
          <w:szCs w:val="22"/>
        </w:rPr>
        <w:t>P</w:t>
      </w:r>
      <w:r w:rsidR="00032592" w:rsidRPr="00441A9C">
        <w:rPr>
          <w:rFonts w:ascii="Garamond" w:hAnsi="Garamond" w:cs="Sylfaen"/>
          <w:b/>
          <w:iCs/>
          <w:sz w:val="22"/>
          <w:szCs w:val="22"/>
        </w:rPr>
        <w:t xml:space="preserve">rivate </w:t>
      </w:r>
      <w:r w:rsidR="00C659D7" w:rsidRPr="00441A9C">
        <w:rPr>
          <w:rFonts w:ascii="Garamond" w:hAnsi="Garamond" w:cs="Sylfaen"/>
          <w:b/>
          <w:iCs/>
          <w:sz w:val="22"/>
          <w:szCs w:val="22"/>
        </w:rPr>
        <w:t>spending is predicted to</w:t>
      </w:r>
      <w:r w:rsidR="00032592" w:rsidRPr="00441A9C">
        <w:rPr>
          <w:rFonts w:ascii="Garamond" w:hAnsi="Garamond" w:cs="Sylfaen"/>
          <w:b/>
          <w:iCs/>
          <w:sz w:val="22"/>
          <w:szCs w:val="22"/>
        </w:rPr>
        <w:t xml:space="preserve"> grow </w:t>
      </w:r>
      <w:r w:rsidRPr="00441A9C">
        <w:rPr>
          <w:rFonts w:ascii="Garamond" w:hAnsi="Garamond" w:cs="Sylfaen"/>
          <w:b/>
          <w:iCs/>
          <w:sz w:val="22"/>
          <w:szCs w:val="22"/>
        </w:rPr>
        <w:t>by</w:t>
      </w:r>
      <w:r w:rsidR="00032592" w:rsidRPr="00441A9C">
        <w:rPr>
          <w:rFonts w:ascii="Garamond" w:hAnsi="Garamond" w:cs="Sylfaen"/>
          <w:b/>
          <w:iCs/>
          <w:sz w:val="22"/>
          <w:szCs w:val="22"/>
        </w:rPr>
        <w:t xml:space="preserve"> 4.</w:t>
      </w:r>
      <w:r w:rsidRPr="00441A9C">
        <w:rPr>
          <w:rFonts w:ascii="Garamond" w:hAnsi="Garamond" w:cs="Sylfaen"/>
          <w:b/>
          <w:iCs/>
          <w:sz w:val="22"/>
          <w:szCs w:val="22"/>
        </w:rPr>
        <w:t>8</w:t>
      </w:r>
      <w:r w:rsidR="00032592" w:rsidRPr="00441A9C">
        <w:rPr>
          <w:rFonts w:ascii="Garamond" w:hAnsi="Garamond" w:cs="Sylfaen"/>
          <w:b/>
          <w:iCs/>
          <w:sz w:val="22"/>
          <w:szCs w:val="22"/>
        </w:rPr>
        <w:t>-</w:t>
      </w:r>
      <w:r w:rsidRPr="00441A9C">
        <w:rPr>
          <w:rFonts w:ascii="Garamond" w:hAnsi="Garamond" w:cs="Sylfaen"/>
          <w:b/>
          <w:iCs/>
          <w:sz w:val="22"/>
          <w:szCs w:val="22"/>
        </w:rPr>
        <w:t>5</w:t>
      </w:r>
      <w:r w:rsidR="00032592" w:rsidRPr="00441A9C">
        <w:rPr>
          <w:rFonts w:ascii="Garamond" w:hAnsi="Garamond" w:cs="Sylfaen"/>
          <w:b/>
          <w:iCs/>
          <w:sz w:val="22"/>
          <w:szCs w:val="22"/>
        </w:rPr>
        <w:t>.</w:t>
      </w:r>
      <w:r w:rsidRPr="00441A9C">
        <w:rPr>
          <w:rFonts w:ascii="Garamond" w:hAnsi="Garamond" w:cs="Sylfaen"/>
          <w:b/>
          <w:iCs/>
          <w:sz w:val="22"/>
          <w:szCs w:val="22"/>
        </w:rPr>
        <w:t>2</w:t>
      </w:r>
      <w:r w:rsidR="00032592" w:rsidRPr="00441A9C">
        <w:rPr>
          <w:rFonts w:ascii="Garamond" w:hAnsi="Garamond" w:cs="Sylfaen"/>
          <w:b/>
          <w:iCs/>
          <w:sz w:val="22"/>
          <w:szCs w:val="22"/>
        </w:rPr>
        <w:t xml:space="preserve">%, which is </w:t>
      </w:r>
      <w:r w:rsidRPr="00441A9C">
        <w:rPr>
          <w:rFonts w:ascii="Garamond" w:hAnsi="Garamond" w:cs="Sylfaen"/>
          <w:b/>
          <w:iCs/>
          <w:sz w:val="22"/>
          <w:szCs w:val="22"/>
        </w:rPr>
        <w:t>0</w:t>
      </w:r>
      <w:r w:rsidR="00032592" w:rsidRPr="00441A9C">
        <w:rPr>
          <w:rFonts w:ascii="Garamond" w:hAnsi="Garamond" w:cs="Sylfaen"/>
          <w:b/>
          <w:iCs/>
          <w:sz w:val="22"/>
          <w:szCs w:val="22"/>
        </w:rPr>
        <w:t>.</w:t>
      </w:r>
      <w:r w:rsidRPr="00441A9C">
        <w:rPr>
          <w:rFonts w:ascii="Garamond" w:hAnsi="Garamond" w:cs="Sylfaen"/>
          <w:b/>
          <w:iCs/>
          <w:sz w:val="22"/>
          <w:szCs w:val="22"/>
        </w:rPr>
        <w:t>4</w:t>
      </w:r>
      <w:r w:rsidR="00032592" w:rsidRPr="00441A9C">
        <w:rPr>
          <w:rFonts w:ascii="Garamond" w:hAnsi="Garamond" w:cs="Sylfaen"/>
          <w:b/>
          <w:iCs/>
          <w:sz w:val="22"/>
          <w:szCs w:val="22"/>
        </w:rPr>
        <w:t xml:space="preserve"> pp</w:t>
      </w:r>
      <w:r w:rsidR="00C659D7" w:rsidRPr="00441A9C">
        <w:rPr>
          <w:rFonts w:ascii="Garamond" w:hAnsi="Garamond" w:cs="Sylfaen"/>
          <w:b/>
          <w:iCs/>
          <w:sz w:val="22"/>
          <w:szCs w:val="22"/>
        </w:rPr>
        <w:t xml:space="preserve"> </w:t>
      </w:r>
      <w:r w:rsidR="00032592" w:rsidRPr="00441A9C">
        <w:rPr>
          <w:rFonts w:ascii="Garamond" w:hAnsi="Garamond" w:cs="Sylfaen"/>
          <w:b/>
          <w:iCs/>
          <w:sz w:val="22"/>
          <w:szCs w:val="22"/>
        </w:rPr>
        <w:t>higher than the previous forecasts</w:t>
      </w:r>
      <w:r w:rsidR="00F8424B">
        <w:rPr>
          <w:rFonts w:ascii="Garamond" w:hAnsi="Garamond" w:cs="Sylfaen"/>
          <w:b/>
          <w:iCs/>
          <w:sz w:val="22"/>
          <w:szCs w:val="22"/>
        </w:rPr>
        <w:t>To maintain</w:t>
      </w:r>
      <w:r w:rsidR="00C659D7" w:rsidRPr="00441A9C">
        <w:rPr>
          <w:rFonts w:ascii="Garamond" w:hAnsi="Garamond" w:cs="Sylfaen"/>
          <w:b/>
          <w:iCs/>
          <w:sz w:val="22"/>
          <w:szCs w:val="22"/>
        </w:rPr>
        <w:t xml:space="preserve"> debt sustainability in the medium-term perspective, the budget deficit</w:t>
      </w:r>
      <w:r w:rsidR="00675C6E" w:rsidRPr="00441A9C">
        <w:rPr>
          <w:rFonts w:ascii="Garamond" w:hAnsi="Garamond" w:cs="Sylfaen"/>
          <w:b/>
          <w:iCs/>
          <w:sz w:val="22"/>
          <w:szCs w:val="22"/>
        </w:rPr>
        <w:t xml:space="preserve"> </w:t>
      </w:r>
      <w:r w:rsidR="00C659D7" w:rsidRPr="00441A9C">
        <w:rPr>
          <w:rFonts w:ascii="Garamond" w:hAnsi="Garamond" w:cs="Sylfaen"/>
          <w:b/>
          <w:iCs/>
          <w:sz w:val="22"/>
          <w:szCs w:val="22"/>
        </w:rPr>
        <w:t>is expected to</w:t>
      </w:r>
      <w:r w:rsidR="00F8424B">
        <w:rPr>
          <w:rFonts w:ascii="Garamond" w:hAnsi="Garamond" w:cs="Sylfaen"/>
          <w:b/>
          <w:iCs/>
          <w:sz w:val="22"/>
          <w:szCs w:val="22"/>
        </w:rPr>
        <w:t>decline</w:t>
      </w:r>
      <w:r w:rsidR="00E058BC" w:rsidRPr="00441A9C">
        <w:rPr>
          <w:rFonts w:ascii="Garamond" w:hAnsi="Garamond" w:cs="Sylfaen"/>
          <w:b/>
          <w:iCs/>
          <w:sz w:val="22"/>
          <w:szCs w:val="22"/>
        </w:rPr>
        <w:t xml:space="preserve"> in 2017</w:t>
      </w:r>
      <w:r w:rsidR="00675C6E" w:rsidRPr="00441A9C">
        <w:rPr>
          <w:rFonts w:ascii="Garamond" w:hAnsi="Garamond" w:cs="Sylfaen"/>
          <w:b/>
          <w:iCs/>
          <w:sz w:val="22"/>
          <w:szCs w:val="22"/>
        </w:rPr>
        <w:t>,</w:t>
      </w:r>
      <w:r w:rsidR="00C659D7" w:rsidRPr="00441A9C">
        <w:rPr>
          <w:rFonts w:ascii="Garamond" w:hAnsi="Garamond" w:cs="Sylfaen"/>
          <w:b/>
          <w:iCs/>
          <w:sz w:val="22"/>
          <w:szCs w:val="22"/>
        </w:rPr>
        <w:t xml:space="preserve"> which, although set to leave </w:t>
      </w:r>
      <w:r w:rsidR="00E058BC" w:rsidRPr="00441A9C">
        <w:rPr>
          <w:rFonts w:ascii="Garamond" w:hAnsi="Garamond" w:cs="Sylfaen"/>
          <w:b/>
          <w:iCs/>
          <w:sz w:val="22"/>
          <w:szCs w:val="22"/>
        </w:rPr>
        <w:t xml:space="preserve">somewhat a dampening effect on </w:t>
      </w:r>
      <w:r w:rsidR="00C659D7" w:rsidRPr="00441A9C">
        <w:rPr>
          <w:rFonts w:ascii="Garamond" w:hAnsi="Garamond" w:cs="Sylfaen"/>
          <w:b/>
          <w:iCs/>
          <w:sz w:val="22"/>
          <w:szCs w:val="22"/>
        </w:rPr>
        <w:t xml:space="preserve">domestic demand in short </w:t>
      </w:r>
      <w:r w:rsidR="00E058BC" w:rsidRPr="00441A9C">
        <w:rPr>
          <w:rFonts w:ascii="Garamond" w:hAnsi="Garamond" w:cs="Sylfaen"/>
          <w:b/>
          <w:iCs/>
          <w:sz w:val="22"/>
          <w:szCs w:val="22"/>
        </w:rPr>
        <w:t>term</w:t>
      </w:r>
      <w:r w:rsidR="00C659D7" w:rsidRPr="00441A9C">
        <w:rPr>
          <w:rFonts w:ascii="Garamond" w:hAnsi="Garamond" w:cs="Sylfaen"/>
          <w:b/>
          <w:iCs/>
          <w:sz w:val="22"/>
          <w:szCs w:val="22"/>
        </w:rPr>
        <w:t xml:space="preserve">, will </w:t>
      </w:r>
      <w:r w:rsidR="008E0324" w:rsidRPr="00441A9C">
        <w:rPr>
          <w:rFonts w:ascii="Garamond" w:hAnsi="Garamond" w:cs="Sylfaen"/>
          <w:b/>
          <w:iCs/>
          <w:sz w:val="22"/>
          <w:szCs w:val="22"/>
        </w:rPr>
        <w:t>contribute to increasing confidence in the long run, sustainability of public finances and investment and economic activity</w:t>
      </w:r>
      <w:r w:rsidR="00C659D7" w:rsidRPr="00441A9C">
        <w:rPr>
          <w:rFonts w:ascii="Garamond" w:hAnsi="Garamond" w:cs="Sylfaen"/>
          <w:b/>
          <w:iCs/>
          <w:sz w:val="22"/>
          <w:szCs w:val="22"/>
        </w:rPr>
        <w:t xml:space="preserve">. </w:t>
      </w:r>
      <w:r w:rsidR="008E0324" w:rsidRPr="00441A9C">
        <w:rPr>
          <w:rFonts w:ascii="Garamond" w:hAnsi="Garamond" w:cs="Sylfaen"/>
          <w:b/>
          <w:iCs/>
          <w:sz w:val="22"/>
          <w:szCs w:val="22"/>
        </w:rPr>
        <w:t xml:space="preserve">The above-described developments in the private and public sectors suggest </w:t>
      </w:r>
      <w:r w:rsidR="00675C6E" w:rsidRPr="00441A9C">
        <w:rPr>
          <w:rFonts w:ascii="Garamond" w:hAnsi="Garamond" w:cs="Sylfaen"/>
          <w:b/>
          <w:iCs/>
          <w:sz w:val="22"/>
          <w:szCs w:val="22"/>
        </w:rPr>
        <w:t xml:space="preserve">that the growth of </w:t>
      </w:r>
      <w:r w:rsidR="008E0324" w:rsidRPr="00441A9C">
        <w:rPr>
          <w:rFonts w:ascii="Garamond" w:hAnsi="Garamond" w:cs="Sylfaen"/>
          <w:b/>
          <w:iCs/>
          <w:sz w:val="22"/>
          <w:szCs w:val="22"/>
        </w:rPr>
        <w:t xml:space="preserve">domestic demand </w:t>
      </w:r>
      <w:r w:rsidR="00675C6E" w:rsidRPr="00441A9C">
        <w:rPr>
          <w:rFonts w:ascii="Garamond" w:hAnsi="Garamond" w:cs="Sylfaen"/>
          <w:b/>
          <w:iCs/>
          <w:sz w:val="22"/>
          <w:szCs w:val="22"/>
        </w:rPr>
        <w:t xml:space="preserve">in 2017 </w:t>
      </w:r>
      <w:r w:rsidR="008E0324" w:rsidRPr="00441A9C">
        <w:rPr>
          <w:rFonts w:ascii="Garamond" w:hAnsi="Garamond" w:cs="Sylfaen"/>
          <w:b/>
          <w:iCs/>
          <w:sz w:val="22"/>
          <w:szCs w:val="22"/>
        </w:rPr>
        <w:t xml:space="preserve">will </w:t>
      </w:r>
      <w:r w:rsidR="00675C6E" w:rsidRPr="00441A9C">
        <w:rPr>
          <w:rFonts w:ascii="Garamond" w:hAnsi="Garamond" w:cs="Sylfaen"/>
          <w:b/>
          <w:iCs/>
          <w:sz w:val="22"/>
          <w:szCs w:val="22"/>
        </w:rPr>
        <w:t>be within 3.</w:t>
      </w:r>
      <w:r w:rsidR="00E058BC" w:rsidRPr="00441A9C">
        <w:rPr>
          <w:rFonts w:ascii="Garamond" w:hAnsi="Garamond" w:cs="Sylfaen"/>
          <w:b/>
          <w:iCs/>
          <w:sz w:val="22"/>
          <w:szCs w:val="22"/>
        </w:rPr>
        <w:t>6-</w:t>
      </w:r>
      <w:r w:rsidR="00675C6E" w:rsidRPr="00441A9C">
        <w:rPr>
          <w:rFonts w:ascii="Garamond" w:hAnsi="Garamond" w:cs="Sylfaen"/>
          <w:b/>
          <w:iCs/>
          <w:sz w:val="22"/>
          <w:szCs w:val="22"/>
        </w:rPr>
        <w:t>4</w:t>
      </w:r>
      <w:r w:rsidR="00E058BC" w:rsidRPr="00441A9C">
        <w:rPr>
          <w:rFonts w:ascii="Garamond" w:hAnsi="Garamond" w:cs="Sylfaen"/>
          <w:b/>
          <w:iCs/>
          <w:sz w:val="22"/>
          <w:szCs w:val="22"/>
        </w:rPr>
        <w:t>.0</w:t>
      </w:r>
      <w:r w:rsidR="00675C6E" w:rsidRPr="00441A9C">
        <w:rPr>
          <w:rFonts w:ascii="Garamond" w:hAnsi="Garamond" w:cs="Sylfaen"/>
          <w:b/>
          <w:iCs/>
          <w:sz w:val="22"/>
          <w:szCs w:val="22"/>
        </w:rPr>
        <w:t>%</w:t>
      </w:r>
      <w:r w:rsidR="008E0324" w:rsidRPr="00441A9C">
        <w:rPr>
          <w:rFonts w:ascii="Garamond" w:hAnsi="Garamond" w:cs="Sylfaen"/>
          <w:b/>
          <w:iCs/>
          <w:sz w:val="22"/>
          <w:szCs w:val="22"/>
        </w:rPr>
        <w:t xml:space="preserve">, </w:t>
      </w:r>
      <w:r w:rsidR="00675C6E" w:rsidRPr="00441A9C">
        <w:rPr>
          <w:rFonts w:ascii="Garamond" w:hAnsi="Garamond" w:cs="Sylfaen"/>
          <w:b/>
          <w:iCs/>
          <w:sz w:val="22"/>
          <w:szCs w:val="22"/>
        </w:rPr>
        <w:t xml:space="preserve">which is </w:t>
      </w:r>
      <w:r w:rsidR="00274016" w:rsidRPr="00441A9C">
        <w:rPr>
          <w:rFonts w:ascii="Garamond" w:hAnsi="Garamond" w:cs="Sylfaen"/>
          <w:b/>
          <w:iCs/>
          <w:sz w:val="22"/>
          <w:szCs w:val="22"/>
        </w:rPr>
        <w:t>0</w:t>
      </w:r>
      <w:r w:rsidR="00E058BC" w:rsidRPr="00441A9C">
        <w:rPr>
          <w:rFonts w:ascii="Garamond" w:hAnsi="Garamond" w:cs="Sylfaen"/>
          <w:b/>
          <w:iCs/>
          <w:sz w:val="22"/>
          <w:szCs w:val="22"/>
        </w:rPr>
        <w:t>.6</w:t>
      </w:r>
      <w:r w:rsidR="00274016" w:rsidRPr="00441A9C">
        <w:rPr>
          <w:rFonts w:ascii="Garamond" w:hAnsi="Garamond" w:cs="Sylfaen"/>
          <w:b/>
          <w:iCs/>
          <w:sz w:val="22"/>
          <w:szCs w:val="22"/>
        </w:rPr>
        <w:t xml:space="preserve"> pp higher than the previous forecast. In anticipation of a faster </w:t>
      </w:r>
      <w:r w:rsidR="00E058BC" w:rsidRPr="00441A9C">
        <w:rPr>
          <w:rFonts w:ascii="Garamond" w:hAnsi="Garamond" w:cs="Sylfaen"/>
          <w:b/>
          <w:iCs/>
          <w:sz w:val="22"/>
          <w:szCs w:val="22"/>
        </w:rPr>
        <w:t xml:space="preserve">economic </w:t>
      </w:r>
      <w:r w:rsidR="00274016" w:rsidRPr="00441A9C">
        <w:rPr>
          <w:rFonts w:ascii="Garamond" w:hAnsi="Garamond" w:cs="Sylfaen"/>
          <w:b/>
          <w:iCs/>
          <w:sz w:val="22"/>
          <w:szCs w:val="22"/>
        </w:rPr>
        <w:t xml:space="preserve">growth, the negative gap of domestic demand </w:t>
      </w:r>
      <w:r w:rsidR="00E058BC" w:rsidRPr="00441A9C">
        <w:rPr>
          <w:rFonts w:ascii="Garamond" w:hAnsi="Garamond" w:cs="Sylfaen"/>
          <w:b/>
          <w:iCs/>
          <w:sz w:val="22"/>
          <w:szCs w:val="22"/>
        </w:rPr>
        <w:t xml:space="preserve">will shrink in 2017 </w:t>
      </w:r>
      <w:r w:rsidR="00274016" w:rsidRPr="00441A9C">
        <w:rPr>
          <w:rFonts w:ascii="Garamond" w:hAnsi="Garamond" w:cs="Sylfaen"/>
          <w:b/>
          <w:iCs/>
          <w:sz w:val="22"/>
          <w:szCs w:val="22"/>
        </w:rPr>
        <w:t xml:space="preserve">and eliminate in early 2018. </w:t>
      </w:r>
      <w:r w:rsidR="000E091C" w:rsidRPr="00441A9C">
        <w:rPr>
          <w:rFonts w:ascii="Garamond" w:hAnsi="Garamond" w:cs="Sylfaen"/>
          <w:b/>
          <w:iCs/>
          <w:sz w:val="22"/>
          <w:szCs w:val="22"/>
        </w:rPr>
        <w:t>I</w:t>
      </w:r>
      <w:r w:rsidR="00274016" w:rsidRPr="00441A9C">
        <w:rPr>
          <w:rFonts w:ascii="Garamond" w:hAnsi="Garamond" w:cs="Sylfaen"/>
          <w:b/>
          <w:iCs/>
          <w:sz w:val="22"/>
          <w:szCs w:val="22"/>
        </w:rPr>
        <w:t>t is expected that domestic demand will run slightly above the equilibrium in 2018-20</w:t>
      </w:r>
      <w:r w:rsidR="000E091C" w:rsidRPr="00441A9C">
        <w:rPr>
          <w:rFonts w:ascii="Garamond" w:hAnsi="Garamond" w:cs="Sylfaen"/>
          <w:b/>
          <w:iCs/>
          <w:sz w:val="22"/>
          <w:szCs w:val="22"/>
        </w:rPr>
        <w:t>20</w:t>
      </w:r>
      <w:r w:rsidR="00274016" w:rsidRPr="00441A9C">
        <w:rPr>
          <w:rFonts w:ascii="Garamond" w:hAnsi="Garamond" w:cs="Sylfaen"/>
          <w:b/>
          <w:iCs/>
          <w:sz w:val="22"/>
          <w:szCs w:val="22"/>
        </w:rPr>
        <w:t>, creating a positive gap.</w:t>
      </w:r>
    </w:p>
    <w:p w14:paraId="7D04B5F8" w14:textId="77777777" w:rsidR="00C659D7" w:rsidRPr="00441A9C" w:rsidRDefault="00C659D7" w:rsidP="00B117C8">
      <w:pPr>
        <w:spacing w:line="360" w:lineRule="auto"/>
        <w:jc w:val="both"/>
        <w:rPr>
          <w:rFonts w:ascii="Garamond" w:hAnsi="Garamond" w:cs="Sylfaen"/>
          <w:b/>
          <w:iCs/>
          <w:sz w:val="22"/>
          <w:szCs w:val="22"/>
        </w:rPr>
      </w:pPr>
    </w:p>
    <w:p w14:paraId="38C5F56A" w14:textId="77777777" w:rsidR="00F458E9" w:rsidRPr="00441A9C" w:rsidRDefault="00F458E9" w:rsidP="00B117C8">
      <w:pPr>
        <w:spacing w:line="360" w:lineRule="auto"/>
        <w:jc w:val="both"/>
        <w:rPr>
          <w:rFonts w:ascii="Garamond" w:hAnsi="Garamond" w:cs="Sylfaen"/>
          <w:b/>
          <w:iCs/>
          <w:sz w:val="22"/>
          <w:szCs w:val="22"/>
        </w:rPr>
      </w:pPr>
      <w:r w:rsidRPr="00441A9C">
        <w:rPr>
          <w:rFonts w:ascii="Garamond" w:hAnsi="Garamond" w:cs="Sylfaen"/>
          <w:b/>
          <w:iCs/>
          <w:sz w:val="22"/>
          <w:szCs w:val="22"/>
        </w:rPr>
        <w:t>Private sector spending</w:t>
      </w:r>
    </w:p>
    <w:p w14:paraId="1D64A2F9" w14:textId="77777777" w:rsidR="00791BB3" w:rsidRPr="00441A9C" w:rsidRDefault="0070496B" w:rsidP="00B117C8">
      <w:pPr>
        <w:spacing w:line="360" w:lineRule="auto"/>
        <w:jc w:val="both"/>
        <w:rPr>
          <w:rFonts w:ascii="Garamond" w:hAnsi="Garamond" w:cs="Sylfaen"/>
          <w:sz w:val="22"/>
          <w:szCs w:val="22"/>
        </w:rPr>
      </w:pPr>
      <w:r w:rsidRPr="00441A9C">
        <w:rPr>
          <w:rFonts w:ascii="Garamond" w:hAnsi="Garamond"/>
          <w:sz w:val="22"/>
          <w:szCs w:val="22"/>
        </w:rPr>
        <w:t>Predicted</w:t>
      </w:r>
      <w:r w:rsidR="00F02702" w:rsidRPr="00441A9C">
        <w:rPr>
          <w:rFonts w:ascii="Garamond" w:hAnsi="Garamond"/>
          <w:sz w:val="22"/>
          <w:szCs w:val="22"/>
        </w:rPr>
        <w:t xml:space="preserve"> higher economic growth in 2017 will boost real household incomes up. </w:t>
      </w:r>
      <w:r w:rsidRPr="00441A9C">
        <w:rPr>
          <w:rFonts w:ascii="Garamond" w:hAnsi="Garamond"/>
          <w:sz w:val="22"/>
          <w:szCs w:val="22"/>
        </w:rPr>
        <w:t>Taking also into account an</w:t>
      </w:r>
      <w:r w:rsidR="00791BB3" w:rsidRPr="00441A9C">
        <w:rPr>
          <w:rFonts w:ascii="Garamond" w:hAnsi="Garamond" w:cs="Sylfaen"/>
          <w:sz w:val="22"/>
          <w:szCs w:val="22"/>
        </w:rPr>
        <w:t xml:space="preserve"> expected increase in lending in 2017, private consumption </w:t>
      </w:r>
      <w:r w:rsidRPr="00441A9C">
        <w:rPr>
          <w:rFonts w:ascii="Garamond" w:hAnsi="Garamond" w:cs="Sylfaen"/>
          <w:sz w:val="22"/>
          <w:szCs w:val="22"/>
        </w:rPr>
        <w:t>will grow</w:t>
      </w:r>
      <w:r w:rsidR="00791BB3" w:rsidRPr="00441A9C">
        <w:rPr>
          <w:rFonts w:ascii="Garamond" w:hAnsi="Garamond" w:cs="Sylfaen"/>
          <w:sz w:val="22"/>
          <w:szCs w:val="22"/>
        </w:rPr>
        <w:t xml:space="preserve"> </w:t>
      </w:r>
      <w:r w:rsidRPr="00441A9C">
        <w:rPr>
          <w:rFonts w:ascii="Garamond" w:hAnsi="Garamond" w:cs="Sylfaen"/>
          <w:sz w:val="22"/>
          <w:szCs w:val="22"/>
        </w:rPr>
        <w:t>by around 0</w:t>
      </w:r>
      <w:r w:rsidR="00791BB3" w:rsidRPr="00441A9C">
        <w:rPr>
          <w:rFonts w:ascii="Garamond" w:hAnsi="Garamond" w:cs="Sylfaen"/>
          <w:sz w:val="22"/>
          <w:szCs w:val="22"/>
        </w:rPr>
        <w:t>.5 pp higher compared with the previous forecast, amounting to 4.</w:t>
      </w:r>
      <w:r w:rsidRPr="00441A9C">
        <w:rPr>
          <w:rFonts w:ascii="Garamond" w:hAnsi="Garamond" w:cs="Sylfaen"/>
          <w:sz w:val="22"/>
          <w:szCs w:val="22"/>
        </w:rPr>
        <w:t>8</w:t>
      </w:r>
      <w:r w:rsidR="00791BB3" w:rsidRPr="00441A9C">
        <w:rPr>
          <w:rFonts w:ascii="Garamond" w:hAnsi="Garamond" w:cs="Sylfaen"/>
          <w:sz w:val="22"/>
          <w:szCs w:val="22"/>
        </w:rPr>
        <w:t>%. In line with previous forecasts, in 2018-2019 private consumption is expected to increase by 2.</w:t>
      </w:r>
      <w:r w:rsidR="003D41C3" w:rsidRPr="00441A9C">
        <w:rPr>
          <w:rFonts w:ascii="Garamond" w:hAnsi="Garamond" w:cs="Sylfaen"/>
          <w:sz w:val="22"/>
          <w:szCs w:val="22"/>
        </w:rPr>
        <w:t>4</w:t>
      </w:r>
      <w:r w:rsidR="00791BB3" w:rsidRPr="00441A9C">
        <w:rPr>
          <w:rFonts w:ascii="Garamond" w:hAnsi="Garamond" w:cs="Sylfaen"/>
          <w:sz w:val="22"/>
          <w:szCs w:val="22"/>
        </w:rPr>
        <w:t>-2.</w:t>
      </w:r>
      <w:r w:rsidR="003D41C3" w:rsidRPr="00441A9C">
        <w:rPr>
          <w:rFonts w:ascii="Garamond" w:hAnsi="Garamond" w:cs="Sylfaen"/>
          <w:sz w:val="22"/>
          <w:szCs w:val="22"/>
        </w:rPr>
        <w:t>8</w:t>
      </w:r>
      <w:r w:rsidR="00791BB3" w:rsidRPr="00441A9C">
        <w:rPr>
          <w:rFonts w:ascii="Garamond" w:hAnsi="Garamond" w:cs="Sylfaen"/>
          <w:sz w:val="22"/>
          <w:szCs w:val="22"/>
        </w:rPr>
        <w:t>% and 2.</w:t>
      </w:r>
      <w:r w:rsidR="003D41C3" w:rsidRPr="00441A9C">
        <w:rPr>
          <w:rFonts w:ascii="Garamond" w:hAnsi="Garamond" w:cs="Sylfaen"/>
          <w:sz w:val="22"/>
          <w:szCs w:val="22"/>
        </w:rPr>
        <w:t>9-3</w:t>
      </w:r>
      <w:r w:rsidR="00791BB3" w:rsidRPr="00441A9C">
        <w:rPr>
          <w:rFonts w:ascii="Garamond" w:hAnsi="Garamond" w:cs="Sylfaen"/>
          <w:sz w:val="22"/>
          <w:szCs w:val="22"/>
        </w:rPr>
        <w:t>.</w:t>
      </w:r>
      <w:r w:rsidR="003D41C3" w:rsidRPr="00441A9C">
        <w:rPr>
          <w:rFonts w:ascii="Garamond" w:hAnsi="Garamond" w:cs="Sylfaen"/>
          <w:sz w:val="22"/>
          <w:szCs w:val="22"/>
        </w:rPr>
        <w:t>3</w:t>
      </w:r>
      <w:r w:rsidR="00791BB3" w:rsidRPr="00441A9C">
        <w:rPr>
          <w:rFonts w:ascii="Garamond" w:hAnsi="Garamond" w:cs="Sylfaen"/>
          <w:sz w:val="22"/>
          <w:szCs w:val="22"/>
        </w:rPr>
        <w:t>%, respectively.</w:t>
      </w:r>
      <w:r w:rsidR="003D41C3" w:rsidRPr="00441A9C">
        <w:rPr>
          <w:rFonts w:ascii="Garamond" w:hAnsi="Garamond" w:cs="Sylfaen"/>
          <w:sz w:val="22"/>
          <w:szCs w:val="22"/>
        </w:rPr>
        <w:t xml:space="preserve"> In the first half of 2020, the growth rate of private consumption will reach 3.5%.</w:t>
      </w:r>
      <w:r w:rsidR="00791BB3" w:rsidRPr="00441A9C">
        <w:rPr>
          <w:rFonts w:ascii="Garamond" w:hAnsi="Garamond" w:cs="Sylfaen"/>
          <w:sz w:val="22"/>
          <w:szCs w:val="22"/>
        </w:rPr>
        <w:t xml:space="preserve"> </w:t>
      </w:r>
    </w:p>
    <w:p w14:paraId="38CCFE87" w14:textId="77777777" w:rsidR="00E828A1" w:rsidRPr="00441A9C" w:rsidRDefault="00E828A1" w:rsidP="00B117C8">
      <w:pPr>
        <w:spacing w:line="360" w:lineRule="auto"/>
        <w:jc w:val="both"/>
        <w:rPr>
          <w:rFonts w:ascii="Garamond" w:hAnsi="Garamond" w:cs="Sylfaen"/>
          <w:sz w:val="22"/>
          <w:szCs w:val="22"/>
        </w:rPr>
      </w:pPr>
    </w:p>
    <w:p w14:paraId="2B4D533E" w14:textId="77777777" w:rsidR="00433352" w:rsidRPr="00441A9C" w:rsidRDefault="00E828A1" w:rsidP="00B117C8">
      <w:pPr>
        <w:spacing w:line="360" w:lineRule="auto"/>
        <w:jc w:val="both"/>
        <w:rPr>
          <w:rFonts w:ascii="Garamond" w:hAnsi="Garamond" w:cs="Sylfaen"/>
          <w:sz w:val="22"/>
          <w:szCs w:val="22"/>
        </w:rPr>
      </w:pPr>
      <w:r w:rsidRPr="00441A9C">
        <w:rPr>
          <w:rFonts w:ascii="Garamond" w:hAnsi="Garamond" w:cs="Sylfaen"/>
          <w:sz w:val="22"/>
          <w:szCs w:val="22"/>
        </w:rPr>
        <w:lastRenderedPageBreak/>
        <w:t>In</w:t>
      </w:r>
      <w:r w:rsidR="00E735BA" w:rsidRPr="00441A9C">
        <w:rPr>
          <w:rFonts w:ascii="Garamond" w:hAnsi="Garamond" w:cs="Sylfaen"/>
          <w:sz w:val="22"/>
          <w:szCs w:val="22"/>
        </w:rPr>
        <w:t xml:space="preserve"> 2017 </w:t>
      </w:r>
      <w:r w:rsidR="00435B8A" w:rsidRPr="00441A9C">
        <w:rPr>
          <w:rFonts w:ascii="Garamond" w:hAnsi="Garamond" w:cs="Sylfaen"/>
          <w:sz w:val="22"/>
          <w:szCs w:val="22"/>
        </w:rPr>
        <w:t xml:space="preserve">the growth of private investment remains unchanged against the previous forecast and is estimated to reach </w:t>
      </w:r>
      <w:r w:rsidRPr="00441A9C">
        <w:rPr>
          <w:rFonts w:ascii="Garamond" w:hAnsi="Garamond" w:cs="Sylfaen"/>
          <w:sz w:val="22"/>
          <w:szCs w:val="22"/>
        </w:rPr>
        <w:t xml:space="preserve">6%. The </w:t>
      </w:r>
      <w:r w:rsidR="00435B8A" w:rsidRPr="00441A9C">
        <w:rPr>
          <w:rFonts w:ascii="Garamond" w:hAnsi="Garamond" w:cs="Sylfaen"/>
          <w:sz w:val="22"/>
          <w:szCs w:val="22"/>
        </w:rPr>
        <w:t>growth of private investment in 2018-2019 is expected to somehow exceed the previous forecasts, which</w:t>
      </w:r>
      <w:r w:rsidRPr="00441A9C">
        <w:rPr>
          <w:rFonts w:ascii="Garamond" w:hAnsi="Garamond" w:cs="Sylfaen"/>
          <w:sz w:val="22"/>
          <w:szCs w:val="22"/>
        </w:rPr>
        <w:t xml:space="preserve"> </w:t>
      </w:r>
      <w:r w:rsidR="00A4507B" w:rsidRPr="00441A9C">
        <w:rPr>
          <w:rFonts w:ascii="Garamond" w:hAnsi="Garamond" w:cs="Sylfaen"/>
          <w:sz w:val="22"/>
          <w:szCs w:val="22"/>
        </w:rPr>
        <w:t>i</w:t>
      </w:r>
      <w:r w:rsidR="00433352" w:rsidRPr="00441A9C">
        <w:rPr>
          <w:rFonts w:ascii="Garamond" w:hAnsi="Garamond" w:cs="Sylfaen"/>
          <w:sz w:val="22"/>
          <w:szCs w:val="22"/>
        </w:rPr>
        <w:t>s explained by revision of the economic growth. As a result, private investment will increase by 5.0% in the forecast horizon.</w:t>
      </w:r>
    </w:p>
    <w:p w14:paraId="507F2EF7" w14:textId="77777777" w:rsidR="00433352" w:rsidRPr="00441A9C" w:rsidRDefault="00433352" w:rsidP="00B117C8">
      <w:pPr>
        <w:spacing w:line="360" w:lineRule="auto"/>
        <w:jc w:val="both"/>
        <w:rPr>
          <w:rFonts w:ascii="Garamond" w:hAnsi="Garamond"/>
          <w:sz w:val="22"/>
          <w:szCs w:val="22"/>
        </w:rPr>
      </w:pPr>
    </w:p>
    <w:p w14:paraId="3A399179" w14:textId="77777777" w:rsidR="00831789" w:rsidRPr="00441A9C" w:rsidRDefault="005046F7" w:rsidP="00B117C8">
      <w:pPr>
        <w:spacing w:line="360" w:lineRule="auto"/>
        <w:jc w:val="both"/>
        <w:rPr>
          <w:rFonts w:ascii="Garamond" w:hAnsi="Garamond"/>
          <w:sz w:val="22"/>
          <w:szCs w:val="22"/>
        </w:rPr>
      </w:pPr>
      <w:r w:rsidRPr="00441A9C">
        <w:rPr>
          <w:rFonts w:ascii="Garamond" w:hAnsi="Garamond"/>
          <w:sz w:val="22"/>
          <w:szCs w:val="22"/>
        </w:rPr>
        <w:t xml:space="preserve">The aforementioned developments </w:t>
      </w:r>
      <w:r w:rsidR="00433352" w:rsidRPr="00441A9C">
        <w:rPr>
          <w:rFonts w:ascii="Garamond" w:hAnsi="Garamond"/>
          <w:sz w:val="22"/>
          <w:szCs w:val="22"/>
        </w:rPr>
        <w:t>in</w:t>
      </w:r>
      <w:r w:rsidRPr="00441A9C">
        <w:rPr>
          <w:rFonts w:ascii="Garamond" w:hAnsi="Garamond"/>
          <w:sz w:val="22"/>
          <w:szCs w:val="22"/>
        </w:rPr>
        <w:t xml:space="preserve"> private consumption and investment will result in a </w:t>
      </w:r>
      <w:r w:rsidR="00433352" w:rsidRPr="00441A9C">
        <w:rPr>
          <w:rFonts w:ascii="Garamond" w:hAnsi="Garamond"/>
          <w:sz w:val="22"/>
          <w:szCs w:val="22"/>
        </w:rPr>
        <w:t>5</w:t>
      </w:r>
      <w:r w:rsidRPr="00441A9C">
        <w:rPr>
          <w:rFonts w:ascii="Garamond" w:hAnsi="Garamond"/>
          <w:sz w:val="22"/>
          <w:szCs w:val="22"/>
        </w:rPr>
        <w:t xml:space="preserve">% increase in private spending in 2017, which is </w:t>
      </w:r>
      <w:r w:rsidR="00433352" w:rsidRPr="00441A9C">
        <w:rPr>
          <w:rFonts w:ascii="Garamond" w:hAnsi="Garamond"/>
          <w:sz w:val="22"/>
          <w:szCs w:val="22"/>
        </w:rPr>
        <w:t>0</w:t>
      </w:r>
      <w:r w:rsidRPr="00441A9C">
        <w:rPr>
          <w:rFonts w:ascii="Garamond" w:hAnsi="Garamond"/>
          <w:sz w:val="22"/>
          <w:szCs w:val="22"/>
        </w:rPr>
        <w:t>.</w:t>
      </w:r>
      <w:r w:rsidR="00433352" w:rsidRPr="00441A9C">
        <w:rPr>
          <w:rFonts w:ascii="Garamond" w:hAnsi="Garamond"/>
          <w:sz w:val="22"/>
          <w:szCs w:val="22"/>
        </w:rPr>
        <w:t>4</w:t>
      </w:r>
      <w:r w:rsidRPr="00441A9C">
        <w:rPr>
          <w:rFonts w:ascii="Garamond" w:hAnsi="Garamond"/>
          <w:sz w:val="22"/>
          <w:szCs w:val="22"/>
        </w:rPr>
        <w:t xml:space="preserve"> pp higher </w:t>
      </w:r>
      <w:r w:rsidR="00433352" w:rsidRPr="00441A9C">
        <w:rPr>
          <w:rFonts w:ascii="Garamond" w:hAnsi="Garamond"/>
          <w:sz w:val="22"/>
          <w:szCs w:val="22"/>
        </w:rPr>
        <w:t>from</w:t>
      </w:r>
      <w:r w:rsidRPr="00441A9C">
        <w:rPr>
          <w:rFonts w:ascii="Garamond" w:hAnsi="Garamond"/>
          <w:sz w:val="22"/>
          <w:szCs w:val="22"/>
        </w:rPr>
        <w:t xml:space="preserve"> the previous forecast. In </w:t>
      </w:r>
      <w:r w:rsidR="00433352" w:rsidRPr="00441A9C">
        <w:rPr>
          <w:rFonts w:ascii="Garamond" w:hAnsi="Garamond"/>
          <w:sz w:val="22"/>
          <w:szCs w:val="22"/>
        </w:rPr>
        <w:t xml:space="preserve">the forecast horizon the growth of </w:t>
      </w:r>
      <w:r w:rsidR="00831789" w:rsidRPr="00441A9C">
        <w:rPr>
          <w:rFonts w:ascii="Garamond" w:hAnsi="Garamond"/>
          <w:sz w:val="22"/>
          <w:szCs w:val="22"/>
        </w:rPr>
        <w:t xml:space="preserve">private expenditures will </w:t>
      </w:r>
      <w:r w:rsidR="00433352" w:rsidRPr="00441A9C">
        <w:rPr>
          <w:rFonts w:ascii="Garamond" w:hAnsi="Garamond"/>
          <w:sz w:val="22"/>
          <w:szCs w:val="22"/>
        </w:rPr>
        <w:t>be within 3</w:t>
      </w:r>
      <w:r w:rsidRPr="00441A9C">
        <w:rPr>
          <w:rFonts w:ascii="Garamond" w:hAnsi="Garamond"/>
          <w:sz w:val="22"/>
          <w:szCs w:val="22"/>
        </w:rPr>
        <w:t>.</w:t>
      </w:r>
      <w:r w:rsidR="00433352" w:rsidRPr="00441A9C">
        <w:rPr>
          <w:rFonts w:ascii="Garamond" w:hAnsi="Garamond"/>
          <w:sz w:val="22"/>
          <w:szCs w:val="22"/>
        </w:rPr>
        <w:t>0</w:t>
      </w:r>
      <w:r w:rsidRPr="00441A9C">
        <w:rPr>
          <w:rFonts w:ascii="Garamond" w:hAnsi="Garamond"/>
          <w:sz w:val="22"/>
          <w:szCs w:val="22"/>
        </w:rPr>
        <w:t>-</w:t>
      </w:r>
      <w:r w:rsidR="00433352" w:rsidRPr="00441A9C">
        <w:rPr>
          <w:rFonts w:ascii="Garamond" w:hAnsi="Garamond"/>
          <w:sz w:val="22"/>
          <w:szCs w:val="22"/>
        </w:rPr>
        <w:t>4</w:t>
      </w:r>
      <w:r w:rsidRPr="00441A9C">
        <w:rPr>
          <w:rFonts w:ascii="Garamond" w:hAnsi="Garamond"/>
          <w:sz w:val="22"/>
          <w:szCs w:val="22"/>
        </w:rPr>
        <w:t>.</w:t>
      </w:r>
      <w:r w:rsidR="00433352" w:rsidRPr="00441A9C">
        <w:rPr>
          <w:rFonts w:ascii="Garamond" w:hAnsi="Garamond"/>
          <w:sz w:val="22"/>
          <w:szCs w:val="22"/>
        </w:rPr>
        <w:t>0</w:t>
      </w:r>
      <w:r w:rsidR="00831789" w:rsidRPr="00441A9C">
        <w:rPr>
          <w:rFonts w:ascii="Garamond" w:hAnsi="Garamond"/>
          <w:sz w:val="22"/>
          <w:szCs w:val="22"/>
        </w:rPr>
        <w:t xml:space="preserve">%. </w:t>
      </w:r>
    </w:p>
    <w:p w14:paraId="4D8E9D55" w14:textId="77777777" w:rsidR="00831789" w:rsidRPr="00441A9C" w:rsidRDefault="00831789" w:rsidP="00B117C8">
      <w:pPr>
        <w:spacing w:line="360" w:lineRule="auto"/>
        <w:jc w:val="both"/>
        <w:rPr>
          <w:rFonts w:ascii="Garamond" w:hAnsi="Garamond"/>
          <w:sz w:val="22"/>
          <w:szCs w:val="22"/>
        </w:rPr>
      </w:pPr>
    </w:p>
    <w:p w14:paraId="73369F91" w14:textId="074F3476" w:rsidR="00831789" w:rsidRPr="00441A9C" w:rsidRDefault="00831789" w:rsidP="00B117C8">
      <w:pPr>
        <w:spacing w:line="360" w:lineRule="auto"/>
        <w:jc w:val="both"/>
        <w:rPr>
          <w:rFonts w:ascii="Garamond" w:hAnsi="Garamond"/>
          <w:sz w:val="22"/>
          <w:szCs w:val="22"/>
        </w:rPr>
      </w:pPr>
      <w:r w:rsidRPr="00441A9C">
        <w:rPr>
          <w:rFonts w:ascii="Garamond" w:hAnsi="Garamond"/>
          <w:sz w:val="22"/>
          <w:szCs w:val="22"/>
        </w:rPr>
        <w:t xml:space="preserve">The </w:t>
      </w:r>
      <w:r w:rsidR="006C1DBF" w:rsidRPr="00441A9C">
        <w:rPr>
          <w:rFonts w:ascii="Garamond" w:hAnsi="Garamond"/>
          <w:sz w:val="22"/>
          <w:szCs w:val="22"/>
        </w:rPr>
        <w:t>expected growth</w:t>
      </w:r>
      <w:r w:rsidR="00BC7B62" w:rsidRPr="00441A9C">
        <w:rPr>
          <w:rFonts w:ascii="Garamond" w:hAnsi="Garamond"/>
          <w:sz w:val="22"/>
          <w:szCs w:val="22"/>
        </w:rPr>
        <w:t>s</w:t>
      </w:r>
      <w:r w:rsidR="006C1DBF" w:rsidRPr="00441A9C">
        <w:rPr>
          <w:rFonts w:ascii="Garamond" w:hAnsi="Garamond"/>
          <w:sz w:val="22"/>
          <w:szCs w:val="22"/>
        </w:rPr>
        <w:t xml:space="preserve"> notwithstanding, private </w:t>
      </w:r>
      <w:r w:rsidR="0075712A" w:rsidRPr="00441A9C">
        <w:rPr>
          <w:rFonts w:ascii="Garamond" w:hAnsi="Garamond"/>
          <w:sz w:val="22"/>
          <w:szCs w:val="22"/>
        </w:rPr>
        <w:t>spending w</w:t>
      </w:r>
      <w:r w:rsidR="006C1DBF" w:rsidRPr="00441A9C">
        <w:rPr>
          <w:rFonts w:ascii="Garamond" w:hAnsi="Garamond"/>
          <w:sz w:val="22"/>
          <w:szCs w:val="22"/>
        </w:rPr>
        <w:t xml:space="preserve">ill </w:t>
      </w:r>
      <w:r w:rsidR="00F8424B">
        <w:rPr>
          <w:rFonts w:ascii="Garamond" w:hAnsi="Garamond"/>
          <w:sz w:val="22"/>
          <w:szCs w:val="22"/>
        </w:rPr>
        <w:t>decelrate to relatively low</w:t>
      </w:r>
      <w:r w:rsidR="006C1DBF" w:rsidRPr="00441A9C">
        <w:rPr>
          <w:rFonts w:ascii="Garamond" w:hAnsi="Garamond"/>
          <w:sz w:val="22"/>
          <w:szCs w:val="22"/>
        </w:rPr>
        <w:t xml:space="preserve"> level</w:t>
      </w:r>
      <w:r w:rsidR="00F8424B">
        <w:rPr>
          <w:rFonts w:ascii="Garamond" w:hAnsi="Garamond"/>
          <w:sz w:val="22"/>
          <w:szCs w:val="22"/>
        </w:rPr>
        <w:t>s</w:t>
      </w:r>
      <w:r w:rsidR="006C1DBF" w:rsidRPr="00441A9C">
        <w:rPr>
          <w:rFonts w:ascii="Garamond" w:hAnsi="Garamond"/>
          <w:sz w:val="22"/>
          <w:szCs w:val="22"/>
        </w:rPr>
        <w:t xml:space="preserve"> </w:t>
      </w:r>
      <w:r w:rsidR="0075712A" w:rsidRPr="00441A9C">
        <w:rPr>
          <w:rFonts w:ascii="Garamond" w:hAnsi="Garamond"/>
          <w:sz w:val="22"/>
          <w:szCs w:val="22"/>
        </w:rPr>
        <w:t>in</w:t>
      </w:r>
      <w:r w:rsidR="006C1DBF" w:rsidRPr="00441A9C">
        <w:rPr>
          <w:rFonts w:ascii="Garamond" w:hAnsi="Garamond"/>
          <w:sz w:val="22"/>
          <w:szCs w:val="22"/>
        </w:rPr>
        <w:t xml:space="preserve"> the </w:t>
      </w:r>
      <w:r w:rsidR="0075712A" w:rsidRPr="00441A9C">
        <w:rPr>
          <w:rFonts w:ascii="Garamond" w:hAnsi="Garamond"/>
          <w:sz w:val="22"/>
          <w:szCs w:val="22"/>
        </w:rPr>
        <w:t xml:space="preserve">beginning of forecast </w:t>
      </w:r>
      <w:r w:rsidR="006C1DBF" w:rsidRPr="00441A9C">
        <w:rPr>
          <w:rFonts w:ascii="Garamond" w:hAnsi="Garamond"/>
          <w:sz w:val="22"/>
          <w:szCs w:val="22"/>
        </w:rPr>
        <w:t>horizon</w:t>
      </w:r>
      <w:r w:rsidR="0075712A" w:rsidRPr="00441A9C">
        <w:rPr>
          <w:rFonts w:ascii="Garamond" w:hAnsi="Garamond"/>
          <w:sz w:val="22"/>
          <w:szCs w:val="22"/>
        </w:rPr>
        <w:t>:</w:t>
      </w:r>
      <w:r w:rsidR="006C1DBF" w:rsidRPr="00441A9C">
        <w:rPr>
          <w:rFonts w:ascii="Garamond" w:hAnsi="Garamond"/>
          <w:sz w:val="22"/>
          <w:szCs w:val="22"/>
        </w:rPr>
        <w:t xml:space="preserve"> </w:t>
      </w:r>
      <w:r w:rsidR="0075712A" w:rsidRPr="00441A9C">
        <w:rPr>
          <w:rFonts w:ascii="Garamond" w:hAnsi="Garamond"/>
          <w:sz w:val="22"/>
          <w:szCs w:val="22"/>
        </w:rPr>
        <w:t xml:space="preserve">because there has been </w:t>
      </w:r>
      <w:r w:rsidR="006C1DBF" w:rsidRPr="00441A9C">
        <w:rPr>
          <w:rFonts w:ascii="Garamond" w:hAnsi="Garamond"/>
          <w:sz w:val="22"/>
          <w:szCs w:val="22"/>
        </w:rPr>
        <w:t>6.9% and 2.9% fall in private spending</w:t>
      </w:r>
      <w:r w:rsidR="0075712A" w:rsidRPr="00441A9C">
        <w:rPr>
          <w:rFonts w:ascii="Garamond" w:hAnsi="Garamond"/>
          <w:sz w:val="22"/>
          <w:szCs w:val="22"/>
        </w:rPr>
        <w:t xml:space="preserve"> in 2015 and 2016</w:t>
      </w:r>
      <w:r w:rsidR="006C1DBF" w:rsidRPr="00441A9C">
        <w:rPr>
          <w:rFonts w:ascii="Garamond" w:hAnsi="Garamond"/>
          <w:sz w:val="22"/>
          <w:szCs w:val="22"/>
        </w:rPr>
        <w:t>, respectively</w:t>
      </w:r>
      <w:r w:rsidR="0075712A" w:rsidRPr="00441A9C">
        <w:rPr>
          <w:rFonts w:ascii="Garamond" w:hAnsi="Garamond"/>
          <w:sz w:val="22"/>
          <w:szCs w:val="22"/>
        </w:rPr>
        <w:t>, a</w:t>
      </w:r>
      <w:r w:rsidR="006C1DBF" w:rsidRPr="00441A9C">
        <w:rPr>
          <w:rFonts w:ascii="Garamond" w:hAnsi="Garamond"/>
          <w:sz w:val="22"/>
          <w:szCs w:val="22"/>
        </w:rPr>
        <w:t xml:space="preserve">bout 5.5% growth recorded in the first half of </w:t>
      </w:r>
      <w:r w:rsidR="0075712A" w:rsidRPr="00441A9C">
        <w:rPr>
          <w:rFonts w:ascii="Garamond" w:hAnsi="Garamond"/>
          <w:sz w:val="22"/>
          <w:szCs w:val="22"/>
        </w:rPr>
        <w:t>2017</w:t>
      </w:r>
      <w:r w:rsidR="006C1DBF" w:rsidRPr="00441A9C">
        <w:rPr>
          <w:rFonts w:ascii="Garamond" w:hAnsi="Garamond"/>
          <w:sz w:val="22"/>
          <w:szCs w:val="22"/>
        </w:rPr>
        <w:t xml:space="preserve"> was </w:t>
      </w:r>
      <w:r w:rsidR="0075712A" w:rsidRPr="00441A9C">
        <w:rPr>
          <w:rFonts w:ascii="Garamond" w:hAnsi="Garamond"/>
          <w:sz w:val="22"/>
          <w:szCs w:val="22"/>
        </w:rPr>
        <w:t xml:space="preserve">still </w:t>
      </w:r>
      <w:r w:rsidR="006C1DBF" w:rsidRPr="00441A9C">
        <w:rPr>
          <w:rFonts w:ascii="Garamond" w:hAnsi="Garamond"/>
          <w:sz w:val="22"/>
          <w:szCs w:val="22"/>
        </w:rPr>
        <w:t xml:space="preserve">insufficient </w:t>
      </w:r>
      <w:r w:rsidR="0075712A" w:rsidRPr="00441A9C">
        <w:rPr>
          <w:rFonts w:ascii="Garamond" w:hAnsi="Garamond"/>
          <w:sz w:val="22"/>
          <w:szCs w:val="22"/>
        </w:rPr>
        <w:t xml:space="preserve">for private spending </w:t>
      </w:r>
      <w:r w:rsidR="006C1DBF" w:rsidRPr="00441A9C">
        <w:rPr>
          <w:rFonts w:ascii="Garamond" w:hAnsi="Garamond"/>
          <w:sz w:val="22"/>
          <w:szCs w:val="22"/>
        </w:rPr>
        <w:t>to recover</w:t>
      </w:r>
      <w:r w:rsidR="0075712A" w:rsidRPr="00441A9C">
        <w:rPr>
          <w:rFonts w:ascii="Garamond" w:hAnsi="Garamond"/>
          <w:sz w:val="22"/>
          <w:szCs w:val="22"/>
        </w:rPr>
        <w:t>.</w:t>
      </w:r>
      <w:r w:rsidR="006C1DBF" w:rsidRPr="00441A9C">
        <w:rPr>
          <w:rFonts w:ascii="Garamond" w:hAnsi="Garamond"/>
          <w:sz w:val="22"/>
          <w:szCs w:val="22"/>
        </w:rPr>
        <w:t xml:space="preserve"> It should also be noted that the growth</w:t>
      </w:r>
      <w:r w:rsidR="00F8424B">
        <w:rPr>
          <w:rFonts w:ascii="Garamond" w:hAnsi="Garamond"/>
          <w:sz w:val="22"/>
          <w:szCs w:val="22"/>
        </w:rPr>
        <w:t xml:space="preserve"> rates</w:t>
      </w:r>
      <w:r w:rsidR="006C1DBF" w:rsidRPr="00441A9C">
        <w:rPr>
          <w:rFonts w:ascii="Garamond" w:hAnsi="Garamond"/>
          <w:sz w:val="22"/>
          <w:szCs w:val="22"/>
        </w:rPr>
        <w:t xml:space="preserve"> re</w:t>
      </w:r>
      <w:r w:rsidR="00BC7B62" w:rsidRPr="00441A9C">
        <w:rPr>
          <w:rFonts w:ascii="Garamond" w:hAnsi="Garamond"/>
          <w:sz w:val="22"/>
          <w:szCs w:val="22"/>
        </w:rPr>
        <w:t>ported</w:t>
      </w:r>
      <w:r w:rsidR="006C1DBF" w:rsidRPr="00441A9C">
        <w:rPr>
          <w:rFonts w:ascii="Garamond" w:hAnsi="Garamond"/>
          <w:sz w:val="22"/>
          <w:szCs w:val="22"/>
        </w:rPr>
        <w:t xml:space="preserve"> </w:t>
      </w:r>
      <w:r w:rsidR="00BC7B62" w:rsidRPr="00441A9C">
        <w:rPr>
          <w:rFonts w:ascii="Garamond" w:hAnsi="Garamond"/>
          <w:sz w:val="22"/>
          <w:szCs w:val="22"/>
        </w:rPr>
        <w:t xml:space="preserve">earlier </w:t>
      </w:r>
      <w:r w:rsidR="00F8424B">
        <w:rPr>
          <w:rFonts w:ascii="Garamond" w:hAnsi="Garamond"/>
          <w:sz w:val="22"/>
          <w:szCs w:val="22"/>
        </w:rPr>
        <w:t xml:space="preserve">in </w:t>
      </w:r>
      <w:r w:rsidR="006C1DBF" w:rsidRPr="00441A9C">
        <w:rPr>
          <w:rFonts w:ascii="Garamond" w:hAnsi="Garamond"/>
          <w:sz w:val="22"/>
          <w:szCs w:val="22"/>
        </w:rPr>
        <w:t xml:space="preserve">the year </w:t>
      </w:r>
      <w:r w:rsidR="00BC7B62" w:rsidRPr="00441A9C">
        <w:rPr>
          <w:rFonts w:ascii="Garamond" w:hAnsi="Garamond"/>
          <w:sz w:val="22"/>
          <w:szCs w:val="22"/>
        </w:rPr>
        <w:t>are</w:t>
      </w:r>
      <w:r w:rsidR="006C1DBF" w:rsidRPr="00441A9C">
        <w:rPr>
          <w:rFonts w:ascii="Garamond" w:hAnsi="Garamond"/>
          <w:sz w:val="22"/>
          <w:szCs w:val="22"/>
        </w:rPr>
        <w:t xml:space="preserve"> higher than the economic </w:t>
      </w:r>
      <w:r w:rsidR="00BC7B62" w:rsidRPr="00441A9C">
        <w:rPr>
          <w:rFonts w:ascii="Garamond" w:hAnsi="Garamond"/>
          <w:sz w:val="22"/>
          <w:szCs w:val="22"/>
        </w:rPr>
        <w:t>fundamentals denote</w:t>
      </w:r>
      <w:r w:rsidR="006C1DBF" w:rsidRPr="00441A9C">
        <w:rPr>
          <w:rFonts w:ascii="Garamond" w:hAnsi="Garamond"/>
          <w:sz w:val="22"/>
          <w:szCs w:val="22"/>
        </w:rPr>
        <w:t xml:space="preserve">, which suggests that private spending </w:t>
      </w:r>
      <w:r w:rsidR="00BC7B62" w:rsidRPr="00441A9C">
        <w:rPr>
          <w:rFonts w:ascii="Garamond" w:hAnsi="Garamond"/>
          <w:sz w:val="22"/>
          <w:szCs w:val="22"/>
        </w:rPr>
        <w:t>may grow at a slower pace i</w:t>
      </w:r>
      <w:r w:rsidR="006C1DBF" w:rsidRPr="00441A9C">
        <w:rPr>
          <w:rFonts w:ascii="Garamond" w:hAnsi="Garamond"/>
          <w:sz w:val="22"/>
          <w:szCs w:val="22"/>
        </w:rPr>
        <w:t xml:space="preserve">n the forecast horizon than </w:t>
      </w:r>
      <w:r w:rsidR="00BC7B62" w:rsidRPr="00441A9C">
        <w:rPr>
          <w:rFonts w:ascii="Garamond" w:hAnsi="Garamond"/>
          <w:sz w:val="22"/>
          <w:szCs w:val="22"/>
        </w:rPr>
        <w:t>it has been over</w:t>
      </w:r>
      <w:r w:rsidR="006C1DBF" w:rsidRPr="00441A9C">
        <w:rPr>
          <w:rFonts w:ascii="Garamond" w:hAnsi="Garamond"/>
          <w:sz w:val="22"/>
          <w:szCs w:val="22"/>
        </w:rPr>
        <w:t xml:space="preserve"> the first half of the year.</w:t>
      </w:r>
      <w:r w:rsidRPr="00441A9C">
        <w:rPr>
          <w:rFonts w:ascii="Garamond" w:hAnsi="Garamond"/>
          <w:sz w:val="22"/>
          <w:szCs w:val="22"/>
        </w:rPr>
        <w:t xml:space="preserve"> So, up until the </w:t>
      </w:r>
      <w:r w:rsidR="00894F54" w:rsidRPr="00441A9C">
        <w:rPr>
          <w:rFonts w:ascii="Garamond" w:hAnsi="Garamond"/>
          <w:sz w:val="22"/>
          <w:szCs w:val="22"/>
        </w:rPr>
        <w:t xml:space="preserve">first quarter </w:t>
      </w:r>
      <w:r w:rsidRPr="00441A9C">
        <w:rPr>
          <w:rFonts w:ascii="Garamond" w:hAnsi="Garamond"/>
          <w:sz w:val="22"/>
          <w:szCs w:val="22"/>
        </w:rPr>
        <w:t xml:space="preserve">of 2018, the </w:t>
      </w:r>
      <w:r w:rsidRPr="00441A9C">
        <w:rPr>
          <w:rFonts w:ascii="Garamond" w:hAnsi="Garamond"/>
          <w:b/>
          <w:sz w:val="22"/>
          <w:szCs w:val="22"/>
        </w:rPr>
        <w:t xml:space="preserve">private spending gap will create an average </w:t>
      </w:r>
      <w:r w:rsidR="001B3D95" w:rsidRPr="00441A9C">
        <w:rPr>
          <w:rFonts w:ascii="Garamond" w:hAnsi="Garamond"/>
          <w:b/>
          <w:sz w:val="22"/>
          <w:szCs w:val="22"/>
        </w:rPr>
        <w:t xml:space="preserve">of </w:t>
      </w:r>
      <w:r w:rsidRPr="00441A9C">
        <w:rPr>
          <w:rFonts w:ascii="Garamond" w:hAnsi="Garamond"/>
          <w:b/>
          <w:sz w:val="22"/>
          <w:szCs w:val="22"/>
        </w:rPr>
        <w:t>0.</w:t>
      </w:r>
      <w:r w:rsidR="00894F54" w:rsidRPr="00441A9C">
        <w:rPr>
          <w:rFonts w:ascii="Garamond" w:hAnsi="Garamond"/>
          <w:b/>
          <w:sz w:val="22"/>
          <w:szCs w:val="22"/>
        </w:rPr>
        <w:t>2</w:t>
      </w:r>
      <w:r w:rsidRPr="00441A9C">
        <w:rPr>
          <w:rFonts w:ascii="Garamond" w:hAnsi="Garamond"/>
          <w:b/>
          <w:sz w:val="22"/>
          <w:szCs w:val="22"/>
        </w:rPr>
        <w:t>-0.</w:t>
      </w:r>
      <w:r w:rsidR="00894F54" w:rsidRPr="00441A9C">
        <w:rPr>
          <w:rFonts w:ascii="Garamond" w:hAnsi="Garamond"/>
          <w:b/>
          <w:sz w:val="22"/>
          <w:szCs w:val="22"/>
        </w:rPr>
        <w:t>4</w:t>
      </w:r>
      <w:r w:rsidRPr="00441A9C">
        <w:rPr>
          <w:rFonts w:ascii="Garamond" w:hAnsi="Garamond"/>
          <w:b/>
          <w:sz w:val="22"/>
          <w:szCs w:val="22"/>
        </w:rPr>
        <w:t xml:space="preserve"> pp contractionary impact on inflation</w:t>
      </w:r>
      <w:r w:rsidRPr="00441A9C">
        <w:rPr>
          <w:rFonts w:ascii="Garamond" w:hAnsi="Garamond"/>
          <w:sz w:val="22"/>
          <w:szCs w:val="22"/>
        </w:rPr>
        <w:t>, which is</w:t>
      </w:r>
      <w:r w:rsidR="001B3D95" w:rsidRPr="00441A9C">
        <w:rPr>
          <w:rFonts w:ascii="Garamond" w:hAnsi="Garamond"/>
          <w:sz w:val="22"/>
          <w:szCs w:val="22"/>
        </w:rPr>
        <w:t xml:space="preserve"> smaller from the indicator outlined in previous forecasts.</w:t>
      </w:r>
      <w:r w:rsidRPr="00441A9C">
        <w:rPr>
          <w:rFonts w:ascii="Garamond" w:hAnsi="Garamond"/>
          <w:sz w:val="22"/>
          <w:szCs w:val="22"/>
        </w:rPr>
        <w:t xml:space="preserve"> </w:t>
      </w:r>
      <w:r w:rsidR="001B3D95" w:rsidRPr="00441A9C">
        <w:rPr>
          <w:rFonts w:ascii="Garamond" w:hAnsi="Garamond"/>
          <w:sz w:val="22"/>
          <w:szCs w:val="22"/>
        </w:rPr>
        <w:t>F</w:t>
      </w:r>
      <w:r w:rsidRPr="00441A9C">
        <w:rPr>
          <w:rFonts w:ascii="Garamond" w:hAnsi="Garamond"/>
          <w:sz w:val="22"/>
          <w:szCs w:val="22"/>
        </w:rPr>
        <w:t xml:space="preserve">rom the second quarter of 2018 to the end of the forecast horizon, </w:t>
      </w:r>
      <w:r w:rsidRPr="00441A9C">
        <w:rPr>
          <w:rFonts w:ascii="Garamond" w:hAnsi="Garamond"/>
          <w:b/>
          <w:sz w:val="22"/>
          <w:szCs w:val="22"/>
        </w:rPr>
        <w:t xml:space="preserve">it will </w:t>
      </w:r>
      <w:r w:rsidR="001B3D95" w:rsidRPr="00441A9C">
        <w:rPr>
          <w:rFonts w:ascii="Garamond" w:hAnsi="Garamond"/>
          <w:b/>
          <w:sz w:val="22"/>
          <w:szCs w:val="22"/>
        </w:rPr>
        <w:t xml:space="preserve">turn into </w:t>
      </w:r>
      <w:r w:rsidRPr="00441A9C">
        <w:rPr>
          <w:rFonts w:ascii="Garamond" w:hAnsi="Garamond"/>
          <w:b/>
          <w:sz w:val="22"/>
          <w:szCs w:val="22"/>
        </w:rPr>
        <w:t>inflationary</w:t>
      </w:r>
      <w:r w:rsidR="001B3D95" w:rsidRPr="00441A9C">
        <w:rPr>
          <w:rFonts w:ascii="Garamond" w:hAnsi="Garamond"/>
          <w:b/>
          <w:sz w:val="22"/>
          <w:szCs w:val="22"/>
        </w:rPr>
        <w:t xml:space="preserve">, amounting to </w:t>
      </w:r>
      <w:r w:rsidRPr="00441A9C">
        <w:rPr>
          <w:rFonts w:ascii="Garamond" w:hAnsi="Garamond"/>
          <w:b/>
          <w:sz w:val="22"/>
          <w:szCs w:val="22"/>
        </w:rPr>
        <w:t>0.</w:t>
      </w:r>
      <w:r w:rsidR="00894F54" w:rsidRPr="00441A9C">
        <w:rPr>
          <w:rFonts w:ascii="Garamond" w:hAnsi="Garamond"/>
          <w:b/>
          <w:sz w:val="22"/>
          <w:szCs w:val="22"/>
        </w:rPr>
        <w:t>7</w:t>
      </w:r>
      <w:r w:rsidRPr="00441A9C">
        <w:rPr>
          <w:rFonts w:ascii="Garamond" w:hAnsi="Garamond"/>
          <w:b/>
          <w:sz w:val="22"/>
          <w:szCs w:val="22"/>
        </w:rPr>
        <w:t>-</w:t>
      </w:r>
      <w:r w:rsidR="001B3D95" w:rsidRPr="00441A9C">
        <w:rPr>
          <w:rFonts w:ascii="Garamond" w:hAnsi="Garamond"/>
          <w:b/>
          <w:sz w:val="22"/>
          <w:szCs w:val="22"/>
        </w:rPr>
        <w:t>0</w:t>
      </w:r>
      <w:r w:rsidRPr="00441A9C">
        <w:rPr>
          <w:rFonts w:ascii="Garamond" w:hAnsi="Garamond"/>
          <w:b/>
          <w:sz w:val="22"/>
          <w:szCs w:val="22"/>
        </w:rPr>
        <w:t>.</w:t>
      </w:r>
      <w:r w:rsidR="00894F54" w:rsidRPr="00441A9C">
        <w:rPr>
          <w:rFonts w:ascii="Garamond" w:hAnsi="Garamond"/>
          <w:b/>
          <w:sz w:val="22"/>
          <w:szCs w:val="22"/>
        </w:rPr>
        <w:t>9</w:t>
      </w:r>
      <w:r w:rsidRPr="00441A9C">
        <w:rPr>
          <w:rFonts w:ascii="Garamond" w:hAnsi="Garamond"/>
          <w:b/>
          <w:sz w:val="22"/>
          <w:szCs w:val="22"/>
        </w:rPr>
        <w:t xml:space="preserve"> pp on average</w:t>
      </w:r>
      <w:r w:rsidR="001B3D95" w:rsidRPr="00441A9C">
        <w:rPr>
          <w:rFonts w:ascii="Garamond" w:hAnsi="Garamond"/>
          <w:sz w:val="22"/>
          <w:szCs w:val="22"/>
        </w:rPr>
        <w:t xml:space="preserve">, which is </w:t>
      </w:r>
      <w:r w:rsidR="00894F54" w:rsidRPr="00441A9C">
        <w:rPr>
          <w:rFonts w:ascii="Garamond" w:hAnsi="Garamond"/>
          <w:sz w:val="22"/>
          <w:szCs w:val="22"/>
        </w:rPr>
        <w:t xml:space="preserve">slightly above </w:t>
      </w:r>
      <w:r w:rsidR="001B3D95" w:rsidRPr="00441A9C">
        <w:rPr>
          <w:rFonts w:ascii="Garamond" w:hAnsi="Garamond"/>
          <w:sz w:val="22"/>
          <w:szCs w:val="22"/>
        </w:rPr>
        <w:t>the previous forecasts</w:t>
      </w:r>
      <w:r w:rsidRPr="00441A9C">
        <w:rPr>
          <w:rFonts w:ascii="Garamond" w:hAnsi="Garamond"/>
          <w:sz w:val="22"/>
          <w:szCs w:val="22"/>
        </w:rPr>
        <w:t>.</w:t>
      </w:r>
    </w:p>
    <w:p w14:paraId="119467C7" w14:textId="77777777" w:rsidR="00831789" w:rsidRPr="00441A9C" w:rsidRDefault="00831789" w:rsidP="00B117C8">
      <w:pPr>
        <w:spacing w:line="360" w:lineRule="auto"/>
        <w:jc w:val="both"/>
        <w:rPr>
          <w:rFonts w:ascii="Garamond" w:hAnsi="Garamond"/>
          <w:sz w:val="22"/>
          <w:szCs w:val="22"/>
        </w:rPr>
      </w:pPr>
    </w:p>
    <w:p w14:paraId="055DF891" w14:textId="77777777" w:rsidR="00B237AC" w:rsidRPr="00441A9C" w:rsidRDefault="00B237AC" w:rsidP="00B117C8">
      <w:pPr>
        <w:spacing w:line="360" w:lineRule="auto"/>
        <w:jc w:val="both"/>
        <w:rPr>
          <w:rFonts w:ascii="Garamond" w:hAnsi="Garamond"/>
          <w:b/>
          <w:sz w:val="22"/>
          <w:szCs w:val="22"/>
        </w:rPr>
      </w:pPr>
      <w:r w:rsidRPr="00441A9C">
        <w:rPr>
          <w:rFonts w:ascii="Garamond" w:hAnsi="Garamond"/>
          <w:b/>
          <w:sz w:val="22"/>
          <w:szCs w:val="22"/>
        </w:rPr>
        <w:t>Current account</w:t>
      </w:r>
    </w:p>
    <w:p w14:paraId="011579CB" w14:textId="77777777" w:rsidR="00666E4E" w:rsidRPr="00441A9C" w:rsidRDefault="00C831FF" w:rsidP="00B117C8">
      <w:pPr>
        <w:spacing w:line="360" w:lineRule="auto"/>
        <w:jc w:val="both"/>
        <w:rPr>
          <w:rFonts w:ascii="Garamond" w:hAnsi="Garamond"/>
          <w:iCs/>
          <w:color w:val="000000"/>
          <w:sz w:val="22"/>
          <w:szCs w:val="22"/>
        </w:rPr>
      </w:pPr>
      <w:r w:rsidRPr="00441A9C">
        <w:rPr>
          <w:rFonts w:ascii="Garamond" w:hAnsi="Garamond"/>
          <w:iCs/>
          <w:color w:val="000000"/>
          <w:sz w:val="22"/>
          <w:szCs w:val="22"/>
        </w:rPr>
        <w:t>T</w:t>
      </w:r>
      <w:r w:rsidR="00387B38" w:rsidRPr="00441A9C">
        <w:rPr>
          <w:rFonts w:ascii="Garamond" w:hAnsi="Garamond"/>
          <w:iCs/>
          <w:color w:val="000000"/>
          <w:sz w:val="22"/>
          <w:szCs w:val="22"/>
        </w:rPr>
        <w:t xml:space="preserve">he </w:t>
      </w:r>
      <w:r w:rsidRPr="00441A9C">
        <w:rPr>
          <w:rFonts w:ascii="Garamond" w:hAnsi="Garamond"/>
          <w:iCs/>
          <w:color w:val="000000"/>
          <w:sz w:val="22"/>
          <w:szCs w:val="22"/>
        </w:rPr>
        <w:t>second</w:t>
      </w:r>
      <w:r w:rsidR="00387B38" w:rsidRPr="00441A9C">
        <w:rPr>
          <w:rFonts w:ascii="Garamond" w:hAnsi="Garamond"/>
          <w:iCs/>
          <w:color w:val="000000"/>
          <w:sz w:val="22"/>
          <w:szCs w:val="22"/>
        </w:rPr>
        <w:t xml:space="preserve"> quarter 2017 </w:t>
      </w:r>
      <w:r w:rsidRPr="00441A9C">
        <w:rPr>
          <w:rFonts w:ascii="Garamond" w:hAnsi="Garamond"/>
          <w:iCs/>
          <w:color w:val="000000"/>
          <w:sz w:val="22"/>
          <w:szCs w:val="22"/>
        </w:rPr>
        <w:t>developments point to higher rates of growth in terms of export</w:t>
      </w:r>
      <w:r w:rsidR="00666E4E" w:rsidRPr="00441A9C">
        <w:rPr>
          <w:rFonts w:ascii="Garamond" w:hAnsi="Garamond"/>
          <w:iCs/>
          <w:color w:val="000000"/>
          <w:sz w:val="22"/>
          <w:szCs w:val="22"/>
        </w:rPr>
        <w:t xml:space="preserve"> of goods and services. Taking also into account the positive revisions of the industry sector, the 2017 forecast of </w:t>
      </w:r>
      <w:r w:rsidR="00FD42FB">
        <w:rPr>
          <w:rFonts w:ascii="Garamond" w:hAnsi="Garamond"/>
          <w:iCs/>
          <w:color w:val="000000"/>
          <w:sz w:val="22"/>
          <w:szCs w:val="22"/>
        </w:rPr>
        <w:t xml:space="preserve">real </w:t>
      </w:r>
      <w:r w:rsidR="00666E4E" w:rsidRPr="00441A9C">
        <w:rPr>
          <w:rFonts w:ascii="Garamond" w:hAnsi="Garamond"/>
          <w:iCs/>
          <w:color w:val="000000"/>
          <w:sz w:val="22"/>
          <w:szCs w:val="22"/>
        </w:rPr>
        <w:t xml:space="preserve">export of goods and services was adjusted upside (in the range of 10.0-12.0%). </w:t>
      </w:r>
    </w:p>
    <w:p w14:paraId="2FEE0D2E" w14:textId="77777777" w:rsidR="00666E4E" w:rsidRPr="00441A9C" w:rsidRDefault="00666E4E" w:rsidP="00B117C8">
      <w:pPr>
        <w:spacing w:line="360" w:lineRule="auto"/>
        <w:jc w:val="both"/>
        <w:rPr>
          <w:rFonts w:ascii="Garamond" w:hAnsi="Garamond"/>
          <w:iCs/>
          <w:color w:val="000000"/>
          <w:sz w:val="22"/>
          <w:szCs w:val="22"/>
        </w:rPr>
      </w:pPr>
    </w:p>
    <w:p w14:paraId="5A7C6C89" w14:textId="049C4E2D" w:rsidR="00666E4E" w:rsidRPr="00441A9C" w:rsidRDefault="00666E4E" w:rsidP="00B117C8">
      <w:pPr>
        <w:spacing w:line="360" w:lineRule="auto"/>
        <w:jc w:val="both"/>
        <w:rPr>
          <w:rFonts w:ascii="Garamond" w:hAnsi="Garamond"/>
          <w:iCs/>
          <w:color w:val="000000"/>
          <w:sz w:val="22"/>
          <w:szCs w:val="22"/>
        </w:rPr>
      </w:pPr>
      <w:r w:rsidRPr="00441A9C">
        <w:rPr>
          <w:rFonts w:ascii="Garamond" w:hAnsi="Garamond"/>
          <w:iCs/>
          <w:color w:val="000000"/>
          <w:sz w:val="22"/>
          <w:szCs w:val="22"/>
        </w:rPr>
        <w:t>Consistent with positive developments in the economic activity and domestic demand in particular, highe</w:t>
      </w:r>
      <w:r w:rsidR="004F3838" w:rsidRPr="00441A9C">
        <w:rPr>
          <w:rFonts w:ascii="Garamond" w:hAnsi="Garamond"/>
          <w:iCs/>
          <w:color w:val="000000"/>
          <w:sz w:val="22"/>
          <w:szCs w:val="22"/>
        </w:rPr>
        <w:t xml:space="preserve">r-than-expected </w:t>
      </w:r>
      <w:r w:rsidRPr="00441A9C">
        <w:rPr>
          <w:rFonts w:ascii="Garamond" w:hAnsi="Garamond"/>
          <w:iCs/>
          <w:color w:val="000000"/>
          <w:sz w:val="22"/>
          <w:szCs w:val="22"/>
        </w:rPr>
        <w:t xml:space="preserve">growth was </w:t>
      </w:r>
      <w:r w:rsidR="004F3838" w:rsidRPr="00441A9C">
        <w:rPr>
          <w:rFonts w:ascii="Garamond" w:hAnsi="Garamond"/>
          <w:iCs/>
          <w:color w:val="000000"/>
          <w:sz w:val="22"/>
          <w:szCs w:val="22"/>
        </w:rPr>
        <w:t xml:space="preserve">reported for </w:t>
      </w:r>
      <w:r w:rsidRPr="00441A9C">
        <w:rPr>
          <w:rFonts w:ascii="Garamond" w:hAnsi="Garamond"/>
          <w:iCs/>
          <w:color w:val="000000"/>
          <w:sz w:val="22"/>
          <w:szCs w:val="22"/>
        </w:rPr>
        <w:t>import of goods and services, w</w:t>
      </w:r>
      <w:r w:rsidR="004F3838" w:rsidRPr="00441A9C">
        <w:rPr>
          <w:rFonts w:ascii="Garamond" w:hAnsi="Garamond"/>
          <w:iCs/>
          <w:color w:val="000000"/>
          <w:sz w:val="22"/>
          <w:szCs w:val="22"/>
        </w:rPr>
        <w:t>it</w:t>
      </w:r>
      <w:r w:rsidRPr="00441A9C">
        <w:rPr>
          <w:rFonts w:ascii="Garamond" w:hAnsi="Garamond"/>
          <w:iCs/>
          <w:color w:val="000000"/>
          <w:sz w:val="22"/>
          <w:szCs w:val="22"/>
        </w:rPr>
        <w:t xml:space="preserve">h </w:t>
      </w:r>
      <w:proofErr w:type="gramStart"/>
      <w:r w:rsidR="00FD42FB">
        <w:rPr>
          <w:rFonts w:ascii="Garamond" w:hAnsi="Garamond"/>
          <w:iCs/>
          <w:color w:val="000000"/>
          <w:sz w:val="22"/>
          <w:szCs w:val="22"/>
        </w:rPr>
        <w:t xml:space="preserve">investments </w:t>
      </w:r>
      <w:r w:rsidR="004F3838" w:rsidRPr="00441A9C">
        <w:rPr>
          <w:rFonts w:ascii="Garamond" w:hAnsi="Garamond"/>
          <w:iCs/>
          <w:color w:val="000000"/>
          <w:sz w:val="22"/>
          <w:szCs w:val="22"/>
        </w:rPr>
        <w:t xml:space="preserve"> goods</w:t>
      </w:r>
      <w:proofErr w:type="gramEnd"/>
      <w:r w:rsidR="004F3838" w:rsidRPr="00441A9C">
        <w:rPr>
          <w:rFonts w:ascii="Garamond" w:hAnsi="Garamond"/>
          <w:iCs/>
          <w:color w:val="000000"/>
          <w:sz w:val="22"/>
          <w:szCs w:val="22"/>
        </w:rPr>
        <w:t xml:space="preserve"> having contributed </w:t>
      </w:r>
      <w:r w:rsidRPr="00441A9C">
        <w:rPr>
          <w:rFonts w:ascii="Garamond" w:hAnsi="Garamond"/>
          <w:iCs/>
          <w:color w:val="000000"/>
          <w:sz w:val="22"/>
          <w:szCs w:val="22"/>
        </w:rPr>
        <w:t>substantial</w:t>
      </w:r>
      <w:r w:rsidR="004F3838" w:rsidRPr="00441A9C">
        <w:rPr>
          <w:rFonts w:ascii="Garamond" w:hAnsi="Garamond"/>
          <w:iCs/>
          <w:color w:val="000000"/>
          <w:sz w:val="22"/>
          <w:szCs w:val="22"/>
        </w:rPr>
        <w:t>ly to the overall imports</w:t>
      </w:r>
      <w:r w:rsidRPr="00441A9C">
        <w:rPr>
          <w:rFonts w:ascii="Garamond" w:hAnsi="Garamond"/>
          <w:iCs/>
          <w:color w:val="000000"/>
          <w:sz w:val="22"/>
          <w:szCs w:val="22"/>
        </w:rPr>
        <w:t xml:space="preserve">. Based on this, </w:t>
      </w:r>
      <w:r w:rsidR="004F3838" w:rsidRPr="00441A9C">
        <w:rPr>
          <w:rFonts w:ascii="Garamond" w:hAnsi="Garamond"/>
          <w:iCs/>
          <w:color w:val="000000"/>
          <w:sz w:val="22"/>
          <w:szCs w:val="22"/>
        </w:rPr>
        <w:t xml:space="preserve">the </w:t>
      </w:r>
      <w:r w:rsidRPr="00441A9C">
        <w:rPr>
          <w:rFonts w:ascii="Garamond" w:hAnsi="Garamond"/>
          <w:iCs/>
          <w:color w:val="000000"/>
          <w:sz w:val="22"/>
          <w:szCs w:val="22"/>
        </w:rPr>
        <w:t xml:space="preserve">2017 forecast for </w:t>
      </w:r>
      <w:r w:rsidR="00FD42FB">
        <w:rPr>
          <w:rFonts w:ascii="Garamond" w:hAnsi="Garamond"/>
          <w:iCs/>
          <w:color w:val="000000"/>
          <w:sz w:val="22"/>
          <w:szCs w:val="22"/>
        </w:rPr>
        <w:t xml:space="preserve">real </w:t>
      </w:r>
      <w:r w:rsidRPr="00441A9C">
        <w:rPr>
          <w:rFonts w:ascii="Garamond" w:hAnsi="Garamond"/>
          <w:iCs/>
          <w:color w:val="000000"/>
          <w:sz w:val="22"/>
          <w:szCs w:val="22"/>
        </w:rPr>
        <w:t xml:space="preserve">import of goods and services </w:t>
      </w:r>
      <w:r w:rsidR="004F3838" w:rsidRPr="00441A9C">
        <w:rPr>
          <w:rFonts w:ascii="Garamond" w:hAnsi="Garamond"/>
          <w:iCs/>
          <w:color w:val="000000"/>
          <w:sz w:val="22"/>
          <w:szCs w:val="22"/>
        </w:rPr>
        <w:t xml:space="preserve">was </w:t>
      </w:r>
      <w:r w:rsidRPr="00441A9C">
        <w:rPr>
          <w:rFonts w:ascii="Garamond" w:hAnsi="Garamond"/>
          <w:iCs/>
          <w:color w:val="000000"/>
          <w:sz w:val="22"/>
          <w:szCs w:val="22"/>
        </w:rPr>
        <w:t xml:space="preserve">revised </w:t>
      </w:r>
      <w:r w:rsidR="004F3838" w:rsidRPr="00441A9C">
        <w:rPr>
          <w:rFonts w:ascii="Garamond" w:hAnsi="Garamond"/>
          <w:iCs/>
          <w:color w:val="000000"/>
          <w:sz w:val="22"/>
          <w:szCs w:val="22"/>
        </w:rPr>
        <w:t>upside</w:t>
      </w:r>
      <w:r w:rsidRPr="00441A9C">
        <w:rPr>
          <w:rFonts w:ascii="Garamond" w:hAnsi="Garamond"/>
          <w:iCs/>
          <w:color w:val="000000"/>
          <w:sz w:val="22"/>
          <w:szCs w:val="22"/>
        </w:rPr>
        <w:t xml:space="preserve"> (</w:t>
      </w:r>
      <w:r w:rsidR="004F3838" w:rsidRPr="00441A9C">
        <w:rPr>
          <w:rFonts w:ascii="Garamond" w:hAnsi="Garamond"/>
          <w:iCs/>
          <w:color w:val="000000"/>
          <w:sz w:val="22"/>
          <w:szCs w:val="22"/>
        </w:rPr>
        <w:t xml:space="preserve">in </w:t>
      </w:r>
      <w:r w:rsidRPr="00441A9C">
        <w:rPr>
          <w:rFonts w:ascii="Garamond" w:hAnsi="Garamond"/>
          <w:iCs/>
          <w:color w:val="000000"/>
          <w:sz w:val="22"/>
          <w:szCs w:val="22"/>
        </w:rPr>
        <w:t>the range of 10.0-12.0%).</w:t>
      </w:r>
    </w:p>
    <w:p w14:paraId="725CAC67" w14:textId="77777777" w:rsidR="004F3838" w:rsidRPr="00441A9C" w:rsidRDefault="004F3838" w:rsidP="00B117C8">
      <w:pPr>
        <w:spacing w:line="360" w:lineRule="auto"/>
        <w:jc w:val="both"/>
        <w:rPr>
          <w:rFonts w:ascii="Garamond" w:hAnsi="Garamond"/>
          <w:iCs/>
          <w:color w:val="000000"/>
          <w:sz w:val="22"/>
          <w:szCs w:val="22"/>
        </w:rPr>
      </w:pPr>
    </w:p>
    <w:p w14:paraId="684EF1D6" w14:textId="77777777" w:rsidR="004F3838" w:rsidRPr="00441A9C" w:rsidRDefault="004F3838" w:rsidP="00B117C8">
      <w:pPr>
        <w:spacing w:line="360" w:lineRule="auto"/>
        <w:jc w:val="both"/>
        <w:rPr>
          <w:rFonts w:ascii="Garamond" w:hAnsi="Garamond"/>
          <w:iCs/>
          <w:color w:val="000000"/>
          <w:sz w:val="22"/>
          <w:szCs w:val="22"/>
        </w:rPr>
      </w:pPr>
      <w:r w:rsidRPr="00441A9C">
        <w:rPr>
          <w:rFonts w:ascii="Garamond" w:hAnsi="Garamond"/>
          <w:iCs/>
          <w:color w:val="000000"/>
          <w:sz w:val="22"/>
          <w:szCs w:val="22"/>
        </w:rPr>
        <w:t xml:space="preserve">The forecast for private transfers of individuals for the second quarter of 2017 remained unchanged. Considering </w:t>
      </w:r>
      <w:r w:rsidR="00A70457" w:rsidRPr="00441A9C">
        <w:rPr>
          <w:rFonts w:ascii="Garamond" w:hAnsi="Garamond"/>
          <w:iCs/>
          <w:color w:val="000000"/>
          <w:sz w:val="22"/>
          <w:szCs w:val="22"/>
        </w:rPr>
        <w:t xml:space="preserve">a </w:t>
      </w:r>
      <w:r w:rsidRPr="00441A9C">
        <w:rPr>
          <w:rFonts w:ascii="Garamond" w:hAnsi="Garamond"/>
          <w:iCs/>
          <w:color w:val="000000"/>
          <w:sz w:val="22"/>
          <w:szCs w:val="22"/>
        </w:rPr>
        <w:t>slightly lower</w:t>
      </w:r>
      <w:r w:rsidR="00A70457" w:rsidRPr="00441A9C">
        <w:rPr>
          <w:rFonts w:ascii="Garamond" w:hAnsi="Garamond"/>
          <w:iCs/>
          <w:color w:val="000000"/>
          <w:sz w:val="22"/>
          <w:szCs w:val="22"/>
        </w:rPr>
        <w:t>-than-expected</w:t>
      </w:r>
      <w:r w:rsidRPr="00441A9C">
        <w:rPr>
          <w:rFonts w:ascii="Garamond" w:hAnsi="Garamond"/>
          <w:iCs/>
          <w:color w:val="000000"/>
          <w:sz w:val="22"/>
          <w:szCs w:val="22"/>
        </w:rPr>
        <w:t xml:space="preserve"> </w:t>
      </w:r>
      <w:r w:rsidR="00A70457" w:rsidRPr="00441A9C">
        <w:rPr>
          <w:rFonts w:ascii="Garamond" w:hAnsi="Garamond"/>
          <w:iCs/>
          <w:color w:val="000000"/>
          <w:sz w:val="22"/>
          <w:szCs w:val="22"/>
        </w:rPr>
        <w:t xml:space="preserve">growth </w:t>
      </w:r>
      <w:r w:rsidRPr="00441A9C">
        <w:rPr>
          <w:rFonts w:ascii="Garamond" w:hAnsi="Garamond"/>
          <w:iCs/>
          <w:color w:val="000000"/>
          <w:sz w:val="22"/>
          <w:szCs w:val="22"/>
        </w:rPr>
        <w:t xml:space="preserve">in the first half of the year, </w:t>
      </w:r>
      <w:r w:rsidR="00A70457" w:rsidRPr="00441A9C">
        <w:rPr>
          <w:rFonts w:ascii="Garamond" w:hAnsi="Garamond"/>
          <w:iCs/>
          <w:color w:val="000000"/>
          <w:sz w:val="22"/>
          <w:szCs w:val="22"/>
        </w:rPr>
        <w:t xml:space="preserve">the growth of private transfers in 2017 </w:t>
      </w:r>
      <w:r w:rsidRPr="00441A9C">
        <w:rPr>
          <w:rFonts w:ascii="Garamond" w:hAnsi="Garamond"/>
          <w:iCs/>
          <w:color w:val="000000"/>
          <w:sz w:val="22"/>
          <w:szCs w:val="22"/>
        </w:rPr>
        <w:t xml:space="preserve">will </w:t>
      </w:r>
      <w:r w:rsidR="00A70457" w:rsidRPr="00441A9C">
        <w:rPr>
          <w:rFonts w:ascii="Garamond" w:hAnsi="Garamond"/>
          <w:iCs/>
          <w:color w:val="000000"/>
          <w:sz w:val="22"/>
          <w:szCs w:val="22"/>
        </w:rPr>
        <w:t xml:space="preserve">stand </w:t>
      </w:r>
      <w:r w:rsidRPr="00441A9C">
        <w:rPr>
          <w:rFonts w:ascii="Garamond" w:hAnsi="Garamond"/>
          <w:iCs/>
          <w:color w:val="000000"/>
          <w:sz w:val="22"/>
          <w:szCs w:val="22"/>
        </w:rPr>
        <w:t>between 12.0-14.0%</w:t>
      </w:r>
      <w:r w:rsidR="00A70457" w:rsidRPr="00441A9C">
        <w:rPr>
          <w:rFonts w:ascii="Garamond" w:hAnsi="Garamond"/>
          <w:iCs/>
          <w:color w:val="000000"/>
          <w:sz w:val="22"/>
          <w:szCs w:val="22"/>
        </w:rPr>
        <w:t>, which w</w:t>
      </w:r>
      <w:r w:rsidRPr="00441A9C">
        <w:rPr>
          <w:rFonts w:ascii="Garamond" w:hAnsi="Garamond"/>
          <w:iCs/>
          <w:color w:val="000000"/>
          <w:sz w:val="22"/>
          <w:szCs w:val="22"/>
        </w:rPr>
        <w:t xml:space="preserve">ill be determined by </w:t>
      </w:r>
      <w:r w:rsidR="00A70457" w:rsidRPr="00441A9C">
        <w:rPr>
          <w:rFonts w:ascii="Garamond" w:hAnsi="Garamond"/>
          <w:iCs/>
          <w:color w:val="000000"/>
          <w:sz w:val="22"/>
          <w:szCs w:val="22"/>
        </w:rPr>
        <w:t xml:space="preserve">how </w:t>
      </w:r>
      <w:r w:rsidRPr="00441A9C">
        <w:rPr>
          <w:rFonts w:ascii="Garamond" w:hAnsi="Garamond"/>
          <w:iCs/>
          <w:color w:val="000000"/>
          <w:sz w:val="22"/>
          <w:szCs w:val="22"/>
        </w:rPr>
        <w:t xml:space="preserve">the </w:t>
      </w:r>
      <w:r w:rsidR="00A70457" w:rsidRPr="00441A9C">
        <w:rPr>
          <w:rFonts w:ascii="Garamond" w:hAnsi="Garamond"/>
          <w:iCs/>
          <w:color w:val="000000"/>
          <w:sz w:val="22"/>
          <w:szCs w:val="22"/>
        </w:rPr>
        <w:t xml:space="preserve">developments unfold in </w:t>
      </w:r>
      <w:r w:rsidRPr="00441A9C">
        <w:rPr>
          <w:rFonts w:ascii="Garamond" w:hAnsi="Garamond"/>
          <w:iCs/>
          <w:color w:val="000000"/>
          <w:sz w:val="22"/>
          <w:szCs w:val="22"/>
        </w:rPr>
        <w:t>Russia</w:t>
      </w:r>
      <w:r w:rsidR="00A70457" w:rsidRPr="00441A9C">
        <w:rPr>
          <w:rFonts w:ascii="Garamond" w:hAnsi="Garamond"/>
          <w:iCs/>
          <w:color w:val="000000"/>
          <w:sz w:val="22"/>
          <w:szCs w:val="22"/>
        </w:rPr>
        <w:t xml:space="preserve"> for economic recovery</w:t>
      </w:r>
      <w:r w:rsidRPr="00441A9C">
        <w:rPr>
          <w:rFonts w:ascii="Garamond" w:hAnsi="Garamond"/>
          <w:iCs/>
          <w:color w:val="000000"/>
          <w:sz w:val="22"/>
          <w:szCs w:val="22"/>
        </w:rPr>
        <w:t>.</w:t>
      </w:r>
    </w:p>
    <w:p w14:paraId="37A099DA" w14:textId="77777777" w:rsidR="00A70457" w:rsidRPr="00441A9C" w:rsidRDefault="00A70457" w:rsidP="00B117C8">
      <w:pPr>
        <w:spacing w:line="360" w:lineRule="auto"/>
        <w:jc w:val="both"/>
        <w:rPr>
          <w:rFonts w:ascii="Garamond" w:hAnsi="Garamond"/>
          <w:iCs/>
          <w:color w:val="000000"/>
          <w:sz w:val="22"/>
          <w:szCs w:val="22"/>
        </w:rPr>
      </w:pPr>
    </w:p>
    <w:p w14:paraId="273B0462" w14:textId="77777777" w:rsidR="00A70457" w:rsidRPr="00441A9C" w:rsidRDefault="00A70457" w:rsidP="00B117C8">
      <w:pPr>
        <w:spacing w:line="360" w:lineRule="auto"/>
        <w:jc w:val="both"/>
        <w:rPr>
          <w:rFonts w:ascii="Garamond" w:hAnsi="Garamond"/>
          <w:iCs/>
          <w:color w:val="000000"/>
          <w:sz w:val="22"/>
          <w:szCs w:val="22"/>
        </w:rPr>
      </w:pPr>
      <w:r w:rsidRPr="00441A9C">
        <w:rPr>
          <w:rFonts w:ascii="Garamond" w:hAnsi="Garamond"/>
          <w:iCs/>
          <w:color w:val="000000"/>
          <w:sz w:val="22"/>
          <w:szCs w:val="22"/>
        </w:rPr>
        <w:lastRenderedPageBreak/>
        <w:t xml:space="preserve">As a result of the above developments, it is expected that the </w:t>
      </w:r>
      <w:r w:rsidR="003B35CA" w:rsidRPr="00441A9C">
        <w:rPr>
          <w:rFonts w:ascii="Garamond" w:hAnsi="Garamond"/>
          <w:iCs/>
          <w:color w:val="000000"/>
          <w:sz w:val="22"/>
          <w:szCs w:val="22"/>
        </w:rPr>
        <w:t xml:space="preserve">2017 </w:t>
      </w:r>
      <w:r w:rsidRPr="00441A9C">
        <w:rPr>
          <w:rFonts w:ascii="Garamond" w:hAnsi="Garamond"/>
          <w:iCs/>
          <w:color w:val="000000"/>
          <w:sz w:val="22"/>
          <w:szCs w:val="22"/>
        </w:rPr>
        <w:t xml:space="preserve">current account deficit-to-GDP ratio will </w:t>
      </w:r>
      <w:r w:rsidR="003B35CA" w:rsidRPr="00441A9C">
        <w:rPr>
          <w:rFonts w:ascii="Garamond" w:hAnsi="Garamond"/>
          <w:iCs/>
          <w:color w:val="000000"/>
          <w:sz w:val="22"/>
          <w:szCs w:val="22"/>
        </w:rPr>
        <w:t xml:space="preserve">run in the range of </w:t>
      </w:r>
      <w:r w:rsidRPr="00441A9C">
        <w:rPr>
          <w:rFonts w:ascii="Garamond" w:hAnsi="Garamond"/>
          <w:iCs/>
          <w:color w:val="000000"/>
          <w:sz w:val="22"/>
          <w:szCs w:val="22"/>
        </w:rPr>
        <w:t>1.0-3.0%</w:t>
      </w:r>
      <w:r w:rsidR="003B35CA" w:rsidRPr="00441A9C">
        <w:rPr>
          <w:rFonts w:ascii="Garamond" w:hAnsi="Garamond"/>
          <w:iCs/>
          <w:color w:val="000000"/>
          <w:sz w:val="22"/>
          <w:szCs w:val="22"/>
        </w:rPr>
        <w:t xml:space="preserve">, a value that was </w:t>
      </w:r>
      <w:r w:rsidRPr="00441A9C">
        <w:rPr>
          <w:rFonts w:ascii="Garamond" w:hAnsi="Garamond"/>
          <w:iCs/>
          <w:color w:val="000000"/>
          <w:sz w:val="22"/>
          <w:szCs w:val="22"/>
        </w:rPr>
        <w:t>predicted in the previous quarter.</w:t>
      </w:r>
      <w:r w:rsidRPr="00441A9C">
        <w:rPr>
          <w:rFonts w:ascii="Garamond" w:hAnsi="Garamond"/>
          <w:sz w:val="22"/>
          <w:szCs w:val="22"/>
        </w:rPr>
        <w:t xml:space="preserve"> </w:t>
      </w:r>
    </w:p>
    <w:p w14:paraId="1E23E252" w14:textId="77777777" w:rsidR="00A70457" w:rsidRPr="00441A9C" w:rsidRDefault="00A70457" w:rsidP="00B117C8">
      <w:pPr>
        <w:spacing w:line="360" w:lineRule="auto"/>
        <w:jc w:val="both"/>
        <w:rPr>
          <w:rFonts w:ascii="Garamond" w:hAnsi="Garamond"/>
          <w:iCs/>
          <w:color w:val="000000"/>
          <w:sz w:val="22"/>
          <w:szCs w:val="22"/>
        </w:rPr>
      </w:pPr>
    </w:p>
    <w:p w14:paraId="61AE1889" w14:textId="77777777" w:rsidR="007F6373" w:rsidRPr="00441A9C" w:rsidRDefault="007F6373" w:rsidP="00B117C8">
      <w:pPr>
        <w:spacing w:line="360" w:lineRule="auto"/>
        <w:jc w:val="both"/>
        <w:rPr>
          <w:rFonts w:ascii="Garamond" w:hAnsi="Garamond"/>
          <w:b/>
          <w:iCs/>
          <w:color w:val="000000"/>
          <w:sz w:val="22"/>
          <w:szCs w:val="22"/>
        </w:rPr>
      </w:pPr>
      <w:r w:rsidRPr="00441A9C">
        <w:rPr>
          <w:rFonts w:ascii="Garamond" w:hAnsi="Garamond"/>
          <w:b/>
          <w:iCs/>
          <w:color w:val="000000"/>
          <w:sz w:val="22"/>
          <w:szCs w:val="22"/>
        </w:rPr>
        <w:t>The fiscal sector</w:t>
      </w:r>
      <w:r w:rsidR="003B35CA" w:rsidRPr="00441A9C">
        <w:rPr>
          <w:rStyle w:val="FootnoteReference"/>
          <w:rFonts w:ascii="Garamond" w:hAnsi="Garamond"/>
          <w:b/>
          <w:iCs/>
          <w:color w:val="000000"/>
          <w:sz w:val="22"/>
          <w:szCs w:val="22"/>
        </w:rPr>
        <w:footnoteReference w:customMarkFollows="1" w:id="6"/>
        <w:t>6</w:t>
      </w:r>
    </w:p>
    <w:p w14:paraId="6EF03B2D" w14:textId="0BDCF98C" w:rsidR="00CE0AEB" w:rsidRPr="00441A9C" w:rsidRDefault="005B098E" w:rsidP="00B117C8">
      <w:pPr>
        <w:spacing w:line="360" w:lineRule="auto"/>
        <w:jc w:val="both"/>
        <w:rPr>
          <w:rFonts w:ascii="Garamond" w:hAnsi="Garamond"/>
          <w:bCs/>
          <w:iCs/>
          <w:sz w:val="22"/>
          <w:szCs w:val="22"/>
        </w:rPr>
      </w:pPr>
      <w:r w:rsidRPr="00441A9C">
        <w:rPr>
          <w:rFonts w:ascii="Garamond" w:hAnsi="Garamond"/>
          <w:bCs/>
          <w:iCs/>
          <w:sz w:val="22"/>
          <w:szCs w:val="22"/>
        </w:rPr>
        <w:t xml:space="preserve">The Central Bank’s </w:t>
      </w:r>
      <w:r w:rsidR="006006FC" w:rsidRPr="00441A9C">
        <w:rPr>
          <w:rFonts w:ascii="Garamond" w:hAnsi="Garamond"/>
          <w:bCs/>
          <w:iCs/>
          <w:sz w:val="22"/>
          <w:szCs w:val="22"/>
        </w:rPr>
        <w:t xml:space="preserve">2017 </w:t>
      </w:r>
      <w:r w:rsidRPr="00441A9C">
        <w:rPr>
          <w:rFonts w:ascii="Garamond" w:hAnsi="Garamond"/>
          <w:bCs/>
          <w:iCs/>
          <w:sz w:val="22"/>
          <w:szCs w:val="22"/>
        </w:rPr>
        <w:t xml:space="preserve">forecasts for </w:t>
      </w:r>
      <w:r w:rsidR="006006FC" w:rsidRPr="00441A9C">
        <w:rPr>
          <w:rFonts w:ascii="Garamond" w:hAnsi="Garamond"/>
          <w:bCs/>
          <w:iCs/>
          <w:sz w:val="22"/>
          <w:szCs w:val="22"/>
        </w:rPr>
        <w:t xml:space="preserve">state budget revenue, which are in line with adjusted quarterly plans, carry </w:t>
      </w:r>
      <w:r w:rsidR="00D15B78">
        <w:rPr>
          <w:rFonts w:ascii="Garamond" w:hAnsi="Garamond"/>
          <w:bCs/>
          <w:iCs/>
          <w:sz w:val="22"/>
          <w:szCs w:val="22"/>
        </w:rPr>
        <w:t>some</w:t>
      </w:r>
      <w:r w:rsidRPr="00441A9C">
        <w:rPr>
          <w:rFonts w:ascii="Garamond" w:hAnsi="Garamond"/>
          <w:bCs/>
          <w:iCs/>
          <w:sz w:val="22"/>
          <w:szCs w:val="22"/>
        </w:rPr>
        <w:t xml:space="preserve"> change</w:t>
      </w:r>
      <w:r w:rsidR="00D15B78">
        <w:rPr>
          <w:rFonts w:ascii="Garamond" w:hAnsi="Garamond"/>
          <w:bCs/>
          <w:iCs/>
          <w:sz w:val="22"/>
          <w:szCs w:val="22"/>
        </w:rPr>
        <w:t>s</w:t>
      </w:r>
      <w:r w:rsidRPr="00441A9C">
        <w:rPr>
          <w:rFonts w:ascii="Garamond" w:hAnsi="Garamond"/>
          <w:bCs/>
          <w:iCs/>
          <w:sz w:val="22"/>
          <w:szCs w:val="22"/>
        </w:rPr>
        <w:t xml:space="preserve"> </w:t>
      </w:r>
      <w:r w:rsidR="006006FC" w:rsidRPr="00441A9C">
        <w:rPr>
          <w:rFonts w:ascii="Garamond" w:hAnsi="Garamond"/>
          <w:bCs/>
          <w:iCs/>
          <w:sz w:val="22"/>
          <w:szCs w:val="22"/>
        </w:rPr>
        <w:t xml:space="preserve">in relation to the previous monetary policy program. </w:t>
      </w:r>
      <w:r w:rsidR="00D01FBC" w:rsidRPr="00441A9C">
        <w:rPr>
          <w:rFonts w:ascii="Garamond" w:hAnsi="Garamond"/>
          <w:bCs/>
          <w:iCs/>
          <w:sz w:val="22"/>
          <w:szCs w:val="22"/>
        </w:rPr>
        <w:t xml:space="preserve">The </w:t>
      </w:r>
      <w:r w:rsidR="001B4187" w:rsidRPr="00441A9C">
        <w:rPr>
          <w:rFonts w:ascii="Garamond" w:hAnsi="Garamond"/>
          <w:bCs/>
          <w:iCs/>
          <w:sz w:val="22"/>
          <w:szCs w:val="22"/>
        </w:rPr>
        <w:t xml:space="preserve">positive </w:t>
      </w:r>
      <w:r w:rsidR="00D01FBC" w:rsidRPr="00441A9C">
        <w:rPr>
          <w:rFonts w:ascii="Garamond" w:hAnsi="Garamond"/>
          <w:bCs/>
          <w:iCs/>
          <w:sz w:val="22"/>
          <w:szCs w:val="22"/>
        </w:rPr>
        <w:t xml:space="preserve">trend of tax collection </w:t>
      </w:r>
      <w:r w:rsidR="001B4187" w:rsidRPr="00441A9C">
        <w:rPr>
          <w:rFonts w:ascii="Garamond" w:hAnsi="Garamond"/>
          <w:bCs/>
          <w:iCs/>
          <w:sz w:val="22"/>
          <w:szCs w:val="22"/>
        </w:rPr>
        <w:t>observ</w:t>
      </w:r>
      <w:r w:rsidR="006006FC" w:rsidRPr="00441A9C">
        <w:rPr>
          <w:rFonts w:ascii="Garamond" w:hAnsi="Garamond"/>
          <w:bCs/>
          <w:iCs/>
          <w:sz w:val="22"/>
          <w:szCs w:val="22"/>
        </w:rPr>
        <w:t>able</w:t>
      </w:r>
      <w:r w:rsidR="001B4187" w:rsidRPr="00441A9C">
        <w:rPr>
          <w:rFonts w:ascii="Garamond" w:hAnsi="Garamond"/>
          <w:bCs/>
          <w:iCs/>
          <w:sz w:val="22"/>
          <w:szCs w:val="22"/>
        </w:rPr>
        <w:t xml:space="preserve"> </w:t>
      </w:r>
      <w:r w:rsidR="006006FC" w:rsidRPr="00441A9C">
        <w:rPr>
          <w:rFonts w:ascii="Garamond" w:hAnsi="Garamond"/>
          <w:bCs/>
          <w:iCs/>
          <w:sz w:val="22"/>
          <w:szCs w:val="22"/>
        </w:rPr>
        <w:t xml:space="preserve">over </w:t>
      </w:r>
      <w:r w:rsidR="001B4187" w:rsidRPr="00441A9C">
        <w:rPr>
          <w:rFonts w:ascii="Garamond" w:hAnsi="Garamond"/>
          <w:bCs/>
          <w:iCs/>
          <w:sz w:val="22"/>
          <w:szCs w:val="22"/>
        </w:rPr>
        <w:t xml:space="preserve">the first </w:t>
      </w:r>
      <w:r w:rsidR="006006FC" w:rsidRPr="00441A9C">
        <w:rPr>
          <w:rFonts w:ascii="Garamond" w:hAnsi="Garamond"/>
          <w:bCs/>
          <w:iCs/>
          <w:sz w:val="22"/>
          <w:szCs w:val="22"/>
        </w:rPr>
        <w:t>half</w:t>
      </w:r>
      <w:r w:rsidR="001B4187" w:rsidRPr="00441A9C">
        <w:rPr>
          <w:rFonts w:ascii="Garamond" w:hAnsi="Garamond"/>
          <w:bCs/>
          <w:iCs/>
          <w:sz w:val="22"/>
          <w:szCs w:val="22"/>
        </w:rPr>
        <w:t xml:space="preserve"> of 2017 </w:t>
      </w:r>
      <w:r w:rsidR="00D01FBC" w:rsidRPr="00441A9C">
        <w:rPr>
          <w:rFonts w:ascii="Garamond" w:hAnsi="Garamond"/>
          <w:bCs/>
          <w:iCs/>
          <w:sz w:val="22"/>
          <w:szCs w:val="22"/>
        </w:rPr>
        <w:t xml:space="preserve">is </w:t>
      </w:r>
      <w:r w:rsidR="001B4187" w:rsidRPr="00441A9C">
        <w:rPr>
          <w:rFonts w:ascii="Garamond" w:hAnsi="Garamond"/>
          <w:bCs/>
          <w:iCs/>
          <w:sz w:val="22"/>
          <w:szCs w:val="22"/>
        </w:rPr>
        <w:t xml:space="preserve">predicted </w:t>
      </w:r>
      <w:r w:rsidR="00D01FBC" w:rsidRPr="00441A9C">
        <w:rPr>
          <w:rFonts w:ascii="Garamond" w:hAnsi="Garamond"/>
          <w:bCs/>
          <w:iCs/>
          <w:sz w:val="22"/>
          <w:szCs w:val="22"/>
        </w:rPr>
        <w:t xml:space="preserve">to remain </w:t>
      </w:r>
      <w:r w:rsidR="001B4187" w:rsidRPr="00441A9C">
        <w:rPr>
          <w:rFonts w:ascii="Garamond" w:hAnsi="Garamond"/>
          <w:bCs/>
          <w:iCs/>
          <w:sz w:val="22"/>
          <w:szCs w:val="22"/>
        </w:rPr>
        <w:t xml:space="preserve">so </w:t>
      </w:r>
      <w:r w:rsidR="00D01FBC" w:rsidRPr="00441A9C">
        <w:rPr>
          <w:rFonts w:ascii="Garamond" w:hAnsi="Garamond"/>
          <w:bCs/>
          <w:iCs/>
          <w:sz w:val="22"/>
          <w:szCs w:val="22"/>
        </w:rPr>
        <w:t xml:space="preserve">during the </w:t>
      </w:r>
      <w:r w:rsidR="001B4187" w:rsidRPr="00441A9C">
        <w:rPr>
          <w:rFonts w:ascii="Garamond" w:hAnsi="Garamond"/>
          <w:bCs/>
          <w:iCs/>
          <w:sz w:val="22"/>
          <w:szCs w:val="22"/>
        </w:rPr>
        <w:t xml:space="preserve">year in </w:t>
      </w:r>
      <w:r w:rsidR="00E85F7D" w:rsidRPr="00441A9C">
        <w:rPr>
          <w:rFonts w:ascii="Garamond" w:hAnsi="Garamond"/>
          <w:bCs/>
          <w:iCs/>
          <w:sz w:val="22"/>
          <w:szCs w:val="22"/>
        </w:rPr>
        <w:t xml:space="preserve">anticipation </w:t>
      </w:r>
      <w:r w:rsidR="001B4187" w:rsidRPr="00441A9C">
        <w:rPr>
          <w:rFonts w:ascii="Garamond" w:hAnsi="Garamond"/>
          <w:bCs/>
          <w:iCs/>
          <w:sz w:val="22"/>
          <w:szCs w:val="22"/>
        </w:rPr>
        <w:t xml:space="preserve">of </w:t>
      </w:r>
      <w:r w:rsidR="00031B30" w:rsidRPr="00441A9C">
        <w:rPr>
          <w:rFonts w:ascii="Garamond" w:hAnsi="Garamond"/>
          <w:bCs/>
          <w:iCs/>
          <w:sz w:val="22"/>
          <w:szCs w:val="22"/>
        </w:rPr>
        <w:t>higher economic growth</w:t>
      </w:r>
      <w:r w:rsidR="006006FC" w:rsidRPr="00441A9C">
        <w:rPr>
          <w:rFonts w:ascii="Garamond" w:hAnsi="Garamond"/>
          <w:bCs/>
          <w:iCs/>
          <w:sz w:val="22"/>
          <w:szCs w:val="22"/>
        </w:rPr>
        <w:t xml:space="preserve"> and improved tax administration</w:t>
      </w:r>
      <w:r w:rsidR="00031B30" w:rsidRPr="00441A9C">
        <w:rPr>
          <w:rFonts w:ascii="Garamond" w:hAnsi="Garamond"/>
          <w:bCs/>
          <w:iCs/>
          <w:sz w:val="22"/>
          <w:szCs w:val="22"/>
        </w:rPr>
        <w:t>.</w:t>
      </w:r>
      <w:r w:rsidR="001B4187" w:rsidRPr="00441A9C">
        <w:rPr>
          <w:rFonts w:ascii="Garamond" w:hAnsi="Garamond"/>
          <w:bCs/>
          <w:iCs/>
          <w:sz w:val="22"/>
          <w:szCs w:val="22"/>
        </w:rPr>
        <w:t xml:space="preserve"> </w:t>
      </w:r>
      <w:r w:rsidR="006006FC" w:rsidRPr="00441A9C">
        <w:rPr>
          <w:rFonts w:ascii="Garamond" w:hAnsi="Garamond"/>
          <w:bCs/>
          <w:iCs/>
          <w:sz w:val="22"/>
          <w:szCs w:val="22"/>
        </w:rPr>
        <w:t>As a result, t</w:t>
      </w:r>
      <w:r w:rsidR="00454CFF" w:rsidRPr="00441A9C">
        <w:rPr>
          <w:rFonts w:ascii="Garamond" w:hAnsi="Garamond"/>
          <w:bCs/>
          <w:iCs/>
          <w:sz w:val="22"/>
          <w:szCs w:val="22"/>
        </w:rPr>
        <w:t>he tax-to-GDP ratio</w:t>
      </w:r>
      <w:r w:rsidR="00454CFF" w:rsidRPr="00441A9C">
        <w:rPr>
          <w:rStyle w:val="FootnoteReference"/>
          <w:rFonts w:ascii="Garamond" w:hAnsi="Garamond"/>
          <w:bCs/>
          <w:iCs/>
          <w:sz w:val="22"/>
          <w:szCs w:val="22"/>
        </w:rPr>
        <w:footnoteReference w:customMarkFollows="1" w:id="7"/>
        <w:t>7</w:t>
      </w:r>
      <w:r w:rsidR="00454CFF" w:rsidRPr="00441A9C">
        <w:rPr>
          <w:rFonts w:ascii="Garamond" w:hAnsi="Garamond"/>
          <w:bCs/>
          <w:iCs/>
          <w:sz w:val="22"/>
          <w:szCs w:val="22"/>
        </w:rPr>
        <w:t xml:space="preserve"> </w:t>
      </w:r>
      <w:r w:rsidR="00E85F7D" w:rsidRPr="00441A9C">
        <w:rPr>
          <w:rFonts w:ascii="Garamond" w:hAnsi="Garamond"/>
          <w:bCs/>
          <w:iCs/>
          <w:sz w:val="22"/>
          <w:szCs w:val="22"/>
        </w:rPr>
        <w:t>is expected to r</w:t>
      </w:r>
      <w:r w:rsidR="006006FC" w:rsidRPr="00441A9C">
        <w:rPr>
          <w:rFonts w:ascii="Garamond" w:hAnsi="Garamond"/>
          <w:bCs/>
          <w:iCs/>
          <w:sz w:val="22"/>
          <w:szCs w:val="22"/>
        </w:rPr>
        <w:t xml:space="preserve">each 22.2%; this is almost in line with the previous quarter’s projection and some 0.9 pp higher than the </w:t>
      </w:r>
      <w:r w:rsidR="00CE0AEB" w:rsidRPr="00441A9C">
        <w:rPr>
          <w:rFonts w:ascii="Garamond" w:hAnsi="Garamond"/>
          <w:bCs/>
          <w:iCs/>
          <w:sz w:val="22"/>
          <w:szCs w:val="22"/>
        </w:rPr>
        <w:t xml:space="preserve">previous year’s </w:t>
      </w:r>
      <w:r w:rsidR="006006FC" w:rsidRPr="00441A9C">
        <w:rPr>
          <w:rFonts w:ascii="Garamond" w:hAnsi="Garamond"/>
          <w:bCs/>
          <w:iCs/>
          <w:sz w:val="22"/>
          <w:szCs w:val="22"/>
        </w:rPr>
        <w:t>indicator</w:t>
      </w:r>
      <w:r w:rsidR="00CE0AEB" w:rsidRPr="00441A9C">
        <w:rPr>
          <w:rFonts w:ascii="Garamond" w:hAnsi="Garamond"/>
          <w:bCs/>
          <w:iCs/>
          <w:sz w:val="22"/>
          <w:szCs w:val="22"/>
        </w:rPr>
        <w:t>.</w:t>
      </w:r>
    </w:p>
    <w:p w14:paraId="111B0D69" w14:textId="77777777" w:rsidR="00CE0AEB" w:rsidRPr="00441A9C" w:rsidRDefault="00CE0AEB" w:rsidP="00B117C8">
      <w:pPr>
        <w:spacing w:line="360" w:lineRule="auto"/>
        <w:jc w:val="both"/>
        <w:rPr>
          <w:rFonts w:ascii="Garamond" w:hAnsi="Garamond"/>
          <w:bCs/>
          <w:iCs/>
          <w:sz w:val="22"/>
          <w:szCs w:val="22"/>
        </w:rPr>
      </w:pPr>
    </w:p>
    <w:p w14:paraId="55DE2386" w14:textId="2FE07E8A" w:rsidR="00CE0AEB" w:rsidRPr="00441A9C" w:rsidRDefault="00452541" w:rsidP="00B117C8">
      <w:pPr>
        <w:spacing w:line="360" w:lineRule="auto"/>
        <w:jc w:val="both"/>
        <w:rPr>
          <w:rFonts w:ascii="Garamond" w:hAnsi="Garamond"/>
          <w:bCs/>
          <w:iCs/>
          <w:sz w:val="22"/>
          <w:szCs w:val="22"/>
        </w:rPr>
      </w:pPr>
      <w:r w:rsidRPr="00441A9C">
        <w:rPr>
          <w:rFonts w:ascii="Garamond" w:hAnsi="Garamond"/>
          <w:bCs/>
          <w:iCs/>
          <w:sz w:val="22"/>
          <w:szCs w:val="22"/>
        </w:rPr>
        <w:t>The year’s results suggest that savings on p</w:t>
      </w:r>
      <w:r w:rsidR="00CE0AEB" w:rsidRPr="00441A9C">
        <w:rPr>
          <w:rFonts w:ascii="Garamond" w:hAnsi="Garamond"/>
          <w:bCs/>
          <w:iCs/>
          <w:sz w:val="22"/>
          <w:szCs w:val="22"/>
        </w:rPr>
        <w:t>ublic expenditure</w:t>
      </w:r>
      <w:r w:rsidRPr="00441A9C">
        <w:rPr>
          <w:rFonts w:ascii="Garamond" w:hAnsi="Garamond"/>
          <w:bCs/>
          <w:iCs/>
          <w:sz w:val="22"/>
          <w:szCs w:val="22"/>
        </w:rPr>
        <w:t>s</w:t>
      </w:r>
      <w:r w:rsidR="00CE0AEB" w:rsidRPr="00441A9C">
        <w:rPr>
          <w:rFonts w:ascii="Garamond" w:hAnsi="Garamond"/>
          <w:bCs/>
          <w:iCs/>
          <w:sz w:val="22"/>
          <w:szCs w:val="22"/>
        </w:rPr>
        <w:t xml:space="preserve"> are </w:t>
      </w:r>
      <w:r w:rsidR="00371481" w:rsidRPr="00441A9C">
        <w:rPr>
          <w:rFonts w:ascii="Garamond" w:hAnsi="Garamond"/>
          <w:bCs/>
          <w:iCs/>
          <w:sz w:val="22"/>
          <w:szCs w:val="22"/>
        </w:rPr>
        <w:t>anticipated</w:t>
      </w:r>
      <w:r w:rsidR="00CE0AEB" w:rsidRPr="00441A9C">
        <w:rPr>
          <w:rFonts w:ascii="Garamond" w:hAnsi="Garamond"/>
          <w:bCs/>
          <w:iCs/>
          <w:sz w:val="22"/>
          <w:szCs w:val="22"/>
        </w:rPr>
        <w:t xml:space="preserve">, mainly in terms of capital expenditure financed </w:t>
      </w:r>
      <w:r w:rsidRPr="00441A9C">
        <w:rPr>
          <w:rFonts w:ascii="Garamond" w:hAnsi="Garamond"/>
          <w:bCs/>
          <w:iCs/>
          <w:sz w:val="22"/>
          <w:szCs w:val="22"/>
        </w:rPr>
        <w:t>from</w:t>
      </w:r>
      <w:r w:rsidR="00CE0AEB" w:rsidRPr="00441A9C">
        <w:rPr>
          <w:rFonts w:ascii="Garamond" w:hAnsi="Garamond"/>
          <w:bCs/>
          <w:iCs/>
          <w:sz w:val="22"/>
          <w:szCs w:val="22"/>
        </w:rPr>
        <w:t xml:space="preserve"> external </w:t>
      </w:r>
      <w:r w:rsidRPr="00441A9C">
        <w:rPr>
          <w:rFonts w:ascii="Garamond" w:hAnsi="Garamond"/>
          <w:bCs/>
          <w:iCs/>
          <w:sz w:val="22"/>
          <w:szCs w:val="22"/>
        </w:rPr>
        <w:t>sources</w:t>
      </w:r>
      <w:r w:rsidR="00CE0AEB" w:rsidRPr="00441A9C">
        <w:rPr>
          <w:rFonts w:ascii="Garamond" w:hAnsi="Garamond"/>
          <w:bCs/>
          <w:iCs/>
          <w:sz w:val="22"/>
          <w:szCs w:val="22"/>
        </w:rPr>
        <w:t xml:space="preserve">. </w:t>
      </w:r>
      <w:r w:rsidRPr="00441A9C">
        <w:rPr>
          <w:rFonts w:ascii="Garamond" w:hAnsi="Garamond"/>
          <w:bCs/>
          <w:iCs/>
          <w:sz w:val="22"/>
          <w:szCs w:val="22"/>
        </w:rPr>
        <w:t>T</w:t>
      </w:r>
      <w:r w:rsidR="00CE0AEB" w:rsidRPr="00441A9C">
        <w:rPr>
          <w:rFonts w:ascii="Garamond" w:hAnsi="Garamond"/>
          <w:bCs/>
          <w:iCs/>
          <w:sz w:val="22"/>
          <w:szCs w:val="22"/>
        </w:rPr>
        <w:t>he expenditure</w:t>
      </w:r>
      <w:r w:rsidRPr="00441A9C">
        <w:rPr>
          <w:rFonts w:ascii="Garamond" w:hAnsi="Garamond"/>
          <w:bCs/>
          <w:iCs/>
          <w:sz w:val="22"/>
          <w:szCs w:val="22"/>
        </w:rPr>
        <w:t>s are expected to amount to</w:t>
      </w:r>
      <w:r w:rsidR="00CE0AEB" w:rsidRPr="00441A9C">
        <w:rPr>
          <w:rFonts w:ascii="Garamond" w:hAnsi="Garamond"/>
          <w:bCs/>
          <w:iCs/>
          <w:sz w:val="22"/>
          <w:szCs w:val="22"/>
        </w:rPr>
        <w:t xml:space="preserve"> 97.0% of the </w:t>
      </w:r>
      <w:r w:rsidRPr="00441A9C">
        <w:rPr>
          <w:rFonts w:ascii="Garamond" w:hAnsi="Garamond"/>
          <w:bCs/>
          <w:iCs/>
          <w:sz w:val="22"/>
          <w:szCs w:val="22"/>
        </w:rPr>
        <w:t xml:space="preserve">adjusted </w:t>
      </w:r>
      <w:r w:rsidR="00CE0AEB" w:rsidRPr="00441A9C">
        <w:rPr>
          <w:rFonts w:ascii="Garamond" w:hAnsi="Garamond"/>
          <w:bCs/>
          <w:iCs/>
          <w:sz w:val="22"/>
          <w:szCs w:val="22"/>
        </w:rPr>
        <w:t>quarterly p</w:t>
      </w:r>
      <w:r w:rsidRPr="00441A9C">
        <w:rPr>
          <w:rFonts w:ascii="Garamond" w:hAnsi="Garamond"/>
          <w:bCs/>
          <w:iCs/>
          <w:sz w:val="22"/>
          <w:szCs w:val="22"/>
        </w:rPr>
        <w:t>lans</w:t>
      </w:r>
      <w:r w:rsidR="00CE0AEB" w:rsidRPr="00441A9C">
        <w:rPr>
          <w:rFonts w:ascii="Garamond" w:hAnsi="Garamond"/>
          <w:bCs/>
          <w:iCs/>
          <w:sz w:val="22"/>
          <w:szCs w:val="22"/>
        </w:rPr>
        <w:t xml:space="preserve">. The </w:t>
      </w:r>
      <w:r w:rsidR="00D15B78">
        <w:rPr>
          <w:rFonts w:ascii="Garamond" w:hAnsi="Garamond"/>
          <w:bCs/>
          <w:iCs/>
          <w:sz w:val="22"/>
          <w:szCs w:val="22"/>
        </w:rPr>
        <w:t>expenditure</w:t>
      </w:r>
      <w:r w:rsidRPr="00441A9C">
        <w:rPr>
          <w:rFonts w:ascii="Garamond" w:hAnsi="Garamond"/>
          <w:bCs/>
          <w:iCs/>
          <w:sz w:val="22"/>
          <w:szCs w:val="22"/>
        </w:rPr>
        <w:t>-to-</w:t>
      </w:r>
      <w:r w:rsidR="00CE0AEB" w:rsidRPr="00441A9C">
        <w:rPr>
          <w:rFonts w:ascii="Garamond" w:hAnsi="Garamond"/>
          <w:bCs/>
          <w:iCs/>
          <w:sz w:val="22"/>
          <w:szCs w:val="22"/>
        </w:rPr>
        <w:t xml:space="preserve">GDP ratio is </w:t>
      </w:r>
      <w:r w:rsidRPr="00441A9C">
        <w:rPr>
          <w:rFonts w:ascii="Garamond" w:hAnsi="Garamond"/>
          <w:bCs/>
          <w:iCs/>
          <w:sz w:val="22"/>
          <w:szCs w:val="22"/>
        </w:rPr>
        <w:t xml:space="preserve">an </w:t>
      </w:r>
      <w:r w:rsidR="00CE0AEB" w:rsidRPr="00441A9C">
        <w:rPr>
          <w:rFonts w:ascii="Garamond" w:hAnsi="Garamond"/>
          <w:bCs/>
          <w:iCs/>
          <w:sz w:val="22"/>
          <w:szCs w:val="22"/>
        </w:rPr>
        <w:t>estimated 25.8%, 0.7 p</w:t>
      </w:r>
      <w:r w:rsidRPr="00441A9C">
        <w:rPr>
          <w:rFonts w:ascii="Garamond" w:hAnsi="Garamond"/>
          <w:bCs/>
          <w:iCs/>
          <w:sz w:val="22"/>
          <w:szCs w:val="22"/>
        </w:rPr>
        <w:t>p</w:t>
      </w:r>
      <w:r w:rsidR="00CE0AEB" w:rsidRPr="00441A9C">
        <w:rPr>
          <w:rFonts w:ascii="Garamond" w:hAnsi="Garamond"/>
          <w:bCs/>
          <w:iCs/>
          <w:sz w:val="22"/>
          <w:szCs w:val="22"/>
        </w:rPr>
        <w:t xml:space="preserve"> lower than the first</w:t>
      </w:r>
      <w:r w:rsidRPr="00441A9C">
        <w:rPr>
          <w:rFonts w:ascii="Garamond" w:hAnsi="Garamond"/>
          <w:bCs/>
          <w:iCs/>
          <w:sz w:val="22"/>
          <w:szCs w:val="22"/>
        </w:rPr>
        <w:t xml:space="preserve"> </w:t>
      </w:r>
      <w:r w:rsidR="00CE0AEB" w:rsidRPr="00441A9C">
        <w:rPr>
          <w:rFonts w:ascii="Garamond" w:hAnsi="Garamond"/>
          <w:bCs/>
          <w:iCs/>
          <w:sz w:val="22"/>
          <w:szCs w:val="22"/>
        </w:rPr>
        <w:t xml:space="preserve">quarter </w:t>
      </w:r>
      <w:r w:rsidRPr="00441A9C">
        <w:rPr>
          <w:rFonts w:ascii="Garamond" w:hAnsi="Garamond"/>
          <w:bCs/>
          <w:iCs/>
          <w:sz w:val="22"/>
          <w:szCs w:val="22"/>
        </w:rPr>
        <w:t xml:space="preserve">projection </w:t>
      </w:r>
      <w:r w:rsidR="00CE0AEB" w:rsidRPr="00441A9C">
        <w:rPr>
          <w:rFonts w:ascii="Garamond" w:hAnsi="Garamond"/>
          <w:bCs/>
          <w:iCs/>
          <w:sz w:val="22"/>
          <w:szCs w:val="22"/>
        </w:rPr>
        <w:t>and 2.2 p</w:t>
      </w:r>
      <w:r w:rsidRPr="00441A9C">
        <w:rPr>
          <w:rFonts w:ascii="Garamond" w:hAnsi="Garamond"/>
          <w:bCs/>
          <w:iCs/>
          <w:sz w:val="22"/>
          <w:szCs w:val="22"/>
        </w:rPr>
        <w:t>p lower than the previous year’</w:t>
      </w:r>
      <w:r w:rsidR="00CE0AEB" w:rsidRPr="00441A9C">
        <w:rPr>
          <w:rFonts w:ascii="Garamond" w:hAnsi="Garamond"/>
          <w:bCs/>
          <w:iCs/>
          <w:sz w:val="22"/>
          <w:szCs w:val="22"/>
        </w:rPr>
        <w:t xml:space="preserve">s indicator. </w:t>
      </w:r>
    </w:p>
    <w:p w14:paraId="4605B63A" w14:textId="77777777" w:rsidR="00CE0AEB" w:rsidRPr="00441A9C" w:rsidRDefault="00CE0AEB" w:rsidP="00B117C8">
      <w:pPr>
        <w:spacing w:line="360" w:lineRule="auto"/>
        <w:jc w:val="both"/>
        <w:rPr>
          <w:rFonts w:ascii="Garamond" w:hAnsi="Garamond"/>
          <w:bCs/>
          <w:iCs/>
          <w:sz w:val="22"/>
          <w:szCs w:val="22"/>
        </w:rPr>
      </w:pPr>
    </w:p>
    <w:p w14:paraId="642CB426" w14:textId="77777777" w:rsidR="003354D2" w:rsidRPr="00441A9C" w:rsidRDefault="00E85F7D" w:rsidP="00B117C8">
      <w:pPr>
        <w:spacing w:line="360" w:lineRule="auto"/>
        <w:jc w:val="both"/>
        <w:rPr>
          <w:rFonts w:ascii="Garamond" w:hAnsi="Garamond"/>
          <w:bCs/>
          <w:iCs/>
          <w:sz w:val="22"/>
          <w:szCs w:val="22"/>
        </w:rPr>
      </w:pPr>
      <w:r w:rsidRPr="00441A9C">
        <w:rPr>
          <w:rFonts w:ascii="Garamond" w:hAnsi="Garamond"/>
          <w:bCs/>
          <w:iCs/>
          <w:sz w:val="22"/>
          <w:szCs w:val="22"/>
        </w:rPr>
        <w:t xml:space="preserve">The budget deficit </w:t>
      </w:r>
      <w:r w:rsidR="006366E3" w:rsidRPr="00441A9C">
        <w:rPr>
          <w:rFonts w:ascii="Garamond" w:hAnsi="Garamond"/>
          <w:bCs/>
          <w:iCs/>
          <w:sz w:val="22"/>
          <w:szCs w:val="22"/>
        </w:rPr>
        <w:t xml:space="preserve">is predicted to </w:t>
      </w:r>
      <w:r w:rsidRPr="00441A9C">
        <w:rPr>
          <w:rFonts w:ascii="Garamond" w:hAnsi="Garamond"/>
          <w:bCs/>
          <w:iCs/>
          <w:sz w:val="22"/>
          <w:szCs w:val="22"/>
        </w:rPr>
        <w:t xml:space="preserve">reach </w:t>
      </w:r>
      <w:r w:rsidR="006366E3" w:rsidRPr="00441A9C">
        <w:rPr>
          <w:rFonts w:ascii="Garamond" w:hAnsi="Garamond"/>
          <w:bCs/>
          <w:iCs/>
          <w:sz w:val="22"/>
          <w:szCs w:val="22"/>
        </w:rPr>
        <w:t xml:space="preserve">AMD 120.6 billion instead of AMD 151.6 billion by adjusted plans. As a result, the deficit-to-budget ratio will make up 2.2% instead of </w:t>
      </w:r>
      <w:r w:rsidRPr="00441A9C">
        <w:rPr>
          <w:rFonts w:ascii="Garamond" w:hAnsi="Garamond"/>
          <w:bCs/>
          <w:iCs/>
          <w:sz w:val="22"/>
          <w:szCs w:val="22"/>
        </w:rPr>
        <w:t xml:space="preserve">2.8% as </w:t>
      </w:r>
      <w:r w:rsidR="006366E3" w:rsidRPr="00441A9C">
        <w:rPr>
          <w:rFonts w:ascii="Garamond" w:hAnsi="Garamond"/>
          <w:bCs/>
          <w:iCs/>
          <w:sz w:val="22"/>
          <w:szCs w:val="22"/>
        </w:rPr>
        <w:t xml:space="preserve">was </w:t>
      </w:r>
      <w:r w:rsidRPr="00441A9C">
        <w:rPr>
          <w:rFonts w:ascii="Garamond" w:hAnsi="Garamond"/>
          <w:bCs/>
          <w:iCs/>
          <w:sz w:val="22"/>
          <w:szCs w:val="22"/>
        </w:rPr>
        <w:t xml:space="preserve">planned </w:t>
      </w:r>
      <w:r w:rsidR="006366E3" w:rsidRPr="00441A9C">
        <w:rPr>
          <w:rFonts w:ascii="Garamond" w:hAnsi="Garamond"/>
          <w:bCs/>
          <w:iCs/>
          <w:sz w:val="22"/>
          <w:szCs w:val="22"/>
        </w:rPr>
        <w:t>for the quarter</w:t>
      </w:r>
      <w:r w:rsidRPr="00441A9C">
        <w:rPr>
          <w:rFonts w:ascii="Garamond" w:hAnsi="Garamond"/>
          <w:bCs/>
          <w:iCs/>
          <w:sz w:val="22"/>
          <w:szCs w:val="22"/>
        </w:rPr>
        <w:t>.</w:t>
      </w:r>
      <w:r w:rsidR="003354D2" w:rsidRPr="00441A9C">
        <w:rPr>
          <w:rFonts w:ascii="Garamond" w:hAnsi="Garamond"/>
          <w:bCs/>
          <w:iCs/>
          <w:sz w:val="22"/>
          <w:szCs w:val="22"/>
        </w:rPr>
        <w:t xml:space="preserve"> </w:t>
      </w:r>
    </w:p>
    <w:p w14:paraId="2207F0EB" w14:textId="77777777" w:rsidR="003354D2" w:rsidRPr="00441A9C" w:rsidRDefault="003354D2" w:rsidP="00B117C8">
      <w:pPr>
        <w:spacing w:line="360" w:lineRule="auto"/>
        <w:jc w:val="both"/>
        <w:rPr>
          <w:rFonts w:ascii="Garamond" w:hAnsi="Garamond"/>
          <w:bCs/>
          <w:iCs/>
          <w:sz w:val="22"/>
          <w:szCs w:val="22"/>
        </w:rPr>
      </w:pPr>
    </w:p>
    <w:p w14:paraId="25B23C6B" w14:textId="77777777" w:rsidR="00DF3034" w:rsidRPr="00441A9C" w:rsidRDefault="006366E3" w:rsidP="00CE19EB">
      <w:pPr>
        <w:spacing w:line="360" w:lineRule="auto"/>
        <w:jc w:val="both"/>
        <w:rPr>
          <w:rFonts w:ascii="Garamond" w:hAnsi="Garamond" w:cs="Sylfaen"/>
          <w:iCs/>
          <w:color w:val="000000"/>
          <w:sz w:val="22"/>
          <w:szCs w:val="22"/>
        </w:rPr>
      </w:pPr>
      <w:r w:rsidRPr="00441A9C">
        <w:rPr>
          <w:rFonts w:ascii="Garamond" w:hAnsi="Garamond" w:cs="Sylfaen"/>
          <w:iCs/>
          <w:color w:val="000000"/>
          <w:sz w:val="22"/>
          <w:szCs w:val="22"/>
        </w:rPr>
        <w:t>Given the abovementioned changes and the GDP indicator revised up</w:t>
      </w:r>
      <w:r w:rsidR="00DF3034" w:rsidRPr="00441A9C">
        <w:rPr>
          <w:rFonts w:ascii="Garamond" w:hAnsi="Garamond" w:cs="Sylfaen"/>
          <w:iCs/>
          <w:color w:val="000000"/>
          <w:sz w:val="22"/>
          <w:szCs w:val="22"/>
        </w:rPr>
        <w:t>, the fiscal policy</w:t>
      </w:r>
      <w:r w:rsidR="003354D2" w:rsidRPr="00441A9C">
        <w:rPr>
          <w:rFonts w:ascii="Garamond" w:hAnsi="Garamond" w:cs="Sylfaen"/>
          <w:iCs/>
          <w:color w:val="000000"/>
          <w:sz w:val="22"/>
          <w:szCs w:val="22"/>
        </w:rPr>
        <w:t>’s impact on aggregate demand</w:t>
      </w:r>
      <w:r w:rsidRPr="00441A9C">
        <w:rPr>
          <w:rFonts w:ascii="Garamond" w:hAnsi="Garamond" w:cs="Sylfaen"/>
          <w:iCs/>
          <w:color w:val="000000"/>
          <w:sz w:val="22"/>
          <w:szCs w:val="22"/>
        </w:rPr>
        <w:t xml:space="preserve"> is estimated 4</w:t>
      </w:r>
      <w:r w:rsidR="00DF3034" w:rsidRPr="00441A9C">
        <w:rPr>
          <w:rFonts w:ascii="Garamond" w:hAnsi="Garamond" w:cs="Sylfaen"/>
          <w:iCs/>
          <w:color w:val="000000"/>
          <w:sz w:val="22"/>
          <w:szCs w:val="22"/>
        </w:rPr>
        <w:t xml:space="preserve">.0 </w:t>
      </w:r>
      <w:r w:rsidR="001450C4" w:rsidRPr="00441A9C">
        <w:rPr>
          <w:rFonts w:ascii="Garamond" w:hAnsi="Garamond" w:cs="Sylfaen"/>
          <w:iCs/>
          <w:color w:val="000000"/>
          <w:sz w:val="22"/>
          <w:szCs w:val="22"/>
        </w:rPr>
        <w:t xml:space="preserve">pp </w:t>
      </w:r>
      <w:r w:rsidR="00DF3034" w:rsidRPr="00441A9C">
        <w:rPr>
          <w:rFonts w:ascii="Garamond" w:hAnsi="Garamond" w:cs="Sylfaen"/>
          <w:iCs/>
          <w:color w:val="000000"/>
          <w:sz w:val="22"/>
          <w:szCs w:val="22"/>
        </w:rPr>
        <w:t>contractionary</w:t>
      </w:r>
      <w:r w:rsidRPr="00441A9C">
        <w:rPr>
          <w:rFonts w:ascii="Garamond" w:hAnsi="Garamond" w:cs="Sylfaen"/>
          <w:iCs/>
          <w:color w:val="000000"/>
          <w:sz w:val="22"/>
          <w:szCs w:val="22"/>
        </w:rPr>
        <w:t xml:space="preserve"> for 2017</w:t>
      </w:r>
      <w:r w:rsidR="003354D2" w:rsidRPr="00441A9C">
        <w:rPr>
          <w:rFonts w:ascii="Garamond" w:hAnsi="Garamond" w:cs="Sylfaen"/>
          <w:iCs/>
          <w:color w:val="000000"/>
          <w:sz w:val="22"/>
          <w:szCs w:val="22"/>
        </w:rPr>
        <w:t xml:space="preserve">, </w:t>
      </w:r>
      <w:r w:rsidR="00DF3034" w:rsidRPr="00441A9C">
        <w:rPr>
          <w:rFonts w:ascii="Garamond" w:hAnsi="Garamond" w:cs="Sylfaen"/>
          <w:iCs/>
          <w:color w:val="000000"/>
          <w:sz w:val="22"/>
          <w:szCs w:val="22"/>
        </w:rPr>
        <w:t>w</w:t>
      </w:r>
      <w:r w:rsidRPr="00441A9C">
        <w:rPr>
          <w:rFonts w:ascii="Garamond" w:hAnsi="Garamond" w:cs="Sylfaen"/>
          <w:iCs/>
          <w:color w:val="000000"/>
          <w:sz w:val="22"/>
          <w:szCs w:val="22"/>
        </w:rPr>
        <w:t xml:space="preserve">hich exceeds </w:t>
      </w:r>
      <w:r w:rsidR="00DF3034" w:rsidRPr="00441A9C">
        <w:rPr>
          <w:rFonts w:ascii="Garamond" w:hAnsi="Garamond" w:cs="Sylfaen"/>
          <w:iCs/>
          <w:color w:val="000000"/>
          <w:sz w:val="22"/>
          <w:szCs w:val="22"/>
        </w:rPr>
        <w:t xml:space="preserve">the </w:t>
      </w:r>
      <w:r w:rsidRPr="00441A9C">
        <w:rPr>
          <w:rFonts w:ascii="Garamond" w:hAnsi="Garamond" w:cs="Sylfaen"/>
          <w:iCs/>
          <w:color w:val="000000"/>
          <w:sz w:val="22"/>
          <w:szCs w:val="22"/>
        </w:rPr>
        <w:t>previous projection by 1.0 pp</w:t>
      </w:r>
      <w:r w:rsidR="00DF3034" w:rsidRPr="00441A9C">
        <w:rPr>
          <w:rFonts w:ascii="Garamond" w:hAnsi="Garamond" w:cs="Sylfaen"/>
          <w:iCs/>
          <w:color w:val="000000"/>
          <w:sz w:val="22"/>
          <w:szCs w:val="22"/>
        </w:rPr>
        <w:t xml:space="preserve">. </w:t>
      </w:r>
    </w:p>
    <w:p w14:paraId="41C48E91" w14:textId="77777777" w:rsidR="00DF3034" w:rsidRPr="00441A9C" w:rsidRDefault="00DF3034" w:rsidP="00CE19EB">
      <w:pPr>
        <w:spacing w:line="360" w:lineRule="auto"/>
        <w:jc w:val="both"/>
        <w:rPr>
          <w:rFonts w:ascii="Garamond" w:hAnsi="Garamond" w:cs="Sylfaen"/>
          <w:iCs/>
          <w:color w:val="000000"/>
          <w:sz w:val="22"/>
          <w:szCs w:val="22"/>
        </w:rPr>
      </w:pPr>
    </w:p>
    <w:p w14:paraId="2C9E2545" w14:textId="77777777" w:rsidR="004933AC" w:rsidRPr="00441A9C" w:rsidRDefault="006A2082" w:rsidP="00CE19EB">
      <w:pPr>
        <w:spacing w:line="360" w:lineRule="auto"/>
        <w:jc w:val="both"/>
        <w:rPr>
          <w:rFonts w:ascii="Garamond" w:hAnsi="Garamond" w:cs="Sylfaen"/>
          <w:iCs/>
          <w:color w:val="000000"/>
          <w:sz w:val="22"/>
          <w:szCs w:val="22"/>
        </w:rPr>
      </w:pPr>
      <w:r w:rsidRPr="00441A9C">
        <w:rPr>
          <w:rFonts w:ascii="Garamond" w:hAnsi="Garamond"/>
          <w:bCs/>
          <w:iCs/>
          <w:sz w:val="22"/>
          <w:szCs w:val="22"/>
        </w:rPr>
        <w:t xml:space="preserve">In the </w:t>
      </w:r>
      <w:r w:rsidRPr="00441A9C">
        <w:rPr>
          <w:rFonts w:ascii="Garamond" w:hAnsi="Garamond"/>
          <w:b/>
          <w:bCs/>
          <w:iCs/>
          <w:sz w:val="22"/>
          <w:szCs w:val="22"/>
        </w:rPr>
        <w:t>medium run</w:t>
      </w:r>
      <w:r w:rsidR="008369E9" w:rsidRPr="00441A9C">
        <w:rPr>
          <w:rStyle w:val="FootnoteReference"/>
          <w:rFonts w:ascii="Garamond" w:hAnsi="Garamond"/>
          <w:bCs/>
          <w:iCs/>
          <w:sz w:val="22"/>
          <w:szCs w:val="22"/>
        </w:rPr>
        <w:footnoteReference w:customMarkFollows="1" w:id="8"/>
        <w:t>8</w:t>
      </w:r>
      <w:r w:rsidRPr="00441A9C">
        <w:rPr>
          <w:rFonts w:ascii="Garamond" w:hAnsi="Garamond"/>
          <w:bCs/>
          <w:iCs/>
          <w:sz w:val="22"/>
          <w:szCs w:val="22"/>
        </w:rPr>
        <w:t>, to achieve a sustainable debt environment</w:t>
      </w:r>
      <w:r w:rsidR="00430DCF" w:rsidRPr="00441A9C">
        <w:rPr>
          <w:rFonts w:ascii="Garamond" w:hAnsi="Garamond"/>
          <w:bCs/>
          <w:iCs/>
          <w:sz w:val="22"/>
          <w:szCs w:val="22"/>
        </w:rPr>
        <w:t>,</w:t>
      </w:r>
      <w:r w:rsidR="00803F3B" w:rsidRPr="00441A9C">
        <w:rPr>
          <w:rFonts w:ascii="Garamond" w:hAnsi="Garamond"/>
          <w:bCs/>
          <w:iCs/>
          <w:sz w:val="22"/>
          <w:szCs w:val="22"/>
        </w:rPr>
        <w:t xml:space="preserve"> </w:t>
      </w:r>
      <w:r w:rsidR="001450C4" w:rsidRPr="00441A9C">
        <w:rPr>
          <w:rFonts w:ascii="Garamond" w:hAnsi="Garamond"/>
          <w:bCs/>
          <w:iCs/>
          <w:sz w:val="22"/>
          <w:szCs w:val="22"/>
        </w:rPr>
        <w:t xml:space="preserve">as </w:t>
      </w:r>
      <w:r w:rsidR="00430DCF" w:rsidRPr="00441A9C">
        <w:rPr>
          <w:rFonts w:ascii="Garamond" w:hAnsi="Garamond"/>
          <w:bCs/>
          <w:iCs/>
          <w:sz w:val="22"/>
          <w:szCs w:val="22"/>
        </w:rPr>
        <w:t xml:space="preserve">it has been outlined in </w:t>
      </w:r>
      <w:r w:rsidR="000C4978" w:rsidRPr="00441A9C">
        <w:rPr>
          <w:rFonts w:ascii="Garamond" w:hAnsi="Garamond"/>
          <w:bCs/>
          <w:iCs/>
          <w:sz w:val="22"/>
          <w:szCs w:val="22"/>
        </w:rPr>
        <w:t xml:space="preserve">the </w:t>
      </w:r>
      <w:r w:rsidR="00430DCF" w:rsidRPr="00441A9C">
        <w:rPr>
          <w:rFonts w:ascii="Garamond" w:hAnsi="Garamond"/>
          <w:bCs/>
          <w:iCs/>
          <w:sz w:val="22"/>
          <w:szCs w:val="22"/>
        </w:rPr>
        <w:t>previous MPEP</w:t>
      </w:r>
      <w:r w:rsidRPr="00441A9C">
        <w:rPr>
          <w:rFonts w:ascii="Garamond" w:hAnsi="Garamond"/>
          <w:bCs/>
          <w:iCs/>
          <w:sz w:val="22"/>
          <w:szCs w:val="22"/>
        </w:rPr>
        <w:t xml:space="preserve">, the fiscal policy </w:t>
      </w:r>
      <w:r w:rsidR="000C4978" w:rsidRPr="00441A9C">
        <w:rPr>
          <w:rFonts w:ascii="Garamond" w:hAnsi="Garamond"/>
          <w:bCs/>
          <w:iCs/>
          <w:sz w:val="22"/>
          <w:szCs w:val="22"/>
        </w:rPr>
        <w:t>is steered to</w:t>
      </w:r>
      <w:r w:rsidRPr="00441A9C">
        <w:rPr>
          <w:rFonts w:ascii="Garamond" w:hAnsi="Garamond"/>
          <w:bCs/>
          <w:iCs/>
          <w:sz w:val="22"/>
          <w:szCs w:val="22"/>
        </w:rPr>
        <w:t xml:space="preserve"> gradual reduction of the deficit</w:t>
      </w:r>
      <w:r w:rsidR="00803F3B" w:rsidRPr="00441A9C">
        <w:rPr>
          <w:rFonts w:ascii="Garamond" w:hAnsi="Garamond"/>
          <w:bCs/>
          <w:iCs/>
          <w:sz w:val="22"/>
          <w:szCs w:val="22"/>
        </w:rPr>
        <w:t>.</w:t>
      </w:r>
      <w:r w:rsidRPr="00441A9C">
        <w:rPr>
          <w:rFonts w:ascii="Garamond" w:hAnsi="Garamond"/>
          <w:bCs/>
          <w:iCs/>
          <w:sz w:val="22"/>
          <w:szCs w:val="22"/>
        </w:rPr>
        <w:t xml:space="preserve"> </w:t>
      </w:r>
      <w:r w:rsidR="000C4978" w:rsidRPr="00441A9C">
        <w:rPr>
          <w:rFonts w:ascii="Garamond" w:hAnsi="Garamond"/>
          <w:bCs/>
          <w:iCs/>
          <w:sz w:val="22"/>
          <w:szCs w:val="22"/>
        </w:rPr>
        <w:t xml:space="preserve">However, the </w:t>
      </w:r>
      <w:r w:rsidR="00803F3B" w:rsidRPr="00441A9C">
        <w:rPr>
          <w:rFonts w:ascii="Garamond" w:hAnsi="Garamond"/>
          <w:bCs/>
          <w:iCs/>
          <w:sz w:val="22"/>
          <w:szCs w:val="22"/>
        </w:rPr>
        <w:t xml:space="preserve">2018-2020 deficit-to-GDP ratio is projected to reach </w:t>
      </w:r>
      <w:r w:rsidR="00F11A6F" w:rsidRPr="00441A9C">
        <w:rPr>
          <w:rFonts w:ascii="Garamond" w:hAnsi="Garamond"/>
          <w:bCs/>
          <w:iCs/>
          <w:sz w:val="22"/>
          <w:szCs w:val="22"/>
        </w:rPr>
        <w:t xml:space="preserve">an average </w:t>
      </w:r>
      <w:r w:rsidR="000C4978" w:rsidRPr="00441A9C">
        <w:rPr>
          <w:rFonts w:ascii="Garamond" w:hAnsi="Garamond"/>
          <w:bCs/>
          <w:iCs/>
          <w:sz w:val="22"/>
          <w:szCs w:val="22"/>
        </w:rPr>
        <w:t>2.4</w:t>
      </w:r>
      <w:r w:rsidR="00803F3B" w:rsidRPr="00441A9C">
        <w:rPr>
          <w:rFonts w:ascii="Garamond" w:hAnsi="Garamond"/>
          <w:bCs/>
          <w:iCs/>
          <w:sz w:val="22"/>
          <w:szCs w:val="22"/>
        </w:rPr>
        <w:t>%</w:t>
      </w:r>
      <w:r w:rsidR="000C4978" w:rsidRPr="00441A9C">
        <w:rPr>
          <w:rFonts w:ascii="Garamond" w:hAnsi="Garamond"/>
          <w:bCs/>
          <w:iCs/>
          <w:sz w:val="22"/>
          <w:szCs w:val="22"/>
        </w:rPr>
        <w:t xml:space="preserve"> (in 2017-2019, an average 2.2%). In spite of the increase in the average rate of deficit, as more debt interest payment is planned in mid-term, th</w:t>
      </w:r>
      <w:r w:rsidRPr="00441A9C">
        <w:rPr>
          <w:rFonts w:ascii="Garamond" w:hAnsi="Garamond"/>
          <w:bCs/>
          <w:iCs/>
          <w:sz w:val="22"/>
          <w:szCs w:val="22"/>
        </w:rPr>
        <w:t xml:space="preserve">e impact of </w:t>
      </w:r>
      <w:r w:rsidR="00487E12" w:rsidRPr="00441A9C">
        <w:rPr>
          <w:rFonts w:ascii="Garamond" w:hAnsi="Garamond"/>
          <w:bCs/>
          <w:iCs/>
          <w:sz w:val="22"/>
          <w:szCs w:val="22"/>
        </w:rPr>
        <w:t xml:space="preserve">the </w:t>
      </w:r>
      <w:r w:rsidRPr="00441A9C">
        <w:rPr>
          <w:rFonts w:ascii="Garamond" w:hAnsi="Garamond"/>
          <w:bCs/>
          <w:iCs/>
          <w:sz w:val="22"/>
          <w:szCs w:val="22"/>
        </w:rPr>
        <w:t xml:space="preserve">fiscal policy on aggregate demand </w:t>
      </w:r>
      <w:r w:rsidR="000C4978" w:rsidRPr="00441A9C">
        <w:rPr>
          <w:rFonts w:ascii="Garamond" w:hAnsi="Garamond"/>
          <w:bCs/>
          <w:iCs/>
          <w:sz w:val="22"/>
          <w:szCs w:val="22"/>
        </w:rPr>
        <w:t xml:space="preserve">is estimated to be </w:t>
      </w:r>
      <w:r w:rsidR="00487E12" w:rsidRPr="00441A9C">
        <w:rPr>
          <w:rFonts w:ascii="Garamond" w:hAnsi="Garamond"/>
          <w:bCs/>
          <w:iCs/>
          <w:sz w:val="22"/>
          <w:szCs w:val="22"/>
        </w:rPr>
        <w:t>contractionary</w:t>
      </w:r>
      <w:r w:rsidRPr="00441A9C">
        <w:rPr>
          <w:rFonts w:ascii="Garamond" w:hAnsi="Garamond"/>
          <w:bCs/>
          <w:iCs/>
          <w:sz w:val="22"/>
          <w:szCs w:val="22"/>
        </w:rPr>
        <w:t>.</w:t>
      </w:r>
    </w:p>
    <w:p w14:paraId="4A08A4AD" w14:textId="77777777" w:rsidR="00B62C86" w:rsidRPr="00441A9C" w:rsidRDefault="00B62C86" w:rsidP="00B117C8">
      <w:pPr>
        <w:spacing w:line="360" w:lineRule="auto"/>
        <w:jc w:val="both"/>
        <w:rPr>
          <w:rFonts w:ascii="Garamond" w:hAnsi="Garamond" w:cs="Sylfaen"/>
          <w:iCs/>
          <w:color w:val="000000"/>
          <w:sz w:val="22"/>
          <w:szCs w:val="22"/>
        </w:rPr>
      </w:pPr>
    </w:p>
    <w:p w14:paraId="48A26E2B" w14:textId="52633924" w:rsidR="00AF61E4" w:rsidRPr="00441A9C" w:rsidRDefault="00B62C86" w:rsidP="00B117C8">
      <w:pPr>
        <w:spacing w:line="360" w:lineRule="auto"/>
        <w:jc w:val="both"/>
        <w:rPr>
          <w:rFonts w:ascii="Garamond" w:hAnsi="Garamond"/>
          <w:b/>
          <w:bCs/>
          <w:iCs/>
          <w:sz w:val="22"/>
          <w:szCs w:val="22"/>
        </w:rPr>
      </w:pPr>
      <w:r w:rsidRPr="00441A9C">
        <w:rPr>
          <w:rFonts w:ascii="Garamond" w:hAnsi="Garamond" w:cs="Sylfaen"/>
          <w:b/>
          <w:sz w:val="22"/>
          <w:szCs w:val="22"/>
        </w:rPr>
        <w:t xml:space="preserve">Summary: </w:t>
      </w:r>
      <w:r w:rsidR="005E7CCB" w:rsidRPr="00441A9C">
        <w:rPr>
          <w:rFonts w:ascii="Garamond" w:hAnsi="Garamond" w:cs="Sylfaen"/>
          <w:b/>
          <w:sz w:val="22"/>
          <w:szCs w:val="22"/>
        </w:rPr>
        <w:t xml:space="preserve">from the </w:t>
      </w:r>
      <w:r w:rsidR="0046071D" w:rsidRPr="00441A9C">
        <w:rPr>
          <w:rFonts w:ascii="Garamond" w:hAnsi="Garamond" w:cs="Sylfaen"/>
          <w:b/>
          <w:sz w:val="22"/>
          <w:szCs w:val="22"/>
        </w:rPr>
        <w:t>third</w:t>
      </w:r>
      <w:r w:rsidR="005E7CCB" w:rsidRPr="00441A9C">
        <w:rPr>
          <w:rFonts w:ascii="Garamond" w:hAnsi="Garamond" w:cs="Sylfaen"/>
          <w:b/>
          <w:sz w:val="22"/>
          <w:szCs w:val="22"/>
        </w:rPr>
        <w:t xml:space="preserve"> quarter of 2017 to the </w:t>
      </w:r>
      <w:r w:rsidR="0046071D" w:rsidRPr="00441A9C">
        <w:rPr>
          <w:rFonts w:ascii="Garamond" w:hAnsi="Garamond" w:cs="Sylfaen"/>
          <w:b/>
          <w:sz w:val="22"/>
          <w:szCs w:val="22"/>
        </w:rPr>
        <w:t xml:space="preserve">first </w:t>
      </w:r>
      <w:r w:rsidR="005E7CCB" w:rsidRPr="00441A9C">
        <w:rPr>
          <w:rFonts w:ascii="Garamond" w:hAnsi="Garamond" w:cs="Sylfaen"/>
          <w:b/>
          <w:sz w:val="22"/>
          <w:szCs w:val="22"/>
        </w:rPr>
        <w:t xml:space="preserve">quarter of 2018 the </w:t>
      </w:r>
      <w:r w:rsidR="007A22C3" w:rsidRPr="00441A9C">
        <w:rPr>
          <w:rFonts w:ascii="Garamond" w:hAnsi="Garamond" w:cs="Sylfaen"/>
          <w:b/>
          <w:sz w:val="22"/>
          <w:szCs w:val="22"/>
        </w:rPr>
        <w:t xml:space="preserve">aggregate demand </w:t>
      </w:r>
      <w:r w:rsidR="005E7CCB" w:rsidRPr="00441A9C">
        <w:rPr>
          <w:rFonts w:ascii="Garamond" w:hAnsi="Garamond" w:cs="Sylfaen"/>
          <w:b/>
          <w:sz w:val="22"/>
          <w:szCs w:val="22"/>
        </w:rPr>
        <w:t xml:space="preserve">and labor market developments will create minor deflationary pressures </w:t>
      </w:r>
      <w:r w:rsidR="0046071D" w:rsidRPr="00441A9C">
        <w:rPr>
          <w:rFonts w:ascii="Garamond" w:hAnsi="Garamond" w:cs="Sylfaen"/>
          <w:b/>
          <w:sz w:val="22"/>
          <w:szCs w:val="22"/>
        </w:rPr>
        <w:t xml:space="preserve">of </w:t>
      </w:r>
      <w:r w:rsidR="005E7CCB" w:rsidRPr="00441A9C">
        <w:rPr>
          <w:rFonts w:ascii="Garamond" w:hAnsi="Garamond" w:cs="Sylfaen"/>
          <w:b/>
          <w:sz w:val="22"/>
          <w:szCs w:val="22"/>
        </w:rPr>
        <w:t xml:space="preserve">0.6-0.8 pp on average in the </w:t>
      </w:r>
      <w:r w:rsidR="005E7CCB" w:rsidRPr="00441A9C">
        <w:rPr>
          <w:rFonts w:ascii="Garamond" w:hAnsi="Garamond" w:cs="Sylfaen"/>
          <w:b/>
          <w:sz w:val="22"/>
          <w:szCs w:val="22"/>
        </w:rPr>
        <w:lastRenderedPageBreak/>
        <w:t xml:space="preserve">consumer market, which is </w:t>
      </w:r>
      <w:r w:rsidR="0046071D" w:rsidRPr="00441A9C">
        <w:rPr>
          <w:rFonts w:ascii="Garamond" w:hAnsi="Garamond" w:cs="Sylfaen"/>
          <w:b/>
          <w:sz w:val="22"/>
          <w:szCs w:val="22"/>
        </w:rPr>
        <w:t xml:space="preserve">virtually the same in comparison with </w:t>
      </w:r>
      <w:r w:rsidR="005E7CCB" w:rsidRPr="00441A9C">
        <w:rPr>
          <w:rFonts w:ascii="Garamond" w:hAnsi="Garamond" w:cs="Sylfaen"/>
          <w:b/>
          <w:sz w:val="22"/>
          <w:szCs w:val="22"/>
        </w:rPr>
        <w:t xml:space="preserve">the previous forecast. </w:t>
      </w:r>
      <w:r w:rsidR="00AF61E4" w:rsidRPr="00441A9C">
        <w:rPr>
          <w:rFonts w:ascii="Garamond" w:hAnsi="Garamond" w:cs="Sylfaen"/>
          <w:b/>
          <w:sz w:val="22"/>
          <w:szCs w:val="22"/>
        </w:rPr>
        <w:t>T</w:t>
      </w:r>
      <w:r w:rsidRPr="00441A9C">
        <w:rPr>
          <w:rFonts w:ascii="Garamond" w:hAnsi="Garamond"/>
          <w:b/>
          <w:bCs/>
          <w:iCs/>
          <w:sz w:val="22"/>
          <w:szCs w:val="22"/>
        </w:rPr>
        <w:t>he combined impact of the fiscal policy, private demand and labor market on domestic prices will be deflationary, 1.</w:t>
      </w:r>
      <w:r w:rsidR="009E5120" w:rsidRPr="00441A9C">
        <w:rPr>
          <w:rFonts w:ascii="Garamond" w:hAnsi="Garamond"/>
          <w:b/>
          <w:bCs/>
          <w:iCs/>
          <w:sz w:val="22"/>
          <w:szCs w:val="22"/>
        </w:rPr>
        <w:t>1</w:t>
      </w:r>
      <w:r w:rsidRPr="00441A9C">
        <w:rPr>
          <w:rFonts w:ascii="Garamond" w:hAnsi="Garamond"/>
          <w:b/>
          <w:bCs/>
          <w:iCs/>
          <w:sz w:val="22"/>
          <w:szCs w:val="22"/>
        </w:rPr>
        <w:t>-1.</w:t>
      </w:r>
      <w:r w:rsidR="009E5120" w:rsidRPr="00441A9C">
        <w:rPr>
          <w:rFonts w:ascii="Garamond" w:hAnsi="Garamond"/>
          <w:b/>
          <w:bCs/>
          <w:iCs/>
          <w:sz w:val="22"/>
          <w:szCs w:val="22"/>
        </w:rPr>
        <w:t>3</w:t>
      </w:r>
      <w:r w:rsidR="00AF61E4" w:rsidRPr="00441A9C">
        <w:rPr>
          <w:rFonts w:ascii="Garamond" w:hAnsi="Garamond"/>
          <w:b/>
          <w:bCs/>
          <w:iCs/>
          <w:sz w:val="22"/>
          <w:szCs w:val="22"/>
        </w:rPr>
        <w:t xml:space="preserve"> pp on average, </w:t>
      </w:r>
      <w:r w:rsidR="00D749AB">
        <w:rPr>
          <w:rFonts w:ascii="Garamond" w:hAnsi="Garamond"/>
          <w:b/>
          <w:bCs/>
          <w:iCs/>
          <w:sz w:val="22"/>
          <w:szCs w:val="22"/>
        </w:rPr>
        <w:t xml:space="preserve">on the other </w:t>
      </w:r>
      <w:proofErr w:type="gramStart"/>
      <w:r w:rsidR="00D749AB">
        <w:rPr>
          <w:rFonts w:ascii="Garamond" w:hAnsi="Garamond"/>
          <w:b/>
          <w:bCs/>
          <w:iCs/>
          <w:sz w:val="22"/>
          <w:szCs w:val="22"/>
        </w:rPr>
        <w:t xml:space="preserve">hand </w:t>
      </w:r>
      <w:r w:rsidR="00D749AB" w:rsidRPr="00441A9C">
        <w:rPr>
          <w:rFonts w:ascii="Garamond" w:hAnsi="Garamond"/>
          <w:b/>
          <w:bCs/>
          <w:iCs/>
          <w:sz w:val="22"/>
          <w:szCs w:val="22"/>
        </w:rPr>
        <w:t xml:space="preserve"> </w:t>
      </w:r>
      <w:r w:rsidR="00AF61E4" w:rsidRPr="00441A9C">
        <w:rPr>
          <w:rFonts w:ascii="Garamond" w:hAnsi="Garamond"/>
          <w:b/>
          <w:bCs/>
          <w:iCs/>
          <w:sz w:val="22"/>
          <w:szCs w:val="22"/>
        </w:rPr>
        <w:t>net</w:t>
      </w:r>
      <w:proofErr w:type="gramEnd"/>
      <w:r w:rsidR="00AF61E4" w:rsidRPr="00441A9C">
        <w:rPr>
          <w:rFonts w:ascii="Garamond" w:hAnsi="Garamond"/>
          <w:b/>
          <w:bCs/>
          <w:iCs/>
          <w:sz w:val="22"/>
          <w:szCs w:val="22"/>
        </w:rPr>
        <w:t xml:space="preserve"> external demand’s impact, 0.</w:t>
      </w:r>
      <w:r w:rsidR="009E5120" w:rsidRPr="00441A9C">
        <w:rPr>
          <w:rFonts w:ascii="Garamond" w:hAnsi="Garamond"/>
          <w:b/>
          <w:bCs/>
          <w:iCs/>
          <w:sz w:val="22"/>
          <w:szCs w:val="22"/>
        </w:rPr>
        <w:t>4</w:t>
      </w:r>
      <w:r w:rsidR="00AF61E4" w:rsidRPr="00441A9C">
        <w:rPr>
          <w:rFonts w:ascii="Garamond" w:hAnsi="Garamond"/>
          <w:b/>
          <w:bCs/>
          <w:iCs/>
          <w:sz w:val="22"/>
          <w:szCs w:val="22"/>
        </w:rPr>
        <w:t>-0.</w:t>
      </w:r>
      <w:r w:rsidR="009E5120" w:rsidRPr="00441A9C">
        <w:rPr>
          <w:rFonts w:ascii="Garamond" w:hAnsi="Garamond"/>
          <w:b/>
          <w:bCs/>
          <w:iCs/>
          <w:sz w:val="22"/>
          <w:szCs w:val="22"/>
        </w:rPr>
        <w:t>6</w:t>
      </w:r>
      <w:r w:rsidR="00AF61E4" w:rsidRPr="00441A9C">
        <w:rPr>
          <w:rFonts w:ascii="Garamond" w:hAnsi="Garamond"/>
          <w:b/>
          <w:bCs/>
          <w:iCs/>
          <w:sz w:val="22"/>
          <w:szCs w:val="22"/>
        </w:rPr>
        <w:t xml:space="preserve"> pp inflationary.</w:t>
      </w:r>
      <w:r w:rsidR="004E24B8" w:rsidRPr="00441A9C">
        <w:rPr>
          <w:rFonts w:ascii="Garamond" w:hAnsi="Garamond"/>
          <w:b/>
          <w:bCs/>
          <w:iCs/>
          <w:sz w:val="22"/>
          <w:szCs w:val="22"/>
        </w:rPr>
        <w:t xml:space="preserve"> These effects do not essentially vary from previous estimations.</w:t>
      </w:r>
    </w:p>
    <w:p w14:paraId="1A6941FD" w14:textId="77777777" w:rsidR="00BC6F44" w:rsidRPr="00441A9C" w:rsidRDefault="00BC6F44" w:rsidP="00840DC1">
      <w:pPr>
        <w:spacing w:line="360" w:lineRule="auto"/>
        <w:jc w:val="both"/>
        <w:rPr>
          <w:rFonts w:ascii="Garamond" w:hAnsi="Garamond"/>
          <w:b/>
          <w:bCs/>
          <w:iCs/>
          <w:sz w:val="22"/>
          <w:szCs w:val="22"/>
        </w:rPr>
      </w:pPr>
    </w:p>
    <w:p w14:paraId="53153CA2" w14:textId="1FAD9CC7" w:rsidR="00A70330" w:rsidRPr="00441A9C" w:rsidRDefault="004E24B8" w:rsidP="00840DC1">
      <w:pPr>
        <w:spacing w:line="360" w:lineRule="auto"/>
        <w:jc w:val="both"/>
        <w:rPr>
          <w:rFonts w:ascii="Garamond" w:hAnsi="Garamond"/>
          <w:b/>
          <w:bCs/>
          <w:iCs/>
          <w:sz w:val="22"/>
          <w:szCs w:val="22"/>
        </w:rPr>
      </w:pPr>
      <w:r w:rsidRPr="00441A9C">
        <w:rPr>
          <w:rFonts w:ascii="Garamond" w:hAnsi="Garamond"/>
          <w:b/>
          <w:bCs/>
          <w:iCs/>
          <w:sz w:val="22"/>
          <w:szCs w:val="22"/>
        </w:rPr>
        <w:t xml:space="preserve">As </w:t>
      </w:r>
      <w:r w:rsidR="004143E4" w:rsidRPr="00441A9C">
        <w:rPr>
          <w:rFonts w:ascii="Garamond" w:hAnsi="Garamond"/>
          <w:b/>
          <w:bCs/>
          <w:iCs/>
          <w:sz w:val="22"/>
          <w:szCs w:val="22"/>
        </w:rPr>
        <w:t>e</w:t>
      </w:r>
      <w:r w:rsidR="00BC6F44" w:rsidRPr="00441A9C">
        <w:rPr>
          <w:rFonts w:ascii="Garamond" w:hAnsi="Garamond"/>
          <w:b/>
          <w:bCs/>
          <w:iCs/>
          <w:sz w:val="22"/>
          <w:szCs w:val="22"/>
        </w:rPr>
        <w:t>conomic conditions in both external and domestic sectors</w:t>
      </w:r>
      <w:r w:rsidRPr="00441A9C">
        <w:rPr>
          <w:rFonts w:ascii="Garamond" w:hAnsi="Garamond"/>
          <w:b/>
          <w:bCs/>
          <w:iCs/>
          <w:sz w:val="22"/>
          <w:szCs w:val="22"/>
        </w:rPr>
        <w:t xml:space="preserve"> improve further and the expansionary monetary policy still has a l</w:t>
      </w:r>
      <w:r w:rsidR="006809CA" w:rsidRPr="00441A9C">
        <w:rPr>
          <w:rFonts w:ascii="Garamond" w:hAnsi="Garamond"/>
          <w:b/>
          <w:bCs/>
          <w:iCs/>
          <w:sz w:val="22"/>
          <w:szCs w:val="22"/>
        </w:rPr>
        <w:t>ingering</w:t>
      </w:r>
      <w:r w:rsidRPr="00441A9C">
        <w:rPr>
          <w:rFonts w:ascii="Garamond" w:hAnsi="Garamond"/>
          <w:b/>
          <w:bCs/>
          <w:iCs/>
          <w:sz w:val="22"/>
          <w:szCs w:val="22"/>
        </w:rPr>
        <w:t xml:space="preserve"> effect, </w:t>
      </w:r>
      <w:r w:rsidR="00840DC1" w:rsidRPr="00441A9C">
        <w:rPr>
          <w:rFonts w:ascii="Garamond" w:hAnsi="Garamond"/>
          <w:b/>
          <w:bCs/>
          <w:iCs/>
          <w:sz w:val="22"/>
          <w:szCs w:val="22"/>
        </w:rPr>
        <w:t xml:space="preserve">the aggregate demand will </w:t>
      </w:r>
      <w:r w:rsidR="004143E4" w:rsidRPr="00441A9C">
        <w:rPr>
          <w:rFonts w:ascii="Garamond" w:hAnsi="Garamond"/>
          <w:b/>
          <w:bCs/>
          <w:iCs/>
          <w:sz w:val="22"/>
          <w:szCs w:val="22"/>
        </w:rPr>
        <w:t xml:space="preserve">continue </w:t>
      </w:r>
      <w:r w:rsidRPr="00441A9C">
        <w:rPr>
          <w:rFonts w:ascii="Garamond" w:hAnsi="Garamond"/>
          <w:b/>
          <w:bCs/>
          <w:iCs/>
          <w:sz w:val="22"/>
          <w:szCs w:val="22"/>
        </w:rPr>
        <w:t xml:space="preserve">growing </w:t>
      </w:r>
      <w:r w:rsidR="004143E4" w:rsidRPr="00441A9C">
        <w:rPr>
          <w:rFonts w:ascii="Garamond" w:hAnsi="Garamond"/>
          <w:b/>
          <w:bCs/>
          <w:iCs/>
          <w:sz w:val="22"/>
          <w:szCs w:val="22"/>
        </w:rPr>
        <w:t xml:space="preserve">with a positive gap. </w:t>
      </w:r>
      <w:r w:rsidR="00D749AB">
        <w:rPr>
          <w:rFonts w:ascii="Garamond" w:hAnsi="Garamond"/>
          <w:b/>
          <w:bCs/>
          <w:iCs/>
          <w:sz w:val="22"/>
          <w:szCs w:val="22"/>
        </w:rPr>
        <w:t>As a result</w:t>
      </w:r>
      <w:r w:rsidR="004143E4" w:rsidRPr="00441A9C">
        <w:rPr>
          <w:rFonts w:ascii="Garamond" w:hAnsi="Garamond"/>
          <w:b/>
          <w:bCs/>
          <w:iCs/>
          <w:sz w:val="22"/>
          <w:szCs w:val="22"/>
        </w:rPr>
        <w:t>, s</w:t>
      </w:r>
      <w:r w:rsidR="00A70330" w:rsidRPr="00441A9C">
        <w:rPr>
          <w:rFonts w:ascii="Garamond" w:hAnsi="Garamond"/>
          <w:b/>
          <w:bCs/>
          <w:iCs/>
          <w:sz w:val="22"/>
          <w:szCs w:val="22"/>
        </w:rPr>
        <w:t xml:space="preserve">tarting from the </w:t>
      </w:r>
      <w:r w:rsidRPr="00441A9C">
        <w:rPr>
          <w:rFonts w:ascii="Garamond" w:hAnsi="Garamond"/>
          <w:b/>
          <w:bCs/>
          <w:iCs/>
          <w:sz w:val="22"/>
          <w:szCs w:val="22"/>
        </w:rPr>
        <w:t>first half</w:t>
      </w:r>
      <w:r w:rsidR="007845A6" w:rsidRPr="00441A9C">
        <w:rPr>
          <w:rFonts w:ascii="Garamond" w:hAnsi="Garamond"/>
          <w:b/>
          <w:bCs/>
          <w:iCs/>
          <w:sz w:val="22"/>
          <w:szCs w:val="22"/>
        </w:rPr>
        <w:t xml:space="preserve"> </w:t>
      </w:r>
      <w:r w:rsidR="00A70330" w:rsidRPr="00441A9C">
        <w:rPr>
          <w:rFonts w:ascii="Garamond" w:hAnsi="Garamond"/>
          <w:b/>
          <w:bCs/>
          <w:iCs/>
          <w:sz w:val="22"/>
          <w:szCs w:val="22"/>
        </w:rPr>
        <w:t>of 201</w:t>
      </w:r>
      <w:r w:rsidR="007845A6" w:rsidRPr="00441A9C">
        <w:rPr>
          <w:rFonts w:ascii="Garamond" w:hAnsi="Garamond"/>
          <w:b/>
          <w:bCs/>
          <w:iCs/>
          <w:sz w:val="22"/>
          <w:szCs w:val="22"/>
        </w:rPr>
        <w:t>8</w:t>
      </w:r>
      <w:r w:rsidR="00A70330" w:rsidRPr="00441A9C">
        <w:rPr>
          <w:rFonts w:ascii="Garamond" w:hAnsi="Garamond"/>
          <w:b/>
          <w:bCs/>
          <w:iCs/>
          <w:sz w:val="22"/>
          <w:szCs w:val="22"/>
        </w:rPr>
        <w:t xml:space="preserve"> up until the e</w:t>
      </w:r>
      <w:r w:rsidR="001D74AC" w:rsidRPr="00441A9C">
        <w:rPr>
          <w:rFonts w:ascii="Garamond" w:hAnsi="Garamond"/>
          <w:b/>
          <w:bCs/>
          <w:iCs/>
          <w:sz w:val="22"/>
          <w:szCs w:val="22"/>
        </w:rPr>
        <w:t xml:space="preserve">nd of the forecast horizon, the </w:t>
      </w:r>
      <w:r w:rsidRPr="00441A9C">
        <w:rPr>
          <w:rFonts w:ascii="Garamond" w:hAnsi="Garamond"/>
          <w:b/>
          <w:bCs/>
          <w:iCs/>
          <w:sz w:val="22"/>
          <w:szCs w:val="22"/>
        </w:rPr>
        <w:t xml:space="preserve">deflationary impact of </w:t>
      </w:r>
      <w:r w:rsidR="00A70330" w:rsidRPr="00441A9C">
        <w:rPr>
          <w:rFonts w:ascii="Garamond" w:hAnsi="Garamond"/>
          <w:b/>
          <w:bCs/>
          <w:iCs/>
          <w:sz w:val="22"/>
          <w:szCs w:val="22"/>
        </w:rPr>
        <w:t xml:space="preserve">overall aggregate demand and labor market </w:t>
      </w:r>
      <w:r w:rsidR="001D74AC" w:rsidRPr="00441A9C">
        <w:rPr>
          <w:rFonts w:ascii="Garamond" w:hAnsi="Garamond"/>
          <w:b/>
          <w:bCs/>
          <w:iCs/>
          <w:sz w:val="22"/>
          <w:szCs w:val="22"/>
        </w:rPr>
        <w:t xml:space="preserve">will </w:t>
      </w:r>
      <w:r w:rsidRPr="00441A9C">
        <w:rPr>
          <w:rFonts w:ascii="Garamond" w:hAnsi="Garamond"/>
          <w:b/>
          <w:bCs/>
          <w:iCs/>
          <w:sz w:val="22"/>
          <w:szCs w:val="22"/>
        </w:rPr>
        <w:t xml:space="preserve">phase out and change into that of inflationary, making up </w:t>
      </w:r>
      <w:r w:rsidR="00037273" w:rsidRPr="00441A9C">
        <w:rPr>
          <w:rFonts w:ascii="Garamond" w:hAnsi="Garamond"/>
          <w:b/>
          <w:bCs/>
          <w:iCs/>
          <w:sz w:val="22"/>
          <w:szCs w:val="22"/>
        </w:rPr>
        <w:t>an average 0</w:t>
      </w:r>
      <w:r w:rsidR="007845A6" w:rsidRPr="00441A9C">
        <w:rPr>
          <w:rFonts w:ascii="Garamond" w:hAnsi="Garamond"/>
          <w:b/>
          <w:bCs/>
          <w:iCs/>
          <w:sz w:val="22"/>
          <w:szCs w:val="22"/>
        </w:rPr>
        <w:t>.</w:t>
      </w:r>
      <w:r w:rsidRPr="00441A9C">
        <w:rPr>
          <w:rFonts w:ascii="Garamond" w:hAnsi="Garamond"/>
          <w:b/>
          <w:bCs/>
          <w:iCs/>
          <w:sz w:val="22"/>
          <w:szCs w:val="22"/>
        </w:rPr>
        <w:t>9</w:t>
      </w:r>
      <w:r w:rsidR="007845A6" w:rsidRPr="00441A9C">
        <w:rPr>
          <w:rFonts w:ascii="Garamond" w:hAnsi="Garamond"/>
          <w:b/>
          <w:bCs/>
          <w:iCs/>
          <w:sz w:val="22"/>
          <w:szCs w:val="22"/>
        </w:rPr>
        <w:t>-</w:t>
      </w:r>
      <w:r w:rsidRPr="00441A9C">
        <w:rPr>
          <w:rFonts w:ascii="Garamond" w:hAnsi="Garamond"/>
          <w:b/>
          <w:bCs/>
          <w:iCs/>
          <w:sz w:val="22"/>
          <w:szCs w:val="22"/>
        </w:rPr>
        <w:t>1</w:t>
      </w:r>
      <w:r w:rsidR="007845A6" w:rsidRPr="00441A9C">
        <w:rPr>
          <w:rFonts w:ascii="Garamond" w:hAnsi="Garamond"/>
          <w:b/>
          <w:bCs/>
          <w:iCs/>
          <w:sz w:val="22"/>
          <w:szCs w:val="22"/>
        </w:rPr>
        <w:t>.</w:t>
      </w:r>
      <w:r w:rsidRPr="00441A9C">
        <w:rPr>
          <w:rFonts w:ascii="Garamond" w:hAnsi="Garamond"/>
          <w:b/>
          <w:bCs/>
          <w:iCs/>
          <w:sz w:val="22"/>
          <w:szCs w:val="22"/>
        </w:rPr>
        <w:t>0</w:t>
      </w:r>
      <w:r w:rsidR="007845A6" w:rsidRPr="00441A9C">
        <w:rPr>
          <w:rFonts w:ascii="Garamond" w:hAnsi="Garamond"/>
          <w:b/>
          <w:bCs/>
          <w:iCs/>
          <w:sz w:val="22"/>
          <w:szCs w:val="22"/>
        </w:rPr>
        <w:t xml:space="preserve"> pp</w:t>
      </w:r>
      <w:r w:rsidRPr="00441A9C">
        <w:rPr>
          <w:rFonts w:ascii="Garamond" w:hAnsi="Garamond"/>
          <w:b/>
          <w:bCs/>
          <w:iCs/>
          <w:sz w:val="22"/>
          <w:szCs w:val="22"/>
        </w:rPr>
        <w:t>,</w:t>
      </w:r>
      <w:r w:rsidR="004143E4" w:rsidRPr="00441A9C">
        <w:rPr>
          <w:rFonts w:ascii="Garamond" w:hAnsi="Garamond"/>
          <w:b/>
          <w:bCs/>
          <w:iCs/>
          <w:sz w:val="22"/>
          <w:szCs w:val="22"/>
        </w:rPr>
        <w:t xml:space="preserve"> which is s</w:t>
      </w:r>
      <w:r w:rsidRPr="00441A9C">
        <w:rPr>
          <w:rFonts w:ascii="Garamond" w:hAnsi="Garamond"/>
          <w:b/>
          <w:bCs/>
          <w:iCs/>
          <w:sz w:val="22"/>
          <w:szCs w:val="22"/>
        </w:rPr>
        <w:t xml:space="preserve">lightly above </w:t>
      </w:r>
      <w:r w:rsidR="004143E4" w:rsidRPr="00441A9C">
        <w:rPr>
          <w:rFonts w:ascii="Garamond" w:hAnsi="Garamond"/>
          <w:b/>
          <w:bCs/>
          <w:iCs/>
          <w:sz w:val="22"/>
          <w:szCs w:val="22"/>
        </w:rPr>
        <w:t xml:space="preserve">the </w:t>
      </w:r>
      <w:r w:rsidR="00D749AB">
        <w:rPr>
          <w:rFonts w:ascii="Garamond" w:hAnsi="Garamond"/>
          <w:b/>
          <w:bCs/>
          <w:iCs/>
          <w:sz w:val="22"/>
          <w:szCs w:val="22"/>
        </w:rPr>
        <w:t xml:space="preserve">estimated </w:t>
      </w:r>
      <w:proofErr w:type="gramStart"/>
      <w:r w:rsidR="00D749AB">
        <w:rPr>
          <w:rFonts w:ascii="Garamond" w:hAnsi="Garamond"/>
          <w:b/>
          <w:bCs/>
          <w:iCs/>
          <w:sz w:val="22"/>
          <w:szCs w:val="22"/>
        </w:rPr>
        <w:t xml:space="preserve">level </w:t>
      </w:r>
      <w:r w:rsidRPr="00441A9C">
        <w:rPr>
          <w:rFonts w:ascii="Garamond" w:hAnsi="Garamond"/>
          <w:b/>
          <w:bCs/>
          <w:iCs/>
          <w:sz w:val="22"/>
          <w:szCs w:val="22"/>
        </w:rPr>
        <w:t xml:space="preserve"> in</w:t>
      </w:r>
      <w:proofErr w:type="gramEnd"/>
      <w:r w:rsidRPr="00441A9C">
        <w:rPr>
          <w:rFonts w:ascii="Garamond" w:hAnsi="Garamond"/>
          <w:b/>
          <w:bCs/>
          <w:iCs/>
          <w:sz w:val="22"/>
          <w:szCs w:val="22"/>
        </w:rPr>
        <w:t xml:space="preserve"> the </w:t>
      </w:r>
      <w:r w:rsidR="004143E4" w:rsidRPr="00441A9C">
        <w:rPr>
          <w:rFonts w:ascii="Garamond" w:hAnsi="Garamond"/>
          <w:b/>
          <w:bCs/>
          <w:iCs/>
          <w:sz w:val="22"/>
          <w:szCs w:val="22"/>
        </w:rPr>
        <w:t>previous forecast</w:t>
      </w:r>
      <w:r w:rsidR="00A70330" w:rsidRPr="00441A9C">
        <w:rPr>
          <w:rFonts w:ascii="Garamond" w:hAnsi="Garamond"/>
          <w:b/>
          <w:bCs/>
          <w:iCs/>
          <w:sz w:val="22"/>
          <w:szCs w:val="22"/>
        </w:rPr>
        <w:t>.</w:t>
      </w:r>
    </w:p>
    <w:p w14:paraId="70C3F5C1" w14:textId="77777777" w:rsidR="00CE2FF3" w:rsidRPr="00441A9C" w:rsidRDefault="00CE2FF3" w:rsidP="001D74AC">
      <w:pPr>
        <w:tabs>
          <w:tab w:val="left" w:pos="5850"/>
        </w:tabs>
        <w:spacing w:line="360" w:lineRule="auto"/>
        <w:jc w:val="both"/>
        <w:rPr>
          <w:rFonts w:ascii="Garamond" w:hAnsi="Garamond"/>
          <w:b/>
          <w:bCs/>
          <w:iCs/>
          <w:sz w:val="22"/>
          <w:szCs w:val="22"/>
        </w:rPr>
      </w:pPr>
    </w:p>
    <w:p w14:paraId="28B7E453" w14:textId="77777777" w:rsidR="009B54D7" w:rsidRPr="00441A9C" w:rsidRDefault="00CE2FF3" w:rsidP="00CE2FF3">
      <w:pPr>
        <w:tabs>
          <w:tab w:val="left" w:pos="5850"/>
        </w:tabs>
        <w:spacing w:line="360" w:lineRule="auto"/>
        <w:jc w:val="both"/>
        <w:rPr>
          <w:rFonts w:ascii="Garamond" w:hAnsi="Garamond"/>
          <w:b/>
          <w:bCs/>
          <w:iCs/>
          <w:sz w:val="22"/>
          <w:szCs w:val="22"/>
        </w:rPr>
      </w:pPr>
      <w:r w:rsidRPr="00441A9C">
        <w:rPr>
          <w:rFonts w:ascii="Garamond" w:hAnsi="Garamond"/>
          <w:b/>
          <w:bCs/>
          <w:iCs/>
          <w:sz w:val="22"/>
          <w:szCs w:val="22"/>
        </w:rPr>
        <w:t>2.3. Inflation forecasts and monetary policy directions in 3-year forecast horizon</w:t>
      </w:r>
    </w:p>
    <w:p w14:paraId="31BF1DB1" w14:textId="77777777" w:rsidR="00CE2FF3" w:rsidRPr="00441A9C" w:rsidRDefault="00CE2FF3" w:rsidP="00CE2FF3">
      <w:pPr>
        <w:tabs>
          <w:tab w:val="left" w:pos="5850"/>
        </w:tabs>
        <w:spacing w:line="360" w:lineRule="auto"/>
        <w:jc w:val="both"/>
        <w:rPr>
          <w:rFonts w:ascii="Garamond" w:hAnsi="Garamond"/>
          <w:b/>
          <w:bCs/>
          <w:iCs/>
          <w:sz w:val="22"/>
          <w:szCs w:val="22"/>
        </w:rPr>
      </w:pPr>
    </w:p>
    <w:p w14:paraId="0BE2EB77" w14:textId="77777777" w:rsidR="00CE2FF3" w:rsidRPr="00441A9C" w:rsidRDefault="00B67EE9" w:rsidP="00CE2FF3">
      <w:pPr>
        <w:tabs>
          <w:tab w:val="left" w:pos="5850"/>
        </w:tabs>
        <w:spacing w:line="360" w:lineRule="auto"/>
        <w:jc w:val="both"/>
        <w:rPr>
          <w:rFonts w:ascii="Garamond" w:hAnsi="Garamond" w:cs="Sylfaen"/>
          <w:sz w:val="22"/>
          <w:szCs w:val="22"/>
        </w:rPr>
      </w:pPr>
      <w:r w:rsidRPr="00441A9C">
        <w:rPr>
          <w:rFonts w:ascii="Garamond" w:hAnsi="Garamond" w:cs="Sylfaen"/>
          <w:sz w:val="22"/>
          <w:szCs w:val="22"/>
        </w:rPr>
        <w:t>In the third quarter of 2017 g</w:t>
      </w:r>
      <w:r w:rsidR="00B64C6E" w:rsidRPr="00441A9C">
        <w:rPr>
          <w:rFonts w:ascii="Garamond" w:hAnsi="Garamond" w:cs="Sylfaen"/>
          <w:sz w:val="22"/>
          <w:szCs w:val="22"/>
        </w:rPr>
        <w:t xml:space="preserve">lobal economic recovery trends will continue while price stabilization </w:t>
      </w:r>
      <w:r w:rsidRPr="00441A9C">
        <w:rPr>
          <w:rFonts w:ascii="Garamond" w:hAnsi="Garamond" w:cs="Sylfaen"/>
          <w:sz w:val="22"/>
          <w:szCs w:val="22"/>
        </w:rPr>
        <w:t xml:space="preserve">in the world’s commodity markets </w:t>
      </w:r>
      <w:r w:rsidR="00B64C6E" w:rsidRPr="00441A9C">
        <w:rPr>
          <w:rFonts w:ascii="Garamond" w:hAnsi="Garamond" w:cs="Sylfaen"/>
          <w:sz w:val="22"/>
          <w:szCs w:val="22"/>
        </w:rPr>
        <w:t>will be observed</w:t>
      </w:r>
      <w:r w:rsidRPr="00441A9C">
        <w:rPr>
          <w:rFonts w:ascii="Garamond" w:hAnsi="Garamond" w:cs="Sylfaen"/>
          <w:sz w:val="22"/>
          <w:szCs w:val="22"/>
        </w:rPr>
        <w:t>. I</w:t>
      </w:r>
      <w:r w:rsidR="00B64C6E" w:rsidRPr="00441A9C">
        <w:rPr>
          <w:rFonts w:ascii="Garamond" w:hAnsi="Garamond" w:cs="Sylfaen"/>
          <w:sz w:val="22"/>
          <w:szCs w:val="22"/>
        </w:rPr>
        <w:t>nflationary pressure</w:t>
      </w:r>
      <w:r w:rsidRPr="00441A9C">
        <w:rPr>
          <w:rFonts w:ascii="Garamond" w:hAnsi="Garamond" w:cs="Sylfaen"/>
          <w:sz w:val="22"/>
          <w:szCs w:val="22"/>
        </w:rPr>
        <w:t>s</w:t>
      </w:r>
      <w:r w:rsidR="00B64C6E" w:rsidRPr="00441A9C">
        <w:rPr>
          <w:rFonts w:ascii="Garamond" w:hAnsi="Garamond" w:cs="Sylfaen"/>
          <w:sz w:val="22"/>
          <w:szCs w:val="22"/>
        </w:rPr>
        <w:t xml:space="preserve"> </w:t>
      </w:r>
      <w:r w:rsidRPr="00441A9C">
        <w:rPr>
          <w:rFonts w:ascii="Garamond" w:hAnsi="Garamond" w:cs="Sylfaen"/>
          <w:sz w:val="22"/>
          <w:szCs w:val="22"/>
        </w:rPr>
        <w:t>f</w:t>
      </w:r>
      <w:r w:rsidR="00B64C6E" w:rsidRPr="00441A9C">
        <w:rPr>
          <w:rFonts w:ascii="Garamond" w:hAnsi="Garamond" w:cs="Sylfaen"/>
          <w:sz w:val="22"/>
          <w:szCs w:val="22"/>
        </w:rPr>
        <w:t>rom the external sector both in the short-term and mid-term</w:t>
      </w:r>
      <w:r w:rsidRPr="00441A9C">
        <w:rPr>
          <w:rFonts w:ascii="Garamond" w:hAnsi="Garamond" w:cs="Sylfaen"/>
          <w:sz w:val="22"/>
          <w:szCs w:val="22"/>
        </w:rPr>
        <w:t xml:space="preserve"> are not likely</w:t>
      </w:r>
      <w:r w:rsidR="00B64C6E" w:rsidRPr="00441A9C">
        <w:rPr>
          <w:rFonts w:ascii="Garamond" w:hAnsi="Garamond" w:cs="Sylfaen"/>
          <w:sz w:val="22"/>
          <w:szCs w:val="22"/>
        </w:rPr>
        <w:t>.</w:t>
      </w:r>
      <w:r w:rsidRPr="00441A9C">
        <w:rPr>
          <w:rFonts w:ascii="Garamond" w:hAnsi="Garamond" w:cs="Sylfaen"/>
          <w:sz w:val="22"/>
          <w:szCs w:val="22"/>
        </w:rPr>
        <w:t xml:space="preserve"> </w:t>
      </w:r>
    </w:p>
    <w:p w14:paraId="1B6FF7BE" w14:textId="77777777" w:rsidR="006809CA" w:rsidRPr="00441A9C" w:rsidRDefault="006809CA" w:rsidP="00CE2FF3">
      <w:pPr>
        <w:tabs>
          <w:tab w:val="left" w:pos="5850"/>
        </w:tabs>
        <w:spacing w:line="360" w:lineRule="auto"/>
        <w:jc w:val="both"/>
        <w:rPr>
          <w:rFonts w:ascii="Garamond" w:hAnsi="Garamond" w:cs="Sylfaen"/>
          <w:sz w:val="22"/>
          <w:szCs w:val="22"/>
        </w:rPr>
      </w:pPr>
    </w:p>
    <w:p w14:paraId="318000C0" w14:textId="77777777" w:rsidR="006809CA" w:rsidRPr="00441A9C" w:rsidRDefault="006809CA" w:rsidP="00CE2FF3">
      <w:pPr>
        <w:tabs>
          <w:tab w:val="left" w:pos="5850"/>
        </w:tabs>
        <w:spacing w:line="360" w:lineRule="auto"/>
        <w:jc w:val="both"/>
        <w:rPr>
          <w:rFonts w:ascii="Garamond" w:hAnsi="Garamond" w:cs="Sylfaen"/>
          <w:sz w:val="22"/>
          <w:szCs w:val="22"/>
        </w:rPr>
      </w:pPr>
      <w:r w:rsidRPr="00441A9C">
        <w:rPr>
          <w:rFonts w:ascii="Garamond" w:hAnsi="Garamond" w:cs="Sylfaen"/>
          <w:sz w:val="22"/>
          <w:szCs w:val="22"/>
        </w:rPr>
        <w:t xml:space="preserve">According to the </w:t>
      </w:r>
      <w:r w:rsidR="00F12C7B">
        <w:rPr>
          <w:rFonts w:ascii="Garamond" w:hAnsi="Garamond" w:cs="Sylfaen"/>
          <w:sz w:val="22"/>
          <w:szCs w:val="22"/>
        </w:rPr>
        <w:t xml:space="preserve">results of the </w:t>
      </w:r>
      <w:r w:rsidRPr="00441A9C">
        <w:rPr>
          <w:rFonts w:ascii="Garamond" w:hAnsi="Garamond" w:cs="Sylfaen"/>
          <w:sz w:val="22"/>
          <w:szCs w:val="22"/>
        </w:rPr>
        <w:t xml:space="preserve">second quarter </w:t>
      </w:r>
      <w:r w:rsidR="00F12C7B">
        <w:rPr>
          <w:rFonts w:ascii="Garamond" w:hAnsi="Garamond" w:cs="Sylfaen"/>
          <w:sz w:val="22"/>
          <w:szCs w:val="22"/>
        </w:rPr>
        <w:t xml:space="preserve">of </w:t>
      </w:r>
      <w:r w:rsidRPr="00441A9C">
        <w:rPr>
          <w:rFonts w:ascii="Garamond" w:hAnsi="Garamond" w:cs="Sylfaen"/>
          <w:sz w:val="22"/>
          <w:szCs w:val="22"/>
        </w:rPr>
        <w:t xml:space="preserve">2017, the </w:t>
      </w:r>
      <w:r w:rsidRPr="00441A9C">
        <w:rPr>
          <w:rFonts w:ascii="Garamond" w:hAnsi="Garamond" w:cs="Sylfaen"/>
          <w:b/>
          <w:sz w:val="22"/>
          <w:szCs w:val="22"/>
        </w:rPr>
        <w:t>y/y inflation has been 1.1%</w:t>
      </w:r>
      <w:r w:rsidRPr="00441A9C">
        <w:rPr>
          <w:rFonts w:ascii="Garamond" w:hAnsi="Garamond" w:cs="Sylfaen"/>
          <w:sz w:val="22"/>
          <w:szCs w:val="22"/>
        </w:rPr>
        <w:t xml:space="preserve">, slightly surpassing the previous program’s indictor of 0.8%; in July it amounted to 0.9% driven by a sharp decline in the seasonal prices for agricultural products. However, </w:t>
      </w:r>
      <w:r w:rsidR="00940900" w:rsidRPr="00441A9C">
        <w:rPr>
          <w:rFonts w:ascii="Garamond" w:hAnsi="Garamond" w:cs="Sylfaen"/>
          <w:sz w:val="22"/>
          <w:szCs w:val="22"/>
        </w:rPr>
        <w:t>core</w:t>
      </w:r>
      <w:r w:rsidRPr="00441A9C">
        <w:rPr>
          <w:rFonts w:ascii="Garamond" w:hAnsi="Garamond" w:cs="Sylfaen"/>
          <w:sz w:val="22"/>
          <w:szCs w:val="22"/>
        </w:rPr>
        <w:t xml:space="preserve"> inflation </w:t>
      </w:r>
      <w:r w:rsidR="00940900" w:rsidRPr="00441A9C">
        <w:rPr>
          <w:rFonts w:ascii="Garamond" w:hAnsi="Garamond" w:cs="Sylfaen"/>
          <w:sz w:val="22"/>
          <w:szCs w:val="22"/>
        </w:rPr>
        <w:t>wa</w:t>
      </w:r>
      <w:r w:rsidR="001C5943" w:rsidRPr="00441A9C">
        <w:rPr>
          <w:rFonts w:ascii="Garamond" w:hAnsi="Garamond" w:cs="Sylfaen"/>
          <w:sz w:val="22"/>
          <w:szCs w:val="22"/>
        </w:rPr>
        <w:t>s</w:t>
      </w:r>
      <w:r w:rsidRPr="00441A9C">
        <w:rPr>
          <w:rFonts w:ascii="Garamond" w:hAnsi="Garamond" w:cs="Sylfaen"/>
          <w:sz w:val="22"/>
          <w:szCs w:val="22"/>
        </w:rPr>
        <w:t xml:space="preserve"> recovering </w:t>
      </w:r>
      <w:r w:rsidR="00940900" w:rsidRPr="00441A9C">
        <w:rPr>
          <w:rFonts w:ascii="Garamond" w:hAnsi="Garamond" w:cs="Sylfaen"/>
          <w:sz w:val="22"/>
          <w:szCs w:val="22"/>
        </w:rPr>
        <w:t>from</w:t>
      </w:r>
      <w:r w:rsidRPr="00441A9C">
        <w:rPr>
          <w:rFonts w:ascii="Garamond" w:hAnsi="Garamond" w:cs="Sylfaen"/>
          <w:sz w:val="22"/>
          <w:szCs w:val="22"/>
        </w:rPr>
        <w:t xml:space="preserve"> 0.3% </w:t>
      </w:r>
      <w:r w:rsidR="00940900" w:rsidRPr="00441A9C">
        <w:rPr>
          <w:rFonts w:ascii="Garamond" w:hAnsi="Garamond" w:cs="Sylfaen"/>
          <w:sz w:val="22"/>
          <w:szCs w:val="22"/>
        </w:rPr>
        <w:t xml:space="preserve">y/y </w:t>
      </w:r>
      <w:r w:rsidRPr="00441A9C">
        <w:rPr>
          <w:rFonts w:ascii="Garamond" w:hAnsi="Garamond" w:cs="Sylfaen"/>
          <w:sz w:val="22"/>
          <w:szCs w:val="22"/>
        </w:rPr>
        <w:t xml:space="preserve">in June </w:t>
      </w:r>
      <w:r w:rsidR="00940900" w:rsidRPr="00441A9C">
        <w:rPr>
          <w:rFonts w:ascii="Garamond" w:hAnsi="Garamond" w:cs="Sylfaen"/>
          <w:sz w:val="22"/>
          <w:szCs w:val="22"/>
        </w:rPr>
        <w:t xml:space="preserve">to </w:t>
      </w:r>
      <w:r w:rsidRPr="00441A9C">
        <w:rPr>
          <w:rFonts w:ascii="Garamond" w:hAnsi="Garamond" w:cs="Sylfaen"/>
          <w:sz w:val="22"/>
          <w:szCs w:val="22"/>
        </w:rPr>
        <w:t>0.7%</w:t>
      </w:r>
      <w:r w:rsidR="00940900" w:rsidRPr="00441A9C">
        <w:rPr>
          <w:rFonts w:ascii="Garamond" w:hAnsi="Garamond" w:cs="Sylfaen"/>
          <w:sz w:val="22"/>
          <w:szCs w:val="22"/>
        </w:rPr>
        <w:t xml:space="preserve"> y/y</w:t>
      </w:r>
      <w:r w:rsidRPr="00441A9C">
        <w:rPr>
          <w:rFonts w:ascii="Garamond" w:hAnsi="Garamond" w:cs="Sylfaen"/>
          <w:sz w:val="22"/>
          <w:szCs w:val="22"/>
        </w:rPr>
        <w:t xml:space="preserve"> in July, </w:t>
      </w:r>
      <w:r w:rsidR="00940900" w:rsidRPr="00441A9C">
        <w:rPr>
          <w:rFonts w:ascii="Garamond" w:hAnsi="Garamond" w:cs="Sylfaen"/>
          <w:sz w:val="22"/>
          <w:szCs w:val="22"/>
        </w:rPr>
        <w:t xml:space="preserve">pointing to </w:t>
      </w:r>
      <w:r w:rsidRPr="00441A9C">
        <w:rPr>
          <w:rFonts w:ascii="Garamond" w:hAnsi="Garamond" w:cs="Sylfaen"/>
          <w:sz w:val="22"/>
          <w:szCs w:val="22"/>
        </w:rPr>
        <w:t>a gradual recovery in demand. According to C</w:t>
      </w:r>
      <w:r w:rsidR="001C5943" w:rsidRPr="00441A9C">
        <w:rPr>
          <w:rFonts w:ascii="Garamond" w:hAnsi="Garamond" w:cs="Sylfaen"/>
          <w:sz w:val="22"/>
          <w:szCs w:val="22"/>
        </w:rPr>
        <w:t xml:space="preserve">entral </w:t>
      </w:r>
      <w:r w:rsidRPr="00441A9C">
        <w:rPr>
          <w:rFonts w:ascii="Garamond" w:hAnsi="Garamond" w:cs="Sylfaen"/>
          <w:sz w:val="22"/>
          <w:szCs w:val="22"/>
        </w:rPr>
        <w:t>B</w:t>
      </w:r>
      <w:r w:rsidR="001C5943" w:rsidRPr="00441A9C">
        <w:rPr>
          <w:rFonts w:ascii="Garamond" w:hAnsi="Garamond" w:cs="Sylfaen"/>
          <w:sz w:val="22"/>
          <w:szCs w:val="22"/>
        </w:rPr>
        <w:t>ank</w:t>
      </w:r>
      <w:r w:rsidRPr="00441A9C">
        <w:rPr>
          <w:rFonts w:ascii="Garamond" w:hAnsi="Garamond" w:cs="Sylfaen"/>
          <w:sz w:val="22"/>
          <w:szCs w:val="22"/>
        </w:rPr>
        <w:t xml:space="preserve"> estimates, the GDP gap is gradually declining, though it is still in the negative </w:t>
      </w:r>
      <w:r w:rsidR="001C5943" w:rsidRPr="00441A9C">
        <w:rPr>
          <w:rFonts w:ascii="Garamond" w:hAnsi="Garamond" w:cs="Sylfaen"/>
          <w:sz w:val="22"/>
          <w:szCs w:val="22"/>
        </w:rPr>
        <w:t>territory</w:t>
      </w:r>
      <w:r w:rsidRPr="00441A9C">
        <w:rPr>
          <w:rFonts w:ascii="Garamond" w:hAnsi="Garamond" w:cs="Sylfaen"/>
          <w:sz w:val="22"/>
          <w:szCs w:val="22"/>
        </w:rPr>
        <w:t xml:space="preserve">. </w:t>
      </w:r>
      <w:r w:rsidR="00EA6651" w:rsidRPr="00441A9C">
        <w:rPr>
          <w:rFonts w:ascii="Garamond" w:hAnsi="Garamond" w:cs="Sylfaen"/>
          <w:sz w:val="22"/>
          <w:szCs w:val="22"/>
        </w:rPr>
        <w:t xml:space="preserve">Demand </w:t>
      </w:r>
      <w:r w:rsidR="006432E8" w:rsidRPr="00441A9C">
        <w:rPr>
          <w:rFonts w:ascii="Garamond" w:hAnsi="Garamond" w:cs="Sylfaen"/>
          <w:sz w:val="22"/>
          <w:szCs w:val="22"/>
        </w:rPr>
        <w:t xml:space="preserve">is </w:t>
      </w:r>
      <w:r w:rsidR="00EA6651" w:rsidRPr="00441A9C">
        <w:rPr>
          <w:rFonts w:ascii="Garamond" w:hAnsi="Garamond" w:cs="Sylfaen"/>
          <w:sz w:val="22"/>
          <w:szCs w:val="22"/>
        </w:rPr>
        <w:t>re</w:t>
      </w:r>
      <w:r w:rsidR="006432E8" w:rsidRPr="00441A9C">
        <w:rPr>
          <w:rFonts w:ascii="Garamond" w:hAnsi="Garamond" w:cs="Sylfaen"/>
          <w:sz w:val="22"/>
          <w:szCs w:val="22"/>
        </w:rPr>
        <w:t xml:space="preserve">stored </w:t>
      </w:r>
      <w:r w:rsidR="00EA6651" w:rsidRPr="00441A9C">
        <w:rPr>
          <w:rFonts w:ascii="Garamond" w:hAnsi="Garamond" w:cs="Sylfaen"/>
          <w:sz w:val="22"/>
          <w:szCs w:val="22"/>
        </w:rPr>
        <w:t>thanks to c</w:t>
      </w:r>
      <w:r w:rsidRPr="00441A9C">
        <w:rPr>
          <w:rFonts w:ascii="Garamond" w:hAnsi="Garamond" w:cs="Sylfaen"/>
          <w:sz w:val="22"/>
          <w:szCs w:val="22"/>
        </w:rPr>
        <w:t>ontinued recovery of external demand</w:t>
      </w:r>
      <w:r w:rsidR="006432E8" w:rsidRPr="00441A9C">
        <w:rPr>
          <w:rFonts w:ascii="Garamond" w:hAnsi="Garamond" w:cs="Sylfaen"/>
          <w:sz w:val="22"/>
          <w:szCs w:val="22"/>
        </w:rPr>
        <w:t>,</w:t>
      </w:r>
      <w:r w:rsidRPr="00441A9C">
        <w:rPr>
          <w:rFonts w:ascii="Garamond" w:hAnsi="Garamond" w:cs="Sylfaen"/>
          <w:sz w:val="22"/>
          <w:szCs w:val="22"/>
        </w:rPr>
        <w:t xml:space="preserve"> </w:t>
      </w:r>
      <w:r w:rsidR="00EA6651" w:rsidRPr="00441A9C">
        <w:rPr>
          <w:rFonts w:ascii="Garamond" w:hAnsi="Garamond" w:cs="Sylfaen"/>
          <w:sz w:val="22"/>
          <w:szCs w:val="22"/>
        </w:rPr>
        <w:t>on the one hand</w:t>
      </w:r>
      <w:r w:rsidR="006432E8" w:rsidRPr="00441A9C">
        <w:rPr>
          <w:rFonts w:ascii="Garamond" w:hAnsi="Garamond" w:cs="Sylfaen"/>
          <w:sz w:val="22"/>
          <w:szCs w:val="22"/>
        </w:rPr>
        <w:t>,</w:t>
      </w:r>
      <w:r w:rsidR="00EA6651" w:rsidRPr="00441A9C">
        <w:rPr>
          <w:rFonts w:ascii="Garamond" w:hAnsi="Garamond" w:cs="Sylfaen"/>
          <w:sz w:val="22"/>
          <w:szCs w:val="22"/>
        </w:rPr>
        <w:t xml:space="preserve"> </w:t>
      </w:r>
      <w:r w:rsidRPr="00441A9C">
        <w:rPr>
          <w:rFonts w:ascii="Garamond" w:hAnsi="Garamond" w:cs="Sylfaen"/>
          <w:sz w:val="22"/>
          <w:szCs w:val="22"/>
        </w:rPr>
        <w:t>and positive behavior of domestic demand</w:t>
      </w:r>
      <w:r w:rsidR="006432E8" w:rsidRPr="00441A9C">
        <w:rPr>
          <w:rFonts w:ascii="Garamond" w:hAnsi="Garamond" w:cs="Sylfaen"/>
          <w:sz w:val="22"/>
          <w:szCs w:val="22"/>
        </w:rPr>
        <w:t>,</w:t>
      </w:r>
      <w:r w:rsidR="00EA6651" w:rsidRPr="00441A9C">
        <w:rPr>
          <w:rFonts w:ascii="Garamond" w:hAnsi="Garamond" w:cs="Sylfaen"/>
          <w:sz w:val="22"/>
          <w:szCs w:val="22"/>
        </w:rPr>
        <w:t xml:space="preserve"> on the other</w:t>
      </w:r>
      <w:r w:rsidR="006432E8" w:rsidRPr="00441A9C">
        <w:rPr>
          <w:rFonts w:ascii="Garamond" w:hAnsi="Garamond" w:cs="Sylfaen"/>
          <w:sz w:val="22"/>
          <w:szCs w:val="22"/>
        </w:rPr>
        <w:t>, which,</w:t>
      </w:r>
      <w:r w:rsidR="00EA6651" w:rsidRPr="00441A9C">
        <w:rPr>
          <w:rFonts w:ascii="Garamond" w:hAnsi="Garamond" w:cs="Sylfaen"/>
          <w:sz w:val="22"/>
          <w:szCs w:val="22"/>
        </w:rPr>
        <w:t xml:space="preserve"> coupled with </w:t>
      </w:r>
      <w:r w:rsidR="00A81E05" w:rsidRPr="00441A9C">
        <w:rPr>
          <w:rFonts w:ascii="Garamond" w:hAnsi="Garamond" w:cs="Sylfaen"/>
          <w:sz w:val="22"/>
          <w:szCs w:val="22"/>
        </w:rPr>
        <w:t>contractionary</w:t>
      </w:r>
      <w:r w:rsidRPr="00441A9C">
        <w:rPr>
          <w:rFonts w:ascii="Garamond" w:hAnsi="Garamond" w:cs="Sylfaen"/>
          <w:sz w:val="22"/>
          <w:szCs w:val="22"/>
        </w:rPr>
        <w:t xml:space="preserve"> fiscal policy, is fully driven by </w:t>
      </w:r>
      <w:r w:rsidR="00A81E05" w:rsidRPr="00441A9C">
        <w:rPr>
          <w:rFonts w:ascii="Garamond" w:hAnsi="Garamond" w:cs="Sylfaen"/>
          <w:sz w:val="22"/>
          <w:szCs w:val="22"/>
        </w:rPr>
        <w:t xml:space="preserve">expansionary </w:t>
      </w:r>
      <w:r w:rsidRPr="00441A9C">
        <w:rPr>
          <w:rFonts w:ascii="Garamond" w:hAnsi="Garamond" w:cs="Sylfaen"/>
          <w:sz w:val="22"/>
          <w:szCs w:val="22"/>
        </w:rPr>
        <w:t>monetary policy implement</w:t>
      </w:r>
      <w:r w:rsidR="00A81E05" w:rsidRPr="00441A9C">
        <w:rPr>
          <w:rFonts w:ascii="Garamond" w:hAnsi="Garamond" w:cs="Sylfaen"/>
          <w:sz w:val="22"/>
          <w:szCs w:val="22"/>
        </w:rPr>
        <w:t>ation</w:t>
      </w:r>
      <w:r w:rsidRPr="00441A9C">
        <w:rPr>
          <w:rFonts w:ascii="Garamond" w:hAnsi="Garamond" w:cs="Sylfaen"/>
          <w:sz w:val="22"/>
          <w:szCs w:val="22"/>
        </w:rPr>
        <w:t xml:space="preserve">. </w:t>
      </w:r>
      <w:r w:rsidR="006432E8" w:rsidRPr="00441A9C">
        <w:rPr>
          <w:rFonts w:ascii="Garamond" w:hAnsi="Garamond" w:cs="Sylfaen"/>
          <w:sz w:val="22"/>
          <w:szCs w:val="22"/>
        </w:rPr>
        <w:t>Restoring of d</w:t>
      </w:r>
      <w:r w:rsidRPr="00441A9C">
        <w:rPr>
          <w:rFonts w:ascii="Garamond" w:hAnsi="Garamond" w:cs="Sylfaen"/>
          <w:sz w:val="22"/>
          <w:szCs w:val="22"/>
        </w:rPr>
        <w:t xml:space="preserve">omestic demand, in addition to private consumption, </w:t>
      </w:r>
      <w:r w:rsidR="006432E8" w:rsidRPr="00441A9C">
        <w:rPr>
          <w:rFonts w:ascii="Garamond" w:hAnsi="Garamond" w:cs="Sylfaen"/>
          <w:sz w:val="22"/>
          <w:szCs w:val="22"/>
        </w:rPr>
        <w:t xml:space="preserve">owed also to </w:t>
      </w:r>
      <w:r w:rsidRPr="00441A9C">
        <w:rPr>
          <w:rFonts w:ascii="Garamond" w:hAnsi="Garamond" w:cs="Sylfaen"/>
          <w:sz w:val="22"/>
          <w:szCs w:val="22"/>
        </w:rPr>
        <w:t xml:space="preserve">the growth of private investment, which </w:t>
      </w:r>
      <w:r w:rsidR="006432E8" w:rsidRPr="00441A9C">
        <w:rPr>
          <w:rFonts w:ascii="Garamond" w:hAnsi="Garamond" w:cs="Sylfaen"/>
          <w:sz w:val="22"/>
          <w:szCs w:val="22"/>
        </w:rPr>
        <w:t>may</w:t>
      </w:r>
      <w:r w:rsidRPr="00441A9C">
        <w:rPr>
          <w:rFonts w:ascii="Garamond" w:hAnsi="Garamond" w:cs="Sylfaen"/>
          <w:sz w:val="22"/>
          <w:szCs w:val="22"/>
        </w:rPr>
        <w:t xml:space="preserve"> positive</w:t>
      </w:r>
      <w:r w:rsidR="006432E8" w:rsidRPr="00441A9C">
        <w:rPr>
          <w:rFonts w:ascii="Garamond" w:hAnsi="Garamond" w:cs="Sylfaen"/>
          <w:sz w:val="22"/>
          <w:szCs w:val="22"/>
        </w:rPr>
        <w:t>ly</w:t>
      </w:r>
      <w:r w:rsidRPr="00441A9C">
        <w:rPr>
          <w:rFonts w:ascii="Garamond" w:hAnsi="Garamond" w:cs="Sylfaen"/>
          <w:sz w:val="22"/>
          <w:szCs w:val="22"/>
        </w:rPr>
        <w:t xml:space="preserve"> </w:t>
      </w:r>
      <w:r w:rsidR="006432E8" w:rsidRPr="00441A9C">
        <w:rPr>
          <w:rFonts w:ascii="Garamond" w:hAnsi="Garamond" w:cs="Sylfaen"/>
          <w:sz w:val="22"/>
          <w:szCs w:val="22"/>
        </w:rPr>
        <w:t>a</w:t>
      </w:r>
      <w:r w:rsidRPr="00441A9C">
        <w:rPr>
          <w:rFonts w:ascii="Garamond" w:hAnsi="Garamond" w:cs="Sylfaen"/>
          <w:sz w:val="22"/>
          <w:szCs w:val="22"/>
        </w:rPr>
        <w:t xml:space="preserve">ffect </w:t>
      </w:r>
      <w:r w:rsidR="006432E8" w:rsidRPr="00441A9C">
        <w:rPr>
          <w:rFonts w:ascii="Garamond" w:hAnsi="Garamond" w:cs="Sylfaen"/>
          <w:sz w:val="22"/>
          <w:szCs w:val="22"/>
        </w:rPr>
        <w:t xml:space="preserve">the potential </w:t>
      </w:r>
      <w:r w:rsidRPr="00441A9C">
        <w:rPr>
          <w:rFonts w:ascii="Garamond" w:hAnsi="Garamond" w:cs="Sylfaen"/>
          <w:sz w:val="22"/>
          <w:szCs w:val="22"/>
        </w:rPr>
        <w:t>GDP growth</w:t>
      </w:r>
      <w:r w:rsidR="006432E8" w:rsidRPr="00441A9C">
        <w:rPr>
          <w:rFonts w:ascii="Garamond" w:hAnsi="Garamond" w:cs="Sylfaen"/>
          <w:sz w:val="22"/>
          <w:szCs w:val="22"/>
        </w:rPr>
        <w:t xml:space="preserve"> in future</w:t>
      </w:r>
      <w:r w:rsidRPr="00441A9C">
        <w:rPr>
          <w:rFonts w:ascii="Garamond" w:hAnsi="Garamond" w:cs="Sylfaen"/>
          <w:sz w:val="22"/>
          <w:szCs w:val="22"/>
        </w:rPr>
        <w:t xml:space="preserve">. </w:t>
      </w:r>
      <w:r w:rsidR="005D44C4" w:rsidRPr="00441A9C">
        <w:rPr>
          <w:rFonts w:ascii="Garamond" w:hAnsi="Garamond" w:cs="Sylfaen"/>
          <w:sz w:val="22"/>
          <w:szCs w:val="22"/>
        </w:rPr>
        <w:t>In the first half of 2017, relative to</w:t>
      </w:r>
      <w:r w:rsidRPr="00441A9C">
        <w:rPr>
          <w:rFonts w:ascii="Garamond" w:hAnsi="Garamond" w:cs="Sylfaen"/>
          <w:sz w:val="22"/>
          <w:szCs w:val="22"/>
        </w:rPr>
        <w:t xml:space="preserve"> the same period of the previous year, demand </w:t>
      </w:r>
      <w:r w:rsidR="005D44C4" w:rsidRPr="00441A9C">
        <w:rPr>
          <w:rFonts w:ascii="Garamond" w:hAnsi="Garamond" w:cs="Sylfaen"/>
          <w:sz w:val="22"/>
          <w:szCs w:val="22"/>
        </w:rPr>
        <w:t xml:space="preserve">has recovered through </w:t>
      </w:r>
      <w:r w:rsidR="00E7070A" w:rsidRPr="00441A9C">
        <w:rPr>
          <w:rFonts w:ascii="Garamond" w:hAnsi="Garamond" w:cs="Sylfaen"/>
          <w:sz w:val="22"/>
          <w:szCs w:val="22"/>
        </w:rPr>
        <w:t>an increased lending (more</w:t>
      </w:r>
      <w:r w:rsidRPr="00441A9C">
        <w:rPr>
          <w:rFonts w:ascii="Garamond" w:hAnsi="Garamond" w:cs="Sylfaen"/>
          <w:sz w:val="22"/>
          <w:szCs w:val="22"/>
        </w:rPr>
        <w:t xml:space="preserve"> </w:t>
      </w:r>
      <w:r w:rsidR="00E7070A" w:rsidRPr="00441A9C">
        <w:rPr>
          <w:rFonts w:ascii="Garamond" w:hAnsi="Garamond" w:cs="Sylfaen"/>
          <w:sz w:val="22"/>
          <w:szCs w:val="22"/>
        </w:rPr>
        <w:t>loans to firms</w:t>
      </w:r>
      <w:r w:rsidRPr="00441A9C">
        <w:rPr>
          <w:rFonts w:ascii="Garamond" w:hAnsi="Garamond" w:cs="Sylfaen"/>
          <w:sz w:val="22"/>
          <w:szCs w:val="22"/>
        </w:rPr>
        <w:t>) a</w:t>
      </w:r>
      <w:r w:rsidR="00E7070A" w:rsidRPr="00441A9C">
        <w:rPr>
          <w:rFonts w:ascii="Garamond" w:hAnsi="Garamond" w:cs="Sylfaen"/>
          <w:sz w:val="22"/>
          <w:szCs w:val="22"/>
        </w:rPr>
        <w:t xml:space="preserve">nd grown </w:t>
      </w:r>
      <w:r w:rsidRPr="00441A9C">
        <w:rPr>
          <w:rFonts w:ascii="Garamond" w:hAnsi="Garamond" w:cs="Sylfaen"/>
          <w:sz w:val="22"/>
          <w:szCs w:val="22"/>
        </w:rPr>
        <w:t>import</w:t>
      </w:r>
      <w:r w:rsidR="00E7070A" w:rsidRPr="00441A9C">
        <w:rPr>
          <w:rFonts w:ascii="Garamond" w:hAnsi="Garamond" w:cs="Sylfaen"/>
          <w:sz w:val="22"/>
          <w:szCs w:val="22"/>
        </w:rPr>
        <w:t>s, including import of in</w:t>
      </w:r>
      <w:r w:rsidR="00184DE3" w:rsidRPr="00441A9C">
        <w:rPr>
          <w:rFonts w:ascii="Garamond" w:hAnsi="Garamond" w:cs="Sylfaen"/>
          <w:sz w:val="22"/>
          <w:szCs w:val="22"/>
        </w:rPr>
        <w:t xml:space="preserve">termediate </w:t>
      </w:r>
      <w:r w:rsidR="00E7070A" w:rsidRPr="00441A9C">
        <w:rPr>
          <w:rFonts w:ascii="Garamond" w:hAnsi="Garamond" w:cs="Sylfaen"/>
          <w:sz w:val="22"/>
          <w:szCs w:val="22"/>
        </w:rPr>
        <w:t>goods</w:t>
      </w:r>
      <w:r w:rsidRPr="00441A9C">
        <w:rPr>
          <w:rFonts w:ascii="Garamond" w:hAnsi="Garamond" w:cs="Sylfaen"/>
          <w:sz w:val="22"/>
          <w:szCs w:val="22"/>
        </w:rPr>
        <w:t>.</w:t>
      </w:r>
    </w:p>
    <w:p w14:paraId="16A99F98" w14:textId="77777777" w:rsidR="00184DE3" w:rsidRPr="00441A9C" w:rsidRDefault="00184DE3" w:rsidP="00CE2FF3">
      <w:pPr>
        <w:tabs>
          <w:tab w:val="left" w:pos="5850"/>
        </w:tabs>
        <w:spacing w:line="360" w:lineRule="auto"/>
        <w:jc w:val="both"/>
        <w:rPr>
          <w:rFonts w:ascii="Garamond" w:hAnsi="Garamond" w:cs="Sylfaen"/>
          <w:sz w:val="22"/>
          <w:szCs w:val="22"/>
        </w:rPr>
      </w:pPr>
    </w:p>
    <w:p w14:paraId="045C3588" w14:textId="77777777" w:rsidR="00184DE3" w:rsidRPr="00441A9C" w:rsidRDefault="00FB15AF" w:rsidP="00CE2FF3">
      <w:pPr>
        <w:tabs>
          <w:tab w:val="left" w:pos="5850"/>
        </w:tabs>
        <w:spacing w:line="360" w:lineRule="auto"/>
        <w:jc w:val="both"/>
        <w:rPr>
          <w:rFonts w:ascii="Garamond" w:hAnsi="Garamond" w:cs="Sylfaen"/>
          <w:sz w:val="22"/>
          <w:szCs w:val="22"/>
        </w:rPr>
      </w:pPr>
      <w:r w:rsidRPr="00441A9C">
        <w:rPr>
          <w:rFonts w:ascii="Garamond" w:hAnsi="Garamond" w:cs="Sylfaen"/>
          <w:sz w:val="22"/>
          <w:szCs w:val="22"/>
        </w:rPr>
        <w:t>Economic growth keeps on recovering as well, owing more to supply factors though. Increased export of goods and services (travel services in particular) and labor market developments on the whole reflected t</w:t>
      </w:r>
      <w:r w:rsidR="00184DE3" w:rsidRPr="00441A9C">
        <w:rPr>
          <w:rFonts w:ascii="Garamond" w:hAnsi="Garamond" w:cs="Sylfaen"/>
          <w:sz w:val="22"/>
          <w:szCs w:val="22"/>
        </w:rPr>
        <w:t>he growth of productivity in industry and service sectors</w:t>
      </w:r>
      <w:r w:rsidRPr="00441A9C">
        <w:rPr>
          <w:rFonts w:ascii="Garamond" w:hAnsi="Garamond" w:cs="Sylfaen"/>
          <w:sz w:val="22"/>
          <w:szCs w:val="22"/>
        </w:rPr>
        <w:t xml:space="preserve">. In the labor market, the productivity growth </w:t>
      </w:r>
      <w:r w:rsidR="00184DE3" w:rsidRPr="00441A9C">
        <w:rPr>
          <w:rFonts w:ascii="Garamond" w:hAnsi="Garamond" w:cs="Sylfaen"/>
          <w:sz w:val="22"/>
          <w:szCs w:val="22"/>
        </w:rPr>
        <w:t>has exceeded the wage</w:t>
      </w:r>
      <w:r w:rsidRPr="00441A9C">
        <w:rPr>
          <w:rFonts w:ascii="Garamond" w:hAnsi="Garamond" w:cs="Sylfaen"/>
          <w:sz w:val="22"/>
          <w:szCs w:val="22"/>
        </w:rPr>
        <w:t xml:space="preserve"> growth</w:t>
      </w:r>
      <w:r w:rsidR="00184DE3" w:rsidRPr="00441A9C">
        <w:rPr>
          <w:rFonts w:ascii="Garamond" w:hAnsi="Garamond" w:cs="Sylfaen"/>
          <w:sz w:val="22"/>
          <w:szCs w:val="22"/>
        </w:rPr>
        <w:t xml:space="preserve">, </w:t>
      </w:r>
      <w:r w:rsidRPr="00441A9C">
        <w:rPr>
          <w:rFonts w:ascii="Garamond" w:hAnsi="Garamond" w:cs="Sylfaen"/>
          <w:sz w:val="22"/>
          <w:szCs w:val="22"/>
        </w:rPr>
        <w:t xml:space="preserve">forcing the </w:t>
      </w:r>
      <w:r w:rsidR="00184DE3" w:rsidRPr="00441A9C">
        <w:rPr>
          <w:rFonts w:ascii="Garamond" w:hAnsi="Garamond" w:cs="Sylfaen"/>
          <w:sz w:val="22"/>
          <w:szCs w:val="22"/>
        </w:rPr>
        <w:t xml:space="preserve">inflationary pressures </w:t>
      </w:r>
      <w:r w:rsidRPr="00441A9C">
        <w:rPr>
          <w:rFonts w:ascii="Garamond" w:hAnsi="Garamond" w:cs="Sylfaen"/>
          <w:sz w:val="22"/>
          <w:szCs w:val="22"/>
        </w:rPr>
        <w:t xml:space="preserve">out </w:t>
      </w:r>
      <w:r w:rsidR="00184DE3" w:rsidRPr="00441A9C">
        <w:rPr>
          <w:rFonts w:ascii="Garamond" w:hAnsi="Garamond" w:cs="Sylfaen"/>
          <w:sz w:val="22"/>
          <w:szCs w:val="22"/>
        </w:rPr>
        <w:t xml:space="preserve">in 2017. Under these conditions, the </w:t>
      </w:r>
      <w:r w:rsidR="00184DE3" w:rsidRPr="00441A9C">
        <w:rPr>
          <w:rFonts w:ascii="Garamond" w:hAnsi="Garamond" w:cs="Sylfaen"/>
          <w:sz w:val="22"/>
          <w:szCs w:val="22"/>
        </w:rPr>
        <w:lastRenderedPageBreak/>
        <w:t xml:space="preserve">forecast for economic growth in 2017 </w:t>
      </w:r>
      <w:r w:rsidR="000610E2" w:rsidRPr="00441A9C">
        <w:rPr>
          <w:rFonts w:ascii="Garamond" w:hAnsi="Garamond" w:cs="Sylfaen"/>
          <w:sz w:val="22"/>
          <w:szCs w:val="22"/>
        </w:rPr>
        <w:t>was</w:t>
      </w:r>
      <w:r w:rsidR="00184DE3" w:rsidRPr="00441A9C">
        <w:rPr>
          <w:rFonts w:ascii="Garamond" w:hAnsi="Garamond" w:cs="Sylfaen"/>
          <w:sz w:val="22"/>
          <w:szCs w:val="22"/>
        </w:rPr>
        <w:t xml:space="preserve"> revised upward to 3.8-4.8%, instead of 3.2-4.8% in the previous quarter.</w:t>
      </w:r>
    </w:p>
    <w:p w14:paraId="607E556E" w14:textId="77777777" w:rsidR="000610E2" w:rsidRPr="00441A9C" w:rsidRDefault="000610E2" w:rsidP="00CE2FF3">
      <w:pPr>
        <w:tabs>
          <w:tab w:val="left" w:pos="5850"/>
        </w:tabs>
        <w:spacing w:line="360" w:lineRule="auto"/>
        <w:jc w:val="both"/>
        <w:rPr>
          <w:rFonts w:ascii="Garamond" w:hAnsi="Garamond" w:cs="Sylfaen"/>
          <w:sz w:val="22"/>
          <w:szCs w:val="22"/>
        </w:rPr>
      </w:pPr>
    </w:p>
    <w:p w14:paraId="69A0518C" w14:textId="77777777" w:rsidR="000610E2" w:rsidRPr="00441A9C" w:rsidRDefault="000610E2" w:rsidP="00CE2FF3">
      <w:pPr>
        <w:tabs>
          <w:tab w:val="left" w:pos="5850"/>
        </w:tabs>
        <w:spacing w:line="360" w:lineRule="auto"/>
        <w:jc w:val="both"/>
        <w:rPr>
          <w:rFonts w:ascii="Garamond" w:hAnsi="Garamond" w:cs="Sylfaen"/>
          <w:sz w:val="22"/>
          <w:szCs w:val="22"/>
        </w:rPr>
      </w:pPr>
      <w:r w:rsidRPr="00441A9C">
        <w:rPr>
          <w:rFonts w:ascii="Garamond" w:hAnsi="Garamond" w:cs="Sylfaen"/>
          <w:sz w:val="22"/>
          <w:szCs w:val="22"/>
        </w:rPr>
        <w:t xml:space="preserve">With a strong productivity growth, the GDP gap ran negative in the second quarter. In view of this as well as the pace at which inflation recovered, </w:t>
      </w:r>
      <w:r w:rsidR="00543157" w:rsidRPr="00441A9C">
        <w:rPr>
          <w:rFonts w:ascii="Garamond" w:hAnsi="Garamond" w:cs="Sylfaen"/>
          <w:sz w:val="22"/>
          <w:szCs w:val="22"/>
        </w:rPr>
        <w:t>maintaining monetary conditions at the current level (refinancing rate – 6.0%) was considered most appropriate</w:t>
      </w:r>
      <w:r w:rsidRPr="00441A9C">
        <w:rPr>
          <w:rFonts w:ascii="Garamond" w:hAnsi="Garamond" w:cs="Sylfaen"/>
          <w:sz w:val="22"/>
          <w:szCs w:val="22"/>
        </w:rPr>
        <w:t xml:space="preserve">. As a result, </w:t>
      </w:r>
      <w:r w:rsidR="00543157" w:rsidRPr="00441A9C">
        <w:rPr>
          <w:rFonts w:ascii="Garamond" w:hAnsi="Garamond" w:cs="Sylfaen"/>
          <w:sz w:val="22"/>
          <w:szCs w:val="22"/>
        </w:rPr>
        <w:t xml:space="preserve">the </w:t>
      </w:r>
      <w:r w:rsidRPr="00441A9C">
        <w:rPr>
          <w:rFonts w:ascii="Garamond" w:hAnsi="Garamond" w:cs="Sylfaen"/>
          <w:sz w:val="22"/>
          <w:szCs w:val="22"/>
        </w:rPr>
        <w:t xml:space="preserve">GDP deficit is anticipated </w:t>
      </w:r>
      <w:r w:rsidR="00543157" w:rsidRPr="00441A9C">
        <w:rPr>
          <w:rFonts w:ascii="Garamond" w:hAnsi="Garamond" w:cs="Sylfaen"/>
          <w:sz w:val="22"/>
          <w:szCs w:val="22"/>
        </w:rPr>
        <w:t>to phase out at</w:t>
      </w:r>
      <w:r w:rsidRPr="00441A9C">
        <w:rPr>
          <w:rFonts w:ascii="Garamond" w:hAnsi="Garamond" w:cs="Sylfaen"/>
          <w:sz w:val="22"/>
          <w:szCs w:val="22"/>
        </w:rPr>
        <w:t xml:space="preserve"> the beginning of 2018, and the inflation will </w:t>
      </w:r>
      <w:r w:rsidR="00543157" w:rsidRPr="00441A9C">
        <w:rPr>
          <w:rFonts w:ascii="Garamond" w:hAnsi="Garamond" w:cs="Sylfaen"/>
          <w:sz w:val="22"/>
          <w:szCs w:val="22"/>
        </w:rPr>
        <w:t xml:space="preserve">run within the confidence band by </w:t>
      </w:r>
      <w:r w:rsidRPr="00441A9C">
        <w:rPr>
          <w:rFonts w:ascii="Garamond" w:hAnsi="Garamond" w:cs="Sylfaen"/>
          <w:sz w:val="22"/>
          <w:szCs w:val="22"/>
        </w:rPr>
        <w:t>the end of 2017</w:t>
      </w:r>
      <w:r w:rsidR="00543157" w:rsidRPr="00441A9C">
        <w:rPr>
          <w:rFonts w:ascii="Garamond" w:hAnsi="Garamond" w:cs="Sylfaen"/>
          <w:sz w:val="22"/>
          <w:szCs w:val="22"/>
        </w:rPr>
        <w:t>.</w:t>
      </w:r>
      <w:r w:rsidRPr="00441A9C">
        <w:rPr>
          <w:rFonts w:ascii="Garamond" w:hAnsi="Garamond" w:cs="Sylfaen"/>
          <w:sz w:val="22"/>
          <w:szCs w:val="22"/>
        </w:rPr>
        <w:t xml:space="preserve"> </w:t>
      </w:r>
      <w:r w:rsidR="00543157" w:rsidRPr="00441A9C">
        <w:rPr>
          <w:rFonts w:ascii="Garamond" w:hAnsi="Garamond" w:cs="Sylfaen"/>
          <w:sz w:val="22"/>
          <w:szCs w:val="22"/>
        </w:rPr>
        <w:t xml:space="preserve">In the meanwhile, </w:t>
      </w:r>
      <w:r w:rsidR="0067110C" w:rsidRPr="00441A9C">
        <w:rPr>
          <w:rFonts w:ascii="Garamond" w:hAnsi="Garamond" w:cs="Sylfaen"/>
          <w:sz w:val="22"/>
          <w:szCs w:val="22"/>
        </w:rPr>
        <w:t xml:space="preserve">where developments in the macroeconomic environment unfold according to prediction, the </w:t>
      </w:r>
      <w:r w:rsidR="00543157" w:rsidRPr="00441A9C">
        <w:rPr>
          <w:rFonts w:ascii="Garamond" w:hAnsi="Garamond" w:cs="Sylfaen"/>
          <w:sz w:val="22"/>
          <w:szCs w:val="22"/>
        </w:rPr>
        <w:t>monetary conditions may remain expansionary</w:t>
      </w:r>
      <w:r w:rsidR="0067110C" w:rsidRPr="00441A9C">
        <w:rPr>
          <w:rFonts w:ascii="Garamond" w:hAnsi="Garamond" w:cs="Sylfaen"/>
          <w:sz w:val="22"/>
          <w:szCs w:val="22"/>
        </w:rPr>
        <w:t xml:space="preserve">, in which case the </w:t>
      </w:r>
      <w:r w:rsidRPr="00441A9C">
        <w:rPr>
          <w:rFonts w:ascii="Garamond" w:hAnsi="Garamond" w:cs="Sylfaen"/>
          <w:sz w:val="22"/>
          <w:szCs w:val="22"/>
        </w:rPr>
        <w:t xml:space="preserve">GDP deficit will </w:t>
      </w:r>
      <w:r w:rsidR="0067110C" w:rsidRPr="00441A9C">
        <w:rPr>
          <w:rFonts w:ascii="Garamond" w:hAnsi="Garamond" w:cs="Sylfaen"/>
          <w:sz w:val="22"/>
          <w:szCs w:val="22"/>
        </w:rPr>
        <w:t xml:space="preserve">run slightly positive in </w:t>
      </w:r>
      <w:r w:rsidRPr="00441A9C">
        <w:rPr>
          <w:rFonts w:ascii="Garamond" w:hAnsi="Garamond" w:cs="Sylfaen"/>
          <w:sz w:val="22"/>
          <w:szCs w:val="22"/>
        </w:rPr>
        <w:t>me</w:t>
      </w:r>
      <w:r w:rsidR="0067110C" w:rsidRPr="00441A9C">
        <w:rPr>
          <w:rFonts w:ascii="Garamond" w:hAnsi="Garamond" w:cs="Sylfaen"/>
          <w:sz w:val="22"/>
          <w:szCs w:val="22"/>
        </w:rPr>
        <w:t>dium</w:t>
      </w:r>
      <w:r w:rsidRPr="00441A9C">
        <w:rPr>
          <w:rFonts w:ascii="Garamond" w:hAnsi="Garamond" w:cs="Sylfaen"/>
          <w:sz w:val="22"/>
          <w:szCs w:val="22"/>
        </w:rPr>
        <w:t xml:space="preserve">-term, </w:t>
      </w:r>
      <w:r w:rsidR="0067110C" w:rsidRPr="00441A9C">
        <w:rPr>
          <w:rFonts w:ascii="Garamond" w:hAnsi="Garamond" w:cs="Sylfaen"/>
          <w:sz w:val="22"/>
          <w:szCs w:val="22"/>
        </w:rPr>
        <w:t>helping the inflation stabilize around the target</w:t>
      </w:r>
      <w:r w:rsidRPr="00441A9C">
        <w:rPr>
          <w:rFonts w:ascii="Garamond" w:hAnsi="Garamond" w:cs="Sylfaen"/>
          <w:sz w:val="22"/>
          <w:szCs w:val="22"/>
        </w:rPr>
        <w:t>.</w:t>
      </w:r>
    </w:p>
    <w:p w14:paraId="466559FA" w14:textId="77777777" w:rsidR="005C570F" w:rsidRPr="00441A9C" w:rsidRDefault="005C570F" w:rsidP="00CE2FF3">
      <w:pPr>
        <w:tabs>
          <w:tab w:val="left" w:pos="5850"/>
        </w:tabs>
        <w:spacing w:line="360" w:lineRule="auto"/>
        <w:jc w:val="both"/>
        <w:rPr>
          <w:rFonts w:ascii="Garamond" w:hAnsi="Garamond" w:cs="Sylfaen"/>
          <w:sz w:val="22"/>
          <w:szCs w:val="22"/>
        </w:rPr>
      </w:pPr>
    </w:p>
    <w:p w14:paraId="393997CC" w14:textId="77777777" w:rsidR="005C570F" w:rsidRPr="00441A9C" w:rsidRDefault="005C570F" w:rsidP="005C570F">
      <w:pPr>
        <w:spacing w:line="360" w:lineRule="auto"/>
        <w:jc w:val="both"/>
        <w:rPr>
          <w:rFonts w:ascii="Garamond" w:hAnsi="Garamond" w:cs="Sylfaen"/>
          <w:sz w:val="22"/>
          <w:szCs w:val="22"/>
        </w:rPr>
      </w:pPr>
      <w:r w:rsidRPr="00441A9C">
        <w:rPr>
          <w:rFonts w:ascii="Garamond" w:hAnsi="Garamond" w:cs="Sylfaen"/>
          <w:sz w:val="22"/>
          <w:szCs w:val="22"/>
        </w:rPr>
        <w:t xml:space="preserve">Economic growth in medium-term will strive for its long-term potential, in the range of 4-5%. At the same time, the tradable sector of the economy will remain the key driver to economic growth, which will be fueled by persistent productivity growth rates and Armenia’s competitiveness </w:t>
      </w:r>
      <w:r w:rsidRPr="00441A9C">
        <w:rPr>
          <w:rFonts w:ascii="Garamond" w:hAnsi="Garamond"/>
          <w:bCs/>
          <w:iCs/>
          <w:sz w:val="22"/>
          <w:szCs w:val="22"/>
        </w:rPr>
        <w:t>in an</w:t>
      </w:r>
      <w:r w:rsidRPr="00441A9C">
        <w:rPr>
          <w:rFonts w:ascii="Garamond" w:hAnsi="Garamond"/>
          <w:sz w:val="22"/>
          <w:szCs w:val="22"/>
        </w:rPr>
        <w:t xml:space="preserve"> inflation environment much lower than in trade partner countries</w:t>
      </w:r>
      <w:r w:rsidRPr="00441A9C">
        <w:rPr>
          <w:rFonts w:ascii="Garamond" w:hAnsi="Garamond" w:cs="Sylfaen"/>
          <w:sz w:val="22"/>
          <w:szCs w:val="22"/>
        </w:rPr>
        <w:t>.</w:t>
      </w:r>
    </w:p>
    <w:p w14:paraId="71814DFD" w14:textId="77777777" w:rsidR="005C570F" w:rsidRPr="00441A9C" w:rsidRDefault="005C570F" w:rsidP="005C570F">
      <w:pPr>
        <w:spacing w:line="360" w:lineRule="auto"/>
        <w:jc w:val="both"/>
        <w:rPr>
          <w:rFonts w:ascii="Garamond" w:hAnsi="Garamond" w:cs="Sylfaen"/>
          <w:sz w:val="22"/>
          <w:szCs w:val="22"/>
        </w:rPr>
      </w:pPr>
    </w:p>
    <w:p w14:paraId="0899DDCC" w14:textId="77777777" w:rsidR="005C570F" w:rsidRPr="00441A9C" w:rsidRDefault="005C570F" w:rsidP="005C570F">
      <w:pPr>
        <w:tabs>
          <w:tab w:val="left" w:pos="5850"/>
        </w:tabs>
        <w:spacing w:line="360" w:lineRule="auto"/>
        <w:jc w:val="both"/>
        <w:rPr>
          <w:rFonts w:ascii="Garamond" w:hAnsi="Garamond" w:cs="Sylfaen"/>
          <w:sz w:val="22"/>
          <w:szCs w:val="22"/>
        </w:rPr>
      </w:pPr>
      <w:r w:rsidRPr="00441A9C">
        <w:rPr>
          <w:rFonts w:ascii="Garamond" w:hAnsi="Garamond" w:cs="Sylfaen"/>
          <w:b/>
          <w:sz w:val="22"/>
          <w:szCs w:val="22"/>
        </w:rPr>
        <w:t>In the forecast horizon</w:t>
      </w:r>
      <w:r w:rsidRPr="00441A9C">
        <w:rPr>
          <w:rFonts w:ascii="Garamond" w:hAnsi="Garamond" w:cs="Sylfaen"/>
          <w:sz w:val="22"/>
          <w:szCs w:val="22"/>
        </w:rPr>
        <w:t xml:space="preserve"> risks to the implementation of monetary policy program are balanced and mostly depend on how fast the global and domestic demand will recover. In the short-term, inflation risks may also show up as a result of volatile prices of domestic agricultural products and raw materials in international markets, as well as because of geopolitical developments and economic </w:t>
      </w:r>
      <w:r w:rsidR="009341C7" w:rsidRPr="00441A9C">
        <w:rPr>
          <w:rFonts w:ascii="Garamond" w:hAnsi="Garamond" w:cs="Sylfaen"/>
          <w:sz w:val="22"/>
          <w:szCs w:val="22"/>
        </w:rPr>
        <w:t>expectations</w:t>
      </w:r>
      <w:r w:rsidRPr="00441A9C">
        <w:rPr>
          <w:rFonts w:ascii="Garamond" w:hAnsi="Garamond" w:cs="Sylfaen"/>
          <w:sz w:val="22"/>
          <w:szCs w:val="22"/>
        </w:rPr>
        <w:t xml:space="preserve"> there</w:t>
      </w:r>
      <w:r w:rsidR="009341C7" w:rsidRPr="00441A9C">
        <w:rPr>
          <w:rFonts w:ascii="Garamond" w:hAnsi="Garamond" w:cs="Sylfaen"/>
          <w:sz w:val="22"/>
          <w:szCs w:val="22"/>
        </w:rPr>
        <w:t>from</w:t>
      </w:r>
      <w:r w:rsidRPr="00441A9C">
        <w:rPr>
          <w:rFonts w:ascii="Garamond" w:hAnsi="Garamond" w:cs="Sylfaen"/>
          <w:sz w:val="22"/>
          <w:szCs w:val="22"/>
        </w:rPr>
        <w:t xml:space="preserve">. </w:t>
      </w:r>
      <w:r w:rsidRPr="00441A9C">
        <w:rPr>
          <w:rFonts w:ascii="Garamond" w:hAnsi="Garamond"/>
          <w:sz w:val="22"/>
          <w:szCs w:val="22"/>
        </w:rPr>
        <w:t>If these risks materialize, the Central Bank will react accordingly by maintaining the inflation target in the medium run.</w:t>
      </w:r>
    </w:p>
    <w:p w14:paraId="11DE8A64" w14:textId="77777777" w:rsidR="006427EB" w:rsidRPr="00441A9C" w:rsidRDefault="006427EB" w:rsidP="00CE2FF3">
      <w:pPr>
        <w:tabs>
          <w:tab w:val="left" w:pos="5850"/>
        </w:tabs>
        <w:spacing w:line="360" w:lineRule="auto"/>
        <w:jc w:val="both"/>
        <w:rPr>
          <w:rFonts w:ascii="Garamond" w:hAnsi="Garamond" w:cs="Sylfaen"/>
          <w:sz w:val="22"/>
          <w:szCs w:val="22"/>
        </w:rPr>
      </w:pPr>
    </w:p>
    <w:p w14:paraId="216FE969" w14:textId="77777777" w:rsidR="00721072" w:rsidRPr="00441A9C" w:rsidRDefault="00721072" w:rsidP="00721072">
      <w:pPr>
        <w:spacing w:line="360" w:lineRule="auto"/>
        <w:jc w:val="both"/>
        <w:rPr>
          <w:rFonts w:ascii="Garamond" w:hAnsi="Garamond"/>
          <w:b/>
          <w:sz w:val="22"/>
          <w:szCs w:val="22"/>
        </w:rPr>
      </w:pPr>
      <w:r w:rsidRPr="00441A9C">
        <w:rPr>
          <w:rFonts w:ascii="Garamond" w:hAnsi="Garamond"/>
          <w:b/>
          <w:sz w:val="22"/>
          <w:szCs w:val="22"/>
        </w:rPr>
        <w:t>3. Actual developments in Q</w:t>
      </w:r>
      <w:r w:rsidR="0072013D" w:rsidRPr="00441A9C">
        <w:rPr>
          <w:rFonts w:ascii="Garamond" w:hAnsi="Garamond"/>
          <w:b/>
          <w:sz w:val="22"/>
          <w:szCs w:val="22"/>
        </w:rPr>
        <w:t>2</w:t>
      </w:r>
      <w:r w:rsidRPr="00441A9C">
        <w:rPr>
          <w:rFonts w:ascii="Garamond" w:hAnsi="Garamond"/>
          <w:b/>
          <w:sz w:val="22"/>
          <w:szCs w:val="22"/>
        </w:rPr>
        <w:t>, 201</w:t>
      </w:r>
      <w:r w:rsidR="00C33FED" w:rsidRPr="00441A9C">
        <w:rPr>
          <w:rFonts w:ascii="Garamond" w:hAnsi="Garamond"/>
          <w:b/>
          <w:sz w:val="22"/>
          <w:szCs w:val="22"/>
        </w:rPr>
        <w:t>7</w:t>
      </w:r>
    </w:p>
    <w:p w14:paraId="5D5A14C5" w14:textId="77777777" w:rsidR="00721072" w:rsidRPr="00441A9C" w:rsidRDefault="00721072" w:rsidP="00721072">
      <w:pPr>
        <w:spacing w:line="360" w:lineRule="auto"/>
        <w:jc w:val="both"/>
        <w:rPr>
          <w:rFonts w:ascii="Garamond" w:hAnsi="Garamond"/>
          <w:b/>
          <w:sz w:val="22"/>
          <w:szCs w:val="22"/>
        </w:rPr>
      </w:pPr>
      <w:r w:rsidRPr="00441A9C">
        <w:rPr>
          <w:rFonts w:ascii="Garamond" w:hAnsi="Garamond"/>
          <w:b/>
          <w:sz w:val="22"/>
          <w:szCs w:val="22"/>
        </w:rPr>
        <w:t>3.1. Inflation</w:t>
      </w:r>
    </w:p>
    <w:p w14:paraId="63DBA92C" w14:textId="77777777" w:rsidR="00B57C33" w:rsidRPr="00441A9C" w:rsidRDefault="00B57C33" w:rsidP="00721072">
      <w:pPr>
        <w:spacing w:line="360" w:lineRule="auto"/>
        <w:jc w:val="both"/>
        <w:rPr>
          <w:rFonts w:ascii="Garamond" w:hAnsi="Garamond"/>
          <w:b/>
          <w:sz w:val="22"/>
          <w:szCs w:val="22"/>
        </w:rPr>
      </w:pPr>
      <w:r w:rsidRPr="00441A9C">
        <w:rPr>
          <w:rFonts w:ascii="Garamond" w:hAnsi="Garamond"/>
          <w:b/>
          <w:sz w:val="22"/>
          <w:szCs w:val="22"/>
        </w:rPr>
        <w:t xml:space="preserve">3.1.1. Actual inflation and fulfilment of the inflation target </w:t>
      </w:r>
    </w:p>
    <w:p w14:paraId="7CF5F47E" w14:textId="77777777" w:rsidR="00B57C33" w:rsidRPr="00441A9C" w:rsidRDefault="00B57C33" w:rsidP="00721072">
      <w:pPr>
        <w:spacing w:line="360" w:lineRule="auto"/>
        <w:jc w:val="both"/>
        <w:rPr>
          <w:rFonts w:ascii="Garamond" w:hAnsi="Garamond"/>
          <w:b/>
          <w:sz w:val="22"/>
          <w:szCs w:val="22"/>
        </w:rPr>
      </w:pPr>
    </w:p>
    <w:p w14:paraId="02B17B1D" w14:textId="77777777" w:rsidR="00EA1B85" w:rsidRPr="00441A9C" w:rsidRDefault="00512D47" w:rsidP="00FF3CD9">
      <w:pPr>
        <w:spacing w:line="360" w:lineRule="auto"/>
        <w:jc w:val="both"/>
        <w:rPr>
          <w:rFonts w:ascii="Garamond" w:hAnsi="Garamond" w:cs="Sylfaen"/>
          <w:bCs/>
          <w:iCs/>
          <w:color w:val="000000"/>
          <w:sz w:val="22"/>
          <w:szCs w:val="22"/>
        </w:rPr>
      </w:pPr>
      <w:r w:rsidRPr="00441A9C">
        <w:rPr>
          <w:rFonts w:ascii="Garamond" w:hAnsi="Garamond" w:cs="GHEA Grapalat"/>
          <w:sz w:val="22"/>
          <w:szCs w:val="22"/>
        </w:rPr>
        <w:t xml:space="preserve">There was </w:t>
      </w:r>
      <w:r w:rsidR="0072013D" w:rsidRPr="00441A9C">
        <w:rPr>
          <w:rFonts w:ascii="Garamond" w:hAnsi="Garamond" w:cs="GHEA Grapalat"/>
          <w:sz w:val="22"/>
          <w:szCs w:val="22"/>
        </w:rPr>
        <w:t>-</w:t>
      </w:r>
      <w:r w:rsidR="0072013D" w:rsidRPr="00441A9C">
        <w:rPr>
          <w:rFonts w:ascii="Garamond" w:hAnsi="Garamond" w:cs="GHEA Grapalat"/>
          <w:b/>
          <w:sz w:val="22"/>
          <w:szCs w:val="22"/>
        </w:rPr>
        <w:t>0</w:t>
      </w:r>
      <w:r w:rsidRPr="00441A9C">
        <w:rPr>
          <w:rFonts w:ascii="Garamond" w:hAnsi="Garamond" w:cs="GHEA Grapalat"/>
          <w:b/>
          <w:sz w:val="22"/>
          <w:szCs w:val="22"/>
        </w:rPr>
        <w:t>.</w:t>
      </w:r>
      <w:r w:rsidR="0072013D" w:rsidRPr="00441A9C">
        <w:rPr>
          <w:rFonts w:ascii="Garamond" w:hAnsi="Garamond" w:cs="GHEA Grapalat"/>
          <w:b/>
          <w:sz w:val="22"/>
          <w:szCs w:val="22"/>
        </w:rPr>
        <w:t>2</w:t>
      </w:r>
      <w:r w:rsidRPr="00441A9C">
        <w:rPr>
          <w:rFonts w:ascii="Garamond" w:hAnsi="Garamond" w:cs="GHEA Grapalat"/>
          <w:b/>
          <w:sz w:val="22"/>
          <w:szCs w:val="22"/>
        </w:rPr>
        <w:t>%</w:t>
      </w:r>
      <w:r w:rsidR="005E0A5E" w:rsidRPr="00441A9C">
        <w:rPr>
          <w:rFonts w:ascii="Garamond" w:hAnsi="Garamond" w:cs="GHEA Grapalat"/>
          <w:sz w:val="22"/>
          <w:szCs w:val="22"/>
        </w:rPr>
        <w:t xml:space="preserve"> in</w:t>
      </w:r>
      <w:r w:rsidRPr="00441A9C">
        <w:rPr>
          <w:rFonts w:ascii="Garamond" w:hAnsi="Garamond" w:cs="GHEA Grapalat"/>
          <w:sz w:val="22"/>
          <w:szCs w:val="22"/>
        </w:rPr>
        <w:t xml:space="preserve">flation in the </w:t>
      </w:r>
      <w:r w:rsidR="0072013D" w:rsidRPr="00441A9C">
        <w:rPr>
          <w:rFonts w:ascii="Garamond" w:hAnsi="Garamond" w:cs="GHEA Grapalat"/>
          <w:sz w:val="22"/>
          <w:szCs w:val="22"/>
        </w:rPr>
        <w:t>second</w:t>
      </w:r>
      <w:r w:rsidR="00FC632E" w:rsidRPr="00441A9C">
        <w:rPr>
          <w:rFonts w:ascii="Garamond" w:hAnsi="Garamond" w:cs="GHEA Grapalat"/>
          <w:sz w:val="22"/>
          <w:szCs w:val="22"/>
        </w:rPr>
        <w:t xml:space="preserve"> </w:t>
      </w:r>
      <w:r w:rsidRPr="00441A9C">
        <w:rPr>
          <w:rFonts w:ascii="Garamond" w:hAnsi="Garamond" w:cs="GHEA Grapalat"/>
          <w:sz w:val="22"/>
          <w:szCs w:val="22"/>
        </w:rPr>
        <w:t>quarter of 201</w:t>
      </w:r>
      <w:r w:rsidR="00FC632E" w:rsidRPr="00441A9C">
        <w:rPr>
          <w:rFonts w:ascii="Garamond" w:hAnsi="Garamond" w:cs="GHEA Grapalat"/>
          <w:sz w:val="22"/>
          <w:szCs w:val="22"/>
        </w:rPr>
        <w:t xml:space="preserve">7 </w:t>
      </w:r>
      <w:r w:rsidR="0072013D" w:rsidRPr="00441A9C">
        <w:rPr>
          <w:rFonts w:ascii="Garamond" w:hAnsi="Garamond" w:cs="GHEA Grapalat"/>
          <w:sz w:val="22"/>
          <w:szCs w:val="22"/>
        </w:rPr>
        <w:t>(</w:t>
      </w:r>
      <w:r w:rsidR="00FC632E" w:rsidRPr="00441A9C">
        <w:rPr>
          <w:rFonts w:ascii="Garamond" w:hAnsi="Garamond" w:cs="GHEA Grapalat"/>
          <w:sz w:val="22"/>
          <w:szCs w:val="22"/>
        </w:rPr>
        <w:t xml:space="preserve">instead of projected </w:t>
      </w:r>
      <w:r w:rsidR="0072013D" w:rsidRPr="00441A9C">
        <w:rPr>
          <w:rFonts w:ascii="Garamond" w:hAnsi="Garamond" w:cs="GHEA Grapalat"/>
          <w:sz w:val="22"/>
          <w:szCs w:val="22"/>
        </w:rPr>
        <w:t>-0</w:t>
      </w:r>
      <w:r w:rsidR="00FC632E" w:rsidRPr="00441A9C">
        <w:rPr>
          <w:rFonts w:ascii="Garamond" w:hAnsi="Garamond" w:cs="GHEA Grapalat"/>
          <w:sz w:val="22"/>
          <w:szCs w:val="22"/>
        </w:rPr>
        <w:t>.</w:t>
      </w:r>
      <w:r w:rsidR="0072013D" w:rsidRPr="00441A9C">
        <w:rPr>
          <w:rFonts w:ascii="Garamond" w:hAnsi="Garamond" w:cs="GHEA Grapalat"/>
          <w:sz w:val="22"/>
          <w:szCs w:val="22"/>
        </w:rPr>
        <w:t>5</w:t>
      </w:r>
      <w:r w:rsidR="00FC632E" w:rsidRPr="00441A9C">
        <w:rPr>
          <w:rFonts w:ascii="Garamond" w:hAnsi="Garamond" w:cs="GHEA Grapalat"/>
          <w:sz w:val="22"/>
          <w:szCs w:val="22"/>
        </w:rPr>
        <w:t>%</w:t>
      </w:r>
      <w:r w:rsidR="0072013D" w:rsidRPr="00441A9C">
        <w:rPr>
          <w:rFonts w:ascii="Garamond" w:hAnsi="Garamond" w:cs="GHEA Grapalat"/>
          <w:sz w:val="22"/>
          <w:szCs w:val="22"/>
        </w:rPr>
        <w:t>); this</w:t>
      </w:r>
      <w:r w:rsidR="005E0A5E" w:rsidRPr="00441A9C">
        <w:rPr>
          <w:rFonts w:ascii="Garamond" w:hAnsi="Garamond" w:cs="GHEA Grapalat"/>
          <w:sz w:val="22"/>
          <w:szCs w:val="22"/>
        </w:rPr>
        <w:t xml:space="preserve"> was</w:t>
      </w:r>
      <w:r w:rsidR="002E14BA" w:rsidRPr="00441A9C">
        <w:rPr>
          <w:rFonts w:ascii="Garamond" w:hAnsi="Garamond" w:cs="GHEA Grapalat"/>
          <w:sz w:val="22"/>
          <w:szCs w:val="22"/>
        </w:rPr>
        <w:t xml:space="preserve"> </w:t>
      </w:r>
      <w:r w:rsidR="0072013D" w:rsidRPr="00441A9C">
        <w:rPr>
          <w:rFonts w:ascii="Garamond" w:hAnsi="Garamond" w:cs="GHEA Grapalat"/>
          <w:sz w:val="22"/>
          <w:szCs w:val="22"/>
        </w:rPr>
        <w:t xml:space="preserve">driven </w:t>
      </w:r>
      <w:r w:rsidR="005E0A5E" w:rsidRPr="00441A9C">
        <w:rPr>
          <w:rFonts w:ascii="Garamond" w:hAnsi="Garamond" w:cs="GHEA Grapalat"/>
          <w:sz w:val="22"/>
          <w:szCs w:val="22"/>
        </w:rPr>
        <w:t xml:space="preserve">primarily </w:t>
      </w:r>
      <w:r w:rsidRPr="00441A9C">
        <w:rPr>
          <w:rFonts w:ascii="Garamond" w:hAnsi="Garamond" w:cs="GHEA Grapalat"/>
          <w:sz w:val="22"/>
          <w:szCs w:val="22"/>
        </w:rPr>
        <w:t xml:space="preserve">by </w:t>
      </w:r>
      <w:r w:rsidR="005E0A5E" w:rsidRPr="00441A9C">
        <w:rPr>
          <w:rFonts w:ascii="Garamond" w:hAnsi="Garamond" w:cs="GHEA Grapalat"/>
          <w:sz w:val="22"/>
          <w:szCs w:val="22"/>
        </w:rPr>
        <w:t xml:space="preserve">a </w:t>
      </w:r>
      <w:r w:rsidR="002E14BA" w:rsidRPr="00441A9C">
        <w:rPr>
          <w:rFonts w:ascii="Garamond" w:hAnsi="Garamond" w:cs="GHEA Grapalat"/>
          <w:sz w:val="22"/>
          <w:szCs w:val="22"/>
        </w:rPr>
        <w:t xml:space="preserve">seasonal </w:t>
      </w:r>
      <w:r w:rsidR="0072013D" w:rsidRPr="00441A9C">
        <w:rPr>
          <w:rFonts w:ascii="Garamond" w:hAnsi="Garamond" w:cs="GHEA Grapalat"/>
          <w:sz w:val="22"/>
          <w:szCs w:val="22"/>
        </w:rPr>
        <w:t xml:space="preserve">decrease </w:t>
      </w:r>
      <w:r w:rsidR="002E14BA" w:rsidRPr="00441A9C">
        <w:rPr>
          <w:rFonts w:ascii="Garamond" w:hAnsi="Garamond" w:cs="GHEA Grapalat"/>
          <w:sz w:val="22"/>
          <w:szCs w:val="22"/>
        </w:rPr>
        <w:t xml:space="preserve">in food prices, with </w:t>
      </w:r>
      <w:r w:rsidR="001805F5" w:rsidRPr="00441A9C">
        <w:rPr>
          <w:rFonts w:ascii="Garamond" w:hAnsi="Garamond" w:cs="GHEA Grapalat"/>
          <w:sz w:val="22"/>
          <w:szCs w:val="22"/>
        </w:rPr>
        <w:t xml:space="preserve">prices </w:t>
      </w:r>
      <w:r w:rsidR="00FC632E" w:rsidRPr="00441A9C">
        <w:rPr>
          <w:rFonts w:ascii="Garamond" w:hAnsi="Garamond" w:cs="GHEA Grapalat"/>
          <w:sz w:val="22"/>
          <w:szCs w:val="22"/>
        </w:rPr>
        <w:t>of</w:t>
      </w:r>
      <w:r w:rsidR="001805F5" w:rsidRPr="00441A9C">
        <w:rPr>
          <w:rFonts w:ascii="Garamond" w:hAnsi="Garamond" w:cs="GHEA Grapalat"/>
          <w:sz w:val="22"/>
          <w:szCs w:val="22"/>
        </w:rPr>
        <w:t xml:space="preserve"> items “</w:t>
      </w:r>
      <w:r w:rsidR="0072013D" w:rsidRPr="00441A9C">
        <w:rPr>
          <w:rFonts w:ascii="Garamond" w:hAnsi="Garamond" w:cs="GHEA Grapalat"/>
          <w:sz w:val="22"/>
          <w:szCs w:val="22"/>
        </w:rPr>
        <w:t>egg</w:t>
      </w:r>
      <w:r w:rsidR="001805F5" w:rsidRPr="00441A9C">
        <w:rPr>
          <w:rFonts w:ascii="Garamond" w:hAnsi="Garamond" w:cs="GHEA Grapalat"/>
          <w:sz w:val="22"/>
          <w:szCs w:val="22"/>
        </w:rPr>
        <w:t>”</w:t>
      </w:r>
      <w:r w:rsidRPr="00441A9C">
        <w:rPr>
          <w:rFonts w:ascii="Garamond" w:hAnsi="Garamond" w:cs="GHEA Grapalat"/>
          <w:sz w:val="22"/>
          <w:szCs w:val="22"/>
        </w:rPr>
        <w:t xml:space="preserve"> and </w:t>
      </w:r>
      <w:r w:rsidR="001805F5" w:rsidRPr="00441A9C">
        <w:rPr>
          <w:rFonts w:ascii="Garamond" w:hAnsi="Garamond" w:cs="GHEA Grapalat"/>
          <w:sz w:val="22"/>
          <w:szCs w:val="22"/>
        </w:rPr>
        <w:t>“</w:t>
      </w:r>
      <w:r w:rsidRPr="00441A9C">
        <w:rPr>
          <w:rFonts w:ascii="Garamond" w:hAnsi="Garamond" w:cs="GHEA Grapalat"/>
          <w:sz w:val="22"/>
          <w:szCs w:val="22"/>
        </w:rPr>
        <w:t xml:space="preserve">vegetable </w:t>
      </w:r>
      <w:r w:rsidR="005E0A5E" w:rsidRPr="00441A9C">
        <w:rPr>
          <w:rFonts w:ascii="Garamond" w:hAnsi="Garamond" w:cs="GHEA Grapalat"/>
          <w:sz w:val="22"/>
          <w:szCs w:val="22"/>
        </w:rPr>
        <w:t>and potato</w:t>
      </w:r>
      <w:r w:rsidR="001805F5" w:rsidRPr="00441A9C">
        <w:rPr>
          <w:rFonts w:ascii="Garamond" w:hAnsi="Garamond" w:cs="GHEA Grapalat"/>
          <w:sz w:val="22"/>
          <w:szCs w:val="22"/>
        </w:rPr>
        <w:t>”</w:t>
      </w:r>
      <w:r w:rsidR="005E0A5E" w:rsidRPr="00441A9C">
        <w:rPr>
          <w:rFonts w:ascii="Garamond" w:hAnsi="Garamond" w:cs="GHEA Grapalat"/>
          <w:sz w:val="22"/>
          <w:szCs w:val="22"/>
        </w:rPr>
        <w:t xml:space="preserve"> </w:t>
      </w:r>
      <w:r w:rsidRPr="00441A9C">
        <w:rPr>
          <w:rFonts w:ascii="Garamond" w:hAnsi="Garamond" w:cs="Sylfaen"/>
          <w:bCs/>
          <w:iCs/>
          <w:color w:val="000000"/>
          <w:sz w:val="22"/>
          <w:szCs w:val="22"/>
        </w:rPr>
        <w:t>ha</w:t>
      </w:r>
      <w:r w:rsidR="002E14BA" w:rsidRPr="00441A9C">
        <w:rPr>
          <w:rFonts w:ascii="Garamond" w:hAnsi="Garamond" w:cs="Sylfaen"/>
          <w:bCs/>
          <w:iCs/>
          <w:color w:val="000000"/>
          <w:sz w:val="22"/>
          <w:szCs w:val="22"/>
        </w:rPr>
        <w:t xml:space="preserve">ving </w:t>
      </w:r>
      <w:r w:rsidR="0072013D" w:rsidRPr="00441A9C">
        <w:rPr>
          <w:rFonts w:ascii="Garamond" w:hAnsi="Garamond" w:cs="Sylfaen"/>
          <w:bCs/>
          <w:iCs/>
          <w:color w:val="000000"/>
          <w:sz w:val="22"/>
          <w:szCs w:val="22"/>
        </w:rPr>
        <w:t xml:space="preserve">fallen </w:t>
      </w:r>
      <w:r w:rsidRPr="00441A9C">
        <w:rPr>
          <w:rFonts w:ascii="Garamond" w:hAnsi="Garamond" w:cs="Sylfaen"/>
          <w:bCs/>
          <w:iCs/>
          <w:color w:val="000000"/>
          <w:sz w:val="22"/>
          <w:szCs w:val="22"/>
        </w:rPr>
        <w:t xml:space="preserve">by </w:t>
      </w:r>
      <w:r w:rsidR="0072013D" w:rsidRPr="00441A9C">
        <w:rPr>
          <w:rFonts w:ascii="Garamond" w:hAnsi="Garamond" w:cs="Sylfaen"/>
          <w:bCs/>
          <w:iCs/>
          <w:color w:val="000000"/>
          <w:sz w:val="22"/>
          <w:szCs w:val="22"/>
        </w:rPr>
        <w:t>-4.4</w:t>
      </w:r>
      <w:r w:rsidRPr="00441A9C">
        <w:rPr>
          <w:rFonts w:ascii="Garamond" w:hAnsi="Garamond" w:cs="Sylfaen"/>
          <w:bCs/>
          <w:iCs/>
          <w:color w:val="000000"/>
          <w:sz w:val="22"/>
          <w:szCs w:val="22"/>
        </w:rPr>
        <w:t xml:space="preserve">% and </w:t>
      </w:r>
      <w:r w:rsidR="0072013D" w:rsidRPr="00441A9C">
        <w:rPr>
          <w:rFonts w:ascii="Garamond" w:hAnsi="Garamond" w:cs="Sylfaen"/>
          <w:bCs/>
          <w:iCs/>
          <w:color w:val="000000"/>
          <w:sz w:val="22"/>
          <w:szCs w:val="22"/>
        </w:rPr>
        <w:t>-23</w:t>
      </w:r>
      <w:r w:rsidRPr="00441A9C">
        <w:rPr>
          <w:rFonts w:ascii="Garamond" w:hAnsi="Garamond" w:cs="Sylfaen"/>
          <w:bCs/>
          <w:iCs/>
          <w:color w:val="000000"/>
          <w:sz w:val="22"/>
          <w:szCs w:val="22"/>
        </w:rPr>
        <w:t>.</w:t>
      </w:r>
      <w:r w:rsidR="0072013D" w:rsidRPr="00441A9C">
        <w:rPr>
          <w:rFonts w:ascii="Garamond" w:hAnsi="Garamond" w:cs="Sylfaen"/>
          <w:bCs/>
          <w:iCs/>
          <w:color w:val="000000"/>
          <w:sz w:val="22"/>
          <w:szCs w:val="22"/>
        </w:rPr>
        <w:t>7</w:t>
      </w:r>
      <w:r w:rsidRPr="00441A9C">
        <w:rPr>
          <w:rFonts w:ascii="Garamond" w:hAnsi="Garamond" w:cs="Sylfaen"/>
          <w:bCs/>
          <w:iCs/>
          <w:color w:val="000000"/>
          <w:sz w:val="22"/>
          <w:szCs w:val="22"/>
        </w:rPr>
        <w:t>%, respectively</w:t>
      </w:r>
      <w:r w:rsidR="002E14BA" w:rsidRPr="00441A9C">
        <w:rPr>
          <w:rFonts w:ascii="Garamond" w:hAnsi="Garamond" w:cs="Sylfaen"/>
          <w:bCs/>
          <w:iCs/>
          <w:color w:val="000000"/>
          <w:sz w:val="22"/>
          <w:szCs w:val="22"/>
        </w:rPr>
        <w:t xml:space="preserve"> (</w:t>
      </w:r>
      <w:r w:rsidR="0072013D" w:rsidRPr="00441A9C">
        <w:rPr>
          <w:rFonts w:ascii="Garamond" w:hAnsi="Garamond" w:cs="Sylfaen"/>
          <w:bCs/>
          <w:iCs/>
          <w:color w:val="000000"/>
          <w:sz w:val="22"/>
          <w:szCs w:val="22"/>
        </w:rPr>
        <w:t xml:space="preserve">negative </w:t>
      </w:r>
      <w:r w:rsidR="002E14BA" w:rsidRPr="00441A9C">
        <w:rPr>
          <w:rFonts w:ascii="Garamond" w:hAnsi="Garamond" w:cs="Sylfaen"/>
          <w:bCs/>
          <w:iCs/>
          <w:color w:val="000000"/>
          <w:sz w:val="22"/>
          <w:szCs w:val="22"/>
        </w:rPr>
        <w:t xml:space="preserve">contribution to the quarter’s </w:t>
      </w:r>
      <w:r w:rsidR="001805F5" w:rsidRPr="00441A9C">
        <w:rPr>
          <w:rFonts w:ascii="Garamond" w:hAnsi="Garamond" w:cs="Sylfaen"/>
          <w:bCs/>
          <w:iCs/>
          <w:color w:val="000000"/>
          <w:sz w:val="22"/>
          <w:szCs w:val="22"/>
        </w:rPr>
        <w:t>in</w:t>
      </w:r>
      <w:r w:rsidR="002E14BA" w:rsidRPr="00441A9C">
        <w:rPr>
          <w:rFonts w:ascii="Garamond" w:hAnsi="Garamond" w:cs="Sylfaen"/>
          <w:bCs/>
          <w:iCs/>
          <w:color w:val="000000"/>
          <w:sz w:val="22"/>
          <w:szCs w:val="22"/>
        </w:rPr>
        <w:t xml:space="preserve">flation: </w:t>
      </w:r>
      <w:r w:rsidR="001B446D" w:rsidRPr="00441A9C">
        <w:rPr>
          <w:rFonts w:ascii="Garamond" w:hAnsi="Garamond" w:cs="Sylfaen"/>
          <w:bCs/>
          <w:iCs/>
          <w:color w:val="000000"/>
          <w:sz w:val="22"/>
          <w:szCs w:val="22"/>
        </w:rPr>
        <w:t xml:space="preserve">around </w:t>
      </w:r>
      <w:r w:rsidR="0072013D" w:rsidRPr="00441A9C">
        <w:rPr>
          <w:rFonts w:ascii="Garamond" w:hAnsi="Garamond" w:cs="Sylfaen"/>
          <w:bCs/>
          <w:iCs/>
          <w:color w:val="000000"/>
          <w:sz w:val="22"/>
          <w:szCs w:val="22"/>
        </w:rPr>
        <w:t>1.3</w:t>
      </w:r>
      <w:r w:rsidR="002E14BA" w:rsidRPr="00441A9C">
        <w:rPr>
          <w:rFonts w:ascii="Garamond" w:hAnsi="Garamond" w:cs="Sylfaen"/>
          <w:bCs/>
          <w:iCs/>
          <w:color w:val="000000"/>
          <w:sz w:val="22"/>
          <w:szCs w:val="22"/>
        </w:rPr>
        <w:t xml:space="preserve"> pp</w:t>
      </w:r>
      <w:r w:rsidR="001B446D" w:rsidRPr="00441A9C">
        <w:rPr>
          <w:rStyle w:val="FootnoteReference"/>
          <w:rFonts w:ascii="Garamond" w:hAnsi="Garamond" w:cs="Sylfaen"/>
          <w:bCs/>
          <w:iCs/>
          <w:color w:val="000000"/>
          <w:sz w:val="22"/>
          <w:szCs w:val="22"/>
        </w:rPr>
        <w:footnoteReference w:customMarkFollows="1" w:id="9"/>
        <w:t>10</w:t>
      </w:r>
      <w:r w:rsidR="002E14BA" w:rsidRPr="00441A9C">
        <w:rPr>
          <w:rFonts w:ascii="Garamond" w:hAnsi="Garamond" w:cs="Sylfaen"/>
          <w:bCs/>
          <w:iCs/>
          <w:color w:val="000000"/>
          <w:sz w:val="22"/>
          <w:szCs w:val="22"/>
        </w:rPr>
        <w:t>)</w:t>
      </w:r>
      <w:r w:rsidRPr="00441A9C">
        <w:rPr>
          <w:rFonts w:ascii="Garamond" w:hAnsi="Garamond" w:cs="Sylfaen"/>
          <w:bCs/>
          <w:iCs/>
          <w:color w:val="000000"/>
          <w:sz w:val="22"/>
          <w:szCs w:val="22"/>
        </w:rPr>
        <w:t>.</w:t>
      </w:r>
      <w:r w:rsidR="002E14BA" w:rsidRPr="00441A9C">
        <w:rPr>
          <w:rFonts w:ascii="Garamond" w:hAnsi="Garamond" w:cs="Sylfaen"/>
          <w:bCs/>
          <w:iCs/>
          <w:color w:val="000000"/>
          <w:sz w:val="22"/>
          <w:szCs w:val="22"/>
        </w:rPr>
        <w:t xml:space="preserve"> </w:t>
      </w:r>
      <w:r w:rsidR="00E22737" w:rsidRPr="00441A9C">
        <w:rPr>
          <w:rFonts w:ascii="Garamond" w:hAnsi="Garamond" w:cs="Sylfaen"/>
          <w:bCs/>
          <w:iCs/>
          <w:color w:val="000000"/>
          <w:sz w:val="22"/>
          <w:szCs w:val="22"/>
        </w:rPr>
        <w:t xml:space="preserve">In the </w:t>
      </w:r>
      <w:r w:rsidR="00D86927" w:rsidRPr="00441A9C">
        <w:rPr>
          <w:rFonts w:ascii="Garamond" w:hAnsi="Garamond" w:cs="Sylfaen"/>
          <w:bCs/>
          <w:iCs/>
          <w:color w:val="000000"/>
          <w:sz w:val="22"/>
          <w:szCs w:val="22"/>
        </w:rPr>
        <w:t>second</w:t>
      </w:r>
      <w:r w:rsidR="00E22737" w:rsidRPr="00441A9C">
        <w:rPr>
          <w:rFonts w:ascii="Garamond" w:hAnsi="Garamond" w:cs="Sylfaen"/>
          <w:bCs/>
          <w:iCs/>
          <w:color w:val="000000"/>
          <w:sz w:val="22"/>
          <w:szCs w:val="22"/>
        </w:rPr>
        <w:t xml:space="preserve"> quarter of 2017 t</w:t>
      </w:r>
      <w:r w:rsidR="00966537" w:rsidRPr="00441A9C">
        <w:rPr>
          <w:rFonts w:ascii="Garamond" w:hAnsi="Garamond" w:cs="Sylfaen"/>
          <w:bCs/>
          <w:iCs/>
          <w:color w:val="000000"/>
          <w:sz w:val="22"/>
          <w:szCs w:val="22"/>
        </w:rPr>
        <w:t xml:space="preserve">he </w:t>
      </w:r>
      <w:r w:rsidR="00966537" w:rsidRPr="00441A9C">
        <w:rPr>
          <w:rFonts w:ascii="Garamond" w:hAnsi="Garamond" w:cs="Sylfaen"/>
          <w:b/>
          <w:bCs/>
          <w:iCs/>
          <w:color w:val="000000"/>
          <w:sz w:val="22"/>
          <w:szCs w:val="22"/>
        </w:rPr>
        <w:t xml:space="preserve">core inflation rate </w:t>
      </w:r>
      <w:r w:rsidR="0050052C" w:rsidRPr="00441A9C">
        <w:rPr>
          <w:rFonts w:ascii="Garamond" w:hAnsi="Garamond" w:cs="Sylfaen"/>
          <w:b/>
          <w:bCs/>
          <w:iCs/>
          <w:color w:val="000000"/>
          <w:sz w:val="22"/>
          <w:szCs w:val="22"/>
        </w:rPr>
        <w:t xml:space="preserve">was </w:t>
      </w:r>
      <w:r w:rsidR="00966537" w:rsidRPr="00441A9C">
        <w:rPr>
          <w:rFonts w:ascii="Garamond" w:hAnsi="Garamond" w:cs="Sylfaen"/>
          <w:b/>
          <w:bCs/>
          <w:iCs/>
          <w:color w:val="000000"/>
          <w:sz w:val="22"/>
          <w:szCs w:val="22"/>
        </w:rPr>
        <w:t>0.</w:t>
      </w:r>
      <w:r w:rsidR="00D86927" w:rsidRPr="00441A9C">
        <w:rPr>
          <w:rFonts w:ascii="Garamond" w:hAnsi="Garamond" w:cs="Sylfaen"/>
          <w:b/>
          <w:bCs/>
          <w:iCs/>
          <w:color w:val="000000"/>
          <w:sz w:val="22"/>
          <w:szCs w:val="22"/>
        </w:rPr>
        <w:t>7</w:t>
      </w:r>
      <w:r w:rsidR="00966537" w:rsidRPr="00441A9C">
        <w:rPr>
          <w:rFonts w:ascii="Garamond" w:hAnsi="Garamond" w:cs="Sylfaen"/>
          <w:b/>
          <w:bCs/>
          <w:iCs/>
          <w:color w:val="000000"/>
          <w:sz w:val="22"/>
          <w:szCs w:val="22"/>
        </w:rPr>
        <w:t>%</w:t>
      </w:r>
      <w:r w:rsidR="00E22737" w:rsidRPr="00441A9C">
        <w:rPr>
          <w:rFonts w:ascii="Garamond" w:hAnsi="Garamond" w:cs="Sylfaen"/>
          <w:b/>
          <w:bCs/>
          <w:iCs/>
          <w:color w:val="000000"/>
          <w:sz w:val="22"/>
          <w:szCs w:val="22"/>
        </w:rPr>
        <w:t xml:space="preserve">, </w:t>
      </w:r>
      <w:r w:rsidR="00D86927" w:rsidRPr="00441A9C">
        <w:rPr>
          <w:rFonts w:ascii="Garamond" w:hAnsi="Garamond" w:cs="Sylfaen"/>
          <w:b/>
          <w:bCs/>
          <w:iCs/>
          <w:color w:val="000000"/>
          <w:sz w:val="22"/>
          <w:szCs w:val="22"/>
        </w:rPr>
        <w:t xml:space="preserve">slightly above </w:t>
      </w:r>
      <w:r w:rsidR="00E22737" w:rsidRPr="00441A9C">
        <w:rPr>
          <w:rFonts w:ascii="Garamond" w:hAnsi="Garamond" w:cs="Sylfaen"/>
          <w:b/>
          <w:bCs/>
          <w:iCs/>
          <w:color w:val="000000"/>
          <w:sz w:val="22"/>
          <w:szCs w:val="22"/>
        </w:rPr>
        <w:t>the projection</w:t>
      </w:r>
      <w:r w:rsidR="0050052C" w:rsidRPr="00441A9C">
        <w:rPr>
          <w:rFonts w:ascii="Garamond" w:hAnsi="Garamond" w:cs="Sylfaen"/>
          <w:bCs/>
          <w:iCs/>
          <w:color w:val="000000"/>
          <w:sz w:val="22"/>
          <w:szCs w:val="22"/>
        </w:rPr>
        <w:t>,</w:t>
      </w:r>
      <w:r w:rsidR="0050052C" w:rsidRPr="00441A9C">
        <w:rPr>
          <w:rFonts w:ascii="Garamond" w:hAnsi="Garamond" w:cs="Sylfaen"/>
          <w:b/>
          <w:bCs/>
          <w:iCs/>
          <w:color w:val="000000"/>
          <w:sz w:val="22"/>
          <w:szCs w:val="22"/>
        </w:rPr>
        <w:t xml:space="preserve"> </w:t>
      </w:r>
      <w:r w:rsidR="0050052C" w:rsidRPr="00441A9C">
        <w:rPr>
          <w:rFonts w:ascii="Garamond" w:hAnsi="Garamond" w:cs="Sylfaen"/>
          <w:bCs/>
          <w:iCs/>
          <w:color w:val="000000"/>
          <w:sz w:val="22"/>
          <w:szCs w:val="22"/>
        </w:rPr>
        <w:t xml:space="preserve">in which case </w:t>
      </w:r>
      <w:r w:rsidR="00966537" w:rsidRPr="00441A9C">
        <w:rPr>
          <w:rFonts w:ascii="Garamond" w:hAnsi="Garamond" w:cs="Sylfaen"/>
          <w:bCs/>
          <w:iCs/>
          <w:color w:val="000000"/>
          <w:sz w:val="22"/>
          <w:szCs w:val="22"/>
        </w:rPr>
        <w:t xml:space="preserve">the </w:t>
      </w:r>
      <w:r w:rsidR="00102D2B" w:rsidRPr="00441A9C">
        <w:rPr>
          <w:rFonts w:ascii="Garamond" w:hAnsi="Garamond" w:cs="Sylfaen"/>
          <w:bCs/>
          <w:iCs/>
          <w:color w:val="000000"/>
          <w:sz w:val="22"/>
          <w:szCs w:val="22"/>
        </w:rPr>
        <w:t>12-month rate</w:t>
      </w:r>
      <w:r w:rsidR="00966537" w:rsidRPr="00441A9C">
        <w:rPr>
          <w:rFonts w:ascii="Garamond" w:hAnsi="Garamond" w:cs="Sylfaen"/>
          <w:bCs/>
          <w:iCs/>
          <w:color w:val="000000"/>
          <w:sz w:val="22"/>
          <w:szCs w:val="22"/>
        </w:rPr>
        <w:t xml:space="preserve"> </w:t>
      </w:r>
      <w:r w:rsidR="00D86927" w:rsidRPr="00441A9C">
        <w:rPr>
          <w:rFonts w:ascii="Garamond" w:hAnsi="Garamond" w:cs="Sylfaen"/>
          <w:bCs/>
          <w:iCs/>
          <w:color w:val="000000"/>
          <w:sz w:val="22"/>
          <w:szCs w:val="22"/>
        </w:rPr>
        <w:t>reached 1.1</w:t>
      </w:r>
      <w:r w:rsidR="00966537" w:rsidRPr="00441A9C">
        <w:rPr>
          <w:rFonts w:ascii="Garamond" w:hAnsi="Garamond" w:cs="Sylfaen"/>
          <w:bCs/>
          <w:iCs/>
          <w:color w:val="000000"/>
          <w:sz w:val="22"/>
          <w:szCs w:val="22"/>
        </w:rPr>
        <w:t>%</w:t>
      </w:r>
      <w:r w:rsidR="00102D2B" w:rsidRPr="00441A9C">
        <w:rPr>
          <w:rFonts w:ascii="Garamond" w:hAnsi="Garamond" w:cs="Sylfaen"/>
          <w:bCs/>
          <w:iCs/>
          <w:color w:val="000000"/>
          <w:sz w:val="22"/>
          <w:szCs w:val="22"/>
        </w:rPr>
        <w:t xml:space="preserve"> </w:t>
      </w:r>
      <w:r w:rsidR="0050052C" w:rsidRPr="00441A9C">
        <w:rPr>
          <w:rFonts w:ascii="Garamond" w:hAnsi="Garamond" w:cs="Sylfaen"/>
          <w:bCs/>
          <w:iCs/>
          <w:color w:val="000000"/>
          <w:sz w:val="22"/>
          <w:szCs w:val="22"/>
        </w:rPr>
        <w:t xml:space="preserve">at the end of </w:t>
      </w:r>
      <w:r w:rsidR="00D86927" w:rsidRPr="00441A9C">
        <w:rPr>
          <w:rFonts w:ascii="Garamond" w:hAnsi="Garamond" w:cs="Sylfaen"/>
          <w:bCs/>
          <w:iCs/>
          <w:color w:val="000000"/>
          <w:sz w:val="22"/>
          <w:szCs w:val="22"/>
        </w:rPr>
        <w:t>June</w:t>
      </w:r>
      <w:r w:rsidR="00102D2B" w:rsidRPr="00441A9C">
        <w:rPr>
          <w:rFonts w:ascii="Garamond" w:hAnsi="Garamond" w:cs="Sylfaen"/>
          <w:bCs/>
          <w:iCs/>
          <w:color w:val="000000"/>
          <w:sz w:val="22"/>
          <w:szCs w:val="22"/>
        </w:rPr>
        <w:t xml:space="preserve">. The latter </w:t>
      </w:r>
      <w:r w:rsidR="000E5C26" w:rsidRPr="00441A9C">
        <w:rPr>
          <w:rFonts w:ascii="Garamond" w:hAnsi="Garamond" w:cs="Sylfaen"/>
          <w:bCs/>
          <w:iCs/>
          <w:color w:val="000000"/>
          <w:sz w:val="22"/>
          <w:szCs w:val="22"/>
        </w:rPr>
        <w:t>h</w:t>
      </w:r>
      <w:r w:rsidR="00102D2B" w:rsidRPr="00441A9C">
        <w:rPr>
          <w:rFonts w:ascii="Garamond" w:hAnsi="Garamond" w:cs="Sylfaen"/>
          <w:bCs/>
          <w:iCs/>
          <w:color w:val="000000"/>
          <w:sz w:val="22"/>
          <w:szCs w:val="22"/>
        </w:rPr>
        <w:t xml:space="preserve">as </w:t>
      </w:r>
      <w:r w:rsidR="000036BD" w:rsidRPr="00441A9C">
        <w:rPr>
          <w:rFonts w:ascii="Garamond" w:hAnsi="Garamond" w:cs="Sylfaen"/>
          <w:bCs/>
          <w:iCs/>
          <w:color w:val="000000"/>
          <w:sz w:val="22"/>
          <w:szCs w:val="22"/>
        </w:rPr>
        <w:t xml:space="preserve">largely </w:t>
      </w:r>
      <w:r w:rsidR="000E5C26" w:rsidRPr="00441A9C">
        <w:rPr>
          <w:rFonts w:ascii="Garamond" w:hAnsi="Garamond" w:cs="Sylfaen"/>
          <w:bCs/>
          <w:iCs/>
          <w:color w:val="000000"/>
          <w:sz w:val="22"/>
          <w:szCs w:val="22"/>
        </w:rPr>
        <w:t xml:space="preserve">been </w:t>
      </w:r>
      <w:r w:rsidR="00102D2B" w:rsidRPr="00441A9C">
        <w:rPr>
          <w:rFonts w:ascii="Garamond" w:hAnsi="Garamond" w:cs="Sylfaen"/>
          <w:bCs/>
          <w:iCs/>
          <w:color w:val="000000"/>
          <w:sz w:val="22"/>
          <w:szCs w:val="22"/>
        </w:rPr>
        <w:t>d</w:t>
      </w:r>
      <w:r w:rsidR="000036BD" w:rsidRPr="00441A9C">
        <w:rPr>
          <w:rFonts w:ascii="Garamond" w:hAnsi="Garamond" w:cs="Sylfaen"/>
          <w:bCs/>
          <w:iCs/>
          <w:color w:val="000000"/>
          <w:sz w:val="22"/>
          <w:szCs w:val="22"/>
        </w:rPr>
        <w:t xml:space="preserve">riven by increased </w:t>
      </w:r>
      <w:r w:rsidR="000E5C26" w:rsidRPr="00441A9C">
        <w:rPr>
          <w:rFonts w:ascii="Garamond" w:hAnsi="Garamond" w:cs="Sylfaen"/>
          <w:bCs/>
          <w:iCs/>
          <w:color w:val="000000"/>
          <w:sz w:val="22"/>
          <w:szCs w:val="22"/>
        </w:rPr>
        <w:t>airfare (</w:t>
      </w:r>
      <w:r w:rsidR="00EA1B85" w:rsidRPr="00441A9C">
        <w:rPr>
          <w:rFonts w:ascii="Garamond" w:hAnsi="Garamond" w:cs="Sylfaen"/>
          <w:bCs/>
          <w:iCs/>
          <w:color w:val="000000"/>
          <w:sz w:val="22"/>
          <w:szCs w:val="22"/>
        </w:rPr>
        <w:t>26</w:t>
      </w:r>
      <w:r w:rsidR="000E5C26" w:rsidRPr="00441A9C">
        <w:rPr>
          <w:rFonts w:ascii="Garamond" w:hAnsi="Garamond" w:cs="Sylfaen"/>
          <w:bCs/>
          <w:iCs/>
          <w:color w:val="000000"/>
          <w:sz w:val="22"/>
          <w:szCs w:val="22"/>
        </w:rPr>
        <w:t>.</w:t>
      </w:r>
      <w:r w:rsidR="00EA1B85" w:rsidRPr="00441A9C">
        <w:rPr>
          <w:rFonts w:ascii="Garamond" w:hAnsi="Garamond" w:cs="Sylfaen"/>
          <w:bCs/>
          <w:iCs/>
          <w:color w:val="000000"/>
          <w:sz w:val="22"/>
          <w:szCs w:val="22"/>
        </w:rPr>
        <w:t>6</w:t>
      </w:r>
      <w:r w:rsidR="000E5C26" w:rsidRPr="00441A9C">
        <w:rPr>
          <w:rFonts w:ascii="Garamond" w:hAnsi="Garamond" w:cs="Sylfaen"/>
          <w:bCs/>
          <w:iCs/>
          <w:color w:val="000000"/>
          <w:sz w:val="22"/>
          <w:szCs w:val="22"/>
        </w:rPr>
        <w:t>% q/q) and increased prices of</w:t>
      </w:r>
      <w:r w:rsidR="000036BD" w:rsidRPr="00441A9C">
        <w:rPr>
          <w:rFonts w:ascii="Garamond" w:hAnsi="Garamond" w:cs="Sylfaen"/>
          <w:bCs/>
          <w:iCs/>
          <w:color w:val="000000"/>
          <w:sz w:val="22"/>
          <w:szCs w:val="22"/>
        </w:rPr>
        <w:t xml:space="preserve"> items </w:t>
      </w:r>
      <w:r w:rsidR="000E5C26" w:rsidRPr="00441A9C">
        <w:rPr>
          <w:rFonts w:ascii="Garamond" w:hAnsi="Garamond" w:cs="Sylfaen"/>
          <w:bCs/>
          <w:iCs/>
          <w:color w:val="000000"/>
          <w:sz w:val="22"/>
          <w:szCs w:val="22"/>
        </w:rPr>
        <w:t>“fish products” (</w:t>
      </w:r>
      <w:r w:rsidR="00EA1B85" w:rsidRPr="00441A9C">
        <w:rPr>
          <w:rFonts w:ascii="Garamond" w:hAnsi="Garamond" w:cs="Sylfaen"/>
          <w:bCs/>
          <w:iCs/>
          <w:color w:val="000000"/>
          <w:sz w:val="22"/>
          <w:szCs w:val="22"/>
        </w:rPr>
        <w:t>6</w:t>
      </w:r>
      <w:r w:rsidR="000E5C26" w:rsidRPr="00441A9C">
        <w:rPr>
          <w:rFonts w:ascii="Garamond" w:hAnsi="Garamond" w:cs="Sylfaen"/>
          <w:bCs/>
          <w:iCs/>
          <w:color w:val="000000"/>
          <w:sz w:val="22"/>
          <w:szCs w:val="22"/>
        </w:rPr>
        <w:t>.</w:t>
      </w:r>
      <w:r w:rsidR="00EA1B85" w:rsidRPr="00441A9C">
        <w:rPr>
          <w:rFonts w:ascii="Garamond" w:hAnsi="Garamond" w:cs="Sylfaen"/>
          <w:bCs/>
          <w:iCs/>
          <w:color w:val="000000"/>
          <w:sz w:val="22"/>
          <w:szCs w:val="22"/>
        </w:rPr>
        <w:t>3</w:t>
      </w:r>
      <w:r w:rsidR="000E5C26" w:rsidRPr="00441A9C">
        <w:rPr>
          <w:rFonts w:ascii="Garamond" w:hAnsi="Garamond" w:cs="Sylfaen"/>
          <w:bCs/>
          <w:iCs/>
          <w:color w:val="000000"/>
          <w:sz w:val="22"/>
          <w:szCs w:val="22"/>
        </w:rPr>
        <w:t>% q/q) and “meat products” (</w:t>
      </w:r>
      <w:r w:rsidR="00EA1B85" w:rsidRPr="00441A9C">
        <w:rPr>
          <w:rFonts w:ascii="Garamond" w:hAnsi="Garamond" w:cs="Sylfaen"/>
          <w:bCs/>
          <w:iCs/>
          <w:color w:val="000000"/>
          <w:sz w:val="22"/>
          <w:szCs w:val="22"/>
        </w:rPr>
        <w:t>2</w:t>
      </w:r>
      <w:r w:rsidR="000E5C26" w:rsidRPr="00441A9C">
        <w:rPr>
          <w:rFonts w:ascii="Garamond" w:hAnsi="Garamond" w:cs="Sylfaen"/>
          <w:bCs/>
          <w:iCs/>
          <w:color w:val="000000"/>
          <w:sz w:val="22"/>
          <w:szCs w:val="22"/>
        </w:rPr>
        <w:t>.</w:t>
      </w:r>
      <w:r w:rsidR="00EA1B85" w:rsidRPr="00441A9C">
        <w:rPr>
          <w:rFonts w:ascii="Garamond" w:hAnsi="Garamond" w:cs="Sylfaen"/>
          <w:bCs/>
          <w:iCs/>
          <w:color w:val="000000"/>
          <w:sz w:val="22"/>
          <w:szCs w:val="22"/>
        </w:rPr>
        <w:t>9</w:t>
      </w:r>
      <w:r w:rsidR="000E5C26" w:rsidRPr="00441A9C">
        <w:rPr>
          <w:rFonts w:ascii="Garamond" w:hAnsi="Garamond" w:cs="Sylfaen"/>
          <w:bCs/>
          <w:iCs/>
          <w:color w:val="000000"/>
          <w:sz w:val="22"/>
          <w:szCs w:val="22"/>
        </w:rPr>
        <w:t xml:space="preserve">% q/q), the </w:t>
      </w:r>
      <w:r w:rsidR="000E5C26" w:rsidRPr="00441A9C">
        <w:rPr>
          <w:rFonts w:ascii="Garamond" w:hAnsi="Garamond" w:cs="Sylfaen"/>
          <w:bCs/>
          <w:iCs/>
          <w:color w:val="000000"/>
          <w:sz w:val="22"/>
          <w:szCs w:val="22"/>
        </w:rPr>
        <w:lastRenderedPageBreak/>
        <w:t xml:space="preserve">impact of which on the </w:t>
      </w:r>
      <w:r w:rsidR="00EA1B85" w:rsidRPr="00441A9C">
        <w:rPr>
          <w:rFonts w:ascii="Garamond" w:hAnsi="Garamond" w:cs="Sylfaen"/>
          <w:bCs/>
          <w:iCs/>
          <w:color w:val="000000"/>
          <w:sz w:val="22"/>
          <w:szCs w:val="22"/>
        </w:rPr>
        <w:t xml:space="preserve">core </w:t>
      </w:r>
      <w:r w:rsidR="000E5C26" w:rsidRPr="00441A9C">
        <w:rPr>
          <w:rFonts w:ascii="Garamond" w:hAnsi="Garamond" w:cs="Sylfaen"/>
          <w:bCs/>
          <w:iCs/>
          <w:color w:val="000000"/>
          <w:sz w:val="22"/>
          <w:szCs w:val="22"/>
        </w:rPr>
        <w:t xml:space="preserve">inflation has somewhat been offset by </w:t>
      </w:r>
      <w:r w:rsidR="00EA1B85" w:rsidRPr="00441A9C">
        <w:rPr>
          <w:rFonts w:ascii="Garamond" w:hAnsi="Garamond" w:cs="Sylfaen"/>
          <w:bCs/>
          <w:iCs/>
          <w:color w:val="000000"/>
          <w:sz w:val="22"/>
          <w:szCs w:val="22"/>
        </w:rPr>
        <w:t xml:space="preserve">fallen </w:t>
      </w:r>
      <w:r w:rsidR="000E5C26" w:rsidRPr="00441A9C">
        <w:rPr>
          <w:rFonts w:ascii="Garamond" w:hAnsi="Garamond" w:cs="Sylfaen"/>
          <w:bCs/>
          <w:iCs/>
          <w:color w:val="000000"/>
          <w:sz w:val="22"/>
          <w:szCs w:val="22"/>
        </w:rPr>
        <w:t>prices of items “</w:t>
      </w:r>
      <w:r w:rsidR="00EA1B85" w:rsidRPr="00441A9C">
        <w:rPr>
          <w:rFonts w:ascii="Garamond" w:hAnsi="Garamond" w:cs="Sylfaen"/>
          <w:bCs/>
          <w:iCs/>
          <w:color w:val="000000"/>
          <w:sz w:val="22"/>
          <w:szCs w:val="22"/>
        </w:rPr>
        <w:t>bread</w:t>
      </w:r>
      <w:r w:rsidR="000E5C26" w:rsidRPr="00441A9C">
        <w:rPr>
          <w:rFonts w:ascii="Garamond" w:hAnsi="Garamond" w:cs="Sylfaen"/>
          <w:bCs/>
          <w:iCs/>
          <w:color w:val="000000"/>
          <w:sz w:val="22"/>
          <w:szCs w:val="22"/>
        </w:rPr>
        <w:t>” (-</w:t>
      </w:r>
      <w:r w:rsidR="00EA1B85" w:rsidRPr="00441A9C">
        <w:rPr>
          <w:rFonts w:ascii="Garamond" w:hAnsi="Garamond" w:cs="Sylfaen"/>
          <w:bCs/>
          <w:iCs/>
          <w:color w:val="000000"/>
          <w:sz w:val="22"/>
          <w:szCs w:val="22"/>
        </w:rPr>
        <w:t>0</w:t>
      </w:r>
      <w:r w:rsidR="000E5C26" w:rsidRPr="00441A9C">
        <w:rPr>
          <w:rFonts w:ascii="Garamond" w:hAnsi="Garamond" w:cs="Sylfaen"/>
          <w:bCs/>
          <w:iCs/>
          <w:color w:val="000000"/>
          <w:sz w:val="22"/>
          <w:szCs w:val="22"/>
        </w:rPr>
        <w:t>.</w:t>
      </w:r>
      <w:r w:rsidR="00EA1B85" w:rsidRPr="00441A9C">
        <w:rPr>
          <w:rFonts w:ascii="Garamond" w:hAnsi="Garamond" w:cs="Sylfaen"/>
          <w:bCs/>
          <w:iCs/>
          <w:color w:val="000000"/>
          <w:sz w:val="22"/>
          <w:szCs w:val="22"/>
        </w:rPr>
        <w:t>5</w:t>
      </w:r>
      <w:r w:rsidR="000E5C26" w:rsidRPr="00441A9C">
        <w:rPr>
          <w:rFonts w:ascii="Garamond" w:hAnsi="Garamond" w:cs="Sylfaen"/>
          <w:bCs/>
          <w:iCs/>
          <w:color w:val="000000"/>
          <w:sz w:val="22"/>
          <w:szCs w:val="22"/>
        </w:rPr>
        <w:t>% q/q) and “</w:t>
      </w:r>
      <w:r w:rsidR="00EA1B85" w:rsidRPr="00441A9C">
        <w:rPr>
          <w:rFonts w:ascii="Garamond" w:hAnsi="Garamond" w:cs="Sylfaen"/>
          <w:bCs/>
          <w:iCs/>
          <w:color w:val="000000"/>
          <w:sz w:val="22"/>
          <w:szCs w:val="22"/>
        </w:rPr>
        <w:t>dairy products</w:t>
      </w:r>
      <w:r w:rsidR="000E5C26" w:rsidRPr="00441A9C">
        <w:rPr>
          <w:rFonts w:ascii="Garamond" w:hAnsi="Garamond" w:cs="Sylfaen"/>
          <w:bCs/>
          <w:iCs/>
          <w:color w:val="000000"/>
          <w:sz w:val="22"/>
          <w:szCs w:val="22"/>
        </w:rPr>
        <w:t>” (-</w:t>
      </w:r>
      <w:r w:rsidR="00EA1B85" w:rsidRPr="00441A9C">
        <w:rPr>
          <w:rFonts w:ascii="Garamond" w:hAnsi="Garamond" w:cs="Sylfaen"/>
          <w:bCs/>
          <w:iCs/>
          <w:color w:val="000000"/>
          <w:sz w:val="22"/>
          <w:szCs w:val="22"/>
        </w:rPr>
        <w:t>1</w:t>
      </w:r>
      <w:r w:rsidR="000E5C26" w:rsidRPr="00441A9C">
        <w:rPr>
          <w:rFonts w:ascii="Garamond" w:hAnsi="Garamond" w:cs="Sylfaen"/>
          <w:bCs/>
          <w:iCs/>
          <w:color w:val="000000"/>
          <w:sz w:val="22"/>
          <w:szCs w:val="22"/>
        </w:rPr>
        <w:t>.</w:t>
      </w:r>
      <w:r w:rsidR="00EA1B85" w:rsidRPr="00441A9C">
        <w:rPr>
          <w:rFonts w:ascii="Garamond" w:hAnsi="Garamond" w:cs="Sylfaen"/>
          <w:bCs/>
          <w:iCs/>
          <w:color w:val="000000"/>
          <w:sz w:val="22"/>
          <w:szCs w:val="22"/>
        </w:rPr>
        <w:t>2</w:t>
      </w:r>
      <w:r w:rsidR="000E5C26" w:rsidRPr="00441A9C">
        <w:rPr>
          <w:rFonts w:ascii="Garamond" w:hAnsi="Garamond" w:cs="Sylfaen"/>
          <w:bCs/>
          <w:iCs/>
          <w:color w:val="000000"/>
          <w:sz w:val="22"/>
          <w:szCs w:val="22"/>
        </w:rPr>
        <w:t>% q/q).</w:t>
      </w:r>
      <w:r w:rsidR="00EE17D1" w:rsidRPr="00441A9C">
        <w:rPr>
          <w:rFonts w:ascii="Garamond" w:hAnsi="Garamond" w:cs="Sylfaen"/>
          <w:bCs/>
          <w:iCs/>
          <w:color w:val="000000"/>
          <w:sz w:val="22"/>
          <w:szCs w:val="22"/>
        </w:rPr>
        <w:t xml:space="preserve"> </w:t>
      </w:r>
    </w:p>
    <w:p w14:paraId="6DCCCC64" w14:textId="77777777" w:rsidR="00EA1B85" w:rsidRPr="00441A9C" w:rsidRDefault="00EA1B85" w:rsidP="00FF3CD9">
      <w:pPr>
        <w:spacing w:line="360" w:lineRule="auto"/>
        <w:jc w:val="both"/>
        <w:rPr>
          <w:rFonts w:ascii="Garamond" w:hAnsi="Garamond" w:cs="Sylfaen"/>
          <w:bCs/>
          <w:iCs/>
          <w:color w:val="000000"/>
          <w:sz w:val="22"/>
          <w:szCs w:val="22"/>
        </w:rPr>
      </w:pPr>
    </w:p>
    <w:p w14:paraId="64CA15C2" w14:textId="77777777" w:rsidR="003E47CB" w:rsidRPr="00441A9C" w:rsidRDefault="00E970AF" w:rsidP="00FF3CD9">
      <w:pPr>
        <w:spacing w:line="360" w:lineRule="auto"/>
        <w:jc w:val="both"/>
        <w:rPr>
          <w:rFonts w:ascii="Garamond" w:hAnsi="Garamond" w:cs="Sylfaen"/>
          <w:bCs/>
          <w:iCs/>
          <w:color w:val="000000"/>
          <w:sz w:val="22"/>
          <w:szCs w:val="22"/>
        </w:rPr>
      </w:pPr>
      <w:r w:rsidRPr="00441A9C">
        <w:rPr>
          <w:rFonts w:ascii="Garamond" w:hAnsi="Garamond" w:cs="Sylfaen"/>
          <w:bCs/>
          <w:iCs/>
          <w:color w:val="000000"/>
          <w:sz w:val="22"/>
          <w:szCs w:val="22"/>
        </w:rPr>
        <w:t>On the back of the aforementioned developments t</w:t>
      </w:r>
      <w:r w:rsidR="00A46093" w:rsidRPr="00441A9C">
        <w:rPr>
          <w:rFonts w:ascii="Garamond" w:hAnsi="Garamond" w:cs="Sylfaen"/>
          <w:bCs/>
          <w:iCs/>
          <w:color w:val="000000"/>
          <w:sz w:val="22"/>
          <w:szCs w:val="22"/>
        </w:rPr>
        <w:t xml:space="preserve">he </w:t>
      </w:r>
      <w:r w:rsidR="00EA1B85" w:rsidRPr="00441A9C">
        <w:rPr>
          <w:rFonts w:ascii="Garamond" w:hAnsi="Garamond" w:cs="Sylfaen"/>
          <w:bCs/>
          <w:iCs/>
          <w:color w:val="000000"/>
          <w:sz w:val="22"/>
          <w:szCs w:val="22"/>
        </w:rPr>
        <w:t>inf</w:t>
      </w:r>
      <w:r w:rsidR="006E3D7F" w:rsidRPr="00441A9C">
        <w:rPr>
          <w:rFonts w:ascii="Garamond" w:hAnsi="Garamond" w:cs="Sylfaen"/>
          <w:bCs/>
          <w:iCs/>
          <w:color w:val="000000"/>
          <w:sz w:val="22"/>
          <w:szCs w:val="22"/>
        </w:rPr>
        <w:t>lation environment</w:t>
      </w:r>
      <w:r w:rsidR="00EA1B85" w:rsidRPr="00441A9C">
        <w:rPr>
          <w:rFonts w:ascii="Garamond" w:hAnsi="Garamond" w:cs="Sylfaen"/>
          <w:bCs/>
          <w:iCs/>
          <w:color w:val="000000"/>
          <w:sz w:val="22"/>
          <w:szCs w:val="22"/>
        </w:rPr>
        <w:t xml:space="preserve"> kept on stabilizing, as was expected, during the second quarter of 2017</w:t>
      </w:r>
      <w:r w:rsidR="006E3D7F" w:rsidRPr="00441A9C">
        <w:rPr>
          <w:rFonts w:ascii="Garamond" w:hAnsi="Garamond" w:cs="Sylfaen"/>
          <w:bCs/>
          <w:iCs/>
          <w:color w:val="000000"/>
          <w:sz w:val="22"/>
          <w:szCs w:val="22"/>
        </w:rPr>
        <w:t xml:space="preserve">, in which case </w:t>
      </w:r>
      <w:r w:rsidR="000A0098" w:rsidRPr="00441A9C">
        <w:rPr>
          <w:rFonts w:ascii="Garamond" w:hAnsi="Garamond" w:cs="Sylfaen"/>
          <w:b/>
          <w:bCs/>
          <w:iCs/>
          <w:color w:val="000000"/>
          <w:sz w:val="22"/>
          <w:szCs w:val="22"/>
        </w:rPr>
        <w:t xml:space="preserve">the 12-month </w:t>
      </w:r>
      <w:r w:rsidR="00EA1B85" w:rsidRPr="00441A9C">
        <w:rPr>
          <w:rFonts w:ascii="Garamond" w:hAnsi="Garamond" w:cs="Sylfaen"/>
          <w:b/>
          <w:bCs/>
          <w:iCs/>
          <w:color w:val="000000"/>
          <w:sz w:val="22"/>
          <w:szCs w:val="22"/>
        </w:rPr>
        <w:t>in</w:t>
      </w:r>
      <w:r w:rsidR="000A0098" w:rsidRPr="00441A9C">
        <w:rPr>
          <w:rFonts w:ascii="Garamond" w:hAnsi="Garamond" w:cs="Sylfaen"/>
          <w:b/>
          <w:bCs/>
          <w:iCs/>
          <w:color w:val="000000"/>
          <w:sz w:val="22"/>
          <w:szCs w:val="22"/>
        </w:rPr>
        <w:t xml:space="preserve">flation rate </w:t>
      </w:r>
      <w:r w:rsidR="003E47CB" w:rsidRPr="00441A9C">
        <w:rPr>
          <w:rFonts w:ascii="Garamond" w:hAnsi="Garamond" w:cs="Sylfaen"/>
          <w:b/>
          <w:bCs/>
          <w:iCs/>
          <w:color w:val="000000"/>
          <w:sz w:val="22"/>
          <w:szCs w:val="22"/>
        </w:rPr>
        <w:t xml:space="preserve">amounted to </w:t>
      </w:r>
      <w:r w:rsidR="00EA1B85" w:rsidRPr="00441A9C">
        <w:rPr>
          <w:rFonts w:ascii="Garamond" w:hAnsi="Garamond" w:cs="Sylfaen"/>
          <w:b/>
          <w:bCs/>
          <w:iCs/>
          <w:color w:val="000000"/>
          <w:sz w:val="22"/>
          <w:szCs w:val="22"/>
        </w:rPr>
        <w:t>1</w:t>
      </w:r>
      <w:r w:rsidR="003E47CB" w:rsidRPr="00441A9C">
        <w:rPr>
          <w:rFonts w:ascii="Garamond" w:hAnsi="Garamond" w:cs="Sylfaen"/>
          <w:b/>
          <w:bCs/>
          <w:iCs/>
          <w:color w:val="000000"/>
          <w:sz w:val="22"/>
          <w:szCs w:val="22"/>
        </w:rPr>
        <w:t xml:space="preserve">.1% in </w:t>
      </w:r>
      <w:r w:rsidR="00EA1B85" w:rsidRPr="00441A9C">
        <w:rPr>
          <w:rFonts w:ascii="Garamond" w:hAnsi="Garamond" w:cs="Sylfaen"/>
          <w:b/>
          <w:bCs/>
          <w:iCs/>
          <w:color w:val="000000"/>
          <w:sz w:val="22"/>
          <w:szCs w:val="22"/>
        </w:rPr>
        <w:t>June</w:t>
      </w:r>
      <w:r w:rsidR="006E3D7F" w:rsidRPr="00441A9C">
        <w:rPr>
          <w:rFonts w:ascii="Garamond" w:hAnsi="Garamond" w:cs="Sylfaen"/>
          <w:b/>
          <w:bCs/>
          <w:iCs/>
          <w:color w:val="000000"/>
          <w:sz w:val="22"/>
          <w:szCs w:val="22"/>
        </w:rPr>
        <w:t xml:space="preserve"> instead of the projected 0.</w:t>
      </w:r>
      <w:r w:rsidR="00EA1B85" w:rsidRPr="00441A9C">
        <w:rPr>
          <w:rFonts w:ascii="Garamond" w:hAnsi="Garamond" w:cs="Sylfaen"/>
          <w:b/>
          <w:bCs/>
          <w:iCs/>
          <w:color w:val="000000"/>
          <w:sz w:val="22"/>
          <w:szCs w:val="22"/>
        </w:rPr>
        <w:t>8</w:t>
      </w:r>
      <w:r w:rsidR="006E3D7F" w:rsidRPr="00441A9C">
        <w:rPr>
          <w:rFonts w:ascii="Garamond" w:hAnsi="Garamond" w:cs="Sylfaen"/>
          <w:b/>
          <w:bCs/>
          <w:iCs/>
          <w:color w:val="000000"/>
          <w:sz w:val="22"/>
          <w:szCs w:val="22"/>
        </w:rPr>
        <w:t>%</w:t>
      </w:r>
      <w:r w:rsidR="003E47CB" w:rsidRPr="00441A9C">
        <w:rPr>
          <w:rFonts w:ascii="Garamond" w:hAnsi="Garamond" w:cs="Sylfaen"/>
          <w:bCs/>
          <w:iCs/>
          <w:color w:val="000000"/>
          <w:sz w:val="22"/>
          <w:szCs w:val="22"/>
        </w:rPr>
        <w:t>.</w:t>
      </w:r>
    </w:p>
    <w:p w14:paraId="37B1A6F1" w14:textId="77777777" w:rsidR="000A0098" w:rsidRPr="00441A9C" w:rsidRDefault="000A0098" w:rsidP="00FF3CD9">
      <w:pPr>
        <w:spacing w:line="360" w:lineRule="auto"/>
        <w:jc w:val="both"/>
        <w:rPr>
          <w:rFonts w:ascii="Garamond" w:hAnsi="Garamond" w:cs="Sylfaen"/>
          <w:bCs/>
          <w:iCs/>
          <w:color w:val="000000"/>
          <w:sz w:val="22"/>
          <w:szCs w:val="22"/>
        </w:rPr>
      </w:pPr>
    </w:p>
    <w:p w14:paraId="355E41DF" w14:textId="77777777" w:rsidR="000A0098" w:rsidRPr="00441A9C" w:rsidRDefault="000A0098" w:rsidP="00FF3CD9">
      <w:pPr>
        <w:spacing w:line="360" w:lineRule="auto"/>
        <w:jc w:val="both"/>
        <w:rPr>
          <w:rFonts w:ascii="Garamond" w:hAnsi="Garamond" w:cs="Sylfaen"/>
          <w:bCs/>
          <w:iCs/>
          <w:color w:val="000000"/>
          <w:sz w:val="22"/>
          <w:szCs w:val="22"/>
        </w:rPr>
      </w:pPr>
      <w:r w:rsidRPr="00441A9C">
        <w:rPr>
          <w:rFonts w:ascii="Garamond" w:hAnsi="Garamond" w:cs="Sylfaen"/>
          <w:bCs/>
          <w:iCs/>
          <w:color w:val="000000"/>
          <w:sz w:val="22"/>
          <w:szCs w:val="22"/>
        </w:rPr>
        <w:t xml:space="preserve">According to the </w:t>
      </w:r>
      <w:r w:rsidR="00FE248E" w:rsidRPr="00441A9C">
        <w:rPr>
          <w:rFonts w:ascii="Garamond" w:hAnsi="Garamond" w:cs="Sylfaen"/>
          <w:bCs/>
          <w:iCs/>
          <w:color w:val="000000"/>
          <w:sz w:val="22"/>
          <w:szCs w:val="22"/>
        </w:rPr>
        <w:t xml:space="preserve">Republic of Armenia National Statistics Service </w:t>
      </w:r>
      <w:r w:rsidRPr="00441A9C">
        <w:rPr>
          <w:rFonts w:ascii="Garamond" w:hAnsi="Garamond" w:cs="Sylfaen"/>
          <w:bCs/>
          <w:iCs/>
          <w:color w:val="000000"/>
          <w:sz w:val="22"/>
          <w:szCs w:val="22"/>
        </w:rPr>
        <w:t xml:space="preserve">data, </w:t>
      </w:r>
      <w:r w:rsidR="00772DBE" w:rsidRPr="00441A9C">
        <w:rPr>
          <w:rFonts w:ascii="Garamond" w:hAnsi="Garamond" w:cs="Sylfaen"/>
          <w:bCs/>
          <w:iCs/>
          <w:color w:val="000000"/>
          <w:sz w:val="22"/>
          <w:szCs w:val="22"/>
        </w:rPr>
        <w:t xml:space="preserve">there was </w:t>
      </w:r>
      <w:r w:rsidR="00FE248E" w:rsidRPr="00441A9C">
        <w:rPr>
          <w:rFonts w:ascii="Garamond" w:hAnsi="Garamond" w:cs="Sylfaen"/>
          <w:bCs/>
          <w:iCs/>
          <w:color w:val="000000"/>
          <w:sz w:val="22"/>
          <w:szCs w:val="22"/>
        </w:rPr>
        <w:t>-2.6</w:t>
      </w:r>
      <w:r w:rsidR="00772DBE" w:rsidRPr="00441A9C">
        <w:rPr>
          <w:rFonts w:ascii="Garamond" w:hAnsi="Garamond" w:cs="Sylfaen"/>
          <w:bCs/>
          <w:iCs/>
          <w:color w:val="000000"/>
          <w:sz w:val="22"/>
          <w:szCs w:val="22"/>
        </w:rPr>
        <w:t>%</w:t>
      </w:r>
      <w:r w:rsidRPr="00441A9C">
        <w:rPr>
          <w:rFonts w:ascii="Garamond" w:hAnsi="Garamond" w:cs="Sylfaen"/>
          <w:bCs/>
          <w:iCs/>
          <w:color w:val="000000"/>
          <w:sz w:val="22"/>
          <w:szCs w:val="22"/>
        </w:rPr>
        <w:t xml:space="preserve"> inflation recorded in </w:t>
      </w:r>
      <w:r w:rsidR="00FE248E" w:rsidRPr="00441A9C">
        <w:rPr>
          <w:rFonts w:ascii="Garamond" w:hAnsi="Garamond" w:cs="Sylfaen"/>
          <w:bCs/>
          <w:iCs/>
          <w:color w:val="000000"/>
          <w:sz w:val="22"/>
          <w:szCs w:val="22"/>
        </w:rPr>
        <w:t>July</w:t>
      </w:r>
      <w:r w:rsidRPr="00441A9C">
        <w:rPr>
          <w:rFonts w:ascii="Garamond" w:hAnsi="Garamond" w:cs="Sylfaen"/>
          <w:bCs/>
          <w:iCs/>
          <w:color w:val="000000"/>
          <w:sz w:val="22"/>
          <w:szCs w:val="22"/>
        </w:rPr>
        <w:t xml:space="preserve">, </w:t>
      </w:r>
      <w:r w:rsidR="00FE248E" w:rsidRPr="00441A9C">
        <w:rPr>
          <w:rFonts w:ascii="Garamond" w:hAnsi="Garamond" w:cs="Sylfaen"/>
          <w:bCs/>
          <w:iCs/>
          <w:color w:val="000000"/>
          <w:sz w:val="22"/>
          <w:szCs w:val="22"/>
        </w:rPr>
        <w:t xml:space="preserve">mainly due to seasonal fall in prices for agricultural products. As a result, the 12-month inflation rate has slightly softened to 0.9%. </w:t>
      </w:r>
    </w:p>
    <w:p w14:paraId="7C11C513" w14:textId="77777777" w:rsidR="003E47CB" w:rsidRPr="00441A9C" w:rsidRDefault="003E47CB" w:rsidP="00FF3CD9">
      <w:pPr>
        <w:spacing w:line="360" w:lineRule="auto"/>
        <w:jc w:val="both"/>
        <w:rPr>
          <w:rFonts w:ascii="Garamond" w:hAnsi="Garamond" w:cs="Sylfaen"/>
          <w:bCs/>
          <w:iCs/>
          <w:color w:val="000000"/>
          <w:sz w:val="22"/>
          <w:szCs w:val="22"/>
        </w:rPr>
      </w:pPr>
    </w:p>
    <w:p w14:paraId="50C26B87" w14:textId="77777777" w:rsidR="00432185" w:rsidRPr="00441A9C" w:rsidRDefault="00E70FBB" w:rsidP="00FF3CD9">
      <w:pPr>
        <w:spacing w:line="360" w:lineRule="auto"/>
        <w:jc w:val="both"/>
        <w:rPr>
          <w:rFonts w:ascii="Garamond" w:hAnsi="Garamond" w:cs="Sylfaen"/>
          <w:sz w:val="22"/>
          <w:szCs w:val="22"/>
        </w:rPr>
      </w:pPr>
      <w:r w:rsidRPr="00441A9C">
        <w:rPr>
          <w:rFonts w:ascii="Garamond" w:hAnsi="Garamond" w:cs="Sylfaen"/>
          <w:sz w:val="22"/>
          <w:szCs w:val="22"/>
        </w:rPr>
        <w:t>For</w:t>
      </w:r>
      <w:r w:rsidR="00046C53" w:rsidRPr="00441A9C">
        <w:rPr>
          <w:rFonts w:ascii="Garamond" w:hAnsi="Garamond" w:cs="Sylfaen"/>
          <w:sz w:val="22"/>
          <w:szCs w:val="22"/>
        </w:rPr>
        <w:t xml:space="preserve"> the previous one-year horizon</w:t>
      </w:r>
      <w:r w:rsidR="004C3D1F" w:rsidRPr="00441A9C">
        <w:rPr>
          <w:rFonts w:ascii="Garamond" w:hAnsi="Garamond" w:cs="Sylfaen"/>
          <w:sz w:val="22"/>
          <w:szCs w:val="22"/>
        </w:rPr>
        <w:t>,</w:t>
      </w:r>
      <w:r w:rsidRPr="00441A9C">
        <w:rPr>
          <w:rFonts w:ascii="Garamond" w:hAnsi="Garamond" w:cs="Sylfaen"/>
          <w:sz w:val="22"/>
          <w:szCs w:val="22"/>
        </w:rPr>
        <w:t xml:space="preserve"> </w:t>
      </w:r>
      <w:r w:rsidR="00E60CAE" w:rsidRPr="00441A9C">
        <w:rPr>
          <w:rFonts w:ascii="Garamond" w:hAnsi="Garamond" w:cs="Sylfaen"/>
          <w:sz w:val="22"/>
          <w:szCs w:val="22"/>
        </w:rPr>
        <w:t xml:space="preserve">which </w:t>
      </w:r>
      <w:r w:rsidR="004C3D1F" w:rsidRPr="00441A9C">
        <w:rPr>
          <w:rFonts w:ascii="Garamond" w:hAnsi="Garamond" w:cs="Sylfaen"/>
          <w:sz w:val="22"/>
          <w:szCs w:val="22"/>
        </w:rPr>
        <w:t xml:space="preserve">covers </w:t>
      </w:r>
      <w:r w:rsidR="00D75A7D" w:rsidRPr="00441A9C">
        <w:rPr>
          <w:rFonts w:ascii="Garamond" w:hAnsi="Garamond" w:cs="Sylfaen"/>
          <w:sz w:val="22"/>
          <w:szCs w:val="22"/>
        </w:rPr>
        <w:t xml:space="preserve">a </w:t>
      </w:r>
      <w:r w:rsidR="006E58DE" w:rsidRPr="00441A9C">
        <w:rPr>
          <w:rFonts w:ascii="Garamond" w:hAnsi="Garamond" w:cs="Sylfaen"/>
          <w:sz w:val="22"/>
          <w:szCs w:val="22"/>
        </w:rPr>
        <w:t>timespan from</w:t>
      </w:r>
      <w:r w:rsidR="00FE248E" w:rsidRPr="00441A9C">
        <w:rPr>
          <w:rFonts w:ascii="Garamond" w:hAnsi="Garamond" w:cs="Sylfaen"/>
          <w:sz w:val="22"/>
          <w:szCs w:val="22"/>
        </w:rPr>
        <w:t xml:space="preserve"> thir</w:t>
      </w:r>
      <w:r w:rsidR="00D75A7D" w:rsidRPr="00441A9C">
        <w:rPr>
          <w:rFonts w:ascii="Garamond" w:hAnsi="Garamond" w:cs="Sylfaen"/>
          <w:sz w:val="22"/>
          <w:szCs w:val="22"/>
        </w:rPr>
        <w:t xml:space="preserve">d quarter of </w:t>
      </w:r>
      <w:r w:rsidR="004C3D1F" w:rsidRPr="00441A9C">
        <w:rPr>
          <w:rFonts w:ascii="Garamond" w:hAnsi="Garamond" w:cs="Sylfaen"/>
          <w:sz w:val="22"/>
          <w:szCs w:val="22"/>
        </w:rPr>
        <w:t>2016</w:t>
      </w:r>
      <w:r w:rsidR="00D75A7D" w:rsidRPr="00441A9C">
        <w:rPr>
          <w:rFonts w:ascii="Garamond" w:hAnsi="Garamond" w:cs="Sylfaen"/>
          <w:sz w:val="22"/>
          <w:szCs w:val="22"/>
        </w:rPr>
        <w:t xml:space="preserve"> to </w:t>
      </w:r>
      <w:r w:rsidR="00FE248E" w:rsidRPr="00441A9C">
        <w:rPr>
          <w:rFonts w:ascii="Garamond" w:hAnsi="Garamond" w:cs="Sylfaen"/>
          <w:sz w:val="22"/>
          <w:szCs w:val="22"/>
        </w:rPr>
        <w:t>thir</w:t>
      </w:r>
      <w:r w:rsidR="00D75A7D" w:rsidRPr="00441A9C">
        <w:rPr>
          <w:rFonts w:ascii="Garamond" w:hAnsi="Garamond" w:cs="Sylfaen"/>
          <w:sz w:val="22"/>
          <w:szCs w:val="22"/>
        </w:rPr>
        <w:t>d quarter of 2017</w:t>
      </w:r>
      <w:r w:rsidRPr="00441A9C">
        <w:rPr>
          <w:rFonts w:ascii="Garamond" w:hAnsi="Garamond" w:cs="Sylfaen"/>
          <w:sz w:val="22"/>
          <w:szCs w:val="22"/>
        </w:rPr>
        <w:t xml:space="preserve">, </w:t>
      </w:r>
      <w:r w:rsidR="006E58DE" w:rsidRPr="00441A9C">
        <w:rPr>
          <w:rFonts w:ascii="Garamond" w:hAnsi="Garamond" w:cs="Sylfaen"/>
          <w:sz w:val="22"/>
          <w:szCs w:val="22"/>
        </w:rPr>
        <w:t xml:space="preserve">weak domestic demand and </w:t>
      </w:r>
      <w:r w:rsidR="00721F1C" w:rsidRPr="00441A9C">
        <w:rPr>
          <w:rFonts w:ascii="Garamond" w:hAnsi="Garamond" w:cs="Sylfaen"/>
          <w:sz w:val="22"/>
          <w:szCs w:val="22"/>
        </w:rPr>
        <w:t xml:space="preserve">the </w:t>
      </w:r>
      <w:r w:rsidR="006E58DE" w:rsidRPr="00441A9C">
        <w:rPr>
          <w:rFonts w:ascii="Garamond" w:hAnsi="Garamond" w:cs="Sylfaen"/>
          <w:sz w:val="22"/>
          <w:szCs w:val="22"/>
        </w:rPr>
        <w:t xml:space="preserve">world commodity markets’ </w:t>
      </w:r>
      <w:r w:rsidR="00721F1C" w:rsidRPr="00441A9C">
        <w:rPr>
          <w:rFonts w:ascii="Garamond" w:hAnsi="Garamond" w:cs="Sylfaen"/>
          <w:sz w:val="22"/>
          <w:szCs w:val="22"/>
        </w:rPr>
        <w:t>deflationary impact</w:t>
      </w:r>
      <w:r w:rsidR="0018605A" w:rsidRPr="00441A9C">
        <w:rPr>
          <w:rFonts w:ascii="Garamond" w:hAnsi="Garamond" w:cs="Sylfaen"/>
          <w:sz w:val="22"/>
          <w:szCs w:val="22"/>
        </w:rPr>
        <w:t xml:space="preserve"> </w:t>
      </w:r>
      <w:r w:rsidR="00721F1C" w:rsidRPr="00441A9C">
        <w:rPr>
          <w:rFonts w:ascii="Garamond" w:hAnsi="Garamond" w:cs="Sylfaen"/>
          <w:sz w:val="22"/>
          <w:szCs w:val="22"/>
        </w:rPr>
        <w:t xml:space="preserve">on domestic prices </w:t>
      </w:r>
      <w:r w:rsidR="006E58DE" w:rsidRPr="00441A9C">
        <w:rPr>
          <w:rFonts w:ascii="Garamond" w:hAnsi="Garamond" w:cs="Sylfaen"/>
          <w:sz w:val="22"/>
          <w:szCs w:val="22"/>
        </w:rPr>
        <w:t>were still to linger over the quarter</w:t>
      </w:r>
      <w:r w:rsidR="00F44479" w:rsidRPr="00441A9C">
        <w:rPr>
          <w:rFonts w:ascii="Garamond" w:hAnsi="Garamond" w:cs="Sylfaen"/>
          <w:sz w:val="22"/>
          <w:szCs w:val="22"/>
        </w:rPr>
        <w:t>,</w:t>
      </w:r>
      <w:r w:rsidR="00721F1C" w:rsidRPr="00441A9C">
        <w:rPr>
          <w:rFonts w:ascii="Garamond" w:hAnsi="Garamond" w:cs="Sylfaen"/>
          <w:sz w:val="22"/>
          <w:szCs w:val="22"/>
        </w:rPr>
        <w:t xml:space="preserve"> </w:t>
      </w:r>
      <w:r w:rsidR="00760E3E" w:rsidRPr="00441A9C">
        <w:rPr>
          <w:rFonts w:ascii="Garamond" w:hAnsi="Garamond" w:cs="Sylfaen"/>
          <w:sz w:val="22"/>
          <w:szCs w:val="22"/>
        </w:rPr>
        <w:t xml:space="preserve">according to </w:t>
      </w:r>
      <w:r w:rsidR="00D75A7D" w:rsidRPr="00441A9C">
        <w:rPr>
          <w:rFonts w:ascii="Garamond" w:hAnsi="Garamond" w:cs="Sylfaen"/>
          <w:sz w:val="22"/>
          <w:szCs w:val="22"/>
        </w:rPr>
        <w:t>Q</w:t>
      </w:r>
      <w:r w:rsidR="00FE248E" w:rsidRPr="00441A9C">
        <w:rPr>
          <w:rFonts w:ascii="Garamond" w:hAnsi="Garamond" w:cs="Sylfaen"/>
          <w:sz w:val="22"/>
          <w:szCs w:val="22"/>
        </w:rPr>
        <w:t>3</w:t>
      </w:r>
      <w:r w:rsidR="00D75A7D" w:rsidRPr="00441A9C">
        <w:rPr>
          <w:rFonts w:ascii="Garamond" w:hAnsi="Garamond" w:cs="Sylfaen"/>
          <w:sz w:val="22"/>
          <w:szCs w:val="22"/>
        </w:rPr>
        <w:t>,</w:t>
      </w:r>
      <w:r w:rsidR="00760E3E" w:rsidRPr="00441A9C">
        <w:rPr>
          <w:rFonts w:ascii="Garamond" w:hAnsi="Garamond" w:cs="Sylfaen"/>
          <w:sz w:val="22"/>
          <w:szCs w:val="22"/>
        </w:rPr>
        <w:t xml:space="preserve"> 2016 monetary policy program. </w:t>
      </w:r>
      <w:r w:rsidR="00F44479" w:rsidRPr="00441A9C">
        <w:rPr>
          <w:rFonts w:ascii="Garamond" w:hAnsi="Garamond" w:cs="Sylfaen"/>
          <w:sz w:val="22"/>
          <w:szCs w:val="22"/>
        </w:rPr>
        <w:t>A</w:t>
      </w:r>
      <w:r w:rsidR="00B12707" w:rsidRPr="00441A9C">
        <w:rPr>
          <w:rFonts w:ascii="Garamond" w:hAnsi="Garamond" w:cs="Sylfaen"/>
          <w:sz w:val="22"/>
          <w:szCs w:val="22"/>
        </w:rPr>
        <w:t>lso</w:t>
      </w:r>
      <w:r w:rsidR="00F44479" w:rsidRPr="00441A9C">
        <w:rPr>
          <w:rFonts w:ascii="Garamond" w:hAnsi="Garamond" w:cs="Sylfaen"/>
          <w:sz w:val="22"/>
          <w:szCs w:val="22"/>
        </w:rPr>
        <w:t xml:space="preserve">, </w:t>
      </w:r>
      <w:r w:rsidR="00B12707" w:rsidRPr="00441A9C">
        <w:rPr>
          <w:rFonts w:ascii="Garamond" w:hAnsi="Garamond" w:cs="Sylfaen"/>
          <w:sz w:val="22"/>
          <w:szCs w:val="22"/>
        </w:rPr>
        <w:t xml:space="preserve">subsidizing </w:t>
      </w:r>
      <w:r w:rsidR="00387202" w:rsidRPr="00441A9C">
        <w:rPr>
          <w:rFonts w:ascii="Garamond" w:hAnsi="Garamond" w:cs="Sylfaen"/>
          <w:sz w:val="22"/>
          <w:szCs w:val="22"/>
        </w:rPr>
        <w:t xml:space="preserve">the electricity </w:t>
      </w:r>
      <w:r w:rsidR="00B12707" w:rsidRPr="00441A9C">
        <w:rPr>
          <w:rFonts w:ascii="Garamond" w:hAnsi="Garamond" w:cs="Sylfaen"/>
          <w:sz w:val="22"/>
          <w:szCs w:val="22"/>
        </w:rPr>
        <w:t xml:space="preserve">tariff for </w:t>
      </w:r>
      <w:r w:rsidR="00387202" w:rsidRPr="00441A9C">
        <w:rPr>
          <w:rFonts w:ascii="Garamond" w:hAnsi="Garamond" w:cs="Sylfaen"/>
          <w:sz w:val="22"/>
          <w:szCs w:val="22"/>
        </w:rPr>
        <w:t>some groups of the population and small businesses</w:t>
      </w:r>
      <w:r w:rsidR="0079271F" w:rsidRPr="00441A9C">
        <w:rPr>
          <w:rFonts w:ascii="Garamond" w:hAnsi="Garamond" w:cs="Sylfaen"/>
          <w:sz w:val="22"/>
          <w:szCs w:val="22"/>
        </w:rPr>
        <w:t xml:space="preserve"> by </w:t>
      </w:r>
      <w:r w:rsidR="00387202" w:rsidRPr="00441A9C">
        <w:rPr>
          <w:rFonts w:ascii="Garamond" w:hAnsi="Garamond" w:cs="Sylfaen"/>
          <w:sz w:val="22"/>
          <w:szCs w:val="22"/>
        </w:rPr>
        <w:t xml:space="preserve">the Republic of Armenia Government and “Electric Networks of Armenia” CJSC was supposed to </w:t>
      </w:r>
      <w:r w:rsidR="00B12707" w:rsidRPr="00441A9C">
        <w:rPr>
          <w:rFonts w:ascii="Garamond" w:hAnsi="Garamond" w:cs="Sylfaen"/>
          <w:sz w:val="22"/>
          <w:szCs w:val="22"/>
        </w:rPr>
        <w:t xml:space="preserve">cease starting </w:t>
      </w:r>
      <w:r w:rsidR="00857D95" w:rsidRPr="00441A9C">
        <w:rPr>
          <w:rFonts w:ascii="Garamond" w:hAnsi="Garamond" w:cs="Sylfaen"/>
          <w:sz w:val="22"/>
          <w:szCs w:val="22"/>
        </w:rPr>
        <w:t>A</w:t>
      </w:r>
      <w:r w:rsidR="00F44479" w:rsidRPr="00441A9C">
        <w:rPr>
          <w:rFonts w:ascii="Garamond" w:hAnsi="Garamond" w:cs="Sylfaen"/>
          <w:sz w:val="22"/>
          <w:szCs w:val="22"/>
        </w:rPr>
        <w:t xml:space="preserve">ugust 1, </w:t>
      </w:r>
      <w:r w:rsidR="00B12707" w:rsidRPr="00441A9C">
        <w:rPr>
          <w:rFonts w:ascii="Garamond" w:hAnsi="Garamond" w:cs="Sylfaen"/>
          <w:sz w:val="22"/>
          <w:szCs w:val="22"/>
        </w:rPr>
        <w:t>2016</w:t>
      </w:r>
      <w:r w:rsidR="00F44479" w:rsidRPr="00441A9C">
        <w:rPr>
          <w:rFonts w:ascii="Garamond" w:hAnsi="Garamond" w:cs="Sylfaen"/>
          <w:sz w:val="22"/>
          <w:szCs w:val="22"/>
        </w:rPr>
        <w:t xml:space="preserve">, </w:t>
      </w:r>
      <w:r w:rsidR="0079271F" w:rsidRPr="00441A9C">
        <w:rPr>
          <w:rFonts w:ascii="Garamond" w:hAnsi="Garamond" w:cs="Sylfaen"/>
          <w:sz w:val="22"/>
          <w:szCs w:val="22"/>
        </w:rPr>
        <w:t>and this</w:t>
      </w:r>
      <w:r w:rsidR="00F44479" w:rsidRPr="00441A9C">
        <w:rPr>
          <w:rFonts w:ascii="Garamond" w:hAnsi="Garamond" w:cs="Sylfaen"/>
          <w:sz w:val="22"/>
          <w:szCs w:val="22"/>
        </w:rPr>
        <w:t xml:space="preserve"> would be partially </w:t>
      </w:r>
      <w:r w:rsidR="0079271F" w:rsidRPr="00441A9C">
        <w:rPr>
          <w:rFonts w:ascii="Garamond" w:hAnsi="Garamond" w:cs="Sylfaen"/>
          <w:sz w:val="22"/>
          <w:szCs w:val="22"/>
        </w:rPr>
        <w:t xml:space="preserve">offset </w:t>
      </w:r>
      <w:r w:rsidR="00F44479" w:rsidRPr="00441A9C">
        <w:rPr>
          <w:rFonts w:ascii="Garamond" w:hAnsi="Garamond" w:cs="Sylfaen"/>
          <w:sz w:val="22"/>
          <w:szCs w:val="22"/>
        </w:rPr>
        <w:t>by reduc</w:t>
      </w:r>
      <w:r w:rsidR="0079271F" w:rsidRPr="00441A9C">
        <w:rPr>
          <w:rFonts w:ascii="Garamond" w:hAnsi="Garamond" w:cs="Sylfaen"/>
          <w:sz w:val="22"/>
          <w:szCs w:val="22"/>
        </w:rPr>
        <w:t xml:space="preserve">ed </w:t>
      </w:r>
      <w:r w:rsidR="00F44479" w:rsidRPr="00441A9C">
        <w:rPr>
          <w:rFonts w:ascii="Garamond" w:hAnsi="Garamond" w:cs="Sylfaen"/>
          <w:sz w:val="22"/>
          <w:szCs w:val="22"/>
        </w:rPr>
        <w:t>electricity tariffs.</w:t>
      </w:r>
      <w:r w:rsidR="00696790" w:rsidRPr="00441A9C">
        <w:rPr>
          <w:rFonts w:ascii="Garamond" w:hAnsi="Garamond" w:cs="Sylfaen"/>
          <w:sz w:val="22"/>
          <w:szCs w:val="22"/>
        </w:rPr>
        <w:t xml:space="preserve"> </w:t>
      </w:r>
      <w:r w:rsidR="00857D95" w:rsidRPr="00441A9C">
        <w:rPr>
          <w:rFonts w:ascii="Garamond" w:hAnsi="Garamond" w:cs="Sylfaen"/>
          <w:sz w:val="22"/>
          <w:szCs w:val="22"/>
        </w:rPr>
        <w:t xml:space="preserve">Under this circumstance, as the Central Bank reckoned, the deflation environment would persist in the third quarter and gradually weaken afterward, </w:t>
      </w:r>
      <w:r w:rsidR="00432185" w:rsidRPr="00441A9C">
        <w:rPr>
          <w:rFonts w:ascii="Garamond" w:hAnsi="Garamond" w:cs="Sylfaen"/>
          <w:sz w:val="22"/>
          <w:szCs w:val="22"/>
        </w:rPr>
        <w:t xml:space="preserve">and </w:t>
      </w:r>
      <w:r w:rsidR="00857D95" w:rsidRPr="00441A9C">
        <w:rPr>
          <w:rFonts w:ascii="Garamond" w:hAnsi="Garamond" w:cs="Sylfaen"/>
          <w:b/>
          <w:sz w:val="22"/>
          <w:szCs w:val="22"/>
        </w:rPr>
        <w:t>the 12-month inflation rate would gradually return to the target in the forecast horizon</w:t>
      </w:r>
      <w:r w:rsidR="00857D95" w:rsidRPr="00441A9C">
        <w:rPr>
          <w:rFonts w:ascii="Garamond" w:hAnsi="Garamond" w:cs="Sylfaen"/>
          <w:sz w:val="22"/>
          <w:szCs w:val="22"/>
        </w:rPr>
        <w:t xml:space="preserve">. </w:t>
      </w:r>
      <w:r w:rsidR="00432185" w:rsidRPr="00441A9C">
        <w:rPr>
          <w:rFonts w:ascii="Garamond" w:hAnsi="Garamond" w:cs="Sylfaen"/>
          <w:sz w:val="22"/>
          <w:szCs w:val="22"/>
        </w:rPr>
        <w:t xml:space="preserve">Meanwhile, in view of </w:t>
      </w:r>
      <w:r w:rsidR="00857D95" w:rsidRPr="00441A9C">
        <w:rPr>
          <w:rFonts w:ascii="Garamond" w:hAnsi="Garamond" w:cs="Sylfaen"/>
          <w:sz w:val="22"/>
          <w:szCs w:val="22"/>
        </w:rPr>
        <w:t xml:space="preserve">the </w:t>
      </w:r>
      <w:r w:rsidR="00432185" w:rsidRPr="00441A9C">
        <w:rPr>
          <w:rFonts w:ascii="Garamond" w:hAnsi="Garamond" w:cs="Sylfaen"/>
          <w:sz w:val="22"/>
          <w:szCs w:val="22"/>
        </w:rPr>
        <w:t xml:space="preserve">factors mentioned </w:t>
      </w:r>
      <w:r w:rsidR="00857D95" w:rsidRPr="00441A9C">
        <w:rPr>
          <w:rFonts w:ascii="Garamond" w:hAnsi="Garamond" w:cs="Sylfaen"/>
          <w:sz w:val="22"/>
          <w:szCs w:val="22"/>
        </w:rPr>
        <w:t xml:space="preserve">above, the </w:t>
      </w:r>
      <w:r w:rsidR="00432185" w:rsidRPr="00441A9C">
        <w:rPr>
          <w:rFonts w:ascii="Garamond" w:hAnsi="Garamond" w:cs="Sylfaen"/>
          <w:sz w:val="22"/>
          <w:szCs w:val="22"/>
        </w:rPr>
        <w:t xml:space="preserve">core inflation </w:t>
      </w:r>
      <w:r w:rsidR="00857D95" w:rsidRPr="00441A9C">
        <w:rPr>
          <w:rFonts w:ascii="Garamond" w:hAnsi="Garamond" w:cs="Sylfaen"/>
          <w:sz w:val="22"/>
          <w:szCs w:val="22"/>
        </w:rPr>
        <w:t xml:space="preserve">forecasts were adjusted </w:t>
      </w:r>
      <w:r w:rsidR="00432185" w:rsidRPr="00441A9C">
        <w:rPr>
          <w:rFonts w:ascii="Garamond" w:hAnsi="Garamond" w:cs="Sylfaen"/>
          <w:sz w:val="22"/>
          <w:szCs w:val="22"/>
        </w:rPr>
        <w:t xml:space="preserve">downside. </w:t>
      </w:r>
    </w:p>
    <w:p w14:paraId="4DA3FD2C" w14:textId="77777777" w:rsidR="00432185" w:rsidRPr="00441A9C" w:rsidRDefault="00432185" w:rsidP="00FF3CD9">
      <w:pPr>
        <w:spacing w:line="360" w:lineRule="auto"/>
        <w:jc w:val="both"/>
        <w:rPr>
          <w:rFonts w:ascii="Garamond" w:hAnsi="Garamond" w:cs="Sylfaen"/>
          <w:sz w:val="22"/>
          <w:szCs w:val="22"/>
        </w:rPr>
      </w:pPr>
    </w:p>
    <w:p w14:paraId="273466BD" w14:textId="77777777" w:rsidR="007629C5" w:rsidRPr="00441A9C" w:rsidRDefault="00760E3E" w:rsidP="00FF3CD9">
      <w:pPr>
        <w:spacing w:line="360" w:lineRule="auto"/>
        <w:jc w:val="both"/>
        <w:rPr>
          <w:rFonts w:ascii="Garamond" w:hAnsi="Garamond" w:cs="Sylfaen"/>
          <w:sz w:val="22"/>
          <w:szCs w:val="22"/>
        </w:rPr>
      </w:pPr>
      <w:r w:rsidRPr="00441A9C">
        <w:rPr>
          <w:rFonts w:ascii="Garamond" w:hAnsi="Garamond" w:cs="Sylfaen"/>
          <w:sz w:val="22"/>
          <w:szCs w:val="22"/>
        </w:rPr>
        <w:t xml:space="preserve">In </w:t>
      </w:r>
      <w:r w:rsidR="003E3604" w:rsidRPr="00441A9C">
        <w:rPr>
          <w:rFonts w:ascii="Garamond" w:hAnsi="Garamond" w:cs="Sylfaen"/>
          <w:sz w:val="22"/>
          <w:szCs w:val="22"/>
        </w:rPr>
        <w:t>such a</w:t>
      </w:r>
      <w:r w:rsidRPr="00441A9C">
        <w:rPr>
          <w:rFonts w:ascii="Garamond" w:hAnsi="Garamond" w:cs="Sylfaen"/>
          <w:sz w:val="22"/>
          <w:szCs w:val="22"/>
        </w:rPr>
        <w:t xml:space="preserve"> situation, the </w:t>
      </w:r>
      <w:r w:rsidRPr="00441A9C">
        <w:rPr>
          <w:rFonts w:ascii="Garamond" w:hAnsi="Garamond" w:cs="Sylfaen"/>
          <w:b/>
          <w:sz w:val="22"/>
          <w:szCs w:val="22"/>
        </w:rPr>
        <w:t xml:space="preserve">Central Bank was planning </w:t>
      </w:r>
      <w:r w:rsidR="003E3604" w:rsidRPr="00441A9C">
        <w:rPr>
          <w:rFonts w:ascii="Garamond" w:hAnsi="Garamond" w:cs="Sylfaen"/>
          <w:b/>
          <w:sz w:val="22"/>
          <w:szCs w:val="22"/>
        </w:rPr>
        <w:t xml:space="preserve">to </w:t>
      </w:r>
      <w:r w:rsidR="00432185" w:rsidRPr="00441A9C">
        <w:rPr>
          <w:rFonts w:ascii="Garamond" w:hAnsi="Garamond" w:cs="Sylfaen"/>
          <w:b/>
          <w:sz w:val="22"/>
          <w:szCs w:val="22"/>
        </w:rPr>
        <w:t xml:space="preserve">further ease </w:t>
      </w:r>
      <w:r w:rsidRPr="00441A9C">
        <w:rPr>
          <w:rFonts w:ascii="Garamond" w:hAnsi="Garamond" w:cs="Sylfaen"/>
          <w:b/>
          <w:sz w:val="22"/>
          <w:szCs w:val="22"/>
        </w:rPr>
        <w:t>monetary conditions</w:t>
      </w:r>
      <w:r w:rsidR="00E64417" w:rsidRPr="00441A9C">
        <w:rPr>
          <w:rFonts w:ascii="Garamond" w:hAnsi="Garamond" w:cs="Sylfaen"/>
          <w:b/>
          <w:sz w:val="22"/>
          <w:szCs w:val="22"/>
        </w:rPr>
        <w:t xml:space="preserve"> in the </w:t>
      </w:r>
      <w:r w:rsidR="00432185" w:rsidRPr="00441A9C">
        <w:rPr>
          <w:rFonts w:ascii="Garamond" w:hAnsi="Garamond" w:cs="Sylfaen"/>
          <w:b/>
          <w:sz w:val="22"/>
          <w:szCs w:val="22"/>
        </w:rPr>
        <w:t>third</w:t>
      </w:r>
      <w:r w:rsidR="00E64417" w:rsidRPr="00441A9C">
        <w:rPr>
          <w:rFonts w:ascii="Garamond" w:hAnsi="Garamond" w:cs="Sylfaen"/>
          <w:b/>
          <w:sz w:val="22"/>
          <w:szCs w:val="22"/>
        </w:rPr>
        <w:t xml:space="preserve"> quarter</w:t>
      </w:r>
      <w:r w:rsidR="00432185" w:rsidRPr="00441A9C">
        <w:rPr>
          <w:rFonts w:ascii="Garamond" w:hAnsi="Garamond" w:cs="Sylfaen"/>
          <w:b/>
          <w:sz w:val="22"/>
          <w:szCs w:val="22"/>
        </w:rPr>
        <w:t xml:space="preserve"> of 2016</w:t>
      </w:r>
      <w:r w:rsidR="00E64417" w:rsidRPr="00441A9C">
        <w:rPr>
          <w:rFonts w:ascii="Garamond" w:hAnsi="Garamond" w:cs="Sylfaen"/>
          <w:sz w:val="22"/>
          <w:szCs w:val="22"/>
        </w:rPr>
        <w:t xml:space="preserve"> </w:t>
      </w:r>
      <w:r w:rsidR="00432185" w:rsidRPr="00441A9C">
        <w:rPr>
          <w:rFonts w:ascii="Garamond" w:hAnsi="Garamond" w:cs="Sylfaen"/>
          <w:sz w:val="22"/>
          <w:szCs w:val="22"/>
        </w:rPr>
        <w:t xml:space="preserve">that </w:t>
      </w:r>
      <w:r w:rsidR="00E64417" w:rsidRPr="00441A9C">
        <w:rPr>
          <w:rFonts w:ascii="Garamond" w:hAnsi="Garamond" w:cs="Sylfaen"/>
          <w:sz w:val="22"/>
          <w:szCs w:val="22"/>
        </w:rPr>
        <w:t xml:space="preserve">would </w:t>
      </w:r>
      <w:r w:rsidR="00432185" w:rsidRPr="00441A9C">
        <w:rPr>
          <w:rFonts w:ascii="Garamond" w:hAnsi="Garamond" w:cs="Sylfaen"/>
          <w:sz w:val="22"/>
          <w:szCs w:val="22"/>
        </w:rPr>
        <w:t>facilitate the</w:t>
      </w:r>
      <w:r w:rsidR="00E64417" w:rsidRPr="00441A9C">
        <w:rPr>
          <w:rFonts w:ascii="Garamond" w:hAnsi="Garamond" w:cs="Sylfaen"/>
          <w:sz w:val="22"/>
          <w:szCs w:val="22"/>
        </w:rPr>
        <w:t xml:space="preserve"> aggregate demand</w:t>
      </w:r>
      <w:r w:rsidR="00432185" w:rsidRPr="00441A9C">
        <w:rPr>
          <w:rFonts w:ascii="Garamond" w:hAnsi="Garamond" w:cs="Sylfaen"/>
          <w:sz w:val="22"/>
          <w:szCs w:val="22"/>
        </w:rPr>
        <w:t xml:space="preserve"> to expand, the deflationary pressures to phase out </w:t>
      </w:r>
      <w:r w:rsidR="00E64417" w:rsidRPr="00441A9C">
        <w:rPr>
          <w:rFonts w:ascii="Garamond" w:hAnsi="Garamond" w:cs="Sylfaen"/>
          <w:sz w:val="22"/>
          <w:szCs w:val="22"/>
        </w:rPr>
        <w:t xml:space="preserve">and </w:t>
      </w:r>
      <w:r w:rsidR="007629C5" w:rsidRPr="00441A9C">
        <w:rPr>
          <w:rFonts w:ascii="Garamond" w:hAnsi="Garamond" w:cs="Sylfaen"/>
          <w:sz w:val="22"/>
          <w:szCs w:val="22"/>
        </w:rPr>
        <w:t xml:space="preserve">the inflation </w:t>
      </w:r>
      <w:r w:rsidR="00432185" w:rsidRPr="00441A9C">
        <w:rPr>
          <w:rFonts w:ascii="Garamond" w:hAnsi="Garamond" w:cs="Sylfaen"/>
          <w:sz w:val="22"/>
          <w:szCs w:val="22"/>
        </w:rPr>
        <w:t xml:space="preserve">to </w:t>
      </w:r>
      <w:r w:rsidR="00E64417" w:rsidRPr="00441A9C">
        <w:rPr>
          <w:rFonts w:ascii="Garamond" w:hAnsi="Garamond" w:cs="Sylfaen"/>
          <w:sz w:val="22"/>
          <w:szCs w:val="22"/>
        </w:rPr>
        <w:t xml:space="preserve">stabilize around the target </w:t>
      </w:r>
      <w:r w:rsidR="007629C5" w:rsidRPr="00441A9C">
        <w:rPr>
          <w:rFonts w:ascii="Garamond" w:hAnsi="Garamond" w:cs="Sylfaen"/>
          <w:sz w:val="22"/>
          <w:szCs w:val="22"/>
        </w:rPr>
        <w:t xml:space="preserve">in the </w:t>
      </w:r>
      <w:r w:rsidR="00E64417" w:rsidRPr="00441A9C">
        <w:rPr>
          <w:rFonts w:ascii="Garamond" w:hAnsi="Garamond" w:cs="Sylfaen"/>
          <w:sz w:val="22"/>
          <w:szCs w:val="22"/>
        </w:rPr>
        <w:t>forecast horizon.</w:t>
      </w:r>
      <w:r w:rsidR="003E3604" w:rsidRPr="00441A9C">
        <w:rPr>
          <w:rFonts w:ascii="Garamond" w:hAnsi="Garamond" w:cs="Sylfaen"/>
          <w:sz w:val="22"/>
          <w:szCs w:val="22"/>
        </w:rPr>
        <w:t xml:space="preserve"> </w:t>
      </w:r>
    </w:p>
    <w:p w14:paraId="20562DC3" w14:textId="77777777" w:rsidR="0041702C" w:rsidRPr="00441A9C" w:rsidRDefault="0041702C" w:rsidP="00FF3CD9">
      <w:pPr>
        <w:spacing w:line="360" w:lineRule="auto"/>
        <w:jc w:val="both"/>
        <w:rPr>
          <w:rFonts w:ascii="Garamond" w:hAnsi="Garamond" w:cs="Sylfaen"/>
          <w:sz w:val="22"/>
          <w:szCs w:val="22"/>
        </w:rPr>
      </w:pPr>
    </w:p>
    <w:p w14:paraId="25266829" w14:textId="77777777" w:rsidR="00B4469C" w:rsidRPr="00441A9C" w:rsidRDefault="00101AA2" w:rsidP="0041702C">
      <w:pPr>
        <w:spacing w:line="360" w:lineRule="auto"/>
        <w:jc w:val="both"/>
        <w:rPr>
          <w:rFonts w:ascii="Garamond" w:hAnsi="Garamond" w:cs="Sylfaen"/>
          <w:sz w:val="22"/>
          <w:szCs w:val="22"/>
        </w:rPr>
      </w:pPr>
      <w:r w:rsidRPr="00441A9C">
        <w:rPr>
          <w:rFonts w:ascii="Garamond" w:hAnsi="Garamond" w:cs="Sylfaen"/>
          <w:sz w:val="22"/>
          <w:szCs w:val="22"/>
        </w:rPr>
        <w:t>I</w:t>
      </w:r>
      <w:r w:rsidR="005C23ED" w:rsidRPr="00441A9C">
        <w:rPr>
          <w:rFonts w:ascii="Garamond" w:hAnsi="Garamond" w:cs="Sylfaen"/>
          <w:sz w:val="22"/>
          <w:szCs w:val="22"/>
        </w:rPr>
        <w:t xml:space="preserve">n the third quarter of 2016, </w:t>
      </w:r>
      <w:r w:rsidRPr="00441A9C">
        <w:rPr>
          <w:rFonts w:ascii="Garamond" w:hAnsi="Garamond" w:cs="Sylfaen"/>
          <w:sz w:val="22"/>
          <w:szCs w:val="22"/>
        </w:rPr>
        <w:t xml:space="preserve">following </w:t>
      </w:r>
      <w:r w:rsidR="005C23ED" w:rsidRPr="00441A9C">
        <w:rPr>
          <w:rFonts w:ascii="Garamond" w:hAnsi="Garamond" w:cs="Sylfaen"/>
          <w:sz w:val="22"/>
          <w:szCs w:val="22"/>
        </w:rPr>
        <w:t>actual inflation developments, the deflation environment has deepened</w:t>
      </w:r>
      <w:r w:rsidRPr="00441A9C">
        <w:rPr>
          <w:rFonts w:ascii="Garamond" w:hAnsi="Garamond" w:cs="Sylfaen"/>
          <w:sz w:val="22"/>
          <w:szCs w:val="22"/>
        </w:rPr>
        <w:t>, as was anticipated,</w:t>
      </w:r>
      <w:r w:rsidR="00B4469C" w:rsidRPr="00441A9C">
        <w:rPr>
          <w:rFonts w:ascii="Garamond" w:hAnsi="Garamond" w:cs="Sylfaen"/>
          <w:sz w:val="22"/>
          <w:szCs w:val="22"/>
        </w:rPr>
        <w:t xml:space="preserve"> largely due to </w:t>
      </w:r>
      <w:r w:rsidR="00F27B7B" w:rsidRPr="00441A9C">
        <w:rPr>
          <w:rFonts w:ascii="Garamond" w:hAnsi="Garamond" w:cs="Sylfaen"/>
          <w:sz w:val="22"/>
          <w:szCs w:val="22"/>
        </w:rPr>
        <w:t>persistently sluggish</w:t>
      </w:r>
      <w:r w:rsidR="00B4469C" w:rsidRPr="00441A9C">
        <w:rPr>
          <w:rFonts w:ascii="Garamond" w:hAnsi="Garamond" w:cs="Sylfaen"/>
          <w:sz w:val="22"/>
          <w:szCs w:val="22"/>
        </w:rPr>
        <w:t xml:space="preserve"> domestic demand</w:t>
      </w:r>
      <w:r w:rsidR="005C23ED" w:rsidRPr="00441A9C">
        <w:rPr>
          <w:rFonts w:ascii="Garamond" w:hAnsi="Garamond" w:cs="Sylfaen"/>
          <w:sz w:val="22"/>
          <w:szCs w:val="22"/>
        </w:rPr>
        <w:t xml:space="preserve">, </w:t>
      </w:r>
      <w:r w:rsidR="00B4469C" w:rsidRPr="00441A9C">
        <w:rPr>
          <w:rFonts w:ascii="Garamond" w:hAnsi="Garamond" w:cs="Sylfaen"/>
          <w:sz w:val="22"/>
          <w:szCs w:val="22"/>
        </w:rPr>
        <w:t xml:space="preserve">coupled </w:t>
      </w:r>
      <w:r w:rsidR="00F27B7B" w:rsidRPr="00441A9C">
        <w:rPr>
          <w:rFonts w:ascii="Garamond" w:hAnsi="Garamond" w:cs="Sylfaen"/>
          <w:sz w:val="22"/>
          <w:szCs w:val="22"/>
        </w:rPr>
        <w:t xml:space="preserve">with prices of agricultural products </w:t>
      </w:r>
      <w:r w:rsidRPr="00441A9C">
        <w:rPr>
          <w:rFonts w:ascii="Garamond" w:hAnsi="Garamond" w:cs="Sylfaen"/>
          <w:sz w:val="22"/>
          <w:szCs w:val="22"/>
        </w:rPr>
        <w:t xml:space="preserve">having </w:t>
      </w:r>
      <w:r w:rsidR="00F27B7B" w:rsidRPr="00441A9C">
        <w:rPr>
          <w:rFonts w:ascii="Garamond" w:hAnsi="Garamond" w:cs="Sylfaen"/>
          <w:sz w:val="22"/>
          <w:szCs w:val="22"/>
        </w:rPr>
        <w:t>show</w:t>
      </w:r>
      <w:r w:rsidRPr="00441A9C">
        <w:rPr>
          <w:rFonts w:ascii="Garamond" w:hAnsi="Garamond" w:cs="Sylfaen"/>
          <w:sz w:val="22"/>
          <w:szCs w:val="22"/>
        </w:rPr>
        <w:t xml:space="preserve">n </w:t>
      </w:r>
      <w:r w:rsidR="00F27B7B" w:rsidRPr="00441A9C">
        <w:rPr>
          <w:rFonts w:ascii="Garamond" w:hAnsi="Garamond" w:cs="Sylfaen"/>
          <w:sz w:val="22"/>
          <w:szCs w:val="22"/>
        </w:rPr>
        <w:t xml:space="preserve">profound </w:t>
      </w:r>
      <w:r w:rsidR="005C23ED" w:rsidRPr="00441A9C">
        <w:rPr>
          <w:rFonts w:ascii="Garamond" w:hAnsi="Garamond" w:cs="Sylfaen"/>
          <w:sz w:val="22"/>
          <w:szCs w:val="22"/>
        </w:rPr>
        <w:t>seasonal</w:t>
      </w:r>
      <w:r w:rsidR="00F27B7B" w:rsidRPr="00441A9C">
        <w:rPr>
          <w:rFonts w:ascii="Garamond" w:hAnsi="Garamond" w:cs="Sylfaen"/>
          <w:sz w:val="22"/>
          <w:szCs w:val="22"/>
        </w:rPr>
        <w:t xml:space="preserve">ity </w:t>
      </w:r>
      <w:r w:rsidR="005C23ED" w:rsidRPr="00441A9C">
        <w:rPr>
          <w:rFonts w:ascii="Garamond" w:hAnsi="Garamond" w:cs="Sylfaen"/>
          <w:sz w:val="22"/>
          <w:szCs w:val="22"/>
        </w:rPr>
        <w:t>and def</w:t>
      </w:r>
      <w:r w:rsidR="00F27B7B" w:rsidRPr="00441A9C">
        <w:rPr>
          <w:rFonts w:ascii="Garamond" w:hAnsi="Garamond" w:cs="Sylfaen"/>
          <w:sz w:val="22"/>
          <w:szCs w:val="22"/>
        </w:rPr>
        <w:t xml:space="preserve">lationary </w:t>
      </w:r>
      <w:r w:rsidR="005C23ED" w:rsidRPr="00441A9C">
        <w:rPr>
          <w:rFonts w:ascii="Garamond" w:hAnsi="Garamond" w:cs="Sylfaen"/>
          <w:sz w:val="22"/>
          <w:szCs w:val="22"/>
        </w:rPr>
        <w:t xml:space="preserve">effects that </w:t>
      </w:r>
      <w:r w:rsidR="00F27B7B" w:rsidRPr="00441A9C">
        <w:rPr>
          <w:rFonts w:ascii="Garamond" w:hAnsi="Garamond" w:cs="Sylfaen"/>
          <w:sz w:val="22"/>
          <w:szCs w:val="22"/>
        </w:rPr>
        <w:t>wer</w:t>
      </w:r>
      <w:r w:rsidR="005C23ED" w:rsidRPr="00441A9C">
        <w:rPr>
          <w:rFonts w:ascii="Garamond" w:hAnsi="Garamond" w:cs="Sylfaen"/>
          <w:sz w:val="22"/>
          <w:szCs w:val="22"/>
        </w:rPr>
        <w:t>e still transmitt</w:t>
      </w:r>
      <w:r w:rsidR="00F27B7B" w:rsidRPr="00441A9C">
        <w:rPr>
          <w:rFonts w:ascii="Garamond" w:hAnsi="Garamond" w:cs="Sylfaen"/>
          <w:sz w:val="22"/>
          <w:szCs w:val="22"/>
        </w:rPr>
        <w:t xml:space="preserve">ing </w:t>
      </w:r>
      <w:r w:rsidR="005C23ED" w:rsidRPr="00441A9C">
        <w:rPr>
          <w:rFonts w:ascii="Garamond" w:hAnsi="Garamond" w:cs="Sylfaen"/>
          <w:sz w:val="22"/>
          <w:szCs w:val="22"/>
        </w:rPr>
        <w:t xml:space="preserve">from the external sector. Under these circumstances, </w:t>
      </w:r>
      <w:r w:rsidR="005C23ED" w:rsidRPr="00441A9C">
        <w:rPr>
          <w:rFonts w:ascii="Garamond" w:hAnsi="Garamond" w:cs="Sylfaen"/>
          <w:b/>
          <w:sz w:val="22"/>
          <w:szCs w:val="22"/>
        </w:rPr>
        <w:t>the 12-month inflation rate</w:t>
      </w:r>
      <w:r w:rsidR="005C23ED" w:rsidRPr="00441A9C">
        <w:rPr>
          <w:rFonts w:ascii="Garamond" w:hAnsi="Garamond" w:cs="Sylfaen"/>
          <w:sz w:val="22"/>
          <w:szCs w:val="22"/>
        </w:rPr>
        <w:t xml:space="preserve"> dropped to </w:t>
      </w:r>
      <w:r w:rsidR="00B4469C" w:rsidRPr="00441A9C">
        <w:rPr>
          <w:rFonts w:ascii="Garamond" w:hAnsi="Garamond" w:cs="Sylfaen"/>
          <w:sz w:val="22"/>
          <w:szCs w:val="22"/>
        </w:rPr>
        <w:t>-</w:t>
      </w:r>
      <w:r w:rsidR="005C23ED" w:rsidRPr="00441A9C">
        <w:rPr>
          <w:rFonts w:ascii="Garamond" w:hAnsi="Garamond" w:cs="Sylfaen"/>
          <w:sz w:val="22"/>
          <w:szCs w:val="22"/>
        </w:rPr>
        <w:t xml:space="preserve">1.9% </w:t>
      </w:r>
      <w:r w:rsidR="00B4469C" w:rsidRPr="00441A9C">
        <w:rPr>
          <w:rFonts w:ascii="Garamond" w:hAnsi="Garamond" w:cs="Sylfaen"/>
          <w:sz w:val="22"/>
          <w:szCs w:val="22"/>
        </w:rPr>
        <w:t xml:space="preserve">in September from </w:t>
      </w:r>
      <w:r w:rsidR="005C23ED" w:rsidRPr="00441A9C">
        <w:rPr>
          <w:rFonts w:ascii="Garamond" w:hAnsi="Garamond" w:cs="Sylfaen"/>
          <w:sz w:val="22"/>
          <w:szCs w:val="22"/>
        </w:rPr>
        <w:t xml:space="preserve">-1.1% in </w:t>
      </w:r>
      <w:r w:rsidR="00B4469C" w:rsidRPr="00441A9C">
        <w:rPr>
          <w:rFonts w:ascii="Garamond" w:hAnsi="Garamond" w:cs="Sylfaen"/>
          <w:sz w:val="22"/>
          <w:szCs w:val="22"/>
        </w:rPr>
        <w:t xml:space="preserve">June. </w:t>
      </w:r>
    </w:p>
    <w:p w14:paraId="4D76A9F6" w14:textId="77777777" w:rsidR="00D4395F" w:rsidRPr="00441A9C" w:rsidRDefault="00D4395F" w:rsidP="0041702C">
      <w:pPr>
        <w:spacing w:line="360" w:lineRule="auto"/>
        <w:jc w:val="both"/>
        <w:rPr>
          <w:rFonts w:ascii="Garamond" w:hAnsi="Garamond" w:cs="Sylfaen"/>
          <w:sz w:val="22"/>
          <w:szCs w:val="22"/>
        </w:rPr>
      </w:pPr>
    </w:p>
    <w:p w14:paraId="5C631DA1" w14:textId="77777777" w:rsidR="00D4395F" w:rsidRPr="00441A9C" w:rsidRDefault="00950137" w:rsidP="0041702C">
      <w:pPr>
        <w:spacing w:line="360" w:lineRule="auto"/>
        <w:jc w:val="both"/>
        <w:rPr>
          <w:rFonts w:ascii="Garamond" w:hAnsi="Garamond" w:cs="Sylfaen"/>
          <w:sz w:val="22"/>
          <w:szCs w:val="22"/>
        </w:rPr>
      </w:pPr>
      <w:r w:rsidRPr="00441A9C">
        <w:rPr>
          <w:rFonts w:ascii="Garamond" w:hAnsi="Garamond" w:cs="Sylfaen"/>
          <w:sz w:val="22"/>
          <w:szCs w:val="22"/>
        </w:rPr>
        <w:t>Moreover</w:t>
      </w:r>
      <w:r w:rsidR="00D4395F" w:rsidRPr="00441A9C">
        <w:rPr>
          <w:rFonts w:ascii="Garamond" w:hAnsi="Garamond" w:cs="Sylfaen"/>
          <w:sz w:val="22"/>
          <w:szCs w:val="22"/>
        </w:rPr>
        <w:t xml:space="preserve">, the deflationary risks </w:t>
      </w:r>
      <w:r w:rsidRPr="00441A9C">
        <w:rPr>
          <w:rFonts w:ascii="Garamond" w:hAnsi="Garamond" w:cs="Sylfaen"/>
          <w:sz w:val="22"/>
          <w:szCs w:val="22"/>
        </w:rPr>
        <w:t xml:space="preserve">that </w:t>
      </w:r>
      <w:r w:rsidR="00D4395F" w:rsidRPr="00441A9C">
        <w:rPr>
          <w:rFonts w:ascii="Garamond" w:hAnsi="Garamond" w:cs="Sylfaen"/>
          <w:sz w:val="22"/>
          <w:szCs w:val="22"/>
        </w:rPr>
        <w:t>exist</w:t>
      </w:r>
      <w:r w:rsidRPr="00441A9C">
        <w:rPr>
          <w:rFonts w:ascii="Garamond" w:hAnsi="Garamond" w:cs="Sylfaen"/>
          <w:sz w:val="22"/>
          <w:szCs w:val="22"/>
        </w:rPr>
        <w:t xml:space="preserve">ed </w:t>
      </w:r>
      <w:r w:rsidR="00D4395F" w:rsidRPr="00441A9C">
        <w:rPr>
          <w:rFonts w:ascii="Garamond" w:hAnsi="Garamond" w:cs="Sylfaen"/>
          <w:sz w:val="22"/>
          <w:szCs w:val="22"/>
        </w:rPr>
        <w:t xml:space="preserve">at the end of the third quarter </w:t>
      </w:r>
      <w:r w:rsidRPr="00441A9C">
        <w:rPr>
          <w:rFonts w:ascii="Garamond" w:hAnsi="Garamond" w:cs="Sylfaen"/>
          <w:sz w:val="22"/>
          <w:szCs w:val="22"/>
        </w:rPr>
        <w:t xml:space="preserve">and </w:t>
      </w:r>
      <w:r w:rsidR="00D4395F" w:rsidRPr="00441A9C">
        <w:rPr>
          <w:rFonts w:ascii="Garamond" w:hAnsi="Garamond" w:cs="Sylfaen"/>
          <w:sz w:val="22"/>
          <w:szCs w:val="22"/>
        </w:rPr>
        <w:t xml:space="preserve">encompassed </w:t>
      </w:r>
      <w:r w:rsidR="00E86DE9" w:rsidRPr="00441A9C">
        <w:rPr>
          <w:rFonts w:ascii="Garamond" w:hAnsi="Garamond" w:cs="Sylfaen"/>
          <w:sz w:val="22"/>
          <w:szCs w:val="22"/>
        </w:rPr>
        <w:t xml:space="preserve">such </w:t>
      </w:r>
      <w:r w:rsidR="00D4395F" w:rsidRPr="00441A9C">
        <w:rPr>
          <w:rFonts w:ascii="Garamond" w:hAnsi="Garamond" w:cs="Sylfaen"/>
          <w:sz w:val="22"/>
          <w:szCs w:val="22"/>
        </w:rPr>
        <w:t>factors as the expected reduction in gas and electricity tariffs in the first quarter of 2017 and a contractionary fiscal policy envisaged for 2017</w:t>
      </w:r>
      <w:r w:rsidRPr="00441A9C">
        <w:rPr>
          <w:rFonts w:ascii="Garamond" w:hAnsi="Garamond" w:cs="Sylfaen"/>
          <w:sz w:val="22"/>
          <w:szCs w:val="22"/>
        </w:rPr>
        <w:t xml:space="preserve"> prompted the Central Bank to make downward revisions in </w:t>
      </w:r>
      <w:r w:rsidR="00E86DE9" w:rsidRPr="00441A9C">
        <w:rPr>
          <w:rFonts w:ascii="Garamond" w:hAnsi="Garamond" w:cs="Sylfaen"/>
          <w:sz w:val="22"/>
          <w:szCs w:val="22"/>
        </w:rPr>
        <w:t xml:space="preserve">its </w:t>
      </w:r>
      <w:r w:rsidRPr="00441A9C">
        <w:rPr>
          <w:rFonts w:ascii="Garamond" w:hAnsi="Garamond" w:cs="Sylfaen"/>
          <w:sz w:val="22"/>
          <w:szCs w:val="22"/>
        </w:rPr>
        <w:t xml:space="preserve">forecasts for </w:t>
      </w:r>
      <w:r w:rsidR="00D4395F" w:rsidRPr="00441A9C">
        <w:rPr>
          <w:rFonts w:ascii="Garamond" w:hAnsi="Garamond" w:cs="Sylfaen"/>
          <w:sz w:val="22"/>
          <w:szCs w:val="22"/>
        </w:rPr>
        <w:t xml:space="preserve">the fourth </w:t>
      </w:r>
      <w:r w:rsidRPr="00441A9C">
        <w:rPr>
          <w:rFonts w:ascii="Garamond" w:hAnsi="Garamond" w:cs="Sylfaen"/>
          <w:sz w:val="22"/>
          <w:szCs w:val="22"/>
        </w:rPr>
        <w:t xml:space="preserve">quarter of </w:t>
      </w:r>
      <w:r w:rsidR="00D4395F" w:rsidRPr="00441A9C">
        <w:rPr>
          <w:rFonts w:ascii="Garamond" w:hAnsi="Garamond" w:cs="Sylfaen"/>
          <w:sz w:val="22"/>
          <w:szCs w:val="22"/>
        </w:rPr>
        <w:t>201</w:t>
      </w:r>
      <w:r w:rsidRPr="00441A9C">
        <w:rPr>
          <w:rFonts w:ascii="Garamond" w:hAnsi="Garamond" w:cs="Sylfaen"/>
          <w:sz w:val="22"/>
          <w:szCs w:val="22"/>
        </w:rPr>
        <w:t xml:space="preserve">6 and </w:t>
      </w:r>
      <w:r w:rsidR="00530B7E" w:rsidRPr="00441A9C">
        <w:rPr>
          <w:rFonts w:ascii="Garamond" w:hAnsi="Garamond" w:cs="Sylfaen"/>
          <w:sz w:val="22"/>
          <w:szCs w:val="22"/>
        </w:rPr>
        <w:t xml:space="preserve">the </w:t>
      </w:r>
      <w:r w:rsidR="00D4395F" w:rsidRPr="00441A9C">
        <w:rPr>
          <w:rFonts w:ascii="Garamond" w:hAnsi="Garamond" w:cs="Sylfaen"/>
          <w:sz w:val="22"/>
          <w:szCs w:val="22"/>
        </w:rPr>
        <w:t xml:space="preserve">first quarter </w:t>
      </w:r>
      <w:r w:rsidRPr="00441A9C">
        <w:rPr>
          <w:rFonts w:ascii="Garamond" w:hAnsi="Garamond" w:cs="Sylfaen"/>
          <w:sz w:val="22"/>
          <w:szCs w:val="22"/>
        </w:rPr>
        <w:t>of 2017</w:t>
      </w:r>
      <w:r w:rsidR="00D4395F" w:rsidRPr="00441A9C">
        <w:rPr>
          <w:rFonts w:ascii="Garamond" w:hAnsi="Garamond" w:cs="Sylfaen"/>
          <w:sz w:val="22"/>
          <w:szCs w:val="22"/>
        </w:rPr>
        <w:t>.</w:t>
      </w:r>
    </w:p>
    <w:p w14:paraId="61748C78" w14:textId="77777777" w:rsidR="002E6284" w:rsidRPr="00441A9C" w:rsidRDefault="002E6284" w:rsidP="0041702C">
      <w:pPr>
        <w:spacing w:line="360" w:lineRule="auto"/>
        <w:jc w:val="both"/>
        <w:rPr>
          <w:rFonts w:ascii="Garamond" w:hAnsi="Garamond" w:cs="Sylfaen"/>
          <w:sz w:val="22"/>
          <w:szCs w:val="22"/>
        </w:rPr>
      </w:pPr>
    </w:p>
    <w:p w14:paraId="4F3DAF69" w14:textId="77777777" w:rsidR="002E6284" w:rsidRPr="00441A9C" w:rsidRDefault="00A45606" w:rsidP="002E6284">
      <w:pPr>
        <w:spacing w:line="360" w:lineRule="auto"/>
        <w:jc w:val="both"/>
        <w:rPr>
          <w:rFonts w:ascii="Garamond" w:hAnsi="Garamond" w:cs="Sylfaen"/>
          <w:sz w:val="22"/>
          <w:szCs w:val="22"/>
        </w:rPr>
      </w:pPr>
      <w:r w:rsidRPr="00441A9C">
        <w:rPr>
          <w:rFonts w:ascii="Garamond" w:hAnsi="Garamond" w:cs="Sylfaen"/>
          <w:sz w:val="22"/>
          <w:szCs w:val="22"/>
        </w:rPr>
        <w:t>Emergence of t</w:t>
      </w:r>
      <w:r w:rsidR="002E6284" w:rsidRPr="00441A9C">
        <w:rPr>
          <w:rFonts w:ascii="Garamond" w:hAnsi="Garamond" w:cs="Sylfaen"/>
          <w:sz w:val="22"/>
          <w:szCs w:val="22"/>
        </w:rPr>
        <w:t xml:space="preserve">he above deflationary risks notwithstanding, </w:t>
      </w:r>
      <w:r w:rsidR="00D51E32" w:rsidRPr="00441A9C">
        <w:rPr>
          <w:rFonts w:ascii="Garamond" w:hAnsi="Garamond" w:cs="Sylfaen"/>
          <w:sz w:val="22"/>
          <w:szCs w:val="22"/>
        </w:rPr>
        <w:t xml:space="preserve">the inflation developments in the fourth quarter began incurring </w:t>
      </w:r>
      <w:r w:rsidR="002E6284" w:rsidRPr="00441A9C">
        <w:rPr>
          <w:rFonts w:ascii="Garamond" w:hAnsi="Garamond" w:cs="Sylfaen"/>
          <w:sz w:val="22"/>
          <w:szCs w:val="22"/>
        </w:rPr>
        <w:t>the i</w:t>
      </w:r>
      <w:r w:rsidR="00D51E32" w:rsidRPr="00441A9C">
        <w:rPr>
          <w:rFonts w:ascii="Garamond" w:hAnsi="Garamond" w:cs="Sylfaen"/>
          <w:sz w:val="22"/>
          <w:szCs w:val="22"/>
        </w:rPr>
        <w:t xml:space="preserve">nfluence of </w:t>
      </w:r>
      <w:r w:rsidR="002E6284" w:rsidRPr="00441A9C">
        <w:rPr>
          <w:rFonts w:ascii="Garamond" w:hAnsi="Garamond" w:cs="Sylfaen"/>
          <w:sz w:val="22"/>
          <w:szCs w:val="22"/>
        </w:rPr>
        <w:t xml:space="preserve">expansionary monetary policy implemented by the Central Bank, under which the 12-month inflation </w:t>
      </w:r>
      <w:r w:rsidR="00D51E32" w:rsidRPr="00441A9C">
        <w:rPr>
          <w:rFonts w:ascii="Garamond" w:hAnsi="Garamond" w:cs="Sylfaen"/>
          <w:sz w:val="22"/>
          <w:szCs w:val="22"/>
        </w:rPr>
        <w:t xml:space="preserve">rate has </w:t>
      </w:r>
      <w:r w:rsidR="002E6284" w:rsidRPr="00441A9C">
        <w:rPr>
          <w:rFonts w:ascii="Garamond" w:hAnsi="Garamond" w:cs="Sylfaen"/>
          <w:sz w:val="22"/>
          <w:szCs w:val="22"/>
        </w:rPr>
        <w:t xml:space="preserve">increased to -1.1% </w:t>
      </w:r>
      <w:r w:rsidR="00D51E32" w:rsidRPr="00441A9C">
        <w:rPr>
          <w:rFonts w:ascii="Garamond" w:hAnsi="Garamond" w:cs="Sylfaen"/>
          <w:sz w:val="22"/>
          <w:szCs w:val="22"/>
        </w:rPr>
        <w:t>by the end of the year</w:t>
      </w:r>
      <w:r w:rsidR="002E6284" w:rsidRPr="00441A9C">
        <w:rPr>
          <w:rFonts w:ascii="Garamond" w:hAnsi="Garamond" w:cs="Sylfaen"/>
          <w:sz w:val="22"/>
          <w:szCs w:val="22"/>
        </w:rPr>
        <w:t>.</w:t>
      </w:r>
    </w:p>
    <w:p w14:paraId="0C7F247E" w14:textId="77777777" w:rsidR="00D51E32" w:rsidRPr="00441A9C" w:rsidRDefault="00D51E32" w:rsidP="002E6284">
      <w:pPr>
        <w:spacing w:line="360" w:lineRule="auto"/>
        <w:jc w:val="both"/>
        <w:rPr>
          <w:rFonts w:ascii="Garamond" w:hAnsi="Garamond" w:cs="Sylfaen"/>
          <w:sz w:val="22"/>
          <w:szCs w:val="22"/>
        </w:rPr>
      </w:pPr>
    </w:p>
    <w:p w14:paraId="04A7A4FB" w14:textId="77777777" w:rsidR="002E6284" w:rsidRPr="00441A9C" w:rsidRDefault="002E6284" w:rsidP="002E6284">
      <w:pPr>
        <w:spacing w:line="360" w:lineRule="auto"/>
        <w:jc w:val="both"/>
        <w:rPr>
          <w:rFonts w:ascii="Garamond" w:hAnsi="Garamond" w:cs="Sylfaen"/>
          <w:sz w:val="22"/>
          <w:szCs w:val="22"/>
        </w:rPr>
      </w:pPr>
      <w:r w:rsidRPr="00441A9C">
        <w:rPr>
          <w:rFonts w:ascii="Garamond" w:hAnsi="Garamond" w:cs="Sylfaen"/>
          <w:sz w:val="22"/>
          <w:szCs w:val="22"/>
        </w:rPr>
        <w:t>In the first quarter</w:t>
      </w:r>
      <w:r w:rsidR="00D51E32" w:rsidRPr="00441A9C">
        <w:rPr>
          <w:rFonts w:ascii="Garamond" w:hAnsi="Garamond" w:cs="Sylfaen"/>
          <w:sz w:val="22"/>
          <w:szCs w:val="22"/>
        </w:rPr>
        <w:t xml:space="preserve"> of 2017</w:t>
      </w:r>
      <w:r w:rsidRPr="00441A9C">
        <w:rPr>
          <w:rFonts w:ascii="Garamond" w:hAnsi="Garamond" w:cs="Sylfaen"/>
          <w:sz w:val="22"/>
          <w:szCs w:val="22"/>
        </w:rPr>
        <w:t xml:space="preserve"> the </w:t>
      </w:r>
      <w:r w:rsidRPr="00441A9C">
        <w:rPr>
          <w:rFonts w:ascii="Garamond" w:hAnsi="Garamond" w:cs="Sylfaen"/>
          <w:b/>
          <w:sz w:val="22"/>
          <w:szCs w:val="22"/>
        </w:rPr>
        <w:t xml:space="preserve">12-month inflation </w:t>
      </w:r>
      <w:r w:rsidR="00D51E32" w:rsidRPr="00441A9C">
        <w:rPr>
          <w:rFonts w:ascii="Garamond" w:hAnsi="Garamond" w:cs="Sylfaen"/>
          <w:b/>
          <w:sz w:val="22"/>
          <w:szCs w:val="22"/>
        </w:rPr>
        <w:t>rate</w:t>
      </w:r>
      <w:r w:rsidR="00D51E32" w:rsidRPr="00441A9C">
        <w:rPr>
          <w:rFonts w:ascii="Garamond" w:hAnsi="Garamond" w:cs="Sylfaen"/>
          <w:sz w:val="22"/>
          <w:szCs w:val="22"/>
        </w:rPr>
        <w:t xml:space="preserve"> </w:t>
      </w:r>
      <w:r w:rsidRPr="00441A9C">
        <w:rPr>
          <w:rFonts w:ascii="Garamond" w:hAnsi="Garamond" w:cs="Sylfaen"/>
          <w:sz w:val="22"/>
          <w:szCs w:val="22"/>
        </w:rPr>
        <w:t>continued increas</w:t>
      </w:r>
      <w:r w:rsidR="00D51E32" w:rsidRPr="00441A9C">
        <w:rPr>
          <w:rFonts w:ascii="Garamond" w:hAnsi="Garamond" w:cs="Sylfaen"/>
          <w:sz w:val="22"/>
          <w:szCs w:val="22"/>
        </w:rPr>
        <w:t>ing</w:t>
      </w:r>
      <w:r w:rsidRPr="00441A9C">
        <w:rPr>
          <w:rFonts w:ascii="Garamond" w:hAnsi="Garamond" w:cs="Sylfaen"/>
          <w:sz w:val="22"/>
          <w:szCs w:val="22"/>
        </w:rPr>
        <w:t>, bearing the influence of the same factors</w:t>
      </w:r>
      <w:r w:rsidR="00EE5964" w:rsidRPr="00441A9C">
        <w:rPr>
          <w:rFonts w:ascii="Garamond" w:hAnsi="Garamond" w:cs="Sylfaen"/>
          <w:sz w:val="22"/>
          <w:szCs w:val="22"/>
        </w:rPr>
        <w:t xml:space="preserve">, reaching </w:t>
      </w:r>
      <w:r w:rsidRPr="00441A9C">
        <w:rPr>
          <w:rFonts w:ascii="Garamond" w:hAnsi="Garamond" w:cs="Sylfaen"/>
          <w:b/>
          <w:sz w:val="22"/>
          <w:szCs w:val="22"/>
        </w:rPr>
        <w:t>-0.1%</w:t>
      </w:r>
      <w:r w:rsidRPr="00441A9C">
        <w:rPr>
          <w:rFonts w:ascii="Garamond" w:hAnsi="Garamond" w:cs="Sylfaen"/>
          <w:sz w:val="22"/>
          <w:szCs w:val="22"/>
        </w:rPr>
        <w:t xml:space="preserve"> at the end of March.</w:t>
      </w:r>
    </w:p>
    <w:p w14:paraId="2E70F54B" w14:textId="77777777" w:rsidR="00EE5964" w:rsidRPr="00441A9C" w:rsidRDefault="00EE5964" w:rsidP="002E6284">
      <w:pPr>
        <w:spacing w:line="360" w:lineRule="auto"/>
        <w:jc w:val="both"/>
        <w:rPr>
          <w:rFonts w:ascii="Garamond" w:hAnsi="Garamond" w:cs="Sylfaen"/>
          <w:sz w:val="22"/>
          <w:szCs w:val="22"/>
        </w:rPr>
      </w:pPr>
    </w:p>
    <w:p w14:paraId="3E7F1C5B" w14:textId="62643118" w:rsidR="002E6284" w:rsidRPr="00441A9C" w:rsidRDefault="00EE5964" w:rsidP="002E6284">
      <w:pPr>
        <w:spacing w:line="360" w:lineRule="auto"/>
        <w:jc w:val="both"/>
        <w:rPr>
          <w:rFonts w:ascii="Garamond" w:hAnsi="Garamond" w:cs="Sylfaen"/>
          <w:sz w:val="22"/>
          <w:szCs w:val="22"/>
        </w:rPr>
      </w:pPr>
      <w:r w:rsidRPr="00441A9C">
        <w:rPr>
          <w:rFonts w:ascii="Garamond" w:hAnsi="Garamond" w:cs="Sylfaen"/>
          <w:sz w:val="22"/>
          <w:szCs w:val="22"/>
        </w:rPr>
        <w:t xml:space="preserve">In view of domestic demand still sluggish in the period </w:t>
      </w:r>
      <w:r w:rsidR="00776CA0" w:rsidRPr="00441A9C">
        <w:rPr>
          <w:rFonts w:ascii="Garamond" w:hAnsi="Garamond" w:cs="Sylfaen"/>
          <w:sz w:val="22"/>
          <w:szCs w:val="22"/>
        </w:rPr>
        <w:t xml:space="preserve">from </w:t>
      </w:r>
      <w:r w:rsidRPr="00441A9C">
        <w:rPr>
          <w:rFonts w:ascii="Garamond" w:hAnsi="Garamond" w:cs="Sylfaen"/>
          <w:sz w:val="22"/>
          <w:szCs w:val="22"/>
        </w:rPr>
        <w:t>J</w:t>
      </w:r>
      <w:r w:rsidR="002E6284" w:rsidRPr="00441A9C">
        <w:rPr>
          <w:rFonts w:ascii="Garamond" w:hAnsi="Garamond" w:cs="Sylfaen"/>
          <w:sz w:val="22"/>
          <w:szCs w:val="22"/>
        </w:rPr>
        <w:t>uly</w:t>
      </w:r>
      <w:r w:rsidRPr="00441A9C">
        <w:rPr>
          <w:rFonts w:ascii="Garamond" w:hAnsi="Garamond" w:cs="Sylfaen"/>
          <w:sz w:val="22"/>
          <w:szCs w:val="22"/>
        </w:rPr>
        <w:t xml:space="preserve"> 2016</w:t>
      </w:r>
      <w:r w:rsidR="00776CA0" w:rsidRPr="00441A9C">
        <w:rPr>
          <w:rFonts w:ascii="Garamond" w:hAnsi="Garamond" w:cs="Sylfaen"/>
          <w:sz w:val="22"/>
          <w:szCs w:val="22"/>
        </w:rPr>
        <w:t xml:space="preserve"> to M</w:t>
      </w:r>
      <w:r w:rsidRPr="00441A9C">
        <w:rPr>
          <w:rFonts w:ascii="Garamond" w:hAnsi="Garamond" w:cs="Sylfaen"/>
          <w:sz w:val="22"/>
          <w:szCs w:val="22"/>
        </w:rPr>
        <w:t xml:space="preserve">arch </w:t>
      </w:r>
      <w:r w:rsidR="002E6284" w:rsidRPr="00441A9C">
        <w:rPr>
          <w:rFonts w:ascii="Garamond" w:hAnsi="Garamond" w:cs="Sylfaen"/>
          <w:sz w:val="22"/>
          <w:szCs w:val="22"/>
        </w:rPr>
        <w:t>2017</w:t>
      </w:r>
      <w:r w:rsidRPr="00441A9C">
        <w:rPr>
          <w:rFonts w:ascii="Garamond" w:hAnsi="Garamond" w:cs="Sylfaen"/>
          <w:sz w:val="22"/>
          <w:szCs w:val="22"/>
        </w:rPr>
        <w:t>,</w:t>
      </w:r>
      <w:r w:rsidR="002E6284" w:rsidRPr="00441A9C">
        <w:rPr>
          <w:rFonts w:ascii="Garamond" w:hAnsi="Garamond" w:cs="Sylfaen"/>
          <w:sz w:val="22"/>
          <w:szCs w:val="22"/>
        </w:rPr>
        <w:t xml:space="preserve"> </w:t>
      </w:r>
      <w:r w:rsidRPr="00441A9C">
        <w:rPr>
          <w:rFonts w:ascii="Garamond" w:hAnsi="Garamond" w:cs="Sylfaen"/>
          <w:sz w:val="22"/>
          <w:szCs w:val="22"/>
        </w:rPr>
        <w:t xml:space="preserve">spillover of </w:t>
      </w:r>
      <w:r w:rsidR="002E6284" w:rsidRPr="00441A9C">
        <w:rPr>
          <w:rFonts w:ascii="Garamond" w:hAnsi="Garamond" w:cs="Sylfaen"/>
          <w:sz w:val="22"/>
          <w:szCs w:val="22"/>
        </w:rPr>
        <w:t xml:space="preserve">deflationary effects </w:t>
      </w:r>
      <w:r w:rsidRPr="00441A9C">
        <w:rPr>
          <w:rFonts w:ascii="Garamond" w:hAnsi="Garamond" w:cs="Sylfaen"/>
          <w:sz w:val="22"/>
          <w:szCs w:val="22"/>
        </w:rPr>
        <w:t xml:space="preserve">on </w:t>
      </w:r>
      <w:proofErr w:type="gramStart"/>
      <w:r w:rsidRPr="00441A9C">
        <w:rPr>
          <w:rFonts w:ascii="Garamond" w:hAnsi="Garamond" w:cs="Sylfaen"/>
          <w:sz w:val="22"/>
          <w:szCs w:val="22"/>
        </w:rPr>
        <w:t xml:space="preserve">food </w:t>
      </w:r>
      <w:r w:rsidR="002E6284" w:rsidRPr="00441A9C">
        <w:rPr>
          <w:rFonts w:ascii="Garamond" w:hAnsi="Garamond" w:cs="Sylfaen"/>
          <w:sz w:val="22"/>
          <w:szCs w:val="22"/>
        </w:rPr>
        <w:t>,</w:t>
      </w:r>
      <w:proofErr w:type="gramEnd"/>
      <w:r w:rsidR="002E6284" w:rsidRPr="00441A9C">
        <w:rPr>
          <w:rFonts w:ascii="Garamond" w:hAnsi="Garamond" w:cs="Sylfaen"/>
          <w:sz w:val="22"/>
          <w:szCs w:val="22"/>
        </w:rPr>
        <w:t xml:space="preserve"> and later on</w:t>
      </w:r>
      <w:r w:rsidRPr="00441A9C">
        <w:rPr>
          <w:rFonts w:ascii="Garamond" w:hAnsi="Garamond" w:cs="Sylfaen"/>
          <w:sz w:val="22"/>
          <w:szCs w:val="22"/>
        </w:rPr>
        <w:t>,</w:t>
      </w:r>
      <w:r w:rsidR="002E6284" w:rsidRPr="00441A9C">
        <w:rPr>
          <w:rFonts w:ascii="Garamond" w:hAnsi="Garamond" w:cs="Sylfaen"/>
          <w:sz w:val="22"/>
          <w:szCs w:val="22"/>
        </w:rPr>
        <w:t xml:space="preserve"> non-food </w:t>
      </w:r>
      <w:r w:rsidRPr="00441A9C">
        <w:rPr>
          <w:rFonts w:ascii="Garamond" w:hAnsi="Garamond" w:cs="Sylfaen"/>
          <w:sz w:val="22"/>
          <w:szCs w:val="22"/>
        </w:rPr>
        <w:t>products from the external sector</w:t>
      </w:r>
      <w:r w:rsidR="00776CA0" w:rsidRPr="00441A9C">
        <w:rPr>
          <w:rFonts w:ascii="Garamond" w:hAnsi="Garamond" w:cs="Sylfaen"/>
          <w:sz w:val="22"/>
          <w:szCs w:val="22"/>
        </w:rPr>
        <w:t xml:space="preserve"> and </w:t>
      </w:r>
      <w:r w:rsidR="002E6284" w:rsidRPr="00441A9C">
        <w:rPr>
          <w:rFonts w:ascii="Garamond" w:hAnsi="Garamond" w:cs="Sylfaen"/>
          <w:sz w:val="22"/>
          <w:szCs w:val="22"/>
        </w:rPr>
        <w:t>anticipated impact of</w:t>
      </w:r>
      <w:r w:rsidR="00776CA0" w:rsidRPr="00441A9C">
        <w:rPr>
          <w:rFonts w:ascii="Garamond" w:hAnsi="Garamond" w:cs="Sylfaen"/>
          <w:sz w:val="22"/>
          <w:szCs w:val="22"/>
        </w:rPr>
        <w:t xml:space="preserve"> contractionary fiscal policy</w:t>
      </w:r>
      <w:r w:rsidR="002E6284" w:rsidRPr="00441A9C">
        <w:rPr>
          <w:rFonts w:ascii="Garamond" w:hAnsi="Garamond" w:cs="Sylfaen"/>
          <w:sz w:val="22"/>
          <w:szCs w:val="22"/>
        </w:rPr>
        <w:t xml:space="preserve"> </w:t>
      </w:r>
      <w:r w:rsidR="00776CA0" w:rsidRPr="00441A9C">
        <w:rPr>
          <w:rFonts w:ascii="Garamond" w:hAnsi="Garamond" w:cs="Sylfaen"/>
          <w:sz w:val="22"/>
          <w:szCs w:val="22"/>
        </w:rPr>
        <w:t xml:space="preserve">of </w:t>
      </w:r>
      <w:r w:rsidR="002E6284" w:rsidRPr="00441A9C">
        <w:rPr>
          <w:rFonts w:ascii="Garamond" w:hAnsi="Garamond" w:cs="Sylfaen"/>
          <w:sz w:val="22"/>
          <w:szCs w:val="22"/>
        </w:rPr>
        <w:t xml:space="preserve">the </w:t>
      </w:r>
      <w:r w:rsidRPr="00441A9C">
        <w:rPr>
          <w:rFonts w:ascii="Garamond" w:hAnsi="Garamond" w:cs="Sylfaen"/>
          <w:sz w:val="22"/>
          <w:szCs w:val="22"/>
        </w:rPr>
        <w:t>G</w:t>
      </w:r>
      <w:r w:rsidR="002E6284" w:rsidRPr="00441A9C">
        <w:rPr>
          <w:rFonts w:ascii="Garamond" w:hAnsi="Garamond" w:cs="Sylfaen"/>
          <w:sz w:val="22"/>
          <w:szCs w:val="22"/>
        </w:rPr>
        <w:t>overnment</w:t>
      </w:r>
      <w:r w:rsidR="00776CA0" w:rsidRPr="00441A9C">
        <w:rPr>
          <w:rFonts w:ascii="Garamond" w:hAnsi="Garamond" w:cs="Sylfaen"/>
          <w:sz w:val="22"/>
          <w:szCs w:val="22"/>
        </w:rPr>
        <w:t xml:space="preserve"> for 2017</w:t>
      </w:r>
      <w:r w:rsidR="002E6284" w:rsidRPr="00441A9C">
        <w:rPr>
          <w:rFonts w:ascii="Garamond" w:hAnsi="Garamond" w:cs="Sylfaen"/>
          <w:sz w:val="22"/>
          <w:szCs w:val="22"/>
        </w:rPr>
        <w:t>, the C</w:t>
      </w:r>
      <w:r w:rsidR="00776CA0" w:rsidRPr="00441A9C">
        <w:rPr>
          <w:rFonts w:ascii="Garamond" w:hAnsi="Garamond" w:cs="Sylfaen"/>
          <w:sz w:val="22"/>
          <w:szCs w:val="22"/>
        </w:rPr>
        <w:t xml:space="preserve">entral </w:t>
      </w:r>
      <w:r w:rsidR="002E6284" w:rsidRPr="00441A9C">
        <w:rPr>
          <w:rFonts w:ascii="Garamond" w:hAnsi="Garamond" w:cs="Sylfaen"/>
          <w:sz w:val="22"/>
          <w:szCs w:val="22"/>
        </w:rPr>
        <w:t>B</w:t>
      </w:r>
      <w:r w:rsidR="00776CA0" w:rsidRPr="00441A9C">
        <w:rPr>
          <w:rFonts w:ascii="Garamond" w:hAnsi="Garamond" w:cs="Sylfaen"/>
          <w:sz w:val="22"/>
          <w:szCs w:val="22"/>
        </w:rPr>
        <w:t>ank</w:t>
      </w:r>
      <w:r w:rsidR="002E6284" w:rsidRPr="00441A9C">
        <w:rPr>
          <w:rFonts w:ascii="Garamond" w:hAnsi="Garamond" w:cs="Sylfaen"/>
          <w:sz w:val="22"/>
          <w:szCs w:val="22"/>
        </w:rPr>
        <w:t xml:space="preserve"> has </w:t>
      </w:r>
      <w:r w:rsidR="00AA06C2" w:rsidRPr="00441A9C">
        <w:rPr>
          <w:rFonts w:ascii="Garamond" w:hAnsi="Garamond" w:cs="Sylfaen"/>
          <w:sz w:val="22"/>
          <w:szCs w:val="22"/>
        </w:rPr>
        <w:t xml:space="preserve">frequently (5 times) loosened </w:t>
      </w:r>
      <w:r w:rsidR="002E6284" w:rsidRPr="00441A9C">
        <w:rPr>
          <w:rFonts w:ascii="Garamond" w:hAnsi="Garamond" w:cs="Sylfaen"/>
          <w:sz w:val="22"/>
          <w:szCs w:val="22"/>
        </w:rPr>
        <w:t>monetary conditions</w:t>
      </w:r>
      <w:r w:rsidR="00AA06C2" w:rsidRPr="00441A9C">
        <w:rPr>
          <w:rFonts w:ascii="Garamond" w:hAnsi="Garamond" w:cs="Sylfaen"/>
          <w:sz w:val="22"/>
          <w:szCs w:val="22"/>
        </w:rPr>
        <w:t xml:space="preserve"> in that period,</w:t>
      </w:r>
      <w:r w:rsidR="002E6284" w:rsidRPr="00441A9C">
        <w:rPr>
          <w:rFonts w:ascii="Garamond" w:hAnsi="Garamond" w:cs="Sylfaen"/>
          <w:sz w:val="22"/>
          <w:szCs w:val="22"/>
        </w:rPr>
        <w:t xml:space="preserve"> reducing the refinancing rate</w:t>
      </w:r>
      <w:r w:rsidR="00AA06C2" w:rsidRPr="00441A9C">
        <w:rPr>
          <w:rFonts w:ascii="Garamond" w:hAnsi="Garamond" w:cs="Sylfaen"/>
          <w:sz w:val="22"/>
          <w:szCs w:val="22"/>
        </w:rPr>
        <w:t xml:space="preserve"> by</w:t>
      </w:r>
      <w:r w:rsidR="002E6284" w:rsidRPr="00441A9C">
        <w:rPr>
          <w:rFonts w:ascii="Garamond" w:hAnsi="Garamond" w:cs="Sylfaen"/>
          <w:sz w:val="22"/>
          <w:szCs w:val="22"/>
        </w:rPr>
        <w:t xml:space="preserve"> </w:t>
      </w:r>
      <w:r w:rsidR="00AA06C2" w:rsidRPr="00441A9C">
        <w:rPr>
          <w:rFonts w:ascii="Garamond" w:hAnsi="Garamond" w:cs="Sylfaen"/>
          <w:sz w:val="22"/>
          <w:szCs w:val="22"/>
        </w:rPr>
        <w:t xml:space="preserve">a total of 1.5 pp to </w:t>
      </w:r>
      <w:r w:rsidR="002E6284" w:rsidRPr="00441A9C">
        <w:rPr>
          <w:rFonts w:ascii="Garamond" w:hAnsi="Garamond" w:cs="Sylfaen"/>
          <w:b/>
          <w:sz w:val="22"/>
          <w:szCs w:val="22"/>
        </w:rPr>
        <w:t>6.0%</w:t>
      </w:r>
      <w:r w:rsidR="002E6284" w:rsidRPr="00441A9C">
        <w:rPr>
          <w:rFonts w:ascii="Garamond" w:hAnsi="Garamond" w:cs="Sylfaen"/>
          <w:sz w:val="22"/>
          <w:szCs w:val="22"/>
        </w:rPr>
        <w:t xml:space="preserve"> at the end of February.</w:t>
      </w:r>
    </w:p>
    <w:p w14:paraId="2D6FAE4B" w14:textId="77777777" w:rsidR="00AA06C2" w:rsidRPr="00441A9C" w:rsidRDefault="00AA06C2" w:rsidP="002E6284">
      <w:pPr>
        <w:spacing w:line="360" w:lineRule="auto"/>
        <w:jc w:val="both"/>
        <w:rPr>
          <w:rFonts w:ascii="Garamond" w:hAnsi="Garamond" w:cs="Sylfaen"/>
          <w:sz w:val="22"/>
          <w:szCs w:val="22"/>
        </w:rPr>
      </w:pPr>
    </w:p>
    <w:p w14:paraId="307E47EB" w14:textId="77777777" w:rsidR="002E6284" w:rsidRPr="00441A9C" w:rsidRDefault="00AA06C2" w:rsidP="002E6284">
      <w:pPr>
        <w:spacing w:line="360" w:lineRule="auto"/>
        <w:jc w:val="both"/>
        <w:rPr>
          <w:rFonts w:ascii="Garamond" w:hAnsi="Garamond" w:cs="Sylfaen"/>
          <w:sz w:val="22"/>
          <w:szCs w:val="22"/>
        </w:rPr>
      </w:pPr>
      <w:r w:rsidRPr="00441A9C">
        <w:rPr>
          <w:rFonts w:ascii="Garamond" w:hAnsi="Garamond" w:cs="Sylfaen"/>
          <w:sz w:val="22"/>
          <w:szCs w:val="22"/>
        </w:rPr>
        <w:t>Inflation expanded considerably i</w:t>
      </w:r>
      <w:r w:rsidR="002E6284" w:rsidRPr="00441A9C">
        <w:rPr>
          <w:rFonts w:ascii="Garamond" w:hAnsi="Garamond" w:cs="Sylfaen"/>
          <w:sz w:val="22"/>
          <w:szCs w:val="22"/>
        </w:rPr>
        <w:t>n the second quarter</w:t>
      </w:r>
      <w:r w:rsidRPr="00441A9C">
        <w:rPr>
          <w:rFonts w:ascii="Garamond" w:hAnsi="Garamond" w:cs="Sylfaen"/>
          <w:sz w:val="22"/>
          <w:szCs w:val="22"/>
        </w:rPr>
        <w:t xml:space="preserve"> of 2017</w:t>
      </w:r>
      <w:r w:rsidR="002E6284" w:rsidRPr="00441A9C">
        <w:rPr>
          <w:rFonts w:ascii="Garamond" w:hAnsi="Garamond" w:cs="Sylfaen"/>
          <w:sz w:val="22"/>
          <w:szCs w:val="22"/>
        </w:rPr>
        <w:t xml:space="preserve"> </w:t>
      </w:r>
      <w:r w:rsidRPr="00441A9C">
        <w:rPr>
          <w:rFonts w:ascii="Garamond" w:hAnsi="Garamond" w:cs="Sylfaen"/>
          <w:sz w:val="22"/>
          <w:szCs w:val="22"/>
        </w:rPr>
        <w:t xml:space="preserve">as </w:t>
      </w:r>
      <w:r w:rsidR="002E6284" w:rsidRPr="00441A9C">
        <w:rPr>
          <w:rFonts w:ascii="Garamond" w:hAnsi="Garamond" w:cs="Sylfaen"/>
          <w:sz w:val="22"/>
          <w:szCs w:val="22"/>
        </w:rPr>
        <w:t xml:space="preserve">prices </w:t>
      </w:r>
      <w:r w:rsidRPr="00441A9C">
        <w:rPr>
          <w:rFonts w:ascii="Garamond" w:hAnsi="Garamond" w:cs="Sylfaen"/>
          <w:sz w:val="22"/>
          <w:szCs w:val="22"/>
        </w:rPr>
        <w:t>of</w:t>
      </w:r>
      <w:r w:rsidR="002E6284" w:rsidRPr="00441A9C">
        <w:rPr>
          <w:rFonts w:ascii="Garamond" w:hAnsi="Garamond" w:cs="Sylfaen"/>
          <w:sz w:val="22"/>
          <w:szCs w:val="22"/>
        </w:rPr>
        <w:t xml:space="preserve"> agricultural products</w:t>
      </w:r>
      <w:r w:rsidRPr="00441A9C">
        <w:rPr>
          <w:rFonts w:ascii="Garamond" w:hAnsi="Garamond" w:cs="Sylfaen"/>
          <w:sz w:val="22"/>
          <w:szCs w:val="22"/>
        </w:rPr>
        <w:t xml:space="preserve"> grew</w:t>
      </w:r>
      <w:r w:rsidR="002E6284" w:rsidRPr="00441A9C">
        <w:rPr>
          <w:rFonts w:ascii="Garamond" w:hAnsi="Garamond" w:cs="Sylfaen"/>
          <w:sz w:val="22"/>
          <w:szCs w:val="22"/>
        </w:rPr>
        <w:t xml:space="preserve">. As a result, the </w:t>
      </w:r>
      <w:r w:rsidR="002E6284" w:rsidRPr="00441A9C">
        <w:rPr>
          <w:rFonts w:ascii="Garamond" w:hAnsi="Garamond" w:cs="Sylfaen"/>
          <w:b/>
          <w:sz w:val="22"/>
          <w:szCs w:val="22"/>
        </w:rPr>
        <w:t xml:space="preserve">12-month inflation </w:t>
      </w:r>
      <w:r w:rsidR="00254A03" w:rsidRPr="00441A9C">
        <w:rPr>
          <w:rFonts w:ascii="Garamond" w:hAnsi="Garamond" w:cs="Sylfaen"/>
          <w:b/>
          <w:sz w:val="22"/>
          <w:szCs w:val="22"/>
        </w:rPr>
        <w:t xml:space="preserve">rate </w:t>
      </w:r>
      <w:r w:rsidR="002E6284" w:rsidRPr="00441A9C">
        <w:rPr>
          <w:rFonts w:ascii="Garamond" w:hAnsi="Garamond" w:cs="Sylfaen"/>
          <w:b/>
          <w:sz w:val="22"/>
          <w:szCs w:val="22"/>
        </w:rPr>
        <w:t xml:space="preserve">entered a positive </w:t>
      </w:r>
      <w:r w:rsidR="002D6B50" w:rsidRPr="00441A9C">
        <w:rPr>
          <w:rFonts w:ascii="Garamond" w:hAnsi="Garamond" w:cs="Sylfaen"/>
          <w:b/>
          <w:sz w:val="22"/>
          <w:szCs w:val="22"/>
        </w:rPr>
        <w:t>territory starting from April</w:t>
      </w:r>
      <w:r w:rsidR="002E6284" w:rsidRPr="00441A9C">
        <w:rPr>
          <w:rFonts w:ascii="Garamond" w:hAnsi="Garamond" w:cs="Sylfaen"/>
          <w:sz w:val="22"/>
          <w:szCs w:val="22"/>
        </w:rPr>
        <w:t xml:space="preserve">, fluctuating around </w:t>
      </w:r>
      <w:r w:rsidR="002D6B50" w:rsidRPr="00441A9C">
        <w:rPr>
          <w:rFonts w:ascii="Garamond" w:hAnsi="Garamond" w:cs="Sylfaen"/>
          <w:sz w:val="22"/>
          <w:szCs w:val="22"/>
        </w:rPr>
        <w:t xml:space="preserve">the </w:t>
      </w:r>
      <w:r w:rsidR="002E6284" w:rsidRPr="00441A9C">
        <w:rPr>
          <w:rFonts w:ascii="Garamond" w:hAnsi="Garamond" w:cs="Sylfaen"/>
          <w:b/>
          <w:sz w:val="22"/>
          <w:szCs w:val="22"/>
        </w:rPr>
        <w:t>1.3%</w:t>
      </w:r>
      <w:r w:rsidR="002E6284" w:rsidRPr="00441A9C">
        <w:rPr>
          <w:rFonts w:ascii="Garamond" w:hAnsi="Garamond" w:cs="Sylfaen"/>
          <w:sz w:val="22"/>
          <w:szCs w:val="22"/>
        </w:rPr>
        <w:t xml:space="preserve"> </w:t>
      </w:r>
      <w:r w:rsidR="003C4C3E">
        <w:rPr>
          <w:rFonts w:ascii="Garamond" w:hAnsi="Garamond" w:cs="Sylfaen"/>
          <w:sz w:val="22"/>
          <w:szCs w:val="22"/>
        </w:rPr>
        <w:t xml:space="preserve">average </w:t>
      </w:r>
      <w:r w:rsidR="002D6B50" w:rsidRPr="00441A9C">
        <w:rPr>
          <w:rFonts w:ascii="Garamond" w:hAnsi="Garamond" w:cs="Sylfaen"/>
          <w:sz w:val="22"/>
          <w:szCs w:val="22"/>
        </w:rPr>
        <w:t>value during</w:t>
      </w:r>
      <w:r w:rsidR="002E6284" w:rsidRPr="00441A9C">
        <w:rPr>
          <w:rFonts w:ascii="Garamond" w:hAnsi="Garamond" w:cs="Sylfaen"/>
          <w:sz w:val="22"/>
          <w:szCs w:val="22"/>
        </w:rPr>
        <w:t xml:space="preserve"> the quarter. At the same time,</w:t>
      </w:r>
      <w:r w:rsidR="002D6B50" w:rsidRPr="00441A9C">
        <w:rPr>
          <w:rFonts w:ascii="Garamond" w:hAnsi="Garamond" w:cs="Sylfaen"/>
          <w:sz w:val="22"/>
          <w:szCs w:val="22"/>
        </w:rPr>
        <w:t xml:space="preserve"> economic activity has been </w:t>
      </w:r>
      <w:r w:rsidR="002E6284" w:rsidRPr="00441A9C">
        <w:rPr>
          <w:rFonts w:ascii="Garamond" w:hAnsi="Garamond" w:cs="Sylfaen"/>
          <w:sz w:val="22"/>
          <w:szCs w:val="22"/>
        </w:rPr>
        <w:t>high e</w:t>
      </w:r>
      <w:r w:rsidR="002D6B50" w:rsidRPr="00441A9C">
        <w:rPr>
          <w:rFonts w:ascii="Garamond" w:hAnsi="Garamond" w:cs="Sylfaen"/>
          <w:sz w:val="22"/>
          <w:szCs w:val="22"/>
        </w:rPr>
        <w:t xml:space="preserve">nough </w:t>
      </w:r>
      <w:r w:rsidR="002E6284" w:rsidRPr="00441A9C">
        <w:rPr>
          <w:rFonts w:ascii="Garamond" w:hAnsi="Garamond" w:cs="Sylfaen"/>
          <w:sz w:val="22"/>
          <w:szCs w:val="22"/>
        </w:rPr>
        <w:t xml:space="preserve">in the first half of the year; </w:t>
      </w:r>
      <w:r w:rsidR="002D6B50" w:rsidRPr="00441A9C">
        <w:rPr>
          <w:rFonts w:ascii="Garamond" w:hAnsi="Garamond" w:cs="Sylfaen"/>
          <w:sz w:val="22"/>
          <w:szCs w:val="22"/>
        </w:rPr>
        <w:t xml:space="preserve">expansionary </w:t>
      </w:r>
      <w:r w:rsidR="002E6284" w:rsidRPr="00441A9C">
        <w:rPr>
          <w:rFonts w:ascii="Garamond" w:hAnsi="Garamond" w:cs="Sylfaen"/>
          <w:sz w:val="22"/>
          <w:szCs w:val="22"/>
        </w:rPr>
        <w:t xml:space="preserve">monetary policy of the recent years </w:t>
      </w:r>
      <w:r w:rsidR="002D6B50" w:rsidRPr="00441A9C">
        <w:rPr>
          <w:rFonts w:ascii="Garamond" w:hAnsi="Garamond" w:cs="Sylfaen"/>
          <w:sz w:val="22"/>
          <w:szCs w:val="22"/>
        </w:rPr>
        <w:t xml:space="preserve">further </w:t>
      </w:r>
      <w:r w:rsidR="002E6284" w:rsidRPr="00441A9C">
        <w:rPr>
          <w:rFonts w:ascii="Garamond" w:hAnsi="Garamond" w:cs="Sylfaen"/>
          <w:sz w:val="22"/>
          <w:szCs w:val="22"/>
        </w:rPr>
        <w:t>contribute</w:t>
      </w:r>
      <w:r w:rsidR="002D6B50" w:rsidRPr="00441A9C">
        <w:rPr>
          <w:rFonts w:ascii="Garamond" w:hAnsi="Garamond" w:cs="Sylfaen"/>
          <w:sz w:val="22"/>
          <w:szCs w:val="22"/>
        </w:rPr>
        <w:t>d</w:t>
      </w:r>
      <w:r w:rsidR="002E6284" w:rsidRPr="00441A9C">
        <w:rPr>
          <w:rFonts w:ascii="Garamond" w:hAnsi="Garamond" w:cs="Sylfaen"/>
          <w:sz w:val="22"/>
          <w:szCs w:val="22"/>
        </w:rPr>
        <w:t xml:space="preserve"> to the recovery of domestic demand</w:t>
      </w:r>
      <w:r w:rsidR="002D6B50" w:rsidRPr="00441A9C">
        <w:rPr>
          <w:rFonts w:ascii="Garamond" w:hAnsi="Garamond" w:cs="Sylfaen"/>
          <w:sz w:val="22"/>
          <w:szCs w:val="22"/>
        </w:rPr>
        <w:t xml:space="preserve">, inflation expectations have notably </w:t>
      </w:r>
      <w:r w:rsidR="002E6284" w:rsidRPr="00441A9C">
        <w:rPr>
          <w:rFonts w:ascii="Garamond" w:hAnsi="Garamond" w:cs="Sylfaen"/>
          <w:sz w:val="22"/>
          <w:szCs w:val="22"/>
        </w:rPr>
        <w:t xml:space="preserve">diminished and inflationary risks </w:t>
      </w:r>
      <w:r w:rsidR="002D6B50" w:rsidRPr="00441A9C">
        <w:rPr>
          <w:rFonts w:ascii="Garamond" w:hAnsi="Garamond" w:cs="Sylfaen"/>
          <w:sz w:val="22"/>
          <w:szCs w:val="22"/>
        </w:rPr>
        <w:t xml:space="preserve">are estimated as </w:t>
      </w:r>
      <w:r w:rsidR="002E6284" w:rsidRPr="00441A9C">
        <w:rPr>
          <w:rFonts w:ascii="Garamond" w:hAnsi="Garamond" w:cs="Sylfaen"/>
          <w:sz w:val="22"/>
          <w:szCs w:val="22"/>
        </w:rPr>
        <w:t>mainly balanced. In the current situation</w:t>
      </w:r>
      <w:r w:rsidR="002D6B50" w:rsidRPr="00441A9C">
        <w:rPr>
          <w:rFonts w:ascii="Garamond" w:hAnsi="Garamond" w:cs="Sylfaen"/>
          <w:sz w:val="22"/>
          <w:szCs w:val="22"/>
        </w:rPr>
        <w:t>, taking into account the afore</w:t>
      </w:r>
      <w:r w:rsidR="002E6284" w:rsidRPr="00441A9C">
        <w:rPr>
          <w:rFonts w:ascii="Garamond" w:hAnsi="Garamond" w:cs="Sylfaen"/>
          <w:sz w:val="22"/>
          <w:szCs w:val="22"/>
        </w:rPr>
        <w:t xml:space="preserve">mentioned factors of influence and expectations of </w:t>
      </w:r>
      <w:r w:rsidR="002D6B50" w:rsidRPr="00441A9C">
        <w:rPr>
          <w:rFonts w:ascii="Garamond" w:hAnsi="Garamond" w:cs="Sylfaen"/>
          <w:sz w:val="22"/>
          <w:szCs w:val="22"/>
        </w:rPr>
        <w:t xml:space="preserve">persistently </w:t>
      </w:r>
      <w:r w:rsidR="002E6284" w:rsidRPr="00441A9C">
        <w:rPr>
          <w:rFonts w:ascii="Garamond" w:hAnsi="Garamond" w:cs="Sylfaen"/>
          <w:sz w:val="22"/>
          <w:szCs w:val="22"/>
        </w:rPr>
        <w:t xml:space="preserve">positive developments in external and domestic economies, the Central Bank left </w:t>
      </w:r>
      <w:r w:rsidR="002D6B50" w:rsidRPr="00441A9C">
        <w:rPr>
          <w:rFonts w:ascii="Garamond" w:hAnsi="Garamond" w:cs="Sylfaen"/>
          <w:sz w:val="22"/>
          <w:szCs w:val="22"/>
        </w:rPr>
        <w:t>m</w:t>
      </w:r>
      <w:r w:rsidR="002E6284" w:rsidRPr="00441A9C">
        <w:rPr>
          <w:rFonts w:ascii="Garamond" w:hAnsi="Garamond" w:cs="Sylfaen"/>
          <w:sz w:val="22"/>
          <w:szCs w:val="22"/>
        </w:rPr>
        <w:t xml:space="preserve">onetary conditions </w:t>
      </w:r>
      <w:r w:rsidR="002D6B50" w:rsidRPr="00441A9C">
        <w:rPr>
          <w:rFonts w:ascii="Garamond" w:hAnsi="Garamond" w:cs="Sylfaen"/>
          <w:sz w:val="22"/>
          <w:szCs w:val="22"/>
        </w:rPr>
        <w:t xml:space="preserve">unchanged </w:t>
      </w:r>
      <w:r w:rsidR="002E6284" w:rsidRPr="00441A9C">
        <w:rPr>
          <w:rFonts w:ascii="Garamond" w:hAnsi="Garamond" w:cs="Sylfaen"/>
          <w:sz w:val="22"/>
          <w:szCs w:val="22"/>
        </w:rPr>
        <w:t xml:space="preserve">in the second quarter, keeping the </w:t>
      </w:r>
      <w:r w:rsidR="002E6284" w:rsidRPr="00441A9C">
        <w:rPr>
          <w:rFonts w:ascii="Garamond" w:hAnsi="Garamond" w:cs="Sylfaen"/>
          <w:b/>
          <w:sz w:val="22"/>
          <w:szCs w:val="22"/>
        </w:rPr>
        <w:t xml:space="preserve">refinancing rate at </w:t>
      </w:r>
      <w:r w:rsidR="00900782" w:rsidRPr="00441A9C">
        <w:rPr>
          <w:rFonts w:ascii="Garamond" w:hAnsi="Garamond" w:cs="Sylfaen"/>
          <w:b/>
          <w:sz w:val="22"/>
          <w:szCs w:val="22"/>
        </w:rPr>
        <w:t xml:space="preserve">a </w:t>
      </w:r>
      <w:r w:rsidR="002E6284" w:rsidRPr="00441A9C">
        <w:rPr>
          <w:rFonts w:ascii="Garamond" w:hAnsi="Garamond" w:cs="Sylfaen"/>
          <w:b/>
          <w:sz w:val="22"/>
          <w:szCs w:val="22"/>
        </w:rPr>
        <w:t>6%</w:t>
      </w:r>
      <w:r w:rsidR="00900782" w:rsidRPr="00441A9C">
        <w:rPr>
          <w:rFonts w:ascii="Garamond" w:hAnsi="Garamond" w:cs="Sylfaen"/>
          <w:b/>
          <w:sz w:val="22"/>
          <w:szCs w:val="22"/>
        </w:rPr>
        <w:t xml:space="preserve"> level</w:t>
      </w:r>
      <w:r w:rsidR="002E6284" w:rsidRPr="00441A9C">
        <w:rPr>
          <w:rFonts w:ascii="Garamond" w:hAnsi="Garamond" w:cs="Sylfaen"/>
          <w:sz w:val="22"/>
          <w:szCs w:val="22"/>
        </w:rPr>
        <w:t xml:space="preserve">. Nevertheless, </w:t>
      </w:r>
      <w:r w:rsidR="00900782" w:rsidRPr="00441A9C">
        <w:rPr>
          <w:rFonts w:ascii="Garamond" w:hAnsi="Garamond" w:cs="Sylfaen"/>
          <w:sz w:val="22"/>
          <w:szCs w:val="22"/>
        </w:rPr>
        <w:t xml:space="preserve">as the Central Bank reckons, </w:t>
      </w:r>
      <w:r w:rsidR="002E6284" w:rsidRPr="00441A9C">
        <w:rPr>
          <w:rFonts w:ascii="Garamond" w:hAnsi="Garamond" w:cs="Sylfaen"/>
          <w:sz w:val="22"/>
          <w:szCs w:val="22"/>
        </w:rPr>
        <w:t>such a policy is still e</w:t>
      </w:r>
      <w:r w:rsidR="00900782" w:rsidRPr="00441A9C">
        <w:rPr>
          <w:rFonts w:ascii="Garamond" w:hAnsi="Garamond" w:cs="Sylfaen"/>
          <w:sz w:val="22"/>
          <w:szCs w:val="22"/>
        </w:rPr>
        <w:t xml:space="preserve">xpansionary, </w:t>
      </w:r>
      <w:r w:rsidR="002E6284" w:rsidRPr="00441A9C">
        <w:rPr>
          <w:rFonts w:ascii="Garamond" w:hAnsi="Garamond" w:cs="Sylfaen"/>
          <w:sz w:val="22"/>
          <w:szCs w:val="22"/>
        </w:rPr>
        <w:t xml:space="preserve">in which case the inflation will continue </w:t>
      </w:r>
      <w:r w:rsidR="00900782" w:rsidRPr="00441A9C">
        <w:rPr>
          <w:rFonts w:ascii="Garamond" w:hAnsi="Garamond" w:cs="Sylfaen"/>
          <w:sz w:val="22"/>
          <w:szCs w:val="22"/>
        </w:rPr>
        <w:t xml:space="preserve">to grow; it will hit the confidence band </w:t>
      </w:r>
      <w:r w:rsidR="002E6284" w:rsidRPr="00441A9C">
        <w:rPr>
          <w:rFonts w:ascii="Garamond" w:hAnsi="Garamond" w:cs="Sylfaen"/>
          <w:sz w:val="22"/>
          <w:szCs w:val="22"/>
        </w:rPr>
        <w:t>in 2017 and stabilize around the target</w:t>
      </w:r>
      <w:r w:rsidR="00900782" w:rsidRPr="00441A9C">
        <w:rPr>
          <w:rFonts w:ascii="Garamond" w:hAnsi="Garamond" w:cs="Sylfaen"/>
          <w:sz w:val="22"/>
          <w:szCs w:val="22"/>
        </w:rPr>
        <w:t xml:space="preserve"> in the forecast horizon</w:t>
      </w:r>
      <w:r w:rsidR="002E6284" w:rsidRPr="00441A9C">
        <w:rPr>
          <w:rFonts w:ascii="Garamond" w:hAnsi="Garamond" w:cs="Sylfaen"/>
          <w:sz w:val="22"/>
          <w:szCs w:val="22"/>
        </w:rPr>
        <w:t>.</w:t>
      </w:r>
    </w:p>
    <w:p w14:paraId="7799BF96" w14:textId="77777777" w:rsidR="00B4469C" w:rsidRPr="00441A9C" w:rsidRDefault="00B4469C" w:rsidP="0041702C">
      <w:pPr>
        <w:spacing w:line="360" w:lineRule="auto"/>
        <w:jc w:val="both"/>
        <w:rPr>
          <w:rFonts w:ascii="Garamond" w:hAnsi="Garamond" w:cs="Sylfaen"/>
          <w:sz w:val="22"/>
          <w:szCs w:val="22"/>
        </w:rPr>
      </w:pPr>
    </w:p>
    <w:p w14:paraId="6057C6B1" w14:textId="77777777" w:rsidR="00B01C5D" w:rsidRPr="00441A9C" w:rsidRDefault="00B01C5D" w:rsidP="00FF3CD9">
      <w:pPr>
        <w:spacing w:line="360" w:lineRule="auto"/>
        <w:jc w:val="both"/>
        <w:rPr>
          <w:rFonts w:ascii="Garamond" w:hAnsi="Garamond" w:cs="Sylfaen"/>
          <w:b/>
          <w:color w:val="000000"/>
          <w:sz w:val="22"/>
          <w:szCs w:val="22"/>
        </w:rPr>
      </w:pPr>
      <w:r w:rsidRPr="00441A9C">
        <w:rPr>
          <w:rFonts w:ascii="Garamond" w:hAnsi="Garamond" w:cs="Sylfaen"/>
          <w:b/>
          <w:color w:val="000000"/>
          <w:sz w:val="22"/>
          <w:szCs w:val="22"/>
        </w:rPr>
        <w:t xml:space="preserve">3.1.2. </w:t>
      </w:r>
      <w:r w:rsidR="00FF7337" w:rsidRPr="00441A9C">
        <w:rPr>
          <w:rFonts w:ascii="Garamond" w:hAnsi="Garamond" w:cs="Sylfaen"/>
          <w:b/>
          <w:color w:val="000000"/>
          <w:sz w:val="22"/>
          <w:szCs w:val="22"/>
        </w:rPr>
        <w:t>Import prices and producer prices</w:t>
      </w:r>
    </w:p>
    <w:p w14:paraId="226E4F0B" w14:textId="77777777" w:rsidR="00FF7337" w:rsidRPr="00441A9C" w:rsidRDefault="00FF7337" w:rsidP="00FF3CD9">
      <w:pPr>
        <w:spacing w:line="360" w:lineRule="auto"/>
        <w:jc w:val="both"/>
        <w:rPr>
          <w:rFonts w:ascii="Garamond" w:hAnsi="Garamond" w:cs="Sylfaen"/>
          <w:b/>
          <w:color w:val="000000"/>
          <w:sz w:val="22"/>
          <w:szCs w:val="22"/>
        </w:rPr>
      </w:pPr>
    </w:p>
    <w:p w14:paraId="7CDB0B32" w14:textId="38BC4567" w:rsidR="00477644" w:rsidRPr="00441A9C" w:rsidRDefault="00FF7337" w:rsidP="00FF3CD9">
      <w:pPr>
        <w:spacing w:line="360" w:lineRule="auto"/>
        <w:jc w:val="both"/>
        <w:rPr>
          <w:rStyle w:val="longtext"/>
          <w:rFonts w:ascii="Garamond" w:hAnsi="Garamond"/>
          <w:sz w:val="22"/>
          <w:szCs w:val="22"/>
        </w:rPr>
      </w:pPr>
      <w:r w:rsidRPr="00441A9C">
        <w:rPr>
          <w:rFonts w:ascii="Garamond" w:hAnsi="Garamond"/>
          <w:b/>
          <w:sz w:val="22"/>
          <w:szCs w:val="22"/>
        </w:rPr>
        <w:t>Import prices:</w:t>
      </w:r>
      <w:r w:rsidR="002A11DD" w:rsidRPr="00441A9C">
        <w:rPr>
          <w:rFonts w:ascii="Garamond" w:hAnsi="Garamond"/>
          <w:b/>
          <w:sz w:val="22"/>
          <w:szCs w:val="22"/>
          <w:lang w:val="hy-AM"/>
        </w:rPr>
        <w:t xml:space="preserve"> </w:t>
      </w:r>
      <w:r w:rsidR="00A35F3D" w:rsidRPr="00441A9C">
        <w:rPr>
          <w:rFonts w:ascii="Garamond" w:hAnsi="Garamond"/>
          <w:sz w:val="22"/>
          <w:szCs w:val="22"/>
        </w:rPr>
        <w:t xml:space="preserve">in the </w:t>
      </w:r>
      <w:r w:rsidR="00900782" w:rsidRPr="00441A9C">
        <w:rPr>
          <w:rFonts w:ascii="Garamond" w:hAnsi="Garamond"/>
          <w:sz w:val="22"/>
          <w:szCs w:val="22"/>
        </w:rPr>
        <w:t>second</w:t>
      </w:r>
      <w:r w:rsidR="00F93F19" w:rsidRPr="00441A9C">
        <w:rPr>
          <w:rFonts w:ascii="Garamond" w:hAnsi="Garamond"/>
          <w:sz w:val="22"/>
          <w:szCs w:val="22"/>
        </w:rPr>
        <w:t xml:space="preserve"> </w:t>
      </w:r>
      <w:r w:rsidR="00A35F3D" w:rsidRPr="00441A9C">
        <w:rPr>
          <w:rFonts w:ascii="Garamond" w:hAnsi="Garamond"/>
          <w:sz w:val="22"/>
          <w:szCs w:val="22"/>
        </w:rPr>
        <w:t>quarter of 201</w:t>
      </w:r>
      <w:r w:rsidR="00F93F19" w:rsidRPr="00441A9C">
        <w:rPr>
          <w:rFonts w:ascii="Garamond" w:hAnsi="Garamond"/>
          <w:sz w:val="22"/>
          <w:szCs w:val="22"/>
        </w:rPr>
        <w:t>7</w:t>
      </w:r>
      <w:r w:rsidR="00A35F3D" w:rsidRPr="00441A9C">
        <w:rPr>
          <w:rFonts w:ascii="Garamond" w:hAnsi="Garamond"/>
          <w:sz w:val="22"/>
          <w:szCs w:val="22"/>
        </w:rPr>
        <w:t xml:space="preserve"> </w:t>
      </w:r>
      <w:r w:rsidRPr="00441A9C">
        <w:rPr>
          <w:rFonts w:ascii="Garamond" w:hAnsi="Garamond"/>
          <w:sz w:val="22"/>
          <w:szCs w:val="22"/>
        </w:rPr>
        <w:t xml:space="preserve">the </w:t>
      </w:r>
      <w:r w:rsidR="00900782" w:rsidRPr="00441A9C">
        <w:rPr>
          <w:rFonts w:ascii="Garamond" w:hAnsi="Garamond"/>
          <w:sz w:val="22"/>
          <w:szCs w:val="22"/>
        </w:rPr>
        <w:t xml:space="preserve">growth of </w:t>
      </w:r>
      <w:r w:rsidRPr="00441A9C">
        <w:rPr>
          <w:rFonts w:ascii="Garamond" w:hAnsi="Garamond"/>
          <w:sz w:val="22"/>
          <w:szCs w:val="22"/>
        </w:rPr>
        <w:t>dollar prices of import of goods and services</w:t>
      </w:r>
      <w:r w:rsidR="00900782" w:rsidRPr="00441A9C">
        <w:rPr>
          <w:rFonts w:ascii="Garamond" w:hAnsi="Garamond"/>
          <w:sz w:val="22"/>
          <w:szCs w:val="22"/>
        </w:rPr>
        <w:t xml:space="preserve"> to Armenia slowed to </w:t>
      </w:r>
      <w:r w:rsidR="00F93F19" w:rsidRPr="00441A9C">
        <w:rPr>
          <w:rFonts w:ascii="Garamond" w:hAnsi="Garamond"/>
          <w:sz w:val="22"/>
          <w:szCs w:val="22"/>
        </w:rPr>
        <w:t>1</w:t>
      </w:r>
      <w:r w:rsidRPr="00441A9C">
        <w:rPr>
          <w:rFonts w:ascii="Garamond" w:hAnsi="Garamond"/>
          <w:sz w:val="22"/>
          <w:szCs w:val="22"/>
        </w:rPr>
        <w:t>.</w:t>
      </w:r>
      <w:r w:rsidR="00900782" w:rsidRPr="00441A9C">
        <w:rPr>
          <w:rFonts w:ascii="Garamond" w:hAnsi="Garamond"/>
          <w:sz w:val="22"/>
          <w:szCs w:val="22"/>
        </w:rPr>
        <w:t>0</w:t>
      </w:r>
      <w:r w:rsidRPr="00441A9C">
        <w:rPr>
          <w:rFonts w:ascii="Garamond" w:hAnsi="Garamond"/>
          <w:sz w:val="22"/>
          <w:szCs w:val="22"/>
        </w:rPr>
        <w:t>% q/q</w:t>
      </w:r>
      <w:r w:rsidR="00F93F19" w:rsidRPr="00441A9C">
        <w:rPr>
          <w:rFonts w:ascii="Garamond" w:hAnsi="Garamond"/>
          <w:sz w:val="22"/>
          <w:szCs w:val="22"/>
        </w:rPr>
        <w:t xml:space="preserve"> on average</w:t>
      </w:r>
      <w:r w:rsidR="006A0B32" w:rsidRPr="00441A9C">
        <w:rPr>
          <w:rFonts w:ascii="Garamond" w:hAnsi="Garamond"/>
          <w:sz w:val="22"/>
          <w:szCs w:val="22"/>
        </w:rPr>
        <w:t>.</w:t>
      </w:r>
      <w:r w:rsidR="001C4340" w:rsidRPr="00441A9C">
        <w:rPr>
          <w:rFonts w:ascii="Garamond" w:hAnsi="Garamond"/>
          <w:sz w:val="22"/>
          <w:szCs w:val="22"/>
        </w:rPr>
        <w:t xml:space="preserve"> The growth over the same </w:t>
      </w:r>
      <w:r w:rsidR="00F93F19" w:rsidRPr="00441A9C">
        <w:rPr>
          <w:rFonts w:ascii="Garamond" w:hAnsi="Garamond"/>
          <w:sz w:val="22"/>
          <w:szCs w:val="22"/>
        </w:rPr>
        <w:t xml:space="preserve">reference </w:t>
      </w:r>
      <w:r w:rsidR="001C4340" w:rsidRPr="00441A9C">
        <w:rPr>
          <w:rFonts w:ascii="Garamond" w:hAnsi="Garamond"/>
          <w:sz w:val="22"/>
          <w:szCs w:val="22"/>
        </w:rPr>
        <w:t xml:space="preserve">period last year amounted to </w:t>
      </w:r>
      <w:r w:rsidR="00900782" w:rsidRPr="00441A9C">
        <w:rPr>
          <w:rFonts w:ascii="Garamond" w:hAnsi="Garamond"/>
          <w:sz w:val="22"/>
          <w:szCs w:val="22"/>
        </w:rPr>
        <w:t>2</w:t>
      </w:r>
      <w:r w:rsidR="001C4340" w:rsidRPr="00441A9C">
        <w:rPr>
          <w:rFonts w:ascii="Garamond" w:hAnsi="Garamond"/>
          <w:sz w:val="22"/>
          <w:szCs w:val="22"/>
        </w:rPr>
        <w:t>.</w:t>
      </w:r>
      <w:r w:rsidR="00F93F19" w:rsidRPr="00441A9C">
        <w:rPr>
          <w:rFonts w:ascii="Garamond" w:hAnsi="Garamond"/>
          <w:sz w:val="22"/>
          <w:szCs w:val="22"/>
        </w:rPr>
        <w:t>7</w:t>
      </w:r>
      <w:r w:rsidR="001C4340" w:rsidRPr="00441A9C">
        <w:rPr>
          <w:rFonts w:ascii="Garamond" w:hAnsi="Garamond"/>
          <w:sz w:val="22"/>
          <w:szCs w:val="22"/>
        </w:rPr>
        <w:t>% y/y.</w:t>
      </w:r>
      <w:r w:rsidR="00CC1F5C" w:rsidRPr="00441A9C">
        <w:rPr>
          <w:rFonts w:ascii="Garamond" w:hAnsi="Garamond"/>
          <w:sz w:val="22"/>
          <w:szCs w:val="22"/>
        </w:rPr>
        <w:t xml:space="preserve"> </w:t>
      </w:r>
      <w:r w:rsidRPr="00441A9C">
        <w:rPr>
          <w:rStyle w:val="longtext"/>
          <w:rFonts w:ascii="Garamond" w:hAnsi="Garamond"/>
          <w:sz w:val="22"/>
          <w:szCs w:val="22"/>
          <w:shd w:val="clear" w:color="auto" w:fill="FFFFFF"/>
        </w:rPr>
        <w:t xml:space="preserve">The </w:t>
      </w:r>
      <w:r w:rsidR="00CC1F5C" w:rsidRPr="00441A9C">
        <w:rPr>
          <w:rStyle w:val="longtext"/>
          <w:rFonts w:ascii="Garamond" w:hAnsi="Garamond"/>
          <w:sz w:val="22"/>
          <w:szCs w:val="22"/>
          <w:shd w:val="clear" w:color="auto" w:fill="FFFFFF"/>
        </w:rPr>
        <w:t xml:space="preserve">slowing of growth </w:t>
      </w:r>
      <w:r w:rsidRPr="00441A9C">
        <w:rPr>
          <w:rStyle w:val="longtext"/>
          <w:rFonts w:ascii="Garamond" w:hAnsi="Garamond"/>
          <w:sz w:val="22"/>
          <w:szCs w:val="22"/>
          <w:shd w:val="clear" w:color="auto" w:fill="FFFFFF"/>
        </w:rPr>
        <w:t xml:space="preserve">in dollar prices of import was </w:t>
      </w:r>
      <w:r w:rsidR="00211DA2" w:rsidRPr="00441A9C">
        <w:rPr>
          <w:rStyle w:val="longtext"/>
          <w:rFonts w:ascii="Garamond" w:hAnsi="Garamond"/>
          <w:sz w:val="22"/>
          <w:szCs w:val="22"/>
          <w:shd w:val="clear" w:color="auto" w:fill="FFFFFF"/>
        </w:rPr>
        <w:t>d</w:t>
      </w:r>
      <w:r w:rsidR="00331B03" w:rsidRPr="00441A9C">
        <w:rPr>
          <w:rStyle w:val="longtext"/>
          <w:rFonts w:ascii="Garamond" w:hAnsi="Garamond"/>
          <w:sz w:val="22"/>
          <w:szCs w:val="22"/>
          <w:shd w:val="clear" w:color="auto" w:fill="FFFFFF"/>
        </w:rPr>
        <w:t xml:space="preserve">riven </w:t>
      </w:r>
      <w:r w:rsidR="00211DA2" w:rsidRPr="00441A9C">
        <w:rPr>
          <w:rStyle w:val="longtext"/>
          <w:rFonts w:ascii="Garamond" w:hAnsi="Garamond"/>
          <w:sz w:val="22"/>
          <w:szCs w:val="22"/>
          <w:shd w:val="clear" w:color="auto" w:fill="FFFFFF"/>
        </w:rPr>
        <w:t xml:space="preserve">by </w:t>
      </w:r>
      <w:r w:rsidR="00001DFD" w:rsidRPr="00441A9C">
        <w:rPr>
          <w:rStyle w:val="longtext"/>
          <w:rFonts w:ascii="Garamond" w:hAnsi="Garamond"/>
          <w:sz w:val="22"/>
          <w:szCs w:val="22"/>
          <w:shd w:val="clear" w:color="auto" w:fill="FFFFFF"/>
        </w:rPr>
        <w:t xml:space="preserve">slower growing prices of iron ore in world markets and weaker y/y appreciation of Russian ruble, which </w:t>
      </w:r>
      <w:proofErr w:type="gramStart"/>
      <w:r w:rsidR="00FD42FB">
        <w:rPr>
          <w:rStyle w:val="longtext"/>
          <w:rFonts w:ascii="Garamond" w:hAnsi="Garamond"/>
          <w:sz w:val="22"/>
          <w:szCs w:val="22"/>
          <w:shd w:val="clear" w:color="auto" w:fill="FFFFFF"/>
        </w:rPr>
        <w:t xml:space="preserve">brings </w:t>
      </w:r>
      <w:r w:rsidR="00001DFD" w:rsidRPr="00441A9C">
        <w:rPr>
          <w:rStyle w:val="longtext"/>
          <w:rFonts w:ascii="Garamond" w:hAnsi="Garamond"/>
          <w:sz w:val="22"/>
          <w:szCs w:val="22"/>
          <w:shd w:val="clear" w:color="auto" w:fill="FFFFFF"/>
        </w:rPr>
        <w:t xml:space="preserve"> the</w:t>
      </w:r>
      <w:proofErr w:type="gramEnd"/>
      <w:r w:rsidR="00001DFD" w:rsidRPr="00441A9C">
        <w:rPr>
          <w:rStyle w:val="longtext"/>
          <w:rFonts w:ascii="Garamond" w:hAnsi="Garamond"/>
          <w:sz w:val="22"/>
          <w:szCs w:val="22"/>
          <w:shd w:val="clear" w:color="auto" w:fill="FFFFFF"/>
        </w:rPr>
        <w:t xml:space="preserve"> slowdown in</w:t>
      </w:r>
      <w:r w:rsidR="00FD42FB">
        <w:rPr>
          <w:rStyle w:val="longtext"/>
          <w:rFonts w:ascii="Garamond" w:hAnsi="Garamond"/>
          <w:sz w:val="22"/>
          <w:szCs w:val="22"/>
          <w:shd w:val="clear" w:color="auto" w:fill="FFFFFF"/>
        </w:rPr>
        <w:t xml:space="preserve"> growth rates of</w:t>
      </w:r>
      <w:r w:rsidR="00001DFD" w:rsidRPr="00441A9C">
        <w:rPr>
          <w:rStyle w:val="longtext"/>
          <w:rFonts w:ascii="Garamond" w:hAnsi="Garamond"/>
          <w:sz w:val="22"/>
          <w:szCs w:val="22"/>
          <w:shd w:val="clear" w:color="auto" w:fill="FFFFFF"/>
        </w:rPr>
        <w:t xml:space="preserve"> dollar prices of consumer goods imported from this country.</w:t>
      </w:r>
      <w:r w:rsidR="00477644" w:rsidRPr="00441A9C">
        <w:rPr>
          <w:rStyle w:val="longtext"/>
          <w:rFonts w:ascii="Garamond" w:hAnsi="Garamond"/>
          <w:sz w:val="22"/>
          <w:szCs w:val="22"/>
          <w:shd w:val="clear" w:color="auto" w:fill="FFFFFF"/>
        </w:rPr>
        <w:t xml:space="preserve"> </w:t>
      </w:r>
    </w:p>
    <w:p w14:paraId="7A4971D3" w14:textId="77777777" w:rsidR="00477644" w:rsidRPr="00441A9C" w:rsidRDefault="00477644" w:rsidP="00FF3CD9">
      <w:pPr>
        <w:spacing w:line="360" w:lineRule="auto"/>
        <w:jc w:val="both"/>
        <w:rPr>
          <w:rStyle w:val="longtext"/>
          <w:rFonts w:ascii="Garamond" w:hAnsi="Garamond"/>
          <w:sz w:val="22"/>
          <w:szCs w:val="22"/>
          <w:shd w:val="clear" w:color="auto" w:fill="FFFFFF"/>
        </w:rPr>
      </w:pPr>
    </w:p>
    <w:p w14:paraId="6EA0A4CF" w14:textId="77777777" w:rsidR="004A0D05" w:rsidRPr="00441A9C" w:rsidRDefault="004A0D05" w:rsidP="00FF3CD9">
      <w:pPr>
        <w:spacing w:line="360" w:lineRule="auto"/>
        <w:jc w:val="both"/>
        <w:rPr>
          <w:rFonts w:ascii="Garamond" w:hAnsi="Garamond"/>
          <w:sz w:val="22"/>
          <w:szCs w:val="22"/>
        </w:rPr>
      </w:pPr>
      <w:r w:rsidRPr="00441A9C">
        <w:rPr>
          <w:rFonts w:ascii="Garamond" w:hAnsi="Garamond" w:cs="Sylfaen"/>
          <w:b/>
          <w:sz w:val="22"/>
          <w:szCs w:val="22"/>
        </w:rPr>
        <w:lastRenderedPageBreak/>
        <w:t>Producer prices</w:t>
      </w:r>
      <w:r w:rsidR="0089155E" w:rsidRPr="00441A9C">
        <w:rPr>
          <w:rStyle w:val="FootnoteReference"/>
          <w:rFonts w:ascii="Garamond" w:hAnsi="Garamond"/>
          <w:b/>
          <w:sz w:val="22"/>
          <w:szCs w:val="22"/>
        </w:rPr>
        <w:footnoteReference w:customMarkFollows="1" w:id="10"/>
        <w:t>12</w:t>
      </w:r>
      <w:r w:rsidRPr="00441A9C">
        <w:rPr>
          <w:rFonts w:ascii="Garamond" w:hAnsi="Garamond"/>
          <w:b/>
          <w:sz w:val="22"/>
          <w:szCs w:val="22"/>
        </w:rPr>
        <w:t>:</w:t>
      </w:r>
      <w:r w:rsidR="002A11DD" w:rsidRPr="00441A9C">
        <w:rPr>
          <w:rFonts w:ascii="Garamond" w:hAnsi="Garamond"/>
          <w:b/>
          <w:sz w:val="22"/>
          <w:szCs w:val="22"/>
          <w:lang w:val="hy-AM"/>
        </w:rPr>
        <w:t xml:space="preserve"> </w:t>
      </w:r>
      <w:r w:rsidR="0089155E" w:rsidRPr="00441A9C">
        <w:rPr>
          <w:rFonts w:ascii="Garamond" w:hAnsi="Garamond"/>
          <w:sz w:val="22"/>
          <w:szCs w:val="22"/>
        </w:rPr>
        <w:t xml:space="preserve">according to the Central Bank estimates, </w:t>
      </w:r>
      <w:r w:rsidR="002039B9" w:rsidRPr="00441A9C">
        <w:rPr>
          <w:rFonts w:ascii="Garamond" w:hAnsi="Garamond"/>
          <w:sz w:val="22"/>
          <w:szCs w:val="22"/>
        </w:rPr>
        <w:t>the GDP deflator in January-</w:t>
      </w:r>
      <w:r w:rsidR="00001DFD" w:rsidRPr="00441A9C">
        <w:rPr>
          <w:rFonts w:ascii="Garamond" w:hAnsi="Garamond"/>
          <w:sz w:val="22"/>
          <w:szCs w:val="22"/>
        </w:rPr>
        <w:t>June</w:t>
      </w:r>
      <w:r w:rsidR="002039B9" w:rsidRPr="00441A9C">
        <w:rPr>
          <w:rFonts w:ascii="Garamond" w:hAnsi="Garamond"/>
          <w:sz w:val="22"/>
          <w:szCs w:val="22"/>
        </w:rPr>
        <w:t xml:space="preserve"> 201</w:t>
      </w:r>
      <w:r w:rsidR="0089155E" w:rsidRPr="00441A9C">
        <w:rPr>
          <w:rFonts w:ascii="Garamond" w:hAnsi="Garamond"/>
          <w:sz w:val="22"/>
          <w:szCs w:val="22"/>
        </w:rPr>
        <w:t>7</w:t>
      </w:r>
      <w:r w:rsidR="002039B9" w:rsidRPr="00441A9C">
        <w:rPr>
          <w:rFonts w:ascii="Garamond" w:hAnsi="Garamond"/>
          <w:sz w:val="22"/>
          <w:szCs w:val="22"/>
        </w:rPr>
        <w:t xml:space="preserve"> has </w:t>
      </w:r>
      <w:r w:rsidR="000C5D85" w:rsidRPr="00441A9C">
        <w:rPr>
          <w:rFonts w:ascii="Garamond" w:hAnsi="Garamond"/>
          <w:sz w:val="22"/>
          <w:szCs w:val="22"/>
        </w:rPr>
        <w:t>increased by a</w:t>
      </w:r>
      <w:r w:rsidR="0089155E" w:rsidRPr="00441A9C">
        <w:rPr>
          <w:rFonts w:ascii="Garamond" w:hAnsi="Garamond"/>
          <w:sz w:val="22"/>
          <w:szCs w:val="22"/>
        </w:rPr>
        <w:t>bout</w:t>
      </w:r>
      <w:r w:rsidR="000C5D85" w:rsidRPr="00441A9C">
        <w:rPr>
          <w:rFonts w:ascii="Garamond" w:hAnsi="Garamond"/>
          <w:sz w:val="22"/>
          <w:szCs w:val="22"/>
        </w:rPr>
        <w:t xml:space="preserve"> 1.</w:t>
      </w:r>
      <w:r w:rsidR="00001DFD" w:rsidRPr="00441A9C">
        <w:rPr>
          <w:rFonts w:ascii="Garamond" w:hAnsi="Garamond"/>
          <w:sz w:val="22"/>
          <w:szCs w:val="22"/>
        </w:rPr>
        <w:t>4</w:t>
      </w:r>
      <w:r w:rsidR="000C5D85" w:rsidRPr="00441A9C">
        <w:rPr>
          <w:rFonts w:ascii="Garamond" w:hAnsi="Garamond"/>
          <w:sz w:val="22"/>
          <w:szCs w:val="22"/>
        </w:rPr>
        <w:t>% i</w:t>
      </w:r>
      <w:r w:rsidR="002039B9" w:rsidRPr="00441A9C">
        <w:rPr>
          <w:rFonts w:ascii="Garamond" w:hAnsi="Garamond"/>
          <w:sz w:val="22"/>
          <w:szCs w:val="22"/>
        </w:rPr>
        <w:t xml:space="preserve">n relation to the same period last year, </w:t>
      </w:r>
      <w:r w:rsidR="0089155E" w:rsidRPr="00441A9C">
        <w:rPr>
          <w:rFonts w:ascii="Garamond" w:hAnsi="Garamond"/>
          <w:sz w:val="22"/>
          <w:szCs w:val="22"/>
        </w:rPr>
        <w:t>which is in line with previous forecasts</w:t>
      </w:r>
      <w:r w:rsidR="002039B9" w:rsidRPr="00441A9C">
        <w:rPr>
          <w:rFonts w:ascii="Garamond" w:hAnsi="Garamond"/>
          <w:sz w:val="22"/>
          <w:szCs w:val="22"/>
        </w:rPr>
        <w:t>.</w:t>
      </w:r>
      <w:r w:rsidR="00A0249E" w:rsidRPr="00441A9C">
        <w:rPr>
          <w:rFonts w:ascii="Garamond" w:hAnsi="Garamond"/>
          <w:sz w:val="22"/>
          <w:szCs w:val="22"/>
        </w:rPr>
        <w:t xml:space="preserve"> </w:t>
      </w:r>
      <w:r w:rsidR="00001DFD" w:rsidRPr="00441A9C">
        <w:rPr>
          <w:rFonts w:ascii="Garamond" w:hAnsi="Garamond"/>
          <w:sz w:val="22"/>
          <w:szCs w:val="22"/>
        </w:rPr>
        <w:t xml:space="preserve">Consistent with the previous forecasts, there has been a y/y rise in prices by 5.0% in </w:t>
      </w:r>
      <w:r w:rsidR="00001DFD" w:rsidRPr="00441A9C">
        <w:rPr>
          <w:rFonts w:ascii="Garamond" w:hAnsi="Garamond"/>
          <w:b/>
          <w:sz w:val="22"/>
          <w:szCs w:val="22"/>
        </w:rPr>
        <w:t>Industry</w:t>
      </w:r>
      <w:r w:rsidR="00001DFD" w:rsidRPr="00441A9C">
        <w:rPr>
          <w:rFonts w:ascii="Garamond" w:hAnsi="Garamond"/>
          <w:sz w:val="22"/>
          <w:szCs w:val="22"/>
        </w:rPr>
        <w:t xml:space="preserve">, </w:t>
      </w:r>
      <w:r w:rsidR="007C4F85" w:rsidRPr="00441A9C">
        <w:rPr>
          <w:rFonts w:ascii="Garamond" w:hAnsi="Garamond"/>
          <w:sz w:val="22"/>
          <w:szCs w:val="22"/>
        </w:rPr>
        <w:t xml:space="preserve">no </w:t>
      </w:r>
      <w:r w:rsidR="00001DFD" w:rsidRPr="00441A9C">
        <w:rPr>
          <w:rFonts w:ascii="Garamond" w:hAnsi="Garamond"/>
          <w:sz w:val="22"/>
          <w:szCs w:val="22"/>
        </w:rPr>
        <w:t xml:space="preserve">significant price changes have </w:t>
      </w:r>
      <w:r w:rsidR="007C4F85" w:rsidRPr="00441A9C">
        <w:rPr>
          <w:rFonts w:ascii="Garamond" w:hAnsi="Garamond"/>
          <w:sz w:val="22"/>
          <w:szCs w:val="22"/>
        </w:rPr>
        <w:t xml:space="preserve">been reported </w:t>
      </w:r>
      <w:r w:rsidR="007C4F85" w:rsidRPr="00441A9C">
        <w:rPr>
          <w:rFonts w:ascii="Garamond" w:hAnsi="Garamond"/>
          <w:b/>
          <w:sz w:val="22"/>
          <w:szCs w:val="22"/>
        </w:rPr>
        <w:t>A</w:t>
      </w:r>
      <w:r w:rsidR="00001DFD" w:rsidRPr="00441A9C">
        <w:rPr>
          <w:rFonts w:ascii="Garamond" w:hAnsi="Garamond"/>
          <w:b/>
          <w:sz w:val="22"/>
          <w:szCs w:val="22"/>
        </w:rPr>
        <w:t>gricultur</w:t>
      </w:r>
      <w:r w:rsidR="007C4F85" w:rsidRPr="00441A9C">
        <w:rPr>
          <w:rFonts w:ascii="Garamond" w:hAnsi="Garamond"/>
          <w:b/>
          <w:sz w:val="22"/>
          <w:szCs w:val="22"/>
        </w:rPr>
        <w:t>e</w:t>
      </w:r>
      <w:r w:rsidR="007C4F85" w:rsidRPr="00441A9C">
        <w:rPr>
          <w:rFonts w:ascii="Garamond" w:hAnsi="Garamond"/>
          <w:sz w:val="22"/>
          <w:szCs w:val="22"/>
        </w:rPr>
        <w:t xml:space="preserve"> </w:t>
      </w:r>
      <w:r w:rsidR="00001DFD" w:rsidRPr="00441A9C">
        <w:rPr>
          <w:rFonts w:ascii="Garamond" w:hAnsi="Garamond"/>
          <w:sz w:val="22"/>
          <w:szCs w:val="22"/>
        </w:rPr>
        <w:t xml:space="preserve">and </w:t>
      </w:r>
      <w:r w:rsidR="007C4F85" w:rsidRPr="00441A9C">
        <w:rPr>
          <w:rFonts w:ascii="Garamond" w:hAnsi="Garamond"/>
          <w:b/>
          <w:sz w:val="22"/>
          <w:szCs w:val="22"/>
        </w:rPr>
        <w:t>S</w:t>
      </w:r>
      <w:r w:rsidR="00001DFD" w:rsidRPr="00441A9C">
        <w:rPr>
          <w:rFonts w:ascii="Garamond" w:hAnsi="Garamond"/>
          <w:b/>
          <w:sz w:val="22"/>
          <w:szCs w:val="22"/>
        </w:rPr>
        <w:t>ervices</w:t>
      </w:r>
      <w:r w:rsidR="00001DFD" w:rsidRPr="00441A9C">
        <w:rPr>
          <w:rFonts w:ascii="Garamond" w:hAnsi="Garamond"/>
          <w:sz w:val="22"/>
          <w:szCs w:val="22"/>
        </w:rPr>
        <w:t>, wh</w:t>
      </w:r>
      <w:r w:rsidR="007C4F85" w:rsidRPr="00441A9C">
        <w:rPr>
          <w:rFonts w:ascii="Garamond" w:hAnsi="Garamond"/>
          <w:sz w:val="22"/>
          <w:szCs w:val="22"/>
        </w:rPr>
        <w:t>ereas</w:t>
      </w:r>
      <w:r w:rsidR="00001DFD" w:rsidRPr="00441A9C">
        <w:rPr>
          <w:rFonts w:ascii="Garamond" w:hAnsi="Garamond"/>
          <w:sz w:val="22"/>
          <w:szCs w:val="22"/>
        </w:rPr>
        <w:t xml:space="preserve"> </w:t>
      </w:r>
      <w:r w:rsidR="007C4F85" w:rsidRPr="00441A9C">
        <w:rPr>
          <w:rFonts w:ascii="Garamond" w:hAnsi="Garamond"/>
          <w:sz w:val="22"/>
          <w:szCs w:val="22"/>
        </w:rPr>
        <w:t xml:space="preserve">a 2.0% y/y price deflation has been registered in </w:t>
      </w:r>
      <w:r w:rsidR="007C4F85" w:rsidRPr="00441A9C">
        <w:rPr>
          <w:rFonts w:ascii="Garamond" w:hAnsi="Garamond"/>
          <w:b/>
          <w:sz w:val="22"/>
          <w:szCs w:val="22"/>
        </w:rPr>
        <w:t>C</w:t>
      </w:r>
      <w:r w:rsidR="00001DFD" w:rsidRPr="00441A9C">
        <w:rPr>
          <w:rFonts w:ascii="Garamond" w:hAnsi="Garamond"/>
          <w:b/>
          <w:sz w:val="22"/>
          <w:szCs w:val="22"/>
        </w:rPr>
        <w:t>onstruction</w:t>
      </w:r>
      <w:r w:rsidR="007C4F85" w:rsidRPr="00441A9C">
        <w:rPr>
          <w:rFonts w:ascii="Garamond" w:hAnsi="Garamond"/>
          <w:sz w:val="22"/>
          <w:szCs w:val="22"/>
        </w:rPr>
        <w:t>.</w:t>
      </w:r>
    </w:p>
    <w:p w14:paraId="23DF8E77" w14:textId="77777777" w:rsidR="004A0D05" w:rsidRPr="00441A9C" w:rsidRDefault="004A0D05" w:rsidP="00FF3CD9">
      <w:pPr>
        <w:spacing w:line="360" w:lineRule="auto"/>
        <w:jc w:val="both"/>
        <w:rPr>
          <w:rFonts w:ascii="Garamond" w:hAnsi="Garamond"/>
          <w:sz w:val="22"/>
          <w:szCs w:val="22"/>
        </w:rPr>
      </w:pPr>
    </w:p>
    <w:p w14:paraId="5269290C" w14:textId="77777777" w:rsidR="00E31CBC" w:rsidRPr="00441A9C" w:rsidRDefault="00E31CBC" w:rsidP="00FF3CD9">
      <w:pPr>
        <w:spacing w:line="360" w:lineRule="auto"/>
        <w:jc w:val="both"/>
        <w:rPr>
          <w:rFonts w:ascii="Garamond" w:hAnsi="Garamond"/>
          <w:b/>
          <w:sz w:val="22"/>
          <w:szCs w:val="22"/>
        </w:rPr>
      </w:pPr>
      <w:r w:rsidRPr="00441A9C">
        <w:rPr>
          <w:rFonts w:ascii="Garamond" w:hAnsi="Garamond"/>
          <w:b/>
          <w:sz w:val="22"/>
          <w:szCs w:val="22"/>
        </w:rPr>
        <w:t>3.1.3. Inflation and interest rate expectations</w:t>
      </w:r>
    </w:p>
    <w:p w14:paraId="27588595" w14:textId="77777777" w:rsidR="00E31CBC" w:rsidRPr="00441A9C" w:rsidRDefault="00E31CBC" w:rsidP="00FF3CD9">
      <w:pPr>
        <w:spacing w:line="360" w:lineRule="auto"/>
        <w:jc w:val="both"/>
        <w:rPr>
          <w:rFonts w:ascii="Garamond" w:hAnsi="Garamond"/>
          <w:b/>
          <w:sz w:val="22"/>
          <w:szCs w:val="22"/>
        </w:rPr>
      </w:pPr>
    </w:p>
    <w:p w14:paraId="0A095EE7" w14:textId="2CB44AA0" w:rsidR="008858EC" w:rsidRPr="00441A9C" w:rsidRDefault="007C4F85" w:rsidP="00FF3CD9">
      <w:pPr>
        <w:spacing w:line="360" w:lineRule="auto"/>
        <w:jc w:val="both"/>
        <w:rPr>
          <w:rFonts w:ascii="Garamond" w:hAnsi="Garamond"/>
          <w:iCs/>
          <w:sz w:val="22"/>
          <w:szCs w:val="22"/>
        </w:rPr>
      </w:pPr>
      <w:r w:rsidRPr="00441A9C">
        <w:rPr>
          <w:rFonts w:ascii="Garamond" w:hAnsi="Garamond"/>
          <w:iCs/>
          <w:sz w:val="22"/>
          <w:szCs w:val="22"/>
        </w:rPr>
        <w:t xml:space="preserve">According to the Central Bank estimates, </w:t>
      </w:r>
      <w:r w:rsidR="00E82305" w:rsidRPr="00441A9C">
        <w:rPr>
          <w:rFonts w:ascii="Garamond" w:hAnsi="Garamond"/>
          <w:iCs/>
          <w:sz w:val="22"/>
          <w:szCs w:val="22"/>
        </w:rPr>
        <w:t xml:space="preserve">the </w:t>
      </w:r>
      <w:r w:rsidR="003C4C3E">
        <w:rPr>
          <w:rFonts w:ascii="Garamond" w:hAnsi="Garamond"/>
          <w:iCs/>
          <w:sz w:val="22"/>
          <w:szCs w:val="22"/>
        </w:rPr>
        <w:t>public</w:t>
      </w:r>
      <w:r w:rsidR="003C4C3E" w:rsidRPr="00441A9C">
        <w:rPr>
          <w:rFonts w:ascii="Garamond" w:hAnsi="Garamond"/>
          <w:sz w:val="22"/>
          <w:szCs w:val="22"/>
        </w:rPr>
        <w:t>’</w:t>
      </w:r>
      <w:r w:rsidR="003C4C3E">
        <w:rPr>
          <w:rFonts w:ascii="Garamond" w:hAnsi="Garamond"/>
          <w:sz w:val="22"/>
          <w:szCs w:val="22"/>
        </w:rPr>
        <w:t>s</w:t>
      </w:r>
      <w:r w:rsidR="003C4C3E" w:rsidRPr="00441A9C">
        <w:rPr>
          <w:rFonts w:ascii="Garamond" w:hAnsi="Garamond"/>
          <w:sz w:val="22"/>
          <w:szCs w:val="22"/>
        </w:rPr>
        <w:t xml:space="preserve"> </w:t>
      </w:r>
      <w:r w:rsidR="00E31CBC" w:rsidRPr="00441A9C">
        <w:rPr>
          <w:rFonts w:ascii="Garamond" w:hAnsi="Garamond"/>
          <w:sz w:val="22"/>
          <w:szCs w:val="22"/>
        </w:rPr>
        <w:t>inflation expectations</w:t>
      </w:r>
      <w:r w:rsidRPr="00441A9C">
        <w:rPr>
          <w:rFonts w:ascii="Garamond" w:hAnsi="Garamond"/>
          <w:sz w:val="22"/>
          <w:szCs w:val="22"/>
        </w:rPr>
        <w:t xml:space="preserve">, which had reduced </w:t>
      </w:r>
      <w:r w:rsidRPr="00441A9C">
        <w:rPr>
          <w:rFonts w:ascii="Garamond" w:hAnsi="Garamond"/>
          <w:iCs/>
          <w:sz w:val="22"/>
          <w:szCs w:val="22"/>
        </w:rPr>
        <w:t>considerably in 2015-2016,</w:t>
      </w:r>
      <w:r w:rsidR="002A11DD" w:rsidRPr="00441A9C">
        <w:rPr>
          <w:rFonts w:ascii="Garamond" w:hAnsi="Garamond"/>
          <w:sz w:val="22"/>
          <w:szCs w:val="22"/>
          <w:lang w:val="hy-AM"/>
        </w:rPr>
        <w:t xml:space="preserve"> </w:t>
      </w:r>
      <w:r w:rsidRPr="00441A9C">
        <w:rPr>
          <w:rFonts w:ascii="Garamond" w:hAnsi="Garamond"/>
          <w:sz w:val="22"/>
          <w:szCs w:val="22"/>
        </w:rPr>
        <w:t xml:space="preserve">continued to </w:t>
      </w:r>
      <w:r w:rsidR="00E04CB9" w:rsidRPr="00441A9C">
        <w:rPr>
          <w:rFonts w:ascii="Garamond" w:hAnsi="Garamond"/>
          <w:sz w:val="22"/>
          <w:szCs w:val="22"/>
        </w:rPr>
        <w:t xml:space="preserve">stabilize in the </w:t>
      </w:r>
      <w:r w:rsidRPr="00441A9C">
        <w:rPr>
          <w:rFonts w:ascii="Garamond" w:hAnsi="Garamond"/>
          <w:sz w:val="22"/>
          <w:szCs w:val="22"/>
        </w:rPr>
        <w:t>second</w:t>
      </w:r>
      <w:r w:rsidR="008858EC" w:rsidRPr="00441A9C">
        <w:rPr>
          <w:rFonts w:ascii="Garamond" w:hAnsi="Garamond"/>
          <w:sz w:val="22"/>
          <w:szCs w:val="22"/>
        </w:rPr>
        <w:t xml:space="preserve"> </w:t>
      </w:r>
      <w:r w:rsidR="00E04CB9" w:rsidRPr="00441A9C">
        <w:rPr>
          <w:rFonts w:ascii="Garamond" w:hAnsi="Garamond"/>
          <w:sz w:val="22"/>
          <w:szCs w:val="22"/>
        </w:rPr>
        <w:t>quarter</w:t>
      </w:r>
      <w:r w:rsidR="008858EC" w:rsidRPr="00441A9C">
        <w:rPr>
          <w:rFonts w:ascii="Garamond" w:hAnsi="Garamond"/>
          <w:sz w:val="22"/>
          <w:szCs w:val="22"/>
        </w:rPr>
        <w:t xml:space="preserve"> of 2017</w:t>
      </w:r>
      <w:r w:rsidR="00E04CB9" w:rsidRPr="00441A9C">
        <w:rPr>
          <w:rFonts w:ascii="Garamond" w:hAnsi="Garamond"/>
          <w:sz w:val="22"/>
          <w:szCs w:val="22"/>
        </w:rPr>
        <w:t xml:space="preserve">, as was expected, and will recover gradually in </w:t>
      </w:r>
      <w:r w:rsidR="00E31CBC" w:rsidRPr="00441A9C">
        <w:rPr>
          <w:rFonts w:ascii="Garamond" w:hAnsi="Garamond"/>
          <w:sz w:val="22"/>
          <w:szCs w:val="22"/>
        </w:rPr>
        <w:t>an upcoming one-year horizon</w:t>
      </w:r>
      <w:r w:rsidR="00E04CB9" w:rsidRPr="00441A9C">
        <w:rPr>
          <w:rFonts w:ascii="Garamond" w:hAnsi="Garamond"/>
          <w:sz w:val="22"/>
          <w:szCs w:val="22"/>
        </w:rPr>
        <w:t>, anchoring around the inflation target in the forecast horizon</w:t>
      </w:r>
      <w:r w:rsidR="000F6DDC" w:rsidRPr="00441A9C">
        <w:rPr>
          <w:rFonts w:ascii="Garamond" w:hAnsi="Garamond"/>
          <w:iCs/>
          <w:sz w:val="22"/>
          <w:szCs w:val="22"/>
        </w:rPr>
        <w:t xml:space="preserve">. </w:t>
      </w:r>
      <w:r w:rsidR="006E25F7" w:rsidRPr="00441A9C">
        <w:rPr>
          <w:rFonts w:ascii="Garamond" w:hAnsi="Garamond"/>
          <w:iCs/>
          <w:sz w:val="22"/>
          <w:szCs w:val="22"/>
        </w:rPr>
        <w:t xml:space="preserve">Estimations produced </w:t>
      </w:r>
      <w:r w:rsidR="0092387B" w:rsidRPr="00441A9C">
        <w:rPr>
          <w:rFonts w:ascii="Garamond" w:hAnsi="Garamond"/>
          <w:iCs/>
          <w:sz w:val="22"/>
          <w:szCs w:val="22"/>
        </w:rPr>
        <w:t xml:space="preserve">on </w:t>
      </w:r>
      <w:r w:rsidR="006E25F7" w:rsidRPr="00441A9C">
        <w:rPr>
          <w:rFonts w:ascii="Garamond" w:hAnsi="Garamond"/>
          <w:iCs/>
          <w:sz w:val="22"/>
          <w:szCs w:val="22"/>
        </w:rPr>
        <w:t>the C</w:t>
      </w:r>
      <w:r w:rsidR="00E04CB9" w:rsidRPr="00441A9C">
        <w:rPr>
          <w:rFonts w:ascii="Garamond" w:hAnsi="Garamond"/>
          <w:iCs/>
          <w:sz w:val="22"/>
          <w:szCs w:val="22"/>
        </w:rPr>
        <w:t xml:space="preserve">entral </w:t>
      </w:r>
      <w:r w:rsidR="006E25F7" w:rsidRPr="00441A9C">
        <w:rPr>
          <w:rFonts w:ascii="Garamond" w:hAnsi="Garamond"/>
          <w:iCs/>
          <w:sz w:val="22"/>
          <w:szCs w:val="22"/>
        </w:rPr>
        <w:t>B</w:t>
      </w:r>
      <w:r w:rsidR="00E04CB9" w:rsidRPr="00441A9C">
        <w:rPr>
          <w:rFonts w:ascii="Garamond" w:hAnsi="Garamond"/>
          <w:iCs/>
          <w:sz w:val="22"/>
          <w:szCs w:val="22"/>
        </w:rPr>
        <w:t>ank</w:t>
      </w:r>
      <w:r w:rsidR="006E25F7" w:rsidRPr="00441A9C">
        <w:rPr>
          <w:rFonts w:ascii="Garamond" w:hAnsi="Garamond"/>
          <w:iCs/>
          <w:sz w:val="22"/>
          <w:szCs w:val="22"/>
        </w:rPr>
        <w:t xml:space="preserve"> core model suggest that inflation expectations </w:t>
      </w:r>
      <w:r w:rsidRPr="00441A9C">
        <w:rPr>
          <w:rFonts w:ascii="Garamond" w:hAnsi="Garamond"/>
          <w:iCs/>
          <w:sz w:val="22"/>
          <w:szCs w:val="22"/>
        </w:rPr>
        <w:t xml:space="preserve">were virtually the same </w:t>
      </w:r>
      <w:r w:rsidR="00AF0804" w:rsidRPr="00441A9C">
        <w:rPr>
          <w:rFonts w:ascii="Garamond" w:hAnsi="Garamond"/>
          <w:iCs/>
          <w:sz w:val="22"/>
          <w:szCs w:val="22"/>
        </w:rPr>
        <w:t xml:space="preserve">in the second quarter of 2017 </w:t>
      </w:r>
      <w:r w:rsidRPr="00441A9C">
        <w:rPr>
          <w:rFonts w:ascii="Garamond" w:hAnsi="Garamond"/>
          <w:iCs/>
          <w:sz w:val="22"/>
          <w:szCs w:val="22"/>
        </w:rPr>
        <w:t xml:space="preserve">(0.6%) </w:t>
      </w:r>
      <w:r w:rsidR="008858EC" w:rsidRPr="00441A9C">
        <w:rPr>
          <w:rFonts w:ascii="Garamond" w:hAnsi="Garamond"/>
          <w:iCs/>
          <w:sz w:val="22"/>
          <w:szCs w:val="22"/>
        </w:rPr>
        <w:t>in</w:t>
      </w:r>
      <w:r w:rsidR="00E04CB9" w:rsidRPr="00441A9C">
        <w:rPr>
          <w:rFonts w:ascii="Garamond" w:hAnsi="Garamond"/>
          <w:iCs/>
          <w:sz w:val="22"/>
          <w:szCs w:val="22"/>
        </w:rPr>
        <w:t xml:space="preserve"> compar</w:t>
      </w:r>
      <w:r w:rsidR="008858EC" w:rsidRPr="00441A9C">
        <w:rPr>
          <w:rFonts w:ascii="Garamond" w:hAnsi="Garamond"/>
          <w:iCs/>
          <w:sz w:val="22"/>
          <w:szCs w:val="22"/>
        </w:rPr>
        <w:t xml:space="preserve">ison with </w:t>
      </w:r>
      <w:r w:rsidR="00E04CB9" w:rsidRPr="00441A9C">
        <w:rPr>
          <w:rFonts w:ascii="Garamond" w:hAnsi="Garamond"/>
          <w:iCs/>
          <w:sz w:val="22"/>
          <w:szCs w:val="22"/>
        </w:rPr>
        <w:t>the previous quarter</w:t>
      </w:r>
      <w:r w:rsidR="008858EC" w:rsidRPr="00441A9C">
        <w:rPr>
          <w:rFonts w:ascii="Garamond" w:hAnsi="Garamond"/>
          <w:iCs/>
          <w:sz w:val="22"/>
          <w:szCs w:val="22"/>
        </w:rPr>
        <w:t xml:space="preserve">. </w:t>
      </w:r>
    </w:p>
    <w:p w14:paraId="248A791E" w14:textId="77777777" w:rsidR="008858EC" w:rsidRPr="00441A9C" w:rsidRDefault="008858EC" w:rsidP="00FF3CD9">
      <w:pPr>
        <w:spacing w:line="360" w:lineRule="auto"/>
        <w:jc w:val="both"/>
        <w:rPr>
          <w:rFonts w:ascii="Garamond" w:hAnsi="Garamond"/>
          <w:iCs/>
          <w:sz w:val="22"/>
          <w:szCs w:val="22"/>
        </w:rPr>
      </w:pPr>
    </w:p>
    <w:p w14:paraId="6F554C63" w14:textId="77777777" w:rsidR="00013801" w:rsidRPr="00441A9C" w:rsidRDefault="00DD6164" w:rsidP="00FF3CD9">
      <w:pPr>
        <w:spacing w:line="360" w:lineRule="auto"/>
        <w:jc w:val="both"/>
        <w:rPr>
          <w:rFonts w:ascii="Garamond" w:hAnsi="Garamond"/>
          <w:sz w:val="22"/>
          <w:szCs w:val="22"/>
        </w:rPr>
      </w:pPr>
      <w:r w:rsidRPr="00441A9C">
        <w:rPr>
          <w:rFonts w:ascii="Garamond" w:hAnsi="Garamond"/>
          <w:iCs/>
          <w:sz w:val="22"/>
          <w:szCs w:val="22"/>
        </w:rPr>
        <w:t xml:space="preserve">The </w:t>
      </w:r>
      <w:r w:rsidR="00B72159" w:rsidRPr="00441A9C">
        <w:rPr>
          <w:rFonts w:ascii="Garamond" w:hAnsi="Garamond"/>
          <w:iCs/>
          <w:sz w:val="22"/>
          <w:szCs w:val="22"/>
        </w:rPr>
        <w:t xml:space="preserve">results of </w:t>
      </w:r>
      <w:r w:rsidRPr="00441A9C">
        <w:rPr>
          <w:rFonts w:ascii="Garamond" w:hAnsi="Garamond"/>
          <w:iCs/>
          <w:sz w:val="22"/>
          <w:szCs w:val="22"/>
        </w:rPr>
        <w:t xml:space="preserve">survey conducted </w:t>
      </w:r>
      <w:r w:rsidR="00B72159" w:rsidRPr="00441A9C">
        <w:rPr>
          <w:rFonts w:ascii="Garamond" w:hAnsi="Garamond"/>
          <w:iCs/>
          <w:sz w:val="22"/>
          <w:szCs w:val="22"/>
        </w:rPr>
        <w:t xml:space="preserve">by the Central Bank </w:t>
      </w:r>
      <w:r w:rsidR="008858EC" w:rsidRPr="00441A9C">
        <w:rPr>
          <w:rFonts w:ascii="Garamond" w:hAnsi="Garamond"/>
          <w:iCs/>
          <w:sz w:val="22"/>
          <w:szCs w:val="22"/>
        </w:rPr>
        <w:t xml:space="preserve">for </w:t>
      </w:r>
      <w:r w:rsidR="00C661EF" w:rsidRPr="00441A9C">
        <w:rPr>
          <w:rFonts w:ascii="Garamond" w:hAnsi="Garamond"/>
          <w:iCs/>
          <w:sz w:val="22"/>
          <w:szCs w:val="22"/>
        </w:rPr>
        <w:t xml:space="preserve">the </w:t>
      </w:r>
      <w:r w:rsidR="009B5920" w:rsidRPr="00441A9C">
        <w:rPr>
          <w:rFonts w:ascii="Garamond" w:hAnsi="Garamond"/>
          <w:iCs/>
          <w:sz w:val="22"/>
          <w:szCs w:val="22"/>
        </w:rPr>
        <w:t>second</w:t>
      </w:r>
      <w:r w:rsidR="008858EC" w:rsidRPr="00441A9C">
        <w:rPr>
          <w:rFonts w:ascii="Garamond" w:hAnsi="Garamond"/>
          <w:iCs/>
          <w:sz w:val="22"/>
          <w:szCs w:val="22"/>
        </w:rPr>
        <w:t xml:space="preserve"> </w:t>
      </w:r>
      <w:r w:rsidR="00C661EF" w:rsidRPr="00441A9C">
        <w:rPr>
          <w:rFonts w:ascii="Garamond" w:hAnsi="Garamond"/>
          <w:iCs/>
          <w:sz w:val="22"/>
          <w:szCs w:val="22"/>
        </w:rPr>
        <w:t xml:space="preserve">quarter </w:t>
      </w:r>
      <w:r w:rsidR="003735BC" w:rsidRPr="00441A9C">
        <w:rPr>
          <w:rFonts w:ascii="Garamond" w:hAnsi="Garamond"/>
          <w:iCs/>
          <w:sz w:val="22"/>
          <w:szCs w:val="22"/>
        </w:rPr>
        <w:t>of 201</w:t>
      </w:r>
      <w:r w:rsidR="008858EC" w:rsidRPr="00441A9C">
        <w:rPr>
          <w:rFonts w:ascii="Garamond" w:hAnsi="Garamond"/>
          <w:iCs/>
          <w:sz w:val="22"/>
          <w:szCs w:val="22"/>
        </w:rPr>
        <w:t>7</w:t>
      </w:r>
      <w:r w:rsidR="003735BC" w:rsidRPr="00441A9C">
        <w:rPr>
          <w:rFonts w:ascii="Garamond" w:hAnsi="Garamond"/>
          <w:iCs/>
          <w:sz w:val="22"/>
          <w:szCs w:val="22"/>
        </w:rPr>
        <w:t xml:space="preserve"> </w:t>
      </w:r>
      <w:r w:rsidR="008858EC" w:rsidRPr="00441A9C">
        <w:rPr>
          <w:rFonts w:ascii="Garamond" w:hAnsi="Garamond"/>
          <w:iCs/>
          <w:sz w:val="22"/>
          <w:szCs w:val="22"/>
        </w:rPr>
        <w:t xml:space="preserve">about expectations of the </w:t>
      </w:r>
      <w:r w:rsidR="00C661EF" w:rsidRPr="00441A9C">
        <w:rPr>
          <w:rFonts w:ascii="Garamond" w:hAnsi="Garamond"/>
          <w:iCs/>
          <w:sz w:val="22"/>
          <w:szCs w:val="22"/>
        </w:rPr>
        <w:t>households</w:t>
      </w:r>
      <w:r w:rsidR="008858EC" w:rsidRPr="00441A9C">
        <w:rPr>
          <w:rFonts w:ascii="Garamond" w:hAnsi="Garamond"/>
          <w:iCs/>
          <w:sz w:val="22"/>
          <w:szCs w:val="22"/>
        </w:rPr>
        <w:t xml:space="preserve"> and financial sector</w:t>
      </w:r>
      <w:r w:rsidR="00B72159" w:rsidRPr="00441A9C">
        <w:rPr>
          <w:rFonts w:ascii="Garamond" w:hAnsi="Garamond"/>
          <w:iCs/>
          <w:sz w:val="22"/>
          <w:szCs w:val="22"/>
        </w:rPr>
        <w:t xml:space="preserve"> with regard to a </w:t>
      </w:r>
      <w:r w:rsidR="00C661EF" w:rsidRPr="00441A9C">
        <w:rPr>
          <w:rFonts w:ascii="Garamond" w:hAnsi="Garamond"/>
          <w:iCs/>
          <w:sz w:val="22"/>
          <w:szCs w:val="22"/>
        </w:rPr>
        <w:t>number of macroeconomic indicators</w:t>
      </w:r>
      <w:r w:rsidR="00B72159" w:rsidRPr="00441A9C">
        <w:rPr>
          <w:rFonts w:ascii="Garamond" w:hAnsi="Garamond"/>
          <w:iCs/>
          <w:sz w:val="22"/>
          <w:szCs w:val="22"/>
        </w:rPr>
        <w:t xml:space="preserve"> </w:t>
      </w:r>
      <w:r w:rsidR="00FE456A" w:rsidRPr="00441A9C">
        <w:rPr>
          <w:rFonts w:ascii="Garamond" w:hAnsi="Garamond"/>
          <w:iCs/>
          <w:sz w:val="22"/>
          <w:szCs w:val="22"/>
        </w:rPr>
        <w:t xml:space="preserve">suggest that inflation expectations </w:t>
      </w:r>
      <w:r w:rsidR="009B5920" w:rsidRPr="00441A9C">
        <w:rPr>
          <w:rFonts w:ascii="Garamond" w:hAnsi="Garamond"/>
          <w:iCs/>
          <w:sz w:val="22"/>
          <w:szCs w:val="22"/>
        </w:rPr>
        <w:t>further stabilized</w:t>
      </w:r>
      <w:r w:rsidR="00FE456A" w:rsidRPr="00441A9C">
        <w:rPr>
          <w:rFonts w:ascii="Garamond" w:hAnsi="Garamond"/>
          <w:iCs/>
          <w:sz w:val="22"/>
          <w:szCs w:val="22"/>
        </w:rPr>
        <w:t xml:space="preserve">. </w:t>
      </w:r>
      <w:r w:rsidR="00C661EF" w:rsidRPr="00441A9C">
        <w:rPr>
          <w:rFonts w:ascii="Garamond" w:hAnsi="Garamond"/>
          <w:iCs/>
          <w:sz w:val="22"/>
          <w:szCs w:val="22"/>
        </w:rPr>
        <w:t>Th</w:t>
      </w:r>
      <w:r w:rsidR="00FF26AF" w:rsidRPr="00441A9C">
        <w:rPr>
          <w:rFonts w:ascii="Garamond" w:hAnsi="Garamond"/>
          <w:iCs/>
          <w:sz w:val="22"/>
          <w:szCs w:val="22"/>
        </w:rPr>
        <w:t xml:space="preserve">us, </w:t>
      </w:r>
      <w:r w:rsidR="00B705A8" w:rsidRPr="00441A9C">
        <w:rPr>
          <w:rFonts w:ascii="Garamond" w:hAnsi="Garamond"/>
          <w:sz w:val="22"/>
          <w:szCs w:val="22"/>
        </w:rPr>
        <w:t xml:space="preserve">inflation expectations </w:t>
      </w:r>
      <w:r w:rsidR="00FE456A" w:rsidRPr="00441A9C">
        <w:rPr>
          <w:rFonts w:ascii="Garamond" w:hAnsi="Garamond"/>
          <w:sz w:val="22"/>
          <w:szCs w:val="22"/>
        </w:rPr>
        <w:t>of</w:t>
      </w:r>
      <w:r w:rsidR="00FF26AF" w:rsidRPr="00441A9C">
        <w:rPr>
          <w:rFonts w:ascii="Garamond" w:hAnsi="Garamond"/>
          <w:sz w:val="22"/>
          <w:szCs w:val="22"/>
        </w:rPr>
        <w:t xml:space="preserve"> </w:t>
      </w:r>
      <w:r w:rsidR="00FE456A" w:rsidRPr="00441A9C">
        <w:rPr>
          <w:rFonts w:ascii="Garamond" w:hAnsi="Garamond"/>
          <w:sz w:val="22"/>
          <w:szCs w:val="22"/>
        </w:rPr>
        <w:t xml:space="preserve">the </w:t>
      </w:r>
      <w:r w:rsidR="00FF26AF" w:rsidRPr="00441A9C">
        <w:rPr>
          <w:rFonts w:ascii="Garamond" w:hAnsi="Garamond"/>
          <w:sz w:val="22"/>
          <w:szCs w:val="22"/>
        </w:rPr>
        <w:t xml:space="preserve">households for </w:t>
      </w:r>
      <w:r w:rsidR="009C32B5" w:rsidRPr="00441A9C">
        <w:rPr>
          <w:rFonts w:ascii="Garamond" w:hAnsi="Garamond"/>
          <w:sz w:val="22"/>
          <w:szCs w:val="22"/>
        </w:rPr>
        <w:t>an</w:t>
      </w:r>
      <w:r w:rsidR="00FF26AF" w:rsidRPr="00441A9C">
        <w:rPr>
          <w:rFonts w:ascii="Garamond" w:hAnsi="Garamond"/>
          <w:sz w:val="22"/>
          <w:szCs w:val="22"/>
        </w:rPr>
        <w:t xml:space="preserve"> upcoming one-year horizon </w:t>
      </w:r>
      <w:r w:rsidR="009B5920" w:rsidRPr="00441A9C">
        <w:rPr>
          <w:rFonts w:ascii="Garamond" w:hAnsi="Garamond"/>
          <w:sz w:val="22"/>
          <w:szCs w:val="22"/>
        </w:rPr>
        <w:t xml:space="preserve">remained anchored </w:t>
      </w:r>
      <w:r w:rsidR="00FE456A" w:rsidRPr="00441A9C">
        <w:rPr>
          <w:rFonts w:ascii="Garamond" w:hAnsi="Garamond"/>
          <w:sz w:val="22"/>
          <w:szCs w:val="22"/>
        </w:rPr>
        <w:t xml:space="preserve">around a </w:t>
      </w:r>
      <w:r w:rsidR="00FE456A" w:rsidRPr="00441A9C">
        <w:rPr>
          <w:rFonts w:ascii="Garamond" w:hAnsi="Garamond"/>
          <w:b/>
          <w:sz w:val="22"/>
          <w:szCs w:val="22"/>
        </w:rPr>
        <w:t>0.6%</w:t>
      </w:r>
      <w:r w:rsidR="00FE456A" w:rsidRPr="00441A9C">
        <w:rPr>
          <w:rFonts w:ascii="Garamond" w:hAnsi="Garamond"/>
          <w:sz w:val="22"/>
          <w:szCs w:val="22"/>
        </w:rPr>
        <w:t xml:space="preserve"> level of </w:t>
      </w:r>
      <w:r w:rsidR="009C32B5" w:rsidRPr="00441A9C">
        <w:rPr>
          <w:rFonts w:ascii="Garamond" w:hAnsi="Garamond"/>
          <w:sz w:val="22"/>
          <w:szCs w:val="22"/>
        </w:rPr>
        <w:t>the 12-</w:t>
      </w:r>
      <w:r w:rsidR="00FF26AF" w:rsidRPr="00441A9C">
        <w:rPr>
          <w:rFonts w:ascii="Garamond" w:hAnsi="Garamond"/>
          <w:sz w:val="22"/>
          <w:szCs w:val="22"/>
        </w:rPr>
        <w:t>month inflation rate</w:t>
      </w:r>
      <w:r w:rsidR="00D32E94" w:rsidRPr="00441A9C">
        <w:rPr>
          <w:rFonts w:ascii="Garamond" w:hAnsi="Garamond"/>
          <w:sz w:val="22"/>
          <w:szCs w:val="22"/>
        </w:rPr>
        <w:t xml:space="preserve"> </w:t>
      </w:r>
      <w:r w:rsidR="009B5920" w:rsidRPr="00441A9C">
        <w:rPr>
          <w:rFonts w:ascii="Garamond" w:hAnsi="Garamond"/>
          <w:sz w:val="22"/>
          <w:szCs w:val="22"/>
        </w:rPr>
        <w:t xml:space="preserve">(the same level with </w:t>
      </w:r>
      <w:r w:rsidR="00D32E94" w:rsidRPr="00441A9C">
        <w:rPr>
          <w:rFonts w:ascii="Garamond" w:hAnsi="Garamond"/>
          <w:sz w:val="22"/>
          <w:szCs w:val="22"/>
        </w:rPr>
        <w:t>the previous quarter</w:t>
      </w:r>
      <w:r w:rsidR="009B5920" w:rsidRPr="00441A9C">
        <w:rPr>
          <w:rFonts w:ascii="Garamond" w:hAnsi="Garamond"/>
          <w:sz w:val="22"/>
          <w:szCs w:val="22"/>
        </w:rPr>
        <w:t>)</w:t>
      </w:r>
      <w:r w:rsidR="00FF26AF" w:rsidRPr="00441A9C">
        <w:rPr>
          <w:rFonts w:ascii="Garamond" w:hAnsi="Garamond"/>
          <w:sz w:val="22"/>
          <w:szCs w:val="22"/>
        </w:rPr>
        <w:t>.</w:t>
      </w:r>
      <w:r w:rsidR="00FF26AF" w:rsidRPr="00441A9C">
        <w:rPr>
          <w:rFonts w:ascii="Garamond" w:hAnsi="Garamond"/>
          <w:b/>
          <w:sz w:val="22"/>
          <w:szCs w:val="22"/>
        </w:rPr>
        <w:t xml:space="preserve"> </w:t>
      </w:r>
      <w:r w:rsidR="009C32B5" w:rsidRPr="00441A9C">
        <w:rPr>
          <w:rFonts w:ascii="Garamond" w:hAnsi="Garamond"/>
          <w:sz w:val="22"/>
          <w:szCs w:val="22"/>
        </w:rPr>
        <w:t>A</w:t>
      </w:r>
      <w:r w:rsidR="009B5920" w:rsidRPr="00441A9C">
        <w:rPr>
          <w:rFonts w:ascii="Garamond" w:hAnsi="Garamond"/>
          <w:sz w:val="22"/>
          <w:szCs w:val="22"/>
        </w:rPr>
        <w:t>ccording to the survey,</w:t>
      </w:r>
      <w:r w:rsidR="009C32B5" w:rsidRPr="00441A9C">
        <w:rPr>
          <w:rFonts w:ascii="Garamond" w:hAnsi="Garamond"/>
          <w:sz w:val="22"/>
          <w:szCs w:val="22"/>
        </w:rPr>
        <w:t xml:space="preserve"> the </w:t>
      </w:r>
      <w:r w:rsidR="009C32B5" w:rsidRPr="00441A9C">
        <w:rPr>
          <w:rFonts w:ascii="Garamond" w:hAnsi="Garamond"/>
          <w:b/>
          <w:sz w:val="22"/>
          <w:szCs w:val="22"/>
        </w:rPr>
        <w:t xml:space="preserve">average level of </w:t>
      </w:r>
      <w:r w:rsidR="00B705A8" w:rsidRPr="00441A9C">
        <w:rPr>
          <w:rFonts w:ascii="Garamond" w:hAnsi="Garamond"/>
          <w:b/>
          <w:sz w:val="22"/>
          <w:szCs w:val="22"/>
        </w:rPr>
        <w:t>the financial system</w:t>
      </w:r>
      <w:r w:rsidR="009C32B5" w:rsidRPr="00441A9C">
        <w:rPr>
          <w:rFonts w:ascii="Garamond" w:hAnsi="Garamond"/>
          <w:b/>
          <w:sz w:val="22"/>
          <w:szCs w:val="22"/>
        </w:rPr>
        <w:t xml:space="preserve">’s inflation expectations </w:t>
      </w:r>
      <w:r w:rsidR="009B5920" w:rsidRPr="00441A9C">
        <w:rPr>
          <w:rFonts w:ascii="Garamond" w:hAnsi="Garamond"/>
          <w:b/>
          <w:sz w:val="22"/>
          <w:szCs w:val="22"/>
        </w:rPr>
        <w:t xml:space="preserve">was </w:t>
      </w:r>
      <w:r w:rsidR="0058057F" w:rsidRPr="00441A9C">
        <w:rPr>
          <w:rFonts w:ascii="Garamond" w:hAnsi="Garamond"/>
          <w:b/>
          <w:sz w:val="22"/>
          <w:szCs w:val="22"/>
        </w:rPr>
        <w:t>2</w:t>
      </w:r>
      <w:r w:rsidR="00C661EF" w:rsidRPr="00441A9C">
        <w:rPr>
          <w:rFonts w:ascii="Garamond" w:hAnsi="Garamond"/>
          <w:b/>
          <w:sz w:val="22"/>
          <w:szCs w:val="22"/>
        </w:rPr>
        <w:t>.</w:t>
      </w:r>
      <w:r w:rsidR="009B5920" w:rsidRPr="00441A9C">
        <w:rPr>
          <w:rFonts w:ascii="Garamond" w:hAnsi="Garamond"/>
          <w:b/>
          <w:sz w:val="22"/>
          <w:szCs w:val="22"/>
        </w:rPr>
        <w:t>9</w:t>
      </w:r>
      <w:r w:rsidR="00B705A8" w:rsidRPr="00441A9C">
        <w:rPr>
          <w:rFonts w:ascii="Garamond" w:hAnsi="Garamond"/>
          <w:b/>
          <w:sz w:val="22"/>
          <w:szCs w:val="22"/>
        </w:rPr>
        <w:t xml:space="preserve">% </w:t>
      </w:r>
      <w:r w:rsidR="00C661EF" w:rsidRPr="00441A9C">
        <w:rPr>
          <w:rFonts w:ascii="Garamond" w:hAnsi="Garamond"/>
          <w:sz w:val="22"/>
          <w:szCs w:val="22"/>
        </w:rPr>
        <w:t xml:space="preserve">for </w:t>
      </w:r>
      <w:r w:rsidR="009C32B5" w:rsidRPr="00441A9C">
        <w:rPr>
          <w:rFonts w:ascii="Garamond" w:hAnsi="Garamond"/>
          <w:sz w:val="22"/>
          <w:szCs w:val="22"/>
        </w:rPr>
        <w:t>an</w:t>
      </w:r>
      <w:r w:rsidR="00907F05" w:rsidRPr="00441A9C">
        <w:rPr>
          <w:rFonts w:ascii="Garamond" w:hAnsi="Garamond"/>
          <w:sz w:val="22"/>
          <w:szCs w:val="22"/>
        </w:rPr>
        <w:t xml:space="preserve"> upcoming one-year horizon</w:t>
      </w:r>
      <w:r w:rsidR="009B5920" w:rsidRPr="00441A9C">
        <w:rPr>
          <w:rFonts w:ascii="Garamond" w:hAnsi="Garamond"/>
          <w:sz w:val="22"/>
          <w:szCs w:val="22"/>
        </w:rPr>
        <w:t xml:space="preserve">, against the previous quarter’s figure of </w:t>
      </w:r>
      <w:r w:rsidR="009B5920" w:rsidRPr="00441A9C">
        <w:rPr>
          <w:rFonts w:ascii="Garamond" w:hAnsi="Garamond"/>
          <w:b/>
          <w:sz w:val="22"/>
          <w:szCs w:val="22"/>
        </w:rPr>
        <w:t>2.6%</w:t>
      </w:r>
      <w:r w:rsidR="009C32B5" w:rsidRPr="00441A9C">
        <w:rPr>
          <w:rFonts w:ascii="Garamond" w:hAnsi="Garamond"/>
          <w:sz w:val="22"/>
          <w:szCs w:val="22"/>
        </w:rPr>
        <w:t>.</w:t>
      </w:r>
      <w:r w:rsidR="0058057F" w:rsidRPr="00441A9C">
        <w:rPr>
          <w:rFonts w:ascii="Garamond" w:hAnsi="Garamond"/>
          <w:sz w:val="22"/>
          <w:szCs w:val="22"/>
        </w:rPr>
        <w:t xml:space="preserve"> </w:t>
      </w:r>
      <w:r w:rsidR="00AD51AA" w:rsidRPr="00441A9C">
        <w:rPr>
          <w:rFonts w:ascii="Garamond" w:hAnsi="Garamond"/>
          <w:sz w:val="22"/>
          <w:szCs w:val="22"/>
        </w:rPr>
        <w:t>Commercial banks expect</w:t>
      </w:r>
      <w:r w:rsidR="009B5920" w:rsidRPr="00441A9C">
        <w:rPr>
          <w:rFonts w:ascii="Garamond" w:hAnsi="Garamond"/>
          <w:sz w:val="22"/>
          <w:szCs w:val="22"/>
        </w:rPr>
        <w:t xml:space="preserve">ed </w:t>
      </w:r>
      <w:r w:rsidR="00AD51AA" w:rsidRPr="00441A9C">
        <w:rPr>
          <w:rFonts w:ascii="Garamond" w:hAnsi="Garamond"/>
          <w:sz w:val="22"/>
          <w:szCs w:val="22"/>
        </w:rPr>
        <w:t xml:space="preserve">an average </w:t>
      </w:r>
      <w:r w:rsidR="00AD51AA" w:rsidRPr="00441A9C">
        <w:rPr>
          <w:rFonts w:ascii="Garamond" w:hAnsi="Garamond"/>
          <w:b/>
          <w:sz w:val="22"/>
          <w:szCs w:val="22"/>
        </w:rPr>
        <w:t>2.</w:t>
      </w:r>
      <w:r w:rsidR="00F623EC" w:rsidRPr="00441A9C">
        <w:rPr>
          <w:rFonts w:ascii="Garamond" w:hAnsi="Garamond"/>
          <w:b/>
          <w:sz w:val="22"/>
          <w:szCs w:val="22"/>
        </w:rPr>
        <w:t>5</w:t>
      </w:r>
      <w:r w:rsidR="00AD51AA" w:rsidRPr="00441A9C">
        <w:rPr>
          <w:rFonts w:ascii="Garamond" w:hAnsi="Garamond"/>
          <w:b/>
          <w:sz w:val="22"/>
          <w:szCs w:val="22"/>
        </w:rPr>
        <w:t>%</w:t>
      </w:r>
      <w:r w:rsidR="00AD51AA" w:rsidRPr="00441A9C">
        <w:rPr>
          <w:rFonts w:ascii="Garamond" w:hAnsi="Garamond"/>
          <w:sz w:val="22"/>
          <w:szCs w:val="22"/>
        </w:rPr>
        <w:t xml:space="preserve"> of the 12-month inflation rate compared to the previous </w:t>
      </w:r>
      <w:r w:rsidR="006044B1" w:rsidRPr="00441A9C">
        <w:rPr>
          <w:rFonts w:ascii="Garamond" w:hAnsi="Garamond"/>
          <w:sz w:val="22"/>
          <w:szCs w:val="22"/>
        </w:rPr>
        <w:t xml:space="preserve">survey’s </w:t>
      </w:r>
      <w:r w:rsidR="00AD51AA" w:rsidRPr="00441A9C">
        <w:rPr>
          <w:rFonts w:ascii="Garamond" w:hAnsi="Garamond"/>
          <w:sz w:val="22"/>
          <w:szCs w:val="22"/>
        </w:rPr>
        <w:t xml:space="preserve">figure of </w:t>
      </w:r>
      <w:r w:rsidR="00AD51AA" w:rsidRPr="00441A9C">
        <w:rPr>
          <w:rFonts w:ascii="Garamond" w:hAnsi="Garamond"/>
          <w:b/>
          <w:sz w:val="22"/>
          <w:szCs w:val="22"/>
        </w:rPr>
        <w:t>2.</w:t>
      </w:r>
      <w:r w:rsidR="008A7C95" w:rsidRPr="00441A9C">
        <w:rPr>
          <w:rFonts w:ascii="Garamond" w:hAnsi="Garamond"/>
          <w:b/>
          <w:sz w:val="22"/>
          <w:szCs w:val="22"/>
        </w:rPr>
        <w:t>2</w:t>
      </w:r>
      <w:r w:rsidR="00AD51AA" w:rsidRPr="00441A9C">
        <w:rPr>
          <w:rFonts w:ascii="Garamond" w:hAnsi="Garamond"/>
          <w:b/>
          <w:sz w:val="22"/>
          <w:szCs w:val="22"/>
        </w:rPr>
        <w:t>%</w:t>
      </w:r>
      <w:r w:rsidR="00AD51AA" w:rsidRPr="00441A9C">
        <w:rPr>
          <w:rFonts w:ascii="Garamond" w:hAnsi="Garamond"/>
          <w:sz w:val="22"/>
          <w:szCs w:val="22"/>
        </w:rPr>
        <w:t xml:space="preserve">, inflation expectations of credit organizations </w:t>
      </w:r>
      <w:r w:rsidR="006044B1" w:rsidRPr="00441A9C">
        <w:rPr>
          <w:rFonts w:ascii="Garamond" w:hAnsi="Garamond"/>
          <w:sz w:val="22"/>
          <w:szCs w:val="22"/>
        </w:rPr>
        <w:t xml:space="preserve">amounted to </w:t>
      </w:r>
      <w:r w:rsidR="00AD51AA" w:rsidRPr="00441A9C">
        <w:rPr>
          <w:rFonts w:ascii="Garamond" w:hAnsi="Garamond"/>
          <w:b/>
          <w:sz w:val="22"/>
          <w:szCs w:val="22"/>
        </w:rPr>
        <w:t>3.</w:t>
      </w:r>
      <w:r w:rsidR="006044B1" w:rsidRPr="00441A9C">
        <w:rPr>
          <w:rFonts w:ascii="Garamond" w:hAnsi="Garamond"/>
          <w:b/>
          <w:sz w:val="22"/>
          <w:szCs w:val="22"/>
        </w:rPr>
        <w:t>3</w:t>
      </w:r>
      <w:r w:rsidR="00AD51AA" w:rsidRPr="00441A9C">
        <w:rPr>
          <w:rFonts w:ascii="Garamond" w:hAnsi="Garamond"/>
          <w:b/>
          <w:sz w:val="22"/>
          <w:szCs w:val="22"/>
        </w:rPr>
        <w:t>%</w:t>
      </w:r>
      <w:r w:rsidR="006044B1" w:rsidRPr="00441A9C">
        <w:rPr>
          <w:rFonts w:ascii="Garamond" w:hAnsi="Garamond"/>
          <w:b/>
          <w:sz w:val="22"/>
          <w:szCs w:val="22"/>
        </w:rPr>
        <w:t xml:space="preserve"> </w:t>
      </w:r>
      <w:r w:rsidR="006044B1" w:rsidRPr="00441A9C">
        <w:rPr>
          <w:rFonts w:ascii="Garamond" w:hAnsi="Garamond"/>
          <w:sz w:val="22"/>
          <w:szCs w:val="22"/>
        </w:rPr>
        <w:t xml:space="preserve">(previous survey: </w:t>
      </w:r>
      <w:r w:rsidR="006044B1" w:rsidRPr="00441A9C">
        <w:rPr>
          <w:rFonts w:ascii="Garamond" w:hAnsi="Garamond"/>
          <w:b/>
          <w:sz w:val="22"/>
          <w:szCs w:val="22"/>
        </w:rPr>
        <w:t>3.0%</w:t>
      </w:r>
      <w:r w:rsidR="006044B1" w:rsidRPr="00441A9C">
        <w:rPr>
          <w:rFonts w:ascii="Garamond" w:hAnsi="Garamond"/>
          <w:sz w:val="22"/>
          <w:szCs w:val="22"/>
        </w:rPr>
        <w:t>)</w:t>
      </w:r>
      <w:r w:rsidR="00AD51AA" w:rsidRPr="00441A9C">
        <w:rPr>
          <w:rFonts w:ascii="Garamond" w:hAnsi="Garamond"/>
          <w:sz w:val="22"/>
          <w:szCs w:val="22"/>
        </w:rPr>
        <w:t xml:space="preserve">, </w:t>
      </w:r>
      <w:r w:rsidR="006044B1" w:rsidRPr="00441A9C">
        <w:rPr>
          <w:rFonts w:ascii="Garamond" w:hAnsi="Garamond"/>
          <w:sz w:val="22"/>
          <w:szCs w:val="22"/>
        </w:rPr>
        <w:t xml:space="preserve">investment companies and funds anticipated a </w:t>
      </w:r>
      <w:r w:rsidR="006044B1" w:rsidRPr="00441A9C">
        <w:rPr>
          <w:rFonts w:ascii="Garamond" w:hAnsi="Garamond"/>
          <w:b/>
          <w:sz w:val="22"/>
          <w:szCs w:val="22"/>
        </w:rPr>
        <w:t xml:space="preserve">2.3% </w:t>
      </w:r>
      <w:r w:rsidR="006044B1" w:rsidRPr="00441A9C">
        <w:rPr>
          <w:rFonts w:ascii="Garamond" w:hAnsi="Garamond"/>
          <w:sz w:val="22"/>
          <w:szCs w:val="22"/>
        </w:rPr>
        <w:t xml:space="preserve">level </w:t>
      </w:r>
      <w:r w:rsidR="001E7B7D" w:rsidRPr="00441A9C">
        <w:rPr>
          <w:rFonts w:ascii="Garamond" w:hAnsi="Garamond"/>
          <w:sz w:val="22"/>
          <w:szCs w:val="22"/>
        </w:rPr>
        <w:t xml:space="preserve">of average inflation </w:t>
      </w:r>
      <w:r w:rsidR="006044B1" w:rsidRPr="00441A9C">
        <w:rPr>
          <w:rFonts w:ascii="Garamond" w:hAnsi="Garamond"/>
          <w:sz w:val="22"/>
          <w:szCs w:val="22"/>
        </w:rPr>
        <w:t xml:space="preserve">compared to the previous level of </w:t>
      </w:r>
      <w:r w:rsidR="006044B1" w:rsidRPr="00441A9C">
        <w:rPr>
          <w:rFonts w:ascii="Garamond" w:hAnsi="Garamond"/>
          <w:b/>
          <w:sz w:val="22"/>
          <w:szCs w:val="22"/>
        </w:rPr>
        <w:t>2.1%</w:t>
      </w:r>
      <w:r w:rsidR="006044B1" w:rsidRPr="00441A9C">
        <w:rPr>
          <w:rFonts w:ascii="Garamond" w:hAnsi="Garamond"/>
          <w:sz w:val="22"/>
          <w:szCs w:val="22"/>
        </w:rPr>
        <w:t>. Inflation expectations of insu</w:t>
      </w:r>
      <w:r w:rsidR="001E7B7D" w:rsidRPr="00441A9C">
        <w:rPr>
          <w:rFonts w:ascii="Garamond" w:hAnsi="Garamond"/>
          <w:sz w:val="22"/>
          <w:szCs w:val="22"/>
        </w:rPr>
        <w:t xml:space="preserve">rance companies have risen by about </w:t>
      </w:r>
      <w:r w:rsidR="006044B1" w:rsidRPr="00441A9C">
        <w:rPr>
          <w:rFonts w:ascii="Garamond" w:hAnsi="Garamond"/>
          <w:sz w:val="22"/>
          <w:szCs w:val="22"/>
        </w:rPr>
        <w:t xml:space="preserve">1.0 pp compared to the average value of the previous survey, making up </w:t>
      </w:r>
      <w:r w:rsidR="006044B1" w:rsidRPr="00441A9C">
        <w:rPr>
          <w:rFonts w:ascii="Garamond" w:hAnsi="Garamond"/>
          <w:b/>
          <w:sz w:val="22"/>
          <w:szCs w:val="22"/>
        </w:rPr>
        <w:t>3.5%</w:t>
      </w:r>
      <w:r w:rsidR="006044B1" w:rsidRPr="00441A9C">
        <w:rPr>
          <w:rFonts w:ascii="Garamond" w:hAnsi="Garamond"/>
          <w:sz w:val="22"/>
          <w:szCs w:val="22"/>
        </w:rPr>
        <w:t>.</w:t>
      </w:r>
    </w:p>
    <w:p w14:paraId="36605FA9" w14:textId="77777777" w:rsidR="00013801" w:rsidRPr="00441A9C" w:rsidRDefault="00013801" w:rsidP="00FF3CD9">
      <w:pPr>
        <w:spacing w:line="360" w:lineRule="auto"/>
        <w:jc w:val="both"/>
        <w:rPr>
          <w:rFonts w:ascii="Garamond" w:hAnsi="Garamond"/>
          <w:sz w:val="22"/>
          <w:szCs w:val="22"/>
        </w:rPr>
      </w:pPr>
    </w:p>
    <w:p w14:paraId="2A42AD3D" w14:textId="77777777" w:rsidR="009D2F92" w:rsidRPr="00441A9C" w:rsidRDefault="00487D9A" w:rsidP="00FF3CD9">
      <w:pPr>
        <w:spacing w:line="360" w:lineRule="auto"/>
        <w:jc w:val="both"/>
        <w:rPr>
          <w:rFonts w:ascii="Garamond" w:hAnsi="Garamond"/>
          <w:sz w:val="22"/>
          <w:szCs w:val="22"/>
        </w:rPr>
      </w:pPr>
      <w:r w:rsidRPr="00441A9C">
        <w:rPr>
          <w:rFonts w:ascii="Garamond" w:hAnsi="Garamond"/>
          <w:sz w:val="22"/>
          <w:szCs w:val="22"/>
        </w:rPr>
        <w:t xml:space="preserve">According to the </w:t>
      </w:r>
      <w:r w:rsidR="00012DB6" w:rsidRPr="00441A9C">
        <w:rPr>
          <w:rFonts w:ascii="Garamond" w:hAnsi="Garamond"/>
          <w:sz w:val="22"/>
          <w:szCs w:val="22"/>
        </w:rPr>
        <w:t xml:space="preserve">second quarter </w:t>
      </w:r>
      <w:r w:rsidRPr="00441A9C">
        <w:rPr>
          <w:rFonts w:ascii="Garamond" w:hAnsi="Garamond"/>
          <w:sz w:val="22"/>
          <w:szCs w:val="22"/>
        </w:rPr>
        <w:t>survey results, t</w:t>
      </w:r>
      <w:r w:rsidR="00B60003" w:rsidRPr="00441A9C">
        <w:rPr>
          <w:rFonts w:ascii="Garamond" w:hAnsi="Garamond"/>
          <w:sz w:val="22"/>
          <w:szCs w:val="22"/>
        </w:rPr>
        <w:t xml:space="preserve">he financial market’s expectations </w:t>
      </w:r>
      <w:r w:rsidR="00E05CE5" w:rsidRPr="00441A9C">
        <w:rPr>
          <w:rFonts w:ascii="Garamond" w:hAnsi="Garamond"/>
          <w:sz w:val="22"/>
          <w:szCs w:val="22"/>
        </w:rPr>
        <w:t xml:space="preserve">of </w:t>
      </w:r>
      <w:r w:rsidR="009D2F92" w:rsidRPr="00441A9C">
        <w:rPr>
          <w:rFonts w:ascii="Garamond" w:hAnsi="Garamond"/>
          <w:sz w:val="22"/>
          <w:szCs w:val="22"/>
        </w:rPr>
        <w:t>interest rates</w:t>
      </w:r>
      <w:r w:rsidR="00B05EAA" w:rsidRPr="00441A9C">
        <w:rPr>
          <w:rFonts w:ascii="Garamond" w:hAnsi="Garamond"/>
          <w:sz w:val="22"/>
          <w:szCs w:val="22"/>
        </w:rPr>
        <w:t xml:space="preserve"> </w:t>
      </w:r>
      <w:r w:rsidR="00E05CE5" w:rsidRPr="00441A9C">
        <w:rPr>
          <w:rFonts w:ascii="Garamond" w:hAnsi="Garamond"/>
          <w:sz w:val="22"/>
          <w:szCs w:val="22"/>
        </w:rPr>
        <w:t xml:space="preserve">for a one-year horizon </w:t>
      </w:r>
      <w:r w:rsidR="00B05EAA" w:rsidRPr="00441A9C">
        <w:rPr>
          <w:rFonts w:ascii="Garamond" w:hAnsi="Garamond"/>
          <w:sz w:val="22"/>
          <w:szCs w:val="22"/>
        </w:rPr>
        <w:t xml:space="preserve">followed a </w:t>
      </w:r>
      <w:r w:rsidR="00E05CE5" w:rsidRPr="00441A9C">
        <w:rPr>
          <w:rFonts w:ascii="Garamond" w:hAnsi="Garamond"/>
          <w:sz w:val="22"/>
          <w:szCs w:val="22"/>
        </w:rPr>
        <w:t>path trending gradually down. Moreover, the expected l</w:t>
      </w:r>
      <w:r w:rsidR="00012DB6" w:rsidRPr="00441A9C">
        <w:rPr>
          <w:rFonts w:ascii="Garamond" w:hAnsi="Garamond"/>
          <w:sz w:val="22"/>
          <w:szCs w:val="22"/>
        </w:rPr>
        <w:t xml:space="preserve">evels of the next four quarters </w:t>
      </w:r>
      <w:r w:rsidR="00E05CE5" w:rsidRPr="00441A9C">
        <w:rPr>
          <w:rFonts w:ascii="Garamond" w:hAnsi="Garamond"/>
          <w:sz w:val="22"/>
          <w:szCs w:val="22"/>
        </w:rPr>
        <w:t xml:space="preserve">were also </w:t>
      </w:r>
      <w:r w:rsidR="00012DB6" w:rsidRPr="00441A9C">
        <w:rPr>
          <w:rFonts w:ascii="Garamond" w:hAnsi="Garamond"/>
          <w:sz w:val="22"/>
          <w:szCs w:val="22"/>
        </w:rPr>
        <w:t xml:space="preserve">revised </w:t>
      </w:r>
      <w:r w:rsidR="00E05CE5" w:rsidRPr="00441A9C">
        <w:rPr>
          <w:rFonts w:ascii="Garamond" w:hAnsi="Garamond"/>
          <w:sz w:val="22"/>
          <w:szCs w:val="22"/>
        </w:rPr>
        <w:t>down</w:t>
      </w:r>
      <w:r w:rsidR="00012DB6" w:rsidRPr="00441A9C">
        <w:rPr>
          <w:rFonts w:ascii="Garamond" w:hAnsi="Garamond"/>
          <w:sz w:val="22"/>
          <w:szCs w:val="22"/>
        </w:rPr>
        <w:t>side</w:t>
      </w:r>
      <w:r w:rsidR="00E05CE5" w:rsidRPr="00441A9C">
        <w:rPr>
          <w:rFonts w:ascii="Garamond" w:hAnsi="Garamond"/>
          <w:sz w:val="22"/>
          <w:szCs w:val="22"/>
        </w:rPr>
        <w:t>.</w:t>
      </w:r>
      <w:r w:rsidR="00652B80" w:rsidRPr="00441A9C">
        <w:rPr>
          <w:rFonts w:ascii="Garamond" w:hAnsi="Garamond"/>
          <w:sz w:val="22"/>
          <w:szCs w:val="22"/>
        </w:rPr>
        <w:t xml:space="preserve"> </w:t>
      </w:r>
    </w:p>
    <w:p w14:paraId="5AFCC4A4" w14:textId="77777777" w:rsidR="00171EEE" w:rsidRPr="00441A9C" w:rsidRDefault="00171EEE" w:rsidP="00FF3CD9">
      <w:pPr>
        <w:spacing w:line="360" w:lineRule="auto"/>
        <w:jc w:val="both"/>
        <w:rPr>
          <w:rFonts w:ascii="Garamond" w:hAnsi="Garamond"/>
          <w:sz w:val="22"/>
          <w:szCs w:val="22"/>
        </w:rPr>
      </w:pPr>
    </w:p>
    <w:p w14:paraId="2E10AC5C" w14:textId="77777777" w:rsidR="009110CC" w:rsidRPr="00441A9C" w:rsidRDefault="009110CC" w:rsidP="00FF3CD9">
      <w:pPr>
        <w:spacing w:line="360" w:lineRule="auto"/>
        <w:jc w:val="both"/>
        <w:rPr>
          <w:rFonts w:ascii="Garamond" w:hAnsi="Garamond"/>
          <w:sz w:val="22"/>
          <w:szCs w:val="22"/>
        </w:rPr>
      </w:pPr>
    </w:p>
    <w:p w14:paraId="50B104A9" w14:textId="77777777" w:rsidR="009110CC" w:rsidRPr="00441A9C" w:rsidRDefault="009110CC" w:rsidP="00FF3CD9">
      <w:pPr>
        <w:spacing w:line="360" w:lineRule="auto"/>
        <w:jc w:val="both"/>
        <w:rPr>
          <w:rFonts w:ascii="Garamond" w:hAnsi="Garamond"/>
          <w:sz w:val="22"/>
          <w:szCs w:val="22"/>
        </w:rPr>
      </w:pPr>
    </w:p>
    <w:tbl>
      <w:tblPr>
        <w:tblStyle w:val="TableGrid"/>
        <w:tblW w:w="0" w:type="auto"/>
        <w:tblLook w:val="04A0" w:firstRow="1" w:lastRow="0" w:firstColumn="1" w:lastColumn="0" w:noHBand="0" w:noVBand="1"/>
      </w:tblPr>
      <w:tblGrid>
        <w:gridCol w:w="9576"/>
      </w:tblGrid>
      <w:tr w:rsidR="00715DA3" w:rsidRPr="00441A9C" w14:paraId="51DE0270" w14:textId="77777777" w:rsidTr="00715DA3">
        <w:tc>
          <w:tcPr>
            <w:tcW w:w="9576" w:type="dxa"/>
          </w:tcPr>
          <w:p w14:paraId="320CACEC" w14:textId="77777777" w:rsidR="00715DA3" w:rsidRPr="00441A9C" w:rsidRDefault="00715DA3" w:rsidP="00715DA3">
            <w:pPr>
              <w:spacing w:line="360" w:lineRule="auto"/>
              <w:jc w:val="right"/>
              <w:rPr>
                <w:rFonts w:ascii="Garamond" w:hAnsi="Garamond"/>
                <w:b/>
              </w:rPr>
            </w:pPr>
            <w:r w:rsidRPr="00441A9C">
              <w:rPr>
                <w:rFonts w:ascii="Garamond" w:hAnsi="Garamond"/>
                <w:b/>
              </w:rPr>
              <w:lastRenderedPageBreak/>
              <w:t>Box 1</w:t>
            </w:r>
          </w:p>
          <w:p w14:paraId="2B52B84C" w14:textId="77777777" w:rsidR="00715DA3" w:rsidRPr="00441A9C" w:rsidRDefault="009110CC" w:rsidP="00DA5D99">
            <w:pPr>
              <w:spacing w:line="360" w:lineRule="auto"/>
              <w:jc w:val="center"/>
              <w:rPr>
                <w:rFonts w:ascii="Garamond" w:hAnsi="Garamond"/>
              </w:rPr>
            </w:pPr>
            <w:r w:rsidRPr="00441A9C">
              <w:rPr>
                <w:rFonts w:ascii="Garamond" w:hAnsi="Garamond"/>
                <w:b/>
              </w:rPr>
              <w:t xml:space="preserve">The </w:t>
            </w:r>
            <w:r w:rsidR="00715DA3" w:rsidRPr="00441A9C">
              <w:rPr>
                <w:rFonts w:ascii="Garamond" w:hAnsi="Garamond"/>
                <w:b/>
              </w:rPr>
              <w:t>C</w:t>
            </w:r>
            <w:r w:rsidRPr="00441A9C">
              <w:rPr>
                <w:rFonts w:ascii="Garamond" w:hAnsi="Garamond"/>
                <w:b/>
              </w:rPr>
              <w:t>entral Bank’s</w:t>
            </w:r>
            <w:r w:rsidR="00715DA3" w:rsidRPr="00441A9C">
              <w:rPr>
                <w:rFonts w:ascii="Garamond" w:hAnsi="Garamond"/>
                <w:b/>
              </w:rPr>
              <w:t xml:space="preserve"> </w:t>
            </w:r>
            <w:r w:rsidR="00252608">
              <w:rPr>
                <w:rFonts w:ascii="Garamond" w:hAnsi="Garamond"/>
                <w:b/>
              </w:rPr>
              <w:t>V</w:t>
            </w:r>
            <w:r w:rsidRPr="00441A9C">
              <w:rPr>
                <w:rFonts w:ascii="Garamond" w:hAnsi="Garamond"/>
                <w:b/>
              </w:rPr>
              <w:t xml:space="preserve">iews </w:t>
            </w:r>
            <w:r w:rsidR="00715DA3" w:rsidRPr="00441A9C">
              <w:rPr>
                <w:rFonts w:ascii="Garamond" w:hAnsi="Garamond"/>
                <w:b/>
              </w:rPr>
              <w:t xml:space="preserve">of </w:t>
            </w:r>
            <w:r w:rsidR="00252608">
              <w:rPr>
                <w:rFonts w:ascii="Garamond" w:hAnsi="Garamond"/>
                <w:b/>
              </w:rPr>
              <w:t>I</w:t>
            </w:r>
            <w:r w:rsidR="00715DA3" w:rsidRPr="00441A9C">
              <w:rPr>
                <w:rFonts w:ascii="Garamond" w:hAnsi="Garamond"/>
                <w:b/>
              </w:rPr>
              <w:t xml:space="preserve">nflation </w:t>
            </w:r>
            <w:r w:rsidR="00252608">
              <w:rPr>
                <w:rFonts w:ascii="Garamond" w:hAnsi="Garamond"/>
                <w:b/>
              </w:rPr>
              <w:t>E</w:t>
            </w:r>
            <w:r w:rsidR="00715DA3" w:rsidRPr="00441A9C">
              <w:rPr>
                <w:rFonts w:ascii="Garamond" w:hAnsi="Garamond"/>
                <w:b/>
              </w:rPr>
              <w:t>xpectations</w:t>
            </w:r>
            <w:r w:rsidRPr="00441A9C">
              <w:rPr>
                <w:rFonts w:ascii="Garamond" w:hAnsi="Garamond"/>
                <w:b/>
              </w:rPr>
              <w:t xml:space="preserve"> – a </w:t>
            </w:r>
            <w:r w:rsidR="00252608">
              <w:rPr>
                <w:rFonts w:ascii="Garamond" w:hAnsi="Garamond"/>
                <w:b/>
              </w:rPr>
              <w:t>K</w:t>
            </w:r>
            <w:r w:rsidRPr="00441A9C">
              <w:rPr>
                <w:rFonts w:ascii="Garamond" w:hAnsi="Garamond"/>
                <w:b/>
              </w:rPr>
              <w:t xml:space="preserve">ey </w:t>
            </w:r>
            <w:r w:rsidR="00252608">
              <w:rPr>
                <w:rFonts w:ascii="Garamond" w:hAnsi="Garamond"/>
                <w:b/>
              </w:rPr>
              <w:t>M</w:t>
            </w:r>
            <w:r w:rsidRPr="00441A9C">
              <w:rPr>
                <w:rFonts w:ascii="Garamond" w:hAnsi="Garamond"/>
                <w:b/>
              </w:rPr>
              <w:t xml:space="preserve">onetary </w:t>
            </w:r>
            <w:r w:rsidR="00252608">
              <w:rPr>
                <w:rFonts w:ascii="Garamond" w:hAnsi="Garamond"/>
                <w:b/>
              </w:rPr>
              <w:t>P</w:t>
            </w:r>
            <w:r w:rsidRPr="00441A9C">
              <w:rPr>
                <w:rFonts w:ascii="Garamond" w:hAnsi="Garamond"/>
                <w:b/>
              </w:rPr>
              <w:t xml:space="preserve">olicy </w:t>
            </w:r>
            <w:r w:rsidR="00252608">
              <w:rPr>
                <w:rFonts w:ascii="Garamond" w:hAnsi="Garamond"/>
                <w:b/>
              </w:rPr>
              <w:t>F</w:t>
            </w:r>
            <w:r w:rsidRPr="00441A9C">
              <w:rPr>
                <w:rFonts w:ascii="Garamond" w:hAnsi="Garamond"/>
                <w:b/>
              </w:rPr>
              <w:t>undamental</w:t>
            </w:r>
          </w:p>
          <w:p w14:paraId="1F74F7EE" w14:textId="77777777" w:rsidR="009110CC" w:rsidRPr="00441A9C" w:rsidRDefault="009110CC" w:rsidP="00715DA3">
            <w:pPr>
              <w:spacing w:line="360" w:lineRule="auto"/>
              <w:jc w:val="both"/>
              <w:rPr>
                <w:rFonts w:ascii="Garamond" w:hAnsi="Garamond"/>
              </w:rPr>
            </w:pPr>
          </w:p>
          <w:p w14:paraId="65582167" w14:textId="77777777" w:rsidR="00715DA3" w:rsidRPr="00441A9C" w:rsidRDefault="00715DA3" w:rsidP="00715DA3">
            <w:pPr>
              <w:spacing w:line="360" w:lineRule="auto"/>
              <w:jc w:val="both"/>
              <w:rPr>
                <w:rFonts w:ascii="Garamond" w:hAnsi="Garamond"/>
              </w:rPr>
            </w:pPr>
            <w:r w:rsidRPr="00441A9C">
              <w:rPr>
                <w:rFonts w:ascii="Garamond" w:hAnsi="Garamond"/>
              </w:rPr>
              <w:t xml:space="preserve">The factor of expectations </w:t>
            </w:r>
            <w:r w:rsidR="009110CC" w:rsidRPr="00441A9C">
              <w:rPr>
                <w:rFonts w:ascii="Garamond" w:hAnsi="Garamond"/>
              </w:rPr>
              <w:t xml:space="preserve">plays </w:t>
            </w:r>
            <w:r w:rsidRPr="00441A9C">
              <w:rPr>
                <w:rFonts w:ascii="Garamond" w:hAnsi="Garamond"/>
              </w:rPr>
              <w:t xml:space="preserve">a crucial role in </w:t>
            </w:r>
            <w:r w:rsidR="009110CC" w:rsidRPr="00441A9C">
              <w:rPr>
                <w:rFonts w:ascii="Garamond" w:hAnsi="Garamond"/>
              </w:rPr>
              <w:t>th</w:t>
            </w:r>
            <w:r w:rsidRPr="00441A9C">
              <w:rPr>
                <w:rFonts w:ascii="Garamond" w:hAnsi="Garamond"/>
              </w:rPr>
              <w:t xml:space="preserve">e implementation of the monetary policy of the Central Bank </w:t>
            </w:r>
            <w:r w:rsidR="009110CC" w:rsidRPr="00441A9C">
              <w:rPr>
                <w:rFonts w:ascii="Garamond" w:hAnsi="Garamond"/>
              </w:rPr>
              <w:t xml:space="preserve">of Armenia (CBA) </w:t>
            </w:r>
            <w:r w:rsidRPr="00441A9C">
              <w:rPr>
                <w:rFonts w:ascii="Garamond" w:hAnsi="Garamond"/>
              </w:rPr>
              <w:t xml:space="preserve">as it </w:t>
            </w:r>
            <w:r w:rsidR="009110CC" w:rsidRPr="00441A9C">
              <w:rPr>
                <w:rFonts w:ascii="Garamond" w:hAnsi="Garamond"/>
              </w:rPr>
              <w:t xml:space="preserve">determines straightforward </w:t>
            </w:r>
            <w:r w:rsidRPr="00441A9C">
              <w:rPr>
                <w:rFonts w:ascii="Garamond" w:hAnsi="Garamond"/>
              </w:rPr>
              <w:t xml:space="preserve">the degree of confidence in the monetary policy </w:t>
            </w:r>
            <w:r w:rsidR="009110CC" w:rsidRPr="00441A9C">
              <w:rPr>
                <w:rFonts w:ascii="Garamond" w:hAnsi="Garamond"/>
              </w:rPr>
              <w:t>t</w:t>
            </w:r>
            <w:r w:rsidRPr="00441A9C">
              <w:rPr>
                <w:rFonts w:ascii="Garamond" w:hAnsi="Garamond"/>
              </w:rPr>
              <w:t>he C</w:t>
            </w:r>
            <w:r w:rsidR="009110CC" w:rsidRPr="00441A9C">
              <w:rPr>
                <w:rFonts w:ascii="Garamond" w:hAnsi="Garamond"/>
              </w:rPr>
              <w:t>BA conducts</w:t>
            </w:r>
            <w:r w:rsidRPr="00441A9C">
              <w:rPr>
                <w:rFonts w:ascii="Garamond" w:hAnsi="Garamond"/>
              </w:rPr>
              <w:t xml:space="preserve"> and the flexibility to respond to negative economic shocks.</w:t>
            </w:r>
          </w:p>
          <w:p w14:paraId="01065240" w14:textId="77777777" w:rsidR="004B381D" w:rsidRPr="00441A9C" w:rsidRDefault="004B381D" w:rsidP="00715DA3">
            <w:pPr>
              <w:spacing w:line="360" w:lineRule="auto"/>
              <w:jc w:val="both"/>
              <w:rPr>
                <w:rFonts w:ascii="Garamond" w:hAnsi="Garamond"/>
              </w:rPr>
            </w:pPr>
          </w:p>
          <w:p w14:paraId="6A8E0EF4" w14:textId="1B9FA136" w:rsidR="00715DA3" w:rsidRPr="00441A9C" w:rsidRDefault="009110CC" w:rsidP="00715DA3">
            <w:pPr>
              <w:spacing w:line="360" w:lineRule="auto"/>
              <w:jc w:val="both"/>
              <w:rPr>
                <w:rFonts w:ascii="Garamond" w:hAnsi="Garamond"/>
              </w:rPr>
            </w:pPr>
            <w:r w:rsidRPr="00441A9C">
              <w:rPr>
                <w:rFonts w:ascii="Garamond" w:hAnsi="Garamond"/>
              </w:rPr>
              <w:t>The CBA’</w:t>
            </w:r>
            <w:r w:rsidR="00715DA3" w:rsidRPr="00441A9C">
              <w:rPr>
                <w:rFonts w:ascii="Garamond" w:hAnsi="Garamond"/>
              </w:rPr>
              <w:t>s views o</w:t>
            </w:r>
            <w:r w:rsidRPr="00441A9C">
              <w:rPr>
                <w:rFonts w:ascii="Garamond" w:hAnsi="Garamond"/>
              </w:rPr>
              <w:t>f</w:t>
            </w:r>
            <w:r w:rsidR="00715DA3" w:rsidRPr="00441A9C">
              <w:rPr>
                <w:rFonts w:ascii="Garamond" w:hAnsi="Garamond"/>
              </w:rPr>
              <w:t xml:space="preserve"> inflation expectations are based on the idea of </w:t>
            </w:r>
            <w:r w:rsidR="00715DA3" w:rsidRPr="00441A9C">
              <w:rPr>
                <w:rFonts w:ascii="Times New Roman" w:hAnsi="Times New Roman"/>
              </w:rPr>
              <w:t>​​</w:t>
            </w:r>
            <w:r w:rsidR="00715DA3" w:rsidRPr="00441A9C">
              <w:rPr>
                <w:rFonts w:ascii="Garamond" w:hAnsi="Garamond"/>
              </w:rPr>
              <w:t xml:space="preserve">separating the two components of </w:t>
            </w:r>
            <w:r w:rsidR="004B381D" w:rsidRPr="00441A9C">
              <w:rPr>
                <w:rFonts w:ascii="Garamond" w:hAnsi="Garamond"/>
              </w:rPr>
              <w:t xml:space="preserve">such expectations into </w:t>
            </w:r>
            <w:r w:rsidR="00715DA3" w:rsidRPr="00441A9C">
              <w:rPr>
                <w:rFonts w:ascii="Garamond" w:hAnsi="Garamond"/>
              </w:rPr>
              <w:t xml:space="preserve">short-term and long-term </w:t>
            </w:r>
            <w:r w:rsidR="004B381D" w:rsidRPr="00441A9C">
              <w:rPr>
                <w:rFonts w:ascii="Garamond" w:hAnsi="Garamond"/>
              </w:rPr>
              <w:t>ones</w:t>
            </w:r>
            <w:r w:rsidR="00715DA3" w:rsidRPr="00441A9C">
              <w:rPr>
                <w:rFonts w:ascii="Garamond" w:hAnsi="Garamond"/>
              </w:rPr>
              <w:t xml:space="preserve">. Short-term expectations are generally </w:t>
            </w:r>
            <w:r w:rsidR="004B381D" w:rsidRPr="00441A9C">
              <w:rPr>
                <w:rFonts w:ascii="Garamond" w:hAnsi="Garamond"/>
              </w:rPr>
              <w:t xml:space="preserve">shaped in line with </w:t>
            </w:r>
            <w:r w:rsidR="00715DA3" w:rsidRPr="00441A9C">
              <w:rPr>
                <w:rFonts w:ascii="Garamond" w:hAnsi="Garamond"/>
              </w:rPr>
              <w:t xml:space="preserve">actual developments in inflation, current shocks in the economy and </w:t>
            </w:r>
            <w:r w:rsidR="004B381D" w:rsidRPr="00441A9C">
              <w:rPr>
                <w:rFonts w:ascii="Garamond" w:hAnsi="Garamond"/>
              </w:rPr>
              <w:t xml:space="preserve">how the CBA </w:t>
            </w:r>
            <w:r w:rsidR="00715DA3" w:rsidRPr="00441A9C">
              <w:rPr>
                <w:rFonts w:ascii="Garamond" w:hAnsi="Garamond"/>
              </w:rPr>
              <w:t>respon</w:t>
            </w:r>
            <w:r w:rsidR="004B381D" w:rsidRPr="00441A9C">
              <w:rPr>
                <w:rFonts w:ascii="Garamond" w:hAnsi="Garamond"/>
              </w:rPr>
              <w:t>d</w:t>
            </w:r>
            <w:r w:rsidR="00715DA3" w:rsidRPr="00441A9C">
              <w:rPr>
                <w:rFonts w:ascii="Garamond" w:hAnsi="Garamond"/>
              </w:rPr>
              <w:t>s</w:t>
            </w:r>
            <w:r w:rsidR="004B381D" w:rsidRPr="00441A9C">
              <w:rPr>
                <w:rFonts w:ascii="Garamond" w:hAnsi="Garamond"/>
              </w:rPr>
              <w:t xml:space="preserve"> thereto</w:t>
            </w:r>
            <w:r w:rsidR="00715DA3" w:rsidRPr="00441A9C">
              <w:rPr>
                <w:rFonts w:ascii="Garamond" w:hAnsi="Garamond"/>
              </w:rPr>
              <w:t xml:space="preserve">. The </w:t>
            </w:r>
            <w:r w:rsidR="004B381D" w:rsidRPr="00441A9C">
              <w:rPr>
                <w:rFonts w:ascii="Garamond" w:hAnsi="Garamond"/>
              </w:rPr>
              <w:t>“</w:t>
            </w:r>
            <w:r w:rsidR="00715DA3" w:rsidRPr="00441A9C">
              <w:rPr>
                <w:rFonts w:ascii="Garamond" w:hAnsi="Garamond"/>
              </w:rPr>
              <w:t>Inflation Report</w:t>
            </w:r>
            <w:r w:rsidR="004B381D" w:rsidRPr="00441A9C">
              <w:rPr>
                <w:rFonts w:ascii="Garamond" w:hAnsi="Garamond"/>
              </w:rPr>
              <w:t>”</w:t>
            </w:r>
            <w:r w:rsidR="00715DA3" w:rsidRPr="00441A9C">
              <w:rPr>
                <w:rFonts w:ascii="Garamond" w:hAnsi="Garamond"/>
              </w:rPr>
              <w:t xml:space="preserve"> presents </w:t>
            </w:r>
            <w:r w:rsidR="004B381D" w:rsidRPr="00441A9C">
              <w:rPr>
                <w:rFonts w:ascii="Garamond" w:hAnsi="Garamond"/>
              </w:rPr>
              <w:t>exactly s</w:t>
            </w:r>
            <w:r w:rsidR="00715DA3" w:rsidRPr="00441A9C">
              <w:rPr>
                <w:rFonts w:ascii="Garamond" w:hAnsi="Garamond"/>
              </w:rPr>
              <w:t xml:space="preserve">hort-term inflation expectations. </w:t>
            </w:r>
            <w:r w:rsidR="003C4C3E">
              <w:rPr>
                <w:rFonts w:ascii="Garamond" w:hAnsi="Garamond"/>
              </w:rPr>
              <w:t xml:space="preserve"> L</w:t>
            </w:r>
            <w:r w:rsidR="00715DA3" w:rsidRPr="00441A9C">
              <w:rPr>
                <w:rFonts w:ascii="Garamond" w:hAnsi="Garamond"/>
              </w:rPr>
              <w:t xml:space="preserve">ong-term </w:t>
            </w:r>
            <w:r w:rsidR="004B381D" w:rsidRPr="00441A9C">
              <w:rPr>
                <w:rFonts w:ascii="Garamond" w:hAnsi="Garamond"/>
              </w:rPr>
              <w:t>expectations reflect the public’s perception of the CBA’</w:t>
            </w:r>
            <w:r w:rsidR="00715DA3" w:rsidRPr="00441A9C">
              <w:rPr>
                <w:rFonts w:ascii="Garamond" w:hAnsi="Garamond"/>
              </w:rPr>
              <w:t>s ability to maintain price stability in the long run.</w:t>
            </w:r>
          </w:p>
          <w:p w14:paraId="66E09F33" w14:textId="77777777" w:rsidR="004B381D" w:rsidRPr="00441A9C" w:rsidRDefault="004B381D" w:rsidP="00715DA3">
            <w:pPr>
              <w:spacing w:line="360" w:lineRule="auto"/>
              <w:jc w:val="both"/>
              <w:rPr>
                <w:rFonts w:ascii="Garamond" w:hAnsi="Garamond"/>
              </w:rPr>
            </w:pPr>
          </w:p>
          <w:p w14:paraId="524856CC" w14:textId="77777777" w:rsidR="00715DA3" w:rsidRPr="00441A9C" w:rsidRDefault="00715DA3" w:rsidP="00715DA3">
            <w:pPr>
              <w:spacing w:line="360" w:lineRule="auto"/>
              <w:jc w:val="both"/>
              <w:rPr>
                <w:rFonts w:ascii="Garamond" w:hAnsi="Garamond"/>
              </w:rPr>
            </w:pPr>
            <w:r w:rsidRPr="00441A9C">
              <w:rPr>
                <w:rFonts w:ascii="Garamond" w:hAnsi="Garamond"/>
              </w:rPr>
              <w:t xml:space="preserve">The existence of estimates on inflation expectations is </w:t>
            </w:r>
            <w:r w:rsidR="00603824" w:rsidRPr="00441A9C">
              <w:rPr>
                <w:rFonts w:ascii="Garamond" w:hAnsi="Garamond"/>
              </w:rPr>
              <w:t xml:space="preserve">very important </w:t>
            </w:r>
            <w:r w:rsidRPr="00441A9C">
              <w:rPr>
                <w:rFonts w:ascii="Garamond" w:hAnsi="Garamond"/>
              </w:rPr>
              <w:t>for the C</w:t>
            </w:r>
            <w:r w:rsidR="00603824" w:rsidRPr="00441A9C">
              <w:rPr>
                <w:rFonts w:ascii="Garamond" w:hAnsi="Garamond"/>
              </w:rPr>
              <w:t>BA</w:t>
            </w:r>
            <w:r w:rsidRPr="00441A9C">
              <w:rPr>
                <w:rFonts w:ascii="Garamond" w:hAnsi="Garamond"/>
              </w:rPr>
              <w:t>. To this end, the CB</w:t>
            </w:r>
            <w:r w:rsidR="00603824" w:rsidRPr="00441A9C">
              <w:rPr>
                <w:rFonts w:ascii="Garamond" w:hAnsi="Garamond"/>
              </w:rPr>
              <w:t>A</w:t>
            </w:r>
            <w:r w:rsidRPr="00441A9C">
              <w:rPr>
                <w:rFonts w:ascii="Garamond" w:hAnsi="Garamond"/>
              </w:rPr>
              <w:t xml:space="preserve"> uses a number of approaches</w:t>
            </w:r>
            <w:r w:rsidR="001162EE" w:rsidRPr="00441A9C">
              <w:rPr>
                <w:rFonts w:ascii="Garamond" w:hAnsi="Garamond"/>
              </w:rPr>
              <w:t xml:space="preserve">. Specifically, general public surveys is one approach the CBA takes with regard to inflation expectations </w:t>
            </w:r>
            <w:r w:rsidRPr="00441A9C">
              <w:rPr>
                <w:rFonts w:ascii="Garamond" w:hAnsi="Garamond"/>
              </w:rPr>
              <w:t xml:space="preserve">for </w:t>
            </w:r>
            <w:r w:rsidR="001162EE" w:rsidRPr="00441A9C">
              <w:rPr>
                <w:rFonts w:ascii="Garamond" w:hAnsi="Garamond"/>
              </w:rPr>
              <w:t xml:space="preserve">quite </w:t>
            </w:r>
            <w:r w:rsidRPr="00441A9C">
              <w:rPr>
                <w:rFonts w:ascii="Garamond" w:hAnsi="Garamond"/>
              </w:rPr>
              <w:t xml:space="preserve">a long time, </w:t>
            </w:r>
            <w:r w:rsidR="001162EE" w:rsidRPr="00441A9C">
              <w:rPr>
                <w:rFonts w:ascii="Garamond" w:hAnsi="Garamond"/>
              </w:rPr>
              <w:t xml:space="preserve">on a </w:t>
            </w:r>
            <w:r w:rsidRPr="00441A9C">
              <w:rPr>
                <w:rFonts w:ascii="Garamond" w:hAnsi="Garamond"/>
              </w:rPr>
              <w:t>short-term and</w:t>
            </w:r>
            <w:r w:rsidR="001162EE" w:rsidRPr="00441A9C">
              <w:rPr>
                <w:rFonts w:ascii="Garamond" w:hAnsi="Garamond"/>
              </w:rPr>
              <w:t>, s</w:t>
            </w:r>
            <w:r w:rsidRPr="00441A9C">
              <w:rPr>
                <w:rFonts w:ascii="Garamond" w:hAnsi="Garamond"/>
              </w:rPr>
              <w:t>tarting from the second half</w:t>
            </w:r>
            <w:r w:rsidR="001162EE" w:rsidRPr="00441A9C">
              <w:rPr>
                <w:rFonts w:ascii="Garamond" w:hAnsi="Garamond"/>
              </w:rPr>
              <w:t xml:space="preserve"> of 2016</w:t>
            </w:r>
            <w:r w:rsidRPr="00441A9C">
              <w:rPr>
                <w:rFonts w:ascii="Garamond" w:hAnsi="Garamond"/>
              </w:rPr>
              <w:t xml:space="preserve">, </w:t>
            </w:r>
            <w:r w:rsidR="001162EE" w:rsidRPr="00441A9C">
              <w:rPr>
                <w:rFonts w:ascii="Garamond" w:hAnsi="Garamond"/>
              </w:rPr>
              <w:t xml:space="preserve">long-term </w:t>
            </w:r>
            <w:r w:rsidRPr="00441A9C">
              <w:rPr>
                <w:rFonts w:ascii="Garamond" w:hAnsi="Garamond"/>
              </w:rPr>
              <w:t xml:space="preserve">(5-year horizon) </w:t>
            </w:r>
            <w:r w:rsidR="001162EE" w:rsidRPr="00441A9C">
              <w:rPr>
                <w:rFonts w:ascii="Garamond" w:hAnsi="Garamond"/>
              </w:rPr>
              <w:t>bases</w:t>
            </w:r>
            <w:r w:rsidRPr="00441A9C">
              <w:rPr>
                <w:rFonts w:ascii="Garamond" w:hAnsi="Garamond"/>
              </w:rPr>
              <w:t xml:space="preserve">. </w:t>
            </w:r>
            <w:r w:rsidR="001162EE" w:rsidRPr="00441A9C">
              <w:rPr>
                <w:rFonts w:ascii="Garamond" w:hAnsi="Garamond"/>
              </w:rPr>
              <w:t>The s</w:t>
            </w:r>
            <w:r w:rsidRPr="00441A9C">
              <w:rPr>
                <w:rFonts w:ascii="Garamond" w:hAnsi="Garamond"/>
              </w:rPr>
              <w:t xml:space="preserve">urvey results show that long-term inflation expectations are more inert and </w:t>
            </w:r>
            <w:r w:rsidR="001162EE" w:rsidRPr="00441A9C">
              <w:rPr>
                <w:rFonts w:ascii="Garamond" w:hAnsi="Garamond"/>
              </w:rPr>
              <w:t xml:space="preserve">diminish </w:t>
            </w:r>
            <w:r w:rsidRPr="00441A9C">
              <w:rPr>
                <w:rFonts w:ascii="Garamond" w:hAnsi="Garamond"/>
              </w:rPr>
              <w:t>slower than short-term inflation expectations.</w:t>
            </w:r>
          </w:p>
          <w:p w14:paraId="3C369FD5" w14:textId="77777777" w:rsidR="001162EE" w:rsidRPr="00441A9C" w:rsidRDefault="001162EE" w:rsidP="00715DA3">
            <w:pPr>
              <w:spacing w:line="360" w:lineRule="auto"/>
              <w:jc w:val="both"/>
              <w:rPr>
                <w:rFonts w:ascii="Garamond" w:hAnsi="Garamond"/>
              </w:rPr>
            </w:pPr>
          </w:p>
          <w:p w14:paraId="169E9269" w14:textId="77777777" w:rsidR="00715DA3" w:rsidRPr="00441A9C" w:rsidRDefault="002763C1" w:rsidP="00715DA3">
            <w:pPr>
              <w:spacing w:line="360" w:lineRule="auto"/>
              <w:jc w:val="both"/>
              <w:rPr>
                <w:rFonts w:ascii="Garamond" w:hAnsi="Garamond"/>
              </w:rPr>
            </w:pPr>
            <w:r w:rsidRPr="00441A9C">
              <w:rPr>
                <w:rFonts w:ascii="Garamond" w:hAnsi="Garamond"/>
              </w:rPr>
              <w:t>A</w:t>
            </w:r>
            <w:r w:rsidR="00715DA3" w:rsidRPr="00441A9C">
              <w:rPr>
                <w:rFonts w:ascii="Garamond" w:hAnsi="Garamond"/>
              </w:rPr>
              <w:t>nother approach to</w:t>
            </w:r>
            <w:r w:rsidRPr="00441A9C">
              <w:rPr>
                <w:rFonts w:ascii="Garamond" w:hAnsi="Garamond"/>
              </w:rPr>
              <w:t xml:space="preserve"> </w:t>
            </w:r>
            <w:r w:rsidR="00323BF7" w:rsidRPr="00441A9C">
              <w:rPr>
                <w:rFonts w:ascii="Garamond" w:hAnsi="Garamond"/>
              </w:rPr>
              <w:t xml:space="preserve">shaping an </w:t>
            </w:r>
            <w:r w:rsidRPr="00441A9C">
              <w:rPr>
                <w:rFonts w:ascii="Garamond" w:hAnsi="Garamond"/>
              </w:rPr>
              <w:t xml:space="preserve">understanding </w:t>
            </w:r>
            <w:r w:rsidR="00323BF7" w:rsidRPr="00441A9C">
              <w:rPr>
                <w:rFonts w:ascii="Garamond" w:hAnsi="Garamond"/>
              </w:rPr>
              <w:t xml:space="preserve">of </w:t>
            </w:r>
            <w:r w:rsidR="00715DA3" w:rsidRPr="00441A9C">
              <w:rPr>
                <w:rFonts w:ascii="Times New Roman" w:hAnsi="Times New Roman"/>
              </w:rPr>
              <w:t>​​</w:t>
            </w:r>
            <w:r w:rsidR="00715DA3" w:rsidRPr="00441A9C">
              <w:rPr>
                <w:rFonts w:ascii="Garamond" w:hAnsi="Garamond"/>
              </w:rPr>
              <w:t>inflation expectations</w:t>
            </w:r>
            <w:r w:rsidR="00323BF7" w:rsidRPr="00441A9C">
              <w:rPr>
                <w:rFonts w:ascii="Garamond" w:hAnsi="Garamond"/>
              </w:rPr>
              <w:t xml:space="preserve"> is that t</w:t>
            </w:r>
            <w:r w:rsidR="00715DA3" w:rsidRPr="00441A9C">
              <w:rPr>
                <w:rFonts w:ascii="Garamond" w:hAnsi="Garamond"/>
              </w:rPr>
              <w:t xml:space="preserve">he CBA </w:t>
            </w:r>
            <w:r w:rsidR="00323BF7" w:rsidRPr="00441A9C">
              <w:rPr>
                <w:rFonts w:ascii="Garamond" w:hAnsi="Garamond"/>
              </w:rPr>
              <w:t>estimates</w:t>
            </w:r>
            <w:r w:rsidR="00715DA3" w:rsidRPr="00441A9C">
              <w:rPr>
                <w:rFonts w:ascii="Garamond" w:hAnsi="Garamond"/>
              </w:rPr>
              <w:t xml:space="preserve"> short-term inflation expectations </w:t>
            </w:r>
            <w:r w:rsidR="00323BF7" w:rsidRPr="00441A9C">
              <w:rPr>
                <w:rFonts w:ascii="Garamond" w:hAnsi="Garamond"/>
              </w:rPr>
              <w:t xml:space="preserve">through a </w:t>
            </w:r>
            <w:r w:rsidR="00715DA3" w:rsidRPr="00441A9C">
              <w:rPr>
                <w:rFonts w:ascii="Garamond" w:hAnsi="Garamond"/>
              </w:rPr>
              <w:t>chang</w:t>
            </w:r>
            <w:r w:rsidR="00323BF7" w:rsidRPr="00441A9C">
              <w:rPr>
                <w:rFonts w:ascii="Garamond" w:hAnsi="Garamond"/>
              </w:rPr>
              <w:t>e in</w:t>
            </w:r>
            <w:r w:rsidR="005F7CAC" w:rsidRPr="00441A9C">
              <w:rPr>
                <w:rFonts w:ascii="Garamond" w:hAnsi="Garamond"/>
              </w:rPr>
              <w:t xml:space="preserve"> </w:t>
            </w:r>
            <w:r w:rsidR="00715DA3" w:rsidRPr="00441A9C">
              <w:rPr>
                <w:rFonts w:ascii="Garamond" w:hAnsi="Garamond"/>
              </w:rPr>
              <w:t xml:space="preserve">the </w:t>
            </w:r>
            <w:r w:rsidR="00323BF7" w:rsidRPr="00441A9C">
              <w:rPr>
                <w:rFonts w:ascii="Garamond" w:hAnsi="Garamond"/>
              </w:rPr>
              <w:t xml:space="preserve">level of </w:t>
            </w:r>
            <w:r w:rsidR="00715DA3" w:rsidRPr="00441A9C">
              <w:rPr>
                <w:rFonts w:ascii="Garamond" w:hAnsi="Garamond"/>
              </w:rPr>
              <w:t xml:space="preserve">dollarization of </w:t>
            </w:r>
            <w:r w:rsidR="00323BF7" w:rsidRPr="00441A9C">
              <w:rPr>
                <w:rFonts w:ascii="Garamond" w:hAnsi="Garamond"/>
              </w:rPr>
              <w:t xml:space="preserve">up to 1-year </w:t>
            </w:r>
            <w:r w:rsidR="00715DA3" w:rsidRPr="00441A9C">
              <w:rPr>
                <w:rFonts w:ascii="Garamond" w:hAnsi="Garamond"/>
              </w:rPr>
              <w:t>deposits (</w:t>
            </w:r>
            <w:r w:rsidR="00323BF7" w:rsidRPr="00441A9C">
              <w:rPr>
                <w:rFonts w:ascii="Garamond" w:hAnsi="Garamond"/>
              </w:rPr>
              <w:t>the share of residents’ f</w:t>
            </w:r>
            <w:r w:rsidR="00715DA3" w:rsidRPr="00441A9C">
              <w:rPr>
                <w:rFonts w:ascii="Garamond" w:hAnsi="Garamond"/>
              </w:rPr>
              <w:t xml:space="preserve">oreign currency deposits </w:t>
            </w:r>
            <w:r w:rsidR="00323BF7" w:rsidRPr="00441A9C">
              <w:rPr>
                <w:rFonts w:ascii="Garamond" w:hAnsi="Garamond"/>
              </w:rPr>
              <w:t xml:space="preserve">with up to 1 year of maturity </w:t>
            </w:r>
            <w:r w:rsidR="00715DA3" w:rsidRPr="00441A9C">
              <w:rPr>
                <w:rFonts w:ascii="Garamond" w:hAnsi="Garamond"/>
              </w:rPr>
              <w:t>in total deposits</w:t>
            </w:r>
            <w:r w:rsidR="00323BF7" w:rsidRPr="00441A9C">
              <w:rPr>
                <w:rFonts w:ascii="Garamond" w:hAnsi="Garamond"/>
              </w:rPr>
              <w:t xml:space="preserve"> with the same maturity</w:t>
            </w:r>
            <w:r w:rsidR="00715DA3" w:rsidRPr="00441A9C">
              <w:rPr>
                <w:rFonts w:ascii="Garamond" w:hAnsi="Garamond"/>
              </w:rPr>
              <w:t xml:space="preserve">) and </w:t>
            </w:r>
            <w:r w:rsidR="005F7CAC" w:rsidRPr="00441A9C">
              <w:rPr>
                <w:rFonts w:ascii="Garamond" w:hAnsi="Garamond"/>
              </w:rPr>
              <w:t xml:space="preserve">a change in the level of </w:t>
            </w:r>
            <w:r w:rsidR="00323BF7" w:rsidRPr="00441A9C">
              <w:rPr>
                <w:rFonts w:ascii="Garamond" w:hAnsi="Garamond"/>
              </w:rPr>
              <w:t xml:space="preserve">interest rates </w:t>
            </w:r>
            <w:r w:rsidR="005F7CAC" w:rsidRPr="00441A9C">
              <w:rPr>
                <w:rFonts w:ascii="Garamond" w:hAnsi="Garamond"/>
              </w:rPr>
              <w:t>on</w:t>
            </w:r>
            <w:r w:rsidR="00715DA3" w:rsidRPr="00441A9C">
              <w:rPr>
                <w:rFonts w:ascii="Garamond" w:hAnsi="Garamond"/>
              </w:rPr>
              <w:t xml:space="preserve"> </w:t>
            </w:r>
            <w:r w:rsidR="005F7CAC" w:rsidRPr="00441A9C">
              <w:rPr>
                <w:rFonts w:ascii="Garamond" w:hAnsi="Garamond"/>
              </w:rPr>
              <w:t xml:space="preserve">the yield curve’s </w:t>
            </w:r>
            <w:r w:rsidR="00715DA3" w:rsidRPr="00441A9C">
              <w:rPr>
                <w:rFonts w:ascii="Garamond" w:hAnsi="Garamond"/>
              </w:rPr>
              <w:t xml:space="preserve">short-term </w:t>
            </w:r>
            <w:r w:rsidR="005F7CAC" w:rsidRPr="00441A9C">
              <w:rPr>
                <w:rFonts w:ascii="Garamond" w:hAnsi="Garamond"/>
              </w:rPr>
              <w:t>(up to 1 year) segment</w:t>
            </w:r>
            <w:r w:rsidR="00715DA3" w:rsidRPr="00441A9C">
              <w:rPr>
                <w:rFonts w:ascii="Garamond" w:hAnsi="Garamond"/>
              </w:rPr>
              <w:t xml:space="preserve">. </w:t>
            </w:r>
            <w:r w:rsidR="005F7CAC" w:rsidRPr="00441A9C">
              <w:rPr>
                <w:rFonts w:ascii="Garamond" w:hAnsi="Garamond"/>
              </w:rPr>
              <w:t>L</w:t>
            </w:r>
            <w:r w:rsidR="00715DA3" w:rsidRPr="00441A9C">
              <w:rPr>
                <w:rFonts w:ascii="Garamond" w:hAnsi="Garamond"/>
              </w:rPr>
              <w:t xml:space="preserve">ong-term inflation expectations are </w:t>
            </w:r>
            <w:r w:rsidR="005F7CAC" w:rsidRPr="00441A9C">
              <w:rPr>
                <w:rFonts w:ascii="Garamond" w:hAnsi="Garamond"/>
              </w:rPr>
              <w:t>estimated</w:t>
            </w:r>
            <w:r w:rsidR="00715DA3" w:rsidRPr="00441A9C">
              <w:rPr>
                <w:rFonts w:ascii="Garamond" w:hAnsi="Garamond"/>
              </w:rPr>
              <w:t xml:space="preserve"> </w:t>
            </w:r>
            <w:r w:rsidR="005F7CAC" w:rsidRPr="00441A9C">
              <w:rPr>
                <w:rFonts w:ascii="Garamond" w:hAnsi="Garamond"/>
              </w:rPr>
              <w:t>through a change in the level of dollarization of long-term (over</w:t>
            </w:r>
            <w:r w:rsidR="00867FF7" w:rsidRPr="00441A9C">
              <w:rPr>
                <w:rFonts w:ascii="Garamond" w:hAnsi="Garamond"/>
              </w:rPr>
              <w:t xml:space="preserve"> 1 </w:t>
            </w:r>
            <w:r w:rsidR="005F7CAC" w:rsidRPr="00441A9C">
              <w:rPr>
                <w:rFonts w:ascii="Garamond" w:hAnsi="Garamond"/>
              </w:rPr>
              <w:t xml:space="preserve">year) deposits (the share of residents’ foreign currency deposits with over 1 year of maturity in total deposits with the same maturity) </w:t>
            </w:r>
            <w:r w:rsidR="00715DA3" w:rsidRPr="00441A9C">
              <w:rPr>
                <w:rFonts w:ascii="Garamond" w:hAnsi="Garamond"/>
              </w:rPr>
              <w:t xml:space="preserve">and a change </w:t>
            </w:r>
            <w:r w:rsidR="005F7CAC" w:rsidRPr="00441A9C">
              <w:rPr>
                <w:rFonts w:ascii="Garamond" w:hAnsi="Garamond"/>
              </w:rPr>
              <w:t>in the level of interest rates on the yield curve’s long-term (</w:t>
            </w:r>
            <w:r w:rsidR="00867FF7" w:rsidRPr="00441A9C">
              <w:rPr>
                <w:rFonts w:ascii="Garamond" w:hAnsi="Garamond"/>
              </w:rPr>
              <w:t xml:space="preserve">e.g. 5 </w:t>
            </w:r>
            <w:r w:rsidR="005F7CAC" w:rsidRPr="00441A9C">
              <w:rPr>
                <w:rFonts w:ascii="Garamond" w:hAnsi="Garamond"/>
              </w:rPr>
              <w:t>year</w:t>
            </w:r>
            <w:r w:rsidR="00867FF7" w:rsidRPr="00441A9C">
              <w:rPr>
                <w:rFonts w:ascii="Garamond" w:hAnsi="Garamond"/>
              </w:rPr>
              <w:t>s</w:t>
            </w:r>
            <w:r w:rsidR="005F7CAC" w:rsidRPr="00441A9C">
              <w:rPr>
                <w:rFonts w:ascii="Garamond" w:hAnsi="Garamond"/>
              </w:rPr>
              <w:t>) segment.</w:t>
            </w:r>
          </w:p>
          <w:p w14:paraId="5C638C6D" w14:textId="77777777" w:rsidR="005F7CAC" w:rsidRPr="00441A9C" w:rsidRDefault="005F7CAC" w:rsidP="00715DA3">
            <w:pPr>
              <w:spacing w:line="360" w:lineRule="auto"/>
              <w:jc w:val="both"/>
              <w:rPr>
                <w:rFonts w:ascii="Garamond" w:hAnsi="Garamond"/>
              </w:rPr>
            </w:pPr>
          </w:p>
          <w:p w14:paraId="720F19F8" w14:textId="77777777" w:rsidR="00715DA3" w:rsidRPr="00441A9C" w:rsidRDefault="00715DA3" w:rsidP="00715DA3">
            <w:pPr>
              <w:spacing w:line="360" w:lineRule="auto"/>
              <w:jc w:val="both"/>
              <w:rPr>
                <w:rFonts w:ascii="Garamond" w:hAnsi="Garamond"/>
              </w:rPr>
            </w:pPr>
            <w:r w:rsidRPr="00441A9C">
              <w:rPr>
                <w:rFonts w:ascii="Garamond" w:hAnsi="Garamond"/>
              </w:rPr>
              <w:t xml:space="preserve">Figure 1 shows that </w:t>
            </w:r>
            <w:r w:rsidR="00182BA9" w:rsidRPr="00441A9C">
              <w:rPr>
                <w:rFonts w:ascii="Garamond" w:hAnsi="Garamond"/>
              </w:rPr>
              <w:t xml:space="preserve">in the aftermath of the currency crisis </w:t>
            </w:r>
            <w:r w:rsidRPr="00441A9C">
              <w:rPr>
                <w:rFonts w:ascii="Garamond" w:hAnsi="Garamond"/>
              </w:rPr>
              <w:t xml:space="preserve">dollarization of deposits with </w:t>
            </w:r>
            <w:r w:rsidR="00A10475" w:rsidRPr="00441A9C">
              <w:rPr>
                <w:rFonts w:ascii="Garamond" w:hAnsi="Garamond"/>
              </w:rPr>
              <w:t xml:space="preserve">up to 1-year of </w:t>
            </w:r>
            <w:r w:rsidRPr="00441A9C">
              <w:rPr>
                <w:rFonts w:ascii="Garamond" w:hAnsi="Garamond"/>
              </w:rPr>
              <w:t xml:space="preserve">maturity </w:t>
            </w:r>
            <w:r w:rsidR="00A10475" w:rsidRPr="00441A9C">
              <w:rPr>
                <w:rFonts w:ascii="Garamond" w:hAnsi="Garamond"/>
              </w:rPr>
              <w:t xml:space="preserve">has </w:t>
            </w:r>
            <w:r w:rsidRPr="00441A9C">
              <w:rPr>
                <w:rFonts w:ascii="Garamond" w:hAnsi="Garamond"/>
              </w:rPr>
              <w:t>decreased (</w:t>
            </w:r>
            <w:r w:rsidR="00182BA9" w:rsidRPr="00441A9C">
              <w:rPr>
                <w:rFonts w:ascii="Garamond" w:hAnsi="Garamond"/>
              </w:rPr>
              <w:t>end-</w:t>
            </w:r>
            <w:r w:rsidR="00172069" w:rsidRPr="00441A9C">
              <w:rPr>
                <w:rFonts w:ascii="Garamond" w:hAnsi="Garamond"/>
              </w:rPr>
              <w:t xml:space="preserve">2014: </w:t>
            </w:r>
            <w:r w:rsidR="00182BA9" w:rsidRPr="00441A9C">
              <w:rPr>
                <w:rFonts w:ascii="Garamond" w:hAnsi="Garamond"/>
              </w:rPr>
              <w:t xml:space="preserve">more than </w:t>
            </w:r>
            <w:r w:rsidR="00A10475" w:rsidRPr="00441A9C">
              <w:rPr>
                <w:rFonts w:ascii="Garamond" w:hAnsi="Garamond"/>
              </w:rPr>
              <w:t>71.0%</w:t>
            </w:r>
            <w:r w:rsidR="00172069" w:rsidRPr="00441A9C">
              <w:rPr>
                <w:rFonts w:ascii="Garamond" w:hAnsi="Garamond"/>
              </w:rPr>
              <w:t>,</w:t>
            </w:r>
            <w:r w:rsidRPr="00441A9C">
              <w:rPr>
                <w:rFonts w:ascii="Garamond" w:hAnsi="Garamond"/>
              </w:rPr>
              <w:t xml:space="preserve"> end</w:t>
            </w:r>
            <w:r w:rsidR="00172069" w:rsidRPr="00441A9C">
              <w:rPr>
                <w:rFonts w:ascii="Garamond" w:hAnsi="Garamond"/>
              </w:rPr>
              <w:t>-</w:t>
            </w:r>
            <w:r w:rsidRPr="00441A9C">
              <w:rPr>
                <w:rFonts w:ascii="Garamond" w:hAnsi="Garamond"/>
              </w:rPr>
              <w:t>2016</w:t>
            </w:r>
            <w:r w:rsidR="00172069" w:rsidRPr="00441A9C">
              <w:rPr>
                <w:rFonts w:ascii="Garamond" w:hAnsi="Garamond"/>
              </w:rPr>
              <w:t>:</w:t>
            </w:r>
            <w:r w:rsidRPr="00441A9C">
              <w:rPr>
                <w:rFonts w:ascii="Garamond" w:hAnsi="Garamond"/>
              </w:rPr>
              <w:t xml:space="preserve"> about 54.0%), whereas </w:t>
            </w:r>
            <w:r w:rsidRPr="00441A9C">
              <w:rPr>
                <w:rFonts w:ascii="Garamond" w:hAnsi="Garamond"/>
              </w:rPr>
              <w:lastRenderedPageBreak/>
              <w:t xml:space="preserve">dollarization of </w:t>
            </w:r>
            <w:r w:rsidR="00182BA9" w:rsidRPr="00441A9C">
              <w:rPr>
                <w:rFonts w:ascii="Garamond" w:hAnsi="Garamond"/>
              </w:rPr>
              <w:t xml:space="preserve">over 1-year </w:t>
            </w:r>
            <w:r w:rsidRPr="00441A9C">
              <w:rPr>
                <w:rFonts w:ascii="Garamond" w:hAnsi="Garamond"/>
              </w:rPr>
              <w:t xml:space="preserve">foreign currency deposits </w:t>
            </w:r>
            <w:r w:rsidR="00182BA9" w:rsidRPr="00441A9C">
              <w:rPr>
                <w:rFonts w:ascii="Garamond" w:hAnsi="Garamond"/>
              </w:rPr>
              <w:t>first has increased notably (</w:t>
            </w:r>
            <w:r w:rsidRPr="00441A9C">
              <w:rPr>
                <w:rFonts w:ascii="Garamond" w:hAnsi="Garamond"/>
              </w:rPr>
              <w:t>end</w:t>
            </w:r>
            <w:r w:rsidR="00182BA9" w:rsidRPr="00441A9C">
              <w:rPr>
                <w:rFonts w:ascii="Garamond" w:hAnsi="Garamond"/>
              </w:rPr>
              <w:t>-</w:t>
            </w:r>
            <w:r w:rsidRPr="00441A9C">
              <w:rPr>
                <w:rFonts w:ascii="Garamond" w:hAnsi="Garamond"/>
              </w:rPr>
              <w:t>2014</w:t>
            </w:r>
            <w:r w:rsidR="00182BA9" w:rsidRPr="00441A9C">
              <w:rPr>
                <w:rFonts w:ascii="Garamond" w:hAnsi="Garamond"/>
              </w:rPr>
              <w:t>:</w:t>
            </w:r>
            <w:r w:rsidRPr="00441A9C">
              <w:rPr>
                <w:rFonts w:ascii="Garamond" w:hAnsi="Garamond"/>
              </w:rPr>
              <w:t xml:space="preserve"> about 78.0%, September 2015</w:t>
            </w:r>
            <w:r w:rsidR="00182BA9" w:rsidRPr="00441A9C">
              <w:rPr>
                <w:rFonts w:ascii="Garamond" w:hAnsi="Garamond"/>
              </w:rPr>
              <w:t xml:space="preserve">: </w:t>
            </w:r>
            <w:r w:rsidRPr="00441A9C">
              <w:rPr>
                <w:rFonts w:ascii="Garamond" w:hAnsi="Garamond"/>
              </w:rPr>
              <w:t>88.0%)</w:t>
            </w:r>
            <w:r w:rsidR="00182BA9" w:rsidRPr="00441A9C">
              <w:rPr>
                <w:rFonts w:ascii="Garamond" w:hAnsi="Garamond"/>
              </w:rPr>
              <w:t>,</w:t>
            </w:r>
            <w:r w:rsidRPr="00441A9C">
              <w:rPr>
                <w:rFonts w:ascii="Garamond" w:hAnsi="Garamond"/>
              </w:rPr>
              <w:t xml:space="preserve"> </w:t>
            </w:r>
            <w:r w:rsidR="00182BA9" w:rsidRPr="00441A9C">
              <w:rPr>
                <w:rFonts w:ascii="Garamond" w:hAnsi="Garamond"/>
              </w:rPr>
              <w:t xml:space="preserve">persisted </w:t>
            </w:r>
            <w:r w:rsidRPr="00441A9C">
              <w:rPr>
                <w:rFonts w:ascii="Garamond" w:hAnsi="Garamond"/>
              </w:rPr>
              <w:t xml:space="preserve">at a high level for a while and only </w:t>
            </w:r>
            <w:r w:rsidR="00182BA9" w:rsidRPr="00441A9C">
              <w:rPr>
                <w:rFonts w:ascii="Garamond" w:hAnsi="Garamond"/>
              </w:rPr>
              <w:t xml:space="preserve">starting from May </w:t>
            </w:r>
            <w:r w:rsidRPr="00441A9C">
              <w:rPr>
                <w:rFonts w:ascii="Garamond" w:hAnsi="Garamond"/>
              </w:rPr>
              <w:t xml:space="preserve">2016 </w:t>
            </w:r>
            <w:r w:rsidR="00182BA9" w:rsidRPr="00441A9C">
              <w:rPr>
                <w:rFonts w:ascii="Garamond" w:hAnsi="Garamond"/>
              </w:rPr>
              <w:t xml:space="preserve">began decreasing </w:t>
            </w:r>
            <w:r w:rsidRPr="00441A9C">
              <w:rPr>
                <w:rFonts w:ascii="Garamond" w:hAnsi="Garamond"/>
              </w:rPr>
              <w:t>to 70.0% by the end of the year.</w:t>
            </w:r>
          </w:p>
          <w:p w14:paraId="48644045" w14:textId="77777777" w:rsidR="00182BA9" w:rsidRPr="00441A9C" w:rsidRDefault="00182BA9" w:rsidP="00E221FB">
            <w:pPr>
              <w:spacing w:line="360" w:lineRule="auto"/>
              <w:jc w:val="both"/>
              <w:rPr>
                <w:rFonts w:ascii="Garamond" w:hAnsi="Garamond"/>
              </w:rPr>
            </w:pPr>
          </w:p>
          <w:p w14:paraId="4902769A" w14:textId="77777777" w:rsidR="00715DA3" w:rsidRPr="00441A9C" w:rsidRDefault="00715DA3" w:rsidP="00E221FB">
            <w:pPr>
              <w:spacing w:line="360" w:lineRule="auto"/>
              <w:jc w:val="both"/>
              <w:rPr>
                <w:rFonts w:ascii="Garamond" w:hAnsi="Garamond"/>
              </w:rPr>
            </w:pPr>
            <w:r w:rsidRPr="00441A9C">
              <w:rPr>
                <w:rFonts w:ascii="Garamond" w:hAnsi="Garamond"/>
              </w:rPr>
              <w:t xml:space="preserve">Figure 2 presents short-term and long-term </w:t>
            </w:r>
            <w:r w:rsidR="00182BA9" w:rsidRPr="00441A9C">
              <w:rPr>
                <w:rFonts w:ascii="Garamond" w:hAnsi="Garamond"/>
              </w:rPr>
              <w:t xml:space="preserve">yield </w:t>
            </w:r>
            <w:r w:rsidRPr="00441A9C">
              <w:rPr>
                <w:rFonts w:ascii="Garamond" w:hAnsi="Garamond"/>
              </w:rPr>
              <w:t>curves</w:t>
            </w:r>
            <w:r w:rsidR="0016537F" w:rsidRPr="00441A9C">
              <w:rPr>
                <w:rFonts w:ascii="Garamond" w:hAnsi="Garamond"/>
              </w:rPr>
              <w:t>;</w:t>
            </w:r>
            <w:r w:rsidRPr="00441A9C">
              <w:rPr>
                <w:rFonts w:ascii="Garamond" w:hAnsi="Garamond"/>
              </w:rPr>
              <w:t xml:space="preserve"> </w:t>
            </w:r>
            <w:r w:rsidR="0016537F" w:rsidRPr="00441A9C">
              <w:rPr>
                <w:rFonts w:ascii="Garamond" w:hAnsi="Garamond"/>
              </w:rPr>
              <w:t>i</w:t>
            </w:r>
            <w:r w:rsidRPr="00441A9C">
              <w:rPr>
                <w:rFonts w:ascii="Garamond" w:hAnsi="Garamond"/>
              </w:rPr>
              <w:t xml:space="preserve">t is obvious that </w:t>
            </w:r>
            <w:r w:rsidR="0016537F" w:rsidRPr="00441A9C">
              <w:rPr>
                <w:rFonts w:ascii="Garamond" w:hAnsi="Garamond"/>
              </w:rPr>
              <w:t>in 2014 both short-term and long-term interest rates demonstrated a sharp increase</w:t>
            </w:r>
            <w:r w:rsidRPr="00441A9C">
              <w:rPr>
                <w:rFonts w:ascii="Garamond" w:hAnsi="Garamond"/>
              </w:rPr>
              <w:t xml:space="preserve">, </w:t>
            </w:r>
            <w:r w:rsidR="0016537F" w:rsidRPr="00441A9C">
              <w:rPr>
                <w:rFonts w:ascii="Garamond" w:hAnsi="Garamond"/>
              </w:rPr>
              <w:t xml:space="preserve">influenced by the </w:t>
            </w:r>
            <w:r w:rsidRPr="00441A9C">
              <w:rPr>
                <w:rFonts w:ascii="Garamond" w:hAnsi="Garamond"/>
              </w:rPr>
              <w:t xml:space="preserve">financial crisis, although no </w:t>
            </w:r>
            <w:r w:rsidR="0016537F" w:rsidRPr="00441A9C">
              <w:rPr>
                <w:rFonts w:ascii="Garamond" w:hAnsi="Garamond"/>
              </w:rPr>
              <w:t xml:space="preserve">steep </w:t>
            </w:r>
            <w:r w:rsidRPr="00441A9C">
              <w:rPr>
                <w:rFonts w:ascii="Garamond" w:hAnsi="Garamond"/>
              </w:rPr>
              <w:t xml:space="preserve">increase in </w:t>
            </w:r>
            <w:r w:rsidR="0016537F" w:rsidRPr="00441A9C">
              <w:rPr>
                <w:rFonts w:ascii="Garamond" w:hAnsi="Garamond"/>
              </w:rPr>
              <w:t xml:space="preserve">the </w:t>
            </w:r>
            <w:r w:rsidRPr="00441A9C">
              <w:rPr>
                <w:rFonts w:ascii="Garamond" w:hAnsi="Garamond"/>
              </w:rPr>
              <w:t xml:space="preserve">12-month inflation </w:t>
            </w:r>
            <w:r w:rsidR="0016537F" w:rsidRPr="00441A9C">
              <w:rPr>
                <w:rFonts w:ascii="Garamond" w:hAnsi="Garamond"/>
              </w:rPr>
              <w:t xml:space="preserve">rate </w:t>
            </w:r>
            <w:r w:rsidRPr="00441A9C">
              <w:rPr>
                <w:rFonts w:ascii="Garamond" w:hAnsi="Garamond"/>
              </w:rPr>
              <w:t>has been recorded. As a result of the consistent policy by the C</w:t>
            </w:r>
            <w:r w:rsidR="0016537F" w:rsidRPr="00441A9C">
              <w:rPr>
                <w:rFonts w:ascii="Garamond" w:hAnsi="Garamond"/>
              </w:rPr>
              <w:t>BA</w:t>
            </w:r>
            <w:r w:rsidRPr="00441A9C">
              <w:rPr>
                <w:rFonts w:ascii="Garamond" w:hAnsi="Garamond"/>
              </w:rPr>
              <w:t xml:space="preserve">, </w:t>
            </w:r>
            <w:r w:rsidR="0016537F" w:rsidRPr="00441A9C">
              <w:rPr>
                <w:rFonts w:ascii="Garamond" w:hAnsi="Garamond"/>
              </w:rPr>
              <w:t xml:space="preserve">concomitant with a decline in inflation, short-term (up to 1-year) </w:t>
            </w:r>
            <w:r w:rsidRPr="00441A9C">
              <w:rPr>
                <w:rFonts w:ascii="Garamond" w:hAnsi="Garamond"/>
              </w:rPr>
              <w:t>interest rates have fallen at a rapid pace</w:t>
            </w:r>
            <w:r w:rsidR="0016537F" w:rsidRPr="00441A9C">
              <w:rPr>
                <w:rFonts w:ascii="Garamond" w:hAnsi="Garamond"/>
              </w:rPr>
              <w:t xml:space="preserve"> f</w:t>
            </w:r>
            <w:r w:rsidRPr="00441A9C">
              <w:rPr>
                <w:rFonts w:ascii="Garamond" w:hAnsi="Garamond"/>
              </w:rPr>
              <w:t xml:space="preserve">rom </w:t>
            </w:r>
            <w:r w:rsidR="0016537F" w:rsidRPr="00441A9C">
              <w:rPr>
                <w:rFonts w:ascii="Garamond" w:hAnsi="Garamond"/>
              </w:rPr>
              <w:t xml:space="preserve">over </w:t>
            </w:r>
            <w:r w:rsidRPr="00441A9C">
              <w:rPr>
                <w:rFonts w:ascii="Garamond" w:hAnsi="Garamond"/>
              </w:rPr>
              <w:t>14.0% in early 2015 to about 7.0% in July 2017</w:t>
            </w:r>
            <w:r w:rsidR="0016537F" w:rsidRPr="00441A9C">
              <w:rPr>
                <w:rFonts w:ascii="Garamond" w:hAnsi="Garamond"/>
              </w:rPr>
              <w:t>,</w:t>
            </w:r>
            <w:r w:rsidRPr="00441A9C">
              <w:rPr>
                <w:rFonts w:ascii="Garamond" w:hAnsi="Garamond"/>
              </w:rPr>
              <w:t xml:space="preserve"> whe</w:t>
            </w:r>
            <w:r w:rsidR="0016537F" w:rsidRPr="00441A9C">
              <w:rPr>
                <w:rFonts w:ascii="Garamond" w:hAnsi="Garamond"/>
              </w:rPr>
              <w:t>reas</w:t>
            </w:r>
            <w:r w:rsidRPr="00441A9C">
              <w:rPr>
                <w:rFonts w:ascii="Garamond" w:hAnsi="Garamond"/>
              </w:rPr>
              <w:t xml:space="preserve"> long-term </w:t>
            </w:r>
            <w:r w:rsidR="00CC27ED" w:rsidRPr="00441A9C">
              <w:rPr>
                <w:rFonts w:ascii="Garamond" w:hAnsi="Garamond"/>
              </w:rPr>
              <w:t>(5-year) interest rates persisted at levels as</w:t>
            </w:r>
            <w:r w:rsidRPr="00441A9C">
              <w:rPr>
                <w:rFonts w:ascii="Garamond" w:hAnsi="Garamond"/>
              </w:rPr>
              <w:t xml:space="preserve"> high </w:t>
            </w:r>
            <w:r w:rsidR="00CC27ED" w:rsidRPr="00441A9C">
              <w:rPr>
                <w:rFonts w:ascii="Garamond" w:hAnsi="Garamond"/>
              </w:rPr>
              <w:t>as nearly 15% for</w:t>
            </w:r>
            <w:r w:rsidRPr="00441A9C">
              <w:rPr>
                <w:rFonts w:ascii="Garamond" w:hAnsi="Garamond"/>
              </w:rPr>
              <w:t xml:space="preserve"> </w:t>
            </w:r>
            <w:r w:rsidR="00CC27ED" w:rsidRPr="00441A9C">
              <w:rPr>
                <w:rFonts w:ascii="Garamond" w:hAnsi="Garamond"/>
              </w:rPr>
              <w:t>about one and a half years</w:t>
            </w:r>
            <w:r w:rsidRPr="00441A9C">
              <w:rPr>
                <w:rFonts w:ascii="Garamond" w:hAnsi="Garamond"/>
              </w:rPr>
              <w:t xml:space="preserve"> and </w:t>
            </w:r>
            <w:r w:rsidR="00CC27ED" w:rsidRPr="00441A9C">
              <w:rPr>
                <w:rFonts w:ascii="Garamond" w:hAnsi="Garamond"/>
              </w:rPr>
              <w:t xml:space="preserve">starting from the </w:t>
            </w:r>
            <w:r w:rsidRPr="00441A9C">
              <w:rPr>
                <w:rFonts w:ascii="Garamond" w:hAnsi="Garamond"/>
              </w:rPr>
              <w:t xml:space="preserve">second quarter </w:t>
            </w:r>
            <w:r w:rsidR="00CC27ED" w:rsidRPr="00441A9C">
              <w:rPr>
                <w:rFonts w:ascii="Garamond" w:hAnsi="Garamond"/>
              </w:rPr>
              <w:t xml:space="preserve">of 2016 only they dropped </w:t>
            </w:r>
            <w:r w:rsidRPr="00441A9C">
              <w:rPr>
                <w:rFonts w:ascii="Garamond" w:hAnsi="Garamond"/>
              </w:rPr>
              <w:t>to 9.0% in July</w:t>
            </w:r>
            <w:r w:rsidR="00CC27ED" w:rsidRPr="00441A9C">
              <w:rPr>
                <w:rFonts w:ascii="Garamond" w:hAnsi="Garamond"/>
              </w:rPr>
              <w:t xml:space="preserve"> of 2017</w:t>
            </w:r>
            <w:r w:rsidRPr="00441A9C">
              <w:rPr>
                <w:rFonts w:ascii="Garamond" w:hAnsi="Garamond"/>
              </w:rPr>
              <w:t>.</w:t>
            </w:r>
          </w:p>
          <w:p w14:paraId="7E8CBC1F" w14:textId="77777777" w:rsidR="00CC27ED" w:rsidRPr="00441A9C" w:rsidRDefault="00CC27ED" w:rsidP="00E221FB">
            <w:pPr>
              <w:spacing w:line="360" w:lineRule="auto"/>
              <w:jc w:val="both"/>
              <w:rPr>
                <w:rFonts w:ascii="Garamond" w:hAnsi="Garamond"/>
              </w:rPr>
            </w:pPr>
          </w:p>
          <w:p w14:paraId="7819EAB8" w14:textId="77777777" w:rsidR="00E221FB" w:rsidRPr="00441A9C" w:rsidRDefault="0071560F" w:rsidP="00E221FB">
            <w:pPr>
              <w:spacing w:line="360" w:lineRule="auto"/>
              <w:jc w:val="both"/>
              <w:rPr>
                <w:rFonts w:ascii="Garamond" w:hAnsi="Garamond"/>
              </w:rPr>
            </w:pPr>
            <w:r w:rsidRPr="00441A9C">
              <w:rPr>
                <w:rFonts w:ascii="Garamond" w:hAnsi="Garamond"/>
              </w:rPr>
              <w:t>The b</w:t>
            </w:r>
            <w:r w:rsidR="00E221FB" w:rsidRPr="00441A9C">
              <w:rPr>
                <w:rFonts w:ascii="Garamond" w:hAnsi="Garamond"/>
              </w:rPr>
              <w:t xml:space="preserve">ehaviors of the aforementioned two indicators show that </w:t>
            </w:r>
            <w:r w:rsidRPr="00441A9C">
              <w:rPr>
                <w:rFonts w:ascii="Garamond" w:hAnsi="Garamond"/>
              </w:rPr>
              <w:t xml:space="preserve">the </w:t>
            </w:r>
            <w:r w:rsidR="00E221FB" w:rsidRPr="00441A9C">
              <w:rPr>
                <w:rFonts w:ascii="Garamond" w:hAnsi="Garamond"/>
              </w:rPr>
              <w:t>CB</w:t>
            </w:r>
            <w:r w:rsidRPr="00441A9C">
              <w:rPr>
                <w:rFonts w:ascii="Garamond" w:hAnsi="Garamond"/>
              </w:rPr>
              <w:t xml:space="preserve">A policy </w:t>
            </w:r>
            <w:r w:rsidR="00E221FB" w:rsidRPr="00441A9C">
              <w:rPr>
                <w:rFonts w:ascii="Garamond" w:hAnsi="Garamond"/>
              </w:rPr>
              <w:t xml:space="preserve">more </w:t>
            </w:r>
            <w:r w:rsidRPr="00441A9C">
              <w:rPr>
                <w:rFonts w:ascii="Garamond" w:hAnsi="Garamond"/>
              </w:rPr>
              <w:t xml:space="preserve">efficiently influences the </w:t>
            </w:r>
            <w:r w:rsidR="00E221FB" w:rsidRPr="00441A9C">
              <w:rPr>
                <w:rFonts w:ascii="Garamond" w:hAnsi="Garamond"/>
              </w:rPr>
              <w:t xml:space="preserve">short-term inflation expectations, </w:t>
            </w:r>
            <w:r w:rsidRPr="00441A9C">
              <w:rPr>
                <w:rFonts w:ascii="Garamond" w:hAnsi="Garamond"/>
              </w:rPr>
              <w:t xml:space="preserve">while </w:t>
            </w:r>
            <w:r w:rsidR="00E221FB" w:rsidRPr="00441A9C">
              <w:rPr>
                <w:rFonts w:ascii="Garamond" w:hAnsi="Garamond"/>
              </w:rPr>
              <w:t xml:space="preserve">and long-term expectations </w:t>
            </w:r>
            <w:r w:rsidRPr="00441A9C">
              <w:rPr>
                <w:rFonts w:ascii="Garamond" w:hAnsi="Garamond"/>
              </w:rPr>
              <w:t xml:space="preserve">respond </w:t>
            </w:r>
            <w:r w:rsidR="00E221FB" w:rsidRPr="00441A9C">
              <w:rPr>
                <w:rFonts w:ascii="Garamond" w:hAnsi="Garamond"/>
              </w:rPr>
              <w:t xml:space="preserve">much later as they retain the </w:t>
            </w:r>
            <w:r w:rsidRPr="00441A9C">
              <w:rPr>
                <w:rFonts w:ascii="Garamond" w:hAnsi="Garamond"/>
              </w:rPr>
              <w:t xml:space="preserve">inertia of previous increase </w:t>
            </w:r>
            <w:r w:rsidR="00E221FB" w:rsidRPr="00441A9C">
              <w:rPr>
                <w:rFonts w:ascii="Garamond" w:hAnsi="Garamond"/>
              </w:rPr>
              <w:t xml:space="preserve">and require some </w:t>
            </w:r>
            <w:r w:rsidRPr="00441A9C">
              <w:rPr>
                <w:rFonts w:ascii="Garamond" w:hAnsi="Garamond"/>
              </w:rPr>
              <w:t xml:space="preserve">time length for </w:t>
            </w:r>
            <w:r w:rsidR="00E221FB" w:rsidRPr="00441A9C">
              <w:rPr>
                <w:rFonts w:ascii="Garamond" w:hAnsi="Garamond"/>
              </w:rPr>
              <w:t xml:space="preserve">sustainability of short-term expectations. That is why </w:t>
            </w:r>
            <w:r w:rsidRPr="00441A9C">
              <w:rPr>
                <w:rFonts w:ascii="Garamond" w:hAnsi="Garamond"/>
              </w:rPr>
              <w:t xml:space="preserve">only </w:t>
            </w:r>
            <w:r w:rsidR="00E221FB" w:rsidRPr="00441A9C">
              <w:rPr>
                <w:rFonts w:ascii="Garamond" w:hAnsi="Garamond"/>
              </w:rPr>
              <w:t xml:space="preserve">after 1.5 years of low inflation long-term interest rates in the financial market have also </w:t>
            </w:r>
            <w:r w:rsidRPr="00441A9C">
              <w:rPr>
                <w:rFonts w:ascii="Garamond" w:hAnsi="Garamond"/>
              </w:rPr>
              <w:t xml:space="preserve">started </w:t>
            </w:r>
            <w:r w:rsidR="00E221FB" w:rsidRPr="00441A9C">
              <w:rPr>
                <w:rFonts w:ascii="Garamond" w:hAnsi="Garamond"/>
              </w:rPr>
              <w:t>fall</w:t>
            </w:r>
            <w:r w:rsidRPr="00441A9C">
              <w:rPr>
                <w:rFonts w:ascii="Garamond" w:hAnsi="Garamond"/>
              </w:rPr>
              <w:t xml:space="preserve">ing </w:t>
            </w:r>
            <w:r w:rsidR="00E221FB" w:rsidRPr="00441A9C">
              <w:rPr>
                <w:rFonts w:ascii="Garamond" w:hAnsi="Garamond"/>
              </w:rPr>
              <w:t>rapidly.</w:t>
            </w:r>
          </w:p>
          <w:p w14:paraId="154E7F9F" w14:textId="77777777" w:rsidR="0071560F" w:rsidRPr="00441A9C" w:rsidRDefault="0071560F" w:rsidP="00E221FB">
            <w:pPr>
              <w:spacing w:line="360" w:lineRule="auto"/>
              <w:jc w:val="both"/>
              <w:rPr>
                <w:rFonts w:ascii="Garamond" w:hAnsi="Garamond"/>
              </w:rPr>
            </w:pPr>
          </w:p>
          <w:p w14:paraId="7F82A417" w14:textId="77777777" w:rsidR="00E221FB" w:rsidRPr="00441A9C" w:rsidRDefault="00E221FB" w:rsidP="008602BE">
            <w:pPr>
              <w:spacing w:line="360" w:lineRule="auto"/>
              <w:jc w:val="both"/>
              <w:rPr>
                <w:rFonts w:ascii="Garamond" w:hAnsi="Garamond"/>
              </w:rPr>
            </w:pPr>
            <w:r w:rsidRPr="00441A9C">
              <w:rPr>
                <w:rFonts w:ascii="Garamond" w:hAnsi="Garamond"/>
              </w:rPr>
              <w:t xml:space="preserve">In summary, </w:t>
            </w:r>
            <w:r w:rsidR="00C4475F" w:rsidRPr="00441A9C">
              <w:rPr>
                <w:rFonts w:ascii="Garamond" w:hAnsi="Garamond"/>
              </w:rPr>
              <w:t xml:space="preserve">let us </w:t>
            </w:r>
            <w:r w:rsidRPr="00441A9C">
              <w:rPr>
                <w:rFonts w:ascii="Garamond" w:hAnsi="Garamond"/>
              </w:rPr>
              <w:t xml:space="preserve">state that </w:t>
            </w:r>
            <w:r w:rsidR="00C4475F" w:rsidRPr="00441A9C">
              <w:rPr>
                <w:rFonts w:ascii="Garamond" w:hAnsi="Garamond"/>
              </w:rPr>
              <w:t xml:space="preserve">high inflationary expectations observable at the end of 2014 have considerably mitigated as a result of </w:t>
            </w:r>
            <w:r w:rsidRPr="00441A9C">
              <w:rPr>
                <w:rFonts w:ascii="Garamond" w:hAnsi="Garamond"/>
              </w:rPr>
              <w:t>monetary policy implemented by the CB</w:t>
            </w:r>
            <w:r w:rsidR="00C4475F" w:rsidRPr="00441A9C">
              <w:rPr>
                <w:rFonts w:ascii="Garamond" w:hAnsi="Garamond"/>
              </w:rPr>
              <w:t>A in 2015-2017</w:t>
            </w:r>
            <w:r w:rsidRPr="00441A9C">
              <w:rPr>
                <w:rFonts w:ascii="Garamond" w:hAnsi="Garamond"/>
              </w:rPr>
              <w:t xml:space="preserve">, </w:t>
            </w:r>
            <w:r w:rsidR="00C4475F" w:rsidRPr="00441A9C">
              <w:rPr>
                <w:rFonts w:ascii="Garamond" w:hAnsi="Garamond"/>
              </w:rPr>
              <w:t xml:space="preserve">and </w:t>
            </w:r>
            <w:r w:rsidR="00203DA6" w:rsidRPr="00441A9C">
              <w:rPr>
                <w:rFonts w:ascii="Garamond" w:hAnsi="Garamond"/>
              </w:rPr>
              <w:t xml:space="preserve">reduced </w:t>
            </w:r>
            <w:r w:rsidR="00C4475F" w:rsidRPr="00441A9C">
              <w:rPr>
                <w:rFonts w:ascii="Garamond" w:hAnsi="Garamond"/>
              </w:rPr>
              <w:t>dollarization of deposits (Figure 1)</w:t>
            </w:r>
            <w:r w:rsidR="00F243C5" w:rsidRPr="00441A9C">
              <w:rPr>
                <w:rFonts w:ascii="Garamond" w:hAnsi="Garamond"/>
              </w:rPr>
              <w:t>,</w:t>
            </w:r>
            <w:r w:rsidR="00C4475F" w:rsidRPr="00441A9C">
              <w:rPr>
                <w:rFonts w:ascii="Garamond" w:hAnsi="Garamond"/>
              </w:rPr>
              <w:t xml:space="preserve"> </w:t>
            </w:r>
            <w:r w:rsidR="00203DA6" w:rsidRPr="00441A9C">
              <w:rPr>
                <w:rFonts w:ascii="Garamond" w:hAnsi="Garamond"/>
              </w:rPr>
              <w:t>decline</w:t>
            </w:r>
            <w:r w:rsidR="00F243C5" w:rsidRPr="00441A9C">
              <w:rPr>
                <w:rFonts w:ascii="Garamond" w:hAnsi="Garamond"/>
              </w:rPr>
              <w:t xml:space="preserve">d slopes of yield curves (Figure 2) and subsided 12-month inflation rate </w:t>
            </w:r>
            <w:r w:rsidR="00C4475F" w:rsidRPr="00441A9C">
              <w:rPr>
                <w:rFonts w:ascii="Garamond" w:hAnsi="Garamond"/>
              </w:rPr>
              <w:t>well reflect these trends</w:t>
            </w:r>
            <w:r w:rsidR="00F243C5" w:rsidRPr="00441A9C">
              <w:rPr>
                <w:rFonts w:ascii="Garamond" w:hAnsi="Garamond"/>
              </w:rPr>
              <w:t xml:space="preserve">. </w:t>
            </w:r>
            <w:r w:rsidR="00454E58" w:rsidRPr="00441A9C">
              <w:rPr>
                <w:rFonts w:ascii="Garamond" w:hAnsi="Garamond"/>
              </w:rPr>
              <w:t>T</w:t>
            </w:r>
            <w:r w:rsidR="00203DA6" w:rsidRPr="00441A9C">
              <w:rPr>
                <w:rFonts w:ascii="Garamond" w:hAnsi="Garamond"/>
              </w:rPr>
              <w:t xml:space="preserve">he functioning of monetary policy transmission mechanism </w:t>
            </w:r>
            <w:r w:rsidR="00454E58" w:rsidRPr="00441A9C">
              <w:rPr>
                <w:rFonts w:ascii="Garamond" w:hAnsi="Garamond"/>
              </w:rPr>
              <w:t xml:space="preserve">also proved </w:t>
            </w:r>
            <w:r w:rsidR="00203DA6" w:rsidRPr="00441A9C">
              <w:rPr>
                <w:rFonts w:ascii="Garamond" w:hAnsi="Garamond"/>
              </w:rPr>
              <w:t>effective</w:t>
            </w:r>
            <w:r w:rsidR="00454E58" w:rsidRPr="00441A9C">
              <w:rPr>
                <w:rFonts w:ascii="Garamond" w:hAnsi="Garamond"/>
              </w:rPr>
              <w:t xml:space="preserve"> owing to reduced inflation expectations – considerable easing of monetary conditions by using the instrument of cutting the CBA refinancing rate in </w:t>
            </w:r>
            <w:r w:rsidRPr="00441A9C">
              <w:rPr>
                <w:rFonts w:ascii="Garamond" w:hAnsi="Garamond"/>
              </w:rPr>
              <w:t xml:space="preserve">2015-2017 </w:t>
            </w:r>
            <w:r w:rsidR="008602BE" w:rsidRPr="00441A9C">
              <w:rPr>
                <w:rFonts w:ascii="Garamond" w:hAnsi="Garamond"/>
              </w:rPr>
              <w:t xml:space="preserve">was reflected in </w:t>
            </w:r>
            <w:r w:rsidRPr="00441A9C">
              <w:rPr>
                <w:rFonts w:ascii="Garamond" w:hAnsi="Garamond"/>
              </w:rPr>
              <w:t xml:space="preserve">the behavior of interest rates of dram loans and deposits (see </w:t>
            </w:r>
            <w:r w:rsidR="008602BE" w:rsidRPr="00441A9C">
              <w:rPr>
                <w:rFonts w:ascii="Garamond" w:hAnsi="Garamond"/>
              </w:rPr>
              <w:t xml:space="preserve">Box 1 “The </w:t>
            </w:r>
            <w:r w:rsidRPr="00441A9C">
              <w:rPr>
                <w:rFonts w:ascii="Garamond" w:hAnsi="Garamond"/>
              </w:rPr>
              <w:t xml:space="preserve">Impact of </w:t>
            </w:r>
            <w:r w:rsidR="008602BE" w:rsidRPr="00441A9C">
              <w:rPr>
                <w:rFonts w:ascii="Garamond" w:hAnsi="Garamond"/>
              </w:rPr>
              <w:t xml:space="preserve">Easing of </w:t>
            </w:r>
            <w:r w:rsidRPr="00441A9C">
              <w:rPr>
                <w:rFonts w:ascii="Garamond" w:hAnsi="Garamond"/>
              </w:rPr>
              <w:t xml:space="preserve">Monetary </w:t>
            </w:r>
            <w:r w:rsidR="008602BE" w:rsidRPr="00441A9C">
              <w:rPr>
                <w:rFonts w:ascii="Garamond" w:hAnsi="Garamond"/>
              </w:rPr>
              <w:t xml:space="preserve">Conditions </w:t>
            </w:r>
            <w:r w:rsidRPr="00441A9C">
              <w:rPr>
                <w:rFonts w:ascii="Garamond" w:hAnsi="Garamond"/>
              </w:rPr>
              <w:t>on Financial Market Rates</w:t>
            </w:r>
            <w:r w:rsidR="008602BE" w:rsidRPr="00441A9C">
              <w:rPr>
                <w:rFonts w:ascii="Garamond" w:hAnsi="Garamond"/>
              </w:rPr>
              <w:t>” of the Inflation Report Q2, 2017</w:t>
            </w:r>
            <w:r w:rsidR="003C4C3E">
              <w:rPr>
                <w:rFonts w:ascii="Garamond" w:hAnsi="Garamond"/>
              </w:rPr>
              <w:t>, page 27</w:t>
            </w:r>
            <w:r w:rsidR="008D2D1B" w:rsidRPr="00441A9C">
              <w:rPr>
                <w:rFonts w:ascii="Garamond" w:hAnsi="Garamond"/>
              </w:rPr>
              <w:t>).</w:t>
            </w:r>
            <w:r w:rsidRPr="00441A9C">
              <w:rPr>
                <w:rFonts w:ascii="Garamond" w:hAnsi="Garamond"/>
              </w:rPr>
              <w:t xml:space="preserve"> </w:t>
            </w:r>
          </w:p>
        </w:tc>
      </w:tr>
    </w:tbl>
    <w:p w14:paraId="4D1054BC" w14:textId="77777777" w:rsidR="00715DA3" w:rsidRPr="00441A9C" w:rsidRDefault="00715DA3" w:rsidP="00715DA3">
      <w:pPr>
        <w:spacing w:line="360" w:lineRule="auto"/>
        <w:jc w:val="both"/>
        <w:rPr>
          <w:rFonts w:ascii="Garamond" w:hAnsi="Garamond"/>
          <w:sz w:val="22"/>
          <w:szCs w:val="22"/>
        </w:rPr>
      </w:pPr>
    </w:p>
    <w:p w14:paraId="068F862B" w14:textId="77777777" w:rsidR="00171EEE" w:rsidRPr="00441A9C" w:rsidRDefault="00171EEE" w:rsidP="00FF3CD9">
      <w:pPr>
        <w:spacing w:line="360" w:lineRule="auto"/>
        <w:jc w:val="both"/>
        <w:rPr>
          <w:rFonts w:ascii="Garamond" w:hAnsi="Garamond"/>
          <w:b/>
          <w:sz w:val="22"/>
          <w:szCs w:val="22"/>
        </w:rPr>
      </w:pPr>
      <w:r w:rsidRPr="00441A9C">
        <w:rPr>
          <w:rFonts w:ascii="Garamond" w:hAnsi="Garamond"/>
          <w:b/>
          <w:sz w:val="22"/>
          <w:szCs w:val="22"/>
        </w:rPr>
        <w:t>3.2. Aggregate supply and aggregate demand</w:t>
      </w:r>
    </w:p>
    <w:p w14:paraId="4B1AD93E" w14:textId="77777777" w:rsidR="00171EEE" w:rsidRPr="00441A9C" w:rsidRDefault="00171EEE" w:rsidP="00FF3CD9">
      <w:pPr>
        <w:spacing w:line="360" w:lineRule="auto"/>
        <w:jc w:val="both"/>
        <w:rPr>
          <w:rFonts w:ascii="Garamond" w:hAnsi="Garamond"/>
          <w:b/>
          <w:sz w:val="22"/>
          <w:szCs w:val="22"/>
        </w:rPr>
      </w:pPr>
      <w:r w:rsidRPr="00441A9C">
        <w:rPr>
          <w:rFonts w:ascii="Garamond" w:hAnsi="Garamond"/>
          <w:b/>
          <w:sz w:val="22"/>
          <w:szCs w:val="22"/>
        </w:rPr>
        <w:t>3.2.1. Aggregate supply</w:t>
      </w:r>
      <w:r w:rsidR="00487D9A" w:rsidRPr="00441A9C">
        <w:rPr>
          <w:rStyle w:val="FootnoteReference"/>
          <w:rFonts w:ascii="Garamond" w:hAnsi="Garamond"/>
          <w:b/>
          <w:sz w:val="22"/>
          <w:szCs w:val="22"/>
        </w:rPr>
        <w:footnoteReference w:customMarkFollows="1" w:id="11"/>
        <w:t>13</w:t>
      </w:r>
    </w:p>
    <w:p w14:paraId="600CED26" w14:textId="77777777" w:rsidR="00171EEE" w:rsidRPr="00441A9C" w:rsidRDefault="00171EEE" w:rsidP="00FF3CD9">
      <w:pPr>
        <w:spacing w:line="360" w:lineRule="auto"/>
        <w:jc w:val="both"/>
        <w:rPr>
          <w:rFonts w:ascii="Garamond" w:hAnsi="Garamond"/>
          <w:b/>
          <w:sz w:val="22"/>
          <w:szCs w:val="22"/>
        </w:rPr>
      </w:pPr>
    </w:p>
    <w:p w14:paraId="6AF2AB89" w14:textId="2376F943" w:rsidR="00BE0681" w:rsidRPr="00441A9C" w:rsidRDefault="00EC0F2E" w:rsidP="00FF3CD9">
      <w:pPr>
        <w:spacing w:line="360" w:lineRule="auto"/>
        <w:jc w:val="both"/>
        <w:rPr>
          <w:rStyle w:val="longtext"/>
          <w:rFonts w:ascii="Garamond" w:hAnsi="Garamond"/>
          <w:color w:val="000000"/>
          <w:sz w:val="22"/>
          <w:szCs w:val="22"/>
          <w:shd w:val="clear" w:color="auto" w:fill="FFFFFF"/>
        </w:rPr>
      </w:pPr>
      <w:r w:rsidRPr="00441A9C">
        <w:rPr>
          <w:rStyle w:val="longtext"/>
          <w:rFonts w:ascii="Garamond" w:hAnsi="Garamond"/>
          <w:color w:val="000000"/>
          <w:sz w:val="22"/>
          <w:szCs w:val="22"/>
          <w:shd w:val="clear" w:color="auto" w:fill="FFFFFF"/>
        </w:rPr>
        <w:t>The economic growth indicator</w:t>
      </w:r>
      <w:r w:rsidR="00FB246E" w:rsidRPr="00441A9C">
        <w:rPr>
          <w:rStyle w:val="longtext"/>
          <w:rFonts w:ascii="Garamond" w:hAnsi="Garamond"/>
          <w:b/>
          <w:color w:val="000000"/>
          <w:sz w:val="22"/>
          <w:szCs w:val="22"/>
          <w:shd w:val="clear" w:color="auto" w:fill="FFFFFF"/>
          <w:lang w:val="hy-AM"/>
        </w:rPr>
        <w:t xml:space="preserve"> </w:t>
      </w:r>
      <w:r w:rsidR="00B66CB5" w:rsidRPr="00441A9C">
        <w:rPr>
          <w:rStyle w:val="longtext"/>
          <w:rFonts w:ascii="Garamond" w:hAnsi="Garamond"/>
          <w:color w:val="000000"/>
          <w:sz w:val="22"/>
          <w:szCs w:val="22"/>
          <w:shd w:val="clear" w:color="auto" w:fill="FFFFFF"/>
        </w:rPr>
        <w:t xml:space="preserve">for </w:t>
      </w:r>
      <w:r w:rsidR="00DE362B" w:rsidRPr="00441A9C">
        <w:rPr>
          <w:rStyle w:val="longtext"/>
          <w:rFonts w:ascii="Garamond" w:hAnsi="Garamond"/>
          <w:color w:val="000000"/>
          <w:sz w:val="22"/>
          <w:szCs w:val="22"/>
          <w:shd w:val="clear" w:color="auto" w:fill="FFFFFF"/>
        </w:rPr>
        <w:t xml:space="preserve">the first half of </w:t>
      </w:r>
      <w:r w:rsidR="00B66CB5" w:rsidRPr="00441A9C">
        <w:rPr>
          <w:rStyle w:val="longtext"/>
          <w:rFonts w:ascii="Garamond" w:hAnsi="Garamond"/>
          <w:color w:val="000000"/>
          <w:sz w:val="22"/>
          <w:szCs w:val="22"/>
          <w:shd w:val="clear" w:color="auto" w:fill="FFFFFF"/>
        </w:rPr>
        <w:t>201</w:t>
      </w:r>
      <w:r w:rsidR="001F4097" w:rsidRPr="00441A9C">
        <w:rPr>
          <w:rStyle w:val="longtext"/>
          <w:rFonts w:ascii="Garamond" w:hAnsi="Garamond"/>
          <w:color w:val="000000"/>
          <w:sz w:val="22"/>
          <w:szCs w:val="22"/>
          <w:shd w:val="clear" w:color="auto" w:fill="FFFFFF"/>
        </w:rPr>
        <w:t>7</w:t>
      </w:r>
      <w:r w:rsidR="00B66CB5" w:rsidRPr="00441A9C">
        <w:rPr>
          <w:rStyle w:val="longtext"/>
          <w:rFonts w:ascii="Garamond" w:hAnsi="Garamond"/>
          <w:color w:val="000000"/>
          <w:sz w:val="22"/>
          <w:szCs w:val="22"/>
          <w:shd w:val="clear" w:color="auto" w:fill="FFFFFF"/>
        </w:rPr>
        <w:t xml:space="preserve"> </w:t>
      </w:r>
      <w:r w:rsidR="00DE362B" w:rsidRPr="00441A9C">
        <w:rPr>
          <w:rStyle w:val="longtext"/>
          <w:rFonts w:ascii="Garamond" w:hAnsi="Garamond"/>
          <w:color w:val="000000"/>
          <w:sz w:val="22"/>
          <w:szCs w:val="22"/>
          <w:shd w:val="clear" w:color="auto" w:fill="FFFFFF"/>
        </w:rPr>
        <w:t xml:space="preserve">has exceeded the Central </w:t>
      </w:r>
      <w:proofErr w:type="gramStart"/>
      <w:r w:rsidR="00DE362B" w:rsidRPr="00441A9C">
        <w:rPr>
          <w:rStyle w:val="longtext"/>
          <w:rFonts w:ascii="Garamond" w:hAnsi="Garamond"/>
          <w:color w:val="000000"/>
          <w:sz w:val="22"/>
          <w:szCs w:val="22"/>
          <w:shd w:val="clear" w:color="auto" w:fill="FFFFFF"/>
        </w:rPr>
        <w:t xml:space="preserve">Bank’s </w:t>
      </w:r>
      <w:r w:rsidR="00EC0FAA">
        <w:rPr>
          <w:rStyle w:val="longtext"/>
          <w:rFonts w:ascii="Garamond" w:hAnsi="Garamond"/>
          <w:color w:val="000000"/>
          <w:sz w:val="22"/>
          <w:szCs w:val="22"/>
          <w:shd w:val="clear" w:color="auto" w:fill="FFFFFF"/>
        </w:rPr>
        <w:t xml:space="preserve"> </w:t>
      </w:r>
      <w:r w:rsidR="002700CF">
        <w:rPr>
          <w:rStyle w:val="longtext"/>
          <w:rFonts w:ascii="Garamond" w:hAnsi="Garamond"/>
          <w:color w:val="000000"/>
          <w:sz w:val="22"/>
          <w:szCs w:val="22"/>
          <w:shd w:val="clear" w:color="auto" w:fill="FFFFFF"/>
        </w:rPr>
        <w:t>expectations</w:t>
      </w:r>
      <w:proofErr w:type="gramEnd"/>
      <w:r w:rsidR="00E209D0" w:rsidRPr="00441A9C">
        <w:rPr>
          <w:rStyle w:val="longtext"/>
          <w:rFonts w:ascii="Garamond" w:hAnsi="Garamond"/>
          <w:color w:val="000000"/>
          <w:sz w:val="22"/>
          <w:szCs w:val="22"/>
          <w:shd w:val="clear" w:color="auto" w:fill="FFFFFF"/>
        </w:rPr>
        <w:t>,</w:t>
      </w:r>
      <w:r w:rsidR="00DE362B" w:rsidRPr="00441A9C">
        <w:rPr>
          <w:rStyle w:val="longtext"/>
          <w:rFonts w:ascii="Garamond" w:hAnsi="Garamond"/>
          <w:color w:val="000000"/>
          <w:sz w:val="22"/>
          <w:szCs w:val="22"/>
          <w:shd w:val="clear" w:color="auto" w:fill="FFFFFF"/>
        </w:rPr>
        <w:t xml:space="preserve"> amount</w:t>
      </w:r>
      <w:r w:rsidR="00E209D0" w:rsidRPr="00441A9C">
        <w:rPr>
          <w:rStyle w:val="longtext"/>
          <w:rFonts w:ascii="Garamond" w:hAnsi="Garamond"/>
          <w:color w:val="000000"/>
          <w:sz w:val="22"/>
          <w:szCs w:val="22"/>
          <w:shd w:val="clear" w:color="auto" w:fill="FFFFFF"/>
        </w:rPr>
        <w:t xml:space="preserve">ing </w:t>
      </w:r>
      <w:r w:rsidR="00DE362B" w:rsidRPr="00441A9C">
        <w:rPr>
          <w:rStyle w:val="longtext"/>
          <w:rFonts w:ascii="Garamond" w:hAnsi="Garamond"/>
          <w:color w:val="000000"/>
          <w:sz w:val="22"/>
          <w:szCs w:val="22"/>
          <w:shd w:val="clear" w:color="auto" w:fill="FFFFFF"/>
        </w:rPr>
        <w:t>to 6</w:t>
      </w:r>
      <w:r w:rsidRPr="00441A9C">
        <w:rPr>
          <w:rStyle w:val="longtext"/>
          <w:rFonts w:ascii="Garamond" w:hAnsi="Garamond"/>
          <w:color w:val="000000"/>
          <w:sz w:val="22"/>
          <w:szCs w:val="22"/>
          <w:shd w:val="clear" w:color="auto" w:fill="FFFFFF"/>
        </w:rPr>
        <w:t>.</w:t>
      </w:r>
      <w:r w:rsidR="00DE362B" w:rsidRPr="00441A9C">
        <w:rPr>
          <w:rStyle w:val="longtext"/>
          <w:rFonts w:ascii="Garamond" w:hAnsi="Garamond"/>
          <w:color w:val="000000"/>
          <w:sz w:val="22"/>
          <w:szCs w:val="22"/>
          <w:shd w:val="clear" w:color="auto" w:fill="FFFFFF"/>
        </w:rPr>
        <w:t>1</w:t>
      </w:r>
      <w:r w:rsidRPr="00441A9C">
        <w:rPr>
          <w:rStyle w:val="longtext"/>
          <w:rFonts w:ascii="Garamond" w:hAnsi="Garamond"/>
          <w:color w:val="000000"/>
          <w:sz w:val="22"/>
          <w:szCs w:val="22"/>
          <w:shd w:val="clear" w:color="auto" w:fill="FFFFFF"/>
        </w:rPr>
        <w:t>%</w:t>
      </w:r>
      <w:r w:rsidR="001F4097" w:rsidRPr="00441A9C">
        <w:rPr>
          <w:rStyle w:val="longtext"/>
          <w:rFonts w:ascii="Garamond" w:hAnsi="Garamond"/>
          <w:color w:val="000000"/>
          <w:sz w:val="22"/>
          <w:szCs w:val="22"/>
          <w:shd w:val="clear" w:color="auto" w:fill="FFFFFF"/>
        </w:rPr>
        <w:t xml:space="preserve">. </w:t>
      </w:r>
      <w:proofErr w:type="gramStart"/>
      <w:r w:rsidR="001F4097" w:rsidRPr="00441A9C">
        <w:rPr>
          <w:rStyle w:val="longtext"/>
          <w:rFonts w:ascii="Garamond" w:hAnsi="Garamond"/>
          <w:color w:val="000000"/>
          <w:sz w:val="22"/>
          <w:szCs w:val="22"/>
          <w:shd w:val="clear" w:color="auto" w:fill="FFFFFF"/>
        </w:rPr>
        <w:t xml:space="preserve">This </w:t>
      </w:r>
      <w:r w:rsidR="00EC0FAA">
        <w:rPr>
          <w:rStyle w:val="longtext"/>
          <w:rFonts w:ascii="Garamond" w:hAnsi="Garamond"/>
          <w:color w:val="000000"/>
          <w:sz w:val="22"/>
          <w:szCs w:val="22"/>
          <w:shd w:val="clear" w:color="auto" w:fill="FFFFFF"/>
        </w:rPr>
        <w:t xml:space="preserve"> </w:t>
      </w:r>
      <w:r w:rsidR="002700CF">
        <w:rPr>
          <w:rStyle w:val="longtext"/>
          <w:rFonts w:ascii="Garamond" w:hAnsi="Garamond"/>
          <w:color w:val="000000"/>
          <w:sz w:val="22"/>
          <w:szCs w:val="22"/>
          <w:shd w:val="clear" w:color="auto" w:fill="FFFFFF"/>
        </w:rPr>
        <w:t>development</w:t>
      </w:r>
      <w:proofErr w:type="gramEnd"/>
      <w:r w:rsidR="002700CF">
        <w:rPr>
          <w:rStyle w:val="longtext"/>
          <w:rFonts w:ascii="Garamond" w:hAnsi="Garamond"/>
          <w:color w:val="000000"/>
          <w:sz w:val="22"/>
          <w:szCs w:val="22"/>
          <w:shd w:val="clear" w:color="auto" w:fill="FFFFFF"/>
        </w:rPr>
        <w:t xml:space="preserve"> is behind the </w:t>
      </w:r>
      <w:r w:rsidR="001F4097" w:rsidRPr="00441A9C">
        <w:rPr>
          <w:rStyle w:val="longtext"/>
          <w:rFonts w:ascii="Garamond" w:hAnsi="Garamond"/>
          <w:color w:val="000000"/>
          <w:sz w:val="22"/>
          <w:szCs w:val="22"/>
          <w:shd w:val="clear" w:color="auto" w:fill="FFFFFF"/>
        </w:rPr>
        <w:t xml:space="preserve"> revision of the growth for that time in the range of </w:t>
      </w:r>
      <w:r w:rsidR="001F4097" w:rsidRPr="00441A9C">
        <w:rPr>
          <w:rStyle w:val="longtext"/>
          <w:rFonts w:ascii="Garamond" w:hAnsi="Garamond"/>
          <w:b/>
          <w:color w:val="000000"/>
          <w:sz w:val="22"/>
          <w:szCs w:val="22"/>
          <w:shd w:val="clear" w:color="auto" w:fill="FFFFFF"/>
        </w:rPr>
        <w:t>4.6-5.0%</w:t>
      </w:r>
      <w:r w:rsidR="001F4097" w:rsidRPr="00441A9C">
        <w:rPr>
          <w:rStyle w:val="longtext"/>
          <w:rFonts w:ascii="Garamond" w:hAnsi="Garamond"/>
          <w:color w:val="000000"/>
          <w:sz w:val="22"/>
          <w:szCs w:val="22"/>
          <w:shd w:val="clear" w:color="auto" w:fill="FFFFFF"/>
        </w:rPr>
        <w:t xml:space="preserve"> from the previous estimation of 4.0-4.4%. </w:t>
      </w:r>
      <w:r w:rsidR="004D2FFE" w:rsidRPr="00441A9C">
        <w:rPr>
          <w:rStyle w:val="longtext"/>
          <w:rFonts w:ascii="Garamond" w:hAnsi="Garamond"/>
          <w:color w:val="000000"/>
          <w:sz w:val="22"/>
          <w:szCs w:val="22"/>
          <w:shd w:val="clear" w:color="auto" w:fill="FFFFFF"/>
        </w:rPr>
        <w:t>The revision owed primarily to higher growth in the industry and more tax revenue collections in relation to the Central Bank’s expectations.</w:t>
      </w:r>
      <w:r w:rsidR="00BE0681" w:rsidRPr="00441A9C">
        <w:rPr>
          <w:rStyle w:val="longtext"/>
          <w:rFonts w:ascii="Garamond" w:hAnsi="Garamond"/>
          <w:color w:val="000000"/>
          <w:sz w:val="22"/>
          <w:szCs w:val="22"/>
          <w:shd w:val="clear" w:color="auto" w:fill="FFFFFF"/>
        </w:rPr>
        <w:t xml:space="preserve"> </w:t>
      </w:r>
    </w:p>
    <w:p w14:paraId="7AAB93B6" w14:textId="77777777" w:rsidR="00BE0681" w:rsidRPr="00441A9C" w:rsidRDefault="00BE0681" w:rsidP="00FF3CD9">
      <w:pPr>
        <w:spacing w:line="360" w:lineRule="auto"/>
        <w:jc w:val="both"/>
        <w:rPr>
          <w:rStyle w:val="longtext"/>
          <w:rFonts w:ascii="Garamond" w:hAnsi="Garamond"/>
          <w:color w:val="000000"/>
          <w:sz w:val="22"/>
          <w:szCs w:val="22"/>
          <w:shd w:val="clear" w:color="auto" w:fill="FFFFFF"/>
        </w:rPr>
      </w:pPr>
    </w:p>
    <w:p w14:paraId="234EB184" w14:textId="77777777" w:rsidR="00CB4E02" w:rsidRPr="00441A9C" w:rsidRDefault="0038021C" w:rsidP="00FF3CD9">
      <w:pPr>
        <w:spacing w:line="360" w:lineRule="auto"/>
        <w:jc w:val="both"/>
        <w:rPr>
          <w:rFonts w:ascii="Garamond" w:hAnsi="Garamond"/>
          <w:sz w:val="22"/>
          <w:szCs w:val="22"/>
        </w:rPr>
      </w:pPr>
      <w:r w:rsidRPr="00441A9C">
        <w:rPr>
          <w:rFonts w:ascii="Garamond" w:hAnsi="Garamond"/>
          <w:sz w:val="22"/>
          <w:szCs w:val="22"/>
        </w:rPr>
        <w:t>T</w:t>
      </w:r>
      <w:r w:rsidR="002F1EDA" w:rsidRPr="00441A9C">
        <w:rPr>
          <w:rFonts w:ascii="Garamond" w:hAnsi="Garamond"/>
          <w:sz w:val="22"/>
          <w:szCs w:val="22"/>
        </w:rPr>
        <w:t xml:space="preserve">he growth of value added </w:t>
      </w:r>
      <w:r w:rsidRPr="00441A9C">
        <w:rPr>
          <w:rFonts w:ascii="Garamond" w:hAnsi="Garamond"/>
          <w:sz w:val="22"/>
          <w:szCs w:val="22"/>
        </w:rPr>
        <w:t xml:space="preserve">in </w:t>
      </w:r>
      <w:r w:rsidRPr="00441A9C">
        <w:rPr>
          <w:rFonts w:ascii="Garamond" w:hAnsi="Garamond"/>
          <w:b/>
          <w:sz w:val="22"/>
          <w:szCs w:val="22"/>
        </w:rPr>
        <w:t>Industry</w:t>
      </w:r>
      <w:r w:rsidRPr="00441A9C">
        <w:rPr>
          <w:rFonts w:ascii="Garamond" w:hAnsi="Garamond"/>
          <w:sz w:val="22"/>
          <w:szCs w:val="22"/>
        </w:rPr>
        <w:t xml:space="preserve"> in the first </w:t>
      </w:r>
      <w:r w:rsidR="00292A38" w:rsidRPr="00441A9C">
        <w:rPr>
          <w:rFonts w:ascii="Garamond" w:hAnsi="Garamond"/>
          <w:sz w:val="22"/>
          <w:szCs w:val="22"/>
        </w:rPr>
        <w:t>half of 2017</w:t>
      </w:r>
      <w:r w:rsidR="00B11A70" w:rsidRPr="00441A9C">
        <w:rPr>
          <w:rFonts w:ascii="Garamond" w:hAnsi="Garamond"/>
          <w:sz w:val="22"/>
          <w:szCs w:val="22"/>
        </w:rPr>
        <w:t xml:space="preserve"> </w:t>
      </w:r>
      <w:r w:rsidR="002F1EDA" w:rsidRPr="00441A9C">
        <w:rPr>
          <w:rFonts w:ascii="Garamond" w:hAnsi="Garamond"/>
          <w:sz w:val="22"/>
          <w:szCs w:val="22"/>
        </w:rPr>
        <w:t xml:space="preserve">is estimated </w:t>
      </w:r>
      <w:r w:rsidR="00B11A70" w:rsidRPr="00441A9C">
        <w:rPr>
          <w:rFonts w:ascii="Garamond" w:hAnsi="Garamond"/>
          <w:sz w:val="22"/>
          <w:szCs w:val="22"/>
        </w:rPr>
        <w:t>9</w:t>
      </w:r>
      <w:r w:rsidR="002F1EDA" w:rsidRPr="00441A9C">
        <w:rPr>
          <w:rFonts w:ascii="Garamond" w:hAnsi="Garamond"/>
          <w:sz w:val="22"/>
          <w:szCs w:val="22"/>
        </w:rPr>
        <w:t>.</w:t>
      </w:r>
      <w:r w:rsidR="00B11A70" w:rsidRPr="00441A9C">
        <w:rPr>
          <w:rFonts w:ascii="Garamond" w:hAnsi="Garamond"/>
          <w:sz w:val="22"/>
          <w:szCs w:val="22"/>
        </w:rPr>
        <w:t>0</w:t>
      </w:r>
      <w:r w:rsidR="002F1EDA" w:rsidRPr="00441A9C">
        <w:rPr>
          <w:rFonts w:ascii="Garamond" w:hAnsi="Garamond"/>
          <w:sz w:val="22"/>
          <w:szCs w:val="22"/>
        </w:rPr>
        <w:t>-</w:t>
      </w:r>
      <w:r w:rsidR="00B11A70" w:rsidRPr="00441A9C">
        <w:rPr>
          <w:rFonts w:ascii="Garamond" w:hAnsi="Garamond"/>
          <w:sz w:val="22"/>
          <w:szCs w:val="22"/>
        </w:rPr>
        <w:t>9</w:t>
      </w:r>
      <w:r w:rsidR="007149A1" w:rsidRPr="00441A9C">
        <w:rPr>
          <w:rFonts w:ascii="Garamond" w:hAnsi="Garamond"/>
          <w:sz w:val="22"/>
          <w:szCs w:val="22"/>
        </w:rPr>
        <w:t>.</w:t>
      </w:r>
      <w:r w:rsidR="00B11A70" w:rsidRPr="00441A9C">
        <w:rPr>
          <w:rFonts w:ascii="Garamond" w:hAnsi="Garamond"/>
          <w:sz w:val="22"/>
          <w:szCs w:val="22"/>
        </w:rPr>
        <w:t>8</w:t>
      </w:r>
      <w:r w:rsidRPr="00441A9C">
        <w:rPr>
          <w:rFonts w:ascii="Garamond" w:hAnsi="Garamond"/>
          <w:sz w:val="22"/>
          <w:szCs w:val="22"/>
        </w:rPr>
        <w:t>% y/y</w:t>
      </w:r>
      <w:r w:rsidR="00B11A70" w:rsidRPr="00441A9C">
        <w:rPr>
          <w:rFonts w:ascii="Garamond" w:hAnsi="Garamond"/>
          <w:sz w:val="22"/>
          <w:szCs w:val="22"/>
        </w:rPr>
        <w:t>.</w:t>
      </w:r>
      <w:r w:rsidRPr="00441A9C">
        <w:rPr>
          <w:rFonts w:ascii="Garamond" w:hAnsi="Garamond"/>
          <w:sz w:val="22"/>
          <w:szCs w:val="22"/>
        </w:rPr>
        <w:t xml:space="preserve"> </w:t>
      </w:r>
      <w:r w:rsidR="00B11A70" w:rsidRPr="00441A9C">
        <w:rPr>
          <w:rFonts w:ascii="Garamond" w:hAnsi="Garamond"/>
          <w:sz w:val="22"/>
          <w:szCs w:val="22"/>
        </w:rPr>
        <w:t>According to previous forecasts, growth in the industry was estimated to be 7.8-8.5%. The revision to growth in industry is d</w:t>
      </w:r>
      <w:r w:rsidRPr="00441A9C">
        <w:rPr>
          <w:rFonts w:ascii="Garamond" w:hAnsi="Garamond"/>
          <w:sz w:val="22"/>
          <w:szCs w:val="22"/>
        </w:rPr>
        <w:t>riven by higher prices of ores and minerals in international markets in comparison with previous pr</w:t>
      </w:r>
      <w:r w:rsidR="00B11A70" w:rsidRPr="00441A9C">
        <w:rPr>
          <w:rFonts w:ascii="Garamond" w:hAnsi="Garamond"/>
          <w:sz w:val="22"/>
          <w:szCs w:val="22"/>
        </w:rPr>
        <w:t xml:space="preserve">edictions </w:t>
      </w:r>
      <w:r w:rsidRPr="00441A9C">
        <w:rPr>
          <w:rFonts w:ascii="Garamond" w:hAnsi="Garamond"/>
          <w:sz w:val="22"/>
          <w:szCs w:val="22"/>
        </w:rPr>
        <w:t xml:space="preserve">as well as faster economic growth potential. </w:t>
      </w:r>
      <w:r w:rsidR="00B11A70" w:rsidRPr="00441A9C">
        <w:rPr>
          <w:rFonts w:ascii="Garamond" w:hAnsi="Garamond"/>
          <w:sz w:val="22"/>
          <w:szCs w:val="22"/>
        </w:rPr>
        <w:t xml:space="preserve">The decline of value added in </w:t>
      </w:r>
      <w:r w:rsidR="00EC0A18" w:rsidRPr="00441A9C">
        <w:rPr>
          <w:rFonts w:ascii="Garamond" w:hAnsi="Garamond"/>
          <w:b/>
          <w:sz w:val="22"/>
          <w:szCs w:val="22"/>
        </w:rPr>
        <w:t>A</w:t>
      </w:r>
      <w:r w:rsidR="00B11A70" w:rsidRPr="00441A9C">
        <w:rPr>
          <w:rFonts w:ascii="Garamond" w:hAnsi="Garamond"/>
          <w:b/>
          <w:sz w:val="22"/>
          <w:szCs w:val="22"/>
        </w:rPr>
        <w:t>gricultur</w:t>
      </w:r>
      <w:r w:rsidR="00EC0A18" w:rsidRPr="00441A9C">
        <w:rPr>
          <w:rFonts w:ascii="Garamond" w:hAnsi="Garamond"/>
          <w:b/>
          <w:sz w:val="22"/>
          <w:szCs w:val="22"/>
        </w:rPr>
        <w:t>e</w:t>
      </w:r>
      <w:r w:rsidR="00B11A70" w:rsidRPr="00441A9C">
        <w:rPr>
          <w:rFonts w:ascii="Garamond" w:hAnsi="Garamond"/>
          <w:sz w:val="22"/>
          <w:szCs w:val="22"/>
        </w:rPr>
        <w:t xml:space="preserve"> is estimated </w:t>
      </w:r>
      <w:r w:rsidR="00EC0A18" w:rsidRPr="00441A9C">
        <w:rPr>
          <w:rFonts w:ascii="Garamond" w:hAnsi="Garamond"/>
          <w:sz w:val="22"/>
          <w:szCs w:val="22"/>
        </w:rPr>
        <w:t xml:space="preserve">in the range of </w:t>
      </w:r>
      <w:r w:rsidR="00B11A70" w:rsidRPr="00441A9C">
        <w:rPr>
          <w:rFonts w:ascii="Garamond" w:hAnsi="Garamond"/>
          <w:sz w:val="22"/>
          <w:szCs w:val="22"/>
        </w:rPr>
        <w:t>2.9-3.7% in</w:t>
      </w:r>
      <w:r w:rsidR="00EC0A18" w:rsidRPr="00441A9C">
        <w:rPr>
          <w:rFonts w:ascii="Garamond" w:hAnsi="Garamond"/>
          <w:sz w:val="22"/>
          <w:szCs w:val="22"/>
        </w:rPr>
        <w:t xml:space="preserve">stead of </w:t>
      </w:r>
      <w:r w:rsidR="00B11A70" w:rsidRPr="00441A9C">
        <w:rPr>
          <w:rFonts w:ascii="Garamond" w:hAnsi="Garamond"/>
          <w:sz w:val="22"/>
          <w:szCs w:val="22"/>
        </w:rPr>
        <w:t xml:space="preserve">the </w:t>
      </w:r>
      <w:r w:rsidR="00EC0A18" w:rsidRPr="00441A9C">
        <w:rPr>
          <w:rFonts w:ascii="Garamond" w:hAnsi="Garamond"/>
          <w:sz w:val="22"/>
          <w:szCs w:val="22"/>
        </w:rPr>
        <w:t xml:space="preserve">level </w:t>
      </w:r>
      <w:r w:rsidR="00B11A70" w:rsidRPr="00441A9C">
        <w:rPr>
          <w:rFonts w:ascii="Garamond" w:hAnsi="Garamond"/>
          <w:sz w:val="22"/>
          <w:szCs w:val="22"/>
        </w:rPr>
        <w:t xml:space="preserve">previously </w:t>
      </w:r>
      <w:r w:rsidR="00EC0A18" w:rsidRPr="00441A9C">
        <w:rPr>
          <w:rFonts w:ascii="Garamond" w:hAnsi="Garamond"/>
          <w:sz w:val="22"/>
          <w:szCs w:val="22"/>
        </w:rPr>
        <w:t xml:space="preserve">predicted to stay </w:t>
      </w:r>
      <w:r w:rsidR="00B11A70" w:rsidRPr="00441A9C">
        <w:rPr>
          <w:rFonts w:ascii="Garamond" w:hAnsi="Garamond"/>
          <w:sz w:val="22"/>
          <w:szCs w:val="22"/>
        </w:rPr>
        <w:t xml:space="preserve">unchanged. In the reporting period, the developments in the agricultural sector show </w:t>
      </w:r>
      <w:r w:rsidR="00EC0A18" w:rsidRPr="00441A9C">
        <w:rPr>
          <w:rFonts w:ascii="Garamond" w:hAnsi="Garamond"/>
          <w:sz w:val="22"/>
          <w:szCs w:val="22"/>
        </w:rPr>
        <w:t xml:space="preserve">further sluggishness in </w:t>
      </w:r>
      <w:r w:rsidR="00B11A70" w:rsidRPr="00441A9C">
        <w:rPr>
          <w:rFonts w:ascii="Garamond" w:hAnsi="Garamond"/>
          <w:sz w:val="22"/>
          <w:szCs w:val="22"/>
        </w:rPr>
        <w:t xml:space="preserve">activity in the sector </w:t>
      </w:r>
      <w:r w:rsidR="00EC0A18" w:rsidRPr="00441A9C">
        <w:rPr>
          <w:rFonts w:ascii="Garamond" w:hAnsi="Garamond"/>
          <w:sz w:val="22"/>
          <w:szCs w:val="22"/>
        </w:rPr>
        <w:t xml:space="preserve">observed </w:t>
      </w:r>
      <w:r w:rsidR="00B11A70" w:rsidRPr="00441A9C">
        <w:rPr>
          <w:rFonts w:ascii="Garamond" w:hAnsi="Garamond"/>
          <w:sz w:val="22"/>
          <w:szCs w:val="22"/>
        </w:rPr>
        <w:t>since the end of 2016.</w:t>
      </w:r>
      <w:r w:rsidR="00EC0A18" w:rsidRPr="00441A9C">
        <w:rPr>
          <w:rFonts w:ascii="Garamond" w:hAnsi="Garamond"/>
          <w:sz w:val="22"/>
          <w:szCs w:val="22"/>
        </w:rPr>
        <w:t xml:space="preserve"> The developments in </w:t>
      </w:r>
      <w:r w:rsidR="00EC0A18" w:rsidRPr="00441A9C">
        <w:rPr>
          <w:rFonts w:ascii="Garamond" w:hAnsi="Garamond"/>
          <w:b/>
          <w:sz w:val="22"/>
          <w:szCs w:val="22"/>
        </w:rPr>
        <w:t>Services</w:t>
      </w:r>
      <w:r w:rsidR="00EC0A18" w:rsidRPr="00441A9C">
        <w:rPr>
          <w:rFonts w:ascii="Garamond" w:hAnsi="Garamond"/>
          <w:sz w:val="22"/>
          <w:szCs w:val="22"/>
        </w:rPr>
        <w:t xml:space="preserve"> and </w:t>
      </w:r>
      <w:r w:rsidR="00EC0A18" w:rsidRPr="00441A9C">
        <w:rPr>
          <w:rFonts w:ascii="Garamond" w:hAnsi="Garamond"/>
          <w:b/>
          <w:sz w:val="22"/>
          <w:szCs w:val="22"/>
        </w:rPr>
        <w:t>Construction</w:t>
      </w:r>
      <w:r w:rsidR="00EC0A18" w:rsidRPr="00441A9C">
        <w:rPr>
          <w:rFonts w:ascii="Garamond" w:hAnsi="Garamond"/>
          <w:sz w:val="22"/>
          <w:szCs w:val="22"/>
        </w:rPr>
        <w:t xml:space="preserve"> in the first half of the year have been in line with the Central Bank’s expectations. </w:t>
      </w:r>
    </w:p>
    <w:p w14:paraId="1CFCED4C" w14:textId="77777777" w:rsidR="0065044E" w:rsidRPr="00441A9C" w:rsidRDefault="0065044E" w:rsidP="00FF3CD9">
      <w:pPr>
        <w:spacing w:line="360" w:lineRule="auto"/>
        <w:jc w:val="both"/>
        <w:rPr>
          <w:rFonts w:ascii="Garamond" w:hAnsi="Garamond"/>
          <w:sz w:val="22"/>
          <w:szCs w:val="22"/>
        </w:rPr>
      </w:pPr>
    </w:p>
    <w:p w14:paraId="2E283602" w14:textId="77777777" w:rsidR="0065044E" w:rsidRPr="00441A9C" w:rsidRDefault="0065044E" w:rsidP="00FF3CD9">
      <w:pPr>
        <w:spacing w:line="360" w:lineRule="auto"/>
        <w:jc w:val="both"/>
        <w:rPr>
          <w:rFonts w:ascii="Garamond" w:hAnsi="Garamond"/>
          <w:b/>
          <w:sz w:val="22"/>
          <w:szCs w:val="22"/>
        </w:rPr>
      </w:pPr>
      <w:r w:rsidRPr="00441A9C">
        <w:rPr>
          <w:rFonts w:ascii="Garamond" w:hAnsi="Garamond"/>
          <w:b/>
          <w:sz w:val="22"/>
          <w:szCs w:val="22"/>
        </w:rPr>
        <w:t>3.2.2. Aggregate demand</w:t>
      </w:r>
      <w:r w:rsidR="00E37AEA" w:rsidRPr="00441A9C">
        <w:rPr>
          <w:rStyle w:val="FootnoteReference"/>
          <w:rFonts w:ascii="Garamond" w:hAnsi="Garamond"/>
          <w:b/>
          <w:sz w:val="22"/>
          <w:szCs w:val="22"/>
        </w:rPr>
        <w:footnoteReference w:customMarkFollows="1" w:id="12"/>
        <w:t>14</w:t>
      </w:r>
    </w:p>
    <w:p w14:paraId="57ACA372" w14:textId="77777777" w:rsidR="00CB4E02" w:rsidRPr="00441A9C" w:rsidRDefault="00CB4E02" w:rsidP="00FF3CD9">
      <w:pPr>
        <w:spacing w:line="360" w:lineRule="auto"/>
        <w:jc w:val="both"/>
        <w:rPr>
          <w:rFonts w:ascii="Garamond" w:hAnsi="Garamond"/>
          <w:sz w:val="22"/>
          <w:szCs w:val="22"/>
        </w:rPr>
      </w:pPr>
    </w:p>
    <w:p w14:paraId="15073983" w14:textId="48146997" w:rsidR="0065044E" w:rsidRPr="00441A9C" w:rsidRDefault="00FA3958" w:rsidP="00FF3CD9">
      <w:pPr>
        <w:spacing w:line="360" w:lineRule="auto"/>
        <w:jc w:val="both"/>
        <w:rPr>
          <w:rFonts w:ascii="Garamond" w:hAnsi="Garamond" w:cs="Sylfaen"/>
          <w:sz w:val="22"/>
          <w:szCs w:val="22"/>
        </w:rPr>
      </w:pPr>
      <w:r w:rsidRPr="00441A9C">
        <w:rPr>
          <w:rFonts w:ascii="Garamond" w:hAnsi="Garamond" w:cs="Sylfaen"/>
          <w:sz w:val="22"/>
          <w:szCs w:val="22"/>
        </w:rPr>
        <w:t>The growth of private spending i</w:t>
      </w:r>
      <w:r w:rsidR="00125C0A" w:rsidRPr="00441A9C">
        <w:rPr>
          <w:rFonts w:ascii="Garamond" w:hAnsi="Garamond" w:cs="Sylfaen"/>
          <w:sz w:val="22"/>
          <w:szCs w:val="22"/>
        </w:rPr>
        <w:t xml:space="preserve">n the </w:t>
      </w:r>
      <w:r w:rsidR="00E37AEA" w:rsidRPr="00441A9C">
        <w:rPr>
          <w:rFonts w:ascii="Garamond" w:hAnsi="Garamond" w:cs="Sylfaen"/>
          <w:sz w:val="22"/>
          <w:szCs w:val="22"/>
        </w:rPr>
        <w:t>second</w:t>
      </w:r>
      <w:r w:rsidR="009477DA" w:rsidRPr="00441A9C">
        <w:rPr>
          <w:rFonts w:ascii="Garamond" w:hAnsi="Garamond" w:cs="Sylfaen"/>
          <w:sz w:val="22"/>
          <w:szCs w:val="22"/>
        </w:rPr>
        <w:t xml:space="preserve"> quarter of 2017</w:t>
      </w:r>
      <w:r w:rsidR="00125C0A" w:rsidRPr="00441A9C">
        <w:rPr>
          <w:rFonts w:ascii="Garamond" w:hAnsi="Garamond" w:cs="Sylfaen"/>
          <w:sz w:val="22"/>
          <w:szCs w:val="22"/>
        </w:rPr>
        <w:t xml:space="preserve"> </w:t>
      </w:r>
      <w:r w:rsidR="009477DA" w:rsidRPr="00441A9C">
        <w:rPr>
          <w:rFonts w:ascii="Garamond" w:hAnsi="Garamond" w:cs="Sylfaen"/>
          <w:sz w:val="22"/>
          <w:szCs w:val="22"/>
        </w:rPr>
        <w:t>i</w:t>
      </w:r>
      <w:r w:rsidR="00125C0A" w:rsidRPr="00441A9C">
        <w:rPr>
          <w:rFonts w:ascii="Garamond" w:hAnsi="Garamond" w:cs="Sylfaen"/>
          <w:sz w:val="22"/>
          <w:szCs w:val="22"/>
        </w:rPr>
        <w:t xml:space="preserve">s </w:t>
      </w:r>
      <w:r w:rsidR="009477DA" w:rsidRPr="00441A9C">
        <w:rPr>
          <w:rFonts w:ascii="Garamond" w:hAnsi="Garamond" w:cs="Sylfaen"/>
          <w:sz w:val="22"/>
          <w:szCs w:val="22"/>
        </w:rPr>
        <w:t xml:space="preserve">estimated </w:t>
      </w:r>
      <w:r w:rsidR="00E37AEA" w:rsidRPr="00441A9C">
        <w:rPr>
          <w:rFonts w:ascii="Garamond" w:hAnsi="Garamond" w:cs="Sylfaen"/>
          <w:sz w:val="22"/>
          <w:szCs w:val="22"/>
        </w:rPr>
        <w:t>4</w:t>
      </w:r>
      <w:r w:rsidR="009477DA" w:rsidRPr="00441A9C">
        <w:rPr>
          <w:rFonts w:ascii="Garamond" w:hAnsi="Garamond" w:cs="Sylfaen"/>
          <w:sz w:val="22"/>
          <w:szCs w:val="22"/>
        </w:rPr>
        <w:t>.</w:t>
      </w:r>
      <w:r w:rsidR="00E37AEA" w:rsidRPr="00441A9C">
        <w:rPr>
          <w:rFonts w:ascii="Garamond" w:hAnsi="Garamond" w:cs="Sylfaen"/>
          <w:sz w:val="22"/>
          <w:szCs w:val="22"/>
        </w:rPr>
        <w:t>7</w:t>
      </w:r>
      <w:r w:rsidRPr="00441A9C">
        <w:rPr>
          <w:rFonts w:ascii="Garamond" w:hAnsi="Garamond" w:cs="Sylfaen"/>
          <w:sz w:val="22"/>
          <w:szCs w:val="22"/>
        </w:rPr>
        <w:t>%</w:t>
      </w:r>
      <w:r w:rsidR="009477DA" w:rsidRPr="00441A9C">
        <w:rPr>
          <w:rFonts w:ascii="Garamond" w:hAnsi="Garamond" w:cs="Sylfaen"/>
          <w:sz w:val="22"/>
          <w:szCs w:val="22"/>
        </w:rPr>
        <w:t xml:space="preserve"> – </w:t>
      </w:r>
      <w:r w:rsidR="00E37AEA" w:rsidRPr="00441A9C">
        <w:rPr>
          <w:rFonts w:ascii="Garamond" w:hAnsi="Garamond" w:cs="Sylfaen"/>
          <w:sz w:val="22"/>
          <w:szCs w:val="22"/>
        </w:rPr>
        <w:t xml:space="preserve">somewhat </w:t>
      </w:r>
      <w:r w:rsidR="009477DA" w:rsidRPr="00441A9C">
        <w:rPr>
          <w:rFonts w:ascii="Garamond" w:hAnsi="Garamond" w:cs="Sylfaen"/>
          <w:sz w:val="22"/>
          <w:szCs w:val="22"/>
        </w:rPr>
        <w:t xml:space="preserve">higher than the </w:t>
      </w:r>
      <w:r w:rsidRPr="00441A9C">
        <w:rPr>
          <w:rFonts w:ascii="Garamond" w:hAnsi="Garamond" w:cs="Sylfaen"/>
          <w:sz w:val="22"/>
          <w:szCs w:val="22"/>
        </w:rPr>
        <w:t>previous forecast</w:t>
      </w:r>
      <w:r w:rsidR="00E37AEA" w:rsidRPr="00441A9C">
        <w:rPr>
          <w:rStyle w:val="FootnoteReference"/>
          <w:rFonts w:ascii="Garamond" w:hAnsi="Garamond" w:cs="Sylfaen"/>
          <w:sz w:val="22"/>
          <w:szCs w:val="22"/>
        </w:rPr>
        <w:footnoteReference w:customMarkFollows="1" w:id="13"/>
        <w:t>15</w:t>
      </w:r>
      <w:r w:rsidR="00E37AEA" w:rsidRPr="00441A9C">
        <w:rPr>
          <w:rFonts w:ascii="Garamond" w:hAnsi="Garamond" w:cs="Sylfaen"/>
          <w:sz w:val="22"/>
          <w:szCs w:val="22"/>
        </w:rPr>
        <w:t>.</w:t>
      </w:r>
      <w:r w:rsidRPr="00441A9C">
        <w:rPr>
          <w:rFonts w:ascii="Garamond" w:hAnsi="Garamond" w:cs="Sylfaen"/>
          <w:sz w:val="22"/>
          <w:szCs w:val="22"/>
        </w:rPr>
        <w:t xml:space="preserve"> </w:t>
      </w:r>
      <w:r w:rsidR="00E37AEA" w:rsidRPr="00441A9C">
        <w:rPr>
          <w:rFonts w:ascii="Garamond" w:hAnsi="Garamond" w:cs="Sylfaen"/>
          <w:sz w:val="22"/>
          <w:szCs w:val="22"/>
        </w:rPr>
        <w:t xml:space="preserve">Higher consumption has been driven by the rapid growth </w:t>
      </w:r>
      <w:r w:rsidR="002700CF">
        <w:rPr>
          <w:rFonts w:ascii="Garamond" w:hAnsi="Garamond" w:cs="Sylfaen"/>
          <w:sz w:val="22"/>
          <w:szCs w:val="22"/>
        </w:rPr>
        <w:t xml:space="preserve">in </w:t>
      </w:r>
      <w:r w:rsidR="00E37AEA" w:rsidRPr="00441A9C">
        <w:rPr>
          <w:rFonts w:ascii="Garamond" w:hAnsi="Garamond" w:cs="Sylfaen"/>
          <w:sz w:val="22"/>
          <w:szCs w:val="22"/>
        </w:rPr>
        <w:t>economic activity compared to the expectations</w:t>
      </w:r>
      <w:r w:rsidR="001765D4" w:rsidRPr="00441A9C">
        <w:rPr>
          <w:rFonts w:ascii="Garamond" w:hAnsi="Garamond" w:cs="Sylfaen"/>
          <w:sz w:val="22"/>
          <w:szCs w:val="22"/>
        </w:rPr>
        <w:t>.</w:t>
      </w:r>
      <w:r w:rsidRPr="00441A9C">
        <w:rPr>
          <w:rFonts w:ascii="Garamond" w:hAnsi="Garamond" w:cs="Sylfaen"/>
          <w:sz w:val="22"/>
          <w:szCs w:val="22"/>
        </w:rPr>
        <w:t xml:space="preserve"> </w:t>
      </w:r>
    </w:p>
    <w:p w14:paraId="51361C0C" w14:textId="77777777" w:rsidR="001765D4" w:rsidRPr="00441A9C" w:rsidRDefault="001765D4" w:rsidP="00FF3CD9">
      <w:pPr>
        <w:spacing w:line="360" w:lineRule="auto"/>
        <w:jc w:val="both"/>
        <w:rPr>
          <w:rFonts w:ascii="Garamond" w:hAnsi="Garamond" w:cs="Sylfaen"/>
          <w:sz w:val="22"/>
          <w:szCs w:val="22"/>
        </w:rPr>
      </w:pPr>
    </w:p>
    <w:p w14:paraId="23DEE0D0" w14:textId="77777777" w:rsidR="001765D4" w:rsidRPr="00441A9C" w:rsidRDefault="00E37AEA" w:rsidP="00FF3CD9">
      <w:pPr>
        <w:spacing w:line="360" w:lineRule="auto"/>
        <w:jc w:val="both"/>
        <w:rPr>
          <w:rFonts w:ascii="Garamond" w:hAnsi="Garamond" w:cs="Sylfaen"/>
          <w:sz w:val="22"/>
          <w:szCs w:val="22"/>
        </w:rPr>
      </w:pPr>
      <w:r w:rsidRPr="00441A9C">
        <w:rPr>
          <w:rFonts w:ascii="Garamond" w:hAnsi="Garamond" w:cs="Sylfaen"/>
          <w:sz w:val="22"/>
          <w:szCs w:val="22"/>
        </w:rPr>
        <w:t>In t</w:t>
      </w:r>
      <w:r w:rsidR="001765D4" w:rsidRPr="00441A9C">
        <w:rPr>
          <w:rFonts w:ascii="Garamond" w:hAnsi="Garamond" w:cs="Sylfaen"/>
          <w:sz w:val="22"/>
          <w:szCs w:val="22"/>
        </w:rPr>
        <w:t xml:space="preserve">he </w:t>
      </w:r>
      <w:r w:rsidRPr="00441A9C">
        <w:rPr>
          <w:rFonts w:ascii="Garamond" w:hAnsi="Garamond" w:cs="Sylfaen"/>
          <w:sz w:val="22"/>
          <w:szCs w:val="22"/>
        </w:rPr>
        <w:t>second</w:t>
      </w:r>
      <w:r w:rsidR="001765D4" w:rsidRPr="00441A9C">
        <w:rPr>
          <w:rFonts w:ascii="Garamond" w:hAnsi="Garamond" w:cs="Sylfaen"/>
          <w:sz w:val="22"/>
          <w:szCs w:val="22"/>
        </w:rPr>
        <w:t xml:space="preserve"> quarter </w:t>
      </w:r>
      <w:r w:rsidRPr="00441A9C">
        <w:rPr>
          <w:rFonts w:ascii="Garamond" w:hAnsi="Garamond" w:cs="Sylfaen"/>
          <w:sz w:val="22"/>
          <w:szCs w:val="22"/>
        </w:rPr>
        <w:t xml:space="preserve">of 2017 </w:t>
      </w:r>
      <w:r w:rsidR="001765D4" w:rsidRPr="00441A9C">
        <w:rPr>
          <w:rFonts w:ascii="Garamond" w:hAnsi="Garamond" w:cs="Sylfaen"/>
          <w:sz w:val="22"/>
          <w:szCs w:val="22"/>
        </w:rPr>
        <w:t>investment activity</w:t>
      </w:r>
      <w:r w:rsidRPr="00441A9C">
        <w:rPr>
          <w:rFonts w:ascii="Garamond" w:hAnsi="Garamond" w:cs="Sylfaen"/>
          <w:sz w:val="22"/>
          <w:szCs w:val="22"/>
        </w:rPr>
        <w:t xml:space="preserve"> was in line with previous forecasts</w:t>
      </w:r>
      <w:r w:rsidR="001765D4" w:rsidRPr="00441A9C">
        <w:rPr>
          <w:rFonts w:ascii="Garamond" w:hAnsi="Garamond" w:cs="Sylfaen"/>
          <w:sz w:val="22"/>
          <w:szCs w:val="22"/>
        </w:rPr>
        <w:t xml:space="preserve">, with </w:t>
      </w:r>
      <w:r w:rsidR="00A06BB3" w:rsidRPr="00441A9C">
        <w:rPr>
          <w:rFonts w:ascii="Garamond" w:hAnsi="Garamond" w:cs="Sylfaen"/>
          <w:sz w:val="22"/>
          <w:szCs w:val="22"/>
        </w:rPr>
        <w:t xml:space="preserve">the growth of </w:t>
      </w:r>
      <w:r w:rsidR="001765D4" w:rsidRPr="00441A9C">
        <w:rPr>
          <w:rFonts w:ascii="Garamond" w:hAnsi="Garamond" w:cs="Sylfaen"/>
          <w:sz w:val="22"/>
          <w:szCs w:val="22"/>
        </w:rPr>
        <w:t xml:space="preserve">private investment estimated </w:t>
      </w:r>
      <w:r w:rsidR="00A06BB3" w:rsidRPr="00441A9C">
        <w:rPr>
          <w:rFonts w:ascii="Garamond" w:hAnsi="Garamond" w:cs="Sylfaen"/>
          <w:sz w:val="22"/>
          <w:szCs w:val="22"/>
        </w:rPr>
        <w:t>at 5.6</w:t>
      </w:r>
      <w:r w:rsidR="001765D4" w:rsidRPr="00441A9C">
        <w:rPr>
          <w:rFonts w:ascii="Garamond" w:hAnsi="Garamond" w:cs="Sylfaen"/>
          <w:sz w:val="22"/>
          <w:szCs w:val="22"/>
        </w:rPr>
        <w:t>%</w:t>
      </w:r>
      <w:r w:rsidR="00A06BB3" w:rsidRPr="00441A9C">
        <w:rPr>
          <w:rFonts w:ascii="Garamond" w:hAnsi="Garamond" w:cs="Sylfaen"/>
          <w:sz w:val="22"/>
          <w:szCs w:val="22"/>
        </w:rPr>
        <w:t xml:space="preserve">. It should be noted that the first quarter of the year saw a 6.8% growth of private investment which has recovered after a long-term decline, increasing the potential for future economic growth. </w:t>
      </w:r>
    </w:p>
    <w:p w14:paraId="386346FB" w14:textId="77777777" w:rsidR="00697884" w:rsidRPr="00441A9C" w:rsidRDefault="00697884" w:rsidP="00FF3CD9">
      <w:pPr>
        <w:spacing w:line="360" w:lineRule="auto"/>
        <w:jc w:val="both"/>
        <w:rPr>
          <w:rFonts w:ascii="Garamond" w:hAnsi="Garamond" w:cs="Sylfaen"/>
          <w:sz w:val="22"/>
          <w:szCs w:val="22"/>
        </w:rPr>
      </w:pPr>
    </w:p>
    <w:p w14:paraId="53A6E698" w14:textId="77777777" w:rsidR="00697884" w:rsidRPr="00441A9C" w:rsidRDefault="00697884" w:rsidP="00FF3CD9">
      <w:pPr>
        <w:spacing w:line="360" w:lineRule="auto"/>
        <w:jc w:val="both"/>
        <w:rPr>
          <w:rFonts w:ascii="Garamond" w:hAnsi="Garamond" w:cs="Sylfaen"/>
          <w:sz w:val="22"/>
          <w:szCs w:val="22"/>
        </w:rPr>
      </w:pPr>
      <w:r w:rsidRPr="00441A9C">
        <w:rPr>
          <w:rFonts w:ascii="Garamond" w:eastAsia="Calibri" w:hAnsi="Garamond"/>
          <w:sz w:val="22"/>
          <w:szCs w:val="22"/>
        </w:rPr>
        <w:t xml:space="preserve">The aforementioned developments with </w:t>
      </w:r>
      <w:r w:rsidRPr="00441A9C">
        <w:rPr>
          <w:rFonts w:ascii="Garamond" w:hAnsi="Garamond"/>
          <w:bCs/>
          <w:iCs/>
          <w:sz w:val="22"/>
          <w:szCs w:val="22"/>
        </w:rPr>
        <w:t xml:space="preserve">private consumption and investment </w:t>
      </w:r>
      <w:r w:rsidR="00A06BB3" w:rsidRPr="00441A9C">
        <w:rPr>
          <w:rFonts w:ascii="Garamond" w:hAnsi="Garamond"/>
          <w:bCs/>
          <w:iCs/>
          <w:sz w:val="22"/>
          <w:szCs w:val="22"/>
        </w:rPr>
        <w:t>resulted in</w:t>
      </w:r>
      <w:r w:rsidRPr="00441A9C">
        <w:rPr>
          <w:rFonts w:ascii="Garamond" w:hAnsi="Garamond"/>
          <w:bCs/>
          <w:iCs/>
          <w:sz w:val="22"/>
          <w:szCs w:val="22"/>
        </w:rPr>
        <w:t xml:space="preserve"> an estimated 4.</w:t>
      </w:r>
      <w:r w:rsidR="00A06BB3" w:rsidRPr="00441A9C">
        <w:rPr>
          <w:rFonts w:ascii="Garamond" w:hAnsi="Garamond"/>
          <w:bCs/>
          <w:iCs/>
          <w:sz w:val="22"/>
          <w:szCs w:val="22"/>
        </w:rPr>
        <w:t>8</w:t>
      </w:r>
      <w:r w:rsidRPr="00441A9C">
        <w:rPr>
          <w:rFonts w:ascii="Garamond" w:hAnsi="Garamond"/>
          <w:bCs/>
          <w:iCs/>
          <w:sz w:val="22"/>
          <w:szCs w:val="22"/>
        </w:rPr>
        <w:t xml:space="preserve">% growth in private spending in the </w:t>
      </w:r>
      <w:r w:rsidR="00A06BB3" w:rsidRPr="00441A9C">
        <w:rPr>
          <w:rFonts w:ascii="Garamond" w:hAnsi="Garamond"/>
          <w:bCs/>
          <w:iCs/>
          <w:sz w:val="22"/>
          <w:szCs w:val="22"/>
        </w:rPr>
        <w:t>second</w:t>
      </w:r>
      <w:r w:rsidRPr="00441A9C">
        <w:rPr>
          <w:rFonts w:ascii="Garamond" w:hAnsi="Garamond"/>
          <w:bCs/>
          <w:iCs/>
          <w:sz w:val="22"/>
          <w:szCs w:val="22"/>
        </w:rPr>
        <w:t xml:space="preserve"> quarter of 2017. This is a</w:t>
      </w:r>
      <w:r w:rsidR="00A06BB3" w:rsidRPr="00441A9C">
        <w:rPr>
          <w:rFonts w:ascii="Garamond" w:hAnsi="Garamond"/>
          <w:bCs/>
          <w:iCs/>
          <w:sz w:val="22"/>
          <w:szCs w:val="22"/>
        </w:rPr>
        <w:t>bout 0.4</w:t>
      </w:r>
      <w:r w:rsidRPr="00441A9C">
        <w:rPr>
          <w:rFonts w:ascii="Garamond" w:hAnsi="Garamond"/>
          <w:bCs/>
          <w:iCs/>
          <w:sz w:val="22"/>
          <w:szCs w:val="22"/>
        </w:rPr>
        <w:t xml:space="preserve"> pp higher in comparison with the previous forecast</w:t>
      </w:r>
      <w:r w:rsidR="00A06BB3" w:rsidRPr="00441A9C">
        <w:rPr>
          <w:rFonts w:ascii="Garamond" w:hAnsi="Garamond"/>
          <w:bCs/>
          <w:iCs/>
          <w:sz w:val="22"/>
          <w:szCs w:val="22"/>
        </w:rPr>
        <w:t>.</w:t>
      </w:r>
      <w:r w:rsidRPr="00441A9C">
        <w:rPr>
          <w:rFonts w:ascii="Garamond" w:hAnsi="Garamond"/>
          <w:bCs/>
          <w:iCs/>
          <w:sz w:val="22"/>
          <w:szCs w:val="22"/>
        </w:rPr>
        <w:t xml:space="preserve"> </w:t>
      </w:r>
      <w:r w:rsidR="00A06BB3" w:rsidRPr="00441A9C">
        <w:rPr>
          <w:rFonts w:ascii="Garamond" w:hAnsi="Garamond"/>
          <w:bCs/>
          <w:iCs/>
          <w:sz w:val="22"/>
          <w:szCs w:val="22"/>
        </w:rPr>
        <w:t xml:space="preserve">Note that </w:t>
      </w:r>
      <w:r w:rsidRPr="00441A9C">
        <w:rPr>
          <w:rFonts w:ascii="Garamond" w:hAnsi="Garamond"/>
          <w:bCs/>
          <w:iCs/>
          <w:sz w:val="22"/>
          <w:szCs w:val="22"/>
        </w:rPr>
        <w:t xml:space="preserve">private spending </w:t>
      </w:r>
      <w:r w:rsidR="00A06BB3" w:rsidRPr="00441A9C">
        <w:rPr>
          <w:rFonts w:ascii="Garamond" w:hAnsi="Garamond"/>
          <w:bCs/>
          <w:iCs/>
          <w:sz w:val="22"/>
          <w:szCs w:val="22"/>
        </w:rPr>
        <w:t xml:space="preserve">has been </w:t>
      </w:r>
      <w:r w:rsidRPr="00441A9C">
        <w:rPr>
          <w:rFonts w:ascii="Garamond" w:hAnsi="Garamond"/>
          <w:bCs/>
          <w:iCs/>
          <w:sz w:val="22"/>
          <w:szCs w:val="22"/>
        </w:rPr>
        <w:t xml:space="preserve">slightly </w:t>
      </w:r>
      <w:r w:rsidR="00D030E8" w:rsidRPr="00441A9C">
        <w:rPr>
          <w:rFonts w:ascii="Garamond" w:hAnsi="Garamond"/>
          <w:bCs/>
          <w:iCs/>
          <w:sz w:val="22"/>
          <w:szCs w:val="22"/>
        </w:rPr>
        <w:t xml:space="preserve">below </w:t>
      </w:r>
      <w:r w:rsidRPr="00441A9C">
        <w:rPr>
          <w:rFonts w:ascii="Garamond" w:hAnsi="Garamond"/>
          <w:bCs/>
          <w:iCs/>
          <w:sz w:val="22"/>
          <w:szCs w:val="22"/>
        </w:rPr>
        <w:t>the equilibrium</w:t>
      </w:r>
      <w:r w:rsidR="00D030E8" w:rsidRPr="00441A9C">
        <w:rPr>
          <w:rFonts w:ascii="Garamond" w:hAnsi="Garamond"/>
          <w:bCs/>
          <w:iCs/>
          <w:sz w:val="22"/>
          <w:szCs w:val="22"/>
        </w:rPr>
        <w:t xml:space="preserve"> and </w:t>
      </w:r>
      <w:r w:rsidRPr="00441A9C">
        <w:rPr>
          <w:rFonts w:ascii="Garamond" w:hAnsi="Garamond"/>
          <w:bCs/>
          <w:iCs/>
          <w:sz w:val="22"/>
          <w:szCs w:val="22"/>
        </w:rPr>
        <w:t xml:space="preserve">it created </w:t>
      </w:r>
      <w:r w:rsidR="00D030E8" w:rsidRPr="00441A9C">
        <w:rPr>
          <w:rFonts w:ascii="Garamond" w:hAnsi="Garamond"/>
          <w:bCs/>
          <w:iCs/>
          <w:sz w:val="22"/>
          <w:szCs w:val="22"/>
        </w:rPr>
        <w:t xml:space="preserve">minor </w:t>
      </w:r>
      <w:r w:rsidRPr="00441A9C">
        <w:rPr>
          <w:rFonts w:ascii="Garamond" w:hAnsi="Garamond"/>
          <w:bCs/>
          <w:iCs/>
          <w:sz w:val="22"/>
          <w:szCs w:val="22"/>
        </w:rPr>
        <w:lastRenderedPageBreak/>
        <w:t>inflationary pressures in the consumer market</w:t>
      </w:r>
      <w:r w:rsidR="00D030E8" w:rsidRPr="00441A9C">
        <w:rPr>
          <w:rFonts w:ascii="Garamond" w:hAnsi="Garamond"/>
          <w:bCs/>
          <w:iCs/>
          <w:sz w:val="22"/>
          <w:szCs w:val="22"/>
        </w:rPr>
        <w:t>, which makes up 0.2-0.4 pp, a</w:t>
      </w:r>
      <w:r w:rsidRPr="00441A9C">
        <w:rPr>
          <w:rFonts w:ascii="Garamond" w:hAnsi="Garamond"/>
          <w:bCs/>
          <w:iCs/>
          <w:sz w:val="22"/>
          <w:szCs w:val="22"/>
        </w:rPr>
        <w:t xml:space="preserve">ccording to </w:t>
      </w:r>
      <w:r w:rsidR="00D030E8" w:rsidRPr="00441A9C">
        <w:rPr>
          <w:rFonts w:ascii="Garamond" w:hAnsi="Garamond"/>
          <w:bCs/>
          <w:iCs/>
          <w:sz w:val="22"/>
          <w:szCs w:val="22"/>
        </w:rPr>
        <w:t xml:space="preserve">the </w:t>
      </w:r>
      <w:r w:rsidRPr="00441A9C">
        <w:rPr>
          <w:rFonts w:ascii="Garamond" w:hAnsi="Garamond"/>
          <w:bCs/>
          <w:iCs/>
          <w:sz w:val="22"/>
          <w:szCs w:val="22"/>
        </w:rPr>
        <w:t>Central Bank estimates</w:t>
      </w:r>
      <w:r w:rsidR="00D030E8" w:rsidRPr="00441A9C">
        <w:rPr>
          <w:rFonts w:ascii="Garamond" w:hAnsi="Garamond"/>
          <w:bCs/>
          <w:iCs/>
          <w:sz w:val="22"/>
          <w:szCs w:val="22"/>
        </w:rPr>
        <w:t>.</w:t>
      </w:r>
    </w:p>
    <w:p w14:paraId="44E94623" w14:textId="77777777" w:rsidR="0006101A" w:rsidRPr="00441A9C" w:rsidRDefault="0006101A" w:rsidP="00FF3CD9">
      <w:pPr>
        <w:spacing w:line="360" w:lineRule="auto"/>
        <w:jc w:val="both"/>
        <w:rPr>
          <w:rFonts w:ascii="Garamond" w:hAnsi="Garamond" w:cs="Sylfaen"/>
          <w:sz w:val="22"/>
          <w:szCs w:val="22"/>
        </w:rPr>
      </w:pPr>
    </w:p>
    <w:p w14:paraId="44347C4A" w14:textId="77777777" w:rsidR="00AA433C" w:rsidRPr="00441A9C" w:rsidRDefault="00AA433C" w:rsidP="0006101A">
      <w:pPr>
        <w:spacing w:line="360" w:lineRule="auto"/>
        <w:jc w:val="both"/>
        <w:rPr>
          <w:rFonts w:ascii="Garamond" w:hAnsi="Garamond" w:cs="Sylfaen"/>
          <w:sz w:val="22"/>
          <w:szCs w:val="22"/>
        </w:rPr>
      </w:pPr>
      <w:r w:rsidRPr="00441A9C">
        <w:rPr>
          <w:rFonts w:ascii="Garamond" w:hAnsi="Garamond" w:cs="Sylfaen"/>
          <w:sz w:val="22"/>
          <w:szCs w:val="22"/>
        </w:rPr>
        <w:t xml:space="preserve">In the </w:t>
      </w:r>
      <w:r w:rsidR="00E4281D" w:rsidRPr="00441A9C">
        <w:rPr>
          <w:rFonts w:ascii="Garamond" w:hAnsi="Garamond" w:cs="Sylfaen"/>
          <w:sz w:val="22"/>
          <w:szCs w:val="22"/>
        </w:rPr>
        <w:t>second</w:t>
      </w:r>
      <w:r w:rsidRPr="00441A9C">
        <w:rPr>
          <w:rFonts w:ascii="Garamond" w:hAnsi="Garamond" w:cs="Sylfaen"/>
          <w:sz w:val="22"/>
          <w:szCs w:val="22"/>
        </w:rPr>
        <w:t xml:space="preserve"> quarter of 2017</w:t>
      </w:r>
      <w:r w:rsidR="00CC2306" w:rsidRPr="00441A9C">
        <w:rPr>
          <w:rFonts w:ascii="Garamond" w:hAnsi="Garamond" w:cs="Sylfaen"/>
          <w:sz w:val="22"/>
          <w:szCs w:val="22"/>
        </w:rPr>
        <w:t>,</w:t>
      </w:r>
      <w:r w:rsidRPr="00441A9C">
        <w:rPr>
          <w:rFonts w:ascii="Garamond" w:hAnsi="Garamond" w:cs="Sylfaen"/>
          <w:sz w:val="22"/>
          <w:szCs w:val="22"/>
        </w:rPr>
        <w:t xml:space="preserve"> the net real export </w:t>
      </w:r>
      <w:r w:rsidR="00E4281D" w:rsidRPr="00441A9C">
        <w:rPr>
          <w:rFonts w:ascii="Garamond" w:hAnsi="Garamond" w:cs="Sylfaen"/>
          <w:sz w:val="22"/>
          <w:szCs w:val="22"/>
        </w:rPr>
        <w:t xml:space="preserve">indicator </w:t>
      </w:r>
      <w:r w:rsidR="00CC2306" w:rsidRPr="00441A9C">
        <w:rPr>
          <w:rFonts w:ascii="Garamond" w:hAnsi="Garamond" w:cs="Sylfaen"/>
          <w:sz w:val="22"/>
          <w:szCs w:val="22"/>
        </w:rPr>
        <w:t xml:space="preserve">has </w:t>
      </w:r>
      <w:r w:rsidR="00E4281D" w:rsidRPr="00441A9C">
        <w:rPr>
          <w:rFonts w:ascii="Garamond" w:hAnsi="Garamond" w:cs="Sylfaen"/>
          <w:sz w:val="22"/>
          <w:szCs w:val="22"/>
        </w:rPr>
        <w:t>declined, according to the Central Bank estimates</w:t>
      </w:r>
      <w:r w:rsidR="00CC2306" w:rsidRPr="00441A9C">
        <w:rPr>
          <w:rFonts w:ascii="Garamond" w:hAnsi="Garamond" w:cs="Sylfaen"/>
          <w:sz w:val="22"/>
          <w:szCs w:val="22"/>
        </w:rPr>
        <w:t xml:space="preserve">, </w:t>
      </w:r>
      <w:r w:rsidRPr="00441A9C">
        <w:rPr>
          <w:rFonts w:ascii="Garamond" w:hAnsi="Garamond" w:cs="Sylfaen"/>
          <w:sz w:val="22"/>
          <w:szCs w:val="22"/>
        </w:rPr>
        <w:t>amid</w:t>
      </w:r>
      <w:r w:rsidR="00CC2306" w:rsidRPr="00441A9C">
        <w:rPr>
          <w:rFonts w:ascii="Garamond" w:hAnsi="Garamond" w:cs="Sylfaen"/>
          <w:sz w:val="22"/>
          <w:szCs w:val="22"/>
        </w:rPr>
        <w:t xml:space="preserve"> a</w:t>
      </w:r>
      <w:r w:rsidRPr="00441A9C">
        <w:rPr>
          <w:rFonts w:ascii="Garamond" w:hAnsi="Garamond" w:cs="Sylfaen"/>
          <w:sz w:val="22"/>
          <w:szCs w:val="22"/>
        </w:rPr>
        <w:t xml:space="preserve"> stronger </w:t>
      </w:r>
      <w:r w:rsidR="00CC2306" w:rsidRPr="00441A9C">
        <w:rPr>
          <w:rFonts w:ascii="Garamond" w:hAnsi="Garamond" w:cs="Sylfaen"/>
          <w:sz w:val="22"/>
          <w:szCs w:val="22"/>
        </w:rPr>
        <w:t xml:space="preserve">real </w:t>
      </w:r>
      <w:r w:rsidRPr="00441A9C">
        <w:rPr>
          <w:rFonts w:ascii="Garamond" w:hAnsi="Garamond" w:cs="Sylfaen"/>
          <w:sz w:val="22"/>
          <w:szCs w:val="22"/>
        </w:rPr>
        <w:t>growth of import of goods and services</w:t>
      </w:r>
      <w:r w:rsidR="00CC2306" w:rsidRPr="00441A9C">
        <w:rPr>
          <w:rFonts w:ascii="Garamond" w:hAnsi="Garamond" w:cs="Sylfaen"/>
          <w:sz w:val="22"/>
          <w:szCs w:val="22"/>
        </w:rPr>
        <w:t xml:space="preserve"> over the real growth of that of export</w:t>
      </w:r>
      <w:r w:rsidRPr="00441A9C">
        <w:rPr>
          <w:rFonts w:ascii="Garamond" w:hAnsi="Garamond" w:cs="Sylfaen"/>
          <w:sz w:val="22"/>
          <w:szCs w:val="22"/>
        </w:rPr>
        <w:t xml:space="preserve">. </w:t>
      </w:r>
      <w:r w:rsidR="00CC2306" w:rsidRPr="00441A9C">
        <w:rPr>
          <w:rFonts w:ascii="Garamond" w:hAnsi="Garamond" w:cs="Sylfaen"/>
          <w:sz w:val="22"/>
          <w:szCs w:val="22"/>
        </w:rPr>
        <w:t>Thus, in the second quarter the real growth of export</w:t>
      </w:r>
      <w:r w:rsidR="0091146B" w:rsidRPr="00441A9C">
        <w:rPr>
          <w:rStyle w:val="FootnoteReference"/>
          <w:rFonts w:ascii="Garamond" w:hAnsi="Garamond" w:cs="Sylfaen"/>
          <w:sz w:val="22"/>
          <w:szCs w:val="22"/>
        </w:rPr>
        <w:footnoteReference w:customMarkFollows="1" w:id="14"/>
        <w:t>16</w:t>
      </w:r>
      <w:r w:rsidR="00CC2306" w:rsidRPr="00441A9C">
        <w:rPr>
          <w:rFonts w:ascii="Garamond" w:hAnsi="Garamond" w:cs="Sylfaen"/>
          <w:sz w:val="22"/>
          <w:szCs w:val="22"/>
        </w:rPr>
        <w:t xml:space="preserve"> of goods and services was 15.5% y/y, while the real growth of import</w:t>
      </w:r>
      <w:r w:rsidR="0091146B" w:rsidRPr="00441A9C">
        <w:rPr>
          <w:rStyle w:val="FootnoteReference"/>
          <w:rFonts w:ascii="Garamond" w:hAnsi="Garamond" w:cs="Sylfaen"/>
          <w:sz w:val="22"/>
          <w:szCs w:val="22"/>
        </w:rPr>
        <w:footnoteReference w:customMarkFollows="1" w:id="15"/>
        <w:t>17</w:t>
      </w:r>
      <w:r w:rsidR="00CC2306" w:rsidRPr="00441A9C">
        <w:rPr>
          <w:rFonts w:ascii="Garamond" w:hAnsi="Garamond" w:cs="Sylfaen"/>
          <w:sz w:val="22"/>
          <w:szCs w:val="22"/>
        </w:rPr>
        <w:t xml:space="preserve"> of goods and services, 24.2% y/y.</w:t>
      </w:r>
    </w:p>
    <w:p w14:paraId="2C90F8FA" w14:textId="77777777" w:rsidR="00AA433C" w:rsidRPr="00441A9C" w:rsidRDefault="00AA433C" w:rsidP="0006101A">
      <w:pPr>
        <w:spacing w:line="360" w:lineRule="auto"/>
        <w:jc w:val="both"/>
        <w:rPr>
          <w:rFonts w:ascii="Garamond" w:hAnsi="Garamond" w:cs="Sylfaen"/>
          <w:sz w:val="22"/>
          <w:szCs w:val="22"/>
        </w:rPr>
      </w:pPr>
    </w:p>
    <w:p w14:paraId="50AC5D58" w14:textId="52239295" w:rsidR="00AA433C" w:rsidRPr="00441A9C" w:rsidRDefault="00AA433C" w:rsidP="0006101A">
      <w:pPr>
        <w:spacing w:line="360" w:lineRule="auto"/>
        <w:jc w:val="both"/>
        <w:rPr>
          <w:rFonts w:ascii="Garamond" w:hAnsi="Garamond" w:cs="Sylfaen"/>
          <w:sz w:val="22"/>
          <w:szCs w:val="22"/>
        </w:rPr>
      </w:pPr>
      <w:r w:rsidRPr="00441A9C">
        <w:rPr>
          <w:rFonts w:ascii="Garamond" w:hAnsi="Garamond" w:cs="Sylfaen"/>
          <w:sz w:val="22"/>
          <w:szCs w:val="22"/>
        </w:rPr>
        <w:t xml:space="preserve">In the </w:t>
      </w:r>
      <w:r w:rsidR="0091146B" w:rsidRPr="00441A9C">
        <w:rPr>
          <w:rFonts w:ascii="Garamond" w:hAnsi="Garamond" w:cs="Sylfaen"/>
          <w:sz w:val="22"/>
          <w:szCs w:val="22"/>
        </w:rPr>
        <w:t>second</w:t>
      </w:r>
      <w:r w:rsidRPr="00441A9C">
        <w:rPr>
          <w:rFonts w:ascii="Garamond" w:hAnsi="Garamond" w:cs="Sylfaen"/>
          <w:sz w:val="22"/>
          <w:szCs w:val="22"/>
        </w:rPr>
        <w:t xml:space="preserve"> quarter of 2017 </w:t>
      </w:r>
      <w:r w:rsidR="00F22FFD" w:rsidRPr="00441A9C">
        <w:rPr>
          <w:rFonts w:ascii="Garamond" w:hAnsi="Garamond" w:cs="Sylfaen"/>
          <w:sz w:val="22"/>
          <w:szCs w:val="22"/>
        </w:rPr>
        <w:t xml:space="preserve">the growth </w:t>
      </w:r>
      <w:r w:rsidR="0091146B" w:rsidRPr="00441A9C">
        <w:rPr>
          <w:rFonts w:ascii="Garamond" w:hAnsi="Garamond" w:cs="Sylfaen"/>
          <w:sz w:val="22"/>
          <w:szCs w:val="22"/>
        </w:rPr>
        <w:t xml:space="preserve">of </w:t>
      </w:r>
      <w:r w:rsidR="00F22FFD" w:rsidRPr="00441A9C">
        <w:rPr>
          <w:rFonts w:ascii="Garamond" w:hAnsi="Garamond" w:cs="Sylfaen"/>
          <w:sz w:val="22"/>
          <w:szCs w:val="22"/>
        </w:rPr>
        <w:t xml:space="preserve">net remittances </w:t>
      </w:r>
      <w:r w:rsidR="009D7FBF" w:rsidRPr="00441A9C">
        <w:rPr>
          <w:rFonts w:ascii="Garamond" w:hAnsi="Garamond" w:cs="Sylfaen"/>
          <w:sz w:val="22"/>
          <w:szCs w:val="22"/>
        </w:rPr>
        <w:t xml:space="preserve">in dollar terms </w:t>
      </w:r>
      <w:r w:rsidR="0091146B" w:rsidRPr="00441A9C">
        <w:rPr>
          <w:rFonts w:ascii="Garamond" w:hAnsi="Garamond" w:cs="Sylfaen"/>
          <w:sz w:val="22"/>
          <w:szCs w:val="22"/>
        </w:rPr>
        <w:t>slowed down to 9</w:t>
      </w:r>
      <w:r w:rsidRPr="00441A9C">
        <w:rPr>
          <w:rFonts w:ascii="Garamond" w:hAnsi="Garamond" w:cs="Sylfaen"/>
          <w:sz w:val="22"/>
          <w:szCs w:val="22"/>
        </w:rPr>
        <w:t>.</w:t>
      </w:r>
      <w:r w:rsidR="0091146B" w:rsidRPr="00441A9C">
        <w:rPr>
          <w:rFonts w:ascii="Garamond" w:hAnsi="Garamond" w:cs="Sylfaen"/>
          <w:sz w:val="22"/>
          <w:szCs w:val="22"/>
        </w:rPr>
        <w:t>3</w:t>
      </w:r>
      <w:r w:rsidRPr="00441A9C">
        <w:rPr>
          <w:rFonts w:ascii="Garamond" w:hAnsi="Garamond" w:cs="Sylfaen"/>
          <w:sz w:val="22"/>
          <w:szCs w:val="22"/>
        </w:rPr>
        <w:t>%</w:t>
      </w:r>
      <w:r w:rsidR="00F22FFD" w:rsidRPr="00441A9C">
        <w:rPr>
          <w:rFonts w:ascii="Garamond" w:hAnsi="Garamond" w:cs="Sylfaen"/>
          <w:sz w:val="22"/>
          <w:szCs w:val="22"/>
        </w:rPr>
        <w:t xml:space="preserve"> y/y</w:t>
      </w:r>
      <w:r w:rsidRPr="00441A9C">
        <w:rPr>
          <w:rFonts w:ascii="Garamond" w:hAnsi="Garamond" w:cs="Sylfaen"/>
          <w:sz w:val="22"/>
          <w:szCs w:val="22"/>
        </w:rPr>
        <w:t>,</w:t>
      </w:r>
      <w:r w:rsidR="00F22FFD" w:rsidRPr="00441A9C">
        <w:rPr>
          <w:rFonts w:ascii="Garamond" w:hAnsi="Garamond" w:cs="Sylfaen"/>
          <w:sz w:val="22"/>
          <w:szCs w:val="22"/>
        </w:rPr>
        <w:t xml:space="preserve"> which was</w:t>
      </w:r>
      <w:r w:rsidRPr="00441A9C">
        <w:rPr>
          <w:rFonts w:ascii="Garamond" w:hAnsi="Garamond" w:cs="Sylfaen"/>
          <w:sz w:val="22"/>
          <w:szCs w:val="22"/>
        </w:rPr>
        <w:t xml:space="preserve"> </w:t>
      </w:r>
      <w:r w:rsidR="00F22FFD" w:rsidRPr="00441A9C">
        <w:rPr>
          <w:rFonts w:ascii="Garamond" w:hAnsi="Garamond" w:cs="Sylfaen"/>
          <w:sz w:val="22"/>
          <w:szCs w:val="22"/>
        </w:rPr>
        <w:t xml:space="preserve">primarily attributable to the </w:t>
      </w:r>
      <w:r w:rsidR="001F1CFF" w:rsidRPr="00441A9C">
        <w:rPr>
          <w:rFonts w:ascii="Garamond" w:hAnsi="Garamond" w:cs="Sylfaen"/>
          <w:sz w:val="22"/>
          <w:szCs w:val="22"/>
        </w:rPr>
        <w:t>developments in the Russian economy</w:t>
      </w:r>
      <w:r w:rsidRPr="00441A9C">
        <w:rPr>
          <w:rFonts w:ascii="Garamond" w:hAnsi="Garamond" w:cs="Sylfaen"/>
          <w:sz w:val="22"/>
          <w:szCs w:val="22"/>
        </w:rPr>
        <w:t>.</w:t>
      </w:r>
    </w:p>
    <w:p w14:paraId="7F85E097" w14:textId="77777777" w:rsidR="00AA433C" w:rsidRPr="00441A9C" w:rsidRDefault="00AA433C" w:rsidP="0006101A">
      <w:pPr>
        <w:spacing w:line="360" w:lineRule="auto"/>
        <w:jc w:val="both"/>
        <w:rPr>
          <w:rFonts w:ascii="Garamond" w:hAnsi="Garamond" w:cs="Sylfaen"/>
          <w:sz w:val="22"/>
          <w:szCs w:val="22"/>
        </w:rPr>
      </w:pPr>
    </w:p>
    <w:p w14:paraId="4E060913" w14:textId="77777777" w:rsidR="002847C1" w:rsidRPr="00441A9C" w:rsidRDefault="002847C1" w:rsidP="0006101A">
      <w:pPr>
        <w:spacing w:line="360" w:lineRule="auto"/>
        <w:jc w:val="both"/>
        <w:rPr>
          <w:rFonts w:ascii="Garamond" w:hAnsi="Garamond"/>
          <w:b/>
          <w:sz w:val="22"/>
          <w:szCs w:val="22"/>
        </w:rPr>
      </w:pPr>
      <w:r w:rsidRPr="00441A9C">
        <w:rPr>
          <w:rFonts w:ascii="Garamond" w:hAnsi="Garamond"/>
          <w:b/>
          <w:sz w:val="22"/>
          <w:szCs w:val="22"/>
        </w:rPr>
        <w:t>3.2.3. Labor market</w:t>
      </w:r>
      <w:r w:rsidR="009D7FBF" w:rsidRPr="00441A9C">
        <w:rPr>
          <w:rStyle w:val="FootnoteReference"/>
          <w:rFonts w:ascii="Garamond" w:hAnsi="Garamond"/>
          <w:b/>
          <w:sz w:val="22"/>
          <w:szCs w:val="22"/>
        </w:rPr>
        <w:footnoteReference w:customMarkFollows="1" w:id="16"/>
        <w:t>18</w:t>
      </w:r>
    </w:p>
    <w:p w14:paraId="5897006F" w14:textId="77777777" w:rsidR="003B0C7D" w:rsidRPr="00441A9C" w:rsidRDefault="003B0C7D" w:rsidP="0006101A">
      <w:pPr>
        <w:spacing w:line="360" w:lineRule="auto"/>
        <w:jc w:val="both"/>
        <w:rPr>
          <w:rStyle w:val="longtext"/>
          <w:rFonts w:ascii="Garamond" w:hAnsi="Garamond"/>
          <w:sz w:val="22"/>
          <w:szCs w:val="22"/>
          <w:shd w:val="clear" w:color="auto" w:fill="FFFFFF"/>
        </w:rPr>
      </w:pPr>
    </w:p>
    <w:p w14:paraId="33F876B2" w14:textId="39BB37F8" w:rsidR="00AF7E21" w:rsidRPr="00441A9C" w:rsidRDefault="00171759" w:rsidP="0006101A">
      <w:pPr>
        <w:spacing w:line="360" w:lineRule="auto"/>
        <w:jc w:val="both"/>
        <w:rPr>
          <w:rFonts w:ascii="Garamond" w:eastAsia="Calibri" w:hAnsi="Garamond"/>
          <w:sz w:val="22"/>
          <w:szCs w:val="22"/>
        </w:rPr>
      </w:pPr>
      <w:r w:rsidRPr="00441A9C">
        <w:rPr>
          <w:rFonts w:ascii="Garamond" w:eastAsia="Calibri" w:hAnsi="Garamond"/>
          <w:sz w:val="22"/>
          <w:szCs w:val="22"/>
        </w:rPr>
        <w:t xml:space="preserve">In the </w:t>
      </w:r>
      <w:r w:rsidR="00081D87" w:rsidRPr="00441A9C">
        <w:rPr>
          <w:rFonts w:ascii="Garamond" w:eastAsia="Calibri" w:hAnsi="Garamond"/>
          <w:sz w:val="22"/>
          <w:szCs w:val="22"/>
        </w:rPr>
        <w:t>second</w:t>
      </w:r>
      <w:r w:rsidRPr="00441A9C">
        <w:rPr>
          <w:rFonts w:ascii="Garamond" w:eastAsia="Calibri" w:hAnsi="Garamond"/>
          <w:sz w:val="22"/>
          <w:szCs w:val="22"/>
        </w:rPr>
        <w:t xml:space="preserve"> quarter of 2017 the</w:t>
      </w:r>
      <w:r w:rsidR="00F83784" w:rsidRPr="00441A9C">
        <w:rPr>
          <w:rFonts w:ascii="Garamond" w:eastAsia="Calibri" w:hAnsi="Garamond"/>
          <w:sz w:val="22"/>
          <w:szCs w:val="22"/>
        </w:rPr>
        <w:t xml:space="preserve"> nominal wage growth in the </w:t>
      </w:r>
      <w:r w:rsidR="00F83784" w:rsidRPr="00441A9C">
        <w:rPr>
          <w:rFonts w:ascii="Garamond" w:eastAsia="Calibri" w:hAnsi="Garamond"/>
          <w:b/>
          <w:sz w:val="22"/>
          <w:szCs w:val="22"/>
        </w:rPr>
        <w:t>private sector</w:t>
      </w:r>
      <w:r w:rsidR="00F83784" w:rsidRPr="00441A9C">
        <w:rPr>
          <w:rFonts w:ascii="Garamond" w:eastAsia="Calibri" w:hAnsi="Garamond"/>
          <w:sz w:val="22"/>
          <w:szCs w:val="22"/>
        </w:rPr>
        <w:t xml:space="preserve"> </w:t>
      </w:r>
      <w:r w:rsidRPr="00441A9C">
        <w:rPr>
          <w:rFonts w:ascii="Garamond" w:eastAsia="Calibri" w:hAnsi="Garamond"/>
          <w:sz w:val="22"/>
          <w:szCs w:val="22"/>
        </w:rPr>
        <w:t xml:space="preserve">amounted to </w:t>
      </w:r>
      <w:r w:rsidR="00081D87" w:rsidRPr="00441A9C">
        <w:rPr>
          <w:rFonts w:ascii="Garamond" w:eastAsia="Calibri" w:hAnsi="Garamond"/>
          <w:sz w:val="22"/>
          <w:szCs w:val="22"/>
        </w:rPr>
        <w:t>3.4</w:t>
      </w:r>
      <w:r w:rsidRPr="00441A9C">
        <w:rPr>
          <w:rFonts w:ascii="Garamond" w:eastAsia="Calibri" w:hAnsi="Garamond"/>
          <w:sz w:val="22"/>
          <w:szCs w:val="22"/>
        </w:rPr>
        <w:t>%</w:t>
      </w:r>
      <w:r w:rsidR="00081D87" w:rsidRPr="00441A9C">
        <w:rPr>
          <w:rFonts w:ascii="Garamond" w:eastAsia="Calibri" w:hAnsi="Garamond"/>
          <w:sz w:val="22"/>
          <w:szCs w:val="22"/>
        </w:rPr>
        <w:t xml:space="preserve"> - consistent with the Central Bank</w:t>
      </w:r>
      <w:r w:rsidR="003E77EF">
        <w:rPr>
          <w:rFonts w:ascii="Garamond" w:eastAsia="Calibri" w:hAnsi="Garamond"/>
          <w:sz w:val="22"/>
          <w:szCs w:val="22"/>
        </w:rPr>
        <w:t xml:space="preserve"> previous</w:t>
      </w:r>
      <w:r w:rsidR="00081D87" w:rsidRPr="00441A9C">
        <w:rPr>
          <w:rFonts w:ascii="Garamond" w:eastAsia="Calibri" w:hAnsi="Garamond"/>
          <w:sz w:val="22"/>
          <w:szCs w:val="22"/>
        </w:rPr>
        <w:t xml:space="preserve"> forecasts. In the same period of time</w:t>
      </w:r>
      <w:r w:rsidRPr="00441A9C">
        <w:rPr>
          <w:rFonts w:ascii="Garamond" w:eastAsia="Calibri" w:hAnsi="Garamond"/>
          <w:sz w:val="22"/>
          <w:szCs w:val="22"/>
        </w:rPr>
        <w:t xml:space="preserve"> </w:t>
      </w:r>
      <w:r w:rsidR="00081D87" w:rsidRPr="00441A9C">
        <w:rPr>
          <w:rFonts w:ascii="Garamond" w:eastAsia="Calibri" w:hAnsi="Garamond"/>
          <w:sz w:val="22"/>
          <w:szCs w:val="22"/>
        </w:rPr>
        <w:t xml:space="preserve">the nominal </w:t>
      </w:r>
      <w:r w:rsidR="003E77EF">
        <w:rPr>
          <w:rFonts w:ascii="Garamond" w:eastAsia="Calibri" w:hAnsi="Garamond"/>
          <w:sz w:val="22"/>
          <w:szCs w:val="22"/>
        </w:rPr>
        <w:t>wage</w:t>
      </w:r>
      <w:r w:rsidR="003E77EF" w:rsidRPr="00441A9C">
        <w:rPr>
          <w:rFonts w:ascii="Garamond" w:eastAsia="Calibri" w:hAnsi="Garamond"/>
          <w:sz w:val="22"/>
          <w:szCs w:val="22"/>
        </w:rPr>
        <w:t xml:space="preserve"> </w:t>
      </w:r>
      <w:r w:rsidR="00081D87" w:rsidRPr="00441A9C">
        <w:rPr>
          <w:rFonts w:ascii="Garamond" w:eastAsia="Calibri" w:hAnsi="Garamond"/>
          <w:sz w:val="22"/>
          <w:szCs w:val="22"/>
        </w:rPr>
        <w:t xml:space="preserve">growth in the </w:t>
      </w:r>
      <w:r w:rsidR="00081D87" w:rsidRPr="00441A9C">
        <w:rPr>
          <w:rFonts w:ascii="Garamond" w:eastAsia="Calibri" w:hAnsi="Garamond"/>
          <w:b/>
          <w:sz w:val="22"/>
          <w:szCs w:val="22"/>
        </w:rPr>
        <w:t>public sector</w:t>
      </w:r>
      <w:r w:rsidR="00081D87" w:rsidRPr="00441A9C">
        <w:rPr>
          <w:rFonts w:ascii="Garamond" w:eastAsia="Calibri" w:hAnsi="Garamond"/>
          <w:sz w:val="22"/>
          <w:szCs w:val="22"/>
        </w:rPr>
        <w:t xml:space="preserve"> has </w:t>
      </w:r>
      <w:r w:rsidR="00AF7E21" w:rsidRPr="00441A9C">
        <w:rPr>
          <w:rFonts w:ascii="Garamond" w:eastAsia="Calibri" w:hAnsi="Garamond"/>
          <w:sz w:val="22"/>
          <w:szCs w:val="22"/>
        </w:rPr>
        <w:t xml:space="preserve">trended </w:t>
      </w:r>
      <w:r w:rsidR="00081D87" w:rsidRPr="00441A9C">
        <w:rPr>
          <w:rFonts w:ascii="Garamond" w:eastAsia="Calibri" w:hAnsi="Garamond"/>
          <w:sz w:val="22"/>
          <w:szCs w:val="22"/>
        </w:rPr>
        <w:t xml:space="preserve">more positively compared to </w:t>
      </w:r>
      <w:r w:rsidR="00AF7E21" w:rsidRPr="00441A9C">
        <w:rPr>
          <w:rFonts w:ascii="Garamond" w:eastAsia="Calibri" w:hAnsi="Garamond"/>
          <w:sz w:val="22"/>
          <w:szCs w:val="22"/>
        </w:rPr>
        <w:t xml:space="preserve">the Central Bank </w:t>
      </w:r>
      <w:r w:rsidR="00081D87" w:rsidRPr="00441A9C">
        <w:rPr>
          <w:rFonts w:ascii="Garamond" w:eastAsia="Calibri" w:hAnsi="Garamond"/>
          <w:sz w:val="22"/>
          <w:szCs w:val="22"/>
        </w:rPr>
        <w:t>expectations</w:t>
      </w:r>
      <w:r w:rsidR="00AF7E21" w:rsidRPr="00441A9C">
        <w:rPr>
          <w:rFonts w:ascii="Garamond" w:eastAsia="Calibri" w:hAnsi="Garamond"/>
          <w:sz w:val="22"/>
          <w:szCs w:val="22"/>
        </w:rPr>
        <w:t>,</w:t>
      </w:r>
      <w:r w:rsidR="00081D87" w:rsidRPr="00441A9C">
        <w:rPr>
          <w:rFonts w:ascii="Garamond" w:eastAsia="Calibri" w:hAnsi="Garamond"/>
          <w:sz w:val="22"/>
          <w:szCs w:val="22"/>
        </w:rPr>
        <w:t xml:space="preserve"> </w:t>
      </w:r>
      <w:r w:rsidR="00AF7E21" w:rsidRPr="00441A9C">
        <w:rPr>
          <w:rFonts w:ascii="Garamond" w:eastAsia="Calibri" w:hAnsi="Garamond"/>
          <w:sz w:val="22"/>
          <w:szCs w:val="22"/>
        </w:rPr>
        <w:t xml:space="preserve">amounting to </w:t>
      </w:r>
      <w:r w:rsidR="00081D87" w:rsidRPr="00441A9C">
        <w:rPr>
          <w:rFonts w:ascii="Garamond" w:eastAsia="Calibri" w:hAnsi="Garamond"/>
          <w:sz w:val="22"/>
          <w:szCs w:val="22"/>
        </w:rPr>
        <w:t>0.4% instead of the projected 1.5% decrease.</w:t>
      </w:r>
      <w:r w:rsidR="00AF7E21" w:rsidRPr="00441A9C">
        <w:rPr>
          <w:rFonts w:ascii="Garamond" w:eastAsia="Calibri" w:hAnsi="Garamond"/>
          <w:sz w:val="22"/>
          <w:szCs w:val="22"/>
        </w:rPr>
        <w:t xml:space="preserve"> </w:t>
      </w:r>
    </w:p>
    <w:p w14:paraId="5DEE525E" w14:textId="77777777" w:rsidR="00AF7E21" w:rsidRPr="00441A9C" w:rsidRDefault="00AF7E21" w:rsidP="0006101A">
      <w:pPr>
        <w:spacing w:line="360" w:lineRule="auto"/>
        <w:jc w:val="both"/>
        <w:rPr>
          <w:rFonts w:ascii="Garamond" w:eastAsia="Calibri" w:hAnsi="Garamond"/>
          <w:sz w:val="22"/>
          <w:szCs w:val="22"/>
        </w:rPr>
      </w:pPr>
    </w:p>
    <w:p w14:paraId="1ADAD9D6" w14:textId="77777777" w:rsidR="00C15113" w:rsidRPr="00441A9C" w:rsidRDefault="00AF7E21" w:rsidP="0006101A">
      <w:pPr>
        <w:spacing w:line="360" w:lineRule="auto"/>
        <w:jc w:val="both"/>
        <w:rPr>
          <w:rFonts w:ascii="Garamond" w:eastAsia="Calibri" w:hAnsi="Garamond"/>
          <w:sz w:val="22"/>
          <w:szCs w:val="22"/>
        </w:rPr>
      </w:pPr>
      <w:r w:rsidRPr="00441A9C">
        <w:rPr>
          <w:rFonts w:ascii="Garamond" w:eastAsia="Calibri" w:hAnsi="Garamond"/>
          <w:sz w:val="22"/>
          <w:szCs w:val="22"/>
        </w:rPr>
        <w:t xml:space="preserve">As a result, in the second quarter of 2017 the </w:t>
      </w:r>
      <w:r w:rsidRPr="00441A9C">
        <w:rPr>
          <w:rFonts w:ascii="Garamond" w:eastAsia="Calibri" w:hAnsi="Garamond"/>
          <w:b/>
          <w:sz w:val="22"/>
          <w:szCs w:val="22"/>
        </w:rPr>
        <w:t>average nominal wage growth rate</w:t>
      </w:r>
      <w:r w:rsidRPr="00441A9C">
        <w:rPr>
          <w:rFonts w:ascii="Garamond" w:eastAsia="Calibri" w:hAnsi="Garamond"/>
          <w:sz w:val="22"/>
          <w:szCs w:val="22"/>
        </w:rPr>
        <w:t xml:space="preserve"> has run higher than the previous forecasts of the Central Bank, amounting to 2.8%.</w:t>
      </w:r>
      <w:r w:rsidR="00C15113" w:rsidRPr="00441A9C">
        <w:rPr>
          <w:rFonts w:ascii="Garamond" w:eastAsia="Calibri" w:hAnsi="Garamond"/>
          <w:sz w:val="22"/>
          <w:szCs w:val="22"/>
        </w:rPr>
        <w:t xml:space="preserve"> </w:t>
      </w:r>
    </w:p>
    <w:p w14:paraId="58E3999E" w14:textId="77777777" w:rsidR="00C15113" w:rsidRPr="00441A9C" w:rsidRDefault="00C15113" w:rsidP="0006101A">
      <w:pPr>
        <w:spacing w:line="360" w:lineRule="auto"/>
        <w:jc w:val="both"/>
        <w:rPr>
          <w:rFonts w:ascii="Garamond" w:eastAsia="Calibri" w:hAnsi="Garamond"/>
          <w:sz w:val="22"/>
          <w:szCs w:val="22"/>
        </w:rPr>
      </w:pPr>
    </w:p>
    <w:p w14:paraId="2E89290D" w14:textId="77777777" w:rsidR="000D74DD" w:rsidRPr="00441A9C" w:rsidRDefault="00AF7E21" w:rsidP="001C28A9">
      <w:pPr>
        <w:spacing w:line="360" w:lineRule="auto"/>
        <w:jc w:val="both"/>
        <w:rPr>
          <w:rFonts w:ascii="Garamond" w:eastAsia="Calibri" w:hAnsi="Garamond"/>
          <w:sz w:val="22"/>
          <w:szCs w:val="22"/>
        </w:rPr>
      </w:pPr>
      <w:r w:rsidRPr="00441A9C">
        <w:rPr>
          <w:rFonts w:ascii="Garamond" w:eastAsia="Calibri" w:hAnsi="Garamond"/>
          <w:sz w:val="22"/>
          <w:szCs w:val="22"/>
        </w:rPr>
        <w:t>I</w:t>
      </w:r>
      <w:r w:rsidR="00903FB2" w:rsidRPr="00441A9C">
        <w:rPr>
          <w:rFonts w:ascii="Garamond" w:eastAsia="Calibri" w:hAnsi="Garamond"/>
          <w:sz w:val="22"/>
          <w:szCs w:val="22"/>
        </w:rPr>
        <w:t xml:space="preserve">n </w:t>
      </w:r>
      <w:r w:rsidR="002B0816" w:rsidRPr="00441A9C">
        <w:rPr>
          <w:rFonts w:ascii="Garamond" w:eastAsia="Calibri" w:hAnsi="Garamond"/>
          <w:sz w:val="22"/>
          <w:szCs w:val="22"/>
        </w:rPr>
        <w:t xml:space="preserve">the </w:t>
      </w:r>
      <w:r w:rsidRPr="00441A9C">
        <w:rPr>
          <w:rFonts w:ascii="Garamond" w:eastAsia="Calibri" w:hAnsi="Garamond"/>
          <w:sz w:val="22"/>
          <w:szCs w:val="22"/>
        </w:rPr>
        <w:t>second</w:t>
      </w:r>
      <w:r w:rsidR="002B0816" w:rsidRPr="00441A9C">
        <w:rPr>
          <w:rFonts w:ascii="Garamond" w:eastAsia="Calibri" w:hAnsi="Garamond"/>
          <w:sz w:val="22"/>
          <w:szCs w:val="22"/>
        </w:rPr>
        <w:t xml:space="preserve"> quarter of 2017 </w:t>
      </w:r>
      <w:r w:rsidRPr="00441A9C">
        <w:rPr>
          <w:rFonts w:ascii="Garamond" w:eastAsia="Calibri" w:hAnsi="Garamond"/>
          <w:sz w:val="22"/>
          <w:szCs w:val="22"/>
        </w:rPr>
        <w:t>the</w:t>
      </w:r>
      <w:r w:rsidR="007C65D9" w:rsidRPr="00441A9C">
        <w:rPr>
          <w:rFonts w:ascii="Garamond" w:eastAsia="Calibri" w:hAnsi="Garamond"/>
          <w:sz w:val="22"/>
          <w:szCs w:val="22"/>
        </w:rPr>
        <w:t xml:space="preserve"> </w:t>
      </w:r>
      <w:r w:rsidR="007C65D9" w:rsidRPr="00441A9C">
        <w:rPr>
          <w:rFonts w:ascii="Garamond" w:eastAsia="Calibri" w:hAnsi="Garamond"/>
          <w:b/>
          <w:sz w:val="22"/>
          <w:szCs w:val="22"/>
        </w:rPr>
        <w:t>unemployment rate</w:t>
      </w:r>
      <w:r w:rsidR="007C65D9" w:rsidRPr="00441A9C">
        <w:rPr>
          <w:rFonts w:ascii="Garamond" w:eastAsia="Calibri" w:hAnsi="Garamond"/>
          <w:sz w:val="22"/>
          <w:szCs w:val="22"/>
        </w:rPr>
        <w:t xml:space="preserve"> </w:t>
      </w:r>
      <w:r w:rsidR="002B0816" w:rsidRPr="00441A9C">
        <w:rPr>
          <w:rFonts w:ascii="Garamond" w:eastAsia="Calibri" w:hAnsi="Garamond"/>
          <w:sz w:val="22"/>
          <w:szCs w:val="22"/>
        </w:rPr>
        <w:t>i</w:t>
      </w:r>
      <w:r w:rsidR="007C65D9" w:rsidRPr="00441A9C">
        <w:rPr>
          <w:rFonts w:ascii="Garamond" w:eastAsia="Calibri" w:hAnsi="Garamond"/>
          <w:sz w:val="22"/>
          <w:szCs w:val="22"/>
        </w:rPr>
        <w:t xml:space="preserve">s </w:t>
      </w:r>
      <w:r w:rsidR="002B0816" w:rsidRPr="00441A9C">
        <w:rPr>
          <w:rFonts w:ascii="Garamond" w:eastAsia="Calibri" w:hAnsi="Garamond"/>
          <w:sz w:val="22"/>
          <w:szCs w:val="22"/>
        </w:rPr>
        <w:t xml:space="preserve">an </w:t>
      </w:r>
      <w:r w:rsidR="007C65D9" w:rsidRPr="00441A9C">
        <w:rPr>
          <w:rFonts w:ascii="Garamond" w:eastAsia="Calibri" w:hAnsi="Garamond"/>
          <w:sz w:val="22"/>
          <w:szCs w:val="22"/>
        </w:rPr>
        <w:t>estimated 1</w:t>
      </w:r>
      <w:r w:rsidRPr="00441A9C">
        <w:rPr>
          <w:rFonts w:ascii="Garamond" w:eastAsia="Calibri" w:hAnsi="Garamond"/>
          <w:sz w:val="22"/>
          <w:szCs w:val="22"/>
        </w:rPr>
        <w:t>7</w:t>
      </w:r>
      <w:r w:rsidR="007C65D9" w:rsidRPr="00441A9C">
        <w:rPr>
          <w:rFonts w:ascii="Garamond" w:eastAsia="Calibri" w:hAnsi="Garamond"/>
          <w:sz w:val="22"/>
          <w:szCs w:val="22"/>
        </w:rPr>
        <w:t>.</w:t>
      </w:r>
      <w:r w:rsidRPr="00441A9C">
        <w:rPr>
          <w:rFonts w:ascii="Garamond" w:eastAsia="Calibri" w:hAnsi="Garamond"/>
          <w:sz w:val="22"/>
          <w:szCs w:val="22"/>
        </w:rPr>
        <w:t>9</w:t>
      </w:r>
      <w:r w:rsidR="007C65D9" w:rsidRPr="00441A9C">
        <w:rPr>
          <w:rFonts w:ascii="Garamond" w:eastAsia="Calibri" w:hAnsi="Garamond"/>
          <w:sz w:val="22"/>
          <w:szCs w:val="22"/>
        </w:rPr>
        <w:t xml:space="preserve">%, </w:t>
      </w:r>
      <w:r w:rsidRPr="00441A9C">
        <w:rPr>
          <w:rFonts w:ascii="Garamond" w:eastAsia="Calibri" w:hAnsi="Garamond"/>
          <w:sz w:val="22"/>
          <w:szCs w:val="22"/>
        </w:rPr>
        <w:t>which does not notably vary from previous predictions.</w:t>
      </w:r>
      <w:r w:rsidR="002B0816" w:rsidRPr="00441A9C">
        <w:rPr>
          <w:rFonts w:ascii="Garamond" w:eastAsia="Calibri" w:hAnsi="Garamond"/>
          <w:sz w:val="22"/>
          <w:szCs w:val="22"/>
        </w:rPr>
        <w:t xml:space="preserve"> In the </w:t>
      </w:r>
      <w:r w:rsidR="007E0AAE" w:rsidRPr="00441A9C">
        <w:rPr>
          <w:rFonts w:ascii="Garamond" w:eastAsia="Calibri" w:hAnsi="Garamond"/>
          <w:sz w:val="22"/>
          <w:szCs w:val="22"/>
        </w:rPr>
        <w:t>second</w:t>
      </w:r>
      <w:r w:rsidR="002B0816" w:rsidRPr="00441A9C">
        <w:rPr>
          <w:rFonts w:ascii="Garamond" w:eastAsia="Calibri" w:hAnsi="Garamond"/>
          <w:sz w:val="22"/>
          <w:szCs w:val="22"/>
        </w:rPr>
        <w:t xml:space="preserve"> quarter of 2017 </w:t>
      </w:r>
      <w:r w:rsidR="007E0AAE" w:rsidRPr="00441A9C">
        <w:rPr>
          <w:rFonts w:ascii="Garamond" w:eastAsia="Calibri" w:hAnsi="Garamond"/>
          <w:sz w:val="22"/>
          <w:szCs w:val="22"/>
        </w:rPr>
        <w:t xml:space="preserve">the productivity growth outpaced </w:t>
      </w:r>
      <w:r w:rsidR="002B0816" w:rsidRPr="00441A9C">
        <w:rPr>
          <w:rFonts w:ascii="Garamond" w:eastAsia="Calibri" w:hAnsi="Garamond"/>
          <w:sz w:val="22"/>
          <w:szCs w:val="22"/>
        </w:rPr>
        <w:t>the growth rate of wages</w:t>
      </w:r>
      <w:r w:rsidR="007E0AAE" w:rsidRPr="00441A9C">
        <w:rPr>
          <w:rFonts w:ascii="Garamond" w:eastAsia="Calibri" w:hAnsi="Garamond"/>
          <w:sz w:val="22"/>
          <w:szCs w:val="22"/>
        </w:rPr>
        <w:t xml:space="preserve"> thus diminishing the </w:t>
      </w:r>
      <w:r w:rsidR="002B0816" w:rsidRPr="00441A9C">
        <w:rPr>
          <w:rFonts w:ascii="Garamond" w:eastAsia="Calibri" w:hAnsi="Garamond"/>
          <w:sz w:val="22"/>
          <w:szCs w:val="22"/>
        </w:rPr>
        <w:t>inflationary effect</w:t>
      </w:r>
      <w:r w:rsidR="007E0AAE" w:rsidRPr="00441A9C">
        <w:rPr>
          <w:rFonts w:ascii="Garamond" w:eastAsia="Calibri" w:hAnsi="Garamond"/>
          <w:sz w:val="22"/>
          <w:szCs w:val="22"/>
        </w:rPr>
        <w:t>s</w:t>
      </w:r>
      <w:r w:rsidR="002B0816" w:rsidRPr="00441A9C">
        <w:rPr>
          <w:rFonts w:ascii="Garamond" w:eastAsia="Calibri" w:hAnsi="Garamond"/>
          <w:sz w:val="22"/>
          <w:szCs w:val="22"/>
        </w:rPr>
        <w:t xml:space="preserve"> in the consumer market</w:t>
      </w:r>
      <w:r w:rsidR="007E0AAE" w:rsidRPr="00441A9C">
        <w:rPr>
          <w:rFonts w:ascii="Garamond" w:eastAsia="Calibri" w:hAnsi="Garamond"/>
          <w:sz w:val="22"/>
          <w:szCs w:val="22"/>
        </w:rPr>
        <w:t xml:space="preserve"> by 0.1 pp.</w:t>
      </w:r>
      <w:r w:rsidR="002B0816" w:rsidRPr="00441A9C">
        <w:rPr>
          <w:rFonts w:ascii="Garamond" w:eastAsia="Calibri" w:hAnsi="Garamond"/>
          <w:sz w:val="22"/>
          <w:szCs w:val="22"/>
        </w:rPr>
        <w:t xml:space="preserve"> </w:t>
      </w:r>
      <w:r w:rsidR="007E0AAE" w:rsidRPr="00441A9C">
        <w:rPr>
          <w:rFonts w:ascii="Garamond" w:eastAsia="Calibri" w:hAnsi="Garamond"/>
          <w:sz w:val="22"/>
          <w:szCs w:val="22"/>
        </w:rPr>
        <w:t>As a result, the inflationary effects from the labor market is estimated to be within 0.1-0.2 pp.</w:t>
      </w:r>
    </w:p>
    <w:p w14:paraId="5EF8ABB7" w14:textId="77777777" w:rsidR="002B0816" w:rsidRPr="00441A9C" w:rsidRDefault="002B0816" w:rsidP="001C28A9">
      <w:pPr>
        <w:spacing w:line="360" w:lineRule="auto"/>
        <w:jc w:val="both"/>
        <w:rPr>
          <w:rFonts w:ascii="Garamond" w:hAnsi="Garamond" w:cs="Sylfaen"/>
          <w:sz w:val="22"/>
          <w:szCs w:val="22"/>
        </w:rPr>
      </w:pPr>
    </w:p>
    <w:p w14:paraId="04E07D13" w14:textId="77777777" w:rsidR="008D531F" w:rsidRPr="00441A9C" w:rsidRDefault="008D531F" w:rsidP="0006101A">
      <w:pPr>
        <w:spacing w:line="360" w:lineRule="auto"/>
        <w:jc w:val="both"/>
        <w:rPr>
          <w:rFonts w:ascii="Garamond" w:hAnsi="Garamond"/>
          <w:b/>
          <w:sz w:val="22"/>
          <w:szCs w:val="22"/>
        </w:rPr>
      </w:pPr>
      <w:r w:rsidRPr="00441A9C">
        <w:rPr>
          <w:rFonts w:ascii="Garamond" w:hAnsi="Garamond"/>
          <w:b/>
          <w:sz w:val="22"/>
          <w:szCs w:val="22"/>
        </w:rPr>
        <w:t>3.2.4. Fiscal policy</w:t>
      </w:r>
      <w:r w:rsidR="00545FCA" w:rsidRPr="00441A9C">
        <w:rPr>
          <w:rStyle w:val="FootnoteReference"/>
          <w:rFonts w:ascii="Garamond" w:hAnsi="Garamond"/>
          <w:b/>
          <w:sz w:val="22"/>
          <w:szCs w:val="22"/>
        </w:rPr>
        <w:footnoteReference w:customMarkFollows="1" w:id="17"/>
        <w:t>19</w:t>
      </w:r>
    </w:p>
    <w:p w14:paraId="332B0377" w14:textId="77777777" w:rsidR="008D531F" w:rsidRPr="00441A9C" w:rsidRDefault="008D531F" w:rsidP="0006101A">
      <w:pPr>
        <w:spacing w:line="360" w:lineRule="auto"/>
        <w:jc w:val="both"/>
        <w:rPr>
          <w:rFonts w:ascii="Garamond" w:hAnsi="Garamond"/>
          <w:sz w:val="22"/>
          <w:szCs w:val="22"/>
        </w:rPr>
      </w:pPr>
    </w:p>
    <w:p w14:paraId="1430C39A" w14:textId="77777777" w:rsidR="008D531F" w:rsidRPr="00441A9C" w:rsidRDefault="008D531F" w:rsidP="0006101A">
      <w:pPr>
        <w:spacing w:line="360" w:lineRule="auto"/>
        <w:jc w:val="both"/>
        <w:rPr>
          <w:rFonts w:ascii="Garamond" w:hAnsi="Garamond"/>
          <w:sz w:val="22"/>
          <w:szCs w:val="22"/>
        </w:rPr>
      </w:pPr>
      <w:r w:rsidRPr="00441A9C">
        <w:rPr>
          <w:rFonts w:ascii="Garamond" w:hAnsi="Garamond"/>
          <w:sz w:val="22"/>
          <w:szCs w:val="22"/>
        </w:rPr>
        <w:lastRenderedPageBreak/>
        <w:t xml:space="preserve">In the </w:t>
      </w:r>
      <w:r w:rsidR="008134CD" w:rsidRPr="00441A9C">
        <w:rPr>
          <w:rFonts w:ascii="Garamond" w:hAnsi="Garamond"/>
          <w:sz w:val="22"/>
          <w:szCs w:val="22"/>
        </w:rPr>
        <w:t>second</w:t>
      </w:r>
      <w:r w:rsidR="002C67ED" w:rsidRPr="00441A9C">
        <w:rPr>
          <w:rFonts w:ascii="Garamond" w:hAnsi="Garamond"/>
          <w:sz w:val="22"/>
          <w:szCs w:val="22"/>
        </w:rPr>
        <w:t xml:space="preserve"> </w:t>
      </w:r>
      <w:r w:rsidRPr="00441A9C">
        <w:rPr>
          <w:rFonts w:ascii="Garamond" w:hAnsi="Garamond"/>
          <w:sz w:val="22"/>
          <w:szCs w:val="22"/>
        </w:rPr>
        <w:t>quarter of 201</w:t>
      </w:r>
      <w:r w:rsidR="002C67ED" w:rsidRPr="00441A9C">
        <w:rPr>
          <w:rFonts w:ascii="Garamond" w:hAnsi="Garamond"/>
          <w:sz w:val="22"/>
          <w:szCs w:val="22"/>
        </w:rPr>
        <w:t>7</w:t>
      </w:r>
      <w:r w:rsidRPr="00441A9C">
        <w:rPr>
          <w:rFonts w:ascii="Garamond" w:hAnsi="Garamond"/>
          <w:sz w:val="22"/>
          <w:szCs w:val="22"/>
        </w:rPr>
        <w:t xml:space="preserve"> the </w:t>
      </w:r>
      <w:r w:rsidR="00201FF4" w:rsidRPr="00441A9C">
        <w:rPr>
          <w:rFonts w:ascii="Garamond" w:hAnsi="Garamond"/>
          <w:sz w:val="22"/>
          <w:szCs w:val="22"/>
        </w:rPr>
        <w:t>S</w:t>
      </w:r>
      <w:r w:rsidRPr="00441A9C">
        <w:rPr>
          <w:rFonts w:ascii="Garamond" w:hAnsi="Garamond"/>
          <w:sz w:val="22"/>
          <w:szCs w:val="22"/>
        </w:rPr>
        <w:t xml:space="preserve">tate </w:t>
      </w:r>
      <w:r w:rsidR="00201FF4" w:rsidRPr="00441A9C">
        <w:rPr>
          <w:rFonts w:ascii="Garamond" w:hAnsi="Garamond"/>
          <w:sz w:val="22"/>
          <w:szCs w:val="22"/>
        </w:rPr>
        <w:t>B</w:t>
      </w:r>
      <w:r w:rsidRPr="00441A9C">
        <w:rPr>
          <w:rFonts w:ascii="Garamond" w:hAnsi="Garamond"/>
          <w:sz w:val="22"/>
          <w:szCs w:val="22"/>
        </w:rPr>
        <w:t xml:space="preserve">udget </w:t>
      </w:r>
      <w:r w:rsidR="001A443C" w:rsidRPr="00441A9C">
        <w:rPr>
          <w:rFonts w:ascii="Garamond" w:hAnsi="Garamond"/>
          <w:sz w:val="22"/>
          <w:szCs w:val="22"/>
        </w:rPr>
        <w:t xml:space="preserve">was performed with </w:t>
      </w:r>
      <w:r w:rsidR="008134CD" w:rsidRPr="00441A9C">
        <w:rPr>
          <w:rFonts w:ascii="Garamond" w:hAnsi="Garamond"/>
          <w:sz w:val="22"/>
          <w:szCs w:val="22"/>
        </w:rPr>
        <w:t xml:space="preserve">expenditures running below and </w:t>
      </w:r>
      <w:r w:rsidR="001A443C" w:rsidRPr="00441A9C">
        <w:rPr>
          <w:rFonts w:ascii="Garamond" w:hAnsi="Garamond"/>
          <w:sz w:val="22"/>
          <w:szCs w:val="22"/>
        </w:rPr>
        <w:t xml:space="preserve">revenues </w:t>
      </w:r>
      <w:r w:rsidR="008134CD" w:rsidRPr="00441A9C">
        <w:rPr>
          <w:rFonts w:ascii="Garamond" w:hAnsi="Garamond"/>
          <w:sz w:val="22"/>
          <w:szCs w:val="22"/>
        </w:rPr>
        <w:t xml:space="preserve">collected </w:t>
      </w:r>
      <w:r w:rsidR="00A904A4" w:rsidRPr="00441A9C">
        <w:rPr>
          <w:rFonts w:ascii="Garamond" w:hAnsi="Garamond"/>
          <w:sz w:val="22"/>
          <w:szCs w:val="22"/>
        </w:rPr>
        <w:t xml:space="preserve">almost </w:t>
      </w:r>
      <w:r w:rsidR="008134CD" w:rsidRPr="00441A9C">
        <w:rPr>
          <w:rFonts w:ascii="Garamond" w:hAnsi="Garamond"/>
          <w:sz w:val="22"/>
          <w:szCs w:val="22"/>
        </w:rPr>
        <w:t>in line with the Central Bank projections</w:t>
      </w:r>
      <w:r w:rsidR="008134CD" w:rsidRPr="00441A9C">
        <w:rPr>
          <w:rStyle w:val="FootnoteReference"/>
          <w:rFonts w:ascii="Garamond" w:hAnsi="Garamond"/>
          <w:sz w:val="22"/>
          <w:szCs w:val="22"/>
        </w:rPr>
        <w:footnoteReference w:customMarkFollows="1" w:id="18"/>
        <w:t>20</w:t>
      </w:r>
      <w:r w:rsidR="008134CD" w:rsidRPr="00441A9C">
        <w:rPr>
          <w:rFonts w:ascii="Garamond" w:hAnsi="Garamond"/>
          <w:sz w:val="22"/>
          <w:szCs w:val="22"/>
        </w:rPr>
        <w:t xml:space="preserve">. </w:t>
      </w:r>
      <w:r w:rsidR="009404F7" w:rsidRPr="00441A9C">
        <w:rPr>
          <w:rFonts w:ascii="Garamond" w:hAnsi="Garamond"/>
          <w:sz w:val="22"/>
          <w:szCs w:val="22"/>
        </w:rPr>
        <w:t>T</w:t>
      </w:r>
      <w:r w:rsidR="00166A0A" w:rsidRPr="00441A9C">
        <w:rPr>
          <w:rFonts w:ascii="Garamond" w:hAnsi="Garamond"/>
          <w:sz w:val="22"/>
          <w:szCs w:val="22"/>
        </w:rPr>
        <w:t xml:space="preserve">he fiscal sector’s </w:t>
      </w:r>
      <w:r w:rsidR="00A904A4" w:rsidRPr="00441A9C">
        <w:rPr>
          <w:rFonts w:ascii="Garamond" w:hAnsi="Garamond"/>
          <w:sz w:val="22"/>
          <w:szCs w:val="22"/>
        </w:rPr>
        <w:t xml:space="preserve">estimated </w:t>
      </w:r>
      <w:r w:rsidR="00166A0A" w:rsidRPr="00441A9C">
        <w:rPr>
          <w:rFonts w:ascii="Garamond" w:hAnsi="Garamond"/>
          <w:sz w:val="22"/>
          <w:szCs w:val="22"/>
        </w:rPr>
        <w:t xml:space="preserve">impact </w:t>
      </w:r>
      <w:r w:rsidRPr="00441A9C">
        <w:rPr>
          <w:rFonts w:ascii="Garamond" w:hAnsi="Garamond"/>
          <w:sz w:val="22"/>
          <w:szCs w:val="22"/>
        </w:rPr>
        <w:t>on aggregate demand</w:t>
      </w:r>
      <w:r w:rsidR="00166A0A" w:rsidRPr="00441A9C">
        <w:rPr>
          <w:rFonts w:ascii="Garamond" w:hAnsi="Garamond"/>
          <w:sz w:val="22"/>
          <w:szCs w:val="22"/>
        </w:rPr>
        <w:t xml:space="preserve"> </w:t>
      </w:r>
      <w:r w:rsidR="00A904A4" w:rsidRPr="00441A9C">
        <w:rPr>
          <w:rFonts w:ascii="Garamond" w:hAnsi="Garamond"/>
          <w:sz w:val="22"/>
          <w:szCs w:val="22"/>
        </w:rPr>
        <w:t>was</w:t>
      </w:r>
      <w:r w:rsidR="001151D0" w:rsidRPr="00441A9C">
        <w:rPr>
          <w:rFonts w:ascii="Garamond" w:hAnsi="Garamond"/>
          <w:sz w:val="22"/>
          <w:szCs w:val="22"/>
        </w:rPr>
        <w:t xml:space="preserve"> </w:t>
      </w:r>
      <w:r w:rsidR="00A904A4" w:rsidRPr="00441A9C">
        <w:rPr>
          <w:rFonts w:ascii="Garamond" w:hAnsi="Garamond"/>
          <w:sz w:val="22"/>
          <w:szCs w:val="22"/>
        </w:rPr>
        <w:t>5</w:t>
      </w:r>
      <w:r w:rsidR="00166A0A" w:rsidRPr="00441A9C">
        <w:rPr>
          <w:rFonts w:ascii="Garamond" w:hAnsi="Garamond"/>
          <w:sz w:val="22"/>
          <w:szCs w:val="22"/>
        </w:rPr>
        <w:t>.</w:t>
      </w:r>
      <w:r w:rsidR="002C67ED" w:rsidRPr="00441A9C">
        <w:rPr>
          <w:rFonts w:ascii="Garamond" w:hAnsi="Garamond"/>
          <w:sz w:val="22"/>
          <w:szCs w:val="22"/>
        </w:rPr>
        <w:t>0</w:t>
      </w:r>
      <w:r w:rsidR="00166A0A" w:rsidRPr="00441A9C">
        <w:rPr>
          <w:rFonts w:ascii="Garamond" w:hAnsi="Garamond"/>
          <w:sz w:val="22"/>
          <w:szCs w:val="22"/>
        </w:rPr>
        <w:t xml:space="preserve"> </w:t>
      </w:r>
      <w:r w:rsidR="009404F7" w:rsidRPr="00441A9C">
        <w:rPr>
          <w:rFonts w:ascii="Garamond" w:hAnsi="Garamond"/>
          <w:sz w:val="22"/>
          <w:szCs w:val="22"/>
        </w:rPr>
        <w:t xml:space="preserve">contractionary for the quarter, which </w:t>
      </w:r>
      <w:r w:rsidR="00A904A4" w:rsidRPr="00441A9C">
        <w:rPr>
          <w:rFonts w:ascii="Garamond" w:hAnsi="Garamond"/>
          <w:sz w:val="22"/>
          <w:szCs w:val="22"/>
        </w:rPr>
        <w:t>exceed</w:t>
      </w:r>
      <w:r w:rsidR="009404F7" w:rsidRPr="00441A9C">
        <w:rPr>
          <w:rFonts w:ascii="Garamond" w:hAnsi="Garamond"/>
          <w:sz w:val="22"/>
          <w:szCs w:val="22"/>
        </w:rPr>
        <w:t xml:space="preserve">s </w:t>
      </w:r>
      <w:r w:rsidR="00A904A4" w:rsidRPr="00441A9C">
        <w:rPr>
          <w:rFonts w:ascii="Garamond" w:hAnsi="Garamond"/>
          <w:sz w:val="22"/>
          <w:szCs w:val="22"/>
        </w:rPr>
        <w:t>the value of 4.1 projected for the second</w:t>
      </w:r>
      <w:r w:rsidR="002C67ED" w:rsidRPr="00441A9C">
        <w:rPr>
          <w:rFonts w:ascii="Garamond" w:hAnsi="Garamond"/>
          <w:sz w:val="22"/>
          <w:szCs w:val="22"/>
        </w:rPr>
        <w:t xml:space="preserve"> </w:t>
      </w:r>
      <w:r w:rsidR="009404F7" w:rsidRPr="00441A9C">
        <w:rPr>
          <w:rFonts w:ascii="Garamond" w:hAnsi="Garamond"/>
          <w:sz w:val="22"/>
          <w:szCs w:val="22"/>
        </w:rPr>
        <w:t>quarter</w:t>
      </w:r>
      <w:r w:rsidR="009F3866" w:rsidRPr="00441A9C">
        <w:rPr>
          <w:rFonts w:ascii="Garamond" w:hAnsi="Garamond"/>
          <w:sz w:val="22"/>
          <w:szCs w:val="22"/>
        </w:rPr>
        <w:t xml:space="preserve">. </w:t>
      </w:r>
      <w:r w:rsidR="00A64499" w:rsidRPr="00441A9C">
        <w:rPr>
          <w:rFonts w:ascii="Garamond" w:hAnsi="Garamond"/>
          <w:sz w:val="22"/>
          <w:szCs w:val="22"/>
        </w:rPr>
        <w:t xml:space="preserve"> </w:t>
      </w:r>
    </w:p>
    <w:p w14:paraId="2DCC967B" w14:textId="77777777" w:rsidR="00251231" w:rsidRPr="00441A9C" w:rsidRDefault="00251231" w:rsidP="0006101A">
      <w:pPr>
        <w:spacing w:line="360" w:lineRule="auto"/>
        <w:jc w:val="both"/>
        <w:rPr>
          <w:rFonts w:ascii="Garamond" w:hAnsi="Garamond"/>
          <w:sz w:val="22"/>
          <w:szCs w:val="22"/>
        </w:rPr>
      </w:pPr>
    </w:p>
    <w:p w14:paraId="1CB5B49E" w14:textId="77777777" w:rsidR="003F44C4" w:rsidRPr="00441A9C" w:rsidRDefault="00F90453" w:rsidP="003F44C4">
      <w:pPr>
        <w:spacing w:line="360" w:lineRule="auto"/>
        <w:jc w:val="both"/>
        <w:rPr>
          <w:rFonts w:ascii="Garamond" w:hAnsi="Garamond"/>
          <w:sz w:val="22"/>
          <w:szCs w:val="22"/>
        </w:rPr>
      </w:pPr>
      <w:r w:rsidRPr="00441A9C">
        <w:rPr>
          <w:rFonts w:ascii="Garamond" w:hAnsi="Garamond" w:cs="Sylfaen"/>
          <w:bCs/>
          <w:iCs/>
          <w:sz w:val="22"/>
          <w:szCs w:val="22"/>
        </w:rPr>
        <w:t xml:space="preserve">In the </w:t>
      </w:r>
      <w:r w:rsidR="00A904A4" w:rsidRPr="00441A9C">
        <w:rPr>
          <w:rFonts w:ascii="Garamond" w:hAnsi="Garamond" w:cs="Sylfaen"/>
          <w:bCs/>
          <w:iCs/>
          <w:sz w:val="22"/>
          <w:szCs w:val="22"/>
        </w:rPr>
        <w:t>second</w:t>
      </w:r>
      <w:r w:rsidR="002C67ED" w:rsidRPr="00441A9C">
        <w:rPr>
          <w:rFonts w:ascii="Garamond" w:hAnsi="Garamond" w:cs="Sylfaen"/>
          <w:bCs/>
          <w:iCs/>
          <w:sz w:val="22"/>
          <w:szCs w:val="22"/>
        </w:rPr>
        <w:t xml:space="preserve"> </w:t>
      </w:r>
      <w:r w:rsidRPr="00441A9C">
        <w:rPr>
          <w:rFonts w:ascii="Garamond" w:hAnsi="Garamond" w:cs="Sylfaen"/>
          <w:bCs/>
          <w:iCs/>
          <w:sz w:val="22"/>
          <w:szCs w:val="22"/>
        </w:rPr>
        <w:t>quarter of 201</w:t>
      </w:r>
      <w:r w:rsidR="002C67ED" w:rsidRPr="00441A9C">
        <w:rPr>
          <w:rFonts w:ascii="Garamond" w:hAnsi="Garamond" w:cs="Sylfaen"/>
          <w:bCs/>
          <w:iCs/>
          <w:sz w:val="22"/>
          <w:szCs w:val="22"/>
        </w:rPr>
        <w:t xml:space="preserve">7 </w:t>
      </w:r>
      <w:r w:rsidRPr="00441A9C">
        <w:rPr>
          <w:rFonts w:ascii="Garamond" w:hAnsi="Garamond"/>
          <w:sz w:val="22"/>
          <w:szCs w:val="22"/>
        </w:rPr>
        <w:t xml:space="preserve">consolidated budget </w:t>
      </w:r>
      <w:r w:rsidR="00A904A4" w:rsidRPr="00441A9C">
        <w:rPr>
          <w:rFonts w:ascii="Garamond" w:hAnsi="Garamond"/>
          <w:sz w:val="22"/>
          <w:szCs w:val="22"/>
        </w:rPr>
        <w:t>generated 0</w:t>
      </w:r>
      <w:r w:rsidR="009F3866" w:rsidRPr="00441A9C">
        <w:rPr>
          <w:rFonts w:ascii="Garamond" w:hAnsi="Garamond"/>
          <w:sz w:val="22"/>
          <w:szCs w:val="22"/>
        </w:rPr>
        <w:t>.</w:t>
      </w:r>
      <w:r w:rsidR="00A904A4" w:rsidRPr="00441A9C">
        <w:rPr>
          <w:rFonts w:ascii="Garamond" w:hAnsi="Garamond"/>
          <w:sz w:val="22"/>
          <w:szCs w:val="22"/>
        </w:rPr>
        <w:t>3</w:t>
      </w:r>
      <w:r w:rsidRPr="00441A9C">
        <w:rPr>
          <w:rFonts w:ascii="Garamond" w:hAnsi="Garamond"/>
          <w:sz w:val="22"/>
          <w:szCs w:val="22"/>
        </w:rPr>
        <w:t>%</w:t>
      </w:r>
      <w:r w:rsidR="002C67ED" w:rsidRPr="00441A9C">
        <w:rPr>
          <w:rFonts w:ascii="Garamond" w:hAnsi="Garamond"/>
          <w:sz w:val="22"/>
          <w:szCs w:val="22"/>
        </w:rPr>
        <w:t xml:space="preserve"> </w:t>
      </w:r>
      <w:r w:rsidR="00A904A4" w:rsidRPr="00441A9C">
        <w:rPr>
          <w:rFonts w:ascii="Garamond" w:hAnsi="Garamond"/>
          <w:sz w:val="22"/>
          <w:szCs w:val="22"/>
        </w:rPr>
        <w:t xml:space="preserve">more revenues </w:t>
      </w:r>
      <w:r w:rsidR="002C67ED" w:rsidRPr="00441A9C">
        <w:rPr>
          <w:rFonts w:ascii="Garamond" w:hAnsi="Garamond"/>
          <w:sz w:val="22"/>
          <w:szCs w:val="22"/>
        </w:rPr>
        <w:t>against the projection</w:t>
      </w:r>
      <w:r w:rsidR="00A904A4" w:rsidRPr="00441A9C">
        <w:rPr>
          <w:rFonts w:ascii="Garamond" w:hAnsi="Garamond"/>
          <w:sz w:val="22"/>
          <w:szCs w:val="22"/>
        </w:rPr>
        <w:t>.</w:t>
      </w:r>
      <w:r w:rsidR="002C67ED" w:rsidRPr="00441A9C">
        <w:rPr>
          <w:rFonts w:ascii="Garamond" w:hAnsi="Garamond"/>
          <w:sz w:val="22"/>
          <w:szCs w:val="22"/>
        </w:rPr>
        <w:t xml:space="preserve"> As a result, t</w:t>
      </w:r>
      <w:r w:rsidR="003F44C4" w:rsidRPr="00441A9C">
        <w:rPr>
          <w:rFonts w:ascii="Garamond" w:hAnsi="Garamond"/>
          <w:sz w:val="22"/>
          <w:szCs w:val="22"/>
        </w:rPr>
        <w:t xml:space="preserve">he revenues impulse </w:t>
      </w:r>
      <w:r w:rsidR="002C67ED" w:rsidRPr="00441A9C">
        <w:rPr>
          <w:rFonts w:ascii="Garamond" w:hAnsi="Garamond"/>
          <w:sz w:val="22"/>
          <w:szCs w:val="22"/>
        </w:rPr>
        <w:t xml:space="preserve">reached </w:t>
      </w:r>
      <w:r w:rsidR="00A904A4" w:rsidRPr="00441A9C">
        <w:rPr>
          <w:rFonts w:ascii="Garamond" w:hAnsi="Garamond"/>
          <w:sz w:val="22"/>
          <w:szCs w:val="22"/>
        </w:rPr>
        <w:t>0</w:t>
      </w:r>
      <w:r w:rsidR="002C67ED" w:rsidRPr="00441A9C">
        <w:rPr>
          <w:rFonts w:ascii="Garamond" w:hAnsi="Garamond"/>
          <w:sz w:val="22"/>
          <w:szCs w:val="22"/>
        </w:rPr>
        <w:t>.</w:t>
      </w:r>
      <w:r w:rsidR="00A904A4" w:rsidRPr="00441A9C">
        <w:rPr>
          <w:rFonts w:ascii="Garamond" w:hAnsi="Garamond"/>
          <w:sz w:val="22"/>
          <w:szCs w:val="22"/>
        </w:rPr>
        <w:t>2</w:t>
      </w:r>
      <w:r w:rsidR="003F44C4" w:rsidRPr="00441A9C">
        <w:rPr>
          <w:rFonts w:ascii="Garamond" w:hAnsi="Garamond"/>
          <w:sz w:val="22"/>
          <w:szCs w:val="22"/>
        </w:rPr>
        <w:t xml:space="preserve"> </w:t>
      </w:r>
      <w:r w:rsidR="00A904A4" w:rsidRPr="00441A9C">
        <w:rPr>
          <w:rFonts w:ascii="Garamond" w:hAnsi="Garamond"/>
          <w:sz w:val="22"/>
          <w:szCs w:val="22"/>
        </w:rPr>
        <w:t>expansionary, commensurate with the</w:t>
      </w:r>
      <w:r w:rsidR="003F44C4" w:rsidRPr="00441A9C">
        <w:rPr>
          <w:rFonts w:ascii="Garamond" w:hAnsi="Garamond"/>
          <w:sz w:val="22"/>
          <w:szCs w:val="22"/>
        </w:rPr>
        <w:t xml:space="preserve"> project</w:t>
      </w:r>
      <w:r w:rsidR="00A904A4" w:rsidRPr="00441A9C">
        <w:rPr>
          <w:rFonts w:ascii="Garamond" w:hAnsi="Garamond"/>
          <w:sz w:val="22"/>
          <w:szCs w:val="22"/>
        </w:rPr>
        <w:t>ion</w:t>
      </w:r>
      <w:r w:rsidR="002C67ED" w:rsidRPr="00441A9C">
        <w:rPr>
          <w:rFonts w:ascii="Garamond" w:hAnsi="Garamond"/>
          <w:sz w:val="22"/>
          <w:szCs w:val="22"/>
        </w:rPr>
        <w:t xml:space="preserve">. </w:t>
      </w:r>
    </w:p>
    <w:p w14:paraId="01DED344" w14:textId="77777777" w:rsidR="00AD087E" w:rsidRPr="00441A9C" w:rsidRDefault="00AD087E" w:rsidP="0006101A">
      <w:pPr>
        <w:spacing w:line="360" w:lineRule="auto"/>
        <w:jc w:val="both"/>
        <w:rPr>
          <w:rFonts w:ascii="Garamond" w:hAnsi="Garamond"/>
          <w:sz w:val="22"/>
          <w:szCs w:val="22"/>
        </w:rPr>
      </w:pPr>
    </w:p>
    <w:p w14:paraId="5C5B7E37" w14:textId="77777777" w:rsidR="00CB2461" w:rsidRPr="00441A9C" w:rsidRDefault="00E57496" w:rsidP="0006101A">
      <w:pPr>
        <w:spacing w:line="360" w:lineRule="auto"/>
        <w:jc w:val="both"/>
        <w:rPr>
          <w:rFonts w:ascii="Garamond" w:hAnsi="Garamond"/>
          <w:sz w:val="22"/>
          <w:szCs w:val="22"/>
        </w:rPr>
      </w:pPr>
      <w:r w:rsidRPr="00441A9C">
        <w:rPr>
          <w:rFonts w:ascii="Garamond" w:hAnsi="Garamond"/>
          <w:sz w:val="22"/>
          <w:szCs w:val="22"/>
        </w:rPr>
        <w:t xml:space="preserve">In the </w:t>
      </w:r>
      <w:r w:rsidR="00110272" w:rsidRPr="00441A9C">
        <w:rPr>
          <w:rFonts w:ascii="Garamond" w:hAnsi="Garamond"/>
          <w:sz w:val="22"/>
          <w:szCs w:val="22"/>
        </w:rPr>
        <w:t>second</w:t>
      </w:r>
      <w:r w:rsidR="00CB2461" w:rsidRPr="00441A9C">
        <w:rPr>
          <w:rFonts w:ascii="Garamond" w:hAnsi="Garamond"/>
          <w:sz w:val="22"/>
          <w:szCs w:val="22"/>
        </w:rPr>
        <w:t xml:space="preserve"> </w:t>
      </w:r>
      <w:r w:rsidRPr="00441A9C">
        <w:rPr>
          <w:rFonts w:ascii="Garamond" w:hAnsi="Garamond"/>
          <w:sz w:val="22"/>
          <w:szCs w:val="22"/>
        </w:rPr>
        <w:t xml:space="preserve">quarter </w:t>
      </w:r>
      <w:r w:rsidR="00CB2461" w:rsidRPr="00441A9C">
        <w:rPr>
          <w:rFonts w:ascii="Garamond" w:hAnsi="Garamond"/>
          <w:sz w:val="22"/>
          <w:szCs w:val="22"/>
        </w:rPr>
        <w:t xml:space="preserve">of 2017 </w:t>
      </w:r>
      <w:r w:rsidRPr="00441A9C">
        <w:rPr>
          <w:rFonts w:ascii="Garamond" w:hAnsi="Garamond"/>
          <w:sz w:val="22"/>
          <w:szCs w:val="22"/>
        </w:rPr>
        <w:t>the</w:t>
      </w:r>
      <w:r w:rsidR="00427DDE" w:rsidRPr="00441A9C">
        <w:rPr>
          <w:rFonts w:ascii="Garamond" w:hAnsi="Garamond"/>
          <w:sz w:val="22"/>
          <w:szCs w:val="22"/>
        </w:rPr>
        <w:t xml:space="preserve">re were about 3% less </w:t>
      </w:r>
      <w:r w:rsidR="00110272" w:rsidRPr="00441A9C">
        <w:rPr>
          <w:rFonts w:ascii="Garamond" w:hAnsi="Garamond"/>
          <w:sz w:val="22"/>
          <w:szCs w:val="22"/>
        </w:rPr>
        <w:t xml:space="preserve">budget </w:t>
      </w:r>
      <w:r w:rsidRPr="00441A9C">
        <w:rPr>
          <w:rFonts w:ascii="Garamond" w:hAnsi="Garamond"/>
          <w:sz w:val="22"/>
          <w:szCs w:val="22"/>
        </w:rPr>
        <w:t xml:space="preserve">expenditures </w:t>
      </w:r>
      <w:r w:rsidR="00427DDE" w:rsidRPr="00441A9C">
        <w:rPr>
          <w:rFonts w:ascii="Garamond" w:hAnsi="Garamond"/>
          <w:sz w:val="22"/>
          <w:szCs w:val="22"/>
        </w:rPr>
        <w:t>compared to the projections by the C</w:t>
      </w:r>
      <w:r w:rsidR="0081608B" w:rsidRPr="00441A9C">
        <w:rPr>
          <w:rFonts w:ascii="Garamond" w:hAnsi="Garamond"/>
          <w:sz w:val="22"/>
          <w:szCs w:val="22"/>
        </w:rPr>
        <w:t xml:space="preserve">entral </w:t>
      </w:r>
      <w:r w:rsidRPr="00441A9C">
        <w:rPr>
          <w:rFonts w:ascii="Garamond" w:hAnsi="Garamond"/>
          <w:sz w:val="22"/>
          <w:szCs w:val="22"/>
        </w:rPr>
        <w:t>B</w:t>
      </w:r>
      <w:r w:rsidR="0081608B" w:rsidRPr="00441A9C">
        <w:rPr>
          <w:rFonts w:ascii="Garamond" w:hAnsi="Garamond"/>
          <w:sz w:val="22"/>
          <w:szCs w:val="22"/>
        </w:rPr>
        <w:t>an</w:t>
      </w:r>
      <w:r w:rsidR="00427DDE" w:rsidRPr="00441A9C">
        <w:rPr>
          <w:rFonts w:ascii="Garamond" w:hAnsi="Garamond"/>
          <w:sz w:val="22"/>
          <w:szCs w:val="22"/>
        </w:rPr>
        <w:t>k.</w:t>
      </w:r>
      <w:r w:rsidRPr="00441A9C">
        <w:rPr>
          <w:rFonts w:ascii="Garamond" w:hAnsi="Garamond"/>
          <w:sz w:val="22"/>
          <w:szCs w:val="22"/>
        </w:rPr>
        <w:t xml:space="preserve"> </w:t>
      </w:r>
      <w:r w:rsidR="00DD3369" w:rsidRPr="00441A9C">
        <w:rPr>
          <w:rFonts w:ascii="Garamond" w:hAnsi="Garamond"/>
          <w:sz w:val="22"/>
          <w:szCs w:val="22"/>
        </w:rPr>
        <w:t>Th</w:t>
      </w:r>
      <w:r w:rsidR="00427DDE" w:rsidRPr="00441A9C">
        <w:rPr>
          <w:rFonts w:ascii="Garamond" w:hAnsi="Garamond"/>
          <w:sz w:val="22"/>
          <w:szCs w:val="22"/>
        </w:rPr>
        <w:t>e</w:t>
      </w:r>
      <w:r w:rsidR="00DD3369" w:rsidRPr="00441A9C">
        <w:rPr>
          <w:rFonts w:ascii="Garamond" w:hAnsi="Garamond"/>
          <w:sz w:val="22"/>
          <w:szCs w:val="22"/>
        </w:rPr>
        <w:t xml:space="preserve"> </w:t>
      </w:r>
      <w:r w:rsidR="00CB2461" w:rsidRPr="00441A9C">
        <w:rPr>
          <w:rFonts w:ascii="Garamond" w:hAnsi="Garamond"/>
          <w:b/>
          <w:sz w:val="22"/>
          <w:szCs w:val="22"/>
        </w:rPr>
        <w:t xml:space="preserve">public spending </w:t>
      </w:r>
      <w:r w:rsidR="00427DDE" w:rsidRPr="00441A9C">
        <w:rPr>
          <w:rFonts w:ascii="Garamond" w:hAnsi="Garamond"/>
          <w:sz w:val="22"/>
          <w:szCs w:val="22"/>
        </w:rPr>
        <w:t xml:space="preserve">has outgrown the projected value by 18.6% </w:t>
      </w:r>
      <w:r w:rsidR="00CB2461" w:rsidRPr="00441A9C">
        <w:rPr>
          <w:rFonts w:ascii="Garamond" w:hAnsi="Garamond"/>
          <w:sz w:val="22"/>
          <w:szCs w:val="22"/>
        </w:rPr>
        <w:t xml:space="preserve">whereas </w:t>
      </w:r>
      <w:r w:rsidR="00427DDE" w:rsidRPr="00441A9C">
        <w:rPr>
          <w:rFonts w:ascii="Garamond" w:hAnsi="Garamond"/>
          <w:sz w:val="22"/>
          <w:szCs w:val="22"/>
        </w:rPr>
        <w:t xml:space="preserve">the </w:t>
      </w:r>
      <w:r w:rsidR="00CB2461" w:rsidRPr="00441A9C">
        <w:rPr>
          <w:rFonts w:ascii="Garamond" w:hAnsi="Garamond"/>
          <w:sz w:val="22"/>
          <w:szCs w:val="22"/>
        </w:rPr>
        <w:t xml:space="preserve">expenditures on </w:t>
      </w:r>
      <w:r w:rsidR="00DD3369" w:rsidRPr="00441A9C">
        <w:rPr>
          <w:rFonts w:ascii="Garamond" w:hAnsi="Garamond"/>
          <w:sz w:val="22"/>
          <w:szCs w:val="22"/>
        </w:rPr>
        <w:t xml:space="preserve">item </w:t>
      </w:r>
      <w:r w:rsidR="00DD3369" w:rsidRPr="00441A9C">
        <w:rPr>
          <w:rFonts w:ascii="Garamond" w:hAnsi="Garamond"/>
          <w:b/>
          <w:sz w:val="22"/>
          <w:szCs w:val="22"/>
        </w:rPr>
        <w:t>“Transactions with non-financial assets”</w:t>
      </w:r>
      <w:r w:rsidR="00CB2461" w:rsidRPr="00441A9C">
        <w:rPr>
          <w:rFonts w:ascii="Garamond" w:hAnsi="Garamond"/>
          <w:sz w:val="22"/>
          <w:szCs w:val="22"/>
        </w:rPr>
        <w:t xml:space="preserve"> </w:t>
      </w:r>
      <w:r w:rsidR="00427DDE" w:rsidRPr="00441A9C">
        <w:rPr>
          <w:rFonts w:ascii="Garamond" w:hAnsi="Garamond"/>
          <w:sz w:val="22"/>
          <w:szCs w:val="22"/>
        </w:rPr>
        <w:t>run below t</w:t>
      </w:r>
      <w:r w:rsidR="00CB2461" w:rsidRPr="00441A9C">
        <w:rPr>
          <w:rFonts w:ascii="Garamond" w:hAnsi="Garamond"/>
          <w:sz w:val="22"/>
          <w:szCs w:val="22"/>
        </w:rPr>
        <w:t>he projection</w:t>
      </w:r>
      <w:r w:rsidR="00427DDE" w:rsidRPr="00441A9C">
        <w:rPr>
          <w:rFonts w:ascii="Garamond" w:hAnsi="Garamond"/>
          <w:sz w:val="22"/>
          <w:szCs w:val="22"/>
        </w:rPr>
        <w:t xml:space="preserve"> by as much as 44%</w:t>
      </w:r>
      <w:r w:rsidR="00CB2461" w:rsidRPr="00441A9C">
        <w:rPr>
          <w:rFonts w:ascii="Garamond" w:hAnsi="Garamond"/>
          <w:sz w:val="22"/>
          <w:szCs w:val="22"/>
        </w:rPr>
        <w:t xml:space="preserve">. As a result, the expenditures impulse amounted to </w:t>
      </w:r>
      <w:r w:rsidR="00095994" w:rsidRPr="00441A9C">
        <w:rPr>
          <w:rFonts w:ascii="Garamond" w:hAnsi="Garamond"/>
          <w:sz w:val="22"/>
          <w:szCs w:val="22"/>
        </w:rPr>
        <w:t>5</w:t>
      </w:r>
      <w:r w:rsidR="00CB2461" w:rsidRPr="00441A9C">
        <w:rPr>
          <w:rFonts w:ascii="Garamond" w:hAnsi="Garamond"/>
          <w:sz w:val="22"/>
          <w:szCs w:val="22"/>
        </w:rPr>
        <w:t>.</w:t>
      </w:r>
      <w:r w:rsidR="00095994" w:rsidRPr="00441A9C">
        <w:rPr>
          <w:rFonts w:ascii="Garamond" w:hAnsi="Garamond"/>
          <w:sz w:val="22"/>
          <w:szCs w:val="22"/>
        </w:rPr>
        <w:t>2</w:t>
      </w:r>
      <w:r w:rsidR="00CB2461" w:rsidRPr="00441A9C">
        <w:rPr>
          <w:rFonts w:ascii="Garamond" w:hAnsi="Garamond"/>
          <w:sz w:val="22"/>
          <w:szCs w:val="22"/>
        </w:rPr>
        <w:t xml:space="preserve"> contractionary instead of the projected </w:t>
      </w:r>
      <w:r w:rsidR="00095994" w:rsidRPr="00441A9C">
        <w:rPr>
          <w:rFonts w:ascii="Garamond" w:hAnsi="Garamond"/>
          <w:sz w:val="22"/>
          <w:szCs w:val="22"/>
        </w:rPr>
        <w:t>4</w:t>
      </w:r>
      <w:r w:rsidR="00CB2461" w:rsidRPr="00441A9C">
        <w:rPr>
          <w:rFonts w:ascii="Garamond" w:hAnsi="Garamond"/>
          <w:sz w:val="22"/>
          <w:szCs w:val="22"/>
        </w:rPr>
        <w:t>.</w:t>
      </w:r>
      <w:r w:rsidR="00095994" w:rsidRPr="00441A9C">
        <w:rPr>
          <w:rFonts w:ascii="Garamond" w:hAnsi="Garamond"/>
          <w:sz w:val="22"/>
          <w:szCs w:val="22"/>
        </w:rPr>
        <w:t>1</w:t>
      </w:r>
      <w:r w:rsidR="00CB2461" w:rsidRPr="00441A9C">
        <w:rPr>
          <w:rFonts w:ascii="Garamond" w:hAnsi="Garamond"/>
          <w:sz w:val="22"/>
          <w:szCs w:val="22"/>
        </w:rPr>
        <w:t xml:space="preserve"> contractionary.</w:t>
      </w:r>
    </w:p>
    <w:p w14:paraId="3D05EBC2" w14:textId="77777777" w:rsidR="00CB2461" w:rsidRPr="00441A9C" w:rsidRDefault="00CB2461" w:rsidP="0006101A">
      <w:pPr>
        <w:spacing w:line="360" w:lineRule="auto"/>
        <w:jc w:val="both"/>
        <w:rPr>
          <w:rFonts w:ascii="Garamond" w:hAnsi="Garamond"/>
          <w:sz w:val="22"/>
          <w:szCs w:val="22"/>
        </w:rPr>
      </w:pPr>
    </w:p>
    <w:p w14:paraId="273251E9" w14:textId="77777777" w:rsidR="00CB2461" w:rsidRPr="00441A9C" w:rsidRDefault="00A47F2B" w:rsidP="0006101A">
      <w:pPr>
        <w:spacing w:line="360" w:lineRule="auto"/>
        <w:jc w:val="both"/>
        <w:rPr>
          <w:rFonts w:ascii="Garamond" w:hAnsi="Garamond" w:cs="Sylfaen"/>
          <w:bCs/>
          <w:iCs/>
          <w:color w:val="000000"/>
          <w:sz w:val="22"/>
          <w:szCs w:val="22"/>
        </w:rPr>
      </w:pPr>
      <w:r w:rsidRPr="00441A9C">
        <w:rPr>
          <w:rFonts w:ascii="Garamond" w:hAnsi="Garamond" w:cs="Sylfaen"/>
          <w:bCs/>
          <w:iCs/>
          <w:color w:val="000000"/>
          <w:sz w:val="22"/>
          <w:szCs w:val="22"/>
        </w:rPr>
        <w:t xml:space="preserve">With </w:t>
      </w:r>
      <w:r w:rsidR="00F244DB" w:rsidRPr="00441A9C">
        <w:rPr>
          <w:rFonts w:ascii="Garamond" w:hAnsi="Garamond" w:cs="Sylfaen"/>
          <w:bCs/>
          <w:iCs/>
          <w:color w:val="000000"/>
          <w:sz w:val="22"/>
          <w:szCs w:val="22"/>
        </w:rPr>
        <w:t xml:space="preserve">revenue and expenditure </w:t>
      </w:r>
      <w:r w:rsidRPr="00441A9C">
        <w:rPr>
          <w:rFonts w:ascii="Garamond" w:hAnsi="Garamond" w:cs="Sylfaen"/>
          <w:bCs/>
          <w:iCs/>
          <w:color w:val="000000"/>
          <w:sz w:val="22"/>
          <w:szCs w:val="22"/>
        </w:rPr>
        <w:t>performance described above,</w:t>
      </w:r>
      <w:r w:rsidR="00F244DB" w:rsidRPr="00441A9C">
        <w:rPr>
          <w:rFonts w:ascii="Garamond" w:hAnsi="Garamond" w:cs="Sylfaen"/>
          <w:bCs/>
          <w:iCs/>
          <w:color w:val="000000"/>
          <w:sz w:val="22"/>
          <w:szCs w:val="22"/>
        </w:rPr>
        <w:t xml:space="preserve"> the state budget generated </w:t>
      </w:r>
      <w:r w:rsidRPr="00441A9C">
        <w:rPr>
          <w:rFonts w:ascii="Garamond" w:hAnsi="Garamond" w:cs="Sylfaen"/>
          <w:bCs/>
          <w:iCs/>
          <w:color w:val="000000"/>
          <w:sz w:val="22"/>
          <w:szCs w:val="22"/>
        </w:rPr>
        <w:t xml:space="preserve">a </w:t>
      </w:r>
      <w:r w:rsidR="00F244DB" w:rsidRPr="00441A9C">
        <w:rPr>
          <w:rFonts w:ascii="Garamond" w:hAnsi="Garamond" w:cs="Sylfaen"/>
          <w:bCs/>
          <w:iCs/>
          <w:color w:val="000000"/>
          <w:sz w:val="22"/>
          <w:szCs w:val="22"/>
        </w:rPr>
        <w:t xml:space="preserve">deficit of roughly AMD </w:t>
      </w:r>
      <w:r w:rsidR="002A211E" w:rsidRPr="00441A9C">
        <w:rPr>
          <w:rFonts w:ascii="Garamond" w:hAnsi="Garamond" w:cs="Sylfaen"/>
          <w:bCs/>
          <w:iCs/>
          <w:color w:val="000000"/>
          <w:sz w:val="22"/>
          <w:szCs w:val="22"/>
        </w:rPr>
        <w:t>19</w:t>
      </w:r>
      <w:r w:rsidR="00CB2461" w:rsidRPr="00441A9C">
        <w:rPr>
          <w:rFonts w:ascii="Garamond" w:hAnsi="Garamond" w:cs="Sylfaen"/>
          <w:bCs/>
          <w:iCs/>
          <w:color w:val="000000"/>
          <w:sz w:val="22"/>
          <w:szCs w:val="22"/>
        </w:rPr>
        <w:t>.</w:t>
      </w:r>
      <w:r w:rsidR="002A211E" w:rsidRPr="00441A9C">
        <w:rPr>
          <w:rFonts w:ascii="Garamond" w:hAnsi="Garamond" w:cs="Sylfaen"/>
          <w:bCs/>
          <w:iCs/>
          <w:color w:val="000000"/>
          <w:sz w:val="22"/>
          <w:szCs w:val="22"/>
        </w:rPr>
        <w:t>0</w:t>
      </w:r>
      <w:r w:rsidR="00C247F6" w:rsidRPr="00441A9C">
        <w:rPr>
          <w:rFonts w:ascii="Garamond" w:hAnsi="Garamond" w:cs="Sylfaen"/>
          <w:bCs/>
          <w:iCs/>
          <w:color w:val="000000"/>
          <w:sz w:val="22"/>
          <w:szCs w:val="22"/>
        </w:rPr>
        <w:t xml:space="preserve"> </w:t>
      </w:r>
      <w:r w:rsidR="00F244DB" w:rsidRPr="00441A9C">
        <w:rPr>
          <w:rFonts w:ascii="Garamond" w:hAnsi="Garamond" w:cs="Sylfaen"/>
          <w:bCs/>
          <w:iCs/>
          <w:color w:val="000000"/>
          <w:sz w:val="22"/>
          <w:szCs w:val="22"/>
        </w:rPr>
        <w:t>billion</w:t>
      </w:r>
      <w:r w:rsidR="002A211E" w:rsidRPr="00441A9C">
        <w:rPr>
          <w:rFonts w:ascii="Garamond" w:hAnsi="Garamond" w:cs="Sylfaen"/>
          <w:bCs/>
          <w:iCs/>
          <w:color w:val="000000"/>
          <w:sz w:val="22"/>
          <w:szCs w:val="22"/>
        </w:rPr>
        <w:t xml:space="preserve"> in the second quarter of 2017, </w:t>
      </w:r>
      <w:r w:rsidR="00C247F6" w:rsidRPr="00441A9C">
        <w:rPr>
          <w:rFonts w:ascii="Garamond" w:hAnsi="Garamond" w:cs="Sylfaen"/>
          <w:bCs/>
          <w:iCs/>
          <w:color w:val="000000"/>
          <w:sz w:val="22"/>
          <w:szCs w:val="22"/>
        </w:rPr>
        <w:t xml:space="preserve">which is </w:t>
      </w:r>
      <w:r w:rsidR="002A211E" w:rsidRPr="00441A9C">
        <w:rPr>
          <w:rFonts w:ascii="Garamond" w:hAnsi="Garamond" w:cs="Sylfaen"/>
          <w:bCs/>
          <w:iCs/>
          <w:color w:val="000000"/>
          <w:sz w:val="22"/>
          <w:szCs w:val="22"/>
        </w:rPr>
        <w:t>27% less than</w:t>
      </w:r>
      <w:r w:rsidR="00C247F6" w:rsidRPr="00441A9C">
        <w:rPr>
          <w:rFonts w:ascii="Garamond" w:hAnsi="Garamond" w:cs="Sylfaen"/>
          <w:bCs/>
          <w:iCs/>
          <w:color w:val="000000"/>
          <w:sz w:val="22"/>
          <w:szCs w:val="22"/>
        </w:rPr>
        <w:t xml:space="preserve"> the </w:t>
      </w:r>
      <w:r w:rsidR="00F67C4C" w:rsidRPr="00441A9C">
        <w:rPr>
          <w:rFonts w:ascii="Garamond" w:hAnsi="Garamond" w:cs="Sylfaen"/>
          <w:bCs/>
          <w:iCs/>
          <w:color w:val="000000"/>
          <w:sz w:val="22"/>
          <w:szCs w:val="22"/>
        </w:rPr>
        <w:t>C</w:t>
      </w:r>
      <w:r w:rsidR="00C247F6" w:rsidRPr="00441A9C">
        <w:rPr>
          <w:rFonts w:ascii="Garamond" w:hAnsi="Garamond" w:cs="Sylfaen"/>
          <w:bCs/>
          <w:iCs/>
          <w:color w:val="000000"/>
          <w:sz w:val="22"/>
          <w:szCs w:val="22"/>
        </w:rPr>
        <w:t xml:space="preserve">entral </w:t>
      </w:r>
      <w:r w:rsidR="00F67C4C" w:rsidRPr="00441A9C">
        <w:rPr>
          <w:rFonts w:ascii="Garamond" w:hAnsi="Garamond" w:cs="Sylfaen"/>
          <w:bCs/>
          <w:iCs/>
          <w:color w:val="000000"/>
          <w:sz w:val="22"/>
          <w:szCs w:val="22"/>
        </w:rPr>
        <w:t>B</w:t>
      </w:r>
      <w:r w:rsidR="00C247F6" w:rsidRPr="00441A9C">
        <w:rPr>
          <w:rFonts w:ascii="Garamond" w:hAnsi="Garamond" w:cs="Sylfaen"/>
          <w:bCs/>
          <w:iCs/>
          <w:color w:val="000000"/>
          <w:sz w:val="22"/>
          <w:szCs w:val="22"/>
        </w:rPr>
        <w:t xml:space="preserve">ank’s </w:t>
      </w:r>
      <w:r w:rsidR="00F67C4C" w:rsidRPr="00441A9C">
        <w:rPr>
          <w:rFonts w:ascii="Garamond" w:hAnsi="Garamond" w:cs="Sylfaen"/>
          <w:bCs/>
          <w:iCs/>
          <w:color w:val="000000"/>
          <w:sz w:val="22"/>
          <w:szCs w:val="22"/>
        </w:rPr>
        <w:t>projection</w:t>
      </w:r>
      <w:r w:rsidR="00C247F6" w:rsidRPr="00441A9C">
        <w:rPr>
          <w:rFonts w:ascii="Garamond" w:hAnsi="Garamond" w:cs="Sylfaen"/>
          <w:bCs/>
          <w:iCs/>
          <w:color w:val="000000"/>
          <w:sz w:val="22"/>
          <w:szCs w:val="22"/>
        </w:rPr>
        <w:t xml:space="preserve"> for the quarter</w:t>
      </w:r>
      <w:r w:rsidR="00F67C4C" w:rsidRPr="00441A9C">
        <w:rPr>
          <w:rFonts w:ascii="Garamond" w:hAnsi="Garamond" w:cs="Sylfaen"/>
          <w:bCs/>
          <w:iCs/>
          <w:color w:val="000000"/>
          <w:sz w:val="22"/>
          <w:szCs w:val="22"/>
        </w:rPr>
        <w:t>.</w:t>
      </w:r>
    </w:p>
    <w:p w14:paraId="507D28B7" w14:textId="77777777" w:rsidR="00CB2461" w:rsidRPr="00441A9C" w:rsidRDefault="00CB2461" w:rsidP="0006101A">
      <w:pPr>
        <w:spacing w:line="360" w:lineRule="auto"/>
        <w:jc w:val="both"/>
        <w:rPr>
          <w:rFonts w:ascii="Garamond" w:hAnsi="Garamond" w:cs="Sylfaen"/>
          <w:bCs/>
          <w:iCs/>
          <w:color w:val="000000"/>
          <w:sz w:val="22"/>
          <w:szCs w:val="22"/>
        </w:rPr>
      </w:pPr>
    </w:p>
    <w:p w14:paraId="6C8FE2D9" w14:textId="5E5EF6C4" w:rsidR="00F244DB" w:rsidRPr="00441A9C" w:rsidRDefault="00F856C1" w:rsidP="0006101A">
      <w:pPr>
        <w:spacing w:line="360" w:lineRule="auto"/>
        <w:jc w:val="both"/>
        <w:rPr>
          <w:rFonts w:ascii="Garamond" w:hAnsi="Garamond"/>
          <w:b/>
          <w:sz w:val="22"/>
          <w:szCs w:val="22"/>
        </w:rPr>
      </w:pPr>
      <w:r w:rsidRPr="00441A9C">
        <w:rPr>
          <w:rFonts w:ascii="Garamond" w:hAnsi="Garamond" w:cs="Sylfaen"/>
          <w:b/>
          <w:sz w:val="22"/>
          <w:szCs w:val="22"/>
        </w:rPr>
        <w:t xml:space="preserve">Summary: </w:t>
      </w:r>
      <w:r w:rsidR="00951B5B" w:rsidRPr="00441A9C">
        <w:rPr>
          <w:rFonts w:ascii="Garamond" w:hAnsi="Garamond" w:cs="Sylfaen"/>
          <w:b/>
          <w:sz w:val="22"/>
          <w:szCs w:val="22"/>
        </w:rPr>
        <w:t xml:space="preserve">private spending has grown </w:t>
      </w:r>
      <w:r w:rsidR="002A211E" w:rsidRPr="00441A9C">
        <w:rPr>
          <w:rFonts w:ascii="Garamond" w:hAnsi="Garamond" w:cs="Sylfaen"/>
          <w:b/>
          <w:sz w:val="22"/>
          <w:szCs w:val="22"/>
        </w:rPr>
        <w:t xml:space="preserve">amid </w:t>
      </w:r>
      <w:r w:rsidR="00951B5B" w:rsidRPr="00441A9C">
        <w:rPr>
          <w:rFonts w:ascii="Garamond" w:hAnsi="Garamond" w:cs="Sylfaen"/>
          <w:b/>
          <w:sz w:val="22"/>
          <w:szCs w:val="22"/>
        </w:rPr>
        <w:t>increased</w:t>
      </w:r>
      <w:r w:rsidRPr="00441A9C">
        <w:rPr>
          <w:rFonts w:ascii="Garamond" w:hAnsi="Garamond"/>
          <w:b/>
          <w:sz w:val="22"/>
          <w:szCs w:val="22"/>
        </w:rPr>
        <w:t xml:space="preserve"> private transfers from Russia</w:t>
      </w:r>
      <w:r w:rsidR="00951B5B" w:rsidRPr="00441A9C">
        <w:rPr>
          <w:rFonts w:ascii="Garamond" w:hAnsi="Garamond"/>
          <w:b/>
          <w:sz w:val="22"/>
          <w:szCs w:val="22"/>
        </w:rPr>
        <w:t xml:space="preserve">, expansionary monetary </w:t>
      </w:r>
      <w:proofErr w:type="gramStart"/>
      <w:r w:rsidR="00951B5B" w:rsidRPr="00441A9C">
        <w:rPr>
          <w:rFonts w:ascii="Garamond" w:hAnsi="Garamond"/>
          <w:b/>
          <w:sz w:val="22"/>
          <w:szCs w:val="22"/>
        </w:rPr>
        <w:t>policy  a</w:t>
      </w:r>
      <w:r w:rsidR="00C50F25" w:rsidRPr="00441A9C">
        <w:rPr>
          <w:rFonts w:ascii="Garamond" w:hAnsi="Garamond"/>
          <w:b/>
          <w:sz w:val="22"/>
          <w:szCs w:val="22"/>
        </w:rPr>
        <w:t>nd</w:t>
      </w:r>
      <w:proofErr w:type="gramEnd"/>
      <w:r w:rsidR="00C50F25" w:rsidRPr="00441A9C">
        <w:rPr>
          <w:rFonts w:ascii="Garamond" w:hAnsi="Garamond"/>
          <w:b/>
          <w:sz w:val="22"/>
          <w:szCs w:val="22"/>
        </w:rPr>
        <w:t xml:space="preserve"> </w:t>
      </w:r>
      <w:r w:rsidR="00951B5B" w:rsidRPr="00441A9C">
        <w:rPr>
          <w:rFonts w:ascii="Garamond" w:hAnsi="Garamond"/>
          <w:b/>
          <w:sz w:val="22"/>
          <w:szCs w:val="22"/>
        </w:rPr>
        <w:t xml:space="preserve">high economic activity. </w:t>
      </w:r>
      <w:r w:rsidR="002A211E" w:rsidRPr="00441A9C">
        <w:rPr>
          <w:rFonts w:ascii="Garamond" w:hAnsi="Garamond"/>
          <w:b/>
          <w:sz w:val="22"/>
          <w:szCs w:val="22"/>
        </w:rPr>
        <w:t xml:space="preserve">Yet, private spending ran below the equilibrium, creating weak inflationary pressures. </w:t>
      </w:r>
      <w:r w:rsidR="00951B5B" w:rsidRPr="00441A9C">
        <w:rPr>
          <w:rFonts w:ascii="Garamond" w:hAnsi="Garamond"/>
          <w:b/>
          <w:sz w:val="22"/>
          <w:szCs w:val="22"/>
        </w:rPr>
        <w:t xml:space="preserve">Taking also into account </w:t>
      </w:r>
      <w:r w:rsidR="002A211E" w:rsidRPr="00441A9C">
        <w:rPr>
          <w:rFonts w:ascii="Garamond" w:hAnsi="Garamond"/>
          <w:b/>
          <w:sz w:val="22"/>
          <w:szCs w:val="22"/>
        </w:rPr>
        <w:t xml:space="preserve">the </w:t>
      </w:r>
      <w:r w:rsidR="00E165E1" w:rsidRPr="00441A9C">
        <w:rPr>
          <w:rFonts w:ascii="Garamond" w:hAnsi="Garamond"/>
          <w:b/>
          <w:sz w:val="22"/>
          <w:szCs w:val="22"/>
        </w:rPr>
        <w:t>fiscal policy</w:t>
      </w:r>
      <w:r w:rsidR="00FE6A84" w:rsidRPr="00441A9C">
        <w:rPr>
          <w:rFonts w:ascii="Garamond" w:hAnsi="Garamond"/>
          <w:b/>
          <w:sz w:val="22"/>
          <w:szCs w:val="22"/>
        </w:rPr>
        <w:t xml:space="preserve">’s contractionary impact </w:t>
      </w:r>
      <w:r w:rsidR="00951B5B" w:rsidRPr="00441A9C">
        <w:rPr>
          <w:rFonts w:ascii="Garamond" w:hAnsi="Garamond"/>
          <w:b/>
          <w:sz w:val="22"/>
          <w:szCs w:val="22"/>
        </w:rPr>
        <w:t xml:space="preserve">and </w:t>
      </w:r>
      <w:r w:rsidR="002A211E" w:rsidRPr="00441A9C">
        <w:rPr>
          <w:rFonts w:ascii="Garamond" w:hAnsi="Garamond"/>
          <w:b/>
          <w:sz w:val="22"/>
          <w:szCs w:val="22"/>
        </w:rPr>
        <w:t>the labor market</w:t>
      </w:r>
      <w:r w:rsidR="00FE6A84" w:rsidRPr="00441A9C">
        <w:rPr>
          <w:rFonts w:ascii="Garamond" w:hAnsi="Garamond"/>
          <w:b/>
          <w:sz w:val="22"/>
          <w:szCs w:val="22"/>
        </w:rPr>
        <w:t>’s inflationary pressures</w:t>
      </w:r>
      <w:r w:rsidR="00E165E1" w:rsidRPr="00441A9C">
        <w:rPr>
          <w:rFonts w:ascii="Garamond" w:hAnsi="Garamond"/>
          <w:b/>
          <w:sz w:val="22"/>
          <w:szCs w:val="22"/>
        </w:rPr>
        <w:t xml:space="preserve">, </w:t>
      </w:r>
      <w:r w:rsidR="00951B5B" w:rsidRPr="00441A9C">
        <w:rPr>
          <w:rFonts w:ascii="Garamond" w:hAnsi="Garamond"/>
          <w:b/>
          <w:sz w:val="22"/>
          <w:szCs w:val="22"/>
        </w:rPr>
        <w:t xml:space="preserve">one may conclude that </w:t>
      </w:r>
      <w:r w:rsidR="00860E8B" w:rsidRPr="00441A9C">
        <w:rPr>
          <w:rFonts w:ascii="Garamond" w:hAnsi="Garamond"/>
          <w:b/>
          <w:sz w:val="22"/>
          <w:szCs w:val="22"/>
        </w:rPr>
        <w:t xml:space="preserve">the aggregate demand and labor market are estimated to have jointly created </w:t>
      </w:r>
      <w:r w:rsidR="00FD6DC6" w:rsidRPr="00441A9C">
        <w:rPr>
          <w:rFonts w:ascii="Garamond" w:hAnsi="Garamond"/>
          <w:b/>
          <w:sz w:val="22"/>
          <w:szCs w:val="22"/>
        </w:rPr>
        <w:t>0</w:t>
      </w:r>
      <w:r w:rsidR="00860E8B" w:rsidRPr="00441A9C">
        <w:rPr>
          <w:rFonts w:ascii="Garamond" w:hAnsi="Garamond"/>
          <w:b/>
          <w:sz w:val="22"/>
          <w:szCs w:val="22"/>
        </w:rPr>
        <w:t>.</w:t>
      </w:r>
      <w:r w:rsidR="00FD6DC6" w:rsidRPr="00441A9C">
        <w:rPr>
          <w:rFonts w:ascii="Garamond" w:hAnsi="Garamond"/>
          <w:b/>
          <w:sz w:val="22"/>
          <w:szCs w:val="22"/>
        </w:rPr>
        <w:t>5</w:t>
      </w:r>
      <w:r w:rsidR="00860E8B" w:rsidRPr="00441A9C">
        <w:rPr>
          <w:rFonts w:ascii="Garamond" w:hAnsi="Garamond"/>
          <w:b/>
          <w:sz w:val="22"/>
          <w:szCs w:val="22"/>
        </w:rPr>
        <w:t>-</w:t>
      </w:r>
      <w:r w:rsidR="00FD6DC6" w:rsidRPr="00441A9C">
        <w:rPr>
          <w:rFonts w:ascii="Garamond" w:hAnsi="Garamond"/>
          <w:b/>
          <w:sz w:val="22"/>
          <w:szCs w:val="22"/>
        </w:rPr>
        <w:t>0</w:t>
      </w:r>
      <w:r w:rsidR="00860E8B" w:rsidRPr="00441A9C">
        <w:rPr>
          <w:rFonts w:ascii="Garamond" w:hAnsi="Garamond"/>
          <w:b/>
          <w:sz w:val="22"/>
          <w:szCs w:val="22"/>
        </w:rPr>
        <w:t>.</w:t>
      </w:r>
      <w:r w:rsidR="002A211E" w:rsidRPr="00441A9C">
        <w:rPr>
          <w:rFonts w:ascii="Garamond" w:hAnsi="Garamond"/>
          <w:b/>
          <w:sz w:val="22"/>
          <w:szCs w:val="22"/>
        </w:rPr>
        <w:t>7</w:t>
      </w:r>
      <w:r w:rsidR="00860E8B" w:rsidRPr="00441A9C">
        <w:rPr>
          <w:rFonts w:ascii="Garamond" w:hAnsi="Garamond"/>
          <w:b/>
          <w:sz w:val="22"/>
          <w:szCs w:val="22"/>
        </w:rPr>
        <w:t xml:space="preserve"> pp of </w:t>
      </w:r>
      <w:r w:rsidR="002A211E" w:rsidRPr="00441A9C">
        <w:rPr>
          <w:rFonts w:ascii="Garamond" w:hAnsi="Garamond"/>
          <w:b/>
          <w:sz w:val="22"/>
          <w:szCs w:val="22"/>
        </w:rPr>
        <w:t>de</w:t>
      </w:r>
      <w:r w:rsidR="00FD6DC6" w:rsidRPr="00441A9C">
        <w:rPr>
          <w:rFonts w:ascii="Garamond" w:hAnsi="Garamond"/>
          <w:b/>
          <w:sz w:val="22"/>
          <w:szCs w:val="22"/>
        </w:rPr>
        <w:t>f</w:t>
      </w:r>
      <w:r w:rsidR="00860E8B" w:rsidRPr="00441A9C">
        <w:rPr>
          <w:rFonts w:ascii="Garamond" w:hAnsi="Garamond"/>
          <w:b/>
          <w:sz w:val="22"/>
          <w:szCs w:val="22"/>
        </w:rPr>
        <w:t xml:space="preserve">lationary pressures </w:t>
      </w:r>
      <w:r w:rsidR="006C2F1E" w:rsidRPr="00441A9C">
        <w:rPr>
          <w:rFonts w:ascii="Garamond" w:hAnsi="Garamond"/>
          <w:b/>
          <w:sz w:val="22"/>
          <w:szCs w:val="22"/>
        </w:rPr>
        <w:t>in</w:t>
      </w:r>
      <w:r w:rsidR="004F33C6" w:rsidRPr="00441A9C">
        <w:rPr>
          <w:rFonts w:ascii="Garamond" w:hAnsi="Garamond"/>
          <w:b/>
          <w:sz w:val="22"/>
          <w:szCs w:val="22"/>
        </w:rPr>
        <w:t xml:space="preserve"> </w:t>
      </w:r>
      <w:r w:rsidR="00860E8B" w:rsidRPr="00441A9C">
        <w:rPr>
          <w:rFonts w:ascii="Garamond" w:hAnsi="Garamond"/>
          <w:b/>
          <w:sz w:val="22"/>
          <w:szCs w:val="22"/>
        </w:rPr>
        <w:t xml:space="preserve">the </w:t>
      </w:r>
      <w:r w:rsidR="002A211E" w:rsidRPr="00441A9C">
        <w:rPr>
          <w:rFonts w:ascii="Garamond" w:hAnsi="Garamond"/>
          <w:b/>
          <w:sz w:val="22"/>
          <w:szCs w:val="22"/>
        </w:rPr>
        <w:t>second</w:t>
      </w:r>
      <w:r w:rsidR="00951B5B" w:rsidRPr="00441A9C">
        <w:rPr>
          <w:rFonts w:ascii="Garamond" w:hAnsi="Garamond"/>
          <w:b/>
          <w:sz w:val="22"/>
          <w:szCs w:val="22"/>
        </w:rPr>
        <w:t xml:space="preserve"> </w:t>
      </w:r>
      <w:r w:rsidR="00860E8B" w:rsidRPr="00441A9C">
        <w:rPr>
          <w:rFonts w:ascii="Garamond" w:hAnsi="Garamond"/>
          <w:b/>
          <w:sz w:val="22"/>
          <w:szCs w:val="22"/>
        </w:rPr>
        <w:t>quarter</w:t>
      </w:r>
      <w:r w:rsidR="00951B5B" w:rsidRPr="00441A9C">
        <w:rPr>
          <w:rFonts w:ascii="Garamond" w:hAnsi="Garamond"/>
          <w:b/>
          <w:sz w:val="22"/>
          <w:szCs w:val="22"/>
        </w:rPr>
        <w:t xml:space="preserve"> of 2017</w:t>
      </w:r>
      <w:r w:rsidR="00FE6A84" w:rsidRPr="00441A9C">
        <w:rPr>
          <w:rFonts w:ascii="Garamond" w:hAnsi="Garamond"/>
          <w:b/>
          <w:sz w:val="22"/>
          <w:szCs w:val="22"/>
        </w:rPr>
        <w:t>, which is softer in comparison with the previous estimation of 0.7-0.9 pp</w:t>
      </w:r>
      <w:r w:rsidR="00727D7E" w:rsidRPr="00441A9C">
        <w:rPr>
          <w:rFonts w:ascii="Garamond" w:hAnsi="Garamond"/>
          <w:b/>
          <w:sz w:val="22"/>
          <w:szCs w:val="22"/>
        </w:rPr>
        <w:t>.</w:t>
      </w:r>
    </w:p>
    <w:p w14:paraId="66FE8E06" w14:textId="77777777" w:rsidR="00601F50" w:rsidRPr="00441A9C" w:rsidRDefault="00601F50" w:rsidP="0006101A">
      <w:pPr>
        <w:spacing w:line="360" w:lineRule="auto"/>
        <w:jc w:val="both"/>
        <w:rPr>
          <w:rFonts w:ascii="Garamond" w:hAnsi="Garamond"/>
          <w:b/>
          <w:sz w:val="22"/>
          <w:szCs w:val="22"/>
        </w:rPr>
      </w:pPr>
    </w:p>
    <w:p w14:paraId="4E9B6B4C" w14:textId="77777777" w:rsidR="00601F50" w:rsidRPr="00441A9C" w:rsidRDefault="00601F50" w:rsidP="0006101A">
      <w:pPr>
        <w:spacing w:line="360" w:lineRule="auto"/>
        <w:jc w:val="both"/>
        <w:rPr>
          <w:rFonts w:ascii="Garamond" w:hAnsi="Garamond"/>
          <w:b/>
          <w:sz w:val="22"/>
          <w:szCs w:val="22"/>
        </w:rPr>
      </w:pPr>
      <w:r w:rsidRPr="00441A9C">
        <w:rPr>
          <w:rFonts w:ascii="Garamond" w:hAnsi="Garamond"/>
          <w:b/>
          <w:sz w:val="22"/>
          <w:szCs w:val="22"/>
        </w:rPr>
        <w:t>3.3. Money and financial market developments</w:t>
      </w:r>
    </w:p>
    <w:p w14:paraId="3B702AC3" w14:textId="77777777" w:rsidR="00601F50" w:rsidRPr="00441A9C" w:rsidRDefault="00601F50" w:rsidP="0006101A">
      <w:pPr>
        <w:spacing w:line="360" w:lineRule="auto"/>
        <w:jc w:val="both"/>
        <w:rPr>
          <w:rFonts w:ascii="Garamond" w:hAnsi="Garamond"/>
          <w:b/>
          <w:sz w:val="22"/>
          <w:szCs w:val="22"/>
        </w:rPr>
      </w:pPr>
      <w:r w:rsidRPr="00441A9C">
        <w:rPr>
          <w:rFonts w:ascii="Garamond" w:hAnsi="Garamond"/>
          <w:b/>
          <w:sz w:val="22"/>
          <w:szCs w:val="22"/>
        </w:rPr>
        <w:t>3.3.1. Financial market, money and credit</w:t>
      </w:r>
    </w:p>
    <w:p w14:paraId="592540BF" w14:textId="77777777" w:rsidR="00601F50" w:rsidRPr="00441A9C" w:rsidRDefault="00601F50" w:rsidP="0006101A">
      <w:pPr>
        <w:spacing w:line="360" w:lineRule="auto"/>
        <w:jc w:val="both"/>
        <w:rPr>
          <w:rFonts w:ascii="Garamond" w:hAnsi="Garamond"/>
          <w:b/>
          <w:sz w:val="22"/>
          <w:szCs w:val="22"/>
        </w:rPr>
      </w:pPr>
    </w:p>
    <w:p w14:paraId="0531CB4A" w14:textId="77777777" w:rsidR="00EF05C0" w:rsidRPr="00441A9C" w:rsidRDefault="000926E1" w:rsidP="0006101A">
      <w:pPr>
        <w:spacing w:line="360" w:lineRule="auto"/>
        <w:jc w:val="both"/>
        <w:rPr>
          <w:rFonts w:ascii="Garamond" w:eastAsia="Calibri" w:hAnsi="Garamond"/>
          <w:sz w:val="22"/>
          <w:szCs w:val="22"/>
        </w:rPr>
      </w:pPr>
      <w:r w:rsidRPr="00441A9C">
        <w:rPr>
          <w:rFonts w:ascii="Garamond" w:eastAsia="Calibri" w:hAnsi="Garamond"/>
          <w:sz w:val="22"/>
          <w:szCs w:val="22"/>
        </w:rPr>
        <w:t xml:space="preserve">In the second </w:t>
      </w:r>
      <w:r w:rsidRPr="00441A9C">
        <w:rPr>
          <w:rFonts w:ascii="Garamond" w:hAnsi="Garamond" w:cs="GHEA Grapalat"/>
          <w:sz w:val="22"/>
          <w:szCs w:val="22"/>
        </w:rPr>
        <w:t>quarter of 2017 t</w:t>
      </w:r>
      <w:r w:rsidR="00C02E1F" w:rsidRPr="00441A9C">
        <w:rPr>
          <w:rFonts w:ascii="Garamond" w:eastAsia="Calibri" w:hAnsi="Garamond"/>
          <w:sz w:val="22"/>
          <w:szCs w:val="22"/>
        </w:rPr>
        <w:t xml:space="preserve">he </w:t>
      </w:r>
      <w:r w:rsidR="00601F50" w:rsidRPr="00441A9C">
        <w:rPr>
          <w:rFonts w:ascii="Garamond" w:eastAsia="Calibri" w:hAnsi="Garamond"/>
          <w:sz w:val="22"/>
          <w:szCs w:val="22"/>
        </w:rPr>
        <w:t>Board</w:t>
      </w:r>
      <w:r w:rsidR="00C02E1F" w:rsidRPr="00441A9C">
        <w:rPr>
          <w:rFonts w:ascii="Garamond" w:eastAsia="Calibri" w:hAnsi="Garamond"/>
          <w:sz w:val="22"/>
          <w:szCs w:val="22"/>
        </w:rPr>
        <w:t xml:space="preserve"> of the Central Bank </w:t>
      </w:r>
      <w:r w:rsidRPr="00441A9C">
        <w:rPr>
          <w:rFonts w:ascii="Garamond" w:eastAsia="Calibri" w:hAnsi="Garamond"/>
          <w:sz w:val="22"/>
          <w:szCs w:val="22"/>
        </w:rPr>
        <w:t xml:space="preserve">left </w:t>
      </w:r>
      <w:r w:rsidR="00C02E1F" w:rsidRPr="00441A9C">
        <w:rPr>
          <w:rFonts w:ascii="Garamond" w:hAnsi="Garamond" w:cs="GHEA Grapalat"/>
          <w:sz w:val="22"/>
          <w:szCs w:val="22"/>
        </w:rPr>
        <w:t>the refinancing rate</w:t>
      </w:r>
      <w:r w:rsidRPr="00441A9C">
        <w:rPr>
          <w:rFonts w:ascii="Garamond" w:hAnsi="Garamond" w:cs="GHEA Grapalat"/>
          <w:sz w:val="22"/>
          <w:szCs w:val="22"/>
        </w:rPr>
        <w:t xml:space="preserve"> unchanged</w:t>
      </w:r>
      <w:r w:rsidR="009F5715" w:rsidRPr="00441A9C">
        <w:rPr>
          <w:rFonts w:ascii="Garamond" w:eastAsia="Calibri" w:hAnsi="Garamond"/>
          <w:sz w:val="22"/>
          <w:szCs w:val="22"/>
        </w:rPr>
        <w:t>.</w:t>
      </w:r>
    </w:p>
    <w:p w14:paraId="62507893" w14:textId="77777777" w:rsidR="009F5715" w:rsidRPr="00441A9C" w:rsidRDefault="009F5715" w:rsidP="0006101A">
      <w:pPr>
        <w:spacing w:line="360" w:lineRule="auto"/>
        <w:jc w:val="both"/>
        <w:rPr>
          <w:rFonts w:ascii="Garamond" w:eastAsia="Calibri" w:hAnsi="Garamond"/>
          <w:sz w:val="22"/>
          <w:szCs w:val="22"/>
        </w:rPr>
      </w:pPr>
    </w:p>
    <w:p w14:paraId="442E7D10" w14:textId="7BF71371" w:rsidR="00E512CD" w:rsidRPr="00441A9C" w:rsidRDefault="000926E1" w:rsidP="0006101A">
      <w:pPr>
        <w:spacing w:line="360" w:lineRule="auto"/>
        <w:jc w:val="both"/>
        <w:rPr>
          <w:rFonts w:ascii="Garamond" w:hAnsi="Garamond" w:cs="GHEA Grapalat"/>
          <w:sz w:val="22"/>
          <w:szCs w:val="22"/>
        </w:rPr>
      </w:pPr>
      <w:r w:rsidRPr="00441A9C">
        <w:rPr>
          <w:rFonts w:ascii="Garamond" w:hAnsi="Garamond" w:cs="GHEA Grapalat"/>
          <w:sz w:val="22"/>
          <w:szCs w:val="22"/>
        </w:rPr>
        <w:t>P</w:t>
      </w:r>
      <w:r w:rsidR="00125313" w:rsidRPr="00441A9C">
        <w:rPr>
          <w:rFonts w:ascii="Garamond" w:hAnsi="Garamond" w:cs="GHEA Grapalat"/>
          <w:sz w:val="22"/>
          <w:szCs w:val="22"/>
        </w:rPr>
        <w:t xml:space="preserve">ositive developments </w:t>
      </w:r>
      <w:r w:rsidRPr="00441A9C">
        <w:rPr>
          <w:rFonts w:ascii="Garamond" w:hAnsi="Garamond" w:cs="GHEA Grapalat"/>
          <w:sz w:val="22"/>
          <w:szCs w:val="22"/>
        </w:rPr>
        <w:t>as a result of c</w:t>
      </w:r>
      <w:r w:rsidR="00125313" w:rsidRPr="00441A9C">
        <w:rPr>
          <w:rFonts w:ascii="Garamond" w:hAnsi="Garamond" w:cs="GHEA Grapalat"/>
          <w:sz w:val="22"/>
          <w:szCs w:val="22"/>
        </w:rPr>
        <w:t xml:space="preserve">ontinued easing of monetary conditions by the Central Bank in the last two years, the forecasts for </w:t>
      </w:r>
      <w:r w:rsidRPr="00441A9C">
        <w:rPr>
          <w:rFonts w:ascii="Garamond" w:hAnsi="Garamond" w:cs="GHEA Grapalat"/>
          <w:sz w:val="22"/>
          <w:szCs w:val="22"/>
        </w:rPr>
        <w:t xml:space="preserve">inflation and balanced risks to inflation all have served a basis for </w:t>
      </w:r>
      <w:r w:rsidR="00125313" w:rsidRPr="00441A9C">
        <w:rPr>
          <w:rFonts w:ascii="Garamond" w:hAnsi="Garamond" w:cs="GHEA Grapalat"/>
          <w:sz w:val="22"/>
          <w:szCs w:val="22"/>
        </w:rPr>
        <w:t xml:space="preserve">the Board to </w:t>
      </w:r>
      <w:r w:rsidRPr="00441A9C">
        <w:rPr>
          <w:rFonts w:ascii="Garamond" w:hAnsi="Garamond" w:cs="GHEA Grapalat"/>
          <w:sz w:val="22"/>
          <w:szCs w:val="22"/>
        </w:rPr>
        <w:lastRenderedPageBreak/>
        <w:t>keep</w:t>
      </w:r>
      <w:r w:rsidR="00125313" w:rsidRPr="00441A9C">
        <w:rPr>
          <w:rFonts w:ascii="Garamond" w:hAnsi="Garamond" w:cs="GHEA Grapalat"/>
          <w:sz w:val="22"/>
          <w:szCs w:val="22"/>
        </w:rPr>
        <w:t xml:space="preserve"> the refinancing rate </w:t>
      </w:r>
      <w:r w:rsidRPr="00441A9C">
        <w:rPr>
          <w:rFonts w:ascii="Garamond" w:hAnsi="Garamond" w:cs="GHEA Grapalat"/>
          <w:sz w:val="22"/>
          <w:szCs w:val="22"/>
        </w:rPr>
        <w:t>at a 6.0% level</w:t>
      </w:r>
      <w:r w:rsidR="00125313" w:rsidRPr="00441A9C">
        <w:rPr>
          <w:rFonts w:ascii="Garamond" w:hAnsi="Garamond" w:cs="GHEA Grapalat"/>
          <w:sz w:val="22"/>
          <w:szCs w:val="22"/>
        </w:rPr>
        <w:t>.</w:t>
      </w:r>
      <w:r w:rsidRPr="00441A9C">
        <w:rPr>
          <w:rFonts w:ascii="Garamond" w:hAnsi="Garamond" w:cs="GHEA Grapalat"/>
          <w:sz w:val="22"/>
          <w:szCs w:val="22"/>
        </w:rPr>
        <w:t xml:space="preserve"> It was also assessed that </w:t>
      </w:r>
      <w:r w:rsidR="00E512CD" w:rsidRPr="00441A9C">
        <w:rPr>
          <w:rFonts w:ascii="Garamond" w:hAnsi="Garamond" w:cs="GHEA Grapalat"/>
          <w:sz w:val="22"/>
          <w:szCs w:val="22"/>
        </w:rPr>
        <w:t>the</w:t>
      </w:r>
      <w:r w:rsidRPr="00441A9C">
        <w:rPr>
          <w:rFonts w:ascii="Garamond" w:hAnsi="Garamond" w:cs="GHEA Grapalat"/>
          <w:sz w:val="22"/>
          <w:szCs w:val="22"/>
        </w:rPr>
        <w:t xml:space="preserve"> changes in monetary </w:t>
      </w:r>
      <w:r w:rsidR="00E512CD" w:rsidRPr="00441A9C">
        <w:rPr>
          <w:rFonts w:ascii="Garamond" w:hAnsi="Garamond" w:cs="GHEA Grapalat"/>
          <w:sz w:val="22"/>
          <w:szCs w:val="22"/>
        </w:rPr>
        <w:t xml:space="preserve">conditions have proved </w:t>
      </w:r>
      <w:r w:rsidRPr="00441A9C">
        <w:rPr>
          <w:rFonts w:ascii="Garamond" w:hAnsi="Garamond" w:cs="GHEA Grapalat"/>
          <w:sz w:val="22"/>
          <w:szCs w:val="22"/>
        </w:rPr>
        <w:t xml:space="preserve">sufficient for </w:t>
      </w:r>
      <w:r w:rsidR="00E512CD" w:rsidRPr="00441A9C">
        <w:rPr>
          <w:rFonts w:ascii="Garamond" w:hAnsi="Garamond" w:cs="GHEA Grapalat"/>
          <w:sz w:val="22"/>
          <w:szCs w:val="22"/>
        </w:rPr>
        <w:t xml:space="preserve">the inflation to </w:t>
      </w:r>
      <w:r w:rsidRPr="00441A9C">
        <w:rPr>
          <w:rFonts w:ascii="Garamond" w:hAnsi="Garamond" w:cs="GHEA Grapalat"/>
          <w:sz w:val="22"/>
          <w:szCs w:val="22"/>
        </w:rPr>
        <w:t xml:space="preserve">further </w:t>
      </w:r>
      <w:r w:rsidR="00E512CD" w:rsidRPr="00441A9C">
        <w:rPr>
          <w:rFonts w:ascii="Garamond" w:hAnsi="Garamond" w:cs="GHEA Grapalat"/>
          <w:sz w:val="22"/>
          <w:szCs w:val="22"/>
        </w:rPr>
        <w:t xml:space="preserve">recover and </w:t>
      </w:r>
      <w:r w:rsidR="00AB2493">
        <w:rPr>
          <w:rFonts w:ascii="Garamond" w:hAnsi="Garamond" w:cs="GHEA Grapalat"/>
          <w:sz w:val="22"/>
          <w:szCs w:val="22"/>
        </w:rPr>
        <w:t>move to</w:t>
      </w:r>
      <w:r w:rsidR="00E512CD" w:rsidRPr="00441A9C">
        <w:rPr>
          <w:rFonts w:ascii="Garamond" w:hAnsi="Garamond" w:cs="GHEA Grapalat"/>
          <w:sz w:val="22"/>
          <w:szCs w:val="22"/>
        </w:rPr>
        <w:t xml:space="preserve"> </w:t>
      </w:r>
      <w:r w:rsidRPr="00441A9C">
        <w:rPr>
          <w:rFonts w:ascii="Garamond" w:hAnsi="Garamond" w:cs="GHEA Grapalat"/>
          <w:sz w:val="22"/>
          <w:szCs w:val="22"/>
        </w:rPr>
        <w:t>the target</w:t>
      </w:r>
      <w:r w:rsidR="00E512CD" w:rsidRPr="00441A9C">
        <w:rPr>
          <w:rFonts w:ascii="Garamond" w:hAnsi="Garamond" w:cs="GHEA Grapalat"/>
          <w:sz w:val="22"/>
          <w:szCs w:val="22"/>
        </w:rPr>
        <w:t xml:space="preserve"> </w:t>
      </w:r>
      <w:r w:rsidRPr="00441A9C">
        <w:rPr>
          <w:rFonts w:ascii="Garamond" w:hAnsi="Garamond" w:cs="GHEA Grapalat"/>
          <w:sz w:val="22"/>
          <w:szCs w:val="22"/>
        </w:rPr>
        <w:t>in the forecast horizon.</w:t>
      </w:r>
    </w:p>
    <w:p w14:paraId="4680AA99" w14:textId="77777777" w:rsidR="00E512CD" w:rsidRPr="00441A9C" w:rsidRDefault="00E512CD" w:rsidP="0006101A">
      <w:pPr>
        <w:spacing w:line="360" w:lineRule="auto"/>
        <w:jc w:val="both"/>
        <w:rPr>
          <w:rFonts w:ascii="Garamond" w:hAnsi="Garamond" w:cs="GHEA Grapalat"/>
          <w:sz w:val="22"/>
          <w:szCs w:val="22"/>
        </w:rPr>
      </w:pPr>
    </w:p>
    <w:p w14:paraId="511D9CFA" w14:textId="0C33EA77" w:rsidR="00125313" w:rsidRPr="00441A9C" w:rsidRDefault="00E512CD" w:rsidP="0006101A">
      <w:pPr>
        <w:spacing w:line="360" w:lineRule="auto"/>
        <w:jc w:val="both"/>
        <w:rPr>
          <w:rFonts w:ascii="Garamond" w:hAnsi="Garamond" w:cs="GHEA Grapalat"/>
          <w:b/>
          <w:sz w:val="22"/>
          <w:szCs w:val="22"/>
        </w:rPr>
      </w:pPr>
      <w:r w:rsidRPr="00441A9C">
        <w:rPr>
          <w:rFonts w:ascii="Garamond" w:hAnsi="Garamond" w:cs="GHEA Grapalat"/>
          <w:b/>
          <w:sz w:val="22"/>
          <w:szCs w:val="22"/>
        </w:rPr>
        <w:t>In the meantime, the Central Bank Board ha</w:t>
      </w:r>
      <w:r w:rsidR="00752343" w:rsidRPr="00441A9C">
        <w:rPr>
          <w:rFonts w:ascii="Garamond" w:hAnsi="Garamond" w:cs="GHEA Grapalat"/>
          <w:b/>
          <w:sz w:val="22"/>
          <w:szCs w:val="22"/>
        </w:rPr>
        <w:t>d</w:t>
      </w:r>
      <w:r w:rsidRPr="00441A9C">
        <w:rPr>
          <w:rFonts w:ascii="Garamond" w:hAnsi="Garamond" w:cs="GHEA Grapalat"/>
          <w:b/>
          <w:sz w:val="22"/>
          <w:szCs w:val="22"/>
        </w:rPr>
        <w:t xml:space="preserve"> signaled to the financial market </w:t>
      </w:r>
      <w:r w:rsidR="00752343" w:rsidRPr="00441A9C">
        <w:rPr>
          <w:rFonts w:ascii="Garamond" w:hAnsi="Garamond" w:cs="GHEA Grapalat"/>
          <w:b/>
          <w:sz w:val="22"/>
          <w:szCs w:val="22"/>
        </w:rPr>
        <w:t xml:space="preserve">about leaving </w:t>
      </w:r>
      <w:r w:rsidRPr="00441A9C">
        <w:rPr>
          <w:rFonts w:ascii="Garamond" w:hAnsi="Garamond" w:cs="GHEA Grapalat"/>
          <w:b/>
          <w:sz w:val="22"/>
          <w:szCs w:val="22"/>
        </w:rPr>
        <w:t xml:space="preserve">the interest rate unchanged </w:t>
      </w:r>
      <w:r w:rsidR="00752343" w:rsidRPr="00441A9C">
        <w:rPr>
          <w:rFonts w:ascii="Garamond" w:hAnsi="Garamond" w:cs="GHEA Grapalat"/>
          <w:b/>
          <w:sz w:val="22"/>
          <w:szCs w:val="22"/>
        </w:rPr>
        <w:t xml:space="preserve">for a </w:t>
      </w:r>
      <w:r w:rsidR="00AB2493">
        <w:rPr>
          <w:rFonts w:ascii="Garamond" w:hAnsi="Garamond" w:cs="GHEA Grapalat"/>
          <w:b/>
          <w:sz w:val="22"/>
          <w:szCs w:val="22"/>
        </w:rPr>
        <w:t>certain period if macroeconomic developments proceed with the predicted scenatrio</w:t>
      </w:r>
      <w:r w:rsidRPr="00441A9C">
        <w:rPr>
          <w:rFonts w:ascii="Garamond" w:hAnsi="Garamond" w:cs="GHEA Grapalat"/>
          <w:b/>
          <w:sz w:val="22"/>
          <w:szCs w:val="22"/>
        </w:rPr>
        <w:t xml:space="preserve"> </w:t>
      </w:r>
    </w:p>
    <w:p w14:paraId="781C0426" w14:textId="77777777" w:rsidR="00CF0A3F" w:rsidRPr="00441A9C" w:rsidRDefault="00CF0A3F" w:rsidP="0006101A">
      <w:pPr>
        <w:spacing w:line="360" w:lineRule="auto"/>
        <w:jc w:val="both"/>
        <w:rPr>
          <w:rFonts w:ascii="Garamond" w:hAnsi="Garamond" w:cs="GHEA Grapalat"/>
          <w:sz w:val="22"/>
          <w:szCs w:val="22"/>
        </w:rPr>
      </w:pPr>
    </w:p>
    <w:p w14:paraId="65D82422" w14:textId="4DA846D6" w:rsidR="00125313" w:rsidRPr="00441A9C" w:rsidRDefault="00C228D3" w:rsidP="0006101A">
      <w:pPr>
        <w:spacing w:line="360" w:lineRule="auto"/>
        <w:jc w:val="both"/>
        <w:rPr>
          <w:rFonts w:ascii="Garamond" w:hAnsi="Garamond" w:cs="GHEA Grapalat"/>
          <w:sz w:val="22"/>
          <w:szCs w:val="22"/>
        </w:rPr>
      </w:pPr>
      <w:r w:rsidRPr="00441A9C">
        <w:rPr>
          <w:rFonts w:ascii="Garamond" w:hAnsi="Garamond" w:cs="GHEA Grapalat"/>
          <w:sz w:val="22"/>
          <w:szCs w:val="22"/>
        </w:rPr>
        <w:t xml:space="preserve">In the </w:t>
      </w:r>
      <w:r w:rsidR="00F202BB" w:rsidRPr="00441A9C">
        <w:rPr>
          <w:rFonts w:ascii="Garamond" w:hAnsi="Garamond" w:cs="GHEA Grapalat"/>
          <w:sz w:val="22"/>
          <w:szCs w:val="22"/>
        </w:rPr>
        <w:t>time of high liquidity in the domestic banking system in the</w:t>
      </w:r>
      <w:r w:rsidRPr="00441A9C">
        <w:rPr>
          <w:rFonts w:ascii="Garamond" w:hAnsi="Garamond" w:cs="GHEA Grapalat"/>
          <w:sz w:val="22"/>
          <w:szCs w:val="22"/>
        </w:rPr>
        <w:t xml:space="preserve"> </w:t>
      </w:r>
      <w:r w:rsidR="00F202BB" w:rsidRPr="00441A9C">
        <w:rPr>
          <w:rFonts w:ascii="Garamond" w:hAnsi="Garamond" w:cs="GHEA Grapalat"/>
          <w:sz w:val="22"/>
          <w:szCs w:val="22"/>
        </w:rPr>
        <w:t xml:space="preserve">second quarter of 2017, there was </w:t>
      </w:r>
      <w:r w:rsidR="00AB2493">
        <w:rPr>
          <w:rFonts w:ascii="Garamond" w:hAnsi="Garamond" w:cs="GHEA Grapalat"/>
          <w:color w:val="FF0000"/>
          <w:sz w:val="22"/>
          <w:szCs w:val="22"/>
        </w:rPr>
        <w:t xml:space="preserve">weak </w:t>
      </w:r>
      <w:r w:rsidR="00F202BB" w:rsidRPr="00441A9C">
        <w:rPr>
          <w:rFonts w:ascii="Garamond" w:hAnsi="Garamond" w:cs="GHEA Grapalat"/>
          <w:sz w:val="22"/>
          <w:szCs w:val="22"/>
        </w:rPr>
        <w:t>demand for the repo tool offered by the Central Bank. The s</w:t>
      </w:r>
      <w:r w:rsidRPr="00441A9C">
        <w:rPr>
          <w:rFonts w:ascii="Garamond" w:hAnsi="Garamond" w:cs="GHEA Grapalat"/>
          <w:sz w:val="22"/>
          <w:szCs w:val="22"/>
        </w:rPr>
        <w:t xml:space="preserve">hort-term </w:t>
      </w:r>
      <w:r w:rsidR="00AB2493">
        <w:rPr>
          <w:rFonts w:ascii="Garamond" w:hAnsi="Garamond" w:cs="GHEA Grapalat"/>
          <w:sz w:val="22"/>
          <w:szCs w:val="22"/>
        </w:rPr>
        <w:t xml:space="preserve">market </w:t>
      </w:r>
      <w:r w:rsidR="00F202BB" w:rsidRPr="00441A9C">
        <w:rPr>
          <w:rFonts w:ascii="Garamond" w:hAnsi="Garamond" w:cs="GHEA Grapalat"/>
          <w:sz w:val="22"/>
          <w:szCs w:val="22"/>
        </w:rPr>
        <w:t xml:space="preserve">interest </w:t>
      </w:r>
      <w:r w:rsidRPr="00441A9C">
        <w:rPr>
          <w:rFonts w:ascii="Garamond" w:hAnsi="Garamond" w:cs="GHEA Grapalat"/>
          <w:sz w:val="22"/>
          <w:szCs w:val="22"/>
        </w:rPr>
        <w:t xml:space="preserve">rates </w:t>
      </w:r>
      <w:r w:rsidR="00F202BB" w:rsidRPr="00441A9C">
        <w:rPr>
          <w:rFonts w:ascii="Garamond" w:hAnsi="Garamond" w:cs="GHEA Grapalat"/>
          <w:sz w:val="22"/>
          <w:szCs w:val="22"/>
        </w:rPr>
        <w:t xml:space="preserve">continued trending down: </w:t>
      </w:r>
      <w:r w:rsidRPr="00441A9C">
        <w:rPr>
          <w:rFonts w:ascii="Garamond" w:hAnsi="Garamond" w:cs="GHEA Grapalat"/>
          <w:sz w:val="22"/>
          <w:szCs w:val="22"/>
        </w:rPr>
        <w:t xml:space="preserve">interbank repo rate </w:t>
      </w:r>
      <w:r w:rsidR="00F202BB" w:rsidRPr="00441A9C">
        <w:rPr>
          <w:rFonts w:ascii="Garamond" w:hAnsi="Garamond" w:cs="GHEA Grapalat"/>
          <w:sz w:val="22"/>
          <w:szCs w:val="22"/>
        </w:rPr>
        <w:t>reduced b</w:t>
      </w:r>
      <w:r w:rsidRPr="00441A9C">
        <w:rPr>
          <w:rFonts w:ascii="Garamond" w:hAnsi="Garamond" w:cs="GHEA Grapalat"/>
          <w:sz w:val="22"/>
          <w:szCs w:val="22"/>
        </w:rPr>
        <w:t xml:space="preserve">y 0.2 pp </w:t>
      </w:r>
      <w:r w:rsidR="00F202BB" w:rsidRPr="00441A9C">
        <w:rPr>
          <w:rFonts w:ascii="Garamond" w:hAnsi="Garamond" w:cs="GHEA Grapalat"/>
          <w:sz w:val="22"/>
          <w:szCs w:val="22"/>
        </w:rPr>
        <w:t xml:space="preserve">during the quarter to 5.86%; in June </w:t>
      </w:r>
      <w:r w:rsidRPr="00441A9C">
        <w:rPr>
          <w:rFonts w:ascii="Garamond" w:hAnsi="Garamond" w:cs="GHEA Grapalat"/>
          <w:sz w:val="22"/>
          <w:szCs w:val="22"/>
        </w:rPr>
        <w:t xml:space="preserve">the average quarterly indicator </w:t>
      </w:r>
      <w:r w:rsidR="00F202BB" w:rsidRPr="00441A9C">
        <w:rPr>
          <w:rFonts w:ascii="Garamond" w:hAnsi="Garamond" w:cs="GHEA Grapalat"/>
          <w:sz w:val="22"/>
          <w:szCs w:val="22"/>
        </w:rPr>
        <w:t xml:space="preserve">was 5.64%, </w:t>
      </w:r>
      <w:r w:rsidRPr="00441A9C">
        <w:rPr>
          <w:rFonts w:ascii="Garamond" w:hAnsi="Garamond" w:cs="GHEA Grapalat"/>
          <w:sz w:val="22"/>
          <w:szCs w:val="22"/>
        </w:rPr>
        <w:t>decreas</w:t>
      </w:r>
      <w:r w:rsidR="00F202BB" w:rsidRPr="00441A9C">
        <w:rPr>
          <w:rFonts w:ascii="Garamond" w:hAnsi="Garamond" w:cs="GHEA Grapalat"/>
          <w:sz w:val="22"/>
          <w:szCs w:val="22"/>
        </w:rPr>
        <w:t xml:space="preserve">ing by </w:t>
      </w:r>
      <w:r w:rsidRPr="00441A9C">
        <w:rPr>
          <w:rFonts w:ascii="Garamond" w:hAnsi="Garamond" w:cs="GHEA Grapalat"/>
          <w:sz w:val="22"/>
          <w:szCs w:val="22"/>
        </w:rPr>
        <w:t>0.</w:t>
      </w:r>
      <w:r w:rsidR="00F202BB" w:rsidRPr="00441A9C">
        <w:rPr>
          <w:rFonts w:ascii="Garamond" w:hAnsi="Garamond" w:cs="GHEA Grapalat"/>
          <w:sz w:val="22"/>
          <w:szCs w:val="22"/>
        </w:rPr>
        <w:t>39</w:t>
      </w:r>
      <w:r w:rsidRPr="00441A9C">
        <w:rPr>
          <w:rFonts w:ascii="Garamond" w:hAnsi="Garamond" w:cs="GHEA Grapalat"/>
          <w:sz w:val="22"/>
          <w:szCs w:val="22"/>
        </w:rPr>
        <w:t xml:space="preserve"> pp </w:t>
      </w:r>
      <w:r w:rsidR="00F202BB" w:rsidRPr="00441A9C">
        <w:rPr>
          <w:rFonts w:ascii="Garamond" w:hAnsi="Garamond" w:cs="GHEA Grapalat"/>
          <w:sz w:val="22"/>
          <w:szCs w:val="22"/>
        </w:rPr>
        <w:t>against March</w:t>
      </w:r>
      <w:r w:rsidRPr="00441A9C">
        <w:rPr>
          <w:rFonts w:ascii="Garamond" w:hAnsi="Garamond" w:cs="GHEA Grapalat"/>
          <w:sz w:val="22"/>
          <w:szCs w:val="22"/>
        </w:rPr>
        <w:t>.</w:t>
      </w:r>
      <w:r w:rsidR="00F202BB" w:rsidRPr="00441A9C">
        <w:rPr>
          <w:rFonts w:ascii="Garamond" w:hAnsi="Garamond" w:cs="GHEA Grapalat"/>
          <w:sz w:val="22"/>
          <w:szCs w:val="22"/>
        </w:rPr>
        <w:t xml:space="preserve"> </w:t>
      </w:r>
      <w:r w:rsidR="00787F74" w:rsidRPr="00441A9C">
        <w:rPr>
          <w:rFonts w:ascii="Garamond" w:hAnsi="Garamond" w:cs="GHEA Grapalat"/>
          <w:sz w:val="22"/>
          <w:szCs w:val="22"/>
        </w:rPr>
        <w:t>In June the</w:t>
      </w:r>
      <w:r w:rsidRPr="00441A9C">
        <w:rPr>
          <w:rFonts w:ascii="Garamond" w:hAnsi="Garamond" w:cs="GHEA Grapalat"/>
          <w:sz w:val="22"/>
          <w:szCs w:val="22"/>
        </w:rPr>
        <w:t xml:space="preserve"> up to 14-day interbank repo </w:t>
      </w:r>
      <w:r w:rsidR="00787F74" w:rsidRPr="00441A9C">
        <w:rPr>
          <w:rFonts w:ascii="Garamond" w:hAnsi="Garamond" w:cs="GHEA Grapalat"/>
          <w:sz w:val="22"/>
          <w:szCs w:val="22"/>
        </w:rPr>
        <w:t xml:space="preserve">rate was </w:t>
      </w:r>
      <w:r w:rsidR="00A73DC7" w:rsidRPr="00441A9C">
        <w:rPr>
          <w:rFonts w:ascii="Garamond" w:hAnsi="Garamond" w:cs="GHEA Grapalat"/>
          <w:sz w:val="22"/>
          <w:szCs w:val="22"/>
        </w:rPr>
        <w:t>0.</w:t>
      </w:r>
      <w:r w:rsidR="00787F74" w:rsidRPr="00441A9C">
        <w:rPr>
          <w:rFonts w:ascii="Garamond" w:hAnsi="Garamond" w:cs="GHEA Grapalat"/>
          <w:sz w:val="22"/>
          <w:szCs w:val="22"/>
        </w:rPr>
        <w:t xml:space="preserve">39 pp </w:t>
      </w:r>
      <w:r w:rsidR="00AB2493">
        <w:rPr>
          <w:rFonts w:ascii="Garamond" w:hAnsi="Garamond" w:cs="GHEA Grapalat"/>
          <w:sz w:val="22"/>
          <w:szCs w:val="22"/>
        </w:rPr>
        <w:t>lower</w:t>
      </w:r>
      <w:r w:rsidR="00AB2493" w:rsidRPr="00441A9C">
        <w:rPr>
          <w:rFonts w:ascii="Garamond" w:hAnsi="Garamond" w:cs="GHEA Grapalat"/>
          <w:sz w:val="22"/>
          <w:szCs w:val="22"/>
        </w:rPr>
        <w:t xml:space="preserve"> </w:t>
      </w:r>
      <w:r w:rsidR="00A73DC7" w:rsidRPr="00441A9C">
        <w:rPr>
          <w:rFonts w:ascii="Garamond" w:hAnsi="Garamond" w:cs="GHEA Grapalat"/>
          <w:sz w:val="22"/>
          <w:szCs w:val="22"/>
        </w:rPr>
        <w:t xml:space="preserve">from </w:t>
      </w:r>
      <w:r w:rsidRPr="00441A9C">
        <w:rPr>
          <w:rFonts w:ascii="Garamond" w:hAnsi="Garamond" w:cs="GHEA Grapalat"/>
          <w:sz w:val="22"/>
          <w:szCs w:val="22"/>
        </w:rPr>
        <w:t xml:space="preserve">the refinancing rate of the </w:t>
      </w:r>
      <w:r w:rsidR="00A73DC7" w:rsidRPr="00441A9C">
        <w:rPr>
          <w:rFonts w:ascii="Garamond" w:hAnsi="Garamond" w:cs="GHEA Grapalat"/>
          <w:sz w:val="22"/>
          <w:szCs w:val="22"/>
        </w:rPr>
        <w:t>Central Bank</w:t>
      </w:r>
      <w:r w:rsidR="00787F74" w:rsidRPr="00441A9C">
        <w:rPr>
          <w:rStyle w:val="FootnoteReference"/>
          <w:rFonts w:ascii="Garamond" w:hAnsi="Garamond" w:cs="GHEA Grapalat"/>
          <w:sz w:val="22"/>
          <w:szCs w:val="22"/>
        </w:rPr>
        <w:footnoteReference w:customMarkFollows="1" w:id="19"/>
        <w:t>21</w:t>
      </w:r>
      <w:r w:rsidR="00A73DC7" w:rsidRPr="00441A9C">
        <w:rPr>
          <w:rFonts w:ascii="Garamond" w:hAnsi="Garamond" w:cs="GHEA Grapalat"/>
          <w:sz w:val="22"/>
          <w:szCs w:val="22"/>
        </w:rPr>
        <w:t>.</w:t>
      </w:r>
    </w:p>
    <w:p w14:paraId="2FEF0FC8" w14:textId="77777777" w:rsidR="00A73DC7" w:rsidRPr="00441A9C" w:rsidRDefault="00A73DC7" w:rsidP="0006101A">
      <w:pPr>
        <w:spacing w:line="360" w:lineRule="auto"/>
        <w:jc w:val="both"/>
        <w:rPr>
          <w:rFonts w:ascii="Garamond" w:hAnsi="Garamond" w:cs="GHEA Grapalat"/>
          <w:sz w:val="22"/>
          <w:szCs w:val="22"/>
        </w:rPr>
      </w:pPr>
    </w:p>
    <w:p w14:paraId="013D46EC" w14:textId="1A1726C8" w:rsidR="00A73DC7" w:rsidRPr="00441A9C" w:rsidRDefault="00A73DC7" w:rsidP="0006101A">
      <w:pPr>
        <w:spacing w:line="360" w:lineRule="auto"/>
        <w:jc w:val="both"/>
        <w:rPr>
          <w:rFonts w:ascii="Garamond" w:hAnsi="Garamond" w:cs="GHEA Grapalat"/>
          <w:sz w:val="22"/>
          <w:szCs w:val="22"/>
        </w:rPr>
      </w:pPr>
      <w:r w:rsidRPr="00441A9C">
        <w:rPr>
          <w:rFonts w:ascii="Garamond" w:hAnsi="Garamond" w:cs="GHEA Grapalat"/>
          <w:sz w:val="22"/>
          <w:szCs w:val="22"/>
        </w:rPr>
        <w:t xml:space="preserve">In the financial market, </w:t>
      </w:r>
      <w:r w:rsidR="00E960F6" w:rsidRPr="00441A9C">
        <w:rPr>
          <w:rFonts w:ascii="Garamond" w:hAnsi="Garamond" w:cs="GHEA Grapalat"/>
          <w:sz w:val="22"/>
          <w:szCs w:val="22"/>
        </w:rPr>
        <w:t xml:space="preserve">the falling of </w:t>
      </w:r>
      <w:r w:rsidRPr="00441A9C">
        <w:rPr>
          <w:rFonts w:ascii="Garamond" w:hAnsi="Garamond" w:cs="GHEA Grapalat"/>
          <w:sz w:val="22"/>
          <w:szCs w:val="22"/>
        </w:rPr>
        <w:t xml:space="preserve">interest rates </w:t>
      </w:r>
      <w:r w:rsidR="00616ED1" w:rsidRPr="00441A9C">
        <w:rPr>
          <w:rFonts w:ascii="Garamond" w:hAnsi="Garamond" w:cs="GHEA Grapalat"/>
          <w:sz w:val="22"/>
          <w:szCs w:val="22"/>
        </w:rPr>
        <w:t xml:space="preserve">has </w:t>
      </w:r>
      <w:r w:rsidR="00E960F6" w:rsidRPr="00441A9C">
        <w:rPr>
          <w:rFonts w:ascii="Garamond" w:hAnsi="Garamond" w:cs="GHEA Grapalat"/>
          <w:sz w:val="22"/>
          <w:szCs w:val="22"/>
        </w:rPr>
        <w:t xml:space="preserve">affected the </w:t>
      </w:r>
      <w:r w:rsidRPr="00441A9C">
        <w:rPr>
          <w:rFonts w:ascii="Garamond" w:hAnsi="Garamond" w:cs="GHEA Grapalat"/>
          <w:sz w:val="22"/>
          <w:szCs w:val="22"/>
        </w:rPr>
        <w:t xml:space="preserve">government </w:t>
      </w:r>
      <w:r w:rsidR="00787F74" w:rsidRPr="00441A9C">
        <w:rPr>
          <w:rFonts w:ascii="Garamond" w:hAnsi="Garamond" w:cs="GHEA Grapalat"/>
          <w:sz w:val="22"/>
          <w:szCs w:val="22"/>
        </w:rPr>
        <w:t xml:space="preserve">securities </w:t>
      </w:r>
      <w:r w:rsidR="00E960F6" w:rsidRPr="00441A9C">
        <w:rPr>
          <w:rFonts w:ascii="Garamond" w:hAnsi="Garamond" w:cs="GHEA Grapalat"/>
          <w:sz w:val="22"/>
          <w:szCs w:val="22"/>
        </w:rPr>
        <w:t>market</w:t>
      </w:r>
      <w:r w:rsidR="00787F74" w:rsidRPr="00441A9C">
        <w:rPr>
          <w:rFonts w:ascii="Garamond" w:hAnsi="Garamond" w:cs="GHEA Grapalat"/>
          <w:sz w:val="22"/>
          <w:szCs w:val="22"/>
        </w:rPr>
        <w:t>, too.</w:t>
      </w:r>
      <w:r w:rsidR="00E960F6" w:rsidRPr="00441A9C">
        <w:rPr>
          <w:rFonts w:ascii="Garamond" w:hAnsi="Garamond" w:cs="GHEA Grapalat"/>
          <w:sz w:val="22"/>
          <w:szCs w:val="22"/>
        </w:rPr>
        <w:t xml:space="preserve"> </w:t>
      </w:r>
      <w:r w:rsidR="00AB2493">
        <w:rPr>
          <w:rFonts w:ascii="Garamond" w:hAnsi="Garamond" w:cs="GHEA Grapalat"/>
          <w:sz w:val="22"/>
          <w:szCs w:val="22"/>
        </w:rPr>
        <w:t>T</w:t>
      </w:r>
      <w:r w:rsidRPr="00441A9C">
        <w:rPr>
          <w:rFonts w:ascii="Garamond" w:hAnsi="Garamond" w:cs="GHEA Grapalat"/>
          <w:sz w:val="22"/>
          <w:szCs w:val="22"/>
        </w:rPr>
        <w:t>he yield curve</w:t>
      </w:r>
      <w:r w:rsidR="00787F74" w:rsidRPr="00441A9C">
        <w:rPr>
          <w:rFonts w:ascii="Garamond" w:hAnsi="Garamond" w:cs="GHEA Grapalat"/>
          <w:sz w:val="22"/>
          <w:szCs w:val="22"/>
        </w:rPr>
        <w:t xml:space="preserve"> </w:t>
      </w:r>
      <w:r w:rsidR="00AB2493">
        <w:rPr>
          <w:rFonts w:ascii="Garamond" w:hAnsi="Garamond" w:cs="GHEA Grapalat"/>
          <w:sz w:val="22"/>
          <w:szCs w:val="22"/>
        </w:rPr>
        <w:t>of</w:t>
      </w:r>
      <w:r w:rsidR="00AB2493" w:rsidRPr="00441A9C">
        <w:rPr>
          <w:rFonts w:ascii="Garamond" w:hAnsi="Garamond" w:cs="GHEA Grapalat"/>
          <w:sz w:val="22"/>
          <w:szCs w:val="22"/>
        </w:rPr>
        <w:t xml:space="preserve"> </w:t>
      </w:r>
      <w:r w:rsidR="00787F74" w:rsidRPr="00441A9C">
        <w:rPr>
          <w:rFonts w:ascii="Garamond" w:hAnsi="Garamond" w:cs="GHEA Grapalat"/>
          <w:sz w:val="22"/>
          <w:szCs w:val="22"/>
        </w:rPr>
        <w:t xml:space="preserve">government bonds </w:t>
      </w:r>
      <w:r w:rsidR="00BD7796" w:rsidRPr="00441A9C">
        <w:rPr>
          <w:rFonts w:ascii="Garamond" w:hAnsi="Garamond" w:cs="GHEA Grapalat"/>
          <w:sz w:val="22"/>
          <w:szCs w:val="22"/>
        </w:rPr>
        <w:t xml:space="preserve">denotes no significant change in the long-term dynamics </w:t>
      </w:r>
      <w:r w:rsidR="00616ED1" w:rsidRPr="00441A9C">
        <w:rPr>
          <w:rFonts w:ascii="Garamond" w:hAnsi="Garamond" w:cs="GHEA Grapalat"/>
          <w:sz w:val="22"/>
          <w:szCs w:val="22"/>
        </w:rPr>
        <w:t>from</w:t>
      </w:r>
      <w:r w:rsidR="00BD7796" w:rsidRPr="00441A9C">
        <w:rPr>
          <w:rFonts w:ascii="Garamond" w:hAnsi="Garamond" w:cs="GHEA Grapalat"/>
          <w:sz w:val="22"/>
          <w:szCs w:val="22"/>
        </w:rPr>
        <w:t xml:space="preserve"> end-June </w:t>
      </w:r>
      <w:r w:rsidR="00616ED1" w:rsidRPr="00441A9C">
        <w:rPr>
          <w:rFonts w:ascii="Garamond" w:hAnsi="Garamond" w:cs="GHEA Grapalat"/>
          <w:sz w:val="22"/>
          <w:szCs w:val="22"/>
        </w:rPr>
        <w:t xml:space="preserve">to </w:t>
      </w:r>
      <w:r w:rsidR="00BD7796" w:rsidRPr="00441A9C">
        <w:rPr>
          <w:rFonts w:ascii="Garamond" w:hAnsi="Garamond" w:cs="GHEA Grapalat"/>
          <w:sz w:val="22"/>
          <w:szCs w:val="22"/>
        </w:rPr>
        <w:t>end-March</w:t>
      </w:r>
      <w:r w:rsidR="00AB2493">
        <w:rPr>
          <w:rFonts w:ascii="Garamond" w:hAnsi="Garamond" w:cs="GHEA Grapalat"/>
          <w:sz w:val="22"/>
          <w:szCs w:val="22"/>
        </w:rPr>
        <w:t>. M</w:t>
      </w:r>
      <w:r w:rsidRPr="00441A9C">
        <w:rPr>
          <w:rFonts w:ascii="Garamond" w:hAnsi="Garamond" w:cs="GHEA Grapalat"/>
          <w:sz w:val="22"/>
          <w:szCs w:val="22"/>
        </w:rPr>
        <w:t>o</w:t>
      </w:r>
      <w:r w:rsidR="00E960F6" w:rsidRPr="00441A9C">
        <w:rPr>
          <w:rFonts w:ascii="Garamond" w:hAnsi="Garamond" w:cs="GHEA Grapalat"/>
          <w:sz w:val="22"/>
          <w:szCs w:val="22"/>
        </w:rPr>
        <w:t>st prominent</w:t>
      </w:r>
      <w:r w:rsidR="00616ED1" w:rsidRPr="00441A9C">
        <w:rPr>
          <w:rFonts w:ascii="Garamond" w:hAnsi="Garamond" w:cs="GHEA Grapalat"/>
          <w:sz w:val="22"/>
          <w:szCs w:val="22"/>
        </w:rPr>
        <w:t xml:space="preserve"> change in market participants</w:t>
      </w:r>
      <w:r w:rsidR="00BD3116" w:rsidRPr="00441A9C">
        <w:rPr>
          <w:rFonts w:ascii="Garamond" w:hAnsi="Garamond" w:cs="GHEA Grapalat"/>
          <w:sz w:val="22"/>
          <w:szCs w:val="22"/>
        </w:rPr>
        <w:t>’ expectations</w:t>
      </w:r>
      <w:r w:rsidR="00616ED1" w:rsidRPr="00441A9C">
        <w:rPr>
          <w:rFonts w:ascii="Garamond" w:hAnsi="Garamond" w:cs="GHEA Grapalat"/>
          <w:sz w:val="22"/>
          <w:szCs w:val="22"/>
        </w:rPr>
        <w:t xml:space="preserve"> </w:t>
      </w:r>
      <w:r w:rsidR="00BD3116" w:rsidRPr="00441A9C">
        <w:rPr>
          <w:rFonts w:ascii="Garamond" w:hAnsi="Garamond" w:cs="GHEA Grapalat"/>
          <w:sz w:val="22"/>
          <w:szCs w:val="22"/>
        </w:rPr>
        <w:t xml:space="preserve">has been </w:t>
      </w:r>
      <w:r w:rsidR="00616ED1" w:rsidRPr="00441A9C">
        <w:rPr>
          <w:rFonts w:ascii="Garamond" w:hAnsi="Garamond" w:cs="GHEA Grapalat"/>
          <w:sz w:val="22"/>
          <w:szCs w:val="22"/>
        </w:rPr>
        <w:t xml:space="preserve">for a </w:t>
      </w:r>
      <w:proofErr w:type="gramStart"/>
      <w:r w:rsidR="00616ED1" w:rsidRPr="00441A9C">
        <w:rPr>
          <w:rFonts w:ascii="Garamond" w:hAnsi="Garamond" w:cs="GHEA Grapalat"/>
          <w:sz w:val="22"/>
          <w:szCs w:val="22"/>
        </w:rPr>
        <w:t>2-10 year</w:t>
      </w:r>
      <w:proofErr w:type="gramEnd"/>
      <w:r w:rsidR="00616ED1" w:rsidRPr="00441A9C">
        <w:rPr>
          <w:rFonts w:ascii="Garamond" w:hAnsi="Garamond" w:cs="GHEA Grapalat"/>
          <w:sz w:val="22"/>
          <w:szCs w:val="22"/>
        </w:rPr>
        <w:t xml:space="preserve"> </w:t>
      </w:r>
      <w:r w:rsidR="00BD3116" w:rsidRPr="00441A9C">
        <w:rPr>
          <w:rFonts w:ascii="Garamond" w:hAnsi="Garamond" w:cs="GHEA Grapalat"/>
          <w:sz w:val="22"/>
          <w:szCs w:val="22"/>
        </w:rPr>
        <w:t>se</w:t>
      </w:r>
      <w:r w:rsidR="00AB2493">
        <w:rPr>
          <w:rFonts w:ascii="Garamond" w:hAnsi="Garamond" w:cs="GHEA Grapalat"/>
          <w:sz w:val="22"/>
          <w:szCs w:val="22"/>
        </w:rPr>
        <w:t xml:space="preserve">ction </w:t>
      </w:r>
      <w:r w:rsidR="00BD3116" w:rsidRPr="00441A9C">
        <w:rPr>
          <w:rFonts w:ascii="Garamond" w:hAnsi="Garamond" w:cs="GHEA Grapalat"/>
          <w:sz w:val="22"/>
          <w:szCs w:val="22"/>
        </w:rPr>
        <w:t>of the curve</w:t>
      </w:r>
      <w:r w:rsidR="00616ED1" w:rsidRPr="00441A9C">
        <w:rPr>
          <w:rFonts w:ascii="Garamond" w:hAnsi="Garamond" w:cs="GHEA Grapalat"/>
          <w:sz w:val="22"/>
          <w:szCs w:val="22"/>
        </w:rPr>
        <w:t xml:space="preserve">, </w:t>
      </w:r>
      <w:r w:rsidR="00BD3116" w:rsidRPr="00441A9C">
        <w:rPr>
          <w:rFonts w:ascii="Garamond" w:hAnsi="Garamond" w:cs="GHEA Grapalat"/>
          <w:sz w:val="22"/>
          <w:szCs w:val="22"/>
        </w:rPr>
        <w:t xml:space="preserve">as yields followed a downward path. </w:t>
      </w:r>
    </w:p>
    <w:p w14:paraId="26D6885A" w14:textId="77777777" w:rsidR="004A7BBD" w:rsidRPr="00441A9C" w:rsidRDefault="004A7BBD" w:rsidP="0006101A">
      <w:pPr>
        <w:spacing w:line="360" w:lineRule="auto"/>
        <w:jc w:val="both"/>
        <w:rPr>
          <w:rFonts w:ascii="Garamond" w:hAnsi="Garamond" w:cs="GHEA Grapalat"/>
          <w:sz w:val="22"/>
          <w:szCs w:val="22"/>
        </w:rPr>
      </w:pPr>
    </w:p>
    <w:p w14:paraId="0F39BC84" w14:textId="6C3BC7A2" w:rsidR="004A7BBD" w:rsidRPr="00441A9C" w:rsidRDefault="004A7BBD" w:rsidP="004A7BBD">
      <w:pPr>
        <w:spacing w:line="360" w:lineRule="auto"/>
        <w:jc w:val="both"/>
        <w:rPr>
          <w:rFonts w:ascii="Garamond" w:hAnsi="Garamond" w:cs="Sylfaen"/>
          <w:color w:val="000000"/>
          <w:sz w:val="22"/>
          <w:szCs w:val="22"/>
        </w:rPr>
      </w:pPr>
      <w:r w:rsidRPr="00441A9C">
        <w:rPr>
          <w:rFonts w:ascii="Garamond" w:hAnsi="Garamond" w:cs="Sylfaen"/>
          <w:color w:val="000000"/>
          <w:sz w:val="22"/>
          <w:szCs w:val="22"/>
        </w:rPr>
        <w:t>Relative stability in financial and currency markets was further observable during the quarter. Driven by the l</w:t>
      </w:r>
      <w:r w:rsidR="00FC1DA4">
        <w:rPr>
          <w:rFonts w:ascii="Garamond" w:hAnsi="Garamond" w:cs="Sylfaen"/>
          <w:color w:val="000000"/>
          <w:sz w:val="22"/>
          <w:szCs w:val="22"/>
        </w:rPr>
        <w:t>agged</w:t>
      </w:r>
      <w:r w:rsidRPr="00441A9C">
        <w:rPr>
          <w:rFonts w:ascii="Garamond" w:hAnsi="Garamond" w:cs="Sylfaen"/>
          <w:color w:val="000000"/>
          <w:sz w:val="22"/>
          <w:szCs w:val="22"/>
        </w:rPr>
        <w:t xml:space="preserve"> impact of implemented expansionary monetary policy</w:t>
      </w:r>
      <w:r w:rsidR="00FC1DA4">
        <w:rPr>
          <w:rFonts w:ascii="Garamond" w:hAnsi="Garamond" w:cs="Sylfaen"/>
          <w:color w:val="000000"/>
          <w:sz w:val="22"/>
          <w:szCs w:val="22"/>
        </w:rPr>
        <w:t xml:space="preserve">, and increased confidence in monetary policy, </w:t>
      </w:r>
      <w:r w:rsidRPr="00441A9C">
        <w:rPr>
          <w:rFonts w:ascii="Garamond" w:hAnsi="Garamond" w:cs="Sylfaen"/>
          <w:color w:val="000000"/>
          <w:sz w:val="22"/>
          <w:szCs w:val="22"/>
        </w:rPr>
        <w:t>the financial market rates have fallen along with the decline in inflation expectationsCompetition between banks and other financial institutions and the current level of liquidity have also contributed to continued reduction of deposit</w:t>
      </w:r>
      <w:r w:rsidR="00FC1DA4">
        <w:rPr>
          <w:rFonts w:ascii="Garamond" w:hAnsi="Garamond" w:cs="Sylfaen"/>
          <w:color w:val="000000"/>
          <w:sz w:val="22"/>
          <w:szCs w:val="22"/>
        </w:rPr>
        <w:t xml:space="preserve"> rate</w:t>
      </w:r>
      <w:r w:rsidRPr="00441A9C">
        <w:rPr>
          <w:rFonts w:ascii="Garamond" w:hAnsi="Garamond" w:cs="Sylfaen"/>
          <w:color w:val="000000"/>
          <w:sz w:val="22"/>
          <w:szCs w:val="22"/>
        </w:rPr>
        <w:t>s and loan</w:t>
      </w:r>
      <w:r w:rsidR="00FC1DA4">
        <w:rPr>
          <w:rFonts w:ascii="Garamond" w:hAnsi="Garamond" w:cs="Sylfaen"/>
          <w:color w:val="000000"/>
          <w:sz w:val="22"/>
          <w:szCs w:val="22"/>
        </w:rPr>
        <w:t xml:space="preserve"> rate</w:t>
      </w:r>
      <w:r w:rsidRPr="00441A9C">
        <w:rPr>
          <w:rFonts w:ascii="Garamond" w:hAnsi="Garamond" w:cs="Sylfaen"/>
          <w:color w:val="000000"/>
          <w:sz w:val="22"/>
          <w:szCs w:val="22"/>
        </w:rPr>
        <w:t>s in the second quarter of 2017.</w:t>
      </w:r>
    </w:p>
    <w:p w14:paraId="3501CE70" w14:textId="77777777" w:rsidR="004A7BBD" w:rsidRPr="00441A9C" w:rsidRDefault="004A7BBD" w:rsidP="004A7BBD">
      <w:pPr>
        <w:spacing w:line="360" w:lineRule="auto"/>
        <w:jc w:val="both"/>
        <w:rPr>
          <w:rFonts w:ascii="Garamond" w:hAnsi="Garamond" w:cs="Sylfaen"/>
          <w:color w:val="000000"/>
          <w:sz w:val="22"/>
          <w:szCs w:val="22"/>
        </w:rPr>
      </w:pPr>
    </w:p>
    <w:p w14:paraId="21595C8B" w14:textId="77777777" w:rsidR="004A7BBD" w:rsidRPr="00441A9C" w:rsidRDefault="004A7BBD" w:rsidP="004A7BBD">
      <w:pPr>
        <w:spacing w:line="360" w:lineRule="auto"/>
        <w:jc w:val="both"/>
        <w:rPr>
          <w:rFonts w:ascii="Garamond" w:hAnsi="Garamond" w:cs="Sylfaen"/>
          <w:color w:val="000000"/>
          <w:sz w:val="22"/>
          <w:szCs w:val="22"/>
        </w:rPr>
      </w:pPr>
      <w:r w:rsidRPr="00441A9C">
        <w:rPr>
          <w:rFonts w:ascii="Garamond" w:hAnsi="Garamond" w:cs="Sylfaen"/>
          <w:color w:val="000000"/>
          <w:sz w:val="22"/>
          <w:szCs w:val="22"/>
        </w:rPr>
        <w:t>Falling interest rates of deposits notwithstanding, attracting of deposits continued to grow. During the quarter, dram deposits grew by 5.3% but foreign currency deposits reduced by 1.1%, pushing the level of dollarization down by 1.1 pp.</w:t>
      </w:r>
    </w:p>
    <w:p w14:paraId="7C400504" w14:textId="77777777" w:rsidR="004A7BBD" w:rsidRPr="00441A9C" w:rsidRDefault="004A7BBD" w:rsidP="004A7BBD">
      <w:pPr>
        <w:spacing w:line="360" w:lineRule="auto"/>
        <w:jc w:val="both"/>
        <w:rPr>
          <w:rFonts w:ascii="Garamond" w:hAnsi="Garamond" w:cs="Sylfaen"/>
          <w:color w:val="000000"/>
          <w:sz w:val="22"/>
          <w:szCs w:val="22"/>
        </w:rPr>
      </w:pPr>
    </w:p>
    <w:p w14:paraId="3F0D5BB5" w14:textId="6AAC0B04" w:rsidR="004A7BBD" w:rsidRPr="00441A9C" w:rsidRDefault="004A7BBD" w:rsidP="004A7BBD">
      <w:pPr>
        <w:spacing w:line="360" w:lineRule="auto"/>
        <w:jc w:val="both"/>
        <w:rPr>
          <w:rFonts w:ascii="Garamond" w:hAnsi="Garamond" w:cs="Sylfaen"/>
          <w:color w:val="000000"/>
          <w:sz w:val="22"/>
          <w:szCs w:val="22"/>
        </w:rPr>
      </w:pPr>
      <w:r w:rsidRPr="00441A9C">
        <w:rPr>
          <w:rFonts w:ascii="Garamond" w:hAnsi="Garamond" w:cs="Sylfaen"/>
          <w:color w:val="000000"/>
          <w:sz w:val="22"/>
          <w:szCs w:val="22"/>
        </w:rPr>
        <w:t>The falling of interest rates and easier lending procedures further contributed to the growth of lending, as was expected; the growth amounted to 3.</w:t>
      </w:r>
      <w:r w:rsidR="007F738C">
        <w:rPr>
          <w:rFonts w:ascii="Garamond" w:hAnsi="Garamond" w:cs="Sylfaen"/>
          <w:color w:val="000000"/>
          <w:sz w:val="22"/>
          <w:szCs w:val="22"/>
        </w:rPr>
        <w:t>6</w:t>
      </w:r>
      <w:r w:rsidRPr="00441A9C">
        <w:rPr>
          <w:rFonts w:ascii="Garamond" w:hAnsi="Garamond" w:cs="Sylfaen"/>
          <w:color w:val="000000"/>
          <w:sz w:val="22"/>
          <w:szCs w:val="22"/>
        </w:rPr>
        <w:t xml:space="preserve">% during the quarter mainly owing to dram loans provided to firms. In June 2017 the 12-month growth in total lending was 7.8%, </w:t>
      </w:r>
      <w:r w:rsidR="000D06A2">
        <w:rPr>
          <w:rFonts w:ascii="Garamond" w:hAnsi="Garamond" w:cs="Sylfaen"/>
          <w:color w:val="000000"/>
          <w:sz w:val="22"/>
          <w:szCs w:val="22"/>
        </w:rPr>
        <w:t xml:space="preserve">higher than </w:t>
      </w:r>
      <w:r w:rsidRPr="00441A9C">
        <w:rPr>
          <w:rFonts w:ascii="Garamond" w:hAnsi="Garamond" w:cs="Sylfaen"/>
          <w:color w:val="000000"/>
          <w:sz w:val="22"/>
          <w:szCs w:val="22"/>
        </w:rPr>
        <w:t>the Central Bank estimation.</w:t>
      </w:r>
    </w:p>
    <w:p w14:paraId="7E840A8A" w14:textId="77777777" w:rsidR="004A7BBD" w:rsidRPr="00441A9C" w:rsidRDefault="004A7BBD" w:rsidP="004A7BBD">
      <w:pPr>
        <w:spacing w:line="360" w:lineRule="auto"/>
        <w:jc w:val="both"/>
        <w:rPr>
          <w:rFonts w:ascii="Garamond" w:hAnsi="Garamond" w:cs="Sylfaen"/>
          <w:color w:val="000000"/>
          <w:sz w:val="22"/>
          <w:szCs w:val="22"/>
        </w:rPr>
      </w:pPr>
    </w:p>
    <w:tbl>
      <w:tblPr>
        <w:tblStyle w:val="TableGrid"/>
        <w:tblW w:w="0" w:type="auto"/>
        <w:tblLook w:val="04A0" w:firstRow="1" w:lastRow="0" w:firstColumn="1" w:lastColumn="0" w:noHBand="0" w:noVBand="1"/>
      </w:tblPr>
      <w:tblGrid>
        <w:gridCol w:w="9576"/>
      </w:tblGrid>
      <w:tr w:rsidR="004A7BBD" w:rsidRPr="00441A9C" w14:paraId="3EBB2617" w14:textId="77777777" w:rsidTr="001D1F7F">
        <w:tc>
          <w:tcPr>
            <w:tcW w:w="9576" w:type="dxa"/>
          </w:tcPr>
          <w:p w14:paraId="2A953D88" w14:textId="77777777" w:rsidR="004A7BBD" w:rsidRPr="00441A9C" w:rsidRDefault="004A7BBD" w:rsidP="001D1F7F">
            <w:pPr>
              <w:spacing w:line="360" w:lineRule="auto"/>
              <w:jc w:val="right"/>
              <w:rPr>
                <w:rFonts w:ascii="Garamond" w:hAnsi="Garamond"/>
                <w:b/>
              </w:rPr>
            </w:pPr>
            <w:r w:rsidRPr="00441A9C">
              <w:rPr>
                <w:rFonts w:ascii="Garamond" w:hAnsi="Garamond"/>
                <w:b/>
              </w:rPr>
              <w:lastRenderedPageBreak/>
              <w:t>Box 2</w:t>
            </w:r>
          </w:p>
          <w:p w14:paraId="3A664560" w14:textId="77777777" w:rsidR="004A7BBD" w:rsidRPr="00441A9C" w:rsidRDefault="004A7BBD" w:rsidP="001D1F7F">
            <w:pPr>
              <w:spacing w:line="360" w:lineRule="auto"/>
              <w:jc w:val="center"/>
              <w:rPr>
                <w:rFonts w:ascii="Garamond" w:hAnsi="Garamond"/>
                <w:b/>
              </w:rPr>
            </w:pPr>
            <w:r w:rsidRPr="00441A9C">
              <w:rPr>
                <w:rFonts w:ascii="Garamond" w:hAnsi="Garamond"/>
                <w:b/>
              </w:rPr>
              <w:t>Survey on the Terms of Lending by Banks and Credit Organizations in Armenia</w:t>
            </w:r>
          </w:p>
          <w:p w14:paraId="00804BD8" w14:textId="77777777" w:rsidR="004A7BBD" w:rsidRPr="00441A9C" w:rsidRDefault="004A7BBD" w:rsidP="001D1F7F">
            <w:pPr>
              <w:spacing w:line="360" w:lineRule="auto"/>
              <w:jc w:val="both"/>
              <w:rPr>
                <w:rFonts w:ascii="Garamond" w:hAnsi="Garamond"/>
              </w:rPr>
            </w:pPr>
          </w:p>
          <w:p w14:paraId="54EA5A62" w14:textId="77777777" w:rsidR="004A7BBD" w:rsidRPr="00441A9C" w:rsidRDefault="004A7BBD" w:rsidP="001D1F7F">
            <w:pPr>
              <w:spacing w:line="360" w:lineRule="auto"/>
              <w:jc w:val="both"/>
              <w:rPr>
                <w:rFonts w:ascii="Garamond" w:hAnsi="Garamond"/>
              </w:rPr>
            </w:pPr>
            <w:r w:rsidRPr="00441A9C">
              <w:rPr>
                <w:rFonts w:ascii="Garamond" w:hAnsi="Garamond"/>
              </w:rPr>
              <w:t>According to the results of the second quarter 2017 survey on terms of lending by local banks and credit organizations, there has been further easing of terms in all aspects of lending. Competition between banks and other financial institutions and growing liquidity, which led to the falling of loan interest rates and extending of maturities, remain factors that determine the easing of terms. The actual credit demand for all types of loans has increased.</w:t>
            </w:r>
          </w:p>
          <w:p w14:paraId="3D9A554B" w14:textId="77777777" w:rsidR="004A7BBD" w:rsidRPr="00441A9C" w:rsidRDefault="004A7BBD" w:rsidP="001D1F7F">
            <w:pPr>
              <w:spacing w:line="360" w:lineRule="auto"/>
              <w:jc w:val="both"/>
              <w:rPr>
                <w:rFonts w:ascii="Garamond" w:hAnsi="Garamond"/>
              </w:rPr>
            </w:pPr>
          </w:p>
          <w:p w14:paraId="64C6EE91" w14:textId="652F931C" w:rsidR="004A7BBD" w:rsidRPr="00441A9C" w:rsidRDefault="004A7BBD" w:rsidP="0027031E">
            <w:pPr>
              <w:spacing w:line="360" w:lineRule="auto"/>
              <w:jc w:val="both"/>
              <w:rPr>
                <w:rFonts w:ascii="Garamond" w:hAnsi="Garamond"/>
              </w:rPr>
            </w:pPr>
            <w:r w:rsidRPr="00441A9C">
              <w:rPr>
                <w:rFonts w:ascii="Garamond" w:eastAsia="Calibri" w:hAnsi="Garamond" w:cs="Sylfaen"/>
                <w:color w:val="000000"/>
              </w:rPr>
              <w:t xml:space="preserve">For the third quarter of 2017, banks and credit organizations anticipate both further easing of procedures and a notable increase in demand. </w:t>
            </w:r>
            <w:r w:rsidR="0027031E">
              <w:rPr>
                <w:rFonts w:ascii="Garamond" w:eastAsia="Calibri" w:hAnsi="Garamond" w:cs="Sylfaen"/>
                <w:color w:val="000000"/>
              </w:rPr>
              <w:t xml:space="preserve">The survey results are aligned with the estimated by the CBA recovery of demand in the economy. </w:t>
            </w:r>
          </w:p>
        </w:tc>
      </w:tr>
    </w:tbl>
    <w:p w14:paraId="2CB10C09" w14:textId="77777777" w:rsidR="004A7BBD" w:rsidRPr="00441A9C" w:rsidRDefault="004A7BBD" w:rsidP="004A7BBD">
      <w:pPr>
        <w:spacing w:line="360" w:lineRule="auto"/>
        <w:jc w:val="both"/>
        <w:rPr>
          <w:rFonts w:ascii="Garamond" w:hAnsi="Garamond"/>
          <w:sz w:val="22"/>
          <w:szCs w:val="22"/>
        </w:rPr>
      </w:pPr>
    </w:p>
    <w:p w14:paraId="1F277A48" w14:textId="77777777" w:rsidR="004A7BBD" w:rsidRPr="00441A9C" w:rsidRDefault="004A7BBD" w:rsidP="004A7BBD">
      <w:pPr>
        <w:spacing w:line="360" w:lineRule="auto"/>
        <w:jc w:val="both"/>
        <w:rPr>
          <w:rFonts w:ascii="Garamond" w:hAnsi="Garamond" w:cs="GHEA Grapalat"/>
          <w:b/>
          <w:color w:val="000000"/>
          <w:sz w:val="22"/>
          <w:szCs w:val="22"/>
        </w:rPr>
      </w:pPr>
    </w:p>
    <w:p w14:paraId="488ADACC" w14:textId="77777777" w:rsidR="004A7BBD" w:rsidRPr="00441A9C" w:rsidRDefault="004A7BBD" w:rsidP="004A7BBD">
      <w:pPr>
        <w:spacing w:line="360" w:lineRule="auto"/>
        <w:jc w:val="both"/>
        <w:rPr>
          <w:rFonts w:ascii="Garamond" w:hAnsi="Garamond" w:cs="GHEA Grapalat"/>
          <w:b/>
          <w:color w:val="000000"/>
          <w:sz w:val="22"/>
          <w:szCs w:val="22"/>
        </w:rPr>
      </w:pPr>
      <w:r w:rsidRPr="00441A9C">
        <w:rPr>
          <w:rFonts w:ascii="Garamond" w:hAnsi="Garamond" w:cs="GHEA Grapalat"/>
          <w:b/>
          <w:color w:val="000000"/>
          <w:sz w:val="22"/>
          <w:szCs w:val="22"/>
        </w:rPr>
        <w:t>3.3.2. Exchange rate</w:t>
      </w:r>
    </w:p>
    <w:p w14:paraId="11F89842" w14:textId="77777777" w:rsidR="004A7BBD" w:rsidRPr="00441A9C" w:rsidRDefault="004A7BBD" w:rsidP="004A7BBD">
      <w:pPr>
        <w:spacing w:line="360" w:lineRule="auto"/>
        <w:jc w:val="both"/>
        <w:rPr>
          <w:rFonts w:ascii="Garamond" w:hAnsi="Garamond"/>
          <w:iCs/>
          <w:sz w:val="22"/>
          <w:szCs w:val="22"/>
        </w:rPr>
      </w:pPr>
    </w:p>
    <w:p w14:paraId="08F5CEC8" w14:textId="38E4D4DF" w:rsidR="004A7BBD" w:rsidRPr="00441A9C" w:rsidRDefault="004A7BBD" w:rsidP="004A7BBD">
      <w:pPr>
        <w:spacing w:line="360" w:lineRule="auto"/>
        <w:jc w:val="both"/>
        <w:rPr>
          <w:rFonts w:ascii="Garamond" w:hAnsi="Garamond"/>
          <w:iCs/>
          <w:sz w:val="22"/>
          <w:szCs w:val="22"/>
        </w:rPr>
      </w:pPr>
      <w:r w:rsidRPr="00441A9C">
        <w:rPr>
          <w:rFonts w:ascii="Garamond" w:hAnsi="Garamond"/>
          <w:iCs/>
          <w:sz w:val="22"/>
          <w:szCs w:val="22"/>
        </w:rPr>
        <w:t xml:space="preserve">In the second quarter of 2017 the average weighted nominal exchange rate in currency markets of trade partners to Armenia appreciated by about 2.5% mainly owing to the appreciation of the euro, Russian ruble and Georgian lari. The Armenian dram behaved similarly as it appreciated </w:t>
      </w:r>
      <w:r w:rsidRPr="00441A9C">
        <w:rPr>
          <w:rFonts w:ascii="Garamond" w:hAnsi="Garamond"/>
          <w:iCs/>
          <w:color w:val="000000"/>
          <w:sz w:val="22"/>
          <w:szCs w:val="22"/>
        </w:rPr>
        <w:t>versus the US dollar by about 0.8% on average during the quarter.</w:t>
      </w:r>
      <w:r w:rsidRPr="00441A9C">
        <w:rPr>
          <w:rFonts w:ascii="Garamond" w:hAnsi="Garamond"/>
          <w:iCs/>
          <w:sz w:val="22"/>
          <w:szCs w:val="22"/>
        </w:rPr>
        <w:t xml:space="preserve"> </w:t>
      </w:r>
      <w:r w:rsidRPr="00441A9C">
        <w:rPr>
          <w:rFonts w:ascii="Garamond" w:hAnsi="Garamond"/>
          <w:iCs/>
          <w:color w:val="000000"/>
          <w:sz w:val="22"/>
          <w:szCs w:val="22"/>
        </w:rPr>
        <w:t>T</w:t>
      </w:r>
      <w:r w:rsidRPr="00441A9C">
        <w:rPr>
          <w:rFonts w:ascii="Garamond" w:hAnsi="Garamond"/>
          <w:sz w:val="22"/>
          <w:szCs w:val="22"/>
        </w:rPr>
        <w:t xml:space="preserve">o </w:t>
      </w:r>
      <w:r w:rsidR="00CD16EC" w:rsidRPr="00CD16EC">
        <w:rPr>
          <w:rFonts w:ascii="Garamond" w:hAnsi="Garamond"/>
          <w:sz w:val="22"/>
          <w:szCs w:val="22"/>
        </w:rPr>
        <w:t>neutralize</w:t>
      </w:r>
      <w:r w:rsidRPr="00441A9C">
        <w:rPr>
          <w:rFonts w:ascii="Garamond" w:hAnsi="Garamond"/>
          <w:sz w:val="22"/>
          <w:szCs w:val="22"/>
          <w:lang w:val="hy-AM"/>
        </w:rPr>
        <w:t xml:space="preserve"> </w:t>
      </w:r>
      <w:r w:rsidRPr="00441A9C">
        <w:rPr>
          <w:rFonts w:ascii="Garamond" w:hAnsi="Garamond"/>
          <w:sz w:val="22"/>
          <w:szCs w:val="22"/>
        </w:rPr>
        <w:t xml:space="preserve">short-term volatilities deriving from </w:t>
      </w:r>
      <w:r w:rsidR="00CD16EC">
        <w:rPr>
          <w:rFonts w:ascii="Garamond" w:hAnsi="Garamond"/>
          <w:sz w:val="22"/>
          <w:szCs w:val="22"/>
        </w:rPr>
        <w:t xml:space="preserve">balance of </w:t>
      </w:r>
      <w:proofErr w:type="gramStart"/>
      <w:r w:rsidR="00CD16EC">
        <w:rPr>
          <w:rFonts w:ascii="Garamond" w:hAnsi="Garamond"/>
          <w:sz w:val="22"/>
          <w:szCs w:val="22"/>
        </w:rPr>
        <w:t xml:space="preserve">payments </w:t>
      </w:r>
      <w:r w:rsidRPr="00441A9C">
        <w:rPr>
          <w:rFonts w:ascii="Garamond" w:hAnsi="Garamond"/>
          <w:sz w:val="22"/>
          <w:szCs w:val="22"/>
        </w:rPr>
        <w:t xml:space="preserve"> seasonality</w:t>
      </w:r>
      <w:proofErr w:type="gramEnd"/>
      <w:r w:rsidRPr="00441A9C">
        <w:rPr>
          <w:rFonts w:ascii="Garamond" w:hAnsi="Garamond"/>
          <w:sz w:val="22"/>
          <w:szCs w:val="22"/>
        </w:rPr>
        <w:t xml:space="preserve"> in</w:t>
      </w:r>
      <w:r w:rsidRPr="00441A9C">
        <w:rPr>
          <w:rFonts w:ascii="Garamond" w:hAnsi="Garamond"/>
          <w:sz w:val="22"/>
          <w:szCs w:val="22"/>
          <w:lang w:val="hy-AM"/>
        </w:rPr>
        <w:t xml:space="preserve"> </w:t>
      </w:r>
      <w:r w:rsidRPr="00441A9C">
        <w:rPr>
          <w:rFonts w:ascii="Garamond" w:hAnsi="Garamond"/>
          <w:sz w:val="22"/>
          <w:szCs w:val="22"/>
        </w:rPr>
        <w:t xml:space="preserve">the foreign exchange market, the Central Bank has bought nearly USD 11.5 million in net terms. </w:t>
      </w:r>
    </w:p>
    <w:p w14:paraId="590A87FA" w14:textId="77777777" w:rsidR="004A7BBD" w:rsidRPr="00441A9C" w:rsidRDefault="004A7BBD" w:rsidP="004A7BBD">
      <w:pPr>
        <w:spacing w:line="360" w:lineRule="auto"/>
        <w:jc w:val="both"/>
        <w:rPr>
          <w:rFonts w:ascii="Garamond" w:hAnsi="Garamond"/>
          <w:iCs/>
          <w:sz w:val="22"/>
          <w:szCs w:val="22"/>
        </w:rPr>
      </w:pPr>
    </w:p>
    <w:p w14:paraId="040F59F1" w14:textId="77777777" w:rsidR="004A7BBD" w:rsidRPr="00441A9C" w:rsidRDefault="004A7BBD" w:rsidP="004A7BBD">
      <w:pPr>
        <w:spacing w:line="360" w:lineRule="auto"/>
        <w:jc w:val="both"/>
        <w:rPr>
          <w:rFonts w:ascii="Garamond" w:hAnsi="Garamond"/>
          <w:iCs/>
          <w:sz w:val="22"/>
          <w:szCs w:val="22"/>
        </w:rPr>
      </w:pPr>
      <w:r w:rsidRPr="00441A9C">
        <w:rPr>
          <w:rFonts w:ascii="Garamond" w:hAnsi="Garamond"/>
          <w:iCs/>
          <w:color w:val="000000"/>
          <w:sz w:val="22"/>
          <w:szCs w:val="22"/>
        </w:rPr>
        <w:t xml:space="preserve">In the second quarter of 2017, relative to the previous quarter, </w:t>
      </w:r>
      <w:r w:rsidRPr="00441A9C">
        <w:rPr>
          <w:rFonts w:ascii="Garamond" w:hAnsi="Garamond"/>
          <w:sz w:val="22"/>
          <w:szCs w:val="22"/>
        </w:rPr>
        <w:t>the nominal effective exchange rate of the Armenian dram has depreciated by about 1.7% on average.</w:t>
      </w:r>
      <w:r w:rsidRPr="00441A9C">
        <w:rPr>
          <w:rFonts w:ascii="Garamond" w:hAnsi="Garamond"/>
          <w:iCs/>
          <w:color w:val="000000"/>
          <w:sz w:val="22"/>
          <w:szCs w:val="22"/>
        </w:rPr>
        <w:t xml:space="preserve"> As a result, the real effective exchange rate</w:t>
      </w:r>
      <w:r w:rsidRPr="00441A9C">
        <w:rPr>
          <w:rStyle w:val="FootnoteReference"/>
          <w:rFonts w:ascii="Garamond" w:hAnsi="Garamond"/>
          <w:iCs/>
          <w:color w:val="000000"/>
          <w:sz w:val="22"/>
          <w:szCs w:val="22"/>
        </w:rPr>
        <w:footnoteReference w:customMarkFollows="1" w:id="20"/>
        <w:t>22</w:t>
      </w:r>
      <w:r w:rsidRPr="00441A9C">
        <w:rPr>
          <w:rFonts w:ascii="Garamond" w:hAnsi="Garamond"/>
          <w:iCs/>
          <w:color w:val="000000"/>
          <w:sz w:val="22"/>
          <w:szCs w:val="22"/>
        </w:rPr>
        <w:t xml:space="preserve"> has depreciated by nearly 2.4%, fueled also by the inflation main trade partners (EU, Iran, Turkey, etc.)</w:t>
      </w:r>
      <w:r w:rsidRPr="00441A9C">
        <w:rPr>
          <w:rFonts w:ascii="Garamond" w:hAnsi="Garamond"/>
          <w:iCs/>
          <w:sz w:val="22"/>
          <w:szCs w:val="22"/>
        </w:rPr>
        <w:t xml:space="preserve">. </w:t>
      </w:r>
    </w:p>
    <w:p w14:paraId="5BFA170A" w14:textId="77777777" w:rsidR="004A7BBD" w:rsidRPr="00441A9C" w:rsidRDefault="004A7BBD" w:rsidP="004A7BBD">
      <w:pPr>
        <w:spacing w:line="360" w:lineRule="auto"/>
        <w:jc w:val="both"/>
        <w:rPr>
          <w:rFonts w:ascii="Garamond" w:hAnsi="Garamond"/>
          <w:iCs/>
          <w:sz w:val="22"/>
          <w:szCs w:val="22"/>
        </w:rPr>
      </w:pPr>
    </w:p>
    <w:p w14:paraId="2452C615" w14:textId="77777777" w:rsidR="004A7BBD" w:rsidRPr="00441A9C" w:rsidRDefault="004A7BBD" w:rsidP="004A7BBD">
      <w:pPr>
        <w:spacing w:line="360" w:lineRule="auto"/>
        <w:jc w:val="both"/>
        <w:rPr>
          <w:rFonts w:ascii="Garamond" w:hAnsi="Garamond"/>
          <w:iCs/>
          <w:sz w:val="22"/>
          <w:szCs w:val="22"/>
        </w:rPr>
      </w:pPr>
      <w:r w:rsidRPr="00441A9C">
        <w:rPr>
          <w:rFonts w:ascii="Garamond" w:hAnsi="Garamond"/>
          <w:iCs/>
          <w:sz w:val="22"/>
          <w:szCs w:val="22"/>
        </w:rPr>
        <w:t xml:space="preserve">Compared to the same reference period last year, the real effective exchange rate has depreciated by 2.1%. </w:t>
      </w:r>
    </w:p>
    <w:p w14:paraId="1685D93D" w14:textId="77777777" w:rsidR="004A7BBD" w:rsidRPr="00441A9C" w:rsidRDefault="004A7BBD" w:rsidP="004A7BBD">
      <w:pPr>
        <w:spacing w:line="360" w:lineRule="auto"/>
        <w:jc w:val="both"/>
        <w:rPr>
          <w:rFonts w:ascii="Garamond" w:hAnsi="Garamond"/>
          <w:b/>
          <w:sz w:val="22"/>
          <w:szCs w:val="22"/>
        </w:rPr>
      </w:pPr>
    </w:p>
    <w:p w14:paraId="27EBC92F" w14:textId="77777777" w:rsidR="004A7BBD" w:rsidRPr="00441A9C" w:rsidRDefault="004A7BBD" w:rsidP="004A7BBD">
      <w:pPr>
        <w:spacing w:line="360" w:lineRule="auto"/>
        <w:jc w:val="both"/>
        <w:rPr>
          <w:rFonts w:ascii="Garamond" w:hAnsi="Garamond"/>
          <w:b/>
          <w:sz w:val="22"/>
          <w:szCs w:val="22"/>
        </w:rPr>
      </w:pPr>
      <w:r w:rsidRPr="00441A9C">
        <w:rPr>
          <w:rFonts w:ascii="Garamond" w:hAnsi="Garamond"/>
          <w:b/>
          <w:sz w:val="22"/>
          <w:szCs w:val="22"/>
        </w:rPr>
        <w:t>3.4. Balance of payments</w:t>
      </w:r>
      <w:r w:rsidRPr="00441A9C">
        <w:rPr>
          <w:rStyle w:val="FootnoteReference"/>
          <w:rFonts w:ascii="Garamond" w:hAnsi="Garamond"/>
          <w:b/>
          <w:sz w:val="22"/>
          <w:szCs w:val="22"/>
        </w:rPr>
        <w:footnoteReference w:customMarkFollows="1" w:id="21"/>
        <w:t>23</w:t>
      </w:r>
    </w:p>
    <w:p w14:paraId="1B91E99E" w14:textId="77777777" w:rsidR="004A7BBD" w:rsidRPr="00441A9C" w:rsidRDefault="004A7BBD" w:rsidP="004A7BBD">
      <w:pPr>
        <w:spacing w:line="360" w:lineRule="auto"/>
        <w:jc w:val="both"/>
        <w:rPr>
          <w:rFonts w:ascii="Garamond" w:hAnsi="Garamond"/>
          <w:b/>
          <w:sz w:val="22"/>
          <w:szCs w:val="22"/>
        </w:rPr>
      </w:pPr>
    </w:p>
    <w:p w14:paraId="47BC0832" w14:textId="77777777" w:rsidR="004A7BBD" w:rsidRPr="00441A9C" w:rsidRDefault="004A7BBD" w:rsidP="004A7BBD">
      <w:pPr>
        <w:spacing w:line="360" w:lineRule="auto"/>
        <w:jc w:val="both"/>
        <w:rPr>
          <w:rFonts w:ascii="Garamond" w:hAnsi="Garamond"/>
          <w:sz w:val="22"/>
          <w:szCs w:val="22"/>
        </w:rPr>
      </w:pPr>
      <w:r w:rsidRPr="00441A9C">
        <w:rPr>
          <w:rFonts w:ascii="Garamond" w:hAnsi="Garamond"/>
          <w:sz w:val="22"/>
          <w:szCs w:val="22"/>
        </w:rPr>
        <w:lastRenderedPageBreak/>
        <w:t>In the second quarter of 2017, improvement in the terms of trade notwithstanding, the trade balance deficit has widened compared with the previous quarter’s prediction. Despite a slightly more increase in export of goods, the deficit has widened because of much higher-than-anticipated growth in import of goods.</w:t>
      </w:r>
    </w:p>
    <w:p w14:paraId="1393500A" w14:textId="77777777" w:rsidR="004A7BBD" w:rsidRPr="00441A9C" w:rsidRDefault="004A7BBD" w:rsidP="004A7BBD">
      <w:pPr>
        <w:spacing w:line="360" w:lineRule="auto"/>
        <w:jc w:val="both"/>
        <w:rPr>
          <w:rFonts w:ascii="Garamond" w:hAnsi="Garamond"/>
          <w:sz w:val="22"/>
          <w:szCs w:val="22"/>
        </w:rPr>
      </w:pPr>
    </w:p>
    <w:p w14:paraId="15725C5D" w14:textId="77777777" w:rsidR="004A7BBD" w:rsidRPr="00441A9C" w:rsidRDefault="004A7BBD" w:rsidP="004A7BBD">
      <w:pPr>
        <w:spacing w:line="360" w:lineRule="auto"/>
        <w:jc w:val="both"/>
        <w:rPr>
          <w:rFonts w:ascii="Garamond" w:hAnsi="Garamond"/>
          <w:sz w:val="22"/>
          <w:szCs w:val="22"/>
        </w:rPr>
      </w:pPr>
      <w:r w:rsidRPr="00441A9C">
        <w:rPr>
          <w:rFonts w:ascii="Garamond" w:hAnsi="Garamond"/>
          <w:sz w:val="22"/>
          <w:szCs w:val="22"/>
        </w:rPr>
        <w:t>Thus, a 26.1% y/y increase in the dollar value of export</w:t>
      </w:r>
      <w:r w:rsidRPr="00441A9C">
        <w:rPr>
          <w:rStyle w:val="FootnoteReference"/>
          <w:rFonts w:ascii="Garamond" w:hAnsi="Garamond"/>
          <w:sz w:val="22"/>
          <w:szCs w:val="22"/>
        </w:rPr>
        <w:footnoteReference w:customMarkFollows="1" w:id="22"/>
        <w:t>24</w:t>
      </w:r>
      <w:r w:rsidRPr="00441A9C">
        <w:rPr>
          <w:rFonts w:ascii="Garamond" w:hAnsi="Garamond"/>
          <w:sz w:val="22"/>
          <w:szCs w:val="22"/>
        </w:rPr>
        <w:t xml:space="preserve"> of goods in the second quarter of 2017 was around 5.0 pp above the predicted value, which was mostly due to strong growth in export of raw materials. </w:t>
      </w:r>
    </w:p>
    <w:p w14:paraId="5F4E0F42" w14:textId="77777777" w:rsidR="004A7BBD" w:rsidRPr="00441A9C" w:rsidRDefault="004A7BBD" w:rsidP="004A7BBD">
      <w:pPr>
        <w:spacing w:line="360" w:lineRule="auto"/>
        <w:jc w:val="both"/>
        <w:rPr>
          <w:rFonts w:ascii="Garamond" w:hAnsi="Garamond"/>
          <w:sz w:val="22"/>
          <w:szCs w:val="22"/>
        </w:rPr>
      </w:pPr>
    </w:p>
    <w:p w14:paraId="50AC4F03" w14:textId="77777777" w:rsidR="004A7BBD" w:rsidRPr="00441A9C" w:rsidRDefault="004A7BBD" w:rsidP="004A7BBD">
      <w:pPr>
        <w:spacing w:line="360" w:lineRule="auto"/>
        <w:jc w:val="both"/>
        <w:rPr>
          <w:rFonts w:ascii="Garamond" w:hAnsi="Garamond"/>
          <w:sz w:val="22"/>
          <w:szCs w:val="22"/>
        </w:rPr>
      </w:pPr>
      <w:r w:rsidRPr="00441A9C">
        <w:rPr>
          <w:rFonts w:ascii="Garamond" w:hAnsi="Garamond"/>
          <w:sz w:val="22"/>
          <w:szCs w:val="22"/>
        </w:rPr>
        <w:t>In the second quarter 2017 the dollar value of import of goods grew by 31.0% y/y, which exceeded the predicted value by as much as 23.0 pp. This was largely driven by more than anticipated increase in import of intermediate consumption (investment goods and raw materials) amid higher economic activity as well as an import of medicines received under unexpectedly high humanitarian aid</w:t>
      </w:r>
      <w:r w:rsidRPr="00441A9C">
        <w:rPr>
          <w:rStyle w:val="FootnoteReference"/>
          <w:rFonts w:ascii="Garamond" w:hAnsi="Garamond"/>
          <w:sz w:val="22"/>
          <w:szCs w:val="22"/>
        </w:rPr>
        <w:footnoteReference w:customMarkFollows="1" w:id="23"/>
        <w:t>25</w:t>
      </w:r>
      <w:r w:rsidRPr="00441A9C">
        <w:rPr>
          <w:rFonts w:ascii="Garamond" w:hAnsi="Garamond"/>
          <w:sz w:val="22"/>
          <w:szCs w:val="22"/>
        </w:rPr>
        <w:t xml:space="preserve">.             </w:t>
      </w:r>
    </w:p>
    <w:p w14:paraId="7D5FFF7A" w14:textId="77777777" w:rsidR="004A7BBD" w:rsidRPr="00441A9C" w:rsidRDefault="004A7BBD" w:rsidP="004A7BBD">
      <w:pPr>
        <w:spacing w:line="360" w:lineRule="auto"/>
        <w:jc w:val="both"/>
        <w:rPr>
          <w:rFonts w:ascii="Garamond" w:hAnsi="Garamond"/>
          <w:sz w:val="22"/>
          <w:szCs w:val="22"/>
        </w:rPr>
      </w:pPr>
    </w:p>
    <w:p w14:paraId="66D8DFE8" w14:textId="77777777" w:rsidR="004A7BBD" w:rsidRPr="00441A9C" w:rsidRDefault="004A7BBD" w:rsidP="004A7BBD">
      <w:pPr>
        <w:spacing w:line="360" w:lineRule="auto"/>
        <w:jc w:val="both"/>
        <w:rPr>
          <w:rFonts w:ascii="Garamond" w:hAnsi="Garamond"/>
          <w:sz w:val="22"/>
          <w:szCs w:val="22"/>
        </w:rPr>
      </w:pPr>
      <w:r w:rsidRPr="00441A9C">
        <w:rPr>
          <w:rFonts w:ascii="Garamond" w:hAnsi="Garamond"/>
          <w:sz w:val="22"/>
          <w:szCs w:val="22"/>
        </w:rPr>
        <w:t xml:space="preserve">In the second quarter of 2017, relative to the same reference period last year, the current account deficit has grown to USD 84.0 million as a result of broadened trade balance deficit amid the aforementioned developments, slower growth rate in net inflow of remittances and reduced investment income. </w:t>
      </w:r>
    </w:p>
    <w:p w14:paraId="2912B966" w14:textId="77777777" w:rsidR="004A7BBD" w:rsidRPr="00441A9C" w:rsidRDefault="004A7BBD" w:rsidP="004A7BBD">
      <w:pPr>
        <w:spacing w:line="360" w:lineRule="auto"/>
        <w:jc w:val="both"/>
        <w:rPr>
          <w:rFonts w:ascii="Garamond" w:hAnsi="Garamond"/>
          <w:sz w:val="22"/>
          <w:szCs w:val="22"/>
        </w:rPr>
      </w:pPr>
    </w:p>
    <w:p w14:paraId="4E5F4A08" w14:textId="77777777" w:rsidR="004A7BBD" w:rsidRPr="00441A9C" w:rsidRDefault="004A7BBD" w:rsidP="004A7BBD">
      <w:pPr>
        <w:spacing w:line="360" w:lineRule="auto"/>
        <w:jc w:val="both"/>
        <w:rPr>
          <w:rFonts w:ascii="Garamond" w:hAnsi="Garamond"/>
          <w:sz w:val="22"/>
          <w:szCs w:val="22"/>
        </w:rPr>
      </w:pPr>
      <w:r w:rsidRPr="00441A9C">
        <w:rPr>
          <w:rFonts w:ascii="Garamond" w:hAnsi="Garamond"/>
          <w:sz w:val="22"/>
          <w:szCs w:val="22"/>
        </w:rPr>
        <w:t>In the second quarter of 2017, the “Capital and Financial Account” posted a substantial increase (roughly 90%) in net inflow of foreign direct investment compared with the same reference period last year, according to the Monetary Policy Program estimates</w:t>
      </w:r>
      <w:r w:rsidRPr="00441A9C">
        <w:rPr>
          <w:rStyle w:val="FootnoteReference"/>
          <w:rFonts w:ascii="Garamond" w:hAnsi="Garamond"/>
          <w:sz w:val="22"/>
          <w:szCs w:val="22"/>
        </w:rPr>
        <w:footnoteReference w:customMarkFollows="1" w:id="24"/>
        <w:t>26</w:t>
      </w:r>
      <w:r w:rsidRPr="00441A9C">
        <w:rPr>
          <w:rFonts w:ascii="Garamond" w:hAnsi="Garamond"/>
          <w:sz w:val="22"/>
          <w:szCs w:val="22"/>
        </w:rPr>
        <w:t xml:space="preserve"> by the Central Bank. On the other hand, other private sector has reported a growth of net foreign assets.</w:t>
      </w:r>
    </w:p>
    <w:p w14:paraId="38A7F5CA" w14:textId="77777777" w:rsidR="004A7BBD" w:rsidRPr="00441A9C" w:rsidRDefault="004A7BBD" w:rsidP="004A7BBD">
      <w:pPr>
        <w:spacing w:line="360" w:lineRule="auto"/>
        <w:jc w:val="both"/>
        <w:rPr>
          <w:rFonts w:ascii="Garamond" w:hAnsi="Garamond"/>
          <w:sz w:val="22"/>
          <w:szCs w:val="22"/>
        </w:rPr>
      </w:pPr>
    </w:p>
    <w:p w14:paraId="1E8D1AE7" w14:textId="77777777" w:rsidR="004A7BBD" w:rsidRPr="00441A9C" w:rsidRDefault="004A7BBD" w:rsidP="004A7BBD">
      <w:pPr>
        <w:spacing w:line="360" w:lineRule="auto"/>
        <w:jc w:val="both"/>
        <w:rPr>
          <w:rFonts w:ascii="Garamond" w:hAnsi="Garamond"/>
          <w:b/>
          <w:sz w:val="22"/>
          <w:szCs w:val="22"/>
        </w:rPr>
      </w:pPr>
      <w:r w:rsidRPr="00441A9C">
        <w:rPr>
          <w:rFonts w:ascii="Garamond" w:hAnsi="Garamond"/>
          <w:b/>
          <w:sz w:val="22"/>
          <w:szCs w:val="22"/>
        </w:rPr>
        <w:t>3.5. External environment</w:t>
      </w:r>
    </w:p>
    <w:p w14:paraId="264DE590" w14:textId="77777777" w:rsidR="004A7BBD" w:rsidRPr="00441A9C" w:rsidRDefault="004A7BBD" w:rsidP="004A7BBD">
      <w:pPr>
        <w:spacing w:line="360" w:lineRule="auto"/>
        <w:jc w:val="both"/>
        <w:rPr>
          <w:rFonts w:ascii="Garamond" w:hAnsi="Garamond"/>
          <w:b/>
          <w:sz w:val="22"/>
          <w:szCs w:val="22"/>
        </w:rPr>
      </w:pPr>
    </w:p>
    <w:p w14:paraId="156C9065" w14:textId="77777777" w:rsidR="004A7BBD" w:rsidRPr="00441A9C" w:rsidRDefault="004A7BBD" w:rsidP="004A7BBD">
      <w:pPr>
        <w:spacing w:line="360" w:lineRule="auto"/>
        <w:jc w:val="both"/>
        <w:rPr>
          <w:rFonts w:ascii="Garamond" w:hAnsi="Garamond" w:cs="Sylfaen"/>
          <w:sz w:val="22"/>
          <w:szCs w:val="22"/>
        </w:rPr>
      </w:pPr>
      <w:r w:rsidRPr="00441A9C">
        <w:rPr>
          <w:rFonts w:ascii="Garamond" w:hAnsi="Garamond"/>
          <w:b/>
          <w:sz w:val="22"/>
          <w:szCs w:val="22"/>
        </w:rPr>
        <w:t>A trend of faster reviving economic activity was observable in the ma</w:t>
      </w:r>
      <w:r w:rsidRPr="00441A9C">
        <w:rPr>
          <w:rFonts w:ascii="Garamond" w:hAnsi="Garamond" w:cs="Sylfaen"/>
          <w:b/>
          <w:sz w:val="22"/>
          <w:szCs w:val="22"/>
        </w:rPr>
        <w:t>in trade partners to Armenia, the Eurozone and Russia, in particular, while economic growth has slowly accelerated in the USA.</w:t>
      </w:r>
      <w:r w:rsidRPr="00441A9C">
        <w:rPr>
          <w:rFonts w:ascii="Garamond" w:hAnsi="Garamond" w:cs="Sylfaen"/>
          <w:sz w:val="22"/>
          <w:szCs w:val="22"/>
        </w:rPr>
        <w:t xml:space="preserve"> </w:t>
      </w:r>
    </w:p>
    <w:p w14:paraId="00EC2652" w14:textId="77777777" w:rsidR="004A7BBD" w:rsidRPr="00441A9C" w:rsidRDefault="004A7BBD" w:rsidP="004A7BBD">
      <w:pPr>
        <w:spacing w:line="360" w:lineRule="auto"/>
        <w:jc w:val="both"/>
        <w:rPr>
          <w:rFonts w:ascii="Garamond" w:hAnsi="Garamond" w:cs="Sylfaen"/>
          <w:sz w:val="22"/>
          <w:szCs w:val="22"/>
        </w:rPr>
      </w:pPr>
    </w:p>
    <w:p w14:paraId="7E86D108" w14:textId="77777777" w:rsidR="004A7BBD" w:rsidRPr="00441A9C" w:rsidRDefault="004A7BBD" w:rsidP="004A7BBD">
      <w:pPr>
        <w:spacing w:line="360" w:lineRule="auto"/>
        <w:jc w:val="both"/>
        <w:rPr>
          <w:rFonts w:ascii="Garamond" w:hAnsi="Garamond" w:cs="Sylfaen"/>
          <w:color w:val="000000"/>
          <w:sz w:val="22"/>
          <w:szCs w:val="22"/>
        </w:rPr>
      </w:pPr>
      <w:r w:rsidRPr="00441A9C">
        <w:rPr>
          <w:rFonts w:ascii="Garamond" w:hAnsi="Garamond"/>
          <w:sz w:val="22"/>
          <w:szCs w:val="22"/>
        </w:rPr>
        <w:t xml:space="preserve">According to preliminary estimates of the Bureau of Economic Analysis of the U.S. Department of Commerce, the y/y economic growth in the </w:t>
      </w:r>
      <w:r w:rsidRPr="00441A9C">
        <w:rPr>
          <w:rFonts w:ascii="Garamond" w:hAnsi="Garamond"/>
          <w:b/>
          <w:sz w:val="22"/>
          <w:szCs w:val="22"/>
        </w:rPr>
        <w:t>United States</w:t>
      </w:r>
      <w:r w:rsidRPr="00441A9C">
        <w:rPr>
          <w:rFonts w:ascii="Garamond" w:hAnsi="Garamond"/>
          <w:b/>
          <w:sz w:val="22"/>
          <w:szCs w:val="22"/>
          <w:lang w:val="hy-AM"/>
        </w:rPr>
        <w:t xml:space="preserve"> </w:t>
      </w:r>
      <w:r w:rsidRPr="00441A9C">
        <w:rPr>
          <w:rFonts w:ascii="Garamond" w:hAnsi="Garamond"/>
          <w:sz w:val="22"/>
          <w:szCs w:val="22"/>
        </w:rPr>
        <w:t xml:space="preserve">in the second quarter of 2017 was 2.0% against the forecast of 2.5% growth. The deviation owed mainly to lower-than-expected investments and a sluggish external demand (previous quarter’s y/y growth was 2.0%). </w:t>
      </w:r>
      <w:r w:rsidRPr="00441A9C">
        <w:rPr>
          <w:rFonts w:ascii="Garamond" w:hAnsi="Garamond" w:cs="Sylfaen"/>
          <w:color w:val="000000"/>
          <w:sz w:val="22"/>
          <w:szCs w:val="22"/>
        </w:rPr>
        <w:t xml:space="preserve">The average quarterly inflation in the second quarter was 2.2% instead of the projected indicator of 2.5%, and it continued running above the target. The </w:t>
      </w:r>
      <w:r w:rsidRPr="00441A9C">
        <w:rPr>
          <w:rFonts w:ascii="Garamond" w:hAnsi="Garamond" w:cs="Sylfaen"/>
          <w:color w:val="000000"/>
          <w:sz w:val="22"/>
          <w:szCs w:val="22"/>
        </w:rPr>
        <w:lastRenderedPageBreak/>
        <w:t>deviation of inflation from the projected value is mainly attributable to lower prices of commodities. Consistent with previous forecasts, the US Federal Reserve System raised the policy rates to 1.0-1.25% in the second quarter of 2017 from 0.75-1.0% in the previous quarter.</w:t>
      </w:r>
    </w:p>
    <w:p w14:paraId="150E176C" w14:textId="77777777" w:rsidR="004A7BBD" w:rsidRPr="00441A9C" w:rsidRDefault="004A7BBD" w:rsidP="004A7BBD">
      <w:pPr>
        <w:spacing w:line="360" w:lineRule="auto"/>
        <w:jc w:val="both"/>
        <w:rPr>
          <w:rFonts w:ascii="Garamond" w:hAnsi="Garamond" w:cs="Sylfaen"/>
          <w:color w:val="000000"/>
          <w:sz w:val="22"/>
          <w:szCs w:val="22"/>
        </w:rPr>
      </w:pPr>
    </w:p>
    <w:p w14:paraId="58A53E75" w14:textId="77777777" w:rsidR="004A7BBD" w:rsidRPr="00441A9C" w:rsidRDefault="004A7BBD" w:rsidP="004A7BBD">
      <w:pPr>
        <w:spacing w:line="360" w:lineRule="auto"/>
        <w:jc w:val="both"/>
        <w:rPr>
          <w:rStyle w:val="longtext"/>
          <w:rFonts w:ascii="Garamond" w:hAnsi="Garamond"/>
          <w:sz w:val="22"/>
          <w:szCs w:val="22"/>
        </w:rPr>
      </w:pPr>
      <w:r w:rsidRPr="00441A9C">
        <w:rPr>
          <w:rFonts w:ascii="Garamond" w:hAnsi="Garamond"/>
          <w:sz w:val="22"/>
          <w:szCs w:val="22"/>
        </w:rPr>
        <w:t>According to preliminary estimates provided by the Eurostat, economic growth in the</w:t>
      </w:r>
      <w:r w:rsidRPr="00441A9C">
        <w:rPr>
          <w:rFonts w:ascii="Garamond" w:hAnsi="Garamond"/>
          <w:sz w:val="22"/>
          <w:szCs w:val="22"/>
          <w:lang w:val="hy-AM"/>
        </w:rPr>
        <w:t xml:space="preserve"> </w:t>
      </w:r>
      <w:r w:rsidRPr="00441A9C">
        <w:rPr>
          <w:rFonts w:ascii="Garamond" w:hAnsi="Garamond"/>
          <w:b/>
          <w:sz w:val="22"/>
          <w:szCs w:val="22"/>
        </w:rPr>
        <w:t>Eurozone</w:t>
      </w:r>
      <w:r w:rsidRPr="00441A9C">
        <w:rPr>
          <w:rFonts w:ascii="Garamond" w:hAnsi="Garamond"/>
          <w:b/>
          <w:sz w:val="22"/>
          <w:szCs w:val="22"/>
          <w:lang w:val="hy-AM"/>
        </w:rPr>
        <w:t xml:space="preserve"> </w:t>
      </w:r>
      <w:r w:rsidRPr="00441A9C">
        <w:rPr>
          <w:rFonts w:ascii="Garamond" w:hAnsi="Garamond"/>
          <w:sz w:val="22"/>
          <w:szCs w:val="22"/>
        </w:rPr>
        <w:t>in the second quarter of 2017</w:t>
      </w:r>
      <w:r w:rsidRPr="00441A9C">
        <w:rPr>
          <w:rFonts w:ascii="Garamond" w:hAnsi="Garamond"/>
          <w:sz w:val="22"/>
          <w:szCs w:val="22"/>
          <w:lang w:val="hy-AM"/>
        </w:rPr>
        <w:t xml:space="preserve"> </w:t>
      </w:r>
      <w:r w:rsidRPr="00441A9C">
        <w:rPr>
          <w:rFonts w:ascii="Garamond" w:hAnsi="Garamond"/>
          <w:sz w:val="22"/>
          <w:szCs w:val="22"/>
        </w:rPr>
        <w:t xml:space="preserve">was 2.2% against the forecast 1.5% growth. The difference between actual and forecasted economic growth has arisen as both domestic and external demands had strengthened more than anticipated and because of adjustment to historical series of economic growth. In the Eurozone in the second quarter of 2017 the average quarterly inflation decelerated to 1.6%, instead of predicted value of 1.7%, largely driven by fallen energy prices. Note that the inflation still runs below its long-term target. In the second quarter </w:t>
      </w:r>
      <w:r w:rsidRPr="00441A9C">
        <w:rPr>
          <w:rStyle w:val="longtext"/>
          <w:rFonts w:ascii="Garamond" w:hAnsi="Garamond"/>
          <w:sz w:val="22"/>
          <w:szCs w:val="22"/>
        </w:rPr>
        <w:t>the European Central Bank</w:t>
      </w:r>
      <w:r w:rsidRPr="00441A9C">
        <w:rPr>
          <w:rStyle w:val="longtext"/>
          <w:rFonts w:ascii="Garamond" w:hAnsi="Garamond"/>
          <w:sz w:val="22"/>
          <w:szCs w:val="22"/>
          <w:lang w:val="hy-AM"/>
        </w:rPr>
        <w:t xml:space="preserve"> </w:t>
      </w:r>
      <w:r w:rsidRPr="00441A9C">
        <w:rPr>
          <w:rStyle w:val="longtext"/>
          <w:rFonts w:ascii="Garamond" w:hAnsi="Garamond"/>
          <w:sz w:val="22"/>
          <w:szCs w:val="22"/>
        </w:rPr>
        <w:t xml:space="preserve">kept the policy rates at the level of 0.0% for refinancing rate and </w:t>
      </w:r>
      <w:r w:rsidRPr="00441A9C">
        <w:rPr>
          <w:rFonts w:ascii="Garamond" w:hAnsi="Garamond"/>
          <w:color w:val="000000"/>
          <w:sz w:val="22"/>
          <w:szCs w:val="22"/>
          <w:shd w:val="clear" w:color="auto" w:fill="FFFFFF"/>
        </w:rPr>
        <w:t>-</w:t>
      </w:r>
      <w:r w:rsidRPr="00441A9C">
        <w:rPr>
          <w:rStyle w:val="longtext"/>
          <w:rFonts w:ascii="Garamond" w:hAnsi="Garamond"/>
          <w:sz w:val="22"/>
          <w:szCs w:val="22"/>
        </w:rPr>
        <w:t xml:space="preserve">0.4% for </w:t>
      </w:r>
      <w:r w:rsidRPr="00441A9C">
        <w:rPr>
          <w:rFonts w:ascii="Garamond" w:hAnsi="Garamond"/>
          <w:color w:val="000000"/>
          <w:sz w:val="22"/>
          <w:szCs w:val="22"/>
          <w:shd w:val="clear" w:color="auto" w:fill="FFFFFF"/>
        </w:rPr>
        <w:t>deposit facility rate, as was expected.</w:t>
      </w:r>
      <w:r w:rsidRPr="00441A9C">
        <w:rPr>
          <w:rStyle w:val="longtext"/>
          <w:rFonts w:ascii="Garamond" w:hAnsi="Garamond"/>
          <w:sz w:val="22"/>
          <w:szCs w:val="22"/>
        </w:rPr>
        <w:t xml:space="preserve"> At the same time, the ECB continued its program of asset purchases, with smaller purchase volumes though, in the amount of EUR 60 billion a month</w:t>
      </w:r>
      <w:r w:rsidR="00627E16">
        <w:rPr>
          <w:rStyle w:val="longtext"/>
          <w:rFonts w:ascii="Garamond" w:hAnsi="Garamond"/>
          <w:sz w:val="22"/>
          <w:szCs w:val="22"/>
        </w:rPr>
        <w:t xml:space="preserve"> against </w:t>
      </w:r>
      <w:r w:rsidR="00AC2E2E">
        <w:rPr>
          <w:rStyle w:val="longtext"/>
          <w:rFonts w:ascii="Garamond" w:hAnsi="Garamond"/>
          <w:sz w:val="22"/>
          <w:szCs w:val="22"/>
        </w:rPr>
        <w:t>the previous quarter’s EUR 80 billion a month</w:t>
      </w:r>
      <w:r w:rsidRPr="00441A9C">
        <w:rPr>
          <w:rStyle w:val="longtext"/>
          <w:rFonts w:ascii="Garamond" w:hAnsi="Garamond"/>
          <w:sz w:val="22"/>
          <w:szCs w:val="22"/>
        </w:rPr>
        <w:t>.</w:t>
      </w:r>
    </w:p>
    <w:p w14:paraId="5659FF7F" w14:textId="77777777" w:rsidR="004A7BBD" w:rsidRPr="00441A9C" w:rsidRDefault="004A7BBD" w:rsidP="004A7BBD">
      <w:pPr>
        <w:spacing w:line="360" w:lineRule="auto"/>
        <w:jc w:val="both"/>
        <w:rPr>
          <w:rStyle w:val="longtext"/>
          <w:rFonts w:ascii="Garamond" w:hAnsi="Garamond"/>
          <w:sz w:val="22"/>
          <w:szCs w:val="22"/>
        </w:rPr>
      </w:pPr>
    </w:p>
    <w:p w14:paraId="55AB81AE" w14:textId="77777777" w:rsidR="004A7BBD" w:rsidRPr="00441A9C" w:rsidRDefault="004A7BBD" w:rsidP="004A7BBD">
      <w:pPr>
        <w:spacing w:line="360" w:lineRule="auto"/>
        <w:jc w:val="both"/>
        <w:rPr>
          <w:rStyle w:val="longtext"/>
          <w:rFonts w:ascii="Garamond" w:hAnsi="Garamond"/>
          <w:sz w:val="22"/>
          <w:szCs w:val="22"/>
        </w:rPr>
      </w:pPr>
      <w:r w:rsidRPr="00441A9C">
        <w:rPr>
          <w:rStyle w:val="longtext"/>
          <w:rFonts w:ascii="Garamond" w:hAnsi="Garamond"/>
          <w:sz w:val="22"/>
          <w:szCs w:val="22"/>
        </w:rPr>
        <w:t>In the currency market in the second quarter of 2017, the European currency unit, the euro, appreciated against the U.S. dollar</w:t>
      </w:r>
      <w:r w:rsidRPr="00441A9C">
        <w:rPr>
          <w:rFonts w:ascii="Garamond" w:hAnsi="Garamond" w:cs="Sylfaen"/>
          <w:iCs/>
          <w:sz w:val="22"/>
          <w:szCs w:val="22"/>
        </w:rPr>
        <w:t xml:space="preserve"> by 3.3% q/q (y/y depreciation: 0.5</w:t>
      </w:r>
      <w:r w:rsidRPr="00441A9C">
        <w:rPr>
          <w:rFonts w:ascii="Garamond" w:hAnsi="Garamond" w:cs="Sylfaen"/>
          <w:sz w:val="22"/>
          <w:szCs w:val="22"/>
        </w:rPr>
        <w:t xml:space="preserve">%); the </w:t>
      </w:r>
      <w:r w:rsidRPr="00441A9C">
        <w:rPr>
          <w:rStyle w:val="longtext"/>
          <w:rFonts w:ascii="Garamond" w:hAnsi="Garamond"/>
          <w:sz w:val="22"/>
          <w:szCs w:val="22"/>
        </w:rPr>
        <w:t>average exchange rate reached 1.1 dollars for one euro instead of forecast value of 1.08 dollars. The euro’s appreciation followed as political uncertainties in the EU came in at a lesser extent amid expectations for continued recovery of the Eurozone economy.</w:t>
      </w:r>
    </w:p>
    <w:p w14:paraId="2F9AC22F" w14:textId="77777777" w:rsidR="004A7BBD" w:rsidRPr="00441A9C" w:rsidRDefault="004A7BBD" w:rsidP="004A7BBD">
      <w:pPr>
        <w:spacing w:line="360" w:lineRule="auto"/>
        <w:jc w:val="both"/>
        <w:rPr>
          <w:rStyle w:val="longtext"/>
          <w:rFonts w:ascii="Garamond" w:hAnsi="Garamond"/>
          <w:sz w:val="22"/>
          <w:szCs w:val="22"/>
        </w:rPr>
      </w:pPr>
    </w:p>
    <w:p w14:paraId="5F1853F9" w14:textId="77777777" w:rsidR="004A7BBD" w:rsidRPr="00441A9C" w:rsidRDefault="004A7BBD" w:rsidP="004A7BBD">
      <w:pPr>
        <w:spacing w:line="360" w:lineRule="auto"/>
        <w:jc w:val="both"/>
        <w:rPr>
          <w:rFonts w:ascii="Garamond" w:hAnsi="Garamond"/>
          <w:sz w:val="22"/>
          <w:szCs w:val="22"/>
        </w:rPr>
      </w:pPr>
      <w:r w:rsidRPr="00441A9C">
        <w:rPr>
          <w:rFonts w:ascii="Garamond" w:hAnsi="Garamond"/>
          <w:sz w:val="22"/>
          <w:szCs w:val="22"/>
        </w:rPr>
        <w:t>According to preliminary estimates of State Statistics Service of the</w:t>
      </w:r>
      <w:r w:rsidRPr="00441A9C">
        <w:rPr>
          <w:rFonts w:ascii="Garamond" w:hAnsi="Garamond"/>
          <w:b/>
          <w:sz w:val="22"/>
          <w:szCs w:val="22"/>
        </w:rPr>
        <w:t xml:space="preserve"> Russian Federation</w:t>
      </w:r>
      <w:r w:rsidRPr="00441A9C">
        <w:rPr>
          <w:rFonts w:ascii="Garamond" w:hAnsi="Garamond"/>
          <w:sz w:val="22"/>
          <w:szCs w:val="22"/>
        </w:rPr>
        <w:t xml:space="preserve">, economy recovered at a faster pace in the second quarter of 2017, amounting to 2.5% y/y against the prediction of 0.8% growth (previous quarter’s economic growth: 0.5%). This was determined by a sharp growth in investment and domestic consumption. The Russian ruble kept on appreciating during the quarter by 2.6% q/q, with the y/y appreciation reaching 15.3%. In the second quarter of 2017 the inflation further decelerated to 4.0%, instead of the previous forecast of 3.4%. Though inflation expectations continued reducing, the inflation rate is still high. Under such circumstances, the Bank of Russia reduced the policy rate, as expected, by 0.75 pp to 9.0% in the second quarter. </w:t>
      </w:r>
    </w:p>
    <w:p w14:paraId="435A5B90" w14:textId="77777777" w:rsidR="004A7BBD" w:rsidRPr="00441A9C" w:rsidRDefault="004A7BBD" w:rsidP="004A7BBD">
      <w:pPr>
        <w:spacing w:line="360" w:lineRule="auto"/>
        <w:jc w:val="both"/>
        <w:rPr>
          <w:rFonts w:ascii="Garamond" w:hAnsi="Garamond"/>
          <w:sz w:val="22"/>
          <w:szCs w:val="22"/>
        </w:rPr>
      </w:pPr>
    </w:p>
    <w:p w14:paraId="7C77708F" w14:textId="77777777" w:rsidR="004A7BBD" w:rsidRPr="00441A9C" w:rsidRDefault="004A7BBD" w:rsidP="004A7BBD">
      <w:pPr>
        <w:spacing w:line="360" w:lineRule="auto"/>
        <w:jc w:val="both"/>
        <w:rPr>
          <w:rFonts w:ascii="Garamond" w:hAnsi="Garamond"/>
          <w:sz w:val="22"/>
          <w:szCs w:val="22"/>
        </w:rPr>
      </w:pPr>
      <w:r w:rsidRPr="00441A9C">
        <w:rPr>
          <w:rFonts w:ascii="Garamond" w:hAnsi="Garamond"/>
          <w:sz w:val="22"/>
          <w:szCs w:val="22"/>
        </w:rPr>
        <w:t xml:space="preserve">In the second quarter of 2017 the </w:t>
      </w:r>
      <w:r w:rsidRPr="00441A9C">
        <w:rPr>
          <w:rFonts w:ascii="Garamond" w:hAnsi="Garamond"/>
          <w:b/>
          <w:sz w:val="22"/>
          <w:szCs w:val="22"/>
        </w:rPr>
        <w:t>price of Brent crude oil</w:t>
      </w:r>
      <w:r w:rsidRPr="00441A9C">
        <w:rPr>
          <w:rFonts w:ascii="Garamond" w:hAnsi="Garamond"/>
          <w:sz w:val="22"/>
          <w:szCs w:val="22"/>
        </w:rPr>
        <w:t xml:space="preserve"> at </w:t>
      </w:r>
      <w:r w:rsidRPr="00441A9C">
        <w:rPr>
          <w:rFonts w:ascii="Garamond" w:hAnsi="Garamond"/>
          <w:iCs/>
          <w:sz w:val="22"/>
          <w:szCs w:val="22"/>
        </w:rPr>
        <w:t xml:space="preserve">Intercontinental Exchange fell by 7.2% against the previous quarter, averaging </w:t>
      </w:r>
      <w:r w:rsidRPr="00441A9C">
        <w:rPr>
          <w:rFonts w:ascii="Garamond" w:hAnsi="Garamond"/>
          <w:sz w:val="22"/>
          <w:szCs w:val="22"/>
        </w:rPr>
        <w:t xml:space="preserve">USD 50.2 a barrel, in response to increased production volumes in the United States and Libya. The price runs at a level higher than predicted in the previous quarter. </w:t>
      </w:r>
    </w:p>
    <w:p w14:paraId="0D262892" w14:textId="77777777" w:rsidR="004A7BBD" w:rsidRPr="00441A9C" w:rsidRDefault="004A7BBD" w:rsidP="004A7BBD">
      <w:pPr>
        <w:spacing w:line="360" w:lineRule="auto"/>
        <w:jc w:val="both"/>
        <w:rPr>
          <w:rFonts w:ascii="Garamond" w:hAnsi="Garamond"/>
          <w:sz w:val="22"/>
          <w:szCs w:val="22"/>
        </w:rPr>
      </w:pPr>
    </w:p>
    <w:p w14:paraId="0BEF1E04" w14:textId="77777777" w:rsidR="004A7BBD" w:rsidRPr="00441A9C" w:rsidRDefault="004A7BBD" w:rsidP="004A7BBD">
      <w:pPr>
        <w:spacing w:line="360" w:lineRule="auto"/>
        <w:jc w:val="both"/>
        <w:rPr>
          <w:rFonts w:ascii="Garamond" w:hAnsi="Garamond"/>
          <w:sz w:val="22"/>
          <w:szCs w:val="22"/>
        </w:rPr>
      </w:pPr>
      <w:r w:rsidRPr="00441A9C">
        <w:rPr>
          <w:rFonts w:ascii="Garamond" w:hAnsi="Garamond"/>
          <w:sz w:val="22"/>
          <w:szCs w:val="22"/>
        </w:rPr>
        <w:lastRenderedPageBreak/>
        <w:t xml:space="preserve">In the second quarter of 2017 the </w:t>
      </w:r>
      <w:r w:rsidRPr="00441A9C">
        <w:rPr>
          <w:rFonts w:ascii="Garamond" w:hAnsi="Garamond"/>
          <w:b/>
          <w:sz w:val="22"/>
          <w:szCs w:val="22"/>
        </w:rPr>
        <w:t>price of copper</w:t>
      </w:r>
      <w:r w:rsidRPr="00441A9C">
        <w:rPr>
          <w:rFonts w:ascii="Garamond" w:hAnsi="Garamond"/>
          <w:sz w:val="22"/>
          <w:szCs w:val="22"/>
        </w:rPr>
        <w:t xml:space="preserve"> at the London Metal Exchange decreased by 2.9% to USD 5668 per ton on average, somewhat at a lower level than expected in the previous quarter, mostly driven by reduced demand in the USA.</w:t>
      </w:r>
    </w:p>
    <w:p w14:paraId="6F5F4309" w14:textId="77777777" w:rsidR="004A7BBD" w:rsidRPr="00441A9C" w:rsidRDefault="004A7BBD" w:rsidP="004A7BBD">
      <w:pPr>
        <w:spacing w:line="360" w:lineRule="auto"/>
        <w:jc w:val="both"/>
        <w:rPr>
          <w:rFonts w:ascii="Garamond" w:hAnsi="Garamond"/>
          <w:sz w:val="22"/>
          <w:szCs w:val="22"/>
        </w:rPr>
      </w:pPr>
    </w:p>
    <w:p w14:paraId="349BAA54" w14:textId="77777777" w:rsidR="004A7BBD" w:rsidRPr="00441A9C" w:rsidRDefault="004A7BBD" w:rsidP="004A7BBD">
      <w:pPr>
        <w:spacing w:line="360" w:lineRule="auto"/>
        <w:jc w:val="both"/>
        <w:rPr>
          <w:rStyle w:val="longtext"/>
          <w:rFonts w:ascii="Garamond" w:hAnsi="Garamond"/>
          <w:sz w:val="22"/>
          <w:szCs w:val="22"/>
          <w:shd w:val="clear" w:color="auto" w:fill="FFFFFF"/>
        </w:rPr>
      </w:pPr>
      <w:r w:rsidRPr="00441A9C">
        <w:rPr>
          <w:rFonts w:ascii="Garamond" w:hAnsi="Garamond"/>
          <w:sz w:val="22"/>
          <w:szCs w:val="22"/>
        </w:rPr>
        <w:t>The e</w:t>
      </w:r>
      <w:r w:rsidRPr="00441A9C">
        <w:rPr>
          <w:rStyle w:val="longtext"/>
          <w:rFonts w:ascii="Garamond" w:hAnsi="Garamond"/>
          <w:sz w:val="22"/>
          <w:szCs w:val="22"/>
          <w:shd w:val="clear" w:color="auto" w:fill="FFFFFF"/>
        </w:rPr>
        <w:t xml:space="preserve">xport price of </w:t>
      </w:r>
      <w:r w:rsidRPr="00441A9C">
        <w:rPr>
          <w:rStyle w:val="longtext"/>
          <w:rFonts w:ascii="Garamond" w:hAnsi="Garamond"/>
          <w:b/>
          <w:sz w:val="22"/>
          <w:szCs w:val="22"/>
          <w:shd w:val="clear" w:color="auto" w:fill="FFFFFF"/>
        </w:rPr>
        <w:t xml:space="preserve">hard red wheat </w:t>
      </w:r>
      <w:r w:rsidRPr="00441A9C">
        <w:rPr>
          <w:rStyle w:val="longtext"/>
          <w:rFonts w:ascii="Garamond" w:hAnsi="Garamond"/>
          <w:sz w:val="22"/>
          <w:szCs w:val="22"/>
          <w:shd w:val="clear" w:color="auto" w:fill="FFFFFF"/>
        </w:rPr>
        <w:t xml:space="preserve">grew during </w:t>
      </w:r>
      <w:r w:rsidRPr="00441A9C">
        <w:rPr>
          <w:rFonts w:ascii="Garamond" w:hAnsi="Garamond"/>
          <w:sz w:val="22"/>
          <w:szCs w:val="22"/>
        </w:rPr>
        <w:t xml:space="preserve">the second quarter by 2.5% (y/y price </w:t>
      </w:r>
      <w:r w:rsidRPr="00441A9C">
        <w:rPr>
          <w:rStyle w:val="longtext"/>
          <w:rFonts w:ascii="Garamond" w:hAnsi="Garamond"/>
          <w:sz w:val="22"/>
          <w:szCs w:val="22"/>
        </w:rPr>
        <w:t>decrease: 7.5%</w:t>
      </w:r>
      <w:r w:rsidRPr="00441A9C">
        <w:rPr>
          <w:rStyle w:val="longtext"/>
          <w:rFonts w:ascii="Garamond" w:hAnsi="Garamond"/>
          <w:sz w:val="22"/>
          <w:szCs w:val="22"/>
          <w:lang w:val="hy-AM"/>
        </w:rPr>
        <w:t>)</w:t>
      </w:r>
      <w:r w:rsidRPr="00441A9C">
        <w:rPr>
          <w:rStyle w:val="longtext"/>
          <w:rFonts w:ascii="Garamond" w:hAnsi="Garamond"/>
          <w:sz w:val="22"/>
          <w:szCs w:val="22"/>
        </w:rPr>
        <w:t xml:space="preserve"> to </w:t>
      </w:r>
      <w:r w:rsidRPr="00441A9C">
        <w:rPr>
          <w:rStyle w:val="longtext"/>
          <w:rFonts w:ascii="Garamond" w:hAnsi="Garamond"/>
          <w:sz w:val="22"/>
          <w:szCs w:val="22"/>
          <w:shd w:val="clear" w:color="auto" w:fill="FFFFFF"/>
        </w:rPr>
        <w:t>USD 4.01 a bushel on average in anticipation of somewhat reduced</w:t>
      </w:r>
      <w:r w:rsidRPr="00441A9C">
        <w:rPr>
          <w:rFonts w:ascii="Garamond" w:hAnsi="Garamond"/>
          <w:sz w:val="22"/>
          <w:szCs w:val="22"/>
        </w:rPr>
        <w:t xml:space="preserve"> harvest.</w:t>
      </w:r>
      <w:r w:rsidRPr="00441A9C">
        <w:rPr>
          <w:rStyle w:val="longtext"/>
          <w:rFonts w:ascii="Garamond" w:hAnsi="Garamond"/>
          <w:sz w:val="22"/>
          <w:szCs w:val="22"/>
          <w:shd w:val="clear" w:color="auto" w:fill="FFFFFF"/>
        </w:rPr>
        <w:t xml:space="preserve"> The wheat prices are consistent with forecasts. </w:t>
      </w:r>
    </w:p>
    <w:p w14:paraId="52E22E4F" w14:textId="77777777" w:rsidR="004A7BBD" w:rsidRPr="00441A9C" w:rsidRDefault="004A7BBD" w:rsidP="004A7BBD">
      <w:pPr>
        <w:spacing w:line="360" w:lineRule="auto"/>
        <w:jc w:val="both"/>
        <w:rPr>
          <w:rStyle w:val="longtext"/>
          <w:rFonts w:ascii="Garamond" w:hAnsi="Garamond"/>
          <w:sz w:val="22"/>
          <w:szCs w:val="22"/>
          <w:shd w:val="clear" w:color="auto" w:fill="FFFFFF"/>
        </w:rPr>
      </w:pPr>
    </w:p>
    <w:p w14:paraId="4A1765B7" w14:textId="77777777" w:rsidR="004A7BBD" w:rsidRPr="00441A9C" w:rsidRDefault="004A7BBD" w:rsidP="004A7BBD">
      <w:pPr>
        <w:spacing w:line="360" w:lineRule="auto"/>
        <w:jc w:val="both"/>
        <w:rPr>
          <w:rStyle w:val="longtext"/>
          <w:rFonts w:ascii="Garamond" w:hAnsi="Garamond"/>
          <w:sz w:val="22"/>
          <w:szCs w:val="22"/>
          <w:shd w:val="clear" w:color="auto" w:fill="FFFFFF"/>
        </w:rPr>
      </w:pPr>
      <w:r w:rsidRPr="00441A9C">
        <w:rPr>
          <w:rFonts w:ascii="Garamond" w:eastAsia="MS Mincho" w:hAnsi="Garamond"/>
          <w:iCs/>
          <w:sz w:val="22"/>
          <w:szCs w:val="22"/>
        </w:rPr>
        <w:t xml:space="preserve">In </w:t>
      </w:r>
      <w:r w:rsidRPr="00441A9C">
        <w:rPr>
          <w:rStyle w:val="longtext"/>
          <w:rFonts w:ascii="Garamond" w:hAnsi="Garamond"/>
          <w:sz w:val="22"/>
          <w:szCs w:val="22"/>
        </w:rPr>
        <w:t xml:space="preserve">the second quarter of 2017 the price index of </w:t>
      </w:r>
      <w:r w:rsidRPr="00441A9C">
        <w:rPr>
          <w:rStyle w:val="longtext"/>
          <w:rFonts w:ascii="Garamond" w:hAnsi="Garamond"/>
          <w:b/>
          <w:sz w:val="22"/>
          <w:szCs w:val="22"/>
        </w:rPr>
        <w:t>unprocessed sugar</w:t>
      </w:r>
      <w:r w:rsidRPr="00441A9C">
        <w:rPr>
          <w:rStyle w:val="longtext"/>
          <w:rFonts w:ascii="Garamond" w:hAnsi="Garamond"/>
          <w:sz w:val="22"/>
          <w:szCs w:val="22"/>
        </w:rPr>
        <w:t xml:space="preserve"> at the </w:t>
      </w:r>
      <w:r w:rsidRPr="00441A9C">
        <w:rPr>
          <w:rFonts w:ascii="Garamond" w:eastAsia="MS Mincho" w:hAnsi="Garamond"/>
          <w:iCs/>
          <w:sz w:val="22"/>
          <w:szCs w:val="22"/>
        </w:rPr>
        <w:t>New York Board-Intercontinental Exchange</w:t>
      </w:r>
      <w:r w:rsidRPr="00441A9C">
        <w:rPr>
          <w:rFonts w:ascii="Garamond" w:eastAsia="MS Mincho" w:hAnsi="Garamond"/>
          <w:iCs/>
          <w:sz w:val="22"/>
          <w:szCs w:val="22"/>
          <w:lang w:val="hy-AM"/>
        </w:rPr>
        <w:t xml:space="preserve"> </w:t>
      </w:r>
      <w:r w:rsidRPr="00441A9C">
        <w:rPr>
          <w:rFonts w:ascii="Garamond" w:eastAsia="MS Mincho" w:hAnsi="Garamond"/>
          <w:iCs/>
          <w:sz w:val="22"/>
          <w:szCs w:val="22"/>
        </w:rPr>
        <w:t>was lower than predicted in the previous quarter, driven by expectations for abundant crops in Brazil and Thailand – principal producer and exporter countries</w:t>
      </w:r>
      <w:r w:rsidRPr="00441A9C">
        <w:rPr>
          <w:rStyle w:val="longtext"/>
          <w:rFonts w:ascii="Garamond" w:hAnsi="Garamond"/>
          <w:sz w:val="22"/>
          <w:szCs w:val="22"/>
        </w:rPr>
        <w:t>.</w:t>
      </w:r>
    </w:p>
    <w:p w14:paraId="7EA5EF39" w14:textId="77777777" w:rsidR="004A7BBD" w:rsidRPr="00441A9C" w:rsidRDefault="004A7BBD" w:rsidP="004A7BBD">
      <w:pPr>
        <w:spacing w:line="360" w:lineRule="auto"/>
        <w:jc w:val="both"/>
        <w:rPr>
          <w:rStyle w:val="longtext"/>
          <w:rFonts w:ascii="Garamond" w:hAnsi="Garamond"/>
          <w:sz w:val="22"/>
          <w:szCs w:val="22"/>
          <w:shd w:val="clear" w:color="auto" w:fill="FFFFFF"/>
        </w:rPr>
      </w:pPr>
    </w:p>
    <w:p w14:paraId="3ED7646E" w14:textId="77777777" w:rsidR="004A7BBD" w:rsidRPr="00441A9C" w:rsidRDefault="004A7BBD" w:rsidP="004A7BBD">
      <w:pPr>
        <w:spacing w:line="360" w:lineRule="auto"/>
        <w:jc w:val="both"/>
        <w:rPr>
          <w:rFonts w:ascii="Garamond" w:hAnsi="Garamond" w:cs="Sylfaen"/>
          <w:b/>
          <w:sz w:val="22"/>
          <w:szCs w:val="22"/>
        </w:rPr>
      </w:pPr>
      <w:r w:rsidRPr="00441A9C">
        <w:rPr>
          <w:rFonts w:ascii="Garamond" w:hAnsi="Garamond" w:cs="Sylfaen"/>
          <w:b/>
          <w:sz w:val="22"/>
          <w:szCs w:val="22"/>
        </w:rPr>
        <w:t>Summary: in the second quarter of 2017 inflationary trends in the world’s commodity and food product markets stabilized and persisted at levels slightly below the previous forecasts.</w:t>
      </w:r>
    </w:p>
    <w:p w14:paraId="68349A36" w14:textId="77777777" w:rsidR="004A7BBD" w:rsidRPr="00441A9C" w:rsidRDefault="004A7BBD" w:rsidP="004A7BBD">
      <w:pPr>
        <w:spacing w:line="360" w:lineRule="auto"/>
        <w:jc w:val="both"/>
        <w:rPr>
          <w:rFonts w:ascii="Garamond" w:hAnsi="Garamond" w:cs="Sylfaen"/>
          <w:b/>
          <w:sz w:val="22"/>
          <w:szCs w:val="22"/>
        </w:rPr>
      </w:pPr>
    </w:p>
    <w:p w14:paraId="450D0A0B" w14:textId="77777777" w:rsidR="004A7BBD" w:rsidRPr="00441A9C" w:rsidRDefault="004A7BBD" w:rsidP="004A7BBD">
      <w:pPr>
        <w:spacing w:line="360" w:lineRule="auto"/>
        <w:jc w:val="both"/>
        <w:rPr>
          <w:rFonts w:ascii="Garamond" w:hAnsi="Garamond" w:cs="GHEA Grapalat"/>
          <w:sz w:val="22"/>
          <w:szCs w:val="22"/>
        </w:rPr>
      </w:pPr>
      <w:r w:rsidRPr="00441A9C">
        <w:rPr>
          <w:rFonts w:ascii="Garamond" w:hAnsi="Garamond"/>
          <w:b/>
          <w:bCs/>
          <w:sz w:val="22"/>
          <w:szCs w:val="22"/>
        </w:rPr>
        <w:t>………………………………………………………………………………………………………………..</w:t>
      </w:r>
    </w:p>
    <w:p w14:paraId="20472E93" w14:textId="77777777" w:rsidR="004A7BBD" w:rsidRPr="00441A9C" w:rsidRDefault="004A7BBD" w:rsidP="0006101A">
      <w:pPr>
        <w:spacing w:line="360" w:lineRule="auto"/>
        <w:jc w:val="both"/>
        <w:rPr>
          <w:rFonts w:ascii="Garamond" w:hAnsi="Garamond" w:cs="GHEA Grapalat"/>
          <w:sz w:val="22"/>
          <w:szCs w:val="22"/>
        </w:rPr>
      </w:pPr>
    </w:p>
    <w:p w14:paraId="65D28A6D" w14:textId="77777777" w:rsidR="005A000D" w:rsidRPr="00441A9C" w:rsidRDefault="005A000D" w:rsidP="003A3042">
      <w:pPr>
        <w:spacing w:line="360" w:lineRule="auto"/>
        <w:jc w:val="center"/>
        <w:rPr>
          <w:rFonts w:ascii="Garamond" w:hAnsi="Garamond"/>
          <w:b/>
          <w:bCs/>
          <w:sz w:val="22"/>
          <w:szCs w:val="22"/>
        </w:rPr>
      </w:pPr>
    </w:p>
    <w:p w14:paraId="59156D4F" w14:textId="77777777" w:rsidR="005A000D" w:rsidRPr="00441A9C" w:rsidRDefault="005A000D" w:rsidP="003A3042">
      <w:pPr>
        <w:spacing w:line="360" w:lineRule="auto"/>
        <w:jc w:val="center"/>
        <w:rPr>
          <w:rFonts w:ascii="Garamond" w:hAnsi="Garamond"/>
          <w:b/>
          <w:bCs/>
          <w:sz w:val="22"/>
          <w:szCs w:val="22"/>
        </w:rPr>
      </w:pPr>
    </w:p>
    <w:p w14:paraId="260F5741" w14:textId="77777777" w:rsidR="005A000D" w:rsidRPr="00441A9C" w:rsidRDefault="005A000D" w:rsidP="003A3042">
      <w:pPr>
        <w:spacing w:line="360" w:lineRule="auto"/>
        <w:jc w:val="center"/>
        <w:rPr>
          <w:rFonts w:ascii="Garamond" w:hAnsi="Garamond"/>
          <w:b/>
          <w:bCs/>
          <w:sz w:val="22"/>
          <w:szCs w:val="22"/>
        </w:rPr>
      </w:pPr>
    </w:p>
    <w:p w14:paraId="35930D24" w14:textId="77777777" w:rsidR="003A3042" w:rsidRPr="00441A9C" w:rsidRDefault="003A3042" w:rsidP="003A3042">
      <w:pPr>
        <w:spacing w:line="360" w:lineRule="auto"/>
        <w:jc w:val="center"/>
        <w:rPr>
          <w:rFonts w:ascii="Garamond" w:hAnsi="Garamond"/>
          <w:b/>
          <w:bCs/>
          <w:sz w:val="22"/>
          <w:szCs w:val="22"/>
        </w:rPr>
      </w:pPr>
      <w:r w:rsidRPr="00441A9C">
        <w:rPr>
          <w:rFonts w:ascii="Garamond" w:hAnsi="Garamond"/>
          <w:b/>
          <w:bCs/>
          <w:sz w:val="22"/>
          <w:szCs w:val="22"/>
        </w:rPr>
        <w:t>BOARD OF CBA</w:t>
      </w:r>
    </w:p>
    <w:p w14:paraId="656BDE37" w14:textId="77777777" w:rsidR="001B04FD" w:rsidRPr="00441A9C" w:rsidRDefault="001B04FD" w:rsidP="003A3042">
      <w:pPr>
        <w:spacing w:line="360" w:lineRule="auto"/>
        <w:jc w:val="center"/>
        <w:rPr>
          <w:rFonts w:ascii="Garamond" w:hAnsi="Garamond"/>
          <w:b/>
          <w:bCs/>
          <w:sz w:val="22"/>
          <w:szCs w:val="22"/>
        </w:rPr>
      </w:pPr>
    </w:p>
    <w:p w14:paraId="7638D066" w14:textId="77777777" w:rsidR="003A3042" w:rsidRPr="00441A9C" w:rsidRDefault="003A3042" w:rsidP="003A3042">
      <w:pPr>
        <w:spacing w:line="360" w:lineRule="auto"/>
        <w:jc w:val="center"/>
        <w:rPr>
          <w:rFonts w:ascii="Garamond" w:hAnsi="Garamond"/>
          <w:b/>
          <w:bCs/>
          <w:sz w:val="22"/>
          <w:szCs w:val="22"/>
        </w:rPr>
      </w:pPr>
      <w:r w:rsidRPr="00441A9C">
        <w:rPr>
          <w:rFonts w:ascii="Garamond" w:hAnsi="Garamond"/>
          <w:b/>
          <w:bCs/>
          <w:sz w:val="22"/>
          <w:szCs w:val="22"/>
        </w:rPr>
        <w:t>MINUTES</w:t>
      </w:r>
    </w:p>
    <w:p w14:paraId="7C9FD2E2" w14:textId="77777777" w:rsidR="003A3042" w:rsidRPr="00441A9C" w:rsidRDefault="003A3042" w:rsidP="003A3042">
      <w:pPr>
        <w:spacing w:line="360" w:lineRule="auto"/>
        <w:jc w:val="center"/>
        <w:rPr>
          <w:rFonts w:ascii="Garamond" w:hAnsi="Garamond"/>
          <w:b/>
          <w:bCs/>
          <w:sz w:val="22"/>
          <w:szCs w:val="22"/>
        </w:rPr>
      </w:pPr>
      <w:r w:rsidRPr="00441A9C">
        <w:rPr>
          <w:rFonts w:ascii="Garamond" w:hAnsi="Garamond"/>
          <w:b/>
          <w:bCs/>
          <w:sz w:val="22"/>
          <w:szCs w:val="22"/>
        </w:rPr>
        <w:t>(1</w:t>
      </w:r>
      <w:r w:rsidR="0055486B" w:rsidRPr="00441A9C">
        <w:rPr>
          <w:rFonts w:ascii="Garamond" w:hAnsi="Garamond"/>
          <w:b/>
          <w:bCs/>
          <w:sz w:val="22"/>
          <w:szCs w:val="22"/>
        </w:rPr>
        <w:t>5</w:t>
      </w:r>
      <w:r w:rsidRPr="00441A9C">
        <w:rPr>
          <w:rFonts w:ascii="Garamond" w:hAnsi="Garamond"/>
          <w:b/>
          <w:bCs/>
          <w:sz w:val="22"/>
          <w:szCs w:val="22"/>
        </w:rPr>
        <w:t>.0</w:t>
      </w:r>
      <w:r w:rsidR="0055486B" w:rsidRPr="00441A9C">
        <w:rPr>
          <w:rFonts w:ascii="Garamond" w:hAnsi="Garamond"/>
          <w:b/>
          <w:bCs/>
          <w:sz w:val="22"/>
          <w:szCs w:val="22"/>
        </w:rPr>
        <w:t>8</w:t>
      </w:r>
      <w:r w:rsidRPr="00441A9C">
        <w:rPr>
          <w:rFonts w:ascii="Garamond" w:hAnsi="Garamond"/>
          <w:b/>
          <w:bCs/>
          <w:sz w:val="22"/>
          <w:szCs w:val="22"/>
        </w:rPr>
        <w:t>.2017)</w:t>
      </w:r>
    </w:p>
    <w:p w14:paraId="1A6A35CB" w14:textId="77777777" w:rsidR="003A3042" w:rsidRPr="00441A9C" w:rsidRDefault="003A3042" w:rsidP="003A3042">
      <w:pPr>
        <w:spacing w:line="360" w:lineRule="auto"/>
        <w:jc w:val="center"/>
        <w:rPr>
          <w:rFonts w:ascii="Garamond" w:hAnsi="Garamond"/>
          <w:b/>
          <w:bCs/>
          <w:sz w:val="22"/>
          <w:szCs w:val="22"/>
        </w:rPr>
      </w:pPr>
    </w:p>
    <w:p w14:paraId="779E72CD" w14:textId="77777777" w:rsidR="003A3042" w:rsidRPr="00441A9C" w:rsidRDefault="003A3042" w:rsidP="003A3042">
      <w:pPr>
        <w:spacing w:line="360" w:lineRule="auto"/>
        <w:jc w:val="center"/>
        <w:rPr>
          <w:rFonts w:ascii="Garamond" w:hAnsi="Garamond"/>
          <w:sz w:val="22"/>
          <w:szCs w:val="22"/>
        </w:rPr>
      </w:pPr>
      <w:r w:rsidRPr="00441A9C">
        <w:rPr>
          <w:rFonts w:ascii="Garamond" w:hAnsi="Garamond"/>
          <w:b/>
          <w:bCs/>
          <w:sz w:val="22"/>
          <w:szCs w:val="22"/>
        </w:rPr>
        <w:t xml:space="preserve">Refinancing Rate of </w:t>
      </w:r>
      <w:r w:rsidR="0055486B" w:rsidRPr="00441A9C">
        <w:rPr>
          <w:rFonts w:ascii="Garamond" w:hAnsi="Garamond"/>
          <w:b/>
          <w:bCs/>
          <w:sz w:val="22"/>
          <w:szCs w:val="22"/>
        </w:rPr>
        <w:t>August</w:t>
      </w:r>
      <w:r w:rsidRPr="00441A9C">
        <w:rPr>
          <w:rFonts w:ascii="Garamond" w:hAnsi="Garamond"/>
          <w:b/>
          <w:bCs/>
          <w:sz w:val="22"/>
          <w:szCs w:val="22"/>
        </w:rPr>
        <w:t xml:space="preserve"> </w:t>
      </w:r>
      <w:r w:rsidR="001B04FD" w:rsidRPr="00441A9C">
        <w:rPr>
          <w:rFonts w:ascii="Garamond" w:hAnsi="Garamond"/>
          <w:b/>
          <w:bCs/>
          <w:sz w:val="22"/>
          <w:szCs w:val="22"/>
        </w:rPr>
        <w:t>1</w:t>
      </w:r>
      <w:r w:rsidR="0055486B" w:rsidRPr="00441A9C">
        <w:rPr>
          <w:rFonts w:ascii="Garamond" w:hAnsi="Garamond"/>
          <w:b/>
          <w:bCs/>
          <w:sz w:val="22"/>
          <w:szCs w:val="22"/>
        </w:rPr>
        <w:t>5</w:t>
      </w:r>
      <w:r w:rsidRPr="00441A9C">
        <w:rPr>
          <w:rFonts w:ascii="Garamond" w:hAnsi="Garamond"/>
          <w:b/>
          <w:bCs/>
          <w:sz w:val="22"/>
          <w:szCs w:val="22"/>
        </w:rPr>
        <w:t>, 201</w:t>
      </w:r>
      <w:r w:rsidR="001B04FD" w:rsidRPr="00441A9C">
        <w:rPr>
          <w:rFonts w:ascii="Garamond" w:hAnsi="Garamond"/>
          <w:b/>
          <w:bCs/>
          <w:sz w:val="22"/>
          <w:szCs w:val="22"/>
        </w:rPr>
        <w:t>7</w:t>
      </w:r>
    </w:p>
    <w:p w14:paraId="14A71C4F" w14:textId="77777777" w:rsidR="003A3042" w:rsidRPr="00441A9C" w:rsidRDefault="003A3042" w:rsidP="003A3042">
      <w:pPr>
        <w:spacing w:line="360" w:lineRule="auto"/>
        <w:jc w:val="center"/>
        <w:rPr>
          <w:rFonts w:ascii="Garamond" w:hAnsi="Garamond"/>
          <w:sz w:val="22"/>
          <w:szCs w:val="22"/>
        </w:rPr>
      </w:pPr>
    </w:p>
    <w:p w14:paraId="69F5C3A9" w14:textId="77777777" w:rsidR="003A3042" w:rsidRPr="00441A9C" w:rsidRDefault="003A3042" w:rsidP="006E600B">
      <w:pPr>
        <w:pStyle w:val="BodyText"/>
        <w:spacing w:line="360" w:lineRule="auto"/>
        <w:jc w:val="center"/>
        <w:rPr>
          <w:rFonts w:ascii="Garamond" w:hAnsi="Garamond"/>
          <w:b/>
        </w:rPr>
      </w:pPr>
      <w:r w:rsidRPr="00441A9C">
        <w:rPr>
          <w:rFonts w:ascii="Garamond" w:hAnsi="Garamond"/>
          <w:b/>
        </w:rPr>
        <w:t xml:space="preserve">The CBA Board Meeting of </w:t>
      </w:r>
      <w:r w:rsidR="003807CF" w:rsidRPr="00441A9C">
        <w:rPr>
          <w:rFonts w:ascii="Garamond" w:hAnsi="Garamond"/>
          <w:b/>
        </w:rPr>
        <w:t>August 15</w:t>
      </w:r>
      <w:r w:rsidR="006E600B" w:rsidRPr="00441A9C">
        <w:rPr>
          <w:rFonts w:ascii="Garamond" w:hAnsi="Garamond"/>
          <w:b/>
          <w:bCs/>
        </w:rPr>
        <w:t>, 2017</w:t>
      </w:r>
      <w:r w:rsidRPr="00441A9C">
        <w:rPr>
          <w:rFonts w:ascii="Garamond" w:hAnsi="Garamond"/>
          <w:b/>
        </w:rPr>
        <w:t xml:space="preserve"> attended by Chairman</w:t>
      </w:r>
      <w:r w:rsidR="002B3484" w:rsidRPr="00441A9C">
        <w:rPr>
          <w:rFonts w:ascii="Garamond" w:hAnsi="Garamond"/>
          <w:b/>
        </w:rPr>
        <w:t xml:space="preserve"> Arthur Javadyan, Deputy Chairm</w:t>
      </w:r>
      <w:r w:rsidR="003807CF" w:rsidRPr="00441A9C">
        <w:rPr>
          <w:rFonts w:ascii="Garamond" w:hAnsi="Garamond"/>
          <w:b/>
        </w:rPr>
        <w:t>e</w:t>
      </w:r>
      <w:r w:rsidR="002B3484" w:rsidRPr="00441A9C">
        <w:rPr>
          <w:rFonts w:ascii="Garamond" w:hAnsi="Garamond"/>
          <w:b/>
        </w:rPr>
        <w:t>n Nerses Yeritsyan</w:t>
      </w:r>
      <w:r w:rsidRPr="00441A9C">
        <w:rPr>
          <w:rFonts w:ascii="Garamond" w:hAnsi="Garamond"/>
          <w:b/>
        </w:rPr>
        <w:t xml:space="preserve"> and </w:t>
      </w:r>
      <w:r w:rsidR="003807CF" w:rsidRPr="00441A9C">
        <w:rPr>
          <w:rFonts w:ascii="Garamond" w:hAnsi="Garamond"/>
          <w:b/>
        </w:rPr>
        <w:t xml:space="preserve">Vakhtang Abrahamyan, and </w:t>
      </w:r>
      <w:r w:rsidRPr="00441A9C">
        <w:rPr>
          <w:rFonts w:ascii="Garamond" w:hAnsi="Garamond"/>
          <w:b/>
        </w:rPr>
        <w:t>Board Members Ashot Mkrtchyan, Armenak Darbinyan</w:t>
      </w:r>
      <w:r w:rsidR="003807CF" w:rsidRPr="00441A9C">
        <w:rPr>
          <w:rFonts w:ascii="Garamond" w:hAnsi="Garamond"/>
          <w:b/>
        </w:rPr>
        <w:t xml:space="preserve"> and</w:t>
      </w:r>
      <w:r w:rsidRPr="00441A9C">
        <w:rPr>
          <w:rFonts w:ascii="Garamond" w:hAnsi="Garamond"/>
          <w:b/>
        </w:rPr>
        <w:t xml:space="preserve"> Oleg Aghasyan</w:t>
      </w:r>
    </w:p>
    <w:p w14:paraId="146016BE" w14:textId="77777777" w:rsidR="003A3042" w:rsidRPr="00441A9C" w:rsidRDefault="003A3042" w:rsidP="003A3042">
      <w:pPr>
        <w:spacing w:line="360" w:lineRule="auto"/>
        <w:jc w:val="both"/>
        <w:rPr>
          <w:rFonts w:ascii="Garamond" w:hAnsi="Garamond"/>
          <w:sz w:val="22"/>
          <w:szCs w:val="22"/>
        </w:rPr>
      </w:pPr>
    </w:p>
    <w:p w14:paraId="45554386" w14:textId="77777777" w:rsidR="003A3042" w:rsidRPr="00441A9C" w:rsidRDefault="003A3042" w:rsidP="003A3042">
      <w:pPr>
        <w:spacing w:line="360" w:lineRule="auto"/>
        <w:jc w:val="both"/>
        <w:rPr>
          <w:rFonts w:ascii="Garamond" w:hAnsi="Garamond"/>
          <w:sz w:val="22"/>
          <w:szCs w:val="22"/>
        </w:rPr>
      </w:pPr>
      <w:r w:rsidRPr="00441A9C">
        <w:rPr>
          <w:rFonts w:ascii="Garamond" w:hAnsi="Garamond"/>
          <w:sz w:val="22"/>
          <w:szCs w:val="22"/>
        </w:rPr>
        <w:t xml:space="preserve">The Board meeting opened with presentation of Situation Report as of </w:t>
      </w:r>
      <w:r w:rsidR="003807CF" w:rsidRPr="00441A9C">
        <w:rPr>
          <w:rFonts w:ascii="Garamond" w:hAnsi="Garamond"/>
          <w:sz w:val="22"/>
          <w:szCs w:val="22"/>
        </w:rPr>
        <w:t>August</w:t>
      </w:r>
      <w:r w:rsidR="006E600B" w:rsidRPr="00441A9C">
        <w:rPr>
          <w:rFonts w:ascii="Garamond" w:hAnsi="Garamond"/>
          <w:bCs/>
          <w:sz w:val="22"/>
          <w:szCs w:val="22"/>
        </w:rPr>
        <w:t xml:space="preserve"> 1</w:t>
      </w:r>
      <w:r w:rsidR="003807CF" w:rsidRPr="00441A9C">
        <w:rPr>
          <w:rFonts w:ascii="Garamond" w:hAnsi="Garamond"/>
          <w:bCs/>
          <w:sz w:val="22"/>
          <w:szCs w:val="22"/>
        </w:rPr>
        <w:t>5</w:t>
      </w:r>
      <w:r w:rsidR="006E600B" w:rsidRPr="00441A9C">
        <w:rPr>
          <w:rFonts w:ascii="Garamond" w:hAnsi="Garamond"/>
          <w:bCs/>
          <w:sz w:val="22"/>
          <w:szCs w:val="22"/>
        </w:rPr>
        <w:t>, 2017</w:t>
      </w:r>
      <w:r w:rsidRPr="00441A9C">
        <w:rPr>
          <w:rFonts w:ascii="Garamond" w:hAnsi="Garamond"/>
          <w:sz w:val="22"/>
          <w:szCs w:val="22"/>
        </w:rPr>
        <w:t xml:space="preserve">. It addressed current developments on inflation, external environment and real, fiscal and monetary sectors of the economy. </w:t>
      </w:r>
    </w:p>
    <w:p w14:paraId="730C56F9" w14:textId="77777777" w:rsidR="003A3042" w:rsidRPr="00441A9C" w:rsidRDefault="003A3042" w:rsidP="003A3042">
      <w:pPr>
        <w:spacing w:line="360" w:lineRule="auto"/>
        <w:jc w:val="both"/>
        <w:rPr>
          <w:rFonts w:ascii="Garamond" w:hAnsi="Garamond"/>
          <w:sz w:val="22"/>
          <w:szCs w:val="22"/>
        </w:rPr>
      </w:pPr>
    </w:p>
    <w:p w14:paraId="3B7192DB" w14:textId="77777777" w:rsidR="00D86FA0" w:rsidRPr="00441A9C" w:rsidRDefault="0030674F" w:rsidP="003A3042">
      <w:pPr>
        <w:spacing w:line="360" w:lineRule="auto"/>
        <w:jc w:val="both"/>
        <w:rPr>
          <w:rFonts w:ascii="Garamond" w:hAnsi="Garamond"/>
          <w:sz w:val="22"/>
          <w:szCs w:val="22"/>
        </w:rPr>
      </w:pPr>
      <w:r w:rsidRPr="00441A9C">
        <w:rPr>
          <w:rFonts w:ascii="Garamond" w:hAnsi="Garamond"/>
          <w:sz w:val="22"/>
          <w:szCs w:val="22"/>
        </w:rPr>
        <w:lastRenderedPageBreak/>
        <w:t xml:space="preserve">As summed up in the record, </w:t>
      </w:r>
      <w:r w:rsidR="00102AA0" w:rsidRPr="00441A9C">
        <w:rPr>
          <w:rFonts w:ascii="Garamond" w:hAnsi="Garamond"/>
          <w:sz w:val="22"/>
          <w:szCs w:val="22"/>
        </w:rPr>
        <w:t xml:space="preserve">inflation in </w:t>
      </w:r>
      <w:r w:rsidRPr="00441A9C">
        <w:rPr>
          <w:rFonts w:ascii="Garamond" w:hAnsi="Garamond"/>
          <w:sz w:val="22"/>
          <w:szCs w:val="22"/>
        </w:rPr>
        <w:t xml:space="preserve">the first half of 2017 </w:t>
      </w:r>
      <w:r w:rsidR="00102AA0" w:rsidRPr="00441A9C">
        <w:rPr>
          <w:rFonts w:ascii="Garamond" w:hAnsi="Garamond"/>
          <w:sz w:val="22"/>
          <w:szCs w:val="22"/>
        </w:rPr>
        <w:t xml:space="preserve">has been </w:t>
      </w:r>
      <w:r w:rsidRPr="00441A9C">
        <w:rPr>
          <w:rFonts w:ascii="Garamond" w:hAnsi="Garamond"/>
          <w:sz w:val="22"/>
          <w:szCs w:val="22"/>
        </w:rPr>
        <w:t>slightly higher than expected. Driven by a seasonal sharp drop in prices for agricultural products, certain fall in prices was recorded in July, as compared to the same period of the previous year, and the 12-month inflation rate has reduced, as a result</w:t>
      </w:r>
      <w:r w:rsidR="00296ABA" w:rsidRPr="00441A9C">
        <w:rPr>
          <w:rFonts w:ascii="Garamond" w:hAnsi="Garamond"/>
          <w:sz w:val="22"/>
          <w:szCs w:val="22"/>
        </w:rPr>
        <w:t xml:space="preserve">. Meanwhile, core </w:t>
      </w:r>
      <w:r w:rsidRPr="00441A9C">
        <w:rPr>
          <w:rFonts w:ascii="Garamond" w:hAnsi="Garamond"/>
          <w:sz w:val="22"/>
          <w:szCs w:val="22"/>
        </w:rPr>
        <w:t xml:space="preserve">inflation </w:t>
      </w:r>
      <w:r w:rsidR="009C65C2" w:rsidRPr="00441A9C">
        <w:rPr>
          <w:rFonts w:ascii="Garamond" w:hAnsi="Garamond"/>
          <w:sz w:val="22"/>
          <w:szCs w:val="22"/>
        </w:rPr>
        <w:t xml:space="preserve">has been increasing </w:t>
      </w:r>
      <w:r w:rsidRPr="00441A9C">
        <w:rPr>
          <w:rFonts w:ascii="Garamond" w:hAnsi="Garamond"/>
          <w:sz w:val="22"/>
          <w:szCs w:val="22"/>
        </w:rPr>
        <w:t>since the beginning of the year</w:t>
      </w:r>
      <w:r w:rsidR="00D86FA0" w:rsidRPr="00441A9C">
        <w:rPr>
          <w:rFonts w:ascii="Garamond" w:hAnsi="Garamond"/>
          <w:sz w:val="22"/>
          <w:szCs w:val="22"/>
        </w:rPr>
        <w:t>;</w:t>
      </w:r>
      <w:r w:rsidRPr="00441A9C">
        <w:rPr>
          <w:rFonts w:ascii="Garamond" w:hAnsi="Garamond"/>
          <w:sz w:val="22"/>
          <w:szCs w:val="22"/>
        </w:rPr>
        <w:t xml:space="preserve"> </w:t>
      </w:r>
      <w:r w:rsidR="00D86FA0" w:rsidRPr="00441A9C">
        <w:rPr>
          <w:rFonts w:ascii="Garamond" w:hAnsi="Garamond"/>
          <w:sz w:val="22"/>
          <w:szCs w:val="22"/>
        </w:rPr>
        <w:t xml:space="preserve">this </w:t>
      </w:r>
      <w:r w:rsidRPr="00441A9C">
        <w:rPr>
          <w:rFonts w:ascii="Garamond" w:hAnsi="Garamond"/>
          <w:sz w:val="22"/>
          <w:szCs w:val="22"/>
        </w:rPr>
        <w:t>bear</w:t>
      </w:r>
      <w:r w:rsidR="00D86FA0" w:rsidRPr="00441A9C">
        <w:rPr>
          <w:rFonts w:ascii="Garamond" w:hAnsi="Garamond"/>
          <w:sz w:val="22"/>
          <w:szCs w:val="22"/>
        </w:rPr>
        <w:t>s</w:t>
      </w:r>
      <w:r w:rsidRPr="00441A9C">
        <w:rPr>
          <w:rFonts w:ascii="Garamond" w:hAnsi="Garamond"/>
          <w:sz w:val="22"/>
          <w:szCs w:val="22"/>
        </w:rPr>
        <w:t xml:space="preserve"> the impact of re</w:t>
      </w:r>
      <w:r w:rsidR="009C65C2" w:rsidRPr="00441A9C">
        <w:rPr>
          <w:rFonts w:ascii="Garamond" w:hAnsi="Garamond"/>
          <w:sz w:val="22"/>
          <w:szCs w:val="22"/>
        </w:rPr>
        <w:t>bounding d</w:t>
      </w:r>
      <w:r w:rsidRPr="00441A9C">
        <w:rPr>
          <w:rFonts w:ascii="Garamond" w:hAnsi="Garamond"/>
          <w:sz w:val="22"/>
          <w:szCs w:val="22"/>
        </w:rPr>
        <w:t xml:space="preserve">omestic demand, which is primarily </w:t>
      </w:r>
      <w:r w:rsidR="00D86FA0" w:rsidRPr="00441A9C">
        <w:rPr>
          <w:rFonts w:ascii="Garamond" w:hAnsi="Garamond"/>
          <w:sz w:val="22"/>
          <w:szCs w:val="22"/>
        </w:rPr>
        <w:t>driven by expansionary</w:t>
      </w:r>
      <w:r w:rsidRPr="00441A9C">
        <w:rPr>
          <w:rFonts w:ascii="Garamond" w:hAnsi="Garamond"/>
          <w:sz w:val="22"/>
          <w:szCs w:val="22"/>
        </w:rPr>
        <w:t xml:space="preserve"> monetary policy implemented by the Central Bank, while the fiscal policy implemented in the first half of the year </w:t>
      </w:r>
      <w:r w:rsidR="00D86FA0" w:rsidRPr="00441A9C">
        <w:rPr>
          <w:rFonts w:ascii="Garamond" w:hAnsi="Garamond"/>
          <w:sz w:val="22"/>
          <w:szCs w:val="22"/>
        </w:rPr>
        <w:t>has been contractionary.</w:t>
      </w:r>
    </w:p>
    <w:p w14:paraId="0F1BB3E7" w14:textId="77777777" w:rsidR="00D86FA0" w:rsidRPr="00441A9C" w:rsidRDefault="00D86FA0" w:rsidP="003A3042">
      <w:pPr>
        <w:spacing w:line="360" w:lineRule="auto"/>
        <w:jc w:val="both"/>
        <w:rPr>
          <w:rFonts w:ascii="Garamond" w:hAnsi="Garamond"/>
          <w:sz w:val="22"/>
          <w:szCs w:val="22"/>
        </w:rPr>
      </w:pPr>
    </w:p>
    <w:p w14:paraId="34D15E50" w14:textId="77777777" w:rsidR="00D86FA0" w:rsidRPr="00441A9C" w:rsidRDefault="00D86FA0" w:rsidP="003A3042">
      <w:pPr>
        <w:spacing w:line="360" w:lineRule="auto"/>
        <w:jc w:val="both"/>
        <w:rPr>
          <w:rFonts w:ascii="Garamond" w:hAnsi="Garamond"/>
          <w:sz w:val="22"/>
          <w:szCs w:val="22"/>
        </w:rPr>
      </w:pPr>
      <w:r w:rsidRPr="00441A9C">
        <w:rPr>
          <w:rFonts w:ascii="Garamond" w:hAnsi="Garamond"/>
          <w:sz w:val="22"/>
          <w:szCs w:val="22"/>
        </w:rPr>
        <w:t xml:space="preserve">Discussing the economic situation at the meeting, the Board admitted that economic activity has been high enough over the first half of 2017, largely due to the supply factors, </w:t>
      </w:r>
      <w:r w:rsidR="00F40D54" w:rsidRPr="00441A9C">
        <w:rPr>
          <w:rFonts w:ascii="Garamond" w:hAnsi="Garamond"/>
          <w:sz w:val="22"/>
          <w:szCs w:val="22"/>
        </w:rPr>
        <w:t xml:space="preserve">such as </w:t>
      </w:r>
      <w:r w:rsidRPr="00441A9C">
        <w:rPr>
          <w:rFonts w:ascii="Garamond" w:hAnsi="Garamond"/>
          <w:sz w:val="22"/>
          <w:szCs w:val="22"/>
        </w:rPr>
        <w:t xml:space="preserve">high productivity growth </w:t>
      </w:r>
      <w:r w:rsidR="00F40D54" w:rsidRPr="00441A9C">
        <w:rPr>
          <w:rFonts w:ascii="Garamond" w:hAnsi="Garamond"/>
          <w:sz w:val="22"/>
          <w:szCs w:val="22"/>
        </w:rPr>
        <w:t xml:space="preserve">registered </w:t>
      </w:r>
      <w:r w:rsidRPr="00441A9C">
        <w:rPr>
          <w:rFonts w:ascii="Garamond" w:hAnsi="Garamond"/>
          <w:sz w:val="22"/>
          <w:szCs w:val="22"/>
        </w:rPr>
        <w:t>in</w:t>
      </w:r>
      <w:r w:rsidR="00F40D54" w:rsidRPr="00441A9C">
        <w:rPr>
          <w:rFonts w:ascii="Garamond" w:hAnsi="Garamond"/>
          <w:sz w:val="22"/>
          <w:szCs w:val="22"/>
        </w:rPr>
        <w:t xml:space="preserve"> the</w:t>
      </w:r>
      <w:r w:rsidRPr="00441A9C">
        <w:rPr>
          <w:rFonts w:ascii="Garamond" w:hAnsi="Garamond"/>
          <w:sz w:val="22"/>
          <w:szCs w:val="22"/>
        </w:rPr>
        <w:t xml:space="preserve"> industry and services</w:t>
      </w:r>
      <w:r w:rsidR="00F40D54" w:rsidRPr="00441A9C">
        <w:rPr>
          <w:rFonts w:ascii="Garamond" w:hAnsi="Garamond"/>
          <w:sz w:val="22"/>
          <w:szCs w:val="22"/>
        </w:rPr>
        <w:t xml:space="preserve"> sectors</w:t>
      </w:r>
      <w:r w:rsidRPr="00441A9C">
        <w:rPr>
          <w:rFonts w:ascii="Garamond" w:hAnsi="Garamond"/>
          <w:sz w:val="22"/>
          <w:szCs w:val="22"/>
        </w:rPr>
        <w:t xml:space="preserve">. </w:t>
      </w:r>
      <w:r w:rsidR="00F40D54" w:rsidRPr="00441A9C">
        <w:rPr>
          <w:rFonts w:ascii="Garamond" w:hAnsi="Garamond"/>
          <w:sz w:val="22"/>
          <w:szCs w:val="22"/>
        </w:rPr>
        <w:t xml:space="preserve">In view of </w:t>
      </w:r>
      <w:r w:rsidRPr="00441A9C">
        <w:rPr>
          <w:rFonts w:ascii="Garamond" w:hAnsi="Garamond"/>
          <w:sz w:val="22"/>
          <w:szCs w:val="22"/>
        </w:rPr>
        <w:t xml:space="preserve">these developments, the Central Bank </w:t>
      </w:r>
      <w:r w:rsidR="00F40D54" w:rsidRPr="00441A9C">
        <w:rPr>
          <w:rFonts w:ascii="Garamond" w:hAnsi="Garamond"/>
          <w:sz w:val="22"/>
          <w:szCs w:val="22"/>
        </w:rPr>
        <w:t>has</w:t>
      </w:r>
      <w:r w:rsidRPr="00441A9C">
        <w:rPr>
          <w:rFonts w:ascii="Garamond" w:hAnsi="Garamond"/>
          <w:sz w:val="22"/>
          <w:szCs w:val="22"/>
        </w:rPr>
        <w:t xml:space="preserve"> revised the economic growth </w:t>
      </w:r>
      <w:r w:rsidR="00F40D54" w:rsidRPr="00441A9C">
        <w:rPr>
          <w:rFonts w:ascii="Garamond" w:hAnsi="Garamond"/>
          <w:sz w:val="22"/>
          <w:szCs w:val="22"/>
        </w:rPr>
        <w:t xml:space="preserve">forecast upside </w:t>
      </w:r>
      <w:r w:rsidRPr="00441A9C">
        <w:rPr>
          <w:rFonts w:ascii="Garamond" w:hAnsi="Garamond"/>
          <w:sz w:val="22"/>
          <w:szCs w:val="22"/>
        </w:rPr>
        <w:t xml:space="preserve">in the </w:t>
      </w:r>
      <w:r w:rsidR="00F40D54" w:rsidRPr="00441A9C">
        <w:rPr>
          <w:rFonts w:ascii="Garamond" w:hAnsi="Garamond"/>
          <w:sz w:val="22"/>
          <w:szCs w:val="22"/>
        </w:rPr>
        <w:t xml:space="preserve">third quarter’s Monetary Policy Program, too. With </w:t>
      </w:r>
      <w:r w:rsidRPr="00441A9C">
        <w:rPr>
          <w:rFonts w:ascii="Garamond" w:hAnsi="Garamond"/>
          <w:sz w:val="22"/>
          <w:szCs w:val="22"/>
        </w:rPr>
        <w:t>domestic demand</w:t>
      </w:r>
      <w:r w:rsidR="00F40D54" w:rsidRPr="00441A9C">
        <w:rPr>
          <w:rFonts w:ascii="Garamond" w:hAnsi="Garamond"/>
          <w:sz w:val="22"/>
          <w:szCs w:val="22"/>
        </w:rPr>
        <w:t xml:space="preserve"> bouncing back</w:t>
      </w:r>
      <w:r w:rsidRPr="00441A9C">
        <w:rPr>
          <w:rFonts w:ascii="Garamond" w:hAnsi="Garamond"/>
          <w:sz w:val="22"/>
          <w:szCs w:val="22"/>
        </w:rPr>
        <w:t>, c</w:t>
      </w:r>
      <w:r w:rsidR="00F40D54" w:rsidRPr="00441A9C">
        <w:rPr>
          <w:rFonts w:ascii="Garamond" w:hAnsi="Garamond"/>
          <w:sz w:val="22"/>
          <w:szCs w:val="22"/>
        </w:rPr>
        <w:t>onsiderably</w:t>
      </w:r>
      <w:r w:rsidRPr="00441A9C">
        <w:rPr>
          <w:rFonts w:ascii="Garamond" w:hAnsi="Garamond"/>
          <w:sz w:val="22"/>
          <w:szCs w:val="22"/>
        </w:rPr>
        <w:t xml:space="preserve"> high growth rate</w:t>
      </w:r>
      <w:r w:rsidR="00F40D54" w:rsidRPr="00441A9C">
        <w:rPr>
          <w:rFonts w:ascii="Garamond" w:hAnsi="Garamond"/>
          <w:sz w:val="22"/>
          <w:szCs w:val="22"/>
        </w:rPr>
        <w:t>s</w:t>
      </w:r>
      <w:r w:rsidRPr="00441A9C">
        <w:rPr>
          <w:rFonts w:ascii="Garamond" w:hAnsi="Garamond"/>
          <w:sz w:val="22"/>
          <w:szCs w:val="22"/>
        </w:rPr>
        <w:t xml:space="preserve"> </w:t>
      </w:r>
      <w:r w:rsidR="00F40D54" w:rsidRPr="00441A9C">
        <w:rPr>
          <w:rFonts w:ascii="Garamond" w:hAnsi="Garamond"/>
          <w:sz w:val="22"/>
          <w:szCs w:val="22"/>
        </w:rPr>
        <w:t>in</w:t>
      </w:r>
      <w:r w:rsidRPr="00441A9C">
        <w:rPr>
          <w:rFonts w:ascii="Garamond" w:hAnsi="Garamond"/>
          <w:sz w:val="22"/>
          <w:szCs w:val="22"/>
        </w:rPr>
        <w:t xml:space="preserve"> import </w:t>
      </w:r>
      <w:r w:rsidR="00F40D54" w:rsidRPr="00441A9C">
        <w:rPr>
          <w:rFonts w:ascii="Garamond" w:hAnsi="Garamond"/>
          <w:sz w:val="22"/>
          <w:szCs w:val="22"/>
        </w:rPr>
        <w:t>of goods</w:t>
      </w:r>
      <w:r w:rsidRPr="00441A9C">
        <w:rPr>
          <w:rFonts w:ascii="Garamond" w:hAnsi="Garamond"/>
          <w:sz w:val="22"/>
          <w:szCs w:val="22"/>
        </w:rPr>
        <w:t xml:space="preserve">, which </w:t>
      </w:r>
      <w:r w:rsidR="00F40D54" w:rsidRPr="00441A9C">
        <w:rPr>
          <w:rFonts w:ascii="Garamond" w:hAnsi="Garamond"/>
          <w:sz w:val="22"/>
          <w:szCs w:val="22"/>
        </w:rPr>
        <w:t xml:space="preserve">have outpaced those of </w:t>
      </w:r>
      <w:r w:rsidRPr="00441A9C">
        <w:rPr>
          <w:rFonts w:ascii="Garamond" w:hAnsi="Garamond"/>
          <w:sz w:val="22"/>
          <w:szCs w:val="22"/>
        </w:rPr>
        <w:t xml:space="preserve">export </w:t>
      </w:r>
      <w:r w:rsidR="00F40D54" w:rsidRPr="00441A9C">
        <w:rPr>
          <w:rFonts w:ascii="Garamond" w:hAnsi="Garamond"/>
          <w:sz w:val="22"/>
          <w:szCs w:val="22"/>
        </w:rPr>
        <w:t>of goods</w:t>
      </w:r>
      <w:r w:rsidRPr="00441A9C">
        <w:rPr>
          <w:rFonts w:ascii="Garamond" w:hAnsi="Garamond"/>
          <w:sz w:val="22"/>
          <w:szCs w:val="22"/>
        </w:rPr>
        <w:t xml:space="preserve">, leading to a slowdown in the growth </w:t>
      </w:r>
      <w:r w:rsidR="003C4C3E">
        <w:rPr>
          <w:rFonts w:ascii="Garamond" w:hAnsi="Garamond"/>
          <w:sz w:val="22"/>
          <w:szCs w:val="22"/>
        </w:rPr>
        <w:t xml:space="preserve">rats </w:t>
      </w:r>
      <w:r w:rsidRPr="00441A9C">
        <w:rPr>
          <w:rFonts w:ascii="Garamond" w:hAnsi="Garamond"/>
          <w:sz w:val="22"/>
          <w:szCs w:val="22"/>
        </w:rPr>
        <w:t xml:space="preserve">of net </w:t>
      </w:r>
      <w:r w:rsidR="003C4C3E">
        <w:rPr>
          <w:rFonts w:ascii="Garamond" w:hAnsi="Garamond"/>
          <w:sz w:val="22"/>
          <w:szCs w:val="22"/>
        </w:rPr>
        <w:t xml:space="preserve">external </w:t>
      </w:r>
      <w:r w:rsidRPr="00441A9C">
        <w:rPr>
          <w:rFonts w:ascii="Garamond" w:hAnsi="Garamond"/>
          <w:sz w:val="22"/>
          <w:szCs w:val="22"/>
        </w:rPr>
        <w:t>demand.</w:t>
      </w:r>
    </w:p>
    <w:p w14:paraId="5F1C0225" w14:textId="77777777" w:rsidR="00D86FA0" w:rsidRPr="00441A9C" w:rsidRDefault="00D86FA0" w:rsidP="003A3042">
      <w:pPr>
        <w:spacing w:line="360" w:lineRule="auto"/>
        <w:jc w:val="both"/>
        <w:rPr>
          <w:rFonts w:ascii="Garamond" w:hAnsi="Garamond"/>
          <w:sz w:val="22"/>
          <w:szCs w:val="22"/>
        </w:rPr>
      </w:pPr>
    </w:p>
    <w:p w14:paraId="508B3289" w14:textId="77777777" w:rsidR="002C4F37" w:rsidRPr="00441A9C" w:rsidRDefault="00760307" w:rsidP="003A3042">
      <w:pPr>
        <w:spacing w:line="360" w:lineRule="auto"/>
        <w:jc w:val="both"/>
        <w:rPr>
          <w:rFonts w:ascii="Garamond" w:hAnsi="Garamond"/>
          <w:sz w:val="22"/>
          <w:szCs w:val="22"/>
        </w:rPr>
      </w:pPr>
      <w:r w:rsidRPr="00441A9C">
        <w:rPr>
          <w:rFonts w:ascii="Garamond" w:hAnsi="Garamond"/>
          <w:sz w:val="22"/>
          <w:szCs w:val="22"/>
        </w:rPr>
        <w:t>For e</w:t>
      </w:r>
      <w:r w:rsidR="003F29B6" w:rsidRPr="00441A9C">
        <w:rPr>
          <w:rFonts w:ascii="Garamond" w:hAnsi="Garamond"/>
          <w:sz w:val="22"/>
          <w:szCs w:val="22"/>
        </w:rPr>
        <w:t>xternal sector</w:t>
      </w:r>
      <w:r w:rsidR="00B1067E" w:rsidRPr="00441A9C">
        <w:rPr>
          <w:rFonts w:ascii="Garamond" w:hAnsi="Garamond"/>
          <w:sz w:val="22"/>
          <w:szCs w:val="22"/>
        </w:rPr>
        <w:t>, it was stated that the</w:t>
      </w:r>
      <w:r w:rsidR="003F29B6" w:rsidRPr="00441A9C">
        <w:rPr>
          <w:rFonts w:ascii="Garamond" w:hAnsi="Garamond"/>
          <w:sz w:val="22"/>
          <w:szCs w:val="22"/>
        </w:rPr>
        <w:t xml:space="preserve"> developments</w:t>
      </w:r>
      <w:r w:rsidR="00B1067E" w:rsidRPr="00441A9C">
        <w:rPr>
          <w:rFonts w:ascii="Garamond" w:hAnsi="Garamond"/>
          <w:sz w:val="22"/>
          <w:szCs w:val="22"/>
        </w:rPr>
        <w:t xml:space="preserve">, which, too, were mostly in line with the scenario during the second quarter of 2017. Economic growth trends persisted, while prices sought to stabilize in the world’s raw material and food product markets. </w:t>
      </w:r>
      <w:r w:rsidR="00EF4562" w:rsidRPr="00441A9C">
        <w:rPr>
          <w:rFonts w:ascii="Garamond" w:hAnsi="Garamond"/>
          <w:sz w:val="22"/>
          <w:szCs w:val="22"/>
        </w:rPr>
        <w:t xml:space="preserve">Following the </w:t>
      </w:r>
      <w:r w:rsidR="00B1067E" w:rsidRPr="00441A9C">
        <w:rPr>
          <w:rFonts w:ascii="Garamond" w:hAnsi="Garamond"/>
          <w:sz w:val="22"/>
          <w:szCs w:val="22"/>
        </w:rPr>
        <w:t>discussion, the Board assessed that in the coming months these trends will be maintained and</w:t>
      </w:r>
      <w:r w:rsidR="00EF4562" w:rsidRPr="00441A9C">
        <w:rPr>
          <w:rFonts w:ascii="Garamond" w:hAnsi="Garamond"/>
          <w:sz w:val="22"/>
          <w:szCs w:val="22"/>
        </w:rPr>
        <w:t>,</w:t>
      </w:r>
      <w:r w:rsidR="00B1067E" w:rsidRPr="00441A9C">
        <w:rPr>
          <w:rFonts w:ascii="Garamond" w:hAnsi="Garamond"/>
          <w:sz w:val="22"/>
          <w:szCs w:val="22"/>
        </w:rPr>
        <w:t xml:space="preserve"> in such a situation</w:t>
      </w:r>
      <w:r w:rsidR="00EF4562" w:rsidRPr="00441A9C">
        <w:rPr>
          <w:rFonts w:ascii="Garamond" w:hAnsi="Garamond"/>
          <w:sz w:val="22"/>
          <w:szCs w:val="22"/>
        </w:rPr>
        <w:t>,</w:t>
      </w:r>
      <w:r w:rsidR="00B1067E" w:rsidRPr="00441A9C">
        <w:rPr>
          <w:rFonts w:ascii="Garamond" w:hAnsi="Garamond"/>
          <w:sz w:val="22"/>
          <w:szCs w:val="22"/>
        </w:rPr>
        <w:t xml:space="preserve"> no significant inflationary effects </w:t>
      </w:r>
      <w:r w:rsidR="00E4421C" w:rsidRPr="00441A9C">
        <w:rPr>
          <w:rFonts w:ascii="Garamond" w:hAnsi="Garamond"/>
          <w:sz w:val="22"/>
          <w:szCs w:val="22"/>
        </w:rPr>
        <w:t xml:space="preserve">from the external sector </w:t>
      </w:r>
      <w:r w:rsidR="00B1067E" w:rsidRPr="00441A9C">
        <w:rPr>
          <w:rFonts w:ascii="Garamond" w:hAnsi="Garamond"/>
          <w:sz w:val="22"/>
          <w:szCs w:val="22"/>
        </w:rPr>
        <w:t xml:space="preserve">are </w:t>
      </w:r>
      <w:r w:rsidR="00E4421C" w:rsidRPr="00441A9C">
        <w:rPr>
          <w:rFonts w:ascii="Garamond" w:hAnsi="Garamond"/>
          <w:sz w:val="22"/>
          <w:szCs w:val="22"/>
        </w:rPr>
        <w:t xml:space="preserve">likely. </w:t>
      </w:r>
    </w:p>
    <w:p w14:paraId="071E9D98" w14:textId="77777777" w:rsidR="00E4421C" w:rsidRPr="00441A9C" w:rsidRDefault="00E4421C" w:rsidP="003A3042">
      <w:pPr>
        <w:spacing w:line="360" w:lineRule="auto"/>
        <w:jc w:val="both"/>
        <w:rPr>
          <w:rFonts w:ascii="Garamond" w:hAnsi="Garamond"/>
          <w:sz w:val="22"/>
          <w:szCs w:val="22"/>
        </w:rPr>
      </w:pPr>
    </w:p>
    <w:p w14:paraId="3C90924E" w14:textId="77777777" w:rsidR="00AB3310" w:rsidRPr="00441A9C" w:rsidRDefault="00AB3310" w:rsidP="003A3042">
      <w:pPr>
        <w:spacing w:line="360" w:lineRule="auto"/>
        <w:jc w:val="both"/>
        <w:rPr>
          <w:rFonts w:ascii="Garamond" w:hAnsi="Garamond"/>
          <w:sz w:val="22"/>
          <w:szCs w:val="22"/>
        </w:rPr>
      </w:pPr>
      <w:r w:rsidRPr="00441A9C">
        <w:rPr>
          <w:rFonts w:ascii="Garamond" w:hAnsi="Garamond"/>
          <w:sz w:val="22"/>
          <w:szCs w:val="22"/>
        </w:rPr>
        <w:t>The Board also discussed the developments in financial market</w:t>
      </w:r>
      <w:r w:rsidR="00692F90" w:rsidRPr="00441A9C">
        <w:rPr>
          <w:rFonts w:ascii="Garamond" w:hAnsi="Garamond"/>
          <w:sz w:val="22"/>
          <w:szCs w:val="22"/>
        </w:rPr>
        <w:t xml:space="preserve">, admitting that short-term market rates have dropped due to a high level of excess liquidity in the banking system, and that these interest rates </w:t>
      </w:r>
      <w:r w:rsidR="005622EB" w:rsidRPr="00441A9C">
        <w:rPr>
          <w:rFonts w:ascii="Garamond" w:hAnsi="Garamond"/>
          <w:sz w:val="22"/>
          <w:szCs w:val="22"/>
        </w:rPr>
        <w:t>we</w:t>
      </w:r>
      <w:r w:rsidR="00692F90" w:rsidRPr="00441A9C">
        <w:rPr>
          <w:rFonts w:ascii="Garamond" w:hAnsi="Garamond"/>
          <w:sz w:val="22"/>
          <w:szCs w:val="22"/>
        </w:rPr>
        <w:t>re rather lower from the policy rate.</w:t>
      </w:r>
      <w:r w:rsidRPr="00441A9C">
        <w:rPr>
          <w:rFonts w:ascii="Garamond" w:hAnsi="Garamond"/>
          <w:sz w:val="22"/>
          <w:szCs w:val="22"/>
        </w:rPr>
        <w:t xml:space="preserve"> </w:t>
      </w:r>
    </w:p>
    <w:p w14:paraId="11499C1F" w14:textId="77777777" w:rsidR="00CD734C" w:rsidRPr="00441A9C" w:rsidRDefault="00CD734C" w:rsidP="003A3042">
      <w:pPr>
        <w:spacing w:line="360" w:lineRule="auto"/>
        <w:jc w:val="both"/>
        <w:rPr>
          <w:rFonts w:ascii="Garamond" w:hAnsi="Garamond"/>
          <w:sz w:val="22"/>
          <w:szCs w:val="22"/>
        </w:rPr>
      </w:pPr>
    </w:p>
    <w:p w14:paraId="4FF7064F" w14:textId="77777777" w:rsidR="003A3042" w:rsidRPr="00441A9C" w:rsidRDefault="003A3042" w:rsidP="003A3042">
      <w:pPr>
        <w:spacing w:line="360" w:lineRule="auto"/>
        <w:jc w:val="both"/>
        <w:rPr>
          <w:rFonts w:ascii="Garamond" w:hAnsi="Garamond"/>
          <w:sz w:val="22"/>
          <w:szCs w:val="22"/>
        </w:rPr>
      </w:pPr>
      <w:r w:rsidRPr="00441A9C">
        <w:rPr>
          <w:rFonts w:ascii="Garamond" w:hAnsi="Garamond"/>
          <w:sz w:val="22"/>
          <w:szCs w:val="22"/>
        </w:rPr>
        <w:t xml:space="preserve">Following presentation of the Situation Report and the developments in external and domestic macroeconomic environments, the Board began discussing the monetary policy directions and </w:t>
      </w:r>
      <w:r w:rsidR="000922F4" w:rsidRPr="00441A9C">
        <w:rPr>
          <w:rFonts w:ascii="Garamond" w:hAnsi="Garamond"/>
          <w:sz w:val="22"/>
          <w:szCs w:val="22"/>
        </w:rPr>
        <w:t xml:space="preserve">the </w:t>
      </w:r>
      <w:r w:rsidRPr="00441A9C">
        <w:rPr>
          <w:rFonts w:ascii="Garamond" w:hAnsi="Garamond"/>
          <w:sz w:val="22"/>
          <w:szCs w:val="22"/>
        </w:rPr>
        <w:t xml:space="preserve">interest rate decision-making. </w:t>
      </w:r>
      <w:r w:rsidR="00D24CD9" w:rsidRPr="00441A9C">
        <w:rPr>
          <w:rFonts w:ascii="Garamond" w:hAnsi="Garamond"/>
          <w:sz w:val="22"/>
          <w:szCs w:val="22"/>
        </w:rPr>
        <w:t xml:space="preserve">The Board stated in a consensus that actual macroeconomic developments </w:t>
      </w:r>
      <w:r w:rsidR="009022B5" w:rsidRPr="00441A9C">
        <w:rPr>
          <w:rFonts w:ascii="Garamond" w:hAnsi="Garamond"/>
          <w:sz w:val="22"/>
          <w:szCs w:val="22"/>
        </w:rPr>
        <w:t>are</w:t>
      </w:r>
      <w:r w:rsidR="00D24CD9" w:rsidRPr="00441A9C">
        <w:rPr>
          <w:rFonts w:ascii="Garamond" w:hAnsi="Garamond"/>
          <w:sz w:val="22"/>
          <w:szCs w:val="22"/>
        </w:rPr>
        <w:t xml:space="preserve"> mainly in line with the scenario as outlined in the second quarter’s program</w:t>
      </w:r>
      <w:r w:rsidR="009022B5" w:rsidRPr="00441A9C">
        <w:rPr>
          <w:rFonts w:ascii="Garamond" w:hAnsi="Garamond"/>
          <w:sz w:val="22"/>
          <w:szCs w:val="22"/>
        </w:rPr>
        <w:t xml:space="preserve">, no </w:t>
      </w:r>
      <w:r w:rsidR="00D24CD9" w:rsidRPr="00441A9C">
        <w:rPr>
          <w:rFonts w:ascii="Garamond" w:hAnsi="Garamond"/>
          <w:sz w:val="22"/>
          <w:szCs w:val="22"/>
        </w:rPr>
        <w:t xml:space="preserve">significant inflationary effects </w:t>
      </w:r>
      <w:r w:rsidR="009022B5" w:rsidRPr="00441A9C">
        <w:rPr>
          <w:rFonts w:ascii="Garamond" w:hAnsi="Garamond"/>
          <w:sz w:val="22"/>
          <w:szCs w:val="22"/>
        </w:rPr>
        <w:t xml:space="preserve">from </w:t>
      </w:r>
      <w:r w:rsidR="00D24CD9" w:rsidRPr="00441A9C">
        <w:rPr>
          <w:rFonts w:ascii="Garamond" w:hAnsi="Garamond"/>
          <w:sz w:val="22"/>
          <w:szCs w:val="22"/>
        </w:rPr>
        <w:t xml:space="preserve">both external and </w:t>
      </w:r>
      <w:r w:rsidR="009022B5" w:rsidRPr="00441A9C">
        <w:rPr>
          <w:rFonts w:ascii="Garamond" w:hAnsi="Garamond"/>
          <w:sz w:val="22"/>
          <w:szCs w:val="22"/>
        </w:rPr>
        <w:t xml:space="preserve">domestic environment are expected and </w:t>
      </w:r>
      <w:r w:rsidR="00D24CD9" w:rsidRPr="00441A9C">
        <w:rPr>
          <w:rFonts w:ascii="Garamond" w:hAnsi="Garamond"/>
          <w:sz w:val="22"/>
          <w:szCs w:val="22"/>
        </w:rPr>
        <w:t>inflationary risks remain balanced.</w:t>
      </w:r>
      <w:r w:rsidR="009022B5" w:rsidRPr="00441A9C">
        <w:rPr>
          <w:rFonts w:ascii="Garamond" w:hAnsi="Garamond"/>
          <w:sz w:val="22"/>
          <w:szCs w:val="22"/>
        </w:rPr>
        <w:t xml:space="preserve"> </w:t>
      </w:r>
      <w:r w:rsidR="00C766C9" w:rsidRPr="00441A9C">
        <w:rPr>
          <w:rFonts w:ascii="Garamond" w:hAnsi="Garamond"/>
          <w:sz w:val="22"/>
          <w:szCs w:val="22"/>
        </w:rPr>
        <w:t xml:space="preserve">On the basis of the statement mentioned above, </w:t>
      </w:r>
      <w:r w:rsidR="008C17EC" w:rsidRPr="00441A9C">
        <w:rPr>
          <w:rFonts w:ascii="Garamond" w:hAnsi="Garamond"/>
          <w:sz w:val="22"/>
          <w:szCs w:val="22"/>
        </w:rPr>
        <w:t xml:space="preserve">the Board </w:t>
      </w:r>
      <w:r w:rsidR="00C766C9" w:rsidRPr="00441A9C">
        <w:rPr>
          <w:rFonts w:ascii="Garamond" w:hAnsi="Garamond"/>
          <w:sz w:val="22"/>
          <w:szCs w:val="22"/>
        </w:rPr>
        <w:t xml:space="preserve">found it reasonable </w:t>
      </w:r>
      <w:r w:rsidR="008C17EC" w:rsidRPr="00441A9C">
        <w:rPr>
          <w:rFonts w:ascii="Garamond" w:hAnsi="Garamond"/>
          <w:sz w:val="22"/>
          <w:szCs w:val="22"/>
        </w:rPr>
        <w:t xml:space="preserve">to </w:t>
      </w:r>
      <w:r w:rsidR="00320DDF" w:rsidRPr="00441A9C">
        <w:rPr>
          <w:rFonts w:ascii="Garamond" w:hAnsi="Garamond"/>
          <w:sz w:val="22"/>
          <w:szCs w:val="22"/>
        </w:rPr>
        <w:t xml:space="preserve">leave </w:t>
      </w:r>
      <w:r w:rsidR="00C766C9" w:rsidRPr="00441A9C">
        <w:rPr>
          <w:rFonts w:ascii="Garamond" w:hAnsi="Garamond"/>
          <w:sz w:val="22"/>
          <w:szCs w:val="22"/>
        </w:rPr>
        <w:t>monetary conditions unc</w:t>
      </w:r>
      <w:r w:rsidR="00320DDF" w:rsidRPr="00441A9C">
        <w:rPr>
          <w:rFonts w:ascii="Garamond" w:hAnsi="Garamond"/>
          <w:sz w:val="22"/>
          <w:szCs w:val="22"/>
        </w:rPr>
        <w:t>hanged</w:t>
      </w:r>
      <w:r w:rsidR="00C766C9" w:rsidRPr="00441A9C">
        <w:rPr>
          <w:rFonts w:ascii="Garamond" w:hAnsi="Garamond"/>
          <w:sz w:val="22"/>
          <w:szCs w:val="22"/>
        </w:rPr>
        <w:t xml:space="preserve">, </w:t>
      </w:r>
      <w:r w:rsidR="007A4A15" w:rsidRPr="00441A9C">
        <w:rPr>
          <w:rFonts w:ascii="Garamond" w:hAnsi="Garamond"/>
          <w:sz w:val="22"/>
          <w:szCs w:val="22"/>
        </w:rPr>
        <w:t xml:space="preserve">maintaining </w:t>
      </w:r>
      <w:r w:rsidR="00C766C9" w:rsidRPr="00441A9C">
        <w:rPr>
          <w:rFonts w:ascii="Garamond" w:hAnsi="Garamond"/>
          <w:sz w:val="22"/>
          <w:szCs w:val="22"/>
        </w:rPr>
        <w:t xml:space="preserve">that they contribute to further restoration of inflation and </w:t>
      </w:r>
      <w:r w:rsidR="007A4A15" w:rsidRPr="00441A9C">
        <w:rPr>
          <w:rFonts w:ascii="Garamond" w:hAnsi="Garamond"/>
          <w:sz w:val="22"/>
          <w:szCs w:val="22"/>
        </w:rPr>
        <w:t xml:space="preserve">attainment </w:t>
      </w:r>
      <w:r w:rsidR="00C766C9" w:rsidRPr="00441A9C">
        <w:rPr>
          <w:rFonts w:ascii="Garamond" w:hAnsi="Garamond"/>
          <w:sz w:val="22"/>
          <w:szCs w:val="22"/>
        </w:rPr>
        <w:t>of the target</w:t>
      </w:r>
      <w:r w:rsidR="007A4A15" w:rsidRPr="00441A9C">
        <w:rPr>
          <w:rFonts w:ascii="Garamond" w:hAnsi="Garamond"/>
          <w:sz w:val="22"/>
          <w:szCs w:val="22"/>
        </w:rPr>
        <w:t xml:space="preserve"> </w:t>
      </w:r>
      <w:r w:rsidR="00C766C9" w:rsidRPr="00441A9C">
        <w:rPr>
          <w:rFonts w:ascii="Garamond" w:hAnsi="Garamond"/>
          <w:sz w:val="22"/>
          <w:szCs w:val="22"/>
        </w:rPr>
        <w:t>in the forecast horizon.</w:t>
      </w:r>
      <w:r w:rsidR="007A4A15" w:rsidRPr="00441A9C">
        <w:rPr>
          <w:rFonts w:ascii="Garamond" w:hAnsi="Garamond"/>
          <w:sz w:val="22"/>
          <w:szCs w:val="22"/>
        </w:rPr>
        <w:t xml:space="preserve"> As a result, it is estimated that the </w:t>
      </w:r>
      <w:r w:rsidR="007A4A15" w:rsidRPr="00441A9C">
        <w:rPr>
          <w:rFonts w:ascii="Garamond" w:hAnsi="Garamond"/>
          <w:b/>
          <w:sz w:val="22"/>
          <w:szCs w:val="22"/>
        </w:rPr>
        <w:t>negative GDP gap</w:t>
      </w:r>
      <w:r w:rsidR="007A4A15" w:rsidRPr="00441A9C">
        <w:rPr>
          <w:rFonts w:ascii="Garamond" w:hAnsi="Garamond"/>
          <w:sz w:val="22"/>
          <w:szCs w:val="22"/>
        </w:rPr>
        <w:t xml:space="preserve"> will phase out at the start of 2018</w:t>
      </w:r>
      <w:r w:rsidR="005919F3" w:rsidRPr="00441A9C">
        <w:rPr>
          <w:rFonts w:ascii="Garamond" w:hAnsi="Garamond"/>
          <w:sz w:val="22"/>
          <w:szCs w:val="22"/>
        </w:rPr>
        <w:t xml:space="preserve"> and </w:t>
      </w:r>
      <w:r w:rsidR="007A4A15" w:rsidRPr="00441A9C">
        <w:rPr>
          <w:rFonts w:ascii="Garamond" w:hAnsi="Garamond"/>
          <w:sz w:val="22"/>
          <w:szCs w:val="22"/>
        </w:rPr>
        <w:t xml:space="preserve">the </w:t>
      </w:r>
      <w:r w:rsidR="007A4A15" w:rsidRPr="00441A9C">
        <w:rPr>
          <w:rFonts w:ascii="Garamond" w:hAnsi="Garamond"/>
          <w:b/>
          <w:sz w:val="22"/>
          <w:szCs w:val="22"/>
        </w:rPr>
        <w:t xml:space="preserve">12-month inflation </w:t>
      </w:r>
      <w:r w:rsidR="005919F3" w:rsidRPr="00441A9C">
        <w:rPr>
          <w:rFonts w:ascii="Garamond" w:hAnsi="Garamond"/>
          <w:b/>
          <w:sz w:val="22"/>
          <w:szCs w:val="22"/>
        </w:rPr>
        <w:t>rate</w:t>
      </w:r>
      <w:r w:rsidR="005919F3" w:rsidRPr="00441A9C">
        <w:rPr>
          <w:rFonts w:ascii="Garamond" w:hAnsi="Garamond"/>
          <w:sz w:val="22"/>
          <w:szCs w:val="22"/>
        </w:rPr>
        <w:t xml:space="preserve"> </w:t>
      </w:r>
      <w:r w:rsidR="007A4A15" w:rsidRPr="00441A9C">
        <w:rPr>
          <w:rFonts w:ascii="Garamond" w:hAnsi="Garamond"/>
          <w:sz w:val="22"/>
          <w:szCs w:val="22"/>
        </w:rPr>
        <w:t xml:space="preserve">will be </w:t>
      </w:r>
      <w:r w:rsidR="005919F3" w:rsidRPr="00441A9C">
        <w:rPr>
          <w:rFonts w:ascii="Garamond" w:hAnsi="Garamond"/>
          <w:sz w:val="22"/>
          <w:szCs w:val="22"/>
        </w:rPr>
        <w:t xml:space="preserve">within the confidence band by </w:t>
      </w:r>
      <w:r w:rsidR="007A4A15" w:rsidRPr="00441A9C">
        <w:rPr>
          <w:rFonts w:ascii="Garamond" w:hAnsi="Garamond"/>
          <w:sz w:val="22"/>
          <w:szCs w:val="22"/>
        </w:rPr>
        <w:t xml:space="preserve">the end of the year </w:t>
      </w:r>
      <w:r w:rsidR="005919F3" w:rsidRPr="00441A9C">
        <w:rPr>
          <w:rFonts w:ascii="Garamond" w:hAnsi="Garamond"/>
          <w:sz w:val="22"/>
          <w:szCs w:val="22"/>
        </w:rPr>
        <w:t>while in</w:t>
      </w:r>
      <w:r w:rsidR="007A4A15" w:rsidRPr="00441A9C">
        <w:rPr>
          <w:rFonts w:ascii="Garamond" w:hAnsi="Garamond"/>
          <w:sz w:val="22"/>
          <w:szCs w:val="22"/>
        </w:rPr>
        <w:t xml:space="preserve"> the remaining p</w:t>
      </w:r>
      <w:r w:rsidR="005919F3" w:rsidRPr="00441A9C">
        <w:rPr>
          <w:rFonts w:ascii="Garamond" w:hAnsi="Garamond"/>
          <w:sz w:val="22"/>
          <w:szCs w:val="22"/>
        </w:rPr>
        <w:t xml:space="preserve">art </w:t>
      </w:r>
      <w:r w:rsidR="007A4A15" w:rsidRPr="00441A9C">
        <w:rPr>
          <w:rFonts w:ascii="Garamond" w:hAnsi="Garamond"/>
          <w:sz w:val="22"/>
          <w:szCs w:val="22"/>
        </w:rPr>
        <w:t xml:space="preserve">of the forecast horizon </w:t>
      </w:r>
      <w:r w:rsidR="007C34CC" w:rsidRPr="00441A9C">
        <w:rPr>
          <w:rFonts w:ascii="Garamond" w:hAnsi="Garamond"/>
          <w:sz w:val="22"/>
          <w:szCs w:val="22"/>
        </w:rPr>
        <w:t xml:space="preserve">it </w:t>
      </w:r>
      <w:r w:rsidR="007A4A15" w:rsidRPr="00441A9C">
        <w:rPr>
          <w:rFonts w:ascii="Garamond" w:hAnsi="Garamond"/>
          <w:sz w:val="22"/>
          <w:szCs w:val="22"/>
        </w:rPr>
        <w:t>will continue to grow, stabilizing a</w:t>
      </w:r>
      <w:r w:rsidR="007C34CC" w:rsidRPr="00441A9C">
        <w:rPr>
          <w:rFonts w:ascii="Garamond" w:hAnsi="Garamond"/>
          <w:sz w:val="22"/>
          <w:szCs w:val="22"/>
        </w:rPr>
        <w:t>round the</w:t>
      </w:r>
      <w:r w:rsidR="007A4A15" w:rsidRPr="00441A9C">
        <w:rPr>
          <w:rFonts w:ascii="Garamond" w:hAnsi="Garamond"/>
          <w:sz w:val="22"/>
          <w:szCs w:val="22"/>
        </w:rPr>
        <w:t xml:space="preserve"> 4%</w:t>
      </w:r>
      <w:r w:rsidR="007C34CC" w:rsidRPr="00441A9C">
        <w:rPr>
          <w:rFonts w:ascii="Garamond" w:hAnsi="Garamond"/>
          <w:sz w:val="22"/>
          <w:szCs w:val="22"/>
        </w:rPr>
        <w:t xml:space="preserve"> target</w:t>
      </w:r>
      <w:r w:rsidR="007A4A15" w:rsidRPr="00441A9C">
        <w:rPr>
          <w:rFonts w:ascii="Garamond" w:hAnsi="Garamond"/>
          <w:sz w:val="22"/>
          <w:szCs w:val="22"/>
        </w:rPr>
        <w:t>.</w:t>
      </w:r>
      <w:r w:rsidR="00320DDF" w:rsidRPr="00441A9C">
        <w:rPr>
          <w:rFonts w:ascii="Garamond" w:hAnsi="Garamond"/>
          <w:sz w:val="22"/>
          <w:szCs w:val="22"/>
        </w:rPr>
        <w:t xml:space="preserve"> </w:t>
      </w:r>
    </w:p>
    <w:p w14:paraId="52B9F59E" w14:textId="77777777" w:rsidR="007C34CC" w:rsidRPr="00441A9C" w:rsidRDefault="007C34CC" w:rsidP="003A3042">
      <w:pPr>
        <w:spacing w:line="360" w:lineRule="auto"/>
        <w:jc w:val="both"/>
        <w:rPr>
          <w:rFonts w:ascii="Garamond" w:hAnsi="Garamond"/>
          <w:sz w:val="22"/>
          <w:szCs w:val="22"/>
        </w:rPr>
      </w:pPr>
    </w:p>
    <w:p w14:paraId="43107DF9" w14:textId="77777777" w:rsidR="007C34CC" w:rsidRPr="00441A9C" w:rsidRDefault="007C34CC" w:rsidP="003A3042">
      <w:pPr>
        <w:spacing w:line="360" w:lineRule="auto"/>
        <w:jc w:val="both"/>
        <w:rPr>
          <w:rFonts w:ascii="Garamond" w:hAnsi="Garamond"/>
          <w:sz w:val="22"/>
          <w:szCs w:val="22"/>
        </w:rPr>
      </w:pPr>
      <w:r w:rsidRPr="00441A9C">
        <w:rPr>
          <w:rFonts w:ascii="Garamond" w:hAnsi="Garamond"/>
          <w:sz w:val="22"/>
          <w:szCs w:val="22"/>
        </w:rPr>
        <w:lastRenderedPageBreak/>
        <w:t>The Board believes that should macroeconomic developments unfold as predicted, the policy rate would remain expansionary for some time, and in the event inflation and macroeconomic indicators essentially deviate from their projection, the monetary policy directions will be adjusted accordingly, ensuring the fulfillment of inflation target in the medium run.</w:t>
      </w:r>
    </w:p>
    <w:p w14:paraId="6ABD8F8C" w14:textId="77777777" w:rsidR="003A3042" w:rsidRPr="00441A9C" w:rsidRDefault="003A3042" w:rsidP="003A3042">
      <w:pPr>
        <w:spacing w:line="360" w:lineRule="auto"/>
        <w:jc w:val="both"/>
        <w:rPr>
          <w:rFonts w:ascii="Garamond" w:hAnsi="Garamond"/>
          <w:sz w:val="22"/>
          <w:szCs w:val="22"/>
        </w:rPr>
      </w:pPr>
    </w:p>
    <w:p w14:paraId="0538E2C0" w14:textId="77777777" w:rsidR="003A3042" w:rsidRPr="00441A9C" w:rsidRDefault="003A3042" w:rsidP="003A3042">
      <w:pPr>
        <w:spacing w:line="360" w:lineRule="auto"/>
        <w:jc w:val="both"/>
        <w:rPr>
          <w:rFonts w:ascii="Garamond" w:hAnsi="Garamond"/>
          <w:sz w:val="22"/>
          <w:szCs w:val="22"/>
        </w:rPr>
      </w:pPr>
      <w:r w:rsidRPr="00441A9C">
        <w:rPr>
          <w:rFonts w:ascii="Garamond" w:hAnsi="Garamond"/>
          <w:sz w:val="22"/>
          <w:szCs w:val="22"/>
        </w:rPr>
        <w:t>The Board approved the decision on interest rates of monetary instruments of the C</w:t>
      </w:r>
      <w:r w:rsidR="008D326B" w:rsidRPr="00441A9C">
        <w:rPr>
          <w:rFonts w:ascii="Garamond" w:hAnsi="Garamond"/>
          <w:sz w:val="22"/>
          <w:szCs w:val="22"/>
        </w:rPr>
        <w:t xml:space="preserve">entral </w:t>
      </w:r>
      <w:r w:rsidRPr="00441A9C">
        <w:rPr>
          <w:rFonts w:ascii="Garamond" w:hAnsi="Garamond"/>
          <w:sz w:val="22"/>
          <w:szCs w:val="22"/>
        </w:rPr>
        <w:t>B</w:t>
      </w:r>
      <w:r w:rsidR="008D326B" w:rsidRPr="00441A9C">
        <w:rPr>
          <w:rFonts w:ascii="Garamond" w:hAnsi="Garamond"/>
          <w:sz w:val="22"/>
          <w:szCs w:val="22"/>
        </w:rPr>
        <w:t>ank</w:t>
      </w:r>
      <w:r w:rsidRPr="00441A9C">
        <w:rPr>
          <w:rFonts w:ascii="Garamond" w:hAnsi="Garamond"/>
          <w:sz w:val="22"/>
          <w:szCs w:val="22"/>
        </w:rPr>
        <w:t xml:space="preserve"> and the proposed press release, which are attached hereto.</w:t>
      </w:r>
    </w:p>
    <w:p w14:paraId="725FA103" w14:textId="77777777" w:rsidR="003A3042" w:rsidRPr="00441A9C" w:rsidRDefault="003A3042" w:rsidP="003A3042">
      <w:pPr>
        <w:spacing w:line="360" w:lineRule="auto"/>
        <w:jc w:val="center"/>
        <w:rPr>
          <w:rFonts w:ascii="Garamond" w:hAnsi="Garamond"/>
          <w:b/>
          <w:sz w:val="22"/>
          <w:szCs w:val="22"/>
        </w:rPr>
      </w:pPr>
    </w:p>
    <w:p w14:paraId="59B0D1F2" w14:textId="77777777" w:rsidR="003A3042" w:rsidRPr="00441A9C" w:rsidRDefault="008018BD" w:rsidP="003A3042">
      <w:pPr>
        <w:spacing w:line="360" w:lineRule="auto"/>
        <w:jc w:val="center"/>
        <w:rPr>
          <w:rFonts w:ascii="Garamond" w:hAnsi="Garamond"/>
          <w:b/>
          <w:sz w:val="22"/>
          <w:szCs w:val="22"/>
        </w:rPr>
      </w:pPr>
      <w:r w:rsidRPr="00441A9C">
        <w:rPr>
          <w:rFonts w:ascii="Garamond" w:hAnsi="Garamond"/>
          <w:b/>
          <w:sz w:val="22"/>
          <w:szCs w:val="22"/>
        </w:rPr>
        <w:t>………………………………………………………………………………………………………………..</w:t>
      </w:r>
    </w:p>
    <w:p w14:paraId="6F731371" w14:textId="77777777" w:rsidR="008018BD" w:rsidRPr="00441A9C" w:rsidRDefault="008018BD" w:rsidP="003A3042">
      <w:pPr>
        <w:spacing w:line="360" w:lineRule="auto"/>
        <w:jc w:val="center"/>
        <w:rPr>
          <w:rFonts w:ascii="Garamond" w:hAnsi="Garamond"/>
          <w:b/>
          <w:sz w:val="22"/>
          <w:szCs w:val="22"/>
        </w:rPr>
      </w:pPr>
    </w:p>
    <w:p w14:paraId="2CBDD0C9" w14:textId="77777777" w:rsidR="005A000D" w:rsidRPr="00441A9C" w:rsidRDefault="005A000D" w:rsidP="003A3042">
      <w:pPr>
        <w:spacing w:line="360" w:lineRule="auto"/>
        <w:jc w:val="center"/>
        <w:rPr>
          <w:rFonts w:ascii="Garamond" w:hAnsi="Garamond"/>
          <w:b/>
          <w:sz w:val="22"/>
          <w:szCs w:val="22"/>
        </w:rPr>
      </w:pPr>
    </w:p>
    <w:p w14:paraId="08FF76E1" w14:textId="77777777" w:rsidR="005A000D" w:rsidRPr="00441A9C" w:rsidRDefault="005A000D" w:rsidP="003A3042">
      <w:pPr>
        <w:spacing w:line="360" w:lineRule="auto"/>
        <w:jc w:val="center"/>
        <w:rPr>
          <w:rFonts w:ascii="Garamond" w:hAnsi="Garamond"/>
          <w:b/>
          <w:sz w:val="22"/>
          <w:szCs w:val="22"/>
        </w:rPr>
      </w:pPr>
    </w:p>
    <w:p w14:paraId="4B8050A2" w14:textId="77777777" w:rsidR="003A3042" w:rsidRPr="00441A9C" w:rsidRDefault="003A3042" w:rsidP="003A3042">
      <w:pPr>
        <w:spacing w:line="360" w:lineRule="auto"/>
        <w:jc w:val="center"/>
        <w:rPr>
          <w:rFonts w:ascii="Garamond" w:hAnsi="Garamond"/>
          <w:b/>
          <w:sz w:val="22"/>
          <w:szCs w:val="22"/>
        </w:rPr>
      </w:pPr>
      <w:r w:rsidRPr="00441A9C">
        <w:rPr>
          <w:rFonts w:ascii="Garamond" w:hAnsi="Garamond"/>
          <w:b/>
          <w:sz w:val="22"/>
          <w:szCs w:val="22"/>
        </w:rPr>
        <w:t>THE CENTRAL BANK OF THE REPUBLIC OF ARMENIA</w:t>
      </w:r>
    </w:p>
    <w:p w14:paraId="14A227DA" w14:textId="77777777" w:rsidR="003A3042" w:rsidRPr="00441A9C" w:rsidRDefault="003A3042" w:rsidP="003A3042">
      <w:pPr>
        <w:spacing w:line="360" w:lineRule="auto"/>
        <w:jc w:val="center"/>
        <w:rPr>
          <w:rFonts w:ascii="Garamond" w:hAnsi="Garamond"/>
          <w:b/>
          <w:sz w:val="22"/>
          <w:szCs w:val="22"/>
        </w:rPr>
      </w:pPr>
      <w:r w:rsidRPr="00441A9C">
        <w:rPr>
          <w:rFonts w:ascii="Garamond" w:hAnsi="Garamond"/>
          <w:b/>
          <w:sz w:val="22"/>
          <w:szCs w:val="22"/>
        </w:rPr>
        <w:t>BOARD RESOLUTION</w:t>
      </w:r>
    </w:p>
    <w:p w14:paraId="2BDF973C" w14:textId="77777777" w:rsidR="003A3042" w:rsidRPr="00441A9C" w:rsidRDefault="003A3042" w:rsidP="003A3042">
      <w:pPr>
        <w:spacing w:line="360" w:lineRule="auto"/>
        <w:jc w:val="center"/>
        <w:rPr>
          <w:rFonts w:ascii="Garamond" w:hAnsi="Garamond"/>
          <w:b/>
          <w:sz w:val="22"/>
          <w:szCs w:val="22"/>
        </w:rPr>
      </w:pPr>
    </w:p>
    <w:p w14:paraId="3BB9A5C0" w14:textId="77777777" w:rsidR="003A3042" w:rsidRPr="00441A9C" w:rsidRDefault="003A3042" w:rsidP="003A3042">
      <w:pPr>
        <w:spacing w:line="360" w:lineRule="auto"/>
        <w:jc w:val="center"/>
        <w:rPr>
          <w:rFonts w:ascii="Garamond" w:hAnsi="Garamond"/>
          <w:b/>
          <w:sz w:val="22"/>
          <w:szCs w:val="22"/>
        </w:rPr>
      </w:pPr>
      <w:r w:rsidRPr="00441A9C">
        <w:rPr>
          <w:rFonts w:ascii="Garamond" w:hAnsi="Garamond"/>
          <w:b/>
          <w:sz w:val="22"/>
          <w:szCs w:val="22"/>
        </w:rPr>
        <w:t>Interest rates of operations by the C</w:t>
      </w:r>
      <w:r w:rsidR="008D326B" w:rsidRPr="00441A9C">
        <w:rPr>
          <w:rFonts w:ascii="Garamond" w:hAnsi="Garamond"/>
          <w:b/>
          <w:sz w:val="22"/>
          <w:szCs w:val="22"/>
        </w:rPr>
        <w:t xml:space="preserve">entral </w:t>
      </w:r>
      <w:r w:rsidRPr="00441A9C">
        <w:rPr>
          <w:rFonts w:ascii="Garamond" w:hAnsi="Garamond"/>
          <w:b/>
          <w:sz w:val="22"/>
          <w:szCs w:val="22"/>
        </w:rPr>
        <w:t>B</w:t>
      </w:r>
      <w:r w:rsidR="008D326B" w:rsidRPr="00441A9C">
        <w:rPr>
          <w:rFonts w:ascii="Garamond" w:hAnsi="Garamond"/>
          <w:b/>
          <w:sz w:val="22"/>
          <w:szCs w:val="22"/>
        </w:rPr>
        <w:t>ank</w:t>
      </w:r>
      <w:r w:rsidRPr="00441A9C">
        <w:rPr>
          <w:rFonts w:ascii="Garamond" w:hAnsi="Garamond"/>
          <w:b/>
          <w:sz w:val="22"/>
          <w:szCs w:val="22"/>
        </w:rPr>
        <w:t xml:space="preserve"> in the financial market </w:t>
      </w:r>
    </w:p>
    <w:p w14:paraId="5C187F21" w14:textId="77777777" w:rsidR="003A3042" w:rsidRPr="00441A9C" w:rsidRDefault="003A3042" w:rsidP="003A3042">
      <w:pPr>
        <w:spacing w:line="360" w:lineRule="auto"/>
        <w:jc w:val="center"/>
        <w:rPr>
          <w:rFonts w:ascii="Garamond" w:hAnsi="Garamond"/>
          <w:sz w:val="22"/>
          <w:szCs w:val="22"/>
        </w:rPr>
      </w:pPr>
    </w:p>
    <w:p w14:paraId="32D200A9" w14:textId="77777777" w:rsidR="003A3042" w:rsidRPr="00441A9C" w:rsidRDefault="003A3042" w:rsidP="003A3042">
      <w:pPr>
        <w:spacing w:line="360" w:lineRule="auto"/>
        <w:jc w:val="both"/>
        <w:rPr>
          <w:rFonts w:ascii="Garamond" w:hAnsi="Garamond"/>
          <w:sz w:val="22"/>
          <w:szCs w:val="22"/>
        </w:rPr>
      </w:pPr>
      <w:r w:rsidRPr="00441A9C">
        <w:rPr>
          <w:rFonts w:ascii="Garamond" w:hAnsi="Garamond"/>
          <w:sz w:val="22"/>
          <w:szCs w:val="22"/>
        </w:rPr>
        <w:t xml:space="preserve">By virtue of Article 20 (c) of the Republic of Armenia Law on the Central Bank, the </w:t>
      </w:r>
      <w:r w:rsidR="00EA5C74" w:rsidRPr="00441A9C">
        <w:rPr>
          <w:rFonts w:ascii="Garamond" w:hAnsi="Garamond"/>
          <w:sz w:val="22"/>
          <w:szCs w:val="22"/>
        </w:rPr>
        <w:t xml:space="preserve">Board of the </w:t>
      </w:r>
      <w:r w:rsidRPr="00441A9C">
        <w:rPr>
          <w:rFonts w:ascii="Garamond" w:hAnsi="Garamond"/>
          <w:sz w:val="22"/>
          <w:szCs w:val="22"/>
        </w:rPr>
        <w:t xml:space="preserve">Central Bank of the Republic of Armenia </w:t>
      </w:r>
      <w:r w:rsidRPr="00441A9C">
        <w:rPr>
          <w:rFonts w:ascii="Garamond" w:hAnsi="Garamond"/>
          <w:b/>
          <w:sz w:val="22"/>
          <w:szCs w:val="22"/>
        </w:rPr>
        <w:t>enacts:</w:t>
      </w:r>
    </w:p>
    <w:p w14:paraId="3D702DE9" w14:textId="77777777" w:rsidR="003A3042" w:rsidRPr="00441A9C" w:rsidRDefault="003A3042" w:rsidP="003A3042">
      <w:pPr>
        <w:spacing w:line="360" w:lineRule="auto"/>
        <w:jc w:val="both"/>
        <w:rPr>
          <w:rFonts w:ascii="Garamond" w:hAnsi="Garamond"/>
          <w:sz w:val="22"/>
          <w:szCs w:val="22"/>
        </w:rPr>
      </w:pPr>
      <w:r w:rsidRPr="00441A9C">
        <w:rPr>
          <w:rFonts w:ascii="Garamond" w:hAnsi="Garamond"/>
          <w:sz w:val="22"/>
          <w:szCs w:val="22"/>
        </w:rPr>
        <w:t>1.</w:t>
      </w:r>
      <w:r w:rsidRPr="00441A9C">
        <w:rPr>
          <w:rFonts w:ascii="Garamond" w:hAnsi="Garamond"/>
          <w:sz w:val="22"/>
          <w:szCs w:val="22"/>
        </w:rPr>
        <w:tab/>
      </w:r>
      <w:r w:rsidR="00320DDF" w:rsidRPr="00441A9C">
        <w:rPr>
          <w:rFonts w:ascii="Garamond" w:hAnsi="Garamond"/>
          <w:sz w:val="22"/>
          <w:szCs w:val="22"/>
        </w:rPr>
        <w:t xml:space="preserve">Leave </w:t>
      </w:r>
      <w:r w:rsidRPr="00441A9C">
        <w:rPr>
          <w:rFonts w:ascii="Garamond" w:hAnsi="Garamond"/>
          <w:sz w:val="22"/>
          <w:szCs w:val="22"/>
        </w:rPr>
        <w:t>the ref</w:t>
      </w:r>
      <w:r w:rsidR="008D326B" w:rsidRPr="00441A9C">
        <w:rPr>
          <w:rFonts w:ascii="Garamond" w:hAnsi="Garamond"/>
          <w:sz w:val="22"/>
          <w:szCs w:val="22"/>
        </w:rPr>
        <w:t>inancing rate of the C</w:t>
      </w:r>
      <w:r w:rsidR="004C0E8B" w:rsidRPr="00441A9C">
        <w:rPr>
          <w:rFonts w:ascii="Garamond" w:hAnsi="Garamond"/>
          <w:sz w:val="22"/>
          <w:szCs w:val="22"/>
        </w:rPr>
        <w:t xml:space="preserve">entral </w:t>
      </w:r>
      <w:r w:rsidR="008D326B" w:rsidRPr="00441A9C">
        <w:rPr>
          <w:rFonts w:ascii="Garamond" w:hAnsi="Garamond"/>
          <w:sz w:val="22"/>
          <w:szCs w:val="22"/>
        </w:rPr>
        <w:t>B</w:t>
      </w:r>
      <w:r w:rsidR="004C0E8B" w:rsidRPr="00441A9C">
        <w:rPr>
          <w:rFonts w:ascii="Garamond" w:hAnsi="Garamond"/>
          <w:sz w:val="22"/>
          <w:szCs w:val="22"/>
        </w:rPr>
        <w:t xml:space="preserve">ank of the Republic of </w:t>
      </w:r>
      <w:r w:rsidR="008D326B" w:rsidRPr="00441A9C">
        <w:rPr>
          <w:rFonts w:ascii="Garamond" w:hAnsi="Garamond"/>
          <w:sz w:val="22"/>
          <w:szCs w:val="22"/>
        </w:rPr>
        <w:t>A</w:t>
      </w:r>
      <w:r w:rsidR="004C0E8B" w:rsidRPr="00441A9C">
        <w:rPr>
          <w:rFonts w:ascii="Garamond" w:hAnsi="Garamond"/>
          <w:sz w:val="22"/>
          <w:szCs w:val="22"/>
        </w:rPr>
        <w:t>rmenia</w:t>
      </w:r>
      <w:r w:rsidR="00320DDF" w:rsidRPr="00441A9C">
        <w:rPr>
          <w:rFonts w:ascii="Garamond" w:hAnsi="Garamond"/>
          <w:sz w:val="22"/>
          <w:szCs w:val="22"/>
        </w:rPr>
        <w:t xml:space="preserve"> unchanged,</w:t>
      </w:r>
      <w:r w:rsidR="004C0E8B" w:rsidRPr="00441A9C">
        <w:rPr>
          <w:rFonts w:ascii="Garamond" w:hAnsi="Garamond"/>
          <w:sz w:val="22"/>
          <w:szCs w:val="22"/>
        </w:rPr>
        <w:t xml:space="preserve"> </w:t>
      </w:r>
      <w:r w:rsidR="008D326B" w:rsidRPr="00441A9C">
        <w:rPr>
          <w:rFonts w:ascii="Garamond" w:hAnsi="Garamond"/>
          <w:sz w:val="22"/>
          <w:szCs w:val="22"/>
        </w:rPr>
        <w:t>at 6.0</w:t>
      </w:r>
      <w:r w:rsidRPr="00441A9C">
        <w:rPr>
          <w:rFonts w:ascii="Garamond" w:hAnsi="Garamond"/>
          <w:sz w:val="22"/>
          <w:szCs w:val="22"/>
        </w:rPr>
        <w:t>%.</w:t>
      </w:r>
    </w:p>
    <w:p w14:paraId="139E074F" w14:textId="77777777" w:rsidR="003A3042" w:rsidRPr="00441A9C" w:rsidRDefault="003A3042" w:rsidP="003A3042">
      <w:pPr>
        <w:spacing w:line="360" w:lineRule="auto"/>
        <w:jc w:val="both"/>
        <w:rPr>
          <w:rFonts w:ascii="Garamond" w:hAnsi="Garamond"/>
          <w:sz w:val="22"/>
          <w:szCs w:val="22"/>
        </w:rPr>
      </w:pPr>
      <w:r w:rsidRPr="00441A9C">
        <w:rPr>
          <w:rFonts w:ascii="Garamond" w:hAnsi="Garamond"/>
          <w:sz w:val="22"/>
          <w:szCs w:val="22"/>
        </w:rPr>
        <w:t>2.</w:t>
      </w:r>
      <w:r w:rsidRPr="00441A9C">
        <w:rPr>
          <w:rFonts w:ascii="Garamond" w:hAnsi="Garamond"/>
          <w:sz w:val="22"/>
          <w:szCs w:val="22"/>
        </w:rPr>
        <w:tab/>
        <w:t xml:space="preserve">To the Financial Department of the </w:t>
      </w:r>
      <w:r w:rsidR="004C0E8B" w:rsidRPr="00441A9C">
        <w:rPr>
          <w:rFonts w:ascii="Garamond" w:hAnsi="Garamond"/>
          <w:sz w:val="22"/>
          <w:szCs w:val="22"/>
        </w:rPr>
        <w:t>Central Bank of the Republic of Armenia</w:t>
      </w:r>
      <w:r w:rsidRPr="00441A9C">
        <w:rPr>
          <w:rFonts w:ascii="Garamond" w:hAnsi="Garamond"/>
          <w:sz w:val="22"/>
          <w:szCs w:val="22"/>
        </w:rPr>
        <w:t xml:space="preserve"> to carry out operations in the financial ma</w:t>
      </w:r>
      <w:r w:rsidR="00EC2049" w:rsidRPr="00441A9C">
        <w:rPr>
          <w:rFonts w:ascii="Garamond" w:hAnsi="Garamond"/>
          <w:sz w:val="22"/>
          <w:szCs w:val="22"/>
        </w:rPr>
        <w:t xml:space="preserve">rket of the Republic of Armenia, using </w:t>
      </w:r>
      <w:r w:rsidRPr="00441A9C">
        <w:rPr>
          <w:rFonts w:ascii="Garamond" w:hAnsi="Garamond"/>
          <w:sz w:val="22"/>
          <w:szCs w:val="22"/>
        </w:rPr>
        <w:t>the interest rates, as follows:</w:t>
      </w:r>
    </w:p>
    <w:p w14:paraId="308B1600" w14:textId="77777777" w:rsidR="003A3042" w:rsidRPr="00441A9C" w:rsidRDefault="003A3042" w:rsidP="003A3042">
      <w:pPr>
        <w:spacing w:line="360" w:lineRule="auto"/>
        <w:jc w:val="both"/>
        <w:rPr>
          <w:rFonts w:ascii="Garamond" w:hAnsi="Garamond"/>
          <w:sz w:val="22"/>
          <w:szCs w:val="22"/>
        </w:rPr>
      </w:pPr>
      <w:r w:rsidRPr="00441A9C">
        <w:rPr>
          <w:rFonts w:ascii="Garamond" w:hAnsi="Garamond"/>
          <w:sz w:val="22"/>
          <w:szCs w:val="22"/>
        </w:rPr>
        <w:t>2.1</w:t>
      </w:r>
      <w:r w:rsidRPr="00441A9C">
        <w:rPr>
          <w:rFonts w:ascii="Garamond" w:hAnsi="Garamond"/>
          <w:sz w:val="22"/>
          <w:szCs w:val="22"/>
        </w:rPr>
        <w:tab/>
        <w:t>Lombard facility rate offered by the C</w:t>
      </w:r>
      <w:r w:rsidR="004C0E8B" w:rsidRPr="00441A9C">
        <w:rPr>
          <w:rFonts w:ascii="Garamond" w:hAnsi="Garamond"/>
          <w:sz w:val="22"/>
          <w:szCs w:val="22"/>
        </w:rPr>
        <w:t xml:space="preserve">entral </w:t>
      </w:r>
      <w:r w:rsidRPr="00441A9C">
        <w:rPr>
          <w:rFonts w:ascii="Garamond" w:hAnsi="Garamond"/>
          <w:sz w:val="22"/>
          <w:szCs w:val="22"/>
        </w:rPr>
        <w:t>B</w:t>
      </w:r>
      <w:r w:rsidR="004C0E8B" w:rsidRPr="00441A9C">
        <w:rPr>
          <w:rFonts w:ascii="Garamond" w:hAnsi="Garamond"/>
          <w:sz w:val="22"/>
          <w:szCs w:val="22"/>
        </w:rPr>
        <w:t>ank</w:t>
      </w:r>
      <w:r w:rsidRPr="00441A9C">
        <w:rPr>
          <w:rFonts w:ascii="Garamond" w:hAnsi="Garamond"/>
          <w:sz w:val="22"/>
          <w:szCs w:val="22"/>
        </w:rPr>
        <w:t xml:space="preserve"> to be</w:t>
      </w:r>
      <w:r w:rsidR="004C0E8B" w:rsidRPr="00441A9C">
        <w:rPr>
          <w:rFonts w:ascii="Garamond" w:hAnsi="Garamond"/>
          <w:sz w:val="22"/>
          <w:szCs w:val="22"/>
        </w:rPr>
        <w:t xml:space="preserve"> 7.</w:t>
      </w:r>
      <w:r w:rsidRPr="00441A9C">
        <w:rPr>
          <w:rFonts w:ascii="Garamond" w:hAnsi="Garamond"/>
          <w:sz w:val="22"/>
          <w:szCs w:val="22"/>
        </w:rPr>
        <w:t>5%.</w:t>
      </w:r>
    </w:p>
    <w:p w14:paraId="62D7CF98" w14:textId="77777777" w:rsidR="003A3042" w:rsidRPr="00441A9C" w:rsidRDefault="003A3042" w:rsidP="003A3042">
      <w:pPr>
        <w:spacing w:line="360" w:lineRule="auto"/>
        <w:jc w:val="both"/>
        <w:rPr>
          <w:rFonts w:ascii="Garamond" w:hAnsi="Garamond"/>
          <w:sz w:val="22"/>
          <w:szCs w:val="22"/>
        </w:rPr>
      </w:pPr>
      <w:r w:rsidRPr="00441A9C">
        <w:rPr>
          <w:rFonts w:ascii="Garamond" w:hAnsi="Garamond"/>
          <w:sz w:val="22"/>
          <w:szCs w:val="22"/>
        </w:rPr>
        <w:t>2.2.</w:t>
      </w:r>
      <w:r w:rsidRPr="00441A9C">
        <w:rPr>
          <w:rFonts w:ascii="Garamond" w:hAnsi="Garamond"/>
          <w:sz w:val="22"/>
          <w:szCs w:val="22"/>
        </w:rPr>
        <w:tab/>
        <w:t>Deposit facility rate offered by the C</w:t>
      </w:r>
      <w:r w:rsidR="004C0E8B" w:rsidRPr="00441A9C">
        <w:rPr>
          <w:rFonts w:ascii="Garamond" w:hAnsi="Garamond"/>
          <w:sz w:val="22"/>
          <w:szCs w:val="22"/>
        </w:rPr>
        <w:t xml:space="preserve">entral </w:t>
      </w:r>
      <w:r w:rsidRPr="00441A9C">
        <w:rPr>
          <w:rFonts w:ascii="Garamond" w:hAnsi="Garamond"/>
          <w:sz w:val="22"/>
          <w:szCs w:val="22"/>
        </w:rPr>
        <w:t>B</w:t>
      </w:r>
      <w:r w:rsidR="004C0E8B" w:rsidRPr="00441A9C">
        <w:rPr>
          <w:rFonts w:ascii="Garamond" w:hAnsi="Garamond"/>
          <w:sz w:val="22"/>
          <w:szCs w:val="22"/>
        </w:rPr>
        <w:t>ank to be 4.</w:t>
      </w:r>
      <w:r w:rsidRPr="00441A9C">
        <w:rPr>
          <w:rFonts w:ascii="Garamond" w:hAnsi="Garamond"/>
          <w:sz w:val="22"/>
          <w:szCs w:val="22"/>
        </w:rPr>
        <w:t>5%.</w:t>
      </w:r>
    </w:p>
    <w:p w14:paraId="0C43F302" w14:textId="77777777" w:rsidR="003A3042" w:rsidRPr="00441A9C" w:rsidRDefault="003A3042" w:rsidP="003A3042">
      <w:pPr>
        <w:spacing w:line="360" w:lineRule="auto"/>
        <w:jc w:val="both"/>
        <w:rPr>
          <w:rFonts w:ascii="Garamond" w:hAnsi="Garamond"/>
          <w:sz w:val="22"/>
          <w:szCs w:val="22"/>
        </w:rPr>
      </w:pPr>
      <w:r w:rsidRPr="00441A9C">
        <w:rPr>
          <w:rFonts w:ascii="Garamond" w:hAnsi="Garamond"/>
          <w:sz w:val="22"/>
          <w:szCs w:val="22"/>
        </w:rPr>
        <w:t>3.</w:t>
      </w:r>
      <w:r w:rsidRPr="00441A9C">
        <w:rPr>
          <w:rFonts w:ascii="Garamond" w:hAnsi="Garamond"/>
          <w:sz w:val="22"/>
          <w:szCs w:val="22"/>
        </w:rPr>
        <w:tab/>
        <w:t>This resolution shall take force on the day following the adoption thereof.</w:t>
      </w:r>
    </w:p>
    <w:p w14:paraId="25CE3FB6" w14:textId="77777777" w:rsidR="003A3042" w:rsidRPr="00441A9C" w:rsidRDefault="003A3042" w:rsidP="003A3042">
      <w:pPr>
        <w:spacing w:line="360" w:lineRule="auto"/>
        <w:jc w:val="both"/>
        <w:rPr>
          <w:rFonts w:ascii="Garamond" w:hAnsi="Garamond"/>
          <w:sz w:val="22"/>
          <w:szCs w:val="22"/>
        </w:rPr>
      </w:pPr>
    </w:p>
    <w:p w14:paraId="746EF47E" w14:textId="77777777" w:rsidR="003A3042" w:rsidRPr="00441A9C" w:rsidRDefault="003A3042" w:rsidP="003A3042">
      <w:pPr>
        <w:spacing w:line="360" w:lineRule="auto"/>
        <w:jc w:val="both"/>
        <w:rPr>
          <w:rFonts w:ascii="Garamond" w:hAnsi="Garamond"/>
          <w:b/>
          <w:sz w:val="22"/>
          <w:szCs w:val="22"/>
        </w:rPr>
      </w:pPr>
      <w:r w:rsidRPr="00441A9C">
        <w:rPr>
          <w:rFonts w:ascii="Garamond" w:hAnsi="Garamond"/>
          <w:b/>
          <w:sz w:val="22"/>
          <w:szCs w:val="22"/>
        </w:rPr>
        <w:t>Arthur Javadyan,</w:t>
      </w:r>
    </w:p>
    <w:p w14:paraId="5FA67BA2" w14:textId="77777777" w:rsidR="00E71691" w:rsidRPr="00441A9C" w:rsidRDefault="003A3042" w:rsidP="003A3042">
      <w:pPr>
        <w:spacing w:line="360" w:lineRule="auto"/>
        <w:jc w:val="both"/>
        <w:rPr>
          <w:rFonts w:ascii="Garamond" w:hAnsi="Garamond"/>
          <w:sz w:val="22"/>
          <w:szCs w:val="22"/>
        </w:rPr>
      </w:pPr>
      <w:r w:rsidRPr="00441A9C">
        <w:rPr>
          <w:rFonts w:ascii="Garamond" w:hAnsi="Garamond"/>
          <w:b/>
          <w:sz w:val="22"/>
          <w:szCs w:val="22"/>
        </w:rPr>
        <w:t>Chairman of the CBA</w:t>
      </w:r>
    </w:p>
    <w:p w14:paraId="10E1EB6B" w14:textId="77777777" w:rsidR="005B1F13" w:rsidRPr="00441A9C" w:rsidRDefault="005B1F13" w:rsidP="00E71691">
      <w:pPr>
        <w:spacing w:line="360" w:lineRule="auto"/>
        <w:jc w:val="both"/>
        <w:rPr>
          <w:rFonts w:ascii="Garamond" w:hAnsi="Garamond"/>
          <w:sz w:val="22"/>
          <w:szCs w:val="22"/>
        </w:rPr>
      </w:pPr>
    </w:p>
    <w:p w14:paraId="46111B1F" w14:textId="77777777" w:rsidR="00320DDF" w:rsidRPr="00441A9C" w:rsidRDefault="00320DDF" w:rsidP="00320DDF">
      <w:pPr>
        <w:spacing w:line="360" w:lineRule="auto"/>
        <w:jc w:val="center"/>
        <w:rPr>
          <w:rFonts w:ascii="Garamond" w:hAnsi="Garamond"/>
          <w:b/>
          <w:sz w:val="22"/>
          <w:szCs w:val="22"/>
        </w:rPr>
      </w:pPr>
      <w:r w:rsidRPr="00441A9C">
        <w:rPr>
          <w:rFonts w:ascii="Garamond" w:hAnsi="Garamond"/>
          <w:b/>
          <w:sz w:val="22"/>
          <w:szCs w:val="22"/>
        </w:rPr>
        <w:t>PRESS RELEASE</w:t>
      </w:r>
    </w:p>
    <w:p w14:paraId="194A5765" w14:textId="77777777" w:rsidR="00320DDF" w:rsidRPr="00441A9C" w:rsidRDefault="00320DDF" w:rsidP="00320DDF">
      <w:pPr>
        <w:spacing w:line="360" w:lineRule="auto"/>
        <w:jc w:val="center"/>
        <w:rPr>
          <w:rFonts w:ascii="Garamond" w:hAnsi="Garamond"/>
          <w:b/>
          <w:sz w:val="22"/>
          <w:szCs w:val="22"/>
        </w:rPr>
      </w:pPr>
      <w:r w:rsidRPr="00441A9C">
        <w:rPr>
          <w:rFonts w:ascii="Garamond" w:hAnsi="Garamond"/>
          <w:b/>
          <w:sz w:val="22"/>
          <w:szCs w:val="22"/>
        </w:rPr>
        <w:t>1</w:t>
      </w:r>
      <w:r w:rsidR="00441A9C" w:rsidRPr="00441A9C">
        <w:rPr>
          <w:rFonts w:ascii="Garamond" w:hAnsi="Garamond"/>
          <w:b/>
          <w:sz w:val="22"/>
          <w:szCs w:val="22"/>
        </w:rPr>
        <w:t>5</w:t>
      </w:r>
      <w:r w:rsidRPr="00441A9C">
        <w:rPr>
          <w:rFonts w:ascii="Garamond" w:hAnsi="Garamond"/>
          <w:b/>
          <w:sz w:val="22"/>
          <w:szCs w:val="22"/>
        </w:rPr>
        <w:t>.0</w:t>
      </w:r>
      <w:r w:rsidR="00441A9C" w:rsidRPr="00441A9C">
        <w:rPr>
          <w:rFonts w:ascii="Garamond" w:hAnsi="Garamond"/>
          <w:b/>
          <w:sz w:val="22"/>
          <w:szCs w:val="22"/>
        </w:rPr>
        <w:t>8</w:t>
      </w:r>
      <w:r w:rsidRPr="00441A9C">
        <w:rPr>
          <w:rFonts w:ascii="Garamond" w:hAnsi="Garamond"/>
          <w:b/>
          <w:sz w:val="22"/>
          <w:szCs w:val="22"/>
        </w:rPr>
        <w:t>.2017</w:t>
      </w:r>
    </w:p>
    <w:p w14:paraId="54077D14" w14:textId="77777777" w:rsidR="00320DDF" w:rsidRPr="00441A9C" w:rsidRDefault="00320DDF" w:rsidP="00320DDF">
      <w:pPr>
        <w:spacing w:line="360" w:lineRule="auto"/>
        <w:jc w:val="both"/>
        <w:rPr>
          <w:rFonts w:ascii="Garamond" w:hAnsi="Garamond"/>
          <w:sz w:val="22"/>
          <w:szCs w:val="22"/>
        </w:rPr>
      </w:pPr>
    </w:p>
    <w:p w14:paraId="3E565BBB" w14:textId="77777777" w:rsidR="00441A9C" w:rsidRPr="00441A9C" w:rsidRDefault="00441A9C" w:rsidP="00441A9C">
      <w:pPr>
        <w:jc w:val="both"/>
        <w:rPr>
          <w:rFonts w:ascii="Garamond" w:hAnsi="Garamond"/>
          <w:sz w:val="22"/>
          <w:szCs w:val="22"/>
        </w:rPr>
      </w:pPr>
      <w:r w:rsidRPr="00441A9C">
        <w:rPr>
          <w:rFonts w:ascii="Garamond" w:hAnsi="Garamond"/>
          <w:sz w:val="22"/>
          <w:szCs w:val="22"/>
        </w:rPr>
        <w:t>On the August 15th of 2017 meeting the Board of the Central Bank of Armenia decided to leave the refinancing rate unchanged, at the 6.0% level.</w:t>
      </w:r>
    </w:p>
    <w:p w14:paraId="1209EB41" w14:textId="77777777" w:rsidR="00441A9C" w:rsidRPr="00441A9C" w:rsidRDefault="00441A9C" w:rsidP="00441A9C">
      <w:pPr>
        <w:jc w:val="both"/>
        <w:rPr>
          <w:rFonts w:ascii="Garamond" w:hAnsi="Garamond"/>
          <w:sz w:val="22"/>
          <w:szCs w:val="22"/>
        </w:rPr>
      </w:pPr>
    </w:p>
    <w:p w14:paraId="2192D9AF" w14:textId="77777777" w:rsidR="00441A9C" w:rsidRPr="00441A9C" w:rsidRDefault="00441A9C" w:rsidP="00441A9C">
      <w:pPr>
        <w:jc w:val="both"/>
        <w:rPr>
          <w:rFonts w:ascii="Garamond" w:hAnsi="Garamond"/>
          <w:sz w:val="22"/>
          <w:szCs w:val="22"/>
        </w:rPr>
      </w:pPr>
      <w:r w:rsidRPr="00441A9C">
        <w:rPr>
          <w:rFonts w:ascii="Garamond" w:hAnsi="Garamond"/>
          <w:sz w:val="22"/>
          <w:szCs w:val="22"/>
        </w:rPr>
        <w:lastRenderedPageBreak/>
        <w:t xml:space="preserve">At the end of the second quarter of 2017 the 12-month inflation rate was 1.1%, which was 0.3 pp higher than the level as anticipated in the monetary policy program for the second quarter. In July 2.6% deflation was recorded due to the seasonal fall in prices of agricultural products, and the 12-month inflation rate has reduced slightly, amounting to 0.9% as of end-July. </w:t>
      </w:r>
    </w:p>
    <w:p w14:paraId="19B5C37A" w14:textId="77777777" w:rsidR="00441A9C" w:rsidRPr="00441A9C" w:rsidRDefault="00441A9C" w:rsidP="00441A9C">
      <w:pPr>
        <w:jc w:val="both"/>
        <w:rPr>
          <w:rFonts w:ascii="Garamond" w:hAnsi="Garamond"/>
          <w:sz w:val="22"/>
          <w:szCs w:val="22"/>
        </w:rPr>
      </w:pPr>
    </w:p>
    <w:p w14:paraId="6D18DBEF" w14:textId="77777777" w:rsidR="00441A9C" w:rsidRPr="00441A9C" w:rsidRDefault="00441A9C" w:rsidP="00441A9C">
      <w:pPr>
        <w:jc w:val="both"/>
        <w:rPr>
          <w:rFonts w:ascii="Garamond" w:hAnsi="Garamond"/>
          <w:sz w:val="22"/>
          <w:szCs w:val="22"/>
        </w:rPr>
      </w:pPr>
      <w:r w:rsidRPr="00441A9C">
        <w:rPr>
          <w:rFonts w:ascii="Garamond" w:hAnsi="Garamond"/>
          <w:sz w:val="22"/>
          <w:szCs w:val="22"/>
        </w:rPr>
        <w:t xml:space="preserve">In the external environment, the global economic growth outlook is further improving, and prices in international commodity markets have shown trends of stabilization. Based on this, the Board of the Central Bank expects no significant inflationary effects from the external sector in the forthcoming months. </w:t>
      </w:r>
    </w:p>
    <w:p w14:paraId="6DBA5E00" w14:textId="77777777" w:rsidR="00441A9C" w:rsidRPr="00441A9C" w:rsidRDefault="00441A9C" w:rsidP="00441A9C">
      <w:pPr>
        <w:jc w:val="both"/>
        <w:rPr>
          <w:rFonts w:ascii="Garamond" w:hAnsi="Garamond"/>
          <w:sz w:val="22"/>
          <w:szCs w:val="22"/>
        </w:rPr>
      </w:pPr>
    </w:p>
    <w:p w14:paraId="21B521B5" w14:textId="77777777" w:rsidR="00441A9C" w:rsidRPr="00441A9C" w:rsidRDefault="00441A9C" w:rsidP="00441A9C">
      <w:pPr>
        <w:jc w:val="both"/>
        <w:rPr>
          <w:rFonts w:ascii="Garamond" w:hAnsi="Garamond"/>
          <w:sz w:val="22"/>
          <w:szCs w:val="22"/>
        </w:rPr>
      </w:pPr>
      <w:r w:rsidRPr="00441A9C">
        <w:rPr>
          <w:rFonts w:ascii="Garamond" w:hAnsi="Garamond"/>
          <w:sz w:val="22"/>
          <w:szCs w:val="22"/>
        </w:rPr>
        <w:t>The Board notes that, according to the actual second quarter of 2017 data, the economic activity remained strong and domestic demand continued recovering. This, under the currently implemented contractionary fiscal policy, is determined by expansionary monetary policy of the Central Bank.</w:t>
      </w:r>
    </w:p>
    <w:p w14:paraId="3CDAF266" w14:textId="77777777" w:rsidR="00441A9C" w:rsidRPr="00441A9C" w:rsidRDefault="00441A9C" w:rsidP="00441A9C">
      <w:pPr>
        <w:jc w:val="both"/>
        <w:rPr>
          <w:rFonts w:ascii="Garamond" w:hAnsi="Garamond"/>
          <w:sz w:val="22"/>
          <w:szCs w:val="22"/>
        </w:rPr>
      </w:pPr>
    </w:p>
    <w:p w14:paraId="3691FE22" w14:textId="77777777" w:rsidR="00441A9C" w:rsidRPr="00441A9C" w:rsidRDefault="00441A9C" w:rsidP="00441A9C">
      <w:pPr>
        <w:jc w:val="both"/>
        <w:rPr>
          <w:rFonts w:ascii="Garamond" w:hAnsi="Garamond"/>
          <w:sz w:val="22"/>
          <w:szCs w:val="22"/>
        </w:rPr>
      </w:pPr>
      <w:r w:rsidRPr="00441A9C">
        <w:rPr>
          <w:rFonts w:ascii="Garamond" w:hAnsi="Garamond"/>
          <w:sz w:val="22"/>
          <w:szCs w:val="22"/>
        </w:rPr>
        <w:t>In consideration of this situation, the Board of the Central Bank finds it reasonable to leave the monetary conditions unchanged. This will gradually increase the inflation as a result – it will be shaping within the confidence band by the end of 2017 and will stabilize around the target in the forecast horizon. The Central Bank believes that if the macroeconomic developments proceed with the predicted scenario, the monetary conditions will remain expansionary for a while.</w:t>
      </w:r>
    </w:p>
    <w:p w14:paraId="19CF3858" w14:textId="77777777" w:rsidR="00441A9C" w:rsidRPr="00441A9C" w:rsidRDefault="00441A9C" w:rsidP="00441A9C">
      <w:pPr>
        <w:jc w:val="both"/>
        <w:rPr>
          <w:rFonts w:ascii="Garamond" w:hAnsi="Garamond"/>
          <w:sz w:val="22"/>
          <w:szCs w:val="22"/>
        </w:rPr>
      </w:pPr>
    </w:p>
    <w:p w14:paraId="3DB14137" w14:textId="77777777" w:rsidR="00441A9C" w:rsidRPr="00441A9C" w:rsidRDefault="00441A9C" w:rsidP="00441A9C">
      <w:pPr>
        <w:jc w:val="both"/>
        <w:rPr>
          <w:rFonts w:ascii="Garamond" w:hAnsi="Garamond"/>
          <w:sz w:val="22"/>
          <w:szCs w:val="22"/>
        </w:rPr>
      </w:pPr>
      <w:r w:rsidRPr="00441A9C">
        <w:rPr>
          <w:rFonts w:ascii="Garamond" w:hAnsi="Garamond"/>
          <w:sz w:val="22"/>
          <w:szCs w:val="22"/>
        </w:rPr>
        <w:t>However, should there emerge risks to the economic growth outlook and inflation deviating from its recovery path, the Central Bank would react by adjusting its monetary policy directions accordingly, while fulfilling the inflation target in the medium run.</w:t>
      </w:r>
    </w:p>
    <w:p w14:paraId="541FAC20" w14:textId="77777777" w:rsidR="00441A9C" w:rsidRPr="00441A9C" w:rsidRDefault="00441A9C" w:rsidP="00441A9C">
      <w:pPr>
        <w:jc w:val="both"/>
        <w:rPr>
          <w:rFonts w:ascii="Garamond" w:hAnsi="Garamond"/>
          <w:b/>
          <w:sz w:val="22"/>
          <w:szCs w:val="22"/>
        </w:rPr>
      </w:pPr>
    </w:p>
    <w:p w14:paraId="5E1B3CF6" w14:textId="77777777" w:rsidR="00441A9C" w:rsidRPr="00441A9C" w:rsidRDefault="00441A9C" w:rsidP="00441A9C">
      <w:pPr>
        <w:pBdr>
          <w:bottom w:val="single" w:sz="6" w:space="1" w:color="auto"/>
        </w:pBdr>
        <w:tabs>
          <w:tab w:val="center" w:pos="4680"/>
        </w:tabs>
        <w:spacing w:line="360" w:lineRule="auto"/>
        <w:jc w:val="both"/>
        <w:rPr>
          <w:rFonts w:ascii="Garamond" w:hAnsi="Garamond"/>
          <w:sz w:val="22"/>
          <w:szCs w:val="22"/>
        </w:rPr>
      </w:pPr>
      <w:r w:rsidRPr="00441A9C">
        <w:rPr>
          <w:rFonts w:ascii="Garamond" w:hAnsi="Garamond"/>
          <w:sz w:val="22"/>
          <w:szCs w:val="22"/>
        </w:rPr>
        <w:t xml:space="preserve">  </w:t>
      </w:r>
      <w:r w:rsidRPr="00441A9C">
        <w:rPr>
          <w:rFonts w:ascii="Garamond" w:hAnsi="Garamond"/>
          <w:sz w:val="22"/>
          <w:szCs w:val="22"/>
        </w:rPr>
        <w:tab/>
      </w:r>
    </w:p>
    <w:p w14:paraId="55FE9470" w14:textId="77777777" w:rsidR="00441A9C" w:rsidRPr="00441A9C" w:rsidRDefault="00441A9C" w:rsidP="00441A9C">
      <w:pPr>
        <w:jc w:val="both"/>
        <w:rPr>
          <w:rFonts w:ascii="Garamond" w:hAnsi="Garamond"/>
          <w:sz w:val="22"/>
          <w:szCs w:val="22"/>
        </w:rPr>
      </w:pPr>
    </w:p>
    <w:p w14:paraId="22917C2F" w14:textId="77777777" w:rsidR="005B1F13" w:rsidRPr="00F6742B" w:rsidRDefault="00441A9C" w:rsidP="00441A9C">
      <w:pPr>
        <w:spacing w:line="360" w:lineRule="auto"/>
        <w:jc w:val="both"/>
        <w:rPr>
          <w:rFonts w:ascii="Garamond" w:hAnsi="Garamond"/>
          <w:b/>
          <w:sz w:val="22"/>
          <w:szCs w:val="22"/>
        </w:rPr>
      </w:pPr>
      <w:r w:rsidRPr="00F6742B">
        <w:rPr>
          <w:rFonts w:ascii="Garamond" w:hAnsi="Garamond"/>
          <w:b/>
          <w:sz w:val="22"/>
          <w:szCs w:val="22"/>
        </w:rPr>
        <w:t>Press Service of the Central Bank of Armenia</w:t>
      </w:r>
    </w:p>
    <w:sectPr w:rsidR="005B1F13" w:rsidRPr="00F6742B" w:rsidSect="004E2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96BD1" w14:textId="77777777" w:rsidR="00F753B9" w:rsidRDefault="00F753B9" w:rsidP="004C715C">
      <w:r>
        <w:separator/>
      </w:r>
    </w:p>
  </w:endnote>
  <w:endnote w:type="continuationSeparator" w:id="0">
    <w:p w14:paraId="30FFC676" w14:textId="77777777" w:rsidR="00F753B9" w:rsidRDefault="00F753B9" w:rsidP="004C7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LatArm">
    <w:panose1 w:val="00000000000000000000"/>
    <w:charset w:val="00"/>
    <w:family w:val="auto"/>
    <w:pitch w:val="variable"/>
    <w:sig w:usb0="00000003" w:usb1="00000000" w:usb2="00000000" w:usb3="00000000" w:csb0="00000001" w:csb1="00000000"/>
  </w:font>
  <w:font w:name="Times Armeni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Armenian">
    <w:panose1 w:val="020B0604020202020204"/>
    <w:charset w:val="00"/>
    <w:family w:val="swiss"/>
    <w:pitch w:val="variable"/>
    <w:sig w:usb0="00000003" w:usb1="00000000" w:usb2="00000000" w:usb3="00000000" w:csb0="00000001" w:csb1="00000000"/>
  </w:font>
  <w:font w:name="GHEA Grapalat">
    <w:panose1 w:val="02000506050000020003"/>
    <w:charset w:val="00"/>
    <w:family w:val="modern"/>
    <w:notTrueType/>
    <w:pitch w:val="variable"/>
    <w:sig w:usb0="A00006AF" w:usb1="5000204B" w:usb2="00000000" w:usb3="00000000" w:csb0="0000009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5D557" w14:textId="77777777" w:rsidR="00F753B9" w:rsidRDefault="00F753B9" w:rsidP="004C715C">
      <w:r>
        <w:separator/>
      </w:r>
    </w:p>
  </w:footnote>
  <w:footnote w:type="continuationSeparator" w:id="0">
    <w:p w14:paraId="29893ED7" w14:textId="77777777" w:rsidR="00F753B9" w:rsidRDefault="00F753B9" w:rsidP="004C715C">
      <w:r>
        <w:continuationSeparator/>
      </w:r>
    </w:p>
  </w:footnote>
  <w:footnote w:id="1">
    <w:p w14:paraId="2BCCB823" w14:textId="77777777" w:rsidR="00CC2306" w:rsidRPr="0029012B" w:rsidRDefault="00CC2306" w:rsidP="0029012B">
      <w:pPr>
        <w:pStyle w:val="FootnoteText"/>
        <w:jc w:val="both"/>
        <w:rPr>
          <w:rFonts w:ascii="Garamond" w:hAnsi="Garamond"/>
        </w:rPr>
      </w:pPr>
      <w:r w:rsidRPr="0029012B">
        <w:rPr>
          <w:rStyle w:val="FootnoteReference"/>
          <w:rFonts w:ascii="Garamond" w:hAnsi="Garamond"/>
        </w:rPr>
        <w:t>1</w:t>
      </w:r>
      <w:r w:rsidRPr="0029012B">
        <w:rPr>
          <w:rFonts w:ascii="Garamond" w:hAnsi="Garamond"/>
        </w:rPr>
        <w:t xml:space="preserve"> The forecasts of external sector were based on the information provided from international reputable analytical, research, ratings organizations and financial institutions as well as various news agencies worldwide (including the</w:t>
      </w:r>
      <w:r w:rsidRPr="0029012B">
        <w:rPr>
          <w:rFonts w:ascii="Garamond" w:hAnsi="Garamond"/>
          <w:lang w:val="hy-AM"/>
        </w:rPr>
        <w:t xml:space="preserve"> IMF, </w:t>
      </w:r>
      <w:r w:rsidRPr="0029012B">
        <w:rPr>
          <w:rFonts w:ascii="Garamond" w:hAnsi="Garamond"/>
        </w:rPr>
        <w:t xml:space="preserve">the </w:t>
      </w:r>
      <w:r w:rsidRPr="0029012B">
        <w:rPr>
          <w:rFonts w:ascii="Garamond" w:hAnsi="Garamond"/>
          <w:lang w:val="hy-AM"/>
        </w:rPr>
        <w:t xml:space="preserve">World Bank, The Economist, Economist </w:t>
      </w:r>
      <w:r w:rsidRPr="0029012B">
        <w:rPr>
          <w:rFonts w:ascii="Garamond" w:hAnsi="Garamond"/>
        </w:rPr>
        <w:t xml:space="preserve">Intelligence Unit, the </w:t>
      </w:r>
      <w:r w:rsidRPr="0029012B">
        <w:rPr>
          <w:rFonts w:ascii="Garamond" w:hAnsi="Garamond"/>
          <w:lang w:val="hy-AM"/>
        </w:rPr>
        <w:t xml:space="preserve">Global Insight, </w:t>
      </w:r>
      <w:r w:rsidRPr="0029012B">
        <w:rPr>
          <w:rFonts w:ascii="Garamond" w:hAnsi="Garamond"/>
        </w:rPr>
        <w:t xml:space="preserve">the </w:t>
      </w:r>
      <w:r w:rsidRPr="0029012B">
        <w:rPr>
          <w:rFonts w:ascii="Garamond" w:hAnsi="Garamond"/>
          <w:lang w:val="hy-AM"/>
        </w:rPr>
        <w:t xml:space="preserve">Financial Times, </w:t>
      </w:r>
      <w:r w:rsidRPr="0029012B">
        <w:rPr>
          <w:rFonts w:ascii="Garamond" w:hAnsi="Garamond"/>
        </w:rPr>
        <w:t>and so on).</w:t>
      </w:r>
    </w:p>
  </w:footnote>
  <w:footnote w:id="2">
    <w:p w14:paraId="67C0F379" w14:textId="77777777" w:rsidR="00CC2306" w:rsidRPr="0029012B" w:rsidRDefault="00CC2306" w:rsidP="0029012B">
      <w:pPr>
        <w:pStyle w:val="FootnoteText"/>
        <w:jc w:val="both"/>
        <w:rPr>
          <w:rFonts w:ascii="Garamond" w:hAnsi="Garamond"/>
        </w:rPr>
      </w:pPr>
      <w:r>
        <w:rPr>
          <w:rStyle w:val="FootnoteReference"/>
        </w:rPr>
        <w:t>2</w:t>
      </w:r>
      <w:r w:rsidRPr="0029012B">
        <w:rPr>
          <w:rFonts w:ascii="Garamond" w:hAnsi="Garamond"/>
        </w:rPr>
        <w:t xml:space="preserve"> All forecasts for the external environment are based on the information available as of 2</w:t>
      </w:r>
      <w:r>
        <w:rPr>
          <w:rFonts w:ascii="Garamond" w:hAnsi="Garamond"/>
        </w:rPr>
        <w:t>8</w:t>
      </w:r>
      <w:r w:rsidRPr="0029012B">
        <w:rPr>
          <w:rFonts w:ascii="Garamond" w:hAnsi="Garamond"/>
        </w:rPr>
        <w:t>.</w:t>
      </w:r>
      <w:r>
        <w:rPr>
          <w:rFonts w:ascii="Garamond" w:hAnsi="Garamond"/>
        </w:rPr>
        <w:t>07</w:t>
      </w:r>
      <w:r w:rsidRPr="0029012B">
        <w:rPr>
          <w:rFonts w:ascii="Garamond" w:hAnsi="Garamond"/>
        </w:rPr>
        <w:t>.201</w:t>
      </w:r>
      <w:r>
        <w:rPr>
          <w:rFonts w:ascii="Garamond" w:hAnsi="Garamond"/>
        </w:rPr>
        <w:t>7</w:t>
      </w:r>
      <w:r w:rsidRPr="0029012B">
        <w:rPr>
          <w:rFonts w:ascii="Garamond" w:hAnsi="Garamond"/>
        </w:rPr>
        <w:t>.</w:t>
      </w:r>
    </w:p>
  </w:footnote>
  <w:footnote w:id="3">
    <w:p w14:paraId="70496436" w14:textId="77777777" w:rsidR="00CC2306" w:rsidRPr="005B6C26" w:rsidRDefault="00CC2306" w:rsidP="00C70554">
      <w:pPr>
        <w:pStyle w:val="FootnoteText"/>
        <w:jc w:val="both"/>
        <w:rPr>
          <w:rFonts w:ascii="Garamond" w:hAnsi="Garamond"/>
          <w:lang w:val="pt-BR"/>
        </w:rPr>
      </w:pPr>
      <w:r>
        <w:rPr>
          <w:rStyle w:val="FootnoteReference"/>
        </w:rPr>
        <w:t>3</w:t>
      </w:r>
      <w:r w:rsidRPr="005B6C26">
        <w:rPr>
          <w:rFonts w:ascii="Garamond" w:hAnsi="Garamond"/>
        </w:rPr>
        <w:t xml:space="preserve"> The labor market data for 201</w:t>
      </w:r>
      <w:r>
        <w:rPr>
          <w:rFonts w:ascii="Garamond" w:hAnsi="Garamond"/>
        </w:rPr>
        <w:t>7</w:t>
      </w:r>
      <w:r w:rsidRPr="005B6C26">
        <w:rPr>
          <w:rFonts w:ascii="Garamond" w:hAnsi="Garamond"/>
        </w:rPr>
        <w:t>-201</w:t>
      </w:r>
      <w:r>
        <w:rPr>
          <w:rFonts w:ascii="Garamond" w:hAnsi="Garamond"/>
        </w:rPr>
        <w:t>9</w:t>
      </w:r>
      <w:r w:rsidRPr="005B6C26">
        <w:rPr>
          <w:rFonts w:ascii="Garamond" w:hAnsi="Garamond"/>
        </w:rPr>
        <w:t xml:space="preserve"> are the C</w:t>
      </w:r>
      <w:r>
        <w:rPr>
          <w:rFonts w:ascii="Garamond" w:hAnsi="Garamond"/>
        </w:rPr>
        <w:t xml:space="preserve">entral </w:t>
      </w:r>
      <w:r w:rsidRPr="005B6C26">
        <w:rPr>
          <w:rFonts w:ascii="Garamond" w:hAnsi="Garamond"/>
        </w:rPr>
        <w:t>B</w:t>
      </w:r>
      <w:r>
        <w:rPr>
          <w:rFonts w:ascii="Garamond" w:hAnsi="Garamond"/>
        </w:rPr>
        <w:t>ank</w:t>
      </w:r>
      <w:r w:rsidRPr="005B6C26">
        <w:rPr>
          <w:rFonts w:ascii="Garamond" w:hAnsi="Garamond"/>
        </w:rPr>
        <w:t xml:space="preserve"> projections which are based on the </w:t>
      </w:r>
      <w:r>
        <w:rPr>
          <w:rFonts w:ascii="Garamond" w:hAnsi="Garamond"/>
        </w:rPr>
        <w:t xml:space="preserve">first </w:t>
      </w:r>
      <w:r w:rsidRPr="005B6C26">
        <w:rPr>
          <w:rFonts w:ascii="Garamond" w:hAnsi="Garamond"/>
        </w:rPr>
        <w:t>quarter of 201</w:t>
      </w:r>
      <w:r>
        <w:rPr>
          <w:rFonts w:ascii="Garamond" w:hAnsi="Garamond"/>
        </w:rPr>
        <w:t>7</w:t>
      </w:r>
      <w:r w:rsidRPr="005B6C26">
        <w:rPr>
          <w:rFonts w:ascii="Garamond" w:hAnsi="Garamond"/>
        </w:rPr>
        <w:t xml:space="preserve"> data and actual January-</w:t>
      </w:r>
      <w:r>
        <w:rPr>
          <w:rFonts w:ascii="Garamond" w:hAnsi="Garamond"/>
        </w:rPr>
        <w:t>May</w:t>
      </w:r>
      <w:r w:rsidRPr="005B6C26">
        <w:rPr>
          <w:rFonts w:ascii="Garamond" w:hAnsi="Garamond"/>
        </w:rPr>
        <w:t xml:space="preserve"> </w:t>
      </w:r>
      <w:r>
        <w:rPr>
          <w:rFonts w:ascii="Garamond" w:hAnsi="Garamond"/>
        </w:rPr>
        <w:t xml:space="preserve">of </w:t>
      </w:r>
      <w:r w:rsidRPr="005B6C26">
        <w:rPr>
          <w:rFonts w:ascii="Garamond" w:hAnsi="Garamond"/>
        </w:rPr>
        <w:t>201</w:t>
      </w:r>
      <w:r>
        <w:rPr>
          <w:rFonts w:ascii="Garamond" w:hAnsi="Garamond"/>
        </w:rPr>
        <w:t>7</w:t>
      </w:r>
      <w:r w:rsidRPr="005B6C26">
        <w:rPr>
          <w:rFonts w:ascii="Garamond" w:hAnsi="Garamond"/>
        </w:rPr>
        <w:t xml:space="preserve"> figures. The growth indicators presented in this sub-section are relative to the same reference period last year, unless otherwise specified.</w:t>
      </w:r>
    </w:p>
  </w:footnote>
  <w:footnote w:id="4">
    <w:p w14:paraId="4A96641A" w14:textId="77777777" w:rsidR="00CC2306" w:rsidRDefault="00CC2306" w:rsidP="007971BE">
      <w:pPr>
        <w:pStyle w:val="FootnoteText"/>
        <w:jc w:val="both"/>
      </w:pPr>
      <w:r>
        <w:rPr>
          <w:rStyle w:val="FootnoteReference"/>
        </w:rPr>
        <w:t>4</w:t>
      </w:r>
      <w:r>
        <w:t xml:space="preserve"> </w:t>
      </w:r>
      <w:r w:rsidRPr="000069EE">
        <w:rPr>
          <w:rFonts w:ascii="Garamond" w:hAnsi="Garamond"/>
        </w:rPr>
        <w:t>Average nominal wage</w:t>
      </w:r>
      <w:r>
        <w:rPr>
          <w:rFonts w:ascii="Garamond" w:hAnsi="Garamond"/>
        </w:rPr>
        <w:t xml:space="preserve"> constitutes a grand sum of salary and salary equivalents </w:t>
      </w:r>
      <w:r w:rsidRPr="000069EE">
        <w:rPr>
          <w:rFonts w:ascii="Garamond" w:hAnsi="Garamond"/>
        </w:rPr>
        <w:t>(</w:t>
      </w:r>
      <w:r>
        <w:rPr>
          <w:rFonts w:ascii="Garamond" w:hAnsi="Garamond"/>
        </w:rPr>
        <w:t>premiums</w:t>
      </w:r>
      <w:r w:rsidRPr="000069EE">
        <w:rPr>
          <w:rFonts w:ascii="Garamond" w:hAnsi="Garamond"/>
        </w:rPr>
        <w:t xml:space="preserve">, allowances, bonuses, </w:t>
      </w:r>
      <w:r>
        <w:rPr>
          <w:rFonts w:ascii="Garamond" w:hAnsi="Garamond"/>
        </w:rPr>
        <w:t>one-time incentive pays</w:t>
      </w:r>
      <w:r w:rsidRPr="000069EE">
        <w:rPr>
          <w:rFonts w:ascii="Garamond" w:hAnsi="Garamond"/>
        </w:rPr>
        <w:t>, etc.)</w:t>
      </w:r>
      <w:r>
        <w:rPr>
          <w:rFonts w:ascii="Garamond" w:hAnsi="Garamond"/>
        </w:rPr>
        <w:t>.</w:t>
      </w:r>
    </w:p>
  </w:footnote>
  <w:footnote w:id="5">
    <w:p w14:paraId="068B1649" w14:textId="77777777" w:rsidR="00CC2306" w:rsidRPr="00D810B0" w:rsidRDefault="00CC2306" w:rsidP="00D810B0">
      <w:pPr>
        <w:pStyle w:val="FootnoteText"/>
        <w:jc w:val="both"/>
        <w:rPr>
          <w:rFonts w:ascii="Garamond" w:hAnsi="Garamond"/>
        </w:rPr>
      </w:pPr>
      <w:r>
        <w:rPr>
          <w:rStyle w:val="FootnoteReference"/>
        </w:rPr>
        <w:t>5</w:t>
      </w:r>
      <w:r w:rsidRPr="00D810B0">
        <w:rPr>
          <w:rFonts w:ascii="Garamond" w:hAnsi="Garamond"/>
        </w:rPr>
        <w:t xml:space="preserve"> The data of real growth of private consumption</w:t>
      </w:r>
      <w:r>
        <w:rPr>
          <w:rFonts w:ascii="Garamond" w:hAnsi="Garamond"/>
        </w:rPr>
        <w:t>,</w:t>
      </w:r>
      <w:r w:rsidRPr="00D810B0">
        <w:rPr>
          <w:rFonts w:ascii="Garamond" w:hAnsi="Garamond"/>
        </w:rPr>
        <w:t xml:space="preserve"> investments</w:t>
      </w:r>
      <w:r>
        <w:rPr>
          <w:rFonts w:ascii="Garamond" w:hAnsi="Garamond"/>
        </w:rPr>
        <w:t xml:space="preserve">, private spending and domestic demand </w:t>
      </w:r>
      <w:r w:rsidRPr="00D810B0">
        <w:rPr>
          <w:rFonts w:ascii="Garamond" w:hAnsi="Garamond"/>
        </w:rPr>
        <w:t>for 201</w:t>
      </w:r>
      <w:r>
        <w:rPr>
          <w:rFonts w:ascii="Garamond" w:hAnsi="Garamond"/>
        </w:rPr>
        <w:t>7</w:t>
      </w:r>
      <w:r w:rsidRPr="00D810B0">
        <w:rPr>
          <w:rFonts w:ascii="Garamond" w:hAnsi="Garamond"/>
        </w:rPr>
        <w:t>-201</w:t>
      </w:r>
      <w:r>
        <w:rPr>
          <w:rFonts w:ascii="Garamond" w:hAnsi="Garamond"/>
        </w:rPr>
        <w:t>9</w:t>
      </w:r>
      <w:r w:rsidRPr="00D810B0">
        <w:rPr>
          <w:rFonts w:ascii="Garamond" w:hAnsi="Garamond"/>
        </w:rPr>
        <w:t xml:space="preserve"> are the C</w:t>
      </w:r>
      <w:r>
        <w:rPr>
          <w:rFonts w:ascii="Garamond" w:hAnsi="Garamond"/>
        </w:rPr>
        <w:t xml:space="preserve">entral </w:t>
      </w:r>
      <w:r w:rsidRPr="00D810B0">
        <w:rPr>
          <w:rFonts w:ascii="Garamond" w:hAnsi="Garamond"/>
        </w:rPr>
        <w:t>B</w:t>
      </w:r>
      <w:r>
        <w:rPr>
          <w:rFonts w:ascii="Garamond" w:hAnsi="Garamond"/>
        </w:rPr>
        <w:t xml:space="preserve">ank </w:t>
      </w:r>
      <w:r w:rsidRPr="00D810B0">
        <w:rPr>
          <w:rFonts w:ascii="Garamond" w:hAnsi="Garamond"/>
        </w:rPr>
        <w:t xml:space="preserve">estimates. These actual figures are as of the </w:t>
      </w:r>
      <w:r>
        <w:rPr>
          <w:rFonts w:ascii="Garamond" w:hAnsi="Garamond"/>
        </w:rPr>
        <w:t xml:space="preserve">first </w:t>
      </w:r>
      <w:r w:rsidRPr="00D810B0">
        <w:rPr>
          <w:rFonts w:ascii="Garamond" w:hAnsi="Garamond"/>
        </w:rPr>
        <w:t>quarter of 201</w:t>
      </w:r>
      <w:r>
        <w:rPr>
          <w:rFonts w:ascii="Garamond" w:hAnsi="Garamond"/>
        </w:rPr>
        <w:t>7</w:t>
      </w:r>
      <w:r w:rsidRPr="00D810B0">
        <w:rPr>
          <w:rFonts w:ascii="Garamond" w:hAnsi="Garamond"/>
        </w:rPr>
        <w:t xml:space="preserve"> published by the National Statistics Service of Armenia. The real growth indicators represented in this sub-section are relative to the same reference period last year, unless otherwise specified.</w:t>
      </w:r>
    </w:p>
  </w:footnote>
  <w:footnote w:id="6">
    <w:p w14:paraId="20E2A405" w14:textId="77777777" w:rsidR="00CC2306" w:rsidRPr="00454CFF" w:rsidRDefault="00CC2306" w:rsidP="00454CFF">
      <w:pPr>
        <w:pStyle w:val="FootnoteText"/>
        <w:jc w:val="both"/>
        <w:rPr>
          <w:rFonts w:ascii="Garamond" w:hAnsi="Garamond"/>
        </w:rPr>
      </w:pPr>
      <w:r w:rsidRPr="00454CFF">
        <w:rPr>
          <w:rStyle w:val="FootnoteReference"/>
          <w:rFonts w:ascii="Garamond" w:hAnsi="Garamond"/>
        </w:rPr>
        <w:t>6</w:t>
      </w:r>
      <w:r w:rsidRPr="00454CFF">
        <w:rPr>
          <w:rFonts w:ascii="Garamond" w:hAnsi="Garamond"/>
        </w:rPr>
        <w:t xml:space="preserve"> </w:t>
      </w:r>
      <w:r w:rsidRPr="00454CFF">
        <w:rPr>
          <w:rFonts w:ascii="Garamond" w:hAnsi="Garamond"/>
          <w:iCs/>
          <w:color w:val="000000"/>
        </w:rPr>
        <w:t>The fiscal policy’s impact on aggregate demand for 2017 has been estimated, using th</w:t>
      </w:r>
      <w:r w:rsidRPr="00454CFF">
        <w:rPr>
          <w:rFonts w:ascii="Garamond" w:hAnsi="Garamond"/>
          <w:bCs/>
          <w:iCs/>
        </w:rPr>
        <w:t>e indicators of the Republic of Armenia Law on “State Budget 2017” and revenue and expenditure figures adjusted under selected RA Government decrees as well as the Central Bank forecasts</w:t>
      </w:r>
      <w:r w:rsidRPr="00454CFF">
        <w:rPr>
          <w:rFonts w:ascii="Garamond" w:hAnsi="Garamond"/>
          <w:iCs/>
          <w:color w:val="000000"/>
        </w:rPr>
        <w:t xml:space="preserve">. </w:t>
      </w:r>
      <w:r w:rsidRPr="00454CFF">
        <w:rPr>
          <w:rFonts w:ascii="Garamond" w:hAnsi="Garamond"/>
        </w:rPr>
        <w:t>The indicators defined under the laws of the state budget are subject to adjustment under selected RA Government decrees, and are placed at the Government’s website://www.e-gov.am.</w:t>
      </w:r>
    </w:p>
  </w:footnote>
  <w:footnote w:id="7">
    <w:p w14:paraId="31BB21D1" w14:textId="77777777" w:rsidR="00CC2306" w:rsidRDefault="00CC2306">
      <w:pPr>
        <w:pStyle w:val="FootnoteText"/>
      </w:pPr>
      <w:r>
        <w:rPr>
          <w:rStyle w:val="FootnoteReference"/>
        </w:rPr>
        <w:t>7</w:t>
      </w:r>
      <w:r>
        <w:t xml:space="preserve"> </w:t>
      </w:r>
      <w:r w:rsidRPr="00454CFF">
        <w:rPr>
          <w:rFonts w:ascii="Garamond" w:hAnsi="Garamond"/>
        </w:rPr>
        <w:t>The 2017 GDP is the Central Bank estimate.</w:t>
      </w:r>
    </w:p>
  </w:footnote>
  <w:footnote w:id="8">
    <w:p w14:paraId="730D2C22" w14:textId="77777777" w:rsidR="00CC2306" w:rsidRPr="00031B30" w:rsidRDefault="00CC2306" w:rsidP="008369E9">
      <w:pPr>
        <w:pStyle w:val="FootnoteText"/>
        <w:jc w:val="both"/>
        <w:rPr>
          <w:rFonts w:ascii="Garamond" w:hAnsi="Garamond"/>
        </w:rPr>
      </w:pPr>
      <w:r w:rsidRPr="00454CFF">
        <w:rPr>
          <w:rStyle w:val="FootnoteReference"/>
          <w:rFonts w:ascii="Garamond" w:hAnsi="Garamond"/>
        </w:rPr>
        <w:t>8</w:t>
      </w:r>
      <w:r w:rsidRPr="00454CFF">
        <w:rPr>
          <w:rFonts w:ascii="Garamond" w:hAnsi="Garamond"/>
        </w:rPr>
        <w:t xml:space="preserve"> </w:t>
      </w:r>
      <w:r w:rsidRPr="00454CFF">
        <w:rPr>
          <w:rFonts w:ascii="Garamond" w:hAnsi="Garamond"/>
          <w:bCs/>
          <w:iCs/>
        </w:rPr>
        <w:t xml:space="preserve">The fiscal policy’s forecast horizon is based on the main indicators </w:t>
      </w:r>
      <w:r>
        <w:rPr>
          <w:rFonts w:ascii="Garamond" w:hAnsi="Garamond"/>
          <w:bCs/>
          <w:iCs/>
        </w:rPr>
        <w:t>that</w:t>
      </w:r>
      <w:r w:rsidRPr="00454CFF">
        <w:rPr>
          <w:rFonts w:ascii="Garamond" w:hAnsi="Garamond"/>
          <w:bCs/>
          <w:iCs/>
        </w:rPr>
        <w:t xml:space="preserve"> underlie </w:t>
      </w:r>
      <w:r w:rsidRPr="00454CFF">
        <w:rPr>
          <w:rFonts w:ascii="Garamond" w:hAnsi="Garamond" w:cs="Sylfaen"/>
          <w:iCs/>
          <w:color w:val="000000"/>
        </w:rPr>
        <w:t xml:space="preserve">the </w:t>
      </w:r>
      <w:r w:rsidRPr="00454CFF">
        <w:rPr>
          <w:rFonts w:ascii="Garamond" w:hAnsi="Garamond"/>
          <w:bCs/>
          <w:iCs/>
        </w:rPr>
        <w:t>Republic of Armenia “Medium-Term Public Expenditures Program for 2018-2020”.</w:t>
      </w:r>
    </w:p>
  </w:footnote>
  <w:footnote w:id="9">
    <w:p w14:paraId="5B63130E" w14:textId="77777777" w:rsidR="00CC2306" w:rsidRPr="001805F5" w:rsidRDefault="00CC2306" w:rsidP="001805F5">
      <w:pPr>
        <w:pStyle w:val="FootnoteText"/>
        <w:jc w:val="both"/>
        <w:rPr>
          <w:rFonts w:ascii="Garamond" w:hAnsi="Garamond"/>
        </w:rPr>
      </w:pPr>
      <w:r>
        <w:rPr>
          <w:rStyle w:val="FootnoteReference"/>
        </w:rPr>
        <w:t>10</w:t>
      </w:r>
      <w:r w:rsidRPr="001805F5">
        <w:rPr>
          <w:rFonts w:ascii="Garamond" w:hAnsi="Garamond"/>
        </w:rPr>
        <w:t xml:space="preserve"> </w:t>
      </w:r>
      <w:r>
        <w:rPr>
          <w:rFonts w:ascii="Garamond" w:hAnsi="Garamond"/>
        </w:rPr>
        <w:t xml:space="preserve">Some </w:t>
      </w:r>
      <w:r w:rsidRPr="001805F5">
        <w:rPr>
          <w:rFonts w:ascii="Garamond" w:hAnsi="Garamond"/>
        </w:rPr>
        <w:t xml:space="preserve">statistical discrepancy between the </w:t>
      </w:r>
      <w:r>
        <w:rPr>
          <w:rFonts w:ascii="Garamond" w:hAnsi="Garamond"/>
        </w:rPr>
        <w:t xml:space="preserve">grand sum of certain commodity items’ </w:t>
      </w:r>
      <w:r w:rsidRPr="001805F5">
        <w:rPr>
          <w:rFonts w:ascii="Garamond" w:hAnsi="Garamond"/>
        </w:rPr>
        <w:t>contribution to</w:t>
      </w:r>
      <w:r>
        <w:rPr>
          <w:rFonts w:ascii="Garamond" w:hAnsi="Garamond"/>
        </w:rPr>
        <w:t xml:space="preserve"> inflation and the </w:t>
      </w:r>
      <w:r w:rsidRPr="001805F5">
        <w:rPr>
          <w:rFonts w:ascii="Garamond" w:hAnsi="Garamond"/>
        </w:rPr>
        <w:t>official</w:t>
      </w:r>
      <w:r>
        <w:rPr>
          <w:rFonts w:ascii="Garamond" w:hAnsi="Garamond"/>
        </w:rPr>
        <w:t>ly published</w:t>
      </w:r>
      <w:r w:rsidRPr="001805F5">
        <w:rPr>
          <w:rFonts w:ascii="Garamond" w:hAnsi="Garamond"/>
        </w:rPr>
        <w:t xml:space="preserve"> </w:t>
      </w:r>
      <w:r>
        <w:rPr>
          <w:rFonts w:ascii="Garamond" w:hAnsi="Garamond"/>
        </w:rPr>
        <w:t xml:space="preserve">headline inflation may exist due to the characteristics of </w:t>
      </w:r>
      <w:r w:rsidRPr="001805F5">
        <w:rPr>
          <w:rFonts w:ascii="Garamond" w:hAnsi="Garamond"/>
        </w:rPr>
        <w:t>statistical methodology</w:t>
      </w:r>
      <w:r>
        <w:rPr>
          <w:rFonts w:ascii="Garamond" w:hAnsi="Garamond"/>
        </w:rPr>
        <w:t xml:space="preserve"> for inflation calculation</w:t>
      </w:r>
      <w:r w:rsidRPr="001805F5">
        <w:rPr>
          <w:rFonts w:ascii="Garamond" w:hAnsi="Garamond"/>
        </w:rPr>
        <w:t>.</w:t>
      </w:r>
    </w:p>
  </w:footnote>
  <w:footnote w:id="10">
    <w:p w14:paraId="02DEDFEC" w14:textId="77777777" w:rsidR="00CC2306" w:rsidRPr="009C2884" w:rsidRDefault="00CC2306" w:rsidP="009C2884">
      <w:pPr>
        <w:pStyle w:val="FootnoteText"/>
        <w:jc w:val="both"/>
        <w:rPr>
          <w:rFonts w:ascii="Garamond" w:eastAsia="Calibri" w:hAnsi="Garamond" w:cs="Sylfaen"/>
          <w:lang w:val="hy-AM"/>
        </w:rPr>
      </w:pPr>
      <w:r>
        <w:rPr>
          <w:rStyle w:val="FootnoteReference"/>
        </w:rPr>
        <w:t>12</w:t>
      </w:r>
      <w:r w:rsidRPr="009C2884">
        <w:rPr>
          <w:rFonts w:ascii="Garamond" w:hAnsi="Garamond"/>
        </w:rPr>
        <w:t xml:space="preserve"> </w:t>
      </w:r>
      <w:r w:rsidRPr="009C2884">
        <w:rPr>
          <w:rFonts w:ascii="Garamond" w:eastAsia="Calibri" w:hAnsi="Garamond" w:cs="Sylfaen"/>
        </w:rPr>
        <w:t>T</w:t>
      </w:r>
      <w:r w:rsidRPr="009C2884">
        <w:rPr>
          <w:rFonts w:ascii="Garamond" w:hAnsi="Garamond"/>
        </w:rPr>
        <w:t>he price index change for January-</w:t>
      </w:r>
      <w:r>
        <w:rPr>
          <w:rFonts w:ascii="Garamond" w:hAnsi="Garamond"/>
        </w:rPr>
        <w:t>June</w:t>
      </w:r>
      <w:r w:rsidRPr="009C2884">
        <w:rPr>
          <w:rFonts w:ascii="Garamond" w:hAnsi="Garamond"/>
        </w:rPr>
        <w:t xml:space="preserve"> 201</w:t>
      </w:r>
      <w:r>
        <w:rPr>
          <w:rFonts w:ascii="Garamond" w:hAnsi="Garamond"/>
        </w:rPr>
        <w:t>7</w:t>
      </w:r>
      <w:r w:rsidRPr="009C2884">
        <w:rPr>
          <w:rFonts w:ascii="Garamond" w:hAnsi="Garamond"/>
        </w:rPr>
        <w:t xml:space="preserve"> is relative to the same reference period last year, unless otherwise specified.</w:t>
      </w:r>
    </w:p>
  </w:footnote>
  <w:footnote w:id="11">
    <w:p w14:paraId="3B41206D" w14:textId="77777777" w:rsidR="00CC2306" w:rsidRPr="00EC0F2E" w:rsidRDefault="00CC2306" w:rsidP="00EC0F2E">
      <w:pPr>
        <w:pStyle w:val="FootnoteText"/>
        <w:jc w:val="both"/>
        <w:rPr>
          <w:rFonts w:ascii="Garamond" w:hAnsi="Garamond"/>
        </w:rPr>
      </w:pPr>
      <w:r>
        <w:rPr>
          <w:rStyle w:val="FootnoteReference"/>
        </w:rPr>
        <w:t>13</w:t>
      </w:r>
      <w:r w:rsidRPr="00EC0F2E">
        <w:rPr>
          <w:rFonts w:ascii="Garamond" w:hAnsi="Garamond"/>
        </w:rPr>
        <w:t xml:space="preserve"> The </w:t>
      </w:r>
      <w:r>
        <w:rPr>
          <w:rFonts w:ascii="Garamond" w:hAnsi="Garamond"/>
        </w:rPr>
        <w:t xml:space="preserve">GDP and economic sectors’ value added growth </w:t>
      </w:r>
      <w:r w:rsidRPr="00EC0F2E">
        <w:rPr>
          <w:rFonts w:ascii="Garamond" w:hAnsi="Garamond"/>
        </w:rPr>
        <w:t xml:space="preserve">indicators </w:t>
      </w:r>
      <w:r>
        <w:rPr>
          <w:rFonts w:ascii="Garamond" w:hAnsi="Garamond"/>
        </w:rPr>
        <w:t xml:space="preserve">for </w:t>
      </w:r>
      <w:r w:rsidRPr="00EC0F2E">
        <w:rPr>
          <w:rFonts w:ascii="Garamond" w:hAnsi="Garamond"/>
        </w:rPr>
        <w:t>January-</w:t>
      </w:r>
      <w:r>
        <w:rPr>
          <w:rFonts w:ascii="Garamond" w:hAnsi="Garamond"/>
        </w:rPr>
        <w:t>June</w:t>
      </w:r>
      <w:r w:rsidRPr="00EC0F2E">
        <w:rPr>
          <w:rFonts w:ascii="Garamond" w:hAnsi="Garamond"/>
        </w:rPr>
        <w:t xml:space="preserve"> 201</w:t>
      </w:r>
      <w:r>
        <w:rPr>
          <w:rFonts w:ascii="Garamond" w:hAnsi="Garamond"/>
        </w:rPr>
        <w:t>7</w:t>
      </w:r>
      <w:r w:rsidRPr="00EC0F2E">
        <w:rPr>
          <w:rFonts w:ascii="Garamond" w:hAnsi="Garamond"/>
        </w:rPr>
        <w:t xml:space="preserve"> are the C</w:t>
      </w:r>
      <w:r>
        <w:rPr>
          <w:rFonts w:ascii="Garamond" w:hAnsi="Garamond"/>
        </w:rPr>
        <w:t xml:space="preserve">entral Bank estimates, </w:t>
      </w:r>
      <w:r w:rsidRPr="00EC0F2E">
        <w:rPr>
          <w:rFonts w:ascii="Garamond" w:hAnsi="Garamond"/>
        </w:rPr>
        <w:t>unless otherwise specified.</w:t>
      </w:r>
    </w:p>
  </w:footnote>
  <w:footnote w:id="12">
    <w:p w14:paraId="4C85B836" w14:textId="77777777" w:rsidR="00CC2306" w:rsidRPr="0065044E" w:rsidRDefault="00CC2306" w:rsidP="00E37AEA">
      <w:pPr>
        <w:pStyle w:val="FootnoteText"/>
        <w:jc w:val="both"/>
        <w:rPr>
          <w:rFonts w:ascii="Garamond" w:hAnsi="Garamond"/>
        </w:rPr>
      </w:pPr>
      <w:r>
        <w:rPr>
          <w:rStyle w:val="FootnoteReference"/>
        </w:rPr>
        <w:t>14</w:t>
      </w:r>
      <w:r w:rsidRPr="0065044E">
        <w:rPr>
          <w:rFonts w:ascii="Garamond" w:hAnsi="Garamond"/>
        </w:rPr>
        <w:t xml:space="preserve"> The private spending, private consumption and private investment indicators for the </w:t>
      </w:r>
      <w:r>
        <w:rPr>
          <w:rFonts w:ascii="Garamond" w:hAnsi="Garamond"/>
        </w:rPr>
        <w:t xml:space="preserve">second </w:t>
      </w:r>
      <w:r w:rsidRPr="0065044E">
        <w:rPr>
          <w:rFonts w:ascii="Garamond" w:hAnsi="Garamond"/>
        </w:rPr>
        <w:t>quarter of 201</w:t>
      </w:r>
      <w:r>
        <w:rPr>
          <w:rFonts w:ascii="Garamond" w:hAnsi="Garamond"/>
        </w:rPr>
        <w:t>7</w:t>
      </w:r>
      <w:r w:rsidRPr="0065044E">
        <w:rPr>
          <w:rFonts w:ascii="Garamond" w:hAnsi="Garamond"/>
        </w:rPr>
        <w:t xml:space="preserve"> are the C</w:t>
      </w:r>
      <w:r>
        <w:rPr>
          <w:rFonts w:ascii="Garamond" w:hAnsi="Garamond"/>
        </w:rPr>
        <w:t xml:space="preserve">entral </w:t>
      </w:r>
      <w:r w:rsidRPr="0065044E">
        <w:rPr>
          <w:rFonts w:ascii="Garamond" w:hAnsi="Garamond"/>
        </w:rPr>
        <w:t>B</w:t>
      </w:r>
      <w:r>
        <w:rPr>
          <w:rFonts w:ascii="Garamond" w:hAnsi="Garamond"/>
        </w:rPr>
        <w:t>ank</w:t>
      </w:r>
      <w:r w:rsidRPr="0065044E">
        <w:rPr>
          <w:rFonts w:ascii="Garamond" w:hAnsi="Garamond"/>
        </w:rPr>
        <w:t xml:space="preserve"> estimates which are based on the </w:t>
      </w:r>
      <w:r>
        <w:rPr>
          <w:rFonts w:ascii="Garamond" w:hAnsi="Garamond"/>
        </w:rPr>
        <w:t xml:space="preserve">actual first </w:t>
      </w:r>
      <w:r w:rsidRPr="0065044E">
        <w:rPr>
          <w:rFonts w:ascii="Garamond" w:hAnsi="Garamond"/>
        </w:rPr>
        <w:t>quarter 201</w:t>
      </w:r>
      <w:r>
        <w:rPr>
          <w:rFonts w:ascii="Garamond" w:hAnsi="Garamond"/>
        </w:rPr>
        <w:t>7</w:t>
      </w:r>
      <w:r w:rsidRPr="0065044E">
        <w:rPr>
          <w:rFonts w:ascii="Garamond" w:hAnsi="Garamond"/>
        </w:rPr>
        <w:t xml:space="preserve"> data. The growth estimates provided in this sub-section are relative to the same reference period last year, unless otherwise specified.</w:t>
      </w:r>
    </w:p>
  </w:footnote>
  <w:footnote w:id="13">
    <w:p w14:paraId="40F8CC74" w14:textId="77777777" w:rsidR="00CC2306" w:rsidRPr="00E37AEA" w:rsidRDefault="00CC2306" w:rsidP="00E37AEA">
      <w:pPr>
        <w:pStyle w:val="FootnoteText"/>
        <w:jc w:val="both"/>
        <w:rPr>
          <w:rFonts w:ascii="Garamond" w:hAnsi="Garamond"/>
        </w:rPr>
      </w:pPr>
      <w:r w:rsidRPr="00E37AEA">
        <w:rPr>
          <w:rStyle w:val="FootnoteReference"/>
          <w:rFonts w:ascii="Garamond" w:hAnsi="Garamond"/>
        </w:rPr>
        <w:t>15</w:t>
      </w:r>
      <w:r w:rsidRPr="00E37AEA">
        <w:rPr>
          <w:rFonts w:ascii="Garamond" w:hAnsi="Garamond"/>
        </w:rPr>
        <w:t xml:space="preserve"> It is worth mentioning that the private </w:t>
      </w:r>
      <w:r>
        <w:rPr>
          <w:rFonts w:ascii="Garamond" w:hAnsi="Garamond"/>
        </w:rPr>
        <w:t xml:space="preserve">spending </w:t>
      </w:r>
      <w:r w:rsidRPr="00E37AEA">
        <w:rPr>
          <w:rFonts w:ascii="Garamond" w:hAnsi="Garamond"/>
        </w:rPr>
        <w:t>growth</w:t>
      </w:r>
      <w:r>
        <w:rPr>
          <w:rFonts w:ascii="Garamond" w:hAnsi="Garamond"/>
        </w:rPr>
        <w:t xml:space="preserve"> indicator for 2016 has been revised by</w:t>
      </w:r>
      <w:r w:rsidRPr="00E37AEA">
        <w:rPr>
          <w:rFonts w:ascii="Garamond" w:hAnsi="Garamond"/>
        </w:rPr>
        <w:t xml:space="preserve"> the N</w:t>
      </w:r>
      <w:r>
        <w:rPr>
          <w:rFonts w:ascii="Garamond" w:hAnsi="Garamond"/>
        </w:rPr>
        <w:t xml:space="preserve">ational </w:t>
      </w:r>
      <w:r w:rsidRPr="00E37AEA">
        <w:rPr>
          <w:rFonts w:ascii="Garamond" w:hAnsi="Garamond"/>
        </w:rPr>
        <w:t>S</w:t>
      </w:r>
      <w:r>
        <w:rPr>
          <w:rFonts w:ascii="Garamond" w:hAnsi="Garamond"/>
        </w:rPr>
        <w:t xml:space="preserve">tatistics </w:t>
      </w:r>
      <w:r w:rsidRPr="00E37AEA">
        <w:rPr>
          <w:rFonts w:ascii="Garamond" w:hAnsi="Garamond"/>
        </w:rPr>
        <w:t>S</w:t>
      </w:r>
      <w:r>
        <w:rPr>
          <w:rFonts w:ascii="Garamond" w:hAnsi="Garamond"/>
        </w:rPr>
        <w:t>ervice of Armenia</w:t>
      </w:r>
      <w:r w:rsidRPr="00E37AEA">
        <w:rPr>
          <w:rFonts w:ascii="Garamond" w:hAnsi="Garamond"/>
        </w:rPr>
        <w:t xml:space="preserve">. </w:t>
      </w:r>
      <w:r>
        <w:rPr>
          <w:rFonts w:ascii="Garamond" w:hAnsi="Garamond"/>
        </w:rPr>
        <w:t>The p</w:t>
      </w:r>
      <w:r w:rsidRPr="00E37AEA">
        <w:rPr>
          <w:rFonts w:ascii="Garamond" w:hAnsi="Garamond"/>
        </w:rPr>
        <w:t xml:space="preserve">reviously </w:t>
      </w:r>
      <w:r>
        <w:rPr>
          <w:rFonts w:ascii="Garamond" w:hAnsi="Garamond"/>
        </w:rPr>
        <w:t xml:space="preserve">published </w:t>
      </w:r>
      <w:r w:rsidRPr="00E37AEA">
        <w:rPr>
          <w:rFonts w:ascii="Garamond" w:hAnsi="Garamond"/>
        </w:rPr>
        <w:t xml:space="preserve">1.0% private </w:t>
      </w:r>
      <w:r>
        <w:rPr>
          <w:rFonts w:ascii="Garamond" w:hAnsi="Garamond"/>
        </w:rPr>
        <w:t xml:space="preserve">spending </w:t>
      </w:r>
      <w:r w:rsidRPr="00E37AEA">
        <w:rPr>
          <w:rFonts w:ascii="Garamond" w:hAnsi="Garamond"/>
        </w:rPr>
        <w:t xml:space="preserve">growth </w:t>
      </w:r>
      <w:r>
        <w:rPr>
          <w:rFonts w:ascii="Garamond" w:hAnsi="Garamond"/>
        </w:rPr>
        <w:t xml:space="preserve">indicator has been adjusted </w:t>
      </w:r>
      <w:r w:rsidRPr="00E37AEA">
        <w:rPr>
          <w:rFonts w:ascii="Garamond" w:hAnsi="Garamond"/>
        </w:rPr>
        <w:t xml:space="preserve">as </w:t>
      </w:r>
      <w:r>
        <w:rPr>
          <w:rFonts w:ascii="Garamond" w:hAnsi="Garamond"/>
        </w:rPr>
        <w:t xml:space="preserve">a </w:t>
      </w:r>
      <w:r w:rsidRPr="00E37AEA">
        <w:rPr>
          <w:rFonts w:ascii="Garamond" w:hAnsi="Garamond"/>
        </w:rPr>
        <w:t>1.2% decline.</w:t>
      </w:r>
    </w:p>
  </w:footnote>
  <w:footnote w:id="14">
    <w:p w14:paraId="23C85A01" w14:textId="77777777" w:rsidR="0091146B" w:rsidRPr="0091146B" w:rsidRDefault="0091146B" w:rsidP="0091146B">
      <w:pPr>
        <w:pStyle w:val="FootnoteText"/>
        <w:jc w:val="both"/>
        <w:rPr>
          <w:rFonts w:ascii="Garamond" w:hAnsi="Garamond"/>
        </w:rPr>
      </w:pPr>
      <w:r w:rsidRPr="0091146B">
        <w:rPr>
          <w:rStyle w:val="FootnoteReference"/>
          <w:rFonts w:ascii="Garamond" w:hAnsi="Garamond"/>
        </w:rPr>
        <w:t>16</w:t>
      </w:r>
      <w:r w:rsidRPr="0091146B">
        <w:rPr>
          <w:rFonts w:ascii="Garamond" w:hAnsi="Garamond"/>
        </w:rPr>
        <w:t xml:space="preserve"> The indicators of real growth of export and import are the Central Bank estimates.</w:t>
      </w:r>
    </w:p>
  </w:footnote>
  <w:footnote w:id="15">
    <w:p w14:paraId="5831A65D" w14:textId="77777777" w:rsidR="0091146B" w:rsidRPr="0091146B" w:rsidRDefault="0091146B" w:rsidP="0091146B">
      <w:pPr>
        <w:pStyle w:val="FootnoteText"/>
        <w:jc w:val="both"/>
        <w:rPr>
          <w:rFonts w:ascii="Garamond" w:hAnsi="Garamond"/>
        </w:rPr>
      </w:pPr>
      <w:r w:rsidRPr="0091146B">
        <w:rPr>
          <w:rStyle w:val="FootnoteReference"/>
          <w:rFonts w:ascii="Garamond" w:hAnsi="Garamond"/>
        </w:rPr>
        <w:t>17</w:t>
      </w:r>
      <w:r w:rsidRPr="0091146B">
        <w:rPr>
          <w:rFonts w:ascii="Garamond" w:hAnsi="Garamond"/>
        </w:rPr>
        <w:t xml:space="preserve"> </w:t>
      </w:r>
      <w:r>
        <w:rPr>
          <w:rFonts w:ascii="Garamond" w:hAnsi="Garamond"/>
        </w:rPr>
        <w:t>The</w:t>
      </w:r>
      <w:r w:rsidRPr="0091146B">
        <w:rPr>
          <w:rFonts w:ascii="Garamond" w:hAnsi="Garamond"/>
        </w:rPr>
        <w:t xml:space="preserve"> humanitarian aid</w:t>
      </w:r>
      <w:r>
        <w:rPr>
          <w:rFonts w:ascii="Garamond" w:hAnsi="Garamond"/>
        </w:rPr>
        <w:t xml:space="preserve"> excluded</w:t>
      </w:r>
      <w:r w:rsidRPr="0091146B">
        <w:rPr>
          <w:rFonts w:ascii="Garamond" w:hAnsi="Garamond"/>
        </w:rPr>
        <w:t xml:space="preserve">, the real growth of import in the second quarter </w:t>
      </w:r>
      <w:r>
        <w:rPr>
          <w:rFonts w:ascii="Garamond" w:hAnsi="Garamond"/>
        </w:rPr>
        <w:t xml:space="preserve">of 2017 amounted to </w:t>
      </w:r>
      <w:r w:rsidRPr="0091146B">
        <w:rPr>
          <w:rFonts w:ascii="Garamond" w:hAnsi="Garamond"/>
        </w:rPr>
        <w:t xml:space="preserve">19.5% </w:t>
      </w:r>
      <w:r>
        <w:rPr>
          <w:rFonts w:ascii="Garamond" w:hAnsi="Garamond"/>
        </w:rPr>
        <w:t>y/y</w:t>
      </w:r>
      <w:r w:rsidRPr="0091146B">
        <w:rPr>
          <w:rFonts w:ascii="Garamond" w:hAnsi="Garamond"/>
        </w:rPr>
        <w:t>.</w:t>
      </w:r>
    </w:p>
  </w:footnote>
  <w:footnote w:id="16">
    <w:p w14:paraId="03C81B00" w14:textId="77777777" w:rsidR="00CC2306" w:rsidRPr="002847C1" w:rsidRDefault="00CC2306" w:rsidP="002847C1">
      <w:pPr>
        <w:pStyle w:val="FootnoteText"/>
        <w:jc w:val="both"/>
        <w:rPr>
          <w:rFonts w:ascii="Garamond" w:hAnsi="Garamond"/>
        </w:rPr>
      </w:pPr>
      <w:r>
        <w:rPr>
          <w:rStyle w:val="FootnoteReference"/>
        </w:rPr>
        <w:t>18</w:t>
      </w:r>
      <w:r w:rsidRPr="002847C1">
        <w:rPr>
          <w:rFonts w:ascii="Garamond" w:hAnsi="Garamond"/>
        </w:rPr>
        <w:t xml:space="preserve"> The labor market data for the </w:t>
      </w:r>
      <w:r w:rsidR="001F1CFF">
        <w:rPr>
          <w:rFonts w:ascii="Garamond" w:hAnsi="Garamond"/>
        </w:rPr>
        <w:t>second</w:t>
      </w:r>
      <w:r>
        <w:rPr>
          <w:rFonts w:ascii="Garamond" w:hAnsi="Garamond"/>
        </w:rPr>
        <w:t xml:space="preserve"> </w:t>
      </w:r>
      <w:r w:rsidRPr="002847C1">
        <w:rPr>
          <w:rFonts w:ascii="Garamond" w:hAnsi="Garamond"/>
        </w:rPr>
        <w:t>quarter of 201</w:t>
      </w:r>
      <w:r>
        <w:rPr>
          <w:rFonts w:ascii="Garamond" w:hAnsi="Garamond"/>
        </w:rPr>
        <w:t>7</w:t>
      </w:r>
      <w:r w:rsidRPr="002847C1">
        <w:rPr>
          <w:rFonts w:ascii="Garamond" w:hAnsi="Garamond"/>
        </w:rPr>
        <w:t xml:space="preserve"> are the C</w:t>
      </w:r>
      <w:r>
        <w:rPr>
          <w:rFonts w:ascii="Garamond" w:hAnsi="Garamond"/>
        </w:rPr>
        <w:t xml:space="preserve">entral </w:t>
      </w:r>
      <w:r w:rsidRPr="002847C1">
        <w:rPr>
          <w:rFonts w:ascii="Garamond" w:hAnsi="Garamond"/>
        </w:rPr>
        <w:t>B</w:t>
      </w:r>
      <w:r>
        <w:rPr>
          <w:rFonts w:ascii="Garamond" w:hAnsi="Garamond"/>
        </w:rPr>
        <w:t xml:space="preserve">ank </w:t>
      </w:r>
      <w:r w:rsidRPr="002847C1">
        <w:rPr>
          <w:rFonts w:ascii="Garamond" w:hAnsi="Garamond"/>
        </w:rPr>
        <w:t xml:space="preserve">estimates which are based on the </w:t>
      </w:r>
      <w:r>
        <w:rPr>
          <w:rFonts w:ascii="Garamond" w:hAnsi="Garamond"/>
        </w:rPr>
        <w:t>f</w:t>
      </w:r>
      <w:r w:rsidR="001F1CFF">
        <w:rPr>
          <w:rFonts w:ascii="Garamond" w:hAnsi="Garamond"/>
        </w:rPr>
        <w:t>irst</w:t>
      </w:r>
      <w:r>
        <w:rPr>
          <w:rFonts w:ascii="Garamond" w:hAnsi="Garamond"/>
        </w:rPr>
        <w:t xml:space="preserve"> quarter 201</w:t>
      </w:r>
      <w:r w:rsidR="001F1CFF">
        <w:rPr>
          <w:rFonts w:ascii="Garamond" w:hAnsi="Garamond"/>
        </w:rPr>
        <w:t>7</w:t>
      </w:r>
      <w:r w:rsidRPr="002847C1">
        <w:rPr>
          <w:rFonts w:ascii="Garamond" w:hAnsi="Garamond"/>
        </w:rPr>
        <w:t xml:space="preserve"> data and actual </w:t>
      </w:r>
      <w:r>
        <w:rPr>
          <w:rFonts w:ascii="Garamond" w:hAnsi="Garamond"/>
        </w:rPr>
        <w:t>January</w:t>
      </w:r>
      <w:r w:rsidRPr="002847C1">
        <w:rPr>
          <w:rFonts w:ascii="Garamond" w:hAnsi="Garamond"/>
        </w:rPr>
        <w:t>-</w:t>
      </w:r>
      <w:r w:rsidR="001F1CFF">
        <w:rPr>
          <w:rFonts w:ascii="Garamond" w:hAnsi="Garamond"/>
        </w:rPr>
        <w:t>June</w:t>
      </w:r>
      <w:r w:rsidRPr="002847C1">
        <w:rPr>
          <w:rFonts w:ascii="Garamond" w:hAnsi="Garamond"/>
        </w:rPr>
        <w:t xml:space="preserve"> 201</w:t>
      </w:r>
      <w:r>
        <w:rPr>
          <w:rFonts w:ascii="Garamond" w:hAnsi="Garamond"/>
        </w:rPr>
        <w:t>7</w:t>
      </w:r>
      <w:r w:rsidRPr="002847C1">
        <w:rPr>
          <w:rFonts w:ascii="Garamond" w:hAnsi="Garamond"/>
        </w:rPr>
        <w:t xml:space="preserve"> figures. The growth indicators provided in this sub-section are relative to the same reference period last year, unless otherwise specified.</w:t>
      </w:r>
    </w:p>
  </w:footnote>
  <w:footnote w:id="17">
    <w:p w14:paraId="2EC080FB" w14:textId="77777777" w:rsidR="00CC2306" w:rsidRPr="008134CD" w:rsidRDefault="00CC2306" w:rsidP="008D531F">
      <w:pPr>
        <w:pStyle w:val="FootnoteText"/>
        <w:jc w:val="both"/>
        <w:rPr>
          <w:rFonts w:ascii="Garamond" w:hAnsi="Garamond"/>
        </w:rPr>
      </w:pPr>
      <w:r>
        <w:rPr>
          <w:rStyle w:val="FootnoteReference"/>
        </w:rPr>
        <w:t>19</w:t>
      </w:r>
      <w:r>
        <w:t xml:space="preserve"> </w:t>
      </w:r>
      <w:r w:rsidRPr="008D531F">
        <w:rPr>
          <w:rFonts w:ascii="Garamond" w:hAnsi="Garamond"/>
          <w:iCs/>
        </w:rPr>
        <w:t xml:space="preserve">The review of the fiscal sector was done using preliminary actual consolidated budget indicators </w:t>
      </w:r>
      <w:r>
        <w:rPr>
          <w:rFonts w:ascii="Garamond" w:hAnsi="Garamond"/>
          <w:iCs/>
        </w:rPr>
        <w:t xml:space="preserve">(local budgets as an estimate) </w:t>
      </w:r>
      <w:r w:rsidRPr="008D531F">
        <w:rPr>
          <w:rFonts w:ascii="Garamond" w:hAnsi="Garamond"/>
          <w:iCs/>
        </w:rPr>
        <w:t xml:space="preserve">prepared on the basis of preliminary actual indicators of the </w:t>
      </w:r>
      <w:r w:rsidR="00D73A68">
        <w:rPr>
          <w:rFonts w:ascii="Garamond" w:hAnsi="Garamond"/>
          <w:iCs/>
        </w:rPr>
        <w:t>second</w:t>
      </w:r>
      <w:r>
        <w:rPr>
          <w:rFonts w:ascii="Garamond" w:hAnsi="Garamond"/>
          <w:iCs/>
        </w:rPr>
        <w:t xml:space="preserve"> quarter of 2017</w:t>
      </w:r>
      <w:r w:rsidRPr="008D531F">
        <w:rPr>
          <w:rFonts w:ascii="Garamond" w:hAnsi="Garamond"/>
          <w:iCs/>
        </w:rPr>
        <w:t xml:space="preserve"> (PIU funds included), excluding off-budgetary funds. The impact of revenues was calculated in respect of the nominal GDP indicator while the </w:t>
      </w:r>
      <w:r w:rsidRPr="008134CD">
        <w:rPr>
          <w:rFonts w:ascii="Garamond" w:hAnsi="Garamond"/>
          <w:iCs/>
        </w:rPr>
        <w:t>impact of expenditures, in respect of an estimated economic potential.</w:t>
      </w:r>
    </w:p>
  </w:footnote>
  <w:footnote w:id="18">
    <w:p w14:paraId="2A20D695" w14:textId="77777777" w:rsidR="008134CD" w:rsidRPr="008134CD" w:rsidRDefault="008134CD" w:rsidP="008134CD">
      <w:pPr>
        <w:pStyle w:val="FootnoteText"/>
        <w:jc w:val="both"/>
        <w:rPr>
          <w:rFonts w:ascii="Garamond" w:hAnsi="Garamond"/>
        </w:rPr>
      </w:pPr>
      <w:r w:rsidRPr="008134CD">
        <w:rPr>
          <w:rStyle w:val="FootnoteReference"/>
          <w:rFonts w:ascii="Garamond" w:hAnsi="Garamond"/>
        </w:rPr>
        <w:t>20</w:t>
      </w:r>
      <w:r w:rsidRPr="008134CD">
        <w:rPr>
          <w:rFonts w:ascii="Garamond" w:hAnsi="Garamond"/>
        </w:rPr>
        <w:t xml:space="preserve"> The revenue forecast coincided with the adjusted quarterly budgetary plans.</w:t>
      </w:r>
    </w:p>
  </w:footnote>
  <w:footnote w:id="19">
    <w:p w14:paraId="48D4CAD9" w14:textId="77777777" w:rsidR="00787F74" w:rsidRPr="00A73DC7" w:rsidRDefault="00787F74" w:rsidP="00A73DC7">
      <w:pPr>
        <w:pStyle w:val="FootnoteText"/>
        <w:jc w:val="both"/>
        <w:rPr>
          <w:rFonts w:ascii="Garamond" w:hAnsi="Garamond" w:cs="Calibri"/>
        </w:rPr>
      </w:pPr>
      <w:r>
        <w:rPr>
          <w:rStyle w:val="FootnoteReference"/>
        </w:rPr>
        <w:t>21</w:t>
      </w:r>
      <w:r w:rsidRPr="00A73DC7">
        <w:rPr>
          <w:rFonts w:ascii="Garamond" w:hAnsi="Garamond" w:cs="Calibri"/>
        </w:rPr>
        <w:t xml:space="preserve"> Repo transactions with 1-14-day maturities constituted 9</w:t>
      </w:r>
      <w:r>
        <w:rPr>
          <w:rFonts w:ascii="Garamond" w:hAnsi="Garamond" w:cs="Calibri"/>
        </w:rPr>
        <w:t>3</w:t>
      </w:r>
      <w:r w:rsidRPr="00A73DC7">
        <w:rPr>
          <w:rFonts w:ascii="Garamond" w:hAnsi="Garamond" w:cs="Calibri"/>
        </w:rPr>
        <w:t xml:space="preserve">% of interbank repo transactions in the </w:t>
      </w:r>
      <w:r>
        <w:rPr>
          <w:rFonts w:ascii="Garamond" w:hAnsi="Garamond" w:cs="Calibri"/>
        </w:rPr>
        <w:t>second</w:t>
      </w:r>
      <w:r w:rsidRPr="00A73DC7">
        <w:rPr>
          <w:rFonts w:ascii="Garamond" w:hAnsi="Garamond" w:cs="Calibri"/>
        </w:rPr>
        <w:t xml:space="preserve"> quarter of 2017.</w:t>
      </w:r>
    </w:p>
  </w:footnote>
  <w:footnote w:id="20">
    <w:p w14:paraId="2676D3EE" w14:textId="77777777" w:rsidR="004A7BBD" w:rsidRPr="00277BE5" w:rsidRDefault="004A7BBD" w:rsidP="004A7BBD">
      <w:pPr>
        <w:pStyle w:val="FootnoteText"/>
        <w:jc w:val="both"/>
        <w:rPr>
          <w:rFonts w:ascii="Garamond" w:hAnsi="Garamond"/>
        </w:rPr>
      </w:pPr>
      <w:r>
        <w:rPr>
          <w:rStyle w:val="FootnoteReference"/>
        </w:rPr>
        <w:t>22</w:t>
      </w:r>
      <w:r>
        <w:t xml:space="preserve"> </w:t>
      </w:r>
      <w:r w:rsidRPr="00277BE5">
        <w:rPr>
          <w:rFonts w:ascii="Garamond" w:hAnsi="Garamond"/>
        </w:rPr>
        <w:t xml:space="preserve">The </w:t>
      </w:r>
      <w:r>
        <w:rPr>
          <w:rFonts w:ascii="Garamond" w:hAnsi="Garamond"/>
        </w:rPr>
        <w:t xml:space="preserve">second </w:t>
      </w:r>
      <w:r w:rsidRPr="00277BE5">
        <w:rPr>
          <w:rFonts w:ascii="Garamond" w:hAnsi="Garamond"/>
        </w:rPr>
        <w:t>quarter 201</w:t>
      </w:r>
      <w:r>
        <w:rPr>
          <w:rFonts w:ascii="Garamond" w:hAnsi="Garamond"/>
        </w:rPr>
        <w:t>7</w:t>
      </w:r>
      <w:r w:rsidRPr="00277BE5">
        <w:rPr>
          <w:rFonts w:ascii="Garamond" w:hAnsi="Garamond"/>
        </w:rPr>
        <w:t xml:space="preserve"> indicator of the real exchange rate is the C</w:t>
      </w:r>
      <w:r>
        <w:rPr>
          <w:rFonts w:ascii="Garamond" w:hAnsi="Garamond"/>
        </w:rPr>
        <w:t xml:space="preserve">entral </w:t>
      </w:r>
      <w:r w:rsidRPr="00277BE5">
        <w:rPr>
          <w:rFonts w:ascii="Garamond" w:hAnsi="Garamond"/>
        </w:rPr>
        <w:t>B</w:t>
      </w:r>
      <w:r>
        <w:rPr>
          <w:rFonts w:ascii="Garamond" w:hAnsi="Garamond"/>
        </w:rPr>
        <w:t xml:space="preserve">ank </w:t>
      </w:r>
      <w:r w:rsidRPr="00277BE5">
        <w:rPr>
          <w:rFonts w:ascii="Garamond" w:hAnsi="Garamond"/>
        </w:rPr>
        <w:t>estimate.</w:t>
      </w:r>
    </w:p>
  </w:footnote>
  <w:footnote w:id="21">
    <w:p w14:paraId="37AD16EC" w14:textId="77777777" w:rsidR="004A7BBD" w:rsidRPr="00F238BA" w:rsidRDefault="004A7BBD" w:rsidP="004A7BBD">
      <w:pPr>
        <w:pStyle w:val="FootnoteText"/>
        <w:jc w:val="both"/>
        <w:rPr>
          <w:rFonts w:ascii="Garamond" w:hAnsi="Garamond"/>
        </w:rPr>
      </w:pPr>
      <w:r w:rsidRPr="00F238BA">
        <w:rPr>
          <w:rStyle w:val="FootnoteReference"/>
          <w:rFonts w:ascii="Garamond" w:hAnsi="Garamond"/>
        </w:rPr>
        <w:t>23</w:t>
      </w:r>
      <w:r w:rsidRPr="00F238BA">
        <w:rPr>
          <w:rFonts w:ascii="Garamond" w:hAnsi="Garamond"/>
        </w:rPr>
        <w:t xml:space="preserve"> The second quarter 2017 balance of payments</w:t>
      </w:r>
      <w:r w:rsidRPr="00F238BA">
        <w:rPr>
          <w:rFonts w:ascii="Garamond" w:hAnsi="Garamond"/>
          <w:lang w:val="hy-AM"/>
        </w:rPr>
        <w:t xml:space="preserve"> </w:t>
      </w:r>
      <w:r w:rsidRPr="00F238BA">
        <w:rPr>
          <w:rFonts w:ascii="Garamond" w:hAnsi="Garamond"/>
        </w:rPr>
        <w:t>will be published at the end of September 2017, according to the timetable. The second quarter 2017 indicators are the Central Bank’s forecasts and estimates.</w:t>
      </w:r>
    </w:p>
  </w:footnote>
  <w:footnote w:id="22">
    <w:p w14:paraId="06551DD3" w14:textId="77777777" w:rsidR="004A7BBD" w:rsidRPr="00F238BA" w:rsidRDefault="004A7BBD" w:rsidP="004A7BBD">
      <w:pPr>
        <w:pStyle w:val="FootnoteText"/>
        <w:jc w:val="both"/>
        <w:rPr>
          <w:rFonts w:ascii="Garamond" w:hAnsi="Garamond"/>
        </w:rPr>
      </w:pPr>
      <w:r w:rsidRPr="00F238BA">
        <w:rPr>
          <w:rStyle w:val="FootnoteReference"/>
          <w:rFonts w:ascii="Garamond" w:hAnsi="Garamond"/>
        </w:rPr>
        <w:t>24</w:t>
      </w:r>
      <w:r w:rsidRPr="00F238BA">
        <w:rPr>
          <w:rFonts w:ascii="Garamond" w:hAnsi="Garamond"/>
        </w:rPr>
        <w:t xml:space="preserve"> The export and import indicators are represented on a balance-of-payments basis, i.e. by credit and debit, respectively.</w:t>
      </w:r>
    </w:p>
  </w:footnote>
  <w:footnote w:id="23">
    <w:p w14:paraId="0A65E313" w14:textId="77777777" w:rsidR="004A7BBD" w:rsidRPr="00F238BA" w:rsidRDefault="004A7BBD" w:rsidP="004A7BBD">
      <w:pPr>
        <w:pStyle w:val="FootnoteText"/>
        <w:jc w:val="both"/>
        <w:rPr>
          <w:rFonts w:ascii="Garamond" w:hAnsi="Garamond"/>
        </w:rPr>
      </w:pPr>
      <w:r w:rsidRPr="00F238BA">
        <w:rPr>
          <w:rStyle w:val="FootnoteReference"/>
          <w:rFonts w:ascii="Garamond" w:hAnsi="Garamond"/>
        </w:rPr>
        <w:t>25</w:t>
      </w:r>
      <w:r w:rsidRPr="00F238BA">
        <w:rPr>
          <w:rFonts w:ascii="Garamond" w:hAnsi="Garamond"/>
        </w:rPr>
        <w:t xml:space="preserve"> </w:t>
      </w:r>
      <w:r>
        <w:rPr>
          <w:rFonts w:ascii="Garamond" w:hAnsi="Garamond"/>
        </w:rPr>
        <w:t xml:space="preserve">A </w:t>
      </w:r>
      <w:r w:rsidRPr="00F238BA">
        <w:rPr>
          <w:rFonts w:ascii="Garamond" w:hAnsi="Garamond"/>
        </w:rPr>
        <w:t xml:space="preserve">considerable amount of humanitarian aid in the amount of </w:t>
      </w:r>
      <w:r>
        <w:rPr>
          <w:rFonts w:ascii="Garamond" w:hAnsi="Garamond"/>
        </w:rPr>
        <w:t xml:space="preserve">USD </w:t>
      </w:r>
      <w:r w:rsidRPr="00F238BA">
        <w:rPr>
          <w:rFonts w:ascii="Garamond" w:hAnsi="Garamond"/>
        </w:rPr>
        <w:t>70.0 million</w:t>
      </w:r>
      <w:r>
        <w:rPr>
          <w:rFonts w:ascii="Garamond" w:hAnsi="Garamond"/>
        </w:rPr>
        <w:t xml:space="preserve"> received i</w:t>
      </w:r>
      <w:r w:rsidRPr="00F238BA">
        <w:rPr>
          <w:rFonts w:ascii="Garamond" w:hAnsi="Garamond"/>
        </w:rPr>
        <w:t>n the second quarter</w:t>
      </w:r>
      <w:r>
        <w:rPr>
          <w:rFonts w:ascii="Garamond" w:hAnsi="Garamond"/>
        </w:rPr>
        <w:t xml:space="preserve"> of 2017 was opposed to that of USD </w:t>
      </w:r>
      <w:r w:rsidRPr="00F238BA">
        <w:rPr>
          <w:rFonts w:ascii="Garamond" w:hAnsi="Garamond"/>
        </w:rPr>
        <w:t xml:space="preserve">17.0 million </w:t>
      </w:r>
      <w:r>
        <w:rPr>
          <w:rFonts w:ascii="Garamond" w:hAnsi="Garamond"/>
        </w:rPr>
        <w:t xml:space="preserve">received </w:t>
      </w:r>
      <w:r w:rsidRPr="00F238BA">
        <w:rPr>
          <w:rFonts w:ascii="Garamond" w:hAnsi="Garamond"/>
        </w:rPr>
        <w:t>in the same period last year.</w:t>
      </w:r>
    </w:p>
  </w:footnote>
  <w:footnote w:id="24">
    <w:p w14:paraId="01C504F5" w14:textId="77777777" w:rsidR="004A7BBD" w:rsidRPr="00F20AD9" w:rsidRDefault="004A7BBD" w:rsidP="004A7BBD">
      <w:pPr>
        <w:pStyle w:val="FootnoteText"/>
        <w:jc w:val="both"/>
        <w:rPr>
          <w:rFonts w:ascii="Garamond" w:hAnsi="Garamond"/>
        </w:rPr>
      </w:pPr>
      <w:r w:rsidRPr="00F20AD9">
        <w:rPr>
          <w:rStyle w:val="FootnoteReference"/>
          <w:rFonts w:ascii="Garamond" w:hAnsi="Garamond"/>
        </w:rPr>
        <w:t>26</w:t>
      </w:r>
      <w:r w:rsidRPr="00F20AD9">
        <w:rPr>
          <w:rFonts w:ascii="Garamond" w:hAnsi="Garamond"/>
        </w:rPr>
        <w:t xml:space="preserve"> </w:t>
      </w:r>
      <w:r>
        <w:rPr>
          <w:rFonts w:ascii="Garamond" w:hAnsi="Garamond"/>
        </w:rPr>
        <w:t>The second quarter 2017 actual indicators of the “</w:t>
      </w:r>
      <w:r w:rsidRPr="00F20AD9">
        <w:rPr>
          <w:rFonts w:ascii="Garamond" w:hAnsi="Garamond"/>
        </w:rPr>
        <w:t>Capital and Financial Account</w:t>
      </w:r>
      <w:r>
        <w:rPr>
          <w:rFonts w:ascii="Garamond" w:hAnsi="Garamond"/>
        </w:rPr>
        <w:t>”</w:t>
      </w:r>
      <w:r w:rsidRPr="00F20AD9">
        <w:rPr>
          <w:rFonts w:ascii="Garamond" w:hAnsi="Garamond"/>
        </w:rPr>
        <w:t xml:space="preserve"> will be published in </w:t>
      </w:r>
      <w:r>
        <w:rPr>
          <w:rFonts w:ascii="Garamond" w:hAnsi="Garamond"/>
        </w:rPr>
        <w:t xml:space="preserve">end-September of </w:t>
      </w:r>
      <w:r w:rsidRPr="00F20AD9">
        <w:rPr>
          <w:rFonts w:ascii="Garamond" w:hAnsi="Garamond"/>
        </w:rPr>
        <w:t>2017</w:t>
      </w:r>
      <w:r>
        <w:rPr>
          <w:rFonts w:ascii="Garamond" w:hAnsi="Garamond"/>
        </w:rPr>
        <w:t>, according to the timetable.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0630"/>
    <w:multiLevelType w:val="hybridMultilevel"/>
    <w:tmpl w:val="7CD44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6E34"/>
    <w:rsid w:val="000015E3"/>
    <w:rsid w:val="00001DFD"/>
    <w:rsid w:val="00002453"/>
    <w:rsid w:val="0000246A"/>
    <w:rsid w:val="000036BD"/>
    <w:rsid w:val="00003FDA"/>
    <w:rsid w:val="000069A7"/>
    <w:rsid w:val="000069EE"/>
    <w:rsid w:val="00007E90"/>
    <w:rsid w:val="00010589"/>
    <w:rsid w:val="00011D64"/>
    <w:rsid w:val="000122CD"/>
    <w:rsid w:val="00012DB6"/>
    <w:rsid w:val="00013801"/>
    <w:rsid w:val="0001484B"/>
    <w:rsid w:val="0001535B"/>
    <w:rsid w:val="00015474"/>
    <w:rsid w:val="00015E64"/>
    <w:rsid w:val="00021FED"/>
    <w:rsid w:val="0002241A"/>
    <w:rsid w:val="00022436"/>
    <w:rsid w:val="0002372B"/>
    <w:rsid w:val="00023FE1"/>
    <w:rsid w:val="0002455C"/>
    <w:rsid w:val="00027123"/>
    <w:rsid w:val="00027AFD"/>
    <w:rsid w:val="00031B30"/>
    <w:rsid w:val="00032592"/>
    <w:rsid w:val="000325E1"/>
    <w:rsid w:val="00032D90"/>
    <w:rsid w:val="000330B4"/>
    <w:rsid w:val="000359CC"/>
    <w:rsid w:val="00037273"/>
    <w:rsid w:val="00037B7B"/>
    <w:rsid w:val="0004107C"/>
    <w:rsid w:val="000411C1"/>
    <w:rsid w:val="00041212"/>
    <w:rsid w:val="00041745"/>
    <w:rsid w:val="0004316E"/>
    <w:rsid w:val="0004335E"/>
    <w:rsid w:val="00043B62"/>
    <w:rsid w:val="00044CE2"/>
    <w:rsid w:val="00046660"/>
    <w:rsid w:val="00046A8D"/>
    <w:rsid w:val="00046C53"/>
    <w:rsid w:val="00046E56"/>
    <w:rsid w:val="000471F2"/>
    <w:rsid w:val="00050B69"/>
    <w:rsid w:val="00051ACE"/>
    <w:rsid w:val="00051F32"/>
    <w:rsid w:val="0005368A"/>
    <w:rsid w:val="00053725"/>
    <w:rsid w:val="00054262"/>
    <w:rsid w:val="000547DE"/>
    <w:rsid w:val="00057357"/>
    <w:rsid w:val="00057FE2"/>
    <w:rsid w:val="0006101A"/>
    <w:rsid w:val="000610E2"/>
    <w:rsid w:val="0006126B"/>
    <w:rsid w:val="00061597"/>
    <w:rsid w:val="00061A2D"/>
    <w:rsid w:val="0006206E"/>
    <w:rsid w:val="0006381A"/>
    <w:rsid w:val="0006417D"/>
    <w:rsid w:val="00064FDD"/>
    <w:rsid w:val="00066ADE"/>
    <w:rsid w:val="00067289"/>
    <w:rsid w:val="0006729F"/>
    <w:rsid w:val="000672E1"/>
    <w:rsid w:val="0006742C"/>
    <w:rsid w:val="000678C3"/>
    <w:rsid w:val="00067ACB"/>
    <w:rsid w:val="000701E7"/>
    <w:rsid w:val="000704AE"/>
    <w:rsid w:val="00071477"/>
    <w:rsid w:val="00071CBE"/>
    <w:rsid w:val="00072000"/>
    <w:rsid w:val="000724EF"/>
    <w:rsid w:val="00073136"/>
    <w:rsid w:val="0007346C"/>
    <w:rsid w:val="00073B73"/>
    <w:rsid w:val="000742A1"/>
    <w:rsid w:val="000749EE"/>
    <w:rsid w:val="0007729A"/>
    <w:rsid w:val="00080A7F"/>
    <w:rsid w:val="00081224"/>
    <w:rsid w:val="00081238"/>
    <w:rsid w:val="00081D87"/>
    <w:rsid w:val="00082416"/>
    <w:rsid w:val="000826B0"/>
    <w:rsid w:val="0008391C"/>
    <w:rsid w:val="00085D5B"/>
    <w:rsid w:val="00087190"/>
    <w:rsid w:val="0008725F"/>
    <w:rsid w:val="00087B4E"/>
    <w:rsid w:val="0009011E"/>
    <w:rsid w:val="00091128"/>
    <w:rsid w:val="000917CA"/>
    <w:rsid w:val="000918EC"/>
    <w:rsid w:val="000922F4"/>
    <w:rsid w:val="000926E1"/>
    <w:rsid w:val="000930D8"/>
    <w:rsid w:val="0009353E"/>
    <w:rsid w:val="00093826"/>
    <w:rsid w:val="00093D0F"/>
    <w:rsid w:val="00095994"/>
    <w:rsid w:val="00095C7E"/>
    <w:rsid w:val="00097B79"/>
    <w:rsid w:val="00097BA0"/>
    <w:rsid w:val="000A0098"/>
    <w:rsid w:val="000A20A2"/>
    <w:rsid w:val="000A2AB2"/>
    <w:rsid w:val="000A2C22"/>
    <w:rsid w:val="000A2E88"/>
    <w:rsid w:val="000A2F1E"/>
    <w:rsid w:val="000A48A7"/>
    <w:rsid w:val="000A60FF"/>
    <w:rsid w:val="000A73C7"/>
    <w:rsid w:val="000B069A"/>
    <w:rsid w:val="000B24F7"/>
    <w:rsid w:val="000B4301"/>
    <w:rsid w:val="000B52F7"/>
    <w:rsid w:val="000B6343"/>
    <w:rsid w:val="000B65B8"/>
    <w:rsid w:val="000B689E"/>
    <w:rsid w:val="000B6A81"/>
    <w:rsid w:val="000B6E34"/>
    <w:rsid w:val="000B791C"/>
    <w:rsid w:val="000C2AE7"/>
    <w:rsid w:val="000C3992"/>
    <w:rsid w:val="000C4978"/>
    <w:rsid w:val="000C4B1B"/>
    <w:rsid w:val="000C5D85"/>
    <w:rsid w:val="000C7D93"/>
    <w:rsid w:val="000D054A"/>
    <w:rsid w:val="000D0564"/>
    <w:rsid w:val="000D06A2"/>
    <w:rsid w:val="000D07A7"/>
    <w:rsid w:val="000D08EA"/>
    <w:rsid w:val="000D1179"/>
    <w:rsid w:val="000D1448"/>
    <w:rsid w:val="000D14E4"/>
    <w:rsid w:val="000D1AB7"/>
    <w:rsid w:val="000D1C9B"/>
    <w:rsid w:val="000D20D6"/>
    <w:rsid w:val="000D3D35"/>
    <w:rsid w:val="000D6BB2"/>
    <w:rsid w:val="000D74DD"/>
    <w:rsid w:val="000D75D8"/>
    <w:rsid w:val="000D7B5A"/>
    <w:rsid w:val="000E025E"/>
    <w:rsid w:val="000E091C"/>
    <w:rsid w:val="000E1369"/>
    <w:rsid w:val="000E2114"/>
    <w:rsid w:val="000E4A76"/>
    <w:rsid w:val="000E504C"/>
    <w:rsid w:val="000E5483"/>
    <w:rsid w:val="000E5C26"/>
    <w:rsid w:val="000E5E10"/>
    <w:rsid w:val="000E72F2"/>
    <w:rsid w:val="000F1590"/>
    <w:rsid w:val="000F16DA"/>
    <w:rsid w:val="000F2DFD"/>
    <w:rsid w:val="000F4AA2"/>
    <w:rsid w:val="000F5B41"/>
    <w:rsid w:val="000F60CD"/>
    <w:rsid w:val="000F6DDC"/>
    <w:rsid w:val="000F6E4D"/>
    <w:rsid w:val="000F744F"/>
    <w:rsid w:val="000F7650"/>
    <w:rsid w:val="00100842"/>
    <w:rsid w:val="00101AA2"/>
    <w:rsid w:val="001026ED"/>
    <w:rsid w:val="00102AA0"/>
    <w:rsid w:val="00102D2B"/>
    <w:rsid w:val="001030B5"/>
    <w:rsid w:val="001039DC"/>
    <w:rsid w:val="00104668"/>
    <w:rsid w:val="00106C08"/>
    <w:rsid w:val="00107D1A"/>
    <w:rsid w:val="00110272"/>
    <w:rsid w:val="00110538"/>
    <w:rsid w:val="0011055F"/>
    <w:rsid w:val="00110FB8"/>
    <w:rsid w:val="00112D54"/>
    <w:rsid w:val="001148D7"/>
    <w:rsid w:val="00114AC1"/>
    <w:rsid w:val="00114FC0"/>
    <w:rsid w:val="001151D0"/>
    <w:rsid w:val="001162EE"/>
    <w:rsid w:val="0012120D"/>
    <w:rsid w:val="00121565"/>
    <w:rsid w:val="001220BD"/>
    <w:rsid w:val="00122757"/>
    <w:rsid w:val="00123862"/>
    <w:rsid w:val="00125313"/>
    <w:rsid w:val="001256B7"/>
    <w:rsid w:val="0012594D"/>
    <w:rsid w:val="00125C0A"/>
    <w:rsid w:val="00125E97"/>
    <w:rsid w:val="00125EBA"/>
    <w:rsid w:val="00126A1D"/>
    <w:rsid w:val="00127AC7"/>
    <w:rsid w:val="00127D3C"/>
    <w:rsid w:val="00127DE6"/>
    <w:rsid w:val="00130A59"/>
    <w:rsid w:val="001317A3"/>
    <w:rsid w:val="001321BE"/>
    <w:rsid w:val="00132731"/>
    <w:rsid w:val="00132EED"/>
    <w:rsid w:val="00133A63"/>
    <w:rsid w:val="00134A83"/>
    <w:rsid w:val="001361C9"/>
    <w:rsid w:val="001368A5"/>
    <w:rsid w:val="00136EB9"/>
    <w:rsid w:val="00137211"/>
    <w:rsid w:val="001400E2"/>
    <w:rsid w:val="00140E92"/>
    <w:rsid w:val="001416A4"/>
    <w:rsid w:val="00144320"/>
    <w:rsid w:val="00144C0F"/>
    <w:rsid w:val="00144DC5"/>
    <w:rsid w:val="001450C4"/>
    <w:rsid w:val="001478A7"/>
    <w:rsid w:val="00147E8E"/>
    <w:rsid w:val="0015014A"/>
    <w:rsid w:val="001503AC"/>
    <w:rsid w:val="0015203A"/>
    <w:rsid w:val="00152132"/>
    <w:rsid w:val="00153861"/>
    <w:rsid w:val="00153D45"/>
    <w:rsid w:val="00154ACF"/>
    <w:rsid w:val="00155C05"/>
    <w:rsid w:val="001576AE"/>
    <w:rsid w:val="001577E3"/>
    <w:rsid w:val="0016042E"/>
    <w:rsid w:val="00160A11"/>
    <w:rsid w:val="00161820"/>
    <w:rsid w:val="00161D6D"/>
    <w:rsid w:val="00162C9B"/>
    <w:rsid w:val="00162F15"/>
    <w:rsid w:val="00164749"/>
    <w:rsid w:val="00164FC7"/>
    <w:rsid w:val="0016537F"/>
    <w:rsid w:val="00166A0A"/>
    <w:rsid w:val="001678F7"/>
    <w:rsid w:val="00167B8F"/>
    <w:rsid w:val="001703AA"/>
    <w:rsid w:val="001707B2"/>
    <w:rsid w:val="00170831"/>
    <w:rsid w:val="001711FF"/>
    <w:rsid w:val="00171759"/>
    <w:rsid w:val="00171EEE"/>
    <w:rsid w:val="00172069"/>
    <w:rsid w:val="001725FE"/>
    <w:rsid w:val="00174ADA"/>
    <w:rsid w:val="001765D4"/>
    <w:rsid w:val="0017763C"/>
    <w:rsid w:val="00177B94"/>
    <w:rsid w:val="001805F5"/>
    <w:rsid w:val="00181D5F"/>
    <w:rsid w:val="00182BA9"/>
    <w:rsid w:val="00183124"/>
    <w:rsid w:val="00183E51"/>
    <w:rsid w:val="00184DE3"/>
    <w:rsid w:val="00185F10"/>
    <w:rsid w:val="0018605A"/>
    <w:rsid w:val="0018680E"/>
    <w:rsid w:val="00186A58"/>
    <w:rsid w:val="001876C6"/>
    <w:rsid w:val="00187B89"/>
    <w:rsid w:val="00190C97"/>
    <w:rsid w:val="001910F6"/>
    <w:rsid w:val="00191BEF"/>
    <w:rsid w:val="00192F8D"/>
    <w:rsid w:val="00193B82"/>
    <w:rsid w:val="00193D63"/>
    <w:rsid w:val="00194C11"/>
    <w:rsid w:val="00195151"/>
    <w:rsid w:val="001956F7"/>
    <w:rsid w:val="00195814"/>
    <w:rsid w:val="001968B5"/>
    <w:rsid w:val="00197AEE"/>
    <w:rsid w:val="001A146B"/>
    <w:rsid w:val="001A1846"/>
    <w:rsid w:val="001A1CB5"/>
    <w:rsid w:val="001A2F04"/>
    <w:rsid w:val="001A32D2"/>
    <w:rsid w:val="001A3426"/>
    <w:rsid w:val="001A443C"/>
    <w:rsid w:val="001A4AC0"/>
    <w:rsid w:val="001A531C"/>
    <w:rsid w:val="001A5F83"/>
    <w:rsid w:val="001A7EDA"/>
    <w:rsid w:val="001B04FD"/>
    <w:rsid w:val="001B0CE1"/>
    <w:rsid w:val="001B2A01"/>
    <w:rsid w:val="001B3B55"/>
    <w:rsid w:val="001B3D95"/>
    <w:rsid w:val="001B3DE5"/>
    <w:rsid w:val="001B4187"/>
    <w:rsid w:val="001B446D"/>
    <w:rsid w:val="001B5AA1"/>
    <w:rsid w:val="001B6F9C"/>
    <w:rsid w:val="001B7864"/>
    <w:rsid w:val="001C02B8"/>
    <w:rsid w:val="001C28A9"/>
    <w:rsid w:val="001C3604"/>
    <w:rsid w:val="001C399F"/>
    <w:rsid w:val="001C4340"/>
    <w:rsid w:val="001C43BA"/>
    <w:rsid w:val="001C4B04"/>
    <w:rsid w:val="001C5943"/>
    <w:rsid w:val="001C595E"/>
    <w:rsid w:val="001C59A8"/>
    <w:rsid w:val="001C741D"/>
    <w:rsid w:val="001D0EF9"/>
    <w:rsid w:val="001D0F31"/>
    <w:rsid w:val="001D1E8D"/>
    <w:rsid w:val="001D2573"/>
    <w:rsid w:val="001D300B"/>
    <w:rsid w:val="001D381B"/>
    <w:rsid w:val="001D4949"/>
    <w:rsid w:val="001D57F3"/>
    <w:rsid w:val="001D74AC"/>
    <w:rsid w:val="001D7CB5"/>
    <w:rsid w:val="001E1DD3"/>
    <w:rsid w:val="001E2107"/>
    <w:rsid w:val="001E25C2"/>
    <w:rsid w:val="001E499D"/>
    <w:rsid w:val="001E5B26"/>
    <w:rsid w:val="001E7B7D"/>
    <w:rsid w:val="001F10C1"/>
    <w:rsid w:val="001F1CFF"/>
    <w:rsid w:val="001F25A9"/>
    <w:rsid w:val="001F303A"/>
    <w:rsid w:val="001F34AC"/>
    <w:rsid w:val="001F4097"/>
    <w:rsid w:val="001F4847"/>
    <w:rsid w:val="001F5018"/>
    <w:rsid w:val="001F574E"/>
    <w:rsid w:val="001F6105"/>
    <w:rsid w:val="001F6E3F"/>
    <w:rsid w:val="002002B9"/>
    <w:rsid w:val="00200EF8"/>
    <w:rsid w:val="00201050"/>
    <w:rsid w:val="00201A71"/>
    <w:rsid w:val="00201FF4"/>
    <w:rsid w:val="00202757"/>
    <w:rsid w:val="00202A42"/>
    <w:rsid w:val="002039B9"/>
    <w:rsid w:val="00203DA6"/>
    <w:rsid w:val="0020403A"/>
    <w:rsid w:val="002069E7"/>
    <w:rsid w:val="0020769A"/>
    <w:rsid w:val="00210BA6"/>
    <w:rsid w:val="00210C68"/>
    <w:rsid w:val="00211DA2"/>
    <w:rsid w:val="002128F2"/>
    <w:rsid w:val="00212976"/>
    <w:rsid w:val="002130E0"/>
    <w:rsid w:val="00213EC8"/>
    <w:rsid w:val="00215850"/>
    <w:rsid w:val="002158AD"/>
    <w:rsid w:val="00215B58"/>
    <w:rsid w:val="00215B7C"/>
    <w:rsid w:val="00220E40"/>
    <w:rsid w:val="00222235"/>
    <w:rsid w:val="00222C21"/>
    <w:rsid w:val="00223057"/>
    <w:rsid w:val="0022323C"/>
    <w:rsid w:val="00223AAF"/>
    <w:rsid w:val="00225172"/>
    <w:rsid w:val="002278AA"/>
    <w:rsid w:val="002278EE"/>
    <w:rsid w:val="0023070D"/>
    <w:rsid w:val="0023109D"/>
    <w:rsid w:val="00231DC1"/>
    <w:rsid w:val="00232D4E"/>
    <w:rsid w:val="00232E26"/>
    <w:rsid w:val="00233015"/>
    <w:rsid w:val="00234079"/>
    <w:rsid w:val="00235FE1"/>
    <w:rsid w:val="00236A23"/>
    <w:rsid w:val="00237D6F"/>
    <w:rsid w:val="002405A7"/>
    <w:rsid w:val="00240A76"/>
    <w:rsid w:val="00240D65"/>
    <w:rsid w:val="00241C4F"/>
    <w:rsid w:val="00241F5F"/>
    <w:rsid w:val="0024338E"/>
    <w:rsid w:val="00244247"/>
    <w:rsid w:val="0024485F"/>
    <w:rsid w:val="00245D79"/>
    <w:rsid w:val="00246E16"/>
    <w:rsid w:val="00247CA1"/>
    <w:rsid w:val="002509FD"/>
    <w:rsid w:val="00251231"/>
    <w:rsid w:val="00251551"/>
    <w:rsid w:val="00251CAF"/>
    <w:rsid w:val="00251F39"/>
    <w:rsid w:val="002525CE"/>
    <w:rsid w:val="00252608"/>
    <w:rsid w:val="00253686"/>
    <w:rsid w:val="00254A03"/>
    <w:rsid w:val="0025529A"/>
    <w:rsid w:val="002554A7"/>
    <w:rsid w:val="0025631D"/>
    <w:rsid w:val="00257B58"/>
    <w:rsid w:val="0026014A"/>
    <w:rsid w:val="00262ABF"/>
    <w:rsid w:val="00262EF6"/>
    <w:rsid w:val="00265997"/>
    <w:rsid w:val="00265F5B"/>
    <w:rsid w:val="002664BE"/>
    <w:rsid w:val="002667B0"/>
    <w:rsid w:val="00267868"/>
    <w:rsid w:val="002700CF"/>
    <w:rsid w:val="0027031E"/>
    <w:rsid w:val="002712F3"/>
    <w:rsid w:val="00271625"/>
    <w:rsid w:val="00274016"/>
    <w:rsid w:val="00274690"/>
    <w:rsid w:val="00275761"/>
    <w:rsid w:val="00275AB5"/>
    <w:rsid w:val="002762A2"/>
    <w:rsid w:val="002763C1"/>
    <w:rsid w:val="00276ADF"/>
    <w:rsid w:val="00277BE5"/>
    <w:rsid w:val="00280C40"/>
    <w:rsid w:val="00282573"/>
    <w:rsid w:val="00282B25"/>
    <w:rsid w:val="00282CDE"/>
    <w:rsid w:val="00282E7B"/>
    <w:rsid w:val="00284736"/>
    <w:rsid w:val="002847C1"/>
    <w:rsid w:val="00284EE4"/>
    <w:rsid w:val="002862F9"/>
    <w:rsid w:val="00286BB6"/>
    <w:rsid w:val="002871A6"/>
    <w:rsid w:val="0029012B"/>
    <w:rsid w:val="00290291"/>
    <w:rsid w:val="00290AB8"/>
    <w:rsid w:val="00290B98"/>
    <w:rsid w:val="00290C7F"/>
    <w:rsid w:val="00291537"/>
    <w:rsid w:val="00292A38"/>
    <w:rsid w:val="00293B44"/>
    <w:rsid w:val="00294ED3"/>
    <w:rsid w:val="0029667E"/>
    <w:rsid w:val="00296ABA"/>
    <w:rsid w:val="00296F05"/>
    <w:rsid w:val="00297F63"/>
    <w:rsid w:val="00297FDF"/>
    <w:rsid w:val="002A03CA"/>
    <w:rsid w:val="002A098D"/>
    <w:rsid w:val="002A0B0B"/>
    <w:rsid w:val="002A1012"/>
    <w:rsid w:val="002A11DD"/>
    <w:rsid w:val="002A1688"/>
    <w:rsid w:val="002A2090"/>
    <w:rsid w:val="002A211E"/>
    <w:rsid w:val="002A3AF9"/>
    <w:rsid w:val="002A3B1E"/>
    <w:rsid w:val="002A52AC"/>
    <w:rsid w:val="002A5F78"/>
    <w:rsid w:val="002A66A7"/>
    <w:rsid w:val="002A6B43"/>
    <w:rsid w:val="002A7713"/>
    <w:rsid w:val="002B0816"/>
    <w:rsid w:val="002B2148"/>
    <w:rsid w:val="002B235A"/>
    <w:rsid w:val="002B258A"/>
    <w:rsid w:val="002B30E4"/>
    <w:rsid w:val="002B3484"/>
    <w:rsid w:val="002B458B"/>
    <w:rsid w:val="002B57F4"/>
    <w:rsid w:val="002C1A9C"/>
    <w:rsid w:val="002C20A8"/>
    <w:rsid w:val="002C2ACB"/>
    <w:rsid w:val="002C3366"/>
    <w:rsid w:val="002C34C7"/>
    <w:rsid w:val="002C49F7"/>
    <w:rsid w:val="002C4F0A"/>
    <w:rsid w:val="002C4F37"/>
    <w:rsid w:val="002C5781"/>
    <w:rsid w:val="002C6448"/>
    <w:rsid w:val="002C67ED"/>
    <w:rsid w:val="002C6CE2"/>
    <w:rsid w:val="002C6D47"/>
    <w:rsid w:val="002D22BF"/>
    <w:rsid w:val="002D34D2"/>
    <w:rsid w:val="002D3505"/>
    <w:rsid w:val="002D3865"/>
    <w:rsid w:val="002D3C62"/>
    <w:rsid w:val="002D5CC6"/>
    <w:rsid w:val="002D6341"/>
    <w:rsid w:val="002D68FD"/>
    <w:rsid w:val="002D6B50"/>
    <w:rsid w:val="002D7474"/>
    <w:rsid w:val="002D7587"/>
    <w:rsid w:val="002D7862"/>
    <w:rsid w:val="002E14BA"/>
    <w:rsid w:val="002E167B"/>
    <w:rsid w:val="002E38A4"/>
    <w:rsid w:val="002E3D03"/>
    <w:rsid w:val="002E5664"/>
    <w:rsid w:val="002E6284"/>
    <w:rsid w:val="002E7E19"/>
    <w:rsid w:val="002F004C"/>
    <w:rsid w:val="002F02CC"/>
    <w:rsid w:val="002F084F"/>
    <w:rsid w:val="002F1EDA"/>
    <w:rsid w:val="002F1F35"/>
    <w:rsid w:val="002F338F"/>
    <w:rsid w:val="002F35D6"/>
    <w:rsid w:val="002F44CD"/>
    <w:rsid w:val="002F4EEA"/>
    <w:rsid w:val="002F4FEC"/>
    <w:rsid w:val="002F6052"/>
    <w:rsid w:val="002F6442"/>
    <w:rsid w:val="002F7498"/>
    <w:rsid w:val="002F79E4"/>
    <w:rsid w:val="003012C2"/>
    <w:rsid w:val="003012F2"/>
    <w:rsid w:val="00303F1E"/>
    <w:rsid w:val="003046CA"/>
    <w:rsid w:val="0030500E"/>
    <w:rsid w:val="00305723"/>
    <w:rsid w:val="00305DB7"/>
    <w:rsid w:val="003063B8"/>
    <w:rsid w:val="0030674F"/>
    <w:rsid w:val="00307544"/>
    <w:rsid w:val="003078C9"/>
    <w:rsid w:val="00307BE9"/>
    <w:rsid w:val="003100A4"/>
    <w:rsid w:val="00312EC1"/>
    <w:rsid w:val="0031339C"/>
    <w:rsid w:val="0031394F"/>
    <w:rsid w:val="003144A8"/>
    <w:rsid w:val="003147F5"/>
    <w:rsid w:val="0031487C"/>
    <w:rsid w:val="00315AA3"/>
    <w:rsid w:val="00315DF6"/>
    <w:rsid w:val="0031662D"/>
    <w:rsid w:val="0031702A"/>
    <w:rsid w:val="00320DDF"/>
    <w:rsid w:val="0032215E"/>
    <w:rsid w:val="00322300"/>
    <w:rsid w:val="00322BA3"/>
    <w:rsid w:val="00323BF7"/>
    <w:rsid w:val="00324194"/>
    <w:rsid w:val="003253BD"/>
    <w:rsid w:val="00325A21"/>
    <w:rsid w:val="00326EB9"/>
    <w:rsid w:val="003279A4"/>
    <w:rsid w:val="00330050"/>
    <w:rsid w:val="003301B0"/>
    <w:rsid w:val="00330491"/>
    <w:rsid w:val="00331036"/>
    <w:rsid w:val="00331B03"/>
    <w:rsid w:val="00332437"/>
    <w:rsid w:val="0033322B"/>
    <w:rsid w:val="003354D2"/>
    <w:rsid w:val="003360CC"/>
    <w:rsid w:val="0033638A"/>
    <w:rsid w:val="00337802"/>
    <w:rsid w:val="00337C74"/>
    <w:rsid w:val="00337E9B"/>
    <w:rsid w:val="00340201"/>
    <w:rsid w:val="00340ADC"/>
    <w:rsid w:val="0034145E"/>
    <w:rsid w:val="0034270F"/>
    <w:rsid w:val="00343FCB"/>
    <w:rsid w:val="00344292"/>
    <w:rsid w:val="0034549B"/>
    <w:rsid w:val="00345F88"/>
    <w:rsid w:val="0034638E"/>
    <w:rsid w:val="00347413"/>
    <w:rsid w:val="00347AC8"/>
    <w:rsid w:val="00347B30"/>
    <w:rsid w:val="00347C30"/>
    <w:rsid w:val="00347FFA"/>
    <w:rsid w:val="0035133B"/>
    <w:rsid w:val="0035146E"/>
    <w:rsid w:val="00351526"/>
    <w:rsid w:val="00351E8F"/>
    <w:rsid w:val="00353133"/>
    <w:rsid w:val="00354945"/>
    <w:rsid w:val="003562CE"/>
    <w:rsid w:val="003603CD"/>
    <w:rsid w:val="00360818"/>
    <w:rsid w:val="00363061"/>
    <w:rsid w:val="00363BB2"/>
    <w:rsid w:val="00363F81"/>
    <w:rsid w:val="00364A36"/>
    <w:rsid w:val="00366569"/>
    <w:rsid w:val="003675AE"/>
    <w:rsid w:val="00367884"/>
    <w:rsid w:val="00370025"/>
    <w:rsid w:val="003702D9"/>
    <w:rsid w:val="00371481"/>
    <w:rsid w:val="003735BC"/>
    <w:rsid w:val="00373CE0"/>
    <w:rsid w:val="003742CD"/>
    <w:rsid w:val="00374A46"/>
    <w:rsid w:val="0037593B"/>
    <w:rsid w:val="0037679E"/>
    <w:rsid w:val="00377763"/>
    <w:rsid w:val="00377DC5"/>
    <w:rsid w:val="0038021C"/>
    <w:rsid w:val="003807CF"/>
    <w:rsid w:val="00380B84"/>
    <w:rsid w:val="00381DE7"/>
    <w:rsid w:val="00382FA3"/>
    <w:rsid w:val="003831CF"/>
    <w:rsid w:val="00383887"/>
    <w:rsid w:val="00384986"/>
    <w:rsid w:val="00385474"/>
    <w:rsid w:val="00385D40"/>
    <w:rsid w:val="00385D6B"/>
    <w:rsid w:val="00386395"/>
    <w:rsid w:val="00387202"/>
    <w:rsid w:val="0038729D"/>
    <w:rsid w:val="00387B38"/>
    <w:rsid w:val="00387D46"/>
    <w:rsid w:val="00392A3D"/>
    <w:rsid w:val="00392C0F"/>
    <w:rsid w:val="00393C1D"/>
    <w:rsid w:val="00393FAE"/>
    <w:rsid w:val="003940EB"/>
    <w:rsid w:val="00394A76"/>
    <w:rsid w:val="003A0393"/>
    <w:rsid w:val="003A0502"/>
    <w:rsid w:val="003A06D4"/>
    <w:rsid w:val="003A0906"/>
    <w:rsid w:val="003A2219"/>
    <w:rsid w:val="003A272E"/>
    <w:rsid w:val="003A2A39"/>
    <w:rsid w:val="003A2B37"/>
    <w:rsid w:val="003A3042"/>
    <w:rsid w:val="003A3BC5"/>
    <w:rsid w:val="003A4003"/>
    <w:rsid w:val="003A423E"/>
    <w:rsid w:val="003A44FA"/>
    <w:rsid w:val="003A4B8A"/>
    <w:rsid w:val="003A4F6C"/>
    <w:rsid w:val="003A7A94"/>
    <w:rsid w:val="003B032D"/>
    <w:rsid w:val="003B0C7D"/>
    <w:rsid w:val="003B0DC1"/>
    <w:rsid w:val="003B3280"/>
    <w:rsid w:val="003B35CA"/>
    <w:rsid w:val="003B5819"/>
    <w:rsid w:val="003B583C"/>
    <w:rsid w:val="003B5CD0"/>
    <w:rsid w:val="003B5DE5"/>
    <w:rsid w:val="003B7186"/>
    <w:rsid w:val="003B7412"/>
    <w:rsid w:val="003B7483"/>
    <w:rsid w:val="003C00F1"/>
    <w:rsid w:val="003C05E3"/>
    <w:rsid w:val="003C2EB6"/>
    <w:rsid w:val="003C2ED0"/>
    <w:rsid w:val="003C304D"/>
    <w:rsid w:val="003C329C"/>
    <w:rsid w:val="003C386D"/>
    <w:rsid w:val="003C4C3E"/>
    <w:rsid w:val="003C4F0C"/>
    <w:rsid w:val="003C554D"/>
    <w:rsid w:val="003C63F3"/>
    <w:rsid w:val="003C718B"/>
    <w:rsid w:val="003C73A7"/>
    <w:rsid w:val="003C7510"/>
    <w:rsid w:val="003C7934"/>
    <w:rsid w:val="003C7CC1"/>
    <w:rsid w:val="003D0CAE"/>
    <w:rsid w:val="003D238F"/>
    <w:rsid w:val="003D2829"/>
    <w:rsid w:val="003D2E75"/>
    <w:rsid w:val="003D3B6B"/>
    <w:rsid w:val="003D41C3"/>
    <w:rsid w:val="003D4491"/>
    <w:rsid w:val="003D47FF"/>
    <w:rsid w:val="003D4808"/>
    <w:rsid w:val="003D52B1"/>
    <w:rsid w:val="003D5A71"/>
    <w:rsid w:val="003D6B47"/>
    <w:rsid w:val="003D7913"/>
    <w:rsid w:val="003D791F"/>
    <w:rsid w:val="003D7D01"/>
    <w:rsid w:val="003D7EC2"/>
    <w:rsid w:val="003E0FC6"/>
    <w:rsid w:val="003E1A5D"/>
    <w:rsid w:val="003E2200"/>
    <w:rsid w:val="003E2678"/>
    <w:rsid w:val="003E3604"/>
    <w:rsid w:val="003E3E73"/>
    <w:rsid w:val="003E47CB"/>
    <w:rsid w:val="003E6532"/>
    <w:rsid w:val="003E6782"/>
    <w:rsid w:val="003E77EF"/>
    <w:rsid w:val="003E7A84"/>
    <w:rsid w:val="003F0BDB"/>
    <w:rsid w:val="003F12D9"/>
    <w:rsid w:val="003F283B"/>
    <w:rsid w:val="003F29B6"/>
    <w:rsid w:val="003F3873"/>
    <w:rsid w:val="003F3BA2"/>
    <w:rsid w:val="003F44C4"/>
    <w:rsid w:val="003F4B76"/>
    <w:rsid w:val="003F6F5D"/>
    <w:rsid w:val="003F7526"/>
    <w:rsid w:val="003F7B10"/>
    <w:rsid w:val="00400525"/>
    <w:rsid w:val="004027E1"/>
    <w:rsid w:val="00404010"/>
    <w:rsid w:val="004048CF"/>
    <w:rsid w:val="00404B04"/>
    <w:rsid w:val="0040524F"/>
    <w:rsid w:val="004053C4"/>
    <w:rsid w:val="0040556D"/>
    <w:rsid w:val="0041099B"/>
    <w:rsid w:val="00410A65"/>
    <w:rsid w:val="00410D23"/>
    <w:rsid w:val="00411847"/>
    <w:rsid w:val="00412C4B"/>
    <w:rsid w:val="00412CA9"/>
    <w:rsid w:val="00414223"/>
    <w:rsid w:val="004143E4"/>
    <w:rsid w:val="004144CA"/>
    <w:rsid w:val="00414562"/>
    <w:rsid w:val="00414F1D"/>
    <w:rsid w:val="004150BC"/>
    <w:rsid w:val="00416086"/>
    <w:rsid w:val="0041702C"/>
    <w:rsid w:val="00417635"/>
    <w:rsid w:val="004208A2"/>
    <w:rsid w:val="00420C07"/>
    <w:rsid w:val="00422363"/>
    <w:rsid w:val="00422A33"/>
    <w:rsid w:val="00422B72"/>
    <w:rsid w:val="00423538"/>
    <w:rsid w:val="004236E7"/>
    <w:rsid w:val="004250AA"/>
    <w:rsid w:val="004258B2"/>
    <w:rsid w:val="00425B30"/>
    <w:rsid w:val="00425E31"/>
    <w:rsid w:val="00427DDE"/>
    <w:rsid w:val="004303E9"/>
    <w:rsid w:val="0043068E"/>
    <w:rsid w:val="00430CFB"/>
    <w:rsid w:val="00430DCF"/>
    <w:rsid w:val="00431888"/>
    <w:rsid w:val="00432185"/>
    <w:rsid w:val="00432A35"/>
    <w:rsid w:val="00432EEA"/>
    <w:rsid w:val="00433352"/>
    <w:rsid w:val="00433B8F"/>
    <w:rsid w:val="004346DE"/>
    <w:rsid w:val="0043486A"/>
    <w:rsid w:val="00435B8A"/>
    <w:rsid w:val="0043651F"/>
    <w:rsid w:val="00437821"/>
    <w:rsid w:val="00437A01"/>
    <w:rsid w:val="0044181F"/>
    <w:rsid w:val="00441A9C"/>
    <w:rsid w:val="004425BA"/>
    <w:rsid w:val="00442FCA"/>
    <w:rsid w:val="00443ACF"/>
    <w:rsid w:val="0044404F"/>
    <w:rsid w:val="00444E23"/>
    <w:rsid w:val="00444E38"/>
    <w:rsid w:val="00445741"/>
    <w:rsid w:val="00446522"/>
    <w:rsid w:val="00446630"/>
    <w:rsid w:val="00446B4F"/>
    <w:rsid w:val="00447C48"/>
    <w:rsid w:val="004506E9"/>
    <w:rsid w:val="00450C8B"/>
    <w:rsid w:val="004510DA"/>
    <w:rsid w:val="00451E46"/>
    <w:rsid w:val="004520EB"/>
    <w:rsid w:val="00452541"/>
    <w:rsid w:val="004535B0"/>
    <w:rsid w:val="00454718"/>
    <w:rsid w:val="00454750"/>
    <w:rsid w:val="00454CFF"/>
    <w:rsid w:val="00454E58"/>
    <w:rsid w:val="00454FFC"/>
    <w:rsid w:val="00455F3D"/>
    <w:rsid w:val="00457554"/>
    <w:rsid w:val="0045783C"/>
    <w:rsid w:val="0046071D"/>
    <w:rsid w:val="00462227"/>
    <w:rsid w:val="00464E5A"/>
    <w:rsid w:val="004659BE"/>
    <w:rsid w:val="00466B47"/>
    <w:rsid w:val="00467085"/>
    <w:rsid w:val="00467C15"/>
    <w:rsid w:val="00467FAB"/>
    <w:rsid w:val="00470096"/>
    <w:rsid w:val="004726FE"/>
    <w:rsid w:val="00474127"/>
    <w:rsid w:val="00477644"/>
    <w:rsid w:val="004778FB"/>
    <w:rsid w:val="00480B10"/>
    <w:rsid w:val="00481359"/>
    <w:rsid w:val="0048353C"/>
    <w:rsid w:val="00483CE6"/>
    <w:rsid w:val="00484009"/>
    <w:rsid w:val="004844E2"/>
    <w:rsid w:val="00485525"/>
    <w:rsid w:val="004857C0"/>
    <w:rsid w:val="00486266"/>
    <w:rsid w:val="0048633B"/>
    <w:rsid w:val="00487893"/>
    <w:rsid w:val="0048797E"/>
    <w:rsid w:val="00487D9A"/>
    <w:rsid w:val="00487E12"/>
    <w:rsid w:val="0049042F"/>
    <w:rsid w:val="0049095F"/>
    <w:rsid w:val="00490CF9"/>
    <w:rsid w:val="004921DD"/>
    <w:rsid w:val="00492AFD"/>
    <w:rsid w:val="004933AC"/>
    <w:rsid w:val="00493463"/>
    <w:rsid w:val="00493A0E"/>
    <w:rsid w:val="004956C9"/>
    <w:rsid w:val="00495A83"/>
    <w:rsid w:val="00496CC1"/>
    <w:rsid w:val="004A0ABD"/>
    <w:rsid w:val="004A0D05"/>
    <w:rsid w:val="004A18CF"/>
    <w:rsid w:val="004A2CC7"/>
    <w:rsid w:val="004A3B43"/>
    <w:rsid w:val="004A3B8E"/>
    <w:rsid w:val="004A4CD2"/>
    <w:rsid w:val="004A4E1C"/>
    <w:rsid w:val="004A6421"/>
    <w:rsid w:val="004A66A1"/>
    <w:rsid w:val="004A730F"/>
    <w:rsid w:val="004A7BBD"/>
    <w:rsid w:val="004A7D99"/>
    <w:rsid w:val="004B103C"/>
    <w:rsid w:val="004B11F4"/>
    <w:rsid w:val="004B1E9C"/>
    <w:rsid w:val="004B2020"/>
    <w:rsid w:val="004B381D"/>
    <w:rsid w:val="004B5205"/>
    <w:rsid w:val="004B6192"/>
    <w:rsid w:val="004B6914"/>
    <w:rsid w:val="004B6BF4"/>
    <w:rsid w:val="004B6C1D"/>
    <w:rsid w:val="004B722B"/>
    <w:rsid w:val="004C090B"/>
    <w:rsid w:val="004C0BEE"/>
    <w:rsid w:val="004C0CA3"/>
    <w:rsid w:val="004C0E8B"/>
    <w:rsid w:val="004C1B43"/>
    <w:rsid w:val="004C22DC"/>
    <w:rsid w:val="004C2AB9"/>
    <w:rsid w:val="004C2D90"/>
    <w:rsid w:val="004C3182"/>
    <w:rsid w:val="004C3474"/>
    <w:rsid w:val="004C38A3"/>
    <w:rsid w:val="004C3AE8"/>
    <w:rsid w:val="004C3D1F"/>
    <w:rsid w:val="004C715C"/>
    <w:rsid w:val="004C797D"/>
    <w:rsid w:val="004C7B38"/>
    <w:rsid w:val="004D09C9"/>
    <w:rsid w:val="004D16C7"/>
    <w:rsid w:val="004D2FFE"/>
    <w:rsid w:val="004D308A"/>
    <w:rsid w:val="004D30A5"/>
    <w:rsid w:val="004D48DE"/>
    <w:rsid w:val="004D5B22"/>
    <w:rsid w:val="004D7651"/>
    <w:rsid w:val="004D7E21"/>
    <w:rsid w:val="004E0858"/>
    <w:rsid w:val="004E1EDF"/>
    <w:rsid w:val="004E202E"/>
    <w:rsid w:val="004E24B8"/>
    <w:rsid w:val="004E3BA7"/>
    <w:rsid w:val="004E5D71"/>
    <w:rsid w:val="004E609F"/>
    <w:rsid w:val="004E7752"/>
    <w:rsid w:val="004F16FC"/>
    <w:rsid w:val="004F1D2A"/>
    <w:rsid w:val="004F215F"/>
    <w:rsid w:val="004F2476"/>
    <w:rsid w:val="004F30C0"/>
    <w:rsid w:val="004F33C6"/>
    <w:rsid w:val="004F346B"/>
    <w:rsid w:val="004F349B"/>
    <w:rsid w:val="004F3838"/>
    <w:rsid w:val="004F411D"/>
    <w:rsid w:val="004F4927"/>
    <w:rsid w:val="004F5E13"/>
    <w:rsid w:val="004F623C"/>
    <w:rsid w:val="004F6F4D"/>
    <w:rsid w:val="004F764F"/>
    <w:rsid w:val="004F776B"/>
    <w:rsid w:val="004F78DC"/>
    <w:rsid w:val="0050052C"/>
    <w:rsid w:val="005029F4"/>
    <w:rsid w:val="0050397E"/>
    <w:rsid w:val="00504667"/>
    <w:rsid w:val="005046F7"/>
    <w:rsid w:val="00504B62"/>
    <w:rsid w:val="0050565E"/>
    <w:rsid w:val="005067F5"/>
    <w:rsid w:val="00507533"/>
    <w:rsid w:val="00510483"/>
    <w:rsid w:val="00511AE3"/>
    <w:rsid w:val="00512667"/>
    <w:rsid w:val="00512D47"/>
    <w:rsid w:val="005152A6"/>
    <w:rsid w:val="005163CB"/>
    <w:rsid w:val="005171CE"/>
    <w:rsid w:val="00520437"/>
    <w:rsid w:val="0052080A"/>
    <w:rsid w:val="005218A5"/>
    <w:rsid w:val="00523597"/>
    <w:rsid w:val="0052421F"/>
    <w:rsid w:val="00525190"/>
    <w:rsid w:val="00525378"/>
    <w:rsid w:val="005259C0"/>
    <w:rsid w:val="00526614"/>
    <w:rsid w:val="00530B3A"/>
    <w:rsid w:val="00530B7E"/>
    <w:rsid w:val="00530CE8"/>
    <w:rsid w:val="00531341"/>
    <w:rsid w:val="005341FC"/>
    <w:rsid w:val="005355D1"/>
    <w:rsid w:val="00535682"/>
    <w:rsid w:val="005363CD"/>
    <w:rsid w:val="00537305"/>
    <w:rsid w:val="005409F0"/>
    <w:rsid w:val="00541805"/>
    <w:rsid w:val="00543157"/>
    <w:rsid w:val="00545FCA"/>
    <w:rsid w:val="005461F6"/>
    <w:rsid w:val="0054663B"/>
    <w:rsid w:val="0054755B"/>
    <w:rsid w:val="00550497"/>
    <w:rsid w:val="00551648"/>
    <w:rsid w:val="005536D8"/>
    <w:rsid w:val="0055383A"/>
    <w:rsid w:val="00553BC9"/>
    <w:rsid w:val="0055486B"/>
    <w:rsid w:val="005551F5"/>
    <w:rsid w:val="00555ADF"/>
    <w:rsid w:val="00555FFC"/>
    <w:rsid w:val="0055635D"/>
    <w:rsid w:val="00556C32"/>
    <w:rsid w:val="00560262"/>
    <w:rsid w:val="00561725"/>
    <w:rsid w:val="00561F78"/>
    <w:rsid w:val="00562146"/>
    <w:rsid w:val="005622EB"/>
    <w:rsid w:val="005623DD"/>
    <w:rsid w:val="00562EDA"/>
    <w:rsid w:val="00564239"/>
    <w:rsid w:val="0056429F"/>
    <w:rsid w:val="0056430E"/>
    <w:rsid w:val="00565B53"/>
    <w:rsid w:val="00567054"/>
    <w:rsid w:val="0056744F"/>
    <w:rsid w:val="005704CA"/>
    <w:rsid w:val="00570B34"/>
    <w:rsid w:val="005711CF"/>
    <w:rsid w:val="005712B4"/>
    <w:rsid w:val="0057315C"/>
    <w:rsid w:val="00573367"/>
    <w:rsid w:val="005744DF"/>
    <w:rsid w:val="0057461E"/>
    <w:rsid w:val="00577965"/>
    <w:rsid w:val="0058041A"/>
    <w:rsid w:val="0058057F"/>
    <w:rsid w:val="005816B6"/>
    <w:rsid w:val="00581F38"/>
    <w:rsid w:val="00583366"/>
    <w:rsid w:val="0058366E"/>
    <w:rsid w:val="005858AE"/>
    <w:rsid w:val="00585EE7"/>
    <w:rsid w:val="00586351"/>
    <w:rsid w:val="00587CF6"/>
    <w:rsid w:val="00587E3E"/>
    <w:rsid w:val="00590A8F"/>
    <w:rsid w:val="00590C92"/>
    <w:rsid w:val="005911A1"/>
    <w:rsid w:val="0059187E"/>
    <w:rsid w:val="005919F3"/>
    <w:rsid w:val="00592BBF"/>
    <w:rsid w:val="00593603"/>
    <w:rsid w:val="005947CE"/>
    <w:rsid w:val="00595B32"/>
    <w:rsid w:val="005973A3"/>
    <w:rsid w:val="00597C08"/>
    <w:rsid w:val="005A000D"/>
    <w:rsid w:val="005A0098"/>
    <w:rsid w:val="005A1CAD"/>
    <w:rsid w:val="005A2599"/>
    <w:rsid w:val="005A26ED"/>
    <w:rsid w:val="005A3D76"/>
    <w:rsid w:val="005A3DF9"/>
    <w:rsid w:val="005A4407"/>
    <w:rsid w:val="005A4C03"/>
    <w:rsid w:val="005A5A7D"/>
    <w:rsid w:val="005A5C2F"/>
    <w:rsid w:val="005A7839"/>
    <w:rsid w:val="005B014E"/>
    <w:rsid w:val="005B028C"/>
    <w:rsid w:val="005B098E"/>
    <w:rsid w:val="005B0FF8"/>
    <w:rsid w:val="005B1F13"/>
    <w:rsid w:val="005B2402"/>
    <w:rsid w:val="005B304B"/>
    <w:rsid w:val="005B492E"/>
    <w:rsid w:val="005B5519"/>
    <w:rsid w:val="005B5728"/>
    <w:rsid w:val="005B6088"/>
    <w:rsid w:val="005B6C26"/>
    <w:rsid w:val="005B71D4"/>
    <w:rsid w:val="005B7241"/>
    <w:rsid w:val="005C13AE"/>
    <w:rsid w:val="005C23ED"/>
    <w:rsid w:val="005C2D85"/>
    <w:rsid w:val="005C40A7"/>
    <w:rsid w:val="005C4780"/>
    <w:rsid w:val="005C5202"/>
    <w:rsid w:val="005C570F"/>
    <w:rsid w:val="005C6077"/>
    <w:rsid w:val="005C76E4"/>
    <w:rsid w:val="005C7EAB"/>
    <w:rsid w:val="005D0421"/>
    <w:rsid w:val="005D2065"/>
    <w:rsid w:val="005D3434"/>
    <w:rsid w:val="005D3B98"/>
    <w:rsid w:val="005D44C4"/>
    <w:rsid w:val="005D4A2B"/>
    <w:rsid w:val="005D7302"/>
    <w:rsid w:val="005E09C2"/>
    <w:rsid w:val="005E0A5E"/>
    <w:rsid w:val="005E17C8"/>
    <w:rsid w:val="005E18D3"/>
    <w:rsid w:val="005E1B6A"/>
    <w:rsid w:val="005E2744"/>
    <w:rsid w:val="005E4964"/>
    <w:rsid w:val="005E58D7"/>
    <w:rsid w:val="005E7050"/>
    <w:rsid w:val="005E7070"/>
    <w:rsid w:val="005E7B96"/>
    <w:rsid w:val="005E7CCB"/>
    <w:rsid w:val="005E7ECB"/>
    <w:rsid w:val="005F25EC"/>
    <w:rsid w:val="005F301D"/>
    <w:rsid w:val="005F3B95"/>
    <w:rsid w:val="005F4368"/>
    <w:rsid w:val="005F49EB"/>
    <w:rsid w:val="005F6DF3"/>
    <w:rsid w:val="005F6E98"/>
    <w:rsid w:val="005F710B"/>
    <w:rsid w:val="005F742B"/>
    <w:rsid w:val="005F7CAC"/>
    <w:rsid w:val="006006FC"/>
    <w:rsid w:val="0060114E"/>
    <w:rsid w:val="0060136B"/>
    <w:rsid w:val="00601435"/>
    <w:rsid w:val="0060157B"/>
    <w:rsid w:val="00601F50"/>
    <w:rsid w:val="006021FA"/>
    <w:rsid w:val="00603367"/>
    <w:rsid w:val="00603824"/>
    <w:rsid w:val="00603F5A"/>
    <w:rsid w:val="006044B1"/>
    <w:rsid w:val="00604F36"/>
    <w:rsid w:val="00605CB1"/>
    <w:rsid w:val="0060632D"/>
    <w:rsid w:val="00607E10"/>
    <w:rsid w:val="006104F0"/>
    <w:rsid w:val="00610C0D"/>
    <w:rsid w:val="00610D1F"/>
    <w:rsid w:val="006117AE"/>
    <w:rsid w:val="00612B5F"/>
    <w:rsid w:val="00612F44"/>
    <w:rsid w:val="0061514B"/>
    <w:rsid w:val="00616ED1"/>
    <w:rsid w:val="00617CFD"/>
    <w:rsid w:val="006203FB"/>
    <w:rsid w:val="00620810"/>
    <w:rsid w:val="00620E48"/>
    <w:rsid w:val="00621421"/>
    <w:rsid w:val="00624325"/>
    <w:rsid w:val="00624B99"/>
    <w:rsid w:val="00624BFA"/>
    <w:rsid w:val="006251FD"/>
    <w:rsid w:val="00625F3B"/>
    <w:rsid w:val="00625FEC"/>
    <w:rsid w:val="00626CD2"/>
    <w:rsid w:val="00627C60"/>
    <w:rsid w:val="00627E16"/>
    <w:rsid w:val="00630551"/>
    <w:rsid w:val="006313F6"/>
    <w:rsid w:val="00631797"/>
    <w:rsid w:val="00633B21"/>
    <w:rsid w:val="006341F3"/>
    <w:rsid w:val="006346C5"/>
    <w:rsid w:val="006349D2"/>
    <w:rsid w:val="006356C4"/>
    <w:rsid w:val="00635B9A"/>
    <w:rsid w:val="006366E3"/>
    <w:rsid w:val="00637FC0"/>
    <w:rsid w:val="006406B2"/>
    <w:rsid w:val="006419FF"/>
    <w:rsid w:val="00642749"/>
    <w:rsid w:val="006427EB"/>
    <w:rsid w:val="006431D8"/>
    <w:rsid w:val="006432E8"/>
    <w:rsid w:val="00644E6F"/>
    <w:rsid w:val="00645A95"/>
    <w:rsid w:val="00645AA9"/>
    <w:rsid w:val="00645E53"/>
    <w:rsid w:val="006460AE"/>
    <w:rsid w:val="00646A73"/>
    <w:rsid w:val="00647315"/>
    <w:rsid w:val="006501FB"/>
    <w:rsid w:val="0065044E"/>
    <w:rsid w:val="006507E5"/>
    <w:rsid w:val="00652B80"/>
    <w:rsid w:val="00655B0C"/>
    <w:rsid w:val="006568CC"/>
    <w:rsid w:val="00656908"/>
    <w:rsid w:val="00656D9F"/>
    <w:rsid w:val="00656DB6"/>
    <w:rsid w:val="00657889"/>
    <w:rsid w:val="00660D91"/>
    <w:rsid w:val="00660DB8"/>
    <w:rsid w:val="0066332E"/>
    <w:rsid w:val="006636EB"/>
    <w:rsid w:val="00664339"/>
    <w:rsid w:val="006652C5"/>
    <w:rsid w:val="0066543D"/>
    <w:rsid w:val="00666E4E"/>
    <w:rsid w:val="00667AD6"/>
    <w:rsid w:val="00667C70"/>
    <w:rsid w:val="0067110C"/>
    <w:rsid w:val="006714C4"/>
    <w:rsid w:val="006727D1"/>
    <w:rsid w:val="006727F8"/>
    <w:rsid w:val="00672812"/>
    <w:rsid w:val="006728B4"/>
    <w:rsid w:val="00674919"/>
    <w:rsid w:val="00674C4D"/>
    <w:rsid w:val="00675C6E"/>
    <w:rsid w:val="00675CCC"/>
    <w:rsid w:val="00676B75"/>
    <w:rsid w:val="00677F76"/>
    <w:rsid w:val="006809CA"/>
    <w:rsid w:val="00680EFE"/>
    <w:rsid w:val="00684E9C"/>
    <w:rsid w:val="00684F9A"/>
    <w:rsid w:val="00685FED"/>
    <w:rsid w:val="00686DFC"/>
    <w:rsid w:val="0069027D"/>
    <w:rsid w:val="00691E63"/>
    <w:rsid w:val="0069285E"/>
    <w:rsid w:val="00692B20"/>
    <w:rsid w:val="00692F90"/>
    <w:rsid w:val="00693D5D"/>
    <w:rsid w:val="00694C2A"/>
    <w:rsid w:val="00695318"/>
    <w:rsid w:val="00696790"/>
    <w:rsid w:val="00696E1F"/>
    <w:rsid w:val="00697884"/>
    <w:rsid w:val="00697A4C"/>
    <w:rsid w:val="006A0B32"/>
    <w:rsid w:val="006A0C40"/>
    <w:rsid w:val="006A18CE"/>
    <w:rsid w:val="006A2082"/>
    <w:rsid w:val="006A39D2"/>
    <w:rsid w:val="006A39D3"/>
    <w:rsid w:val="006A4D5F"/>
    <w:rsid w:val="006A562D"/>
    <w:rsid w:val="006A648E"/>
    <w:rsid w:val="006A66DE"/>
    <w:rsid w:val="006A75B1"/>
    <w:rsid w:val="006A7967"/>
    <w:rsid w:val="006A7E57"/>
    <w:rsid w:val="006B14C9"/>
    <w:rsid w:val="006B2799"/>
    <w:rsid w:val="006B3671"/>
    <w:rsid w:val="006B4624"/>
    <w:rsid w:val="006B5568"/>
    <w:rsid w:val="006B5AED"/>
    <w:rsid w:val="006C1DBF"/>
    <w:rsid w:val="006C2E3C"/>
    <w:rsid w:val="006C2F1E"/>
    <w:rsid w:val="006C309B"/>
    <w:rsid w:val="006C3C4F"/>
    <w:rsid w:val="006C652B"/>
    <w:rsid w:val="006C6566"/>
    <w:rsid w:val="006C681A"/>
    <w:rsid w:val="006D0289"/>
    <w:rsid w:val="006D048A"/>
    <w:rsid w:val="006D0708"/>
    <w:rsid w:val="006D0D1C"/>
    <w:rsid w:val="006D1765"/>
    <w:rsid w:val="006D17A5"/>
    <w:rsid w:val="006D4343"/>
    <w:rsid w:val="006D4423"/>
    <w:rsid w:val="006D4540"/>
    <w:rsid w:val="006D5EA0"/>
    <w:rsid w:val="006E1188"/>
    <w:rsid w:val="006E21E2"/>
    <w:rsid w:val="006E25F7"/>
    <w:rsid w:val="006E3C27"/>
    <w:rsid w:val="006E3D7F"/>
    <w:rsid w:val="006E410B"/>
    <w:rsid w:val="006E43C7"/>
    <w:rsid w:val="006E5077"/>
    <w:rsid w:val="006E54FD"/>
    <w:rsid w:val="006E58DE"/>
    <w:rsid w:val="006E600B"/>
    <w:rsid w:val="006E66FC"/>
    <w:rsid w:val="006E6B3F"/>
    <w:rsid w:val="006E6DC7"/>
    <w:rsid w:val="006E715B"/>
    <w:rsid w:val="006F0733"/>
    <w:rsid w:val="006F0967"/>
    <w:rsid w:val="006F0AA1"/>
    <w:rsid w:val="006F0C22"/>
    <w:rsid w:val="006F12F8"/>
    <w:rsid w:val="006F12FC"/>
    <w:rsid w:val="006F2CF9"/>
    <w:rsid w:val="006F2F51"/>
    <w:rsid w:val="006F4CA9"/>
    <w:rsid w:val="006F4F16"/>
    <w:rsid w:val="006F5C7B"/>
    <w:rsid w:val="006F615B"/>
    <w:rsid w:val="006F6790"/>
    <w:rsid w:val="006F687A"/>
    <w:rsid w:val="006F7E2F"/>
    <w:rsid w:val="007009AF"/>
    <w:rsid w:val="00700E1A"/>
    <w:rsid w:val="00701809"/>
    <w:rsid w:val="00703248"/>
    <w:rsid w:val="0070496B"/>
    <w:rsid w:val="0070516A"/>
    <w:rsid w:val="0070598B"/>
    <w:rsid w:val="007073E8"/>
    <w:rsid w:val="00707909"/>
    <w:rsid w:val="00707F34"/>
    <w:rsid w:val="007149A1"/>
    <w:rsid w:val="00714C05"/>
    <w:rsid w:val="007153C6"/>
    <w:rsid w:val="0071560F"/>
    <w:rsid w:val="00715C5B"/>
    <w:rsid w:val="00715CAB"/>
    <w:rsid w:val="00715DA3"/>
    <w:rsid w:val="007177CF"/>
    <w:rsid w:val="00717B80"/>
    <w:rsid w:val="0072013D"/>
    <w:rsid w:val="00720607"/>
    <w:rsid w:val="00720C09"/>
    <w:rsid w:val="00720FE0"/>
    <w:rsid w:val="00721072"/>
    <w:rsid w:val="00721F1C"/>
    <w:rsid w:val="0072219E"/>
    <w:rsid w:val="00724223"/>
    <w:rsid w:val="00724834"/>
    <w:rsid w:val="00725594"/>
    <w:rsid w:val="00726AAA"/>
    <w:rsid w:val="00727D5A"/>
    <w:rsid w:val="00727D7E"/>
    <w:rsid w:val="0073075D"/>
    <w:rsid w:val="00731645"/>
    <w:rsid w:val="00731916"/>
    <w:rsid w:val="00732B64"/>
    <w:rsid w:val="00732F30"/>
    <w:rsid w:val="00733691"/>
    <w:rsid w:val="00735337"/>
    <w:rsid w:val="00735B72"/>
    <w:rsid w:val="007361B0"/>
    <w:rsid w:val="00736695"/>
    <w:rsid w:val="00736801"/>
    <w:rsid w:val="00740F1A"/>
    <w:rsid w:val="00742CD8"/>
    <w:rsid w:val="00746CFB"/>
    <w:rsid w:val="00750214"/>
    <w:rsid w:val="00750F76"/>
    <w:rsid w:val="0075154D"/>
    <w:rsid w:val="00751B76"/>
    <w:rsid w:val="00752343"/>
    <w:rsid w:val="007526AE"/>
    <w:rsid w:val="0075284A"/>
    <w:rsid w:val="007531BB"/>
    <w:rsid w:val="00753EF4"/>
    <w:rsid w:val="00754617"/>
    <w:rsid w:val="0075478D"/>
    <w:rsid w:val="00754CC8"/>
    <w:rsid w:val="0075712A"/>
    <w:rsid w:val="00757B83"/>
    <w:rsid w:val="00760307"/>
    <w:rsid w:val="007604BF"/>
    <w:rsid w:val="00760D4B"/>
    <w:rsid w:val="00760E3E"/>
    <w:rsid w:val="007629C5"/>
    <w:rsid w:val="00762D82"/>
    <w:rsid w:val="00762F73"/>
    <w:rsid w:val="00763244"/>
    <w:rsid w:val="0076352E"/>
    <w:rsid w:val="007640C7"/>
    <w:rsid w:val="0076442D"/>
    <w:rsid w:val="007649DD"/>
    <w:rsid w:val="007653F3"/>
    <w:rsid w:val="00766E37"/>
    <w:rsid w:val="00767DAA"/>
    <w:rsid w:val="007703CF"/>
    <w:rsid w:val="00770546"/>
    <w:rsid w:val="0077067C"/>
    <w:rsid w:val="00771723"/>
    <w:rsid w:val="00772012"/>
    <w:rsid w:val="0077297C"/>
    <w:rsid w:val="00772DBE"/>
    <w:rsid w:val="00772E0A"/>
    <w:rsid w:val="00773B71"/>
    <w:rsid w:val="00773E23"/>
    <w:rsid w:val="007748E0"/>
    <w:rsid w:val="00775D92"/>
    <w:rsid w:val="007763F7"/>
    <w:rsid w:val="00776CA0"/>
    <w:rsid w:val="00777C96"/>
    <w:rsid w:val="00777E10"/>
    <w:rsid w:val="007800EB"/>
    <w:rsid w:val="00781208"/>
    <w:rsid w:val="0078191B"/>
    <w:rsid w:val="00781D10"/>
    <w:rsid w:val="007825BC"/>
    <w:rsid w:val="007826AB"/>
    <w:rsid w:val="007845A6"/>
    <w:rsid w:val="00784773"/>
    <w:rsid w:val="00784AA4"/>
    <w:rsid w:val="00784BE5"/>
    <w:rsid w:val="00785232"/>
    <w:rsid w:val="007864FD"/>
    <w:rsid w:val="00787F74"/>
    <w:rsid w:val="007904DB"/>
    <w:rsid w:val="0079065E"/>
    <w:rsid w:val="007910ED"/>
    <w:rsid w:val="007913D9"/>
    <w:rsid w:val="00791BB3"/>
    <w:rsid w:val="00791F62"/>
    <w:rsid w:val="00792663"/>
    <w:rsid w:val="0079271F"/>
    <w:rsid w:val="00794D69"/>
    <w:rsid w:val="007971BE"/>
    <w:rsid w:val="007A00DC"/>
    <w:rsid w:val="007A018C"/>
    <w:rsid w:val="007A195E"/>
    <w:rsid w:val="007A22C3"/>
    <w:rsid w:val="007A2661"/>
    <w:rsid w:val="007A334D"/>
    <w:rsid w:val="007A4A15"/>
    <w:rsid w:val="007A5E4F"/>
    <w:rsid w:val="007A7963"/>
    <w:rsid w:val="007B0C01"/>
    <w:rsid w:val="007B1F64"/>
    <w:rsid w:val="007B2903"/>
    <w:rsid w:val="007B35DB"/>
    <w:rsid w:val="007B3CF8"/>
    <w:rsid w:val="007B5328"/>
    <w:rsid w:val="007B6235"/>
    <w:rsid w:val="007B7D3B"/>
    <w:rsid w:val="007C085F"/>
    <w:rsid w:val="007C1708"/>
    <w:rsid w:val="007C2671"/>
    <w:rsid w:val="007C34CC"/>
    <w:rsid w:val="007C4F85"/>
    <w:rsid w:val="007C5238"/>
    <w:rsid w:val="007C65D9"/>
    <w:rsid w:val="007C6A1A"/>
    <w:rsid w:val="007C6E9B"/>
    <w:rsid w:val="007C71CE"/>
    <w:rsid w:val="007D1160"/>
    <w:rsid w:val="007D12F9"/>
    <w:rsid w:val="007D38C4"/>
    <w:rsid w:val="007D3AD8"/>
    <w:rsid w:val="007D3CA9"/>
    <w:rsid w:val="007D4556"/>
    <w:rsid w:val="007D4EF1"/>
    <w:rsid w:val="007E0AAE"/>
    <w:rsid w:val="007E2033"/>
    <w:rsid w:val="007E27EB"/>
    <w:rsid w:val="007E3F00"/>
    <w:rsid w:val="007E4AEC"/>
    <w:rsid w:val="007E5735"/>
    <w:rsid w:val="007E6451"/>
    <w:rsid w:val="007E71BE"/>
    <w:rsid w:val="007E7CA8"/>
    <w:rsid w:val="007F0C12"/>
    <w:rsid w:val="007F0CBE"/>
    <w:rsid w:val="007F0E48"/>
    <w:rsid w:val="007F1BA5"/>
    <w:rsid w:val="007F2F4D"/>
    <w:rsid w:val="007F35EA"/>
    <w:rsid w:val="007F57CF"/>
    <w:rsid w:val="007F5EC7"/>
    <w:rsid w:val="007F5F1C"/>
    <w:rsid w:val="007F6373"/>
    <w:rsid w:val="007F738C"/>
    <w:rsid w:val="007F7966"/>
    <w:rsid w:val="0080061F"/>
    <w:rsid w:val="0080160D"/>
    <w:rsid w:val="008018BD"/>
    <w:rsid w:val="00803F3B"/>
    <w:rsid w:val="00804A54"/>
    <w:rsid w:val="00804AFD"/>
    <w:rsid w:val="008050A1"/>
    <w:rsid w:val="0080512E"/>
    <w:rsid w:val="00805360"/>
    <w:rsid w:val="00805C31"/>
    <w:rsid w:val="00811309"/>
    <w:rsid w:val="00812398"/>
    <w:rsid w:val="008134CD"/>
    <w:rsid w:val="00814230"/>
    <w:rsid w:val="00814F10"/>
    <w:rsid w:val="0081608B"/>
    <w:rsid w:val="0081627D"/>
    <w:rsid w:val="0081713A"/>
    <w:rsid w:val="00817BAF"/>
    <w:rsid w:val="00820043"/>
    <w:rsid w:val="00820623"/>
    <w:rsid w:val="008233C2"/>
    <w:rsid w:val="00823881"/>
    <w:rsid w:val="0082471E"/>
    <w:rsid w:val="0082623D"/>
    <w:rsid w:val="00826FC7"/>
    <w:rsid w:val="008274F3"/>
    <w:rsid w:val="00827F77"/>
    <w:rsid w:val="00831789"/>
    <w:rsid w:val="00831B10"/>
    <w:rsid w:val="008320C5"/>
    <w:rsid w:val="00832B91"/>
    <w:rsid w:val="008337C7"/>
    <w:rsid w:val="00833EDB"/>
    <w:rsid w:val="00835906"/>
    <w:rsid w:val="008364DE"/>
    <w:rsid w:val="008369E9"/>
    <w:rsid w:val="0083770B"/>
    <w:rsid w:val="00840DC1"/>
    <w:rsid w:val="00841B2F"/>
    <w:rsid w:val="00841BED"/>
    <w:rsid w:val="00842347"/>
    <w:rsid w:val="00843AF7"/>
    <w:rsid w:val="00844655"/>
    <w:rsid w:val="00844810"/>
    <w:rsid w:val="00844E51"/>
    <w:rsid w:val="0084681C"/>
    <w:rsid w:val="00847264"/>
    <w:rsid w:val="00850014"/>
    <w:rsid w:val="0085120F"/>
    <w:rsid w:val="00851D27"/>
    <w:rsid w:val="00852FBB"/>
    <w:rsid w:val="00855499"/>
    <w:rsid w:val="00856023"/>
    <w:rsid w:val="00856DF9"/>
    <w:rsid w:val="008579FC"/>
    <w:rsid w:val="00857D95"/>
    <w:rsid w:val="00857EA9"/>
    <w:rsid w:val="008600DA"/>
    <w:rsid w:val="008602BE"/>
    <w:rsid w:val="00860808"/>
    <w:rsid w:val="00860D7D"/>
    <w:rsid w:val="00860E8B"/>
    <w:rsid w:val="00861ACA"/>
    <w:rsid w:val="00864A5F"/>
    <w:rsid w:val="00866375"/>
    <w:rsid w:val="0086764D"/>
    <w:rsid w:val="00867FF7"/>
    <w:rsid w:val="00870300"/>
    <w:rsid w:val="00870A61"/>
    <w:rsid w:val="00871951"/>
    <w:rsid w:val="00872C35"/>
    <w:rsid w:val="0087441C"/>
    <w:rsid w:val="00875137"/>
    <w:rsid w:val="00877CAD"/>
    <w:rsid w:val="00880749"/>
    <w:rsid w:val="00880925"/>
    <w:rsid w:val="00880C18"/>
    <w:rsid w:val="00883A18"/>
    <w:rsid w:val="008858EC"/>
    <w:rsid w:val="0088659E"/>
    <w:rsid w:val="008911F9"/>
    <w:rsid w:val="00891283"/>
    <w:rsid w:val="0089155E"/>
    <w:rsid w:val="008917C7"/>
    <w:rsid w:val="00892532"/>
    <w:rsid w:val="00892BD6"/>
    <w:rsid w:val="008931CF"/>
    <w:rsid w:val="00894F54"/>
    <w:rsid w:val="00895770"/>
    <w:rsid w:val="008958B5"/>
    <w:rsid w:val="0089667B"/>
    <w:rsid w:val="008977BC"/>
    <w:rsid w:val="008A073A"/>
    <w:rsid w:val="008A1788"/>
    <w:rsid w:val="008A19C9"/>
    <w:rsid w:val="008A45A4"/>
    <w:rsid w:val="008A542E"/>
    <w:rsid w:val="008A627C"/>
    <w:rsid w:val="008A662E"/>
    <w:rsid w:val="008A6B03"/>
    <w:rsid w:val="008A728A"/>
    <w:rsid w:val="008A77AF"/>
    <w:rsid w:val="008A7C95"/>
    <w:rsid w:val="008B0104"/>
    <w:rsid w:val="008B0DAA"/>
    <w:rsid w:val="008B17B3"/>
    <w:rsid w:val="008B1A36"/>
    <w:rsid w:val="008B24F0"/>
    <w:rsid w:val="008B2854"/>
    <w:rsid w:val="008B34C4"/>
    <w:rsid w:val="008B3876"/>
    <w:rsid w:val="008B3C72"/>
    <w:rsid w:val="008B46FC"/>
    <w:rsid w:val="008B4B41"/>
    <w:rsid w:val="008B4CFA"/>
    <w:rsid w:val="008B5B1D"/>
    <w:rsid w:val="008B6991"/>
    <w:rsid w:val="008B6CA0"/>
    <w:rsid w:val="008B7443"/>
    <w:rsid w:val="008C028D"/>
    <w:rsid w:val="008C1056"/>
    <w:rsid w:val="008C17EC"/>
    <w:rsid w:val="008C1D93"/>
    <w:rsid w:val="008C2077"/>
    <w:rsid w:val="008C4457"/>
    <w:rsid w:val="008C4463"/>
    <w:rsid w:val="008C5362"/>
    <w:rsid w:val="008C5470"/>
    <w:rsid w:val="008C57FB"/>
    <w:rsid w:val="008C7485"/>
    <w:rsid w:val="008D16C8"/>
    <w:rsid w:val="008D1C78"/>
    <w:rsid w:val="008D1D08"/>
    <w:rsid w:val="008D2D1B"/>
    <w:rsid w:val="008D2F70"/>
    <w:rsid w:val="008D312C"/>
    <w:rsid w:val="008D31A3"/>
    <w:rsid w:val="008D326B"/>
    <w:rsid w:val="008D531F"/>
    <w:rsid w:val="008D5718"/>
    <w:rsid w:val="008D6213"/>
    <w:rsid w:val="008D6235"/>
    <w:rsid w:val="008D794A"/>
    <w:rsid w:val="008D7ACE"/>
    <w:rsid w:val="008E001C"/>
    <w:rsid w:val="008E0324"/>
    <w:rsid w:val="008E1499"/>
    <w:rsid w:val="008E3E8C"/>
    <w:rsid w:val="008E5307"/>
    <w:rsid w:val="008E5A34"/>
    <w:rsid w:val="008F049B"/>
    <w:rsid w:val="008F0E6B"/>
    <w:rsid w:val="008F0F9D"/>
    <w:rsid w:val="008F1811"/>
    <w:rsid w:val="008F2F5C"/>
    <w:rsid w:val="008F3FB7"/>
    <w:rsid w:val="008F4C50"/>
    <w:rsid w:val="008F4CD8"/>
    <w:rsid w:val="008F6268"/>
    <w:rsid w:val="009004A3"/>
    <w:rsid w:val="00900782"/>
    <w:rsid w:val="00900BD5"/>
    <w:rsid w:val="00901189"/>
    <w:rsid w:val="009022B5"/>
    <w:rsid w:val="00902642"/>
    <w:rsid w:val="0090268C"/>
    <w:rsid w:val="009035E3"/>
    <w:rsid w:val="00903FB2"/>
    <w:rsid w:val="0090492A"/>
    <w:rsid w:val="00906BF1"/>
    <w:rsid w:val="00907B56"/>
    <w:rsid w:val="00907F05"/>
    <w:rsid w:val="00910A0D"/>
    <w:rsid w:val="009110CC"/>
    <w:rsid w:val="0091146B"/>
    <w:rsid w:val="00913120"/>
    <w:rsid w:val="0091461F"/>
    <w:rsid w:val="00916D57"/>
    <w:rsid w:val="009173A3"/>
    <w:rsid w:val="00920858"/>
    <w:rsid w:val="00921068"/>
    <w:rsid w:val="009213E1"/>
    <w:rsid w:val="00923284"/>
    <w:rsid w:val="0092387B"/>
    <w:rsid w:val="00925BD9"/>
    <w:rsid w:val="0092723C"/>
    <w:rsid w:val="009341C7"/>
    <w:rsid w:val="009355C9"/>
    <w:rsid w:val="0093583A"/>
    <w:rsid w:val="00936344"/>
    <w:rsid w:val="00936B90"/>
    <w:rsid w:val="00937789"/>
    <w:rsid w:val="009404F7"/>
    <w:rsid w:val="00940900"/>
    <w:rsid w:val="00940A04"/>
    <w:rsid w:val="00940BD2"/>
    <w:rsid w:val="00940D97"/>
    <w:rsid w:val="009418DB"/>
    <w:rsid w:val="0094190E"/>
    <w:rsid w:val="0094352D"/>
    <w:rsid w:val="009438E2"/>
    <w:rsid w:val="00943D04"/>
    <w:rsid w:val="00945824"/>
    <w:rsid w:val="009464FC"/>
    <w:rsid w:val="00946621"/>
    <w:rsid w:val="00946959"/>
    <w:rsid w:val="009471FB"/>
    <w:rsid w:val="009477DA"/>
    <w:rsid w:val="00950137"/>
    <w:rsid w:val="0095116E"/>
    <w:rsid w:val="00951B5B"/>
    <w:rsid w:val="00952A1A"/>
    <w:rsid w:val="00953886"/>
    <w:rsid w:val="0095506C"/>
    <w:rsid w:val="00955EC3"/>
    <w:rsid w:val="0095623E"/>
    <w:rsid w:val="00957833"/>
    <w:rsid w:val="00960D79"/>
    <w:rsid w:val="009620E3"/>
    <w:rsid w:val="00963FAA"/>
    <w:rsid w:val="00965804"/>
    <w:rsid w:val="009659DF"/>
    <w:rsid w:val="00965C3E"/>
    <w:rsid w:val="00966537"/>
    <w:rsid w:val="009667B0"/>
    <w:rsid w:val="009667F0"/>
    <w:rsid w:val="00967AE1"/>
    <w:rsid w:val="009709BC"/>
    <w:rsid w:val="00971BDD"/>
    <w:rsid w:val="00972E6D"/>
    <w:rsid w:val="00972F5A"/>
    <w:rsid w:val="009738A0"/>
    <w:rsid w:val="00973B4A"/>
    <w:rsid w:val="00973C7F"/>
    <w:rsid w:val="00975A03"/>
    <w:rsid w:val="00976E2E"/>
    <w:rsid w:val="00982761"/>
    <w:rsid w:val="00982CAE"/>
    <w:rsid w:val="009846C8"/>
    <w:rsid w:val="009867FE"/>
    <w:rsid w:val="009869DA"/>
    <w:rsid w:val="00991582"/>
    <w:rsid w:val="00992045"/>
    <w:rsid w:val="00992192"/>
    <w:rsid w:val="00992786"/>
    <w:rsid w:val="00992902"/>
    <w:rsid w:val="00992E67"/>
    <w:rsid w:val="00993156"/>
    <w:rsid w:val="00993E0B"/>
    <w:rsid w:val="009942D1"/>
    <w:rsid w:val="00995280"/>
    <w:rsid w:val="009957F7"/>
    <w:rsid w:val="0099608A"/>
    <w:rsid w:val="009960FD"/>
    <w:rsid w:val="0099631A"/>
    <w:rsid w:val="0099740A"/>
    <w:rsid w:val="009A0C5D"/>
    <w:rsid w:val="009A15E1"/>
    <w:rsid w:val="009A2E19"/>
    <w:rsid w:val="009A5858"/>
    <w:rsid w:val="009A5A72"/>
    <w:rsid w:val="009A5B93"/>
    <w:rsid w:val="009A67FD"/>
    <w:rsid w:val="009A7646"/>
    <w:rsid w:val="009B3BFF"/>
    <w:rsid w:val="009B3C35"/>
    <w:rsid w:val="009B52FB"/>
    <w:rsid w:val="009B5348"/>
    <w:rsid w:val="009B539C"/>
    <w:rsid w:val="009B54D7"/>
    <w:rsid w:val="009B57DB"/>
    <w:rsid w:val="009B5920"/>
    <w:rsid w:val="009B71E5"/>
    <w:rsid w:val="009C1A54"/>
    <w:rsid w:val="009C2498"/>
    <w:rsid w:val="009C2669"/>
    <w:rsid w:val="009C2884"/>
    <w:rsid w:val="009C2AD4"/>
    <w:rsid w:val="009C32B5"/>
    <w:rsid w:val="009C4E75"/>
    <w:rsid w:val="009C6378"/>
    <w:rsid w:val="009C65C2"/>
    <w:rsid w:val="009C6B91"/>
    <w:rsid w:val="009C7692"/>
    <w:rsid w:val="009C7703"/>
    <w:rsid w:val="009D2C17"/>
    <w:rsid w:val="009D2E7A"/>
    <w:rsid w:val="009D2F92"/>
    <w:rsid w:val="009D301F"/>
    <w:rsid w:val="009D33C4"/>
    <w:rsid w:val="009D3428"/>
    <w:rsid w:val="009D385B"/>
    <w:rsid w:val="009D41D9"/>
    <w:rsid w:val="009D5450"/>
    <w:rsid w:val="009D685F"/>
    <w:rsid w:val="009D7FBF"/>
    <w:rsid w:val="009E00FF"/>
    <w:rsid w:val="009E2E4A"/>
    <w:rsid w:val="009E3780"/>
    <w:rsid w:val="009E5120"/>
    <w:rsid w:val="009E68A2"/>
    <w:rsid w:val="009F06FA"/>
    <w:rsid w:val="009F0DF7"/>
    <w:rsid w:val="009F13D7"/>
    <w:rsid w:val="009F264E"/>
    <w:rsid w:val="009F26BF"/>
    <w:rsid w:val="009F3168"/>
    <w:rsid w:val="009F3866"/>
    <w:rsid w:val="009F5707"/>
    <w:rsid w:val="009F5715"/>
    <w:rsid w:val="00A00F56"/>
    <w:rsid w:val="00A0249E"/>
    <w:rsid w:val="00A0265F"/>
    <w:rsid w:val="00A03C6F"/>
    <w:rsid w:val="00A067DD"/>
    <w:rsid w:val="00A067FA"/>
    <w:rsid w:val="00A06BB3"/>
    <w:rsid w:val="00A06E1C"/>
    <w:rsid w:val="00A10475"/>
    <w:rsid w:val="00A10FC8"/>
    <w:rsid w:val="00A11EDE"/>
    <w:rsid w:val="00A124AF"/>
    <w:rsid w:val="00A13E8F"/>
    <w:rsid w:val="00A140AF"/>
    <w:rsid w:val="00A1454E"/>
    <w:rsid w:val="00A15545"/>
    <w:rsid w:val="00A16425"/>
    <w:rsid w:val="00A20863"/>
    <w:rsid w:val="00A22BB5"/>
    <w:rsid w:val="00A24E2E"/>
    <w:rsid w:val="00A25235"/>
    <w:rsid w:val="00A25C29"/>
    <w:rsid w:val="00A269AB"/>
    <w:rsid w:val="00A26C22"/>
    <w:rsid w:val="00A26DB6"/>
    <w:rsid w:val="00A306CD"/>
    <w:rsid w:val="00A31399"/>
    <w:rsid w:val="00A31E07"/>
    <w:rsid w:val="00A3265C"/>
    <w:rsid w:val="00A32806"/>
    <w:rsid w:val="00A32AB2"/>
    <w:rsid w:val="00A33C4E"/>
    <w:rsid w:val="00A33C9E"/>
    <w:rsid w:val="00A35F3D"/>
    <w:rsid w:val="00A36A51"/>
    <w:rsid w:val="00A3721F"/>
    <w:rsid w:val="00A37C42"/>
    <w:rsid w:val="00A40624"/>
    <w:rsid w:val="00A40D3A"/>
    <w:rsid w:val="00A41B23"/>
    <w:rsid w:val="00A41E9D"/>
    <w:rsid w:val="00A4251D"/>
    <w:rsid w:val="00A4502A"/>
    <w:rsid w:val="00A4507B"/>
    <w:rsid w:val="00A45606"/>
    <w:rsid w:val="00A45CEB"/>
    <w:rsid w:val="00A46093"/>
    <w:rsid w:val="00A47859"/>
    <w:rsid w:val="00A4793E"/>
    <w:rsid w:val="00A47F2B"/>
    <w:rsid w:val="00A51FAC"/>
    <w:rsid w:val="00A52AB3"/>
    <w:rsid w:val="00A531B2"/>
    <w:rsid w:val="00A541E3"/>
    <w:rsid w:val="00A54CB5"/>
    <w:rsid w:val="00A56248"/>
    <w:rsid w:val="00A568EB"/>
    <w:rsid w:val="00A56AAD"/>
    <w:rsid w:val="00A57178"/>
    <w:rsid w:val="00A6035A"/>
    <w:rsid w:val="00A60998"/>
    <w:rsid w:val="00A62DC1"/>
    <w:rsid w:val="00A63A11"/>
    <w:rsid w:val="00A6429D"/>
    <w:rsid w:val="00A64499"/>
    <w:rsid w:val="00A650A7"/>
    <w:rsid w:val="00A65F4C"/>
    <w:rsid w:val="00A665F1"/>
    <w:rsid w:val="00A666FC"/>
    <w:rsid w:val="00A66EF4"/>
    <w:rsid w:val="00A67283"/>
    <w:rsid w:val="00A70330"/>
    <w:rsid w:val="00A70457"/>
    <w:rsid w:val="00A705C3"/>
    <w:rsid w:val="00A716F7"/>
    <w:rsid w:val="00A71E7E"/>
    <w:rsid w:val="00A72111"/>
    <w:rsid w:val="00A73BBC"/>
    <w:rsid w:val="00A73DC7"/>
    <w:rsid w:val="00A7425C"/>
    <w:rsid w:val="00A74504"/>
    <w:rsid w:val="00A753F4"/>
    <w:rsid w:val="00A75718"/>
    <w:rsid w:val="00A766F8"/>
    <w:rsid w:val="00A772D2"/>
    <w:rsid w:val="00A77641"/>
    <w:rsid w:val="00A80F21"/>
    <w:rsid w:val="00A81409"/>
    <w:rsid w:val="00A814B7"/>
    <w:rsid w:val="00A81E05"/>
    <w:rsid w:val="00A827AE"/>
    <w:rsid w:val="00A83C67"/>
    <w:rsid w:val="00A83FE2"/>
    <w:rsid w:val="00A84528"/>
    <w:rsid w:val="00A84952"/>
    <w:rsid w:val="00A8585C"/>
    <w:rsid w:val="00A904A4"/>
    <w:rsid w:val="00A9096B"/>
    <w:rsid w:val="00A9243C"/>
    <w:rsid w:val="00A94297"/>
    <w:rsid w:val="00A95A01"/>
    <w:rsid w:val="00A95B49"/>
    <w:rsid w:val="00A96CCB"/>
    <w:rsid w:val="00A97807"/>
    <w:rsid w:val="00AA0240"/>
    <w:rsid w:val="00AA06C2"/>
    <w:rsid w:val="00AA1F68"/>
    <w:rsid w:val="00AA3811"/>
    <w:rsid w:val="00AA433C"/>
    <w:rsid w:val="00AA6636"/>
    <w:rsid w:val="00AA7020"/>
    <w:rsid w:val="00AB23D9"/>
    <w:rsid w:val="00AB2493"/>
    <w:rsid w:val="00AB2767"/>
    <w:rsid w:val="00AB2E19"/>
    <w:rsid w:val="00AB3310"/>
    <w:rsid w:val="00AB41B8"/>
    <w:rsid w:val="00AB4579"/>
    <w:rsid w:val="00AB4F41"/>
    <w:rsid w:val="00AB58B1"/>
    <w:rsid w:val="00AB63DE"/>
    <w:rsid w:val="00AB68D7"/>
    <w:rsid w:val="00AC08B8"/>
    <w:rsid w:val="00AC1083"/>
    <w:rsid w:val="00AC1694"/>
    <w:rsid w:val="00AC22BB"/>
    <w:rsid w:val="00AC238F"/>
    <w:rsid w:val="00AC2962"/>
    <w:rsid w:val="00AC2E2E"/>
    <w:rsid w:val="00AC2FAF"/>
    <w:rsid w:val="00AC37B4"/>
    <w:rsid w:val="00AC45B2"/>
    <w:rsid w:val="00AC498C"/>
    <w:rsid w:val="00AC5012"/>
    <w:rsid w:val="00AC743D"/>
    <w:rsid w:val="00AC74F4"/>
    <w:rsid w:val="00AD038A"/>
    <w:rsid w:val="00AD087E"/>
    <w:rsid w:val="00AD26C4"/>
    <w:rsid w:val="00AD458C"/>
    <w:rsid w:val="00AD51AA"/>
    <w:rsid w:val="00AD5403"/>
    <w:rsid w:val="00AD644C"/>
    <w:rsid w:val="00AD6CC5"/>
    <w:rsid w:val="00AD742C"/>
    <w:rsid w:val="00AD7591"/>
    <w:rsid w:val="00AD778E"/>
    <w:rsid w:val="00AD780C"/>
    <w:rsid w:val="00AD7FBC"/>
    <w:rsid w:val="00AE080E"/>
    <w:rsid w:val="00AE0B4A"/>
    <w:rsid w:val="00AE1191"/>
    <w:rsid w:val="00AE1718"/>
    <w:rsid w:val="00AE343D"/>
    <w:rsid w:val="00AE3586"/>
    <w:rsid w:val="00AE50EC"/>
    <w:rsid w:val="00AE556A"/>
    <w:rsid w:val="00AE6881"/>
    <w:rsid w:val="00AE761D"/>
    <w:rsid w:val="00AE78EC"/>
    <w:rsid w:val="00AF0187"/>
    <w:rsid w:val="00AF0804"/>
    <w:rsid w:val="00AF0B39"/>
    <w:rsid w:val="00AF1697"/>
    <w:rsid w:val="00AF221A"/>
    <w:rsid w:val="00AF22E1"/>
    <w:rsid w:val="00AF2805"/>
    <w:rsid w:val="00AF2F46"/>
    <w:rsid w:val="00AF3093"/>
    <w:rsid w:val="00AF328F"/>
    <w:rsid w:val="00AF3E86"/>
    <w:rsid w:val="00AF5912"/>
    <w:rsid w:val="00AF5BA8"/>
    <w:rsid w:val="00AF61E4"/>
    <w:rsid w:val="00AF7E21"/>
    <w:rsid w:val="00B01C5D"/>
    <w:rsid w:val="00B01D01"/>
    <w:rsid w:val="00B01FDD"/>
    <w:rsid w:val="00B0387B"/>
    <w:rsid w:val="00B04247"/>
    <w:rsid w:val="00B04E2F"/>
    <w:rsid w:val="00B05EAA"/>
    <w:rsid w:val="00B06C58"/>
    <w:rsid w:val="00B074AD"/>
    <w:rsid w:val="00B07AD9"/>
    <w:rsid w:val="00B07D8A"/>
    <w:rsid w:val="00B07E2E"/>
    <w:rsid w:val="00B1067E"/>
    <w:rsid w:val="00B117C8"/>
    <w:rsid w:val="00B11A70"/>
    <w:rsid w:val="00B12707"/>
    <w:rsid w:val="00B12789"/>
    <w:rsid w:val="00B12CCE"/>
    <w:rsid w:val="00B141FB"/>
    <w:rsid w:val="00B14A59"/>
    <w:rsid w:val="00B14EEE"/>
    <w:rsid w:val="00B155A9"/>
    <w:rsid w:val="00B1566C"/>
    <w:rsid w:val="00B15F2B"/>
    <w:rsid w:val="00B164AF"/>
    <w:rsid w:val="00B237AC"/>
    <w:rsid w:val="00B23BA3"/>
    <w:rsid w:val="00B24F76"/>
    <w:rsid w:val="00B26AF5"/>
    <w:rsid w:val="00B31431"/>
    <w:rsid w:val="00B326BB"/>
    <w:rsid w:val="00B33FB1"/>
    <w:rsid w:val="00B37CB4"/>
    <w:rsid w:val="00B4298B"/>
    <w:rsid w:val="00B432B3"/>
    <w:rsid w:val="00B43B44"/>
    <w:rsid w:val="00B43F6E"/>
    <w:rsid w:val="00B4469C"/>
    <w:rsid w:val="00B45B5F"/>
    <w:rsid w:val="00B462E6"/>
    <w:rsid w:val="00B47D0E"/>
    <w:rsid w:val="00B50260"/>
    <w:rsid w:val="00B5129B"/>
    <w:rsid w:val="00B51400"/>
    <w:rsid w:val="00B517E0"/>
    <w:rsid w:val="00B520F5"/>
    <w:rsid w:val="00B5251C"/>
    <w:rsid w:val="00B52C47"/>
    <w:rsid w:val="00B538A5"/>
    <w:rsid w:val="00B550FB"/>
    <w:rsid w:val="00B560EC"/>
    <w:rsid w:val="00B56449"/>
    <w:rsid w:val="00B568B2"/>
    <w:rsid w:val="00B568F0"/>
    <w:rsid w:val="00B56DD3"/>
    <w:rsid w:val="00B56FA0"/>
    <w:rsid w:val="00B57C33"/>
    <w:rsid w:val="00B60003"/>
    <w:rsid w:val="00B602F8"/>
    <w:rsid w:val="00B60487"/>
    <w:rsid w:val="00B6080C"/>
    <w:rsid w:val="00B609B3"/>
    <w:rsid w:val="00B615D6"/>
    <w:rsid w:val="00B61925"/>
    <w:rsid w:val="00B62113"/>
    <w:rsid w:val="00B62906"/>
    <w:rsid w:val="00B62C86"/>
    <w:rsid w:val="00B63A91"/>
    <w:rsid w:val="00B63FB0"/>
    <w:rsid w:val="00B6486D"/>
    <w:rsid w:val="00B64AED"/>
    <w:rsid w:val="00B64C6E"/>
    <w:rsid w:val="00B64E44"/>
    <w:rsid w:val="00B66CB5"/>
    <w:rsid w:val="00B67EE9"/>
    <w:rsid w:val="00B67F25"/>
    <w:rsid w:val="00B70240"/>
    <w:rsid w:val="00B705A8"/>
    <w:rsid w:val="00B7152D"/>
    <w:rsid w:val="00B71614"/>
    <w:rsid w:val="00B72159"/>
    <w:rsid w:val="00B73306"/>
    <w:rsid w:val="00B754FA"/>
    <w:rsid w:val="00B7707D"/>
    <w:rsid w:val="00B806FC"/>
    <w:rsid w:val="00B820B9"/>
    <w:rsid w:val="00B83A1F"/>
    <w:rsid w:val="00B84CB5"/>
    <w:rsid w:val="00B85443"/>
    <w:rsid w:val="00B87843"/>
    <w:rsid w:val="00B90835"/>
    <w:rsid w:val="00B9097E"/>
    <w:rsid w:val="00B91079"/>
    <w:rsid w:val="00B915E2"/>
    <w:rsid w:val="00B91BD5"/>
    <w:rsid w:val="00B9360C"/>
    <w:rsid w:val="00B93ECF"/>
    <w:rsid w:val="00B95189"/>
    <w:rsid w:val="00BA0C37"/>
    <w:rsid w:val="00BA383F"/>
    <w:rsid w:val="00BA3E6A"/>
    <w:rsid w:val="00BA44AD"/>
    <w:rsid w:val="00BA472E"/>
    <w:rsid w:val="00BA51A7"/>
    <w:rsid w:val="00BA5700"/>
    <w:rsid w:val="00BA697A"/>
    <w:rsid w:val="00BB01A1"/>
    <w:rsid w:val="00BB01E0"/>
    <w:rsid w:val="00BB1C12"/>
    <w:rsid w:val="00BB21D1"/>
    <w:rsid w:val="00BB259A"/>
    <w:rsid w:val="00BB25D6"/>
    <w:rsid w:val="00BB4AE9"/>
    <w:rsid w:val="00BB5D03"/>
    <w:rsid w:val="00BB637D"/>
    <w:rsid w:val="00BB6AC4"/>
    <w:rsid w:val="00BB7097"/>
    <w:rsid w:val="00BB71DD"/>
    <w:rsid w:val="00BC0952"/>
    <w:rsid w:val="00BC0EEE"/>
    <w:rsid w:val="00BC20D7"/>
    <w:rsid w:val="00BC32F9"/>
    <w:rsid w:val="00BC3DCD"/>
    <w:rsid w:val="00BC44A9"/>
    <w:rsid w:val="00BC5001"/>
    <w:rsid w:val="00BC6F44"/>
    <w:rsid w:val="00BC7B62"/>
    <w:rsid w:val="00BD0E7F"/>
    <w:rsid w:val="00BD1873"/>
    <w:rsid w:val="00BD3116"/>
    <w:rsid w:val="00BD46D8"/>
    <w:rsid w:val="00BD4FDE"/>
    <w:rsid w:val="00BD5053"/>
    <w:rsid w:val="00BD5220"/>
    <w:rsid w:val="00BD5D3A"/>
    <w:rsid w:val="00BD60BD"/>
    <w:rsid w:val="00BD7796"/>
    <w:rsid w:val="00BE05D0"/>
    <w:rsid w:val="00BE0681"/>
    <w:rsid w:val="00BE23D0"/>
    <w:rsid w:val="00BE2803"/>
    <w:rsid w:val="00BE367A"/>
    <w:rsid w:val="00BE58BE"/>
    <w:rsid w:val="00BE64E6"/>
    <w:rsid w:val="00BE66C2"/>
    <w:rsid w:val="00BE6B36"/>
    <w:rsid w:val="00BE7257"/>
    <w:rsid w:val="00BF0570"/>
    <w:rsid w:val="00BF0B92"/>
    <w:rsid w:val="00BF0ECD"/>
    <w:rsid w:val="00BF149B"/>
    <w:rsid w:val="00BF1ADB"/>
    <w:rsid w:val="00BF1B10"/>
    <w:rsid w:val="00BF1B40"/>
    <w:rsid w:val="00BF1D1D"/>
    <w:rsid w:val="00BF2ED0"/>
    <w:rsid w:val="00BF42D2"/>
    <w:rsid w:val="00BF64E8"/>
    <w:rsid w:val="00BF7187"/>
    <w:rsid w:val="00BF72C5"/>
    <w:rsid w:val="00BF7E20"/>
    <w:rsid w:val="00C005EF"/>
    <w:rsid w:val="00C008E3"/>
    <w:rsid w:val="00C009AB"/>
    <w:rsid w:val="00C02E1F"/>
    <w:rsid w:val="00C06496"/>
    <w:rsid w:val="00C06588"/>
    <w:rsid w:val="00C067D0"/>
    <w:rsid w:val="00C069E3"/>
    <w:rsid w:val="00C077A5"/>
    <w:rsid w:val="00C07F9D"/>
    <w:rsid w:val="00C100B1"/>
    <w:rsid w:val="00C10C7D"/>
    <w:rsid w:val="00C11F74"/>
    <w:rsid w:val="00C12708"/>
    <w:rsid w:val="00C12895"/>
    <w:rsid w:val="00C12FB5"/>
    <w:rsid w:val="00C133B7"/>
    <w:rsid w:val="00C13B8F"/>
    <w:rsid w:val="00C15113"/>
    <w:rsid w:val="00C15421"/>
    <w:rsid w:val="00C1693B"/>
    <w:rsid w:val="00C17314"/>
    <w:rsid w:val="00C20845"/>
    <w:rsid w:val="00C211EC"/>
    <w:rsid w:val="00C21A3D"/>
    <w:rsid w:val="00C21F9D"/>
    <w:rsid w:val="00C228D3"/>
    <w:rsid w:val="00C247F6"/>
    <w:rsid w:val="00C255F1"/>
    <w:rsid w:val="00C268C4"/>
    <w:rsid w:val="00C26C15"/>
    <w:rsid w:val="00C270AF"/>
    <w:rsid w:val="00C273D4"/>
    <w:rsid w:val="00C278BD"/>
    <w:rsid w:val="00C27AF7"/>
    <w:rsid w:val="00C317EB"/>
    <w:rsid w:val="00C31803"/>
    <w:rsid w:val="00C322EA"/>
    <w:rsid w:val="00C33AE9"/>
    <w:rsid w:val="00C33FED"/>
    <w:rsid w:val="00C34689"/>
    <w:rsid w:val="00C348DE"/>
    <w:rsid w:val="00C34DEC"/>
    <w:rsid w:val="00C35118"/>
    <w:rsid w:val="00C36E7C"/>
    <w:rsid w:val="00C3783D"/>
    <w:rsid w:val="00C40009"/>
    <w:rsid w:val="00C42AE2"/>
    <w:rsid w:val="00C43431"/>
    <w:rsid w:val="00C4475F"/>
    <w:rsid w:val="00C4551D"/>
    <w:rsid w:val="00C47E98"/>
    <w:rsid w:val="00C50087"/>
    <w:rsid w:val="00C505BB"/>
    <w:rsid w:val="00C50F25"/>
    <w:rsid w:val="00C536A7"/>
    <w:rsid w:val="00C5440B"/>
    <w:rsid w:val="00C545CE"/>
    <w:rsid w:val="00C55DA1"/>
    <w:rsid w:val="00C56670"/>
    <w:rsid w:val="00C56A1B"/>
    <w:rsid w:val="00C57636"/>
    <w:rsid w:val="00C577CD"/>
    <w:rsid w:val="00C57A01"/>
    <w:rsid w:val="00C57F35"/>
    <w:rsid w:val="00C61717"/>
    <w:rsid w:val="00C61BAE"/>
    <w:rsid w:val="00C622D6"/>
    <w:rsid w:val="00C62516"/>
    <w:rsid w:val="00C634D5"/>
    <w:rsid w:val="00C634EB"/>
    <w:rsid w:val="00C642F3"/>
    <w:rsid w:val="00C64491"/>
    <w:rsid w:val="00C64DA5"/>
    <w:rsid w:val="00C659D7"/>
    <w:rsid w:val="00C661EF"/>
    <w:rsid w:val="00C704BE"/>
    <w:rsid w:val="00C70554"/>
    <w:rsid w:val="00C70FB2"/>
    <w:rsid w:val="00C71775"/>
    <w:rsid w:val="00C71DA3"/>
    <w:rsid w:val="00C72CE6"/>
    <w:rsid w:val="00C74C75"/>
    <w:rsid w:val="00C750DB"/>
    <w:rsid w:val="00C7610B"/>
    <w:rsid w:val="00C76518"/>
    <w:rsid w:val="00C766C9"/>
    <w:rsid w:val="00C76D93"/>
    <w:rsid w:val="00C77DF9"/>
    <w:rsid w:val="00C8094B"/>
    <w:rsid w:val="00C81FC7"/>
    <w:rsid w:val="00C821A3"/>
    <w:rsid w:val="00C82592"/>
    <w:rsid w:val="00C82894"/>
    <w:rsid w:val="00C831FF"/>
    <w:rsid w:val="00C83D74"/>
    <w:rsid w:val="00C84135"/>
    <w:rsid w:val="00C85F1C"/>
    <w:rsid w:val="00C86693"/>
    <w:rsid w:val="00C874A8"/>
    <w:rsid w:val="00C87EAE"/>
    <w:rsid w:val="00C87EB6"/>
    <w:rsid w:val="00C91181"/>
    <w:rsid w:val="00C951E1"/>
    <w:rsid w:val="00C959AE"/>
    <w:rsid w:val="00C95BB3"/>
    <w:rsid w:val="00C95F08"/>
    <w:rsid w:val="00C961E2"/>
    <w:rsid w:val="00C96A90"/>
    <w:rsid w:val="00C9745D"/>
    <w:rsid w:val="00CA0B40"/>
    <w:rsid w:val="00CA1BFB"/>
    <w:rsid w:val="00CA2C67"/>
    <w:rsid w:val="00CA32DB"/>
    <w:rsid w:val="00CA5AB0"/>
    <w:rsid w:val="00CA5D68"/>
    <w:rsid w:val="00CA735D"/>
    <w:rsid w:val="00CA7F9D"/>
    <w:rsid w:val="00CB0A81"/>
    <w:rsid w:val="00CB1AD5"/>
    <w:rsid w:val="00CB1B9E"/>
    <w:rsid w:val="00CB2461"/>
    <w:rsid w:val="00CB32F9"/>
    <w:rsid w:val="00CB3EAF"/>
    <w:rsid w:val="00CB40D2"/>
    <w:rsid w:val="00CB434E"/>
    <w:rsid w:val="00CB4E02"/>
    <w:rsid w:val="00CC10FC"/>
    <w:rsid w:val="00CC1F5C"/>
    <w:rsid w:val="00CC2306"/>
    <w:rsid w:val="00CC235C"/>
    <w:rsid w:val="00CC279B"/>
    <w:rsid w:val="00CC27ED"/>
    <w:rsid w:val="00CC4A09"/>
    <w:rsid w:val="00CC53B0"/>
    <w:rsid w:val="00CC6220"/>
    <w:rsid w:val="00CC6ADE"/>
    <w:rsid w:val="00CC6C39"/>
    <w:rsid w:val="00CC73A5"/>
    <w:rsid w:val="00CC79DD"/>
    <w:rsid w:val="00CC7FC5"/>
    <w:rsid w:val="00CD0669"/>
    <w:rsid w:val="00CD1597"/>
    <w:rsid w:val="00CD16EC"/>
    <w:rsid w:val="00CD18CA"/>
    <w:rsid w:val="00CD29E8"/>
    <w:rsid w:val="00CD2EC4"/>
    <w:rsid w:val="00CD3390"/>
    <w:rsid w:val="00CD3666"/>
    <w:rsid w:val="00CD3FCC"/>
    <w:rsid w:val="00CD441A"/>
    <w:rsid w:val="00CD4B2A"/>
    <w:rsid w:val="00CD5D9F"/>
    <w:rsid w:val="00CD5F9E"/>
    <w:rsid w:val="00CD6EFA"/>
    <w:rsid w:val="00CD734C"/>
    <w:rsid w:val="00CD78BA"/>
    <w:rsid w:val="00CE038A"/>
    <w:rsid w:val="00CE0941"/>
    <w:rsid w:val="00CE0A67"/>
    <w:rsid w:val="00CE0AEB"/>
    <w:rsid w:val="00CE1134"/>
    <w:rsid w:val="00CE19EB"/>
    <w:rsid w:val="00CE1E50"/>
    <w:rsid w:val="00CE202C"/>
    <w:rsid w:val="00CE23E3"/>
    <w:rsid w:val="00CE29A5"/>
    <w:rsid w:val="00CE2FF3"/>
    <w:rsid w:val="00CE346D"/>
    <w:rsid w:val="00CE3A1E"/>
    <w:rsid w:val="00CE41D3"/>
    <w:rsid w:val="00CE4CC8"/>
    <w:rsid w:val="00CE4D65"/>
    <w:rsid w:val="00CE5121"/>
    <w:rsid w:val="00CE52D9"/>
    <w:rsid w:val="00CE5743"/>
    <w:rsid w:val="00CE5887"/>
    <w:rsid w:val="00CE5ED6"/>
    <w:rsid w:val="00CE5EEB"/>
    <w:rsid w:val="00CE60B7"/>
    <w:rsid w:val="00CE66DD"/>
    <w:rsid w:val="00CF0734"/>
    <w:rsid w:val="00CF0A3F"/>
    <w:rsid w:val="00CF0C0C"/>
    <w:rsid w:val="00CF1E07"/>
    <w:rsid w:val="00CF27FC"/>
    <w:rsid w:val="00CF2BD0"/>
    <w:rsid w:val="00CF2EC9"/>
    <w:rsid w:val="00CF3DAD"/>
    <w:rsid w:val="00CF60ED"/>
    <w:rsid w:val="00CF678B"/>
    <w:rsid w:val="00CF7E1B"/>
    <w:rsid w:val="00D004B4"/>
    <w:rsid w:val="00D01FBC"/>
    <w:rsid w:val="00D028EF"/>
    <w:rsid w:val="00D030E8"/>
    <w:rsid w:val="00D03B70"/>
    <w:rsid w:val="00D04752"/>
    <w:rsid w:val="00D0709E"/>
    <w:rsid w:val="00D07B25"/>
    <w:rsid w:val="00D11F44"/>
    <w:rsid w:val="00D12B57"/>
    <w:rsid w:val="00D12E95"/>
    <w:rsid w:val="00D13C48"/>
    <w:rsid w:val="00D147C0"/>
    <w:rsid w:val="00D14EA8"/>
    <w:rsid w:val="00D154B0"/>
    <w:rsid w:val="00D15808"/>
    <w:rsid w:val="00D15B78"/>
    <w:rsid w:val="00D1643E"/>
    <w:rsid w:val="00D16501"/>
    <w:rsid w:val="00D16DD0"/>
    <w:rsid w:val="00D17C48"/>
    <w:rsid w:val="00D2179C"/>
    <w:rsid w:val="00D21FD7"/>
    <w:rsid w:val="00D23264"/>
    <w:rsid w:val="00D23FFF"/>
    <w:rsid w:val="00D24CD9"/>
    <w:rsid w:val="00D256FE"/>
    <w:rsid w:val="00D25F84"/>
    <w:rsid w:val="00D26DAC"/>
    <w:rsid w:val="00D26ECD"/>
    <w:rsid w:val="00D26F61"/>
    <w:rsid w:val="00D26FD7"/>
    <w:rsid w:val="00D27583"/>
    <w:rsid w:val="00D27632"/>
    <w:rsid w:val="00D27BB4"/>
    <w:rsid w:val="00D3048B"/>
    <w:rsid w:val="00D30922"/>
    <w:rsid w:val="00D312BE"/>
    <w:rsid w:val="00D32052"/>
    <w:rsid w:val="00D32335"/>
    <w:rsid w:val="00D3233C"/>
    <w:rsid w:val="00D327A4"/>
    <w:rsid w:val="00D32E94"/>
    <w:rsid w:val="00D32FBA"/>
    <w:rsid w:val="00D33491"/>
    <w:rsid w:val="00D33DFD"/>
    <w:rsid w:val="00D3403C"/>
    <w:rsid w:val="00D34A05"/>
    <w:rsid w:val="00D34A3A"/>
    <w:rsid w:val="00D35CFA"/>
    <w:rsid w:val="00D366B4"/>
    <w:rsid w:val="00D37098"/>
    <w:rsid w:val="00D374D8"/>
    <w:rsid w:val="00D4161C"/>
    <w:rsid w:val="00D42100"/>
    <w:rsid w:val="00D43766"/>
    <w:rsid w:val="00D4395F"/>
    <w:rsid w:val="00D46DA9"/>
    <w:rsid w:val="00D47B58"/>
    <w:rsid w:val="00D47C9D"/>
    <w:rsid w:val="00D50622"/>
    <w:rsid w:val="00D51CC0"/>
    <w:rsid w:val="00D51E32"/>
    <w:rsid w:val="00D52289"/>
    <w:rsid w:val="00D529AD"/>
    <w:rsid w:val="00D52C21"/>
    <w:rsid w:val="00D5386C"/>
    <w:rsid w:val="00D53A9B"/>
    <w:rsid w:val="00D53CE7"/>
    <w:rsid w:val="00D54899"/>
    <w:rsid w:val="00D54D40"/>
    <w:rsid w:val="00D55F8B"/>
    <w:rsid w:val="00D56A1D"/>
    <w:rsid w:val="00D602C6"/>
    <w:rsid w:val="00D60BA5"/>
    <w:rsid w:val="00D60F57"/>
    <w:rsid w:val="00D60FE6"/>
    <w:rsid w:val="00D61BC4"/>
    <w:rsid w:val="00D62F83"/>
    <w:rsid w:val="00D62F87"/>
    <w:rsid w:val="00D6328C"/>
    <w:rsid w:val="00D63327"/>
    <w:rsid w:val="00D64DCC"/>
    <w:rsid w:val="00D6500C"/>
    <w:rsid w:val="00D65BB7"/>
    <w:rsid w:val="00D6619B"/>
    <w:rsid w:val="00D67812"/>
    <w:rsid w:val="00D70FA0"/>
    <w:rsid w:val="00D71242"/>
    <w:rsid w:val="00D723DA"/>
    <w:rsid w:val="00D724A0"/>
    <w:rsid w:val="00D72519"/>
    <w:rsid w:val="00D72A2E"/>
    <w:rsid w:val="00D731F9"/>
    <w:rsid w:val="00D73A68"/>
    <w:rsid w:val="00D74721"/>
    <w:rsid w:val="00D749AB"/>
    <w:rsid w:val="00D74A08"/>
    <w:rsid w:val="00D75A7D"/>
    <w:rsid w:val="00D76692"/>
    <w:rsid w:val="00D770B1"/>
    <w:rsid w:val="00D80B0A"/>
    <w:rsid w:val="00D810B0"/>
    <w:rsid w:val="00D81CA7"/>
    <w:rsid w:val="00D81DBC"/>
    <w:rsid w:val="00D82287"/>
    <w:rsid w:val="00D82FAE"/>
    <w:rsid w:val="00D83B69"/>
    <w:rsid w:val="00D83F2B"/>
    <w:rsid w:val="00D84536"/>
    <w:rsid w:val="00D84CB5"/>
    <w:rsid w:val="00D8536E"/>
    <w:rsid w:val="00D86695"/>
    <w:rsid w:val="00D86927"/>
    <w:rsid w:val="00D86FA0"/>
    <w:rsid w:val="00D8723D"/>
    <w:rsid w:val="00D8748B"/>
    <w:rsid w:val="00D876ED"/>
    <w:rsid w:val="00D90B8B"/>
    <w:rsid w:val="00D9408D"/>
    <w:rsid w:val="00D95754"/>
    <w:rsid w:val="00D970C2"/>
    <w:rsid w:val="00DA2471"/>
    <w:rsid w:val="00DA3928"/>
    <w:rsid w:val="00DA5723"/>
    <w:rsid w:val="00DA5D99"/>
    <w:rsid w:val="00DA6002"/>
    <w:rsid w:val="00DA6DE2"/>
    <w:rsid w:val="00DB0661"/>
    <w:rsid w:val="00DB1A8B"/>
    <w:rsid w:val="00DB22AE"/>
    <w:rsid w:val="00DB24EA"/>
    <w:rsid w:val="00DB26F7"/>
    <w:rsid w:val="00DB4014"/>
    <w:rsid w:val="00DB53EF"/>
    <w:rsid w:val="00DB55C0"/>
    <w:rsid w:val="00DB6B0F"/>
    <w:rsid w:val="00DB7671"/>
    <w:rsid w:val="00DB77CD"/>
    <w:rsid w:val="00DC2DD1"/>
    <w:rsid w:val="00DC2F31"/>
    <w:rsid w:val="00DC32BE"/>
    <w:rsid w:val="00DC347D"/>
    <w:rsid w:val="00DC3ACE"/>
    <w:rsid w:val="00DC3C73"/>
    <w:rsid w:val="00DC3F0A"/>
    <w:rsid w:val="00DC405B"/>
    <w:rsid w:val="00DC501D"/>
    <w:rsid w:val="00DC55A0"/>
    <w:rsid w:val="00DC6307"/>
    <w:rsid w:val="00DC74DD"/>
    <w:rsid w:val="00DC7E01"/>
    <w:rsid w:val="00DD125B"/>
    <w:rsid w:val="00DD2118"/>
    <w:rsid w:val="00DD3369"/>
    <w:rsid w:val="00DD54DF"/>
    <w:rsid w:val="00DD6164"/>
    <w:rsid w:val="00DD628C"/>
    <w:rsid w:val="00DD675A"/>
    <w:rsid w:val="00DD68EA"/>
    <w:rsid w:val="00DD7D99"/>
    <w:rsid w:val="00DE1B9B"/>
    <w:rsid w:val="00DE1C1D"/>
    <w:rsid w:val="00DE3248"/>
    <w:rsid w:val="00DE362B"/>
    <w:rsid w:val="00DE363D"/>
    <w:rsid w:val="00DE377A"/>
    <w:rsid w:val="00DE3DF0"/>
    <w:rsid w:val="00DE53E5"/>
    <w:rsid w:val="00DE5AD8"/>
    <w:rsid w:val="00DE5D6F"/>
    <w:rsid w:val="00DE6172"/>
    <w:rsid w:val="00DE79EF"/>
    <w:rsid w:val="00DF0C5E"/>
    <w:rsid w:val="00DF15B3"/>
    <w:rsid w:val="00DF25A9"/>
    <w:rsid w:val="00DF3034"/>
    <w:rsid w:val="00E002FC"/>
    <w:rsid w:val="00E00977"/>
    <w:rsid w:val="00E00CD2"/>
    <w:rsid w:val="00E02B39"/>
    <w:rsid w:val="00E0329F"/>
    <w:rsid w:val="00E04CB9"/>
    <w:rsid w:val="00E058BC"/>
    <w:rsid w:val="00E058E9"/>
    <w:rsid w:val="00E05CE5"/>
    <w:rsid w:val="00E06CB9"/>
    <w:rsid w:val="00E1126A"/>
    <w:rsid w:val="00E11304"/>
    <w:rsid w:val="00E137D0"/>
    <w:rsid w:val="00E14046"/>
    <w:rsid w:val="00E14715"/>
    <w:rsid w:val="00E15843"/>
    <w:rsid w:val="00E15CA2"/>
    <w:rsid w:val="00E165E1"/>
    <w:rsid w:val="00E1750E"/>
    <w:rsid w:val="00E209D0"/>
    <w:rsid w:val="00E221FB"/>
    <w:rsid w:val="00E2226F"/>
    <w:rsid w:val="00E22737"/>
    <w:rsid w:val="00E22FF2"/>
    <w:rsid w:val="00E23111"/>
    <w:rsid w:val="00E23D05"/>
    <w:rsid w:val="00E247D4"/>
    <w:rsid w:val="00E26826"/>
    <w:rsid w:val="00E27D6D"/>
    <w:rsid w:val="00E27EB1"/>
    <w:rsid w:val="00E304E6"/>
    <w:rsid w:val="00E30A58"/>
    <w:rsid w:val="00E31CBC"/>
    <w:rsid w:val="00E323A5"/>
    <w:rsid w:val="00E33507"/>
    <w:rsid w:val="00E33FF4"/>
    <w:rsid w:val="00E35770"/>
    <w:rsid w:val="00E3577F"/>
    <w:rsid w:val="00E3634A"/>
    <w:rsid w:val="00E36407"/>
    <w:rsid w:val="00E36B10"/>
    <w:rsid w:val="00E37AEA"/>
    <w:rsid w:val="00E37D3F"/>
    <w:rsid w:val="00E41FE2"/>
    <w:rsid w:val="00E42322"/>
    <w:rsid w:val="00E4281D"/>
    <w:rsid w:val="00E4421C"/>
    <w:rsid w:val="00E447F2"/>
    <w:rsid w:val="00E44D7B"/>
    <w:rsid w:val="00E4515D"/>
    <w:rsid w:val="00E452AD"/>
    <w:rsid w:val="00E4663C"/>
    <w:rsid w:val="00E475C7"/>
    <w:rsid w:val="00E50A4A"/>
    <w:rsid w:val="00E512CD"/>
    <w:rsid w:val="00E51C4E"/>
    <w:rsid w:val="00E5404F"/>
    <w:rsid w:val="00E5405B"/>
    <w:rsid w:val="00E545F0"/>
    <w:rsid w:val="00E5460C"/>
    <w:rsid w:val="00E5467D"/>
    <w:rsid w:val="00E546C4"/>
    <w:rsid w:val="00E55DC0"/>
    <w:rsid w:val="00E57266"/>
    <w:rsid w:val="00E572EF"/>
    <w:rsid w:val="00E57496"/>
    <w:rsid w:val="00E57CFA"/>
    <w:rsid w:val="00E60CAE"/>
    <w:rsid w:val="00E614AF"/>
    <w:rsid w:val="00E6187B"/>
    <w:rsid w:val="00E61D64"/>
    <w:rsid w:val="00E61E62"/>
    <w:rsid w:val="00E62397"/>
    <w:rsid w:val="00E62AE2"/>
    <w:rsid w:val="00E63C6F"/>
    <w:rsid w:val="00E64417"/>
    <w:rsid w:val="00E6445C"/>
    <w:rsid w:val="00E6549E"/>
    <w:rsid w:val="00E66FB0"/>
    <w:rsid w:val="00E7070A"/>
    <w:rsid w:val="00E70851"/>
    <w:rsid w:val="00E70FBB"/>
    <w:rsid w:val="00E711E8"/>
    <w:rsid w:val="00E71516"/>
    <w:rsid w:val="00E71524"/>
    <w:rsid w:val="00E71691"/>
    <w:rsid w:val="00E731CF"/>
    <w:rsid w:val="00E735BA"/>
    <w:rsid w:val="00E75071"/>
    <w:rsid w:val="00E760B4"/>
    <w:rsid w:val="00E763F8"/>
    <w:rsid w:val="00E76CF8"/>
    <w:rsid w:val="00E807D1"/>
    <w:rsid w:val="00E80A61"/>
    <w:rsid w:val="00E80B6B"/>
    <w:rsid w:val="00E8152B"/>
    <w:rsid w:val="00E81BB3"/>
    <w:rsid w:val="00E82305"/>
    <w:rsid w:val="00E828A1"/>
    <w:rsid w:val="00E83594"/>
    <w:rsid w:val="00E837D8"/>
    <w:rsid w:val="00E842D6"/>
    <w:rsid w:val="00E85F7D"/>
    <w:rsid w:val="00E8690A"/>
    <w:rsid w:val="00E869D9"/>
    <w:rsid w:val="00E86DE9"/>
    <w:rsid w:val="00E87661"/>
    <w:rsid w:val="00E906BE"/>
    <w:rsid w:val="00E90748"/>
    <w:rsid w:val="00E91274"/>
    <w:rsid w:val="00E91BCE"/>
    <w:rsid w:val="00E930A8"/>
    <w:rsid w:val="00E9467F"/>
    <w:rsid w:val="00E94D91"/>
    <w:rsid w:val="00E960F6"/>
    <w:rsid w:val="00E96F50"/>
    <w:rsid w:val="00E970AF"/>
    <w:rsid w:val="00EA00D4"/>
    <w:rsid w:val="00EA1B85"/>
    <w:rsid w:val="00EA20AD"/>
    <w:rsid w:val="00EA2166"/>
    <w:rsid w:val="00EA242F"/>
    <w:rsid w:val="00EA2530"/>
    <w:rsid w:val="00EA27A3"/>
    <w:rsid w:val="00EA31C1"/>
    <w:rsid w:val="00EA46B4"/>
    <w:rsid w:val="00EA5C74"/>
    <w:rsid w:val="00EA633E"/>
    <w:rsid w:val="00EA6651"/>
    <w:rsid w:val="00EA7BD8"/>
    <w:rsid w:val="00EA7D96"/>
    <w:rsid w:val="00EB0218"/>
    <w:rsid w:val="00EB0768"/>
    <w:rsid w:val="00EB11F5"/>
    <w:rsid w:val="00EB1BBB"/>
    <w:rsid w:val="00EB564C"/>
    <w:rsid w:val="00EB790F"/>
    <w:rsid w:val="00EB7DBD"/>
    <w:rsid w:val="00EC0192"/>
    <w:rsid w:val="00EC0A18"/>
    <w:rsid w:val="00EC0F2E"/>
    <w:rsid w:val="00EC0FAA"/>
    <w:rsid w:val="00EC15E0"/>
    <w:rsid w:val="00EC2049"/>
    <w:rsid w:val="00EC2202"/>
    <w:rsid w:val="00EC2B0F"/>
    <w:rsid w:val="00EC45CF"/>
    <w:rsid w:val="00EC4EEE"/>
    <w:rsid w:val="00EC7096"/>
    <w:rsid w:val="00EC7736"/>
    <w:rsid w:val="00EC7803"/>
    <w:rsid w:val="00EC7C52"/>
    <w:rsid w:val="00ED0008"/>
    <w:rsid w:val="00ED004D"/>
    <w:rsid w:val="00ED1479"/>
    <w:rsid w:val="00ED1A8B"/>
    <w:rsid w:val="00ED1C47"/>
    <w:rsid w:val="00ED2067"/>
    <w:rsid w:val="00ED28D6"/>
    <w:rsid w:val="00ED2DD0"/>
    <w:rsid w:val="00ED37D9"/>
    <w:rsid w:val="00ED3931"/>
    <w:rsid w:val="00ED3E03"/>
    <w:rsid w:val="00ED4F25"/>
    <w:rsid w:val="00ED5780"/>
    <w:rsid w:val="00EE150F"/>
    <w:rsid w:val="00EE17D1"/>
    <w:rsid w:val="00EE226C"/>
    <w:rsid w:val="00EE388D"/>
    <w:rsid w:val="00EE4E34"/>
    <w:rsid w:val="00EE5831"/>
    <w:rsid w:val="00EE5964"/>
    <w:rsid w:val="00EE75DB"/>
    <w:rsid w:val="00EE7B3F"/>
    <w:rsid w:val="00EE7CBE"/>
    <w:rsid w:val="00EF05C0"/>
    <w:rsid w:val="00EF27CC"/>
    <w:rsid w:val="00EF2B48"/>
    <w:rsid w:val="00EF316E"/>
    <w:rsid w:val="00EF3CB3"/>
    <w:rsid w:val="00EF4562"/>
    <w:rsid w:val="00EF6EAC"/>
    <w:rsid w:val="00EF7984"/>
    <w:rsid w:val="00F005A8"/>
    <w:rsid w:val="00F0198A"/>
    <w:rsid w:val="00F02702"/>
    <w:rsid w:val="00F0285E"/>
    <w:rsid w:val="00F028AC"/>
    <w:rsid w:val="00F028F0"/>
    <w:rsid w:val="00F035F5"/>
    <w:rsid w:val="00F04444"/>
    <w:rsid w:val="00F05148"/>
    <w:rsid w:val="00F0568A"/>
    <w:rsid w:val="00F056E6"/>
    <w:rsid w:val="00F05785"/>
    <w:rsid w:val="00F05822"/>
    <w:rsid w:val="00F06A7E"/>
    <w:rsid w:val="00F0744B"/>
    <w:rsid w:val="00F1147D"/>
    <w:rsid w:val="00F11522"/>
    <w:rsid w:val="00F11A6F"/>
    <w:rsid w:val="00F12835"/>
    <w:rsid w:val="00F12C7B"/>
    <w:rsid w:val="00F1319F"/>
    <w:rsid w:val="00F1359D"/>
    <w:rsid w:val="00F136FD"/>
    <w:rsid w:val="00F13FEB"/>
    <w:rsid w:val="00F149E0"/>
    <w:rsid w:val="00F15C23"/>
    <w:rsid w:val="00F1637D"/>
    <w:rsid w:val="00F16A10"/>
    <w:rsid w:val="00F202BB"/>
    <w:rsid w:val="00F2030E"/>
    <w:rsid w:val="00F2099A"/>
    <w:rsid w:val="00F210BE"/>
    <w:rsid w:val="00F21E5E"/>
    <w:rsid w:val="00F22FFD"/>
    <w:rsid w:val="00F23C0F"/>
    <w:rsid w:val="00F243C5"/>
    <w:rsid w:val="00F244DB"/>
    <w:rsid w:val="00F2493D"/>
    <w:rsid w:val="00F2535E"/>
    <w:rsid w:val="00F27451"/>
    <w:rsid w:val="00F2750C"/>
    <w:rsid w:val="00F27B7B"/>
    <w:rsid w:val="00F30B77"/>
    <w:rsid w:val="00F30CE8"/>
    <w:rsid w:val="00F31015"/>
    <w:rsid w:val="00F31E88"/>
    <w:rsid w:val="00F3288A"/>
    <w:rsid w:val="00F33532"/>
    <w:rsid w:val="00F340A0"/>
    <w:rsid w:val="00F349B9"/>
    <w:rsid w:val="00F36833"/>
    <w:rsid w:val="00F36D3E"/>
    <w:rsid w:val="00F3762E"/>
    <w:rsid w:val="00F40311"/>
    <w:rsid w:val="00F40D54"/>
    <w:rsid w:val="00F4153C"/>
    <w:rsid w:val="00F41570"/>
    <w:rsid w:val="00F41D75"/>
    <w:rsid w:val="00F42198"/>
    <w:rsid w:val="00F4313E"/>
    <w:rsid w:val="00F44479"/>
    <w:rsid w:val="00F45468"/>
    <w:rsid w:val="00F458E9"/>
    <w:rsid w:val="00F45A7D"/>
    <w:rsid w:val="00F47C15"/>
    <w:rsid w:val="00F50850"/>
    <w:rsid w:val="00F50B3C"/>
    <w:rsid w:val="00F5151D"/>
    <w:rsid w:val="00F51B36"/>
    <w:rsid w:val="00F51B85"/>
    <w:rsid w:val="00F5281B"/>
    <w:rsid w:val="00F529C2"/>
    <w:rsid w:val="00F5537E"/>
    <w:rsid w:val="00F5538C"/>
    <w:rsid w:val="00F56008"/>
    <w:rsid w:val="00F56D4C"/>
    <w:rsid w:val="00F572A6"/>
    <w:rsid w:val="00F610E9"/>
    <w:rsid w:val="00F61806"/>
    <w:rsid w:val="00F61E8B"/>
    <w:rsid w:val="00F623EC"/>
    <w:rsid w:val="00F64C5B"/>
    <w:rsid w:val="00F653FC"/>
    <w:rsid w:val="00F665A6"/>
    <w:rsid w:val="00F6742B"/>
    <w:rsid w:val="00F6771F"/>
    <w:rsid w:val="00F67C4C"/>
    <w:rsid w:val="00F67D2B"/>
    <w:rsid w:val="00F67D8C"/>
    <w:rsid w:val="00F71D3B"/>
    <w:rsid w:val="00F7220A"/>
    <w:rsid w:val="00F72A58"/>
    <w:rsid w:val="00F72DAA"/>
    <w:rsid w:val="00F731A9"/>
    <w:rsid w:val="00F74AC2"/>
    <w:rsid w:val="00F75123"/>
    <w:rsid w:val="00F753B9"/>
    <w:rsid w:val="00F7763A"/>
    <w:rsid w:val="00F77B3C"/>
    <w:rsid w:val="00F80712"/>
    <w:rsid w:val="00F80772"/>
    <w:rsid w:val="00F81F39"/>
    <w:rsid w:val="00F82782"/>
    <w:rsid w:val="00F83784"/>
    <w:rsid w:val="00F8424B"/>
    <w:rsid w:val="00F851A7"/>
    <w:rsid w:val="00F856C1"/>
    <w:rsid w:val="00F85B59"/>
    <w:rsid w:val="00F85DDB"/>
    <w:rsid w:val="00F85FAD"/>
    <w:rsid w:val="00F8628D"/>
    <w:rsid w:val="00F90453"/>
    <w:rsid w:val="00F91349"/>
    <w:rsid w:val="00F91A6F"/>
    <w:rsid w:val="00F91DDA"/>
    <w:rsid w:val="00F929C6"/>
    <w:rsid w:val="00F93140"/>
    <w:rsid w:val="00F93F19"/>
    <w:rsid w:val="00F94771"/>
    <w:rsid w:val="00F95DF1"/>
    <w:rsid w:val="00F95F2A"/>
    <w:rsid w:val="00F96024"/>
    <w:rsid w:val="00F979AB"/>
    <w:rsid w:val="00FA1779"/>
    <w:rsid w:val="00FA20E5"/>
    <w:rsid w:val="00FA22AC"/>
    <w:rsid w:val="00FA234E"/>
    <w:rsid w:val="00FA2775"/>
    <w:rsid w:val="00FA27EE"/>
    <w:rsid w:val="00FA2AD3"/>
    <w:rsid w:val="00FA2CC6"/>
    <w:rsid w:val="00FA2DBA"/>
    <w:rsid w:val="00FA387A"/>
    <w:rsid w:val="00FA3958"/>
    <w:rsid w:val="00FA4DBB"/>
    <w:rsid w:val="00FA5448"/>
    <w:rsid w:val="00FA63DA"/>
    <w:rsid w:val="00FA661B"/>
    <w:rsid w:val="00FA6FA7"/>
    <w:rsid w:val="00FA707F"/>
    <w:rsid w:val="00FB006B"/>
    <w:rsid w:val="00FB0E39"/>
    <w:rsid w:val="00FB0EF7"/>
    <w:rsid w:val="00FB15AF"/>
    <w:rsid w:val="00FB1CCD"/>
    <w:rsid w:val="00FB2200"/>
    <w:rsid w:val="00FB232F"/>
    <w:rsid w:val="00FB246E"/>
    <w:rsid w:val="00FB29B3"/>
    <w:rsid w:val="00FB42CF"/>
    <w:rsid w:val="00FB5314"/>
    <w:rsid w:val="00FB5853"/>
    <w:rsid w:val="00FC1344"/>
    <w:rsid w:val="00FC14A0"/>
    <w:rsid w:val="00FC1DA4"/>
    <w:rsid w:val="00FC2E34"/>
    <w:rsid w:val="00FC3168"/>
    <w:rsid w:val="00FC5277"/>
    <w:rsid w:val="00FC5B82"/>
    <w:rsid w:val="00FC6302"/>
    <w:rsid w:val="00FC632E"/>
    <w:rsid w:val="00FD0429"/>
    <w:rsid w:val="00FD2795"/>
    <w:rsid w:val="00FD2B86"/>
    <w:rsid w:val="00FD31A0"/>
    <w:rsid w:val="00FD3669"/>
    <w:rsid w:val="00FD37D2"/>
    <w:rsid w:val="00FD42FB"/>
    <w:rsid w:val="00FD4627"/>
    <w:rsid w:val="00FD6DC6"/>
    <w:rsid w:val="00FE05D7"/>
    <w:rsid w:val="00FE248E"/>
    <w:rsid w:val="00FE26B2"/>
    <w:rsid w:val="00FE456A"/>
    <w:rsid w:val="00FE4604"/>
    <w:rsid w:val="00FE5317"/>
    <w:rsid w:val="00FE6A84"/>
    <w:rsid w:val="00FE6E82"/>
    <w:rsid w:val="00FE773A"/>
    <w:rsid w:val="00FF0D27"/>
    <w:rsid w:val="00FF11D2"/>
    <w:rsid w:val="00FF1A48"/>
    <w:rsid w:val="00FF1B7C"/>
    <w:rsid w:val="00FF2209"/>
    <w:rsid w:val="00FF254D"/>
    <w:rsid w:val="00FF26AF"/>
    <w:rsid w:val="00FF2E3F"/>
    <w:rsid w:val="00FF3CD9"/>
    <w:rsid w:val="00FF4C44"/>
    <w:rsid w:val="00FF560B"/>
    <w:rsid w:val="00FF7337"/>
    <w:rsid w:val="00FF79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FBFD4"/>
  <w15:docId w15:val="{5DE11F69-C866-468F-9C18-0D1159861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562"/>
    <w:pPr>
      <w:spacing w:after="0" w:line="240" w:lineRule="auto"/>
    </w:pPr>
    <w:rPr>
      <w:rFonts w:ascii="Times LatArm" w:eastAsia="Times New Roman" w:hAnsi="Times LatArm" w:cs="Times New Roman"/>
      <w:sz w:val="24"/>
      <w:szCs w:val="24"/>
    </w:rPr>
  </w:style>
  <w:style w:type="paragraph" w:styleId="Heading1">
    <w:name w:val="heading 1"/>
    <w:basedOn w:val="Normal"/>
    <w:next w:val="Normal"/>
    <w:link w:val="Heading1Char"/>
    <w:qFormat/>
    <w:rsid w:val="00F27451"/>
    <w:pPr>
      <w:keepNext/>
      <w:spacing w:line="360" w:lineRule="auto"/>
      <w:jc w:val="both"/>
      <w:outlineLvl w:val="0"/>
    </w:pPr>
    <w:rPr>
      <w:rFonts w:ascii="Times Armenian" w:hAnsi="Times Armenian"/>
      <w:b/>
      <w:color w:val="000000"/>
      <w:sz w:val="26"/>
      <w:szCs w:val="26"/>
      <w:u w:val="single"/>
      <w:lang w:val="hy-AM"/>
    </w:rPr>
  </w:style>
  <w:style w:type="paragraph" w:styleId="Heading2">
    <w:name w:val="heading 2"/>
    <w:basedOn w:val="Normal"/>
    <w:next w:val="Normal"/>
    <w:link w:val="Heading2Char"/>
    <w:qFormat/>
    <w:rsid w:val="00F27451"/>
    <w:pPr>
      <w:keepNext/>
      <w:spacing w:line="360" w:lineRule="auto"/>
      <w:ind w:firstLine="540"/>
      <w:jc w:val="right"/>
      <w:outlineLvl w:val="1"/>
    </w:pPr>
    <w:rPr>
      <w:rFonts w:ascii="Times Armenian" w:hAnsi="Times Armenian" w:cs="Arial"/>
      <w:i/>
      <w:iCs/>
      <w:color w:val="000000"/>
      <w:szCs w:val="20"/>
      <w:lang w:val="hy-AM"/>
    </w:rPr>
  </w:style>
  <w:style w:type="paragraph" w:styleId="Heading7">
    <w:name w:val="heading 7"/>
    <w:basedOn w:val="Normal"/>
    <w:next w:val="Normal"/>
    <w:link w:val="Heading7Char"/>
    <w:qFormat/>
    <w:rsid w:val="00F27451"/>
    <w:pPr>
      <w:keepNext/>
      <w:spacing w:line="360" w:lineRule="auto"/>
      <w:ind w:left="1701"/>
      <w:jc w:val="center"/>
      <w:outlineLvl w:val="6"/>
    </w:pPr>
    <w:rPr>
      <w:rFonts w:ascii="Arial Armenian" w:hAnsi="Arial Armenian"/>
      <w:b/>
      <w:spacing w:val="40"/>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
    <w:name w:val="long_text"/>
    <w:rsid w:val="00414562"/>
  </w:style>
  <w:style w:type="paragraph" w:styleId="ListParagraph">
    <w:name w:val="List Paragraph"/>
    <w:basedOn w:val="Normal"/>
    <w:uiPriority w:val="34"/>
    <w:qFormat/>
    <w:rsid w:val="002F4FEC"/>
    <w:pPr>
      <w:ind w:left="720"/>
      <w:contextualSpacing/>
    </w:pPr>
  </w:style>
  <w:style w:type="paragraph" w:styleId="FootnoteText">
    <w:name w:val="footnote text"/>
    <w:basedOn w:val="Normal"/>
    <w:link w:val="FootnoteTextChar"/>
    <w:unhideWhenUsed/>
    <w:rsid w:val="004C715C"/>
    <w:rPr>
      <w:sz w:val="20"/>
      <w:szCs w:val="20"/>
    </w:rPr>
  </w:style>
  <w:style w:type="character" w:customStyle="1" w:styleId="FootnoteTextChar">
    <w:name w:val="Footnote Text Char"/>
    <w:basedOn w:val="DefaultParagraphFont"/>
    <w:link w:val="FootnoteText"/>
    <w:rsid w:val="004C715C"/>
    <w:rPr>
      <w:rFonts w:ascii="Times LatArm" w:eastAsia="Times New Roman" w:hAnsi="Times LatArm" w:cs="Times New Roman"/>
      <w:sz w:val="20"/>
      <w:szCs w:val="20"/>
    </w:rPr>
  </w:style>
  <w:style w:type="character" w:styleId="FootnoteReference">
    <w:name w:val="footnote reference"/>
    <w:basedOn w:val="DefaultParagraphFont"/>
    <w:unhideWhenUsed/>
    <w:rsid w:val="004C715C"/>
    <w:rPr>
      <w:vertAlign w:val="superscript"/>
    </w:rPr>
  </w:style>
  <w:style w:type="table" w:styleId="TableGrid">
    <w:name w:val="Table Grid"/>
    <w:basedOn w:val="TableNormal"/>
    <w:uiPriority w:val="59"/>
    <w:rsid w:val="002A0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2">
    <w:name w:val="Footnote Text Char2"/>
    <w:semiHidden/>
    <w:rsid w:val="00400525"/>
    <w:rPr>
      <w:rFonts w:ascii="Times Armenian" w:hAnsi="Times Armenian"/>
      <w:lang w:val="en-US" w:eastAsia="en-US" w:bidi="ar-SA"/>
    </w:rPr>
  </w:style>
  <w:style w:type="character" w:styleId="Hyperlink">
    <w:name w:val="Hyperlink"/>
    <w:rsid w:val="00431888"/>
    <w:rPr>
      <w:color w:val="0000FF"/>
      <w:u w:val="single"/>
    </w:rPr>
  </w:style>
  <w:style w:type="paragraph" w:styleId="Header">
    <w:name w:val="header"/>
    <w:basedOn w:val="Normal"/>
    <w:link w:val="HeaderChar"/>
    <w:uiPriority w:val="99"/>
    <w:unhideWhenUsed/>
    <w:rsid w:val="008D531F"/>
    <w:pPr>
      <w:tabs>
        <w:tab w:val="center" w:pos="4680"/>
        <w:tab w:val="right" w:pos="9360"/>
      </w:tabs>
    </w:pPr>
  </w:style>
  <w:style w:type="character" w:customStyle="1" w:styleId="HeaderChar">
    <w:name w:val="Header Char"/>
    <w:basedOn w:val="DefaultParagraphFont"/>
    <w:link w:val="Header"/>
    <w:uiPriority w:val="99"/>
    <w:rsid w:val="008D531F"/>
    <w:rPr>
      <w:rFonts w:ascii="Times LatArm" w:eastAsia="Times New Roman" w:hAnsi="Times LatArm" w:cs="Times New Roman"/>
      <w:sz w:val="24"/>
      <w:szCs w:val="24"/>
    </w:rPr>
  </w:style>
  <w:style w:type="paragraph" w:styleId="Footer">
    <w:name w:val="footer"/>
    <w:basedOn w:val="Normal"/>
    <w:link w:val="FooterChar"/>
    <w:uiPriority w:val="99"/>
    <w:unhideWhenUsed/>
    <w:rsid w:val="008D531F"/>
    <w:pPr>
      <w:tabs>
        <w:tab w:val="center" w:pos="4680"/>
        <w:tab w:val="right" w:pos="9360"/>
      </w:tabs>
    </w:pPr>
  </w:style>
  <w:style w:type="character" w:customStyle="1" w:styleId="FooterChar">
    <w:name w:val="Footer Char"/>
    <w:basedOn w:val="DefaultParagraphFont"/>
    <w:link w:val="Footer"/>
    <w:uiPriority w:val="99"/>
    <w:rsid w:val="008D531F"/>
    <w:rPr>
      <w:rFonts w:ascii="Times LatArm" w:eastAsia="Times New Roman" w:hAnsi="Times LatArm" w:cs="Times New Roman"/>
      <w:sz w:val="24"/>
      <w:szCs w:val="24"/>
    </w:rPr>
  </w:style>
  <w:style w:type="character" w:customStyle="1" w:styleId="apple-converted-space">
    <w:name w:val="apple-converted-space"/>
    <w:basedOn w:val="DefaultParagraphFont"/>
    <w:rsid w:val="00051ACE"/>
  </w:style>
  <w:style w:type="paragraph" w:styleId="BodyText">
    <w:name w:val="Body Text"/>
    <w:basedOn w:val="Normal"/>
    <w:link w:val="BodyTextChar"/>
    <w:uiPriority w:val="99"/>
    <w:unhideWhenUsed/>
    <w:rsid w:val="006A7E57"/>
    <w:pPr>
      <w:spacing w:after="120" w:line="276" w:lineRule="auto"/>
    </w:pPr>
    <w:rPr>
      <w:rFonts w:ascii="GHEA Grapalat" w:eastAsia="Calibri" w:hAnsi="GHEA Grapalat"/>
      <w:sz w:val="22"/>
      <w:szCs w:val="22"/>
    </w:rPr>
  </w:style>
  <w:style w:type="character" w:customStyle="1" w:styleId="BodyTextChar">
    <w:name w:val="Body Text Char"/>
    <w:basedOn w:val="DefaultParagraphFont"/>
    <w:link w:val="BodyText"/>
    <w:uiPriority w:val="99"/>
    <w:rsid w:val="006A7E57"/>
    <w:rPr>
      <w:rFonts w:ascii="GHEA Grapalat" w:eastAsia="Calibri" w:hAnsi="GHEA Grapalat" w:cs="Times New Roman"/>
    </w:rPr>
  </w:style>
  <w:style w:type="character" w:customStyle="1" w:styleId="Heading1Char">
    <w:name w:val="Heading 1 Char"/>
    <w:basedOn w:val="DefaultParagraphFont"/>
    <w:link w:val="Heading1"/>
    <w:rsid w:val="00F27451"/>
    <w:rPr>
      <w:rFonts w:ascii="Times Armenian" w:eastAsia="Times New Roman" w:hAnsi="Times Armenian" w:cs="Times New Roman"/>
      <w:b/>
      <w:color w:val="000000"/>
      <w:sz w:val="26"/>
      <w:szCs w:val="26"/>
      <w:u w:val="single"/>
      <w:lang w:val="hy-AM"/>
    </w:rPr>
  </w:style>
  <w:style w:type="character" w:customStyle="1" w:styleId="Heading2Char">
    <w:name w:val="Heading 2 Char"/>
    <w:basedOn w:val="DefaultParagraphFont"/>
    <w:link w:val="Heading2"/>
    <w:rsid w:val="00F27451"/>
    <w:rPr>
      <w:rFonts w:ascii="Times Armenian" w:eastAsia="Times New Roman" w:hAnsi="Times Armenian" w:cs="Arial"/>
      <w:i/>
      <w:iCs/>
      <w:color w:val="000000"/>
      <w:sz w:val="24"/>
      <w:szCs w:val="20"/>
      <w:lang w:val="hy-AM"/>
    </w:rPr>
  </w:style>
  <w:style w:type="character" w:customStyle="1" w:styleId="Heading7Char">
    <w:name w:val="Heading 7 Char"/>
    <w:basedOn w:val="DefaultParagraphFont"/>
    <w:link w:val="Heading7"/>
    <w:rsid w:val="00F27451"/>
    <w:rPr>
      <w:rFonts w:ascii="Arial Armenian" w:eastAsia="Times New Roman" w:hAnsi="Arial Armenian" w:cs="Times New Roman"/>
      <w:b/>
      <w:spacing w:val="40"/>
      <w:szCs w:val="23"/>
    </w:rPr>
  </w:style>
  <w:style w:type="paragraph" w:styleId="BalloonText">
    <w:name w:val="Balloon Text"/>
    <w:basedOn w:val="Normal"/>
    <w:link w:val="BalloonTextChar"/>
    <w:uiPriority w:val="99"/>
    <w:semiHidden/>
    <w:unhideWhenUsed/>
    <w:rsid w:val="00D15B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B7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32AD7-3795-4E13-A3AD-A299D9140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27</Pages>
  <Words>8956</Words>
  <Characters>51051</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Սուսաննա Քարտաշյան</cp:lastModifiedBy>
  <cp:revision>17</cp:revision>
  <dcterms:created xsi:type="dcterms:W3CDTF">2017-09-14T13:04:00Z</dcterms:created>
  <dcterms:modified xsi:type="dcterms:W3CDTF">2024-02-02T13:10:00Z</dcterms:modified>
</cp:coreProperties>
</file>