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DF38D" w14:textId="77777777" w:rsidR="00F40F99" w:rsidRPr="00626752" w:rsidRDefault="00F40F99" w:rsidP="00F40F99">
      <w:pPr>
        <w:pStyle w:val="Heading1"/>
        <w:spacing w:line="312" w:lineRule="auto"/>
        <w:ind w:right="336" w:firstLine="1300"/>
        <w:jc w:val="right"/>
        <w:rPr>
          <w:rFonts w:ascii="Garamond" w:hAnsi="Garamond"/>
          <w:color w:val="auto"/>
          <w:spacing w:val="20"/>
          <w:w w:val="110"/>
          <w:sz w:val="22"/>
          <w:szCs w:val="22"/>
          <w:u w:val="none"/>
          <w:lang w:val="en-US"/>
        </w:rPr>
      </w:pPr>
      <w:r w:rsidRPr="00626752">
        <w:rPr>
          <w:rFonts w:ascii="Garamond" w:hAnsi="Garamond"/>
          <w:color w:val="auto"/>
          <w:spacing w:val="20"/>
          <w:w w:val="110"/>
          <w:sz w:val="22"/>
          <w:szCs w:val="22"/>
          <w:u w:val="none"/>
          <w:lang w:val="en-US"/>
        </w:rPr>
        <w:t xml:space="preserve">THE CENTRAL BANK </w:t>
      </w:r>
    </w:p>
    <w:p w14:paraId="5F956726" w14:textId="77777777" w:rsidR="00F40F99" w:rsidRPr="00626752" w:rsidRDefault="00F40F99" w:rsidP="00F40F99">
      <w:pPr>
        <w:pStyle w:val="Heading1"/>
        <w:spacing w:line="312" w:lineRule="auto"/>
        <w:ind w:right="336" w:firstLine="1300"/>
        <w:jc w:val="right"/>
        <w:rPr>
          <w:rFonts w:ascii="Garamond" w:hAnsi="Garamond"/>
          <w:color w:val="auto"/>
          <w:spacing w:val="20"/>
          <w:w w:val="110"/>
          <w:sz w:val="22"/>
          <w:szCs w:val="22"/>
          <w:u w:val="none"/>
        </w:rPr>
      </w:pPr>
      <w:r w:rsidRPr="00626752">
        <w:rPr>
          <w:rFonts w:ascii="Garamond" w:hAnsi="Garamond"/>
          <w:color w:val="auto"/>
          <w:spacing w:val="20"/>
          <w:w w:val="110"/>
          <w:sz w:val="22"/>
          <w:szCs w:val="22"/>
          <w:u w:val="none"/>
          <w:lang w:val="en-US"/>
        </w:rPr>
        <w:t>OF THE REPUBLIC OF ARMENIA</w:t>
      </w:r>
    </w:p>
    <w:p w14:paraId="01A3119F" w14:textId="77777777" w:rsidR="00F40F99" w:rsidRPr="00626752" w:rsidRDefault="00F40F99" w:rsidP="00F40F99">
      <w:pPr>
        <w:tabs>
          <w:tab w:val="left" w:pos="600"/>
        </w:tabs>
        <w:spacing w:line="312" w:lineRule="auto"/>
        <w:ind w:right="336" w:firstLine="400"/>
        <w:jc w:val="center"/>
        <w:rPr>
          <w:rFonts w:ascii="Garamond" w:hAnsi="Garamond"/>
          <w:sz w:val="22"/>
          <w:szCs w:val="22"/>
        </w:rPr>
      </w:pPr>
    </w:p>
    <w:p w14:paraId="67E7BB0E" w14:textId="77777777" w:rsidR="00F40F99" w:rsidRPr="00626752" w:rsidRDefault="00F40F99" w:rsidP="00F40F99">
      <w:pPr>
        <w:tabs>
          <w:tab w:val="left" w:pos="600"/>
        </w:tabs>
        <w:spacing w:line="312" w:lineRule="auto"/>
        <w:ind w:right="336" w:firstLine="400"/>
        <w:jc w:val="center"/>
        <w:rPr>
          <w:rFonts w:ascii="Garamond" w:hAnsi="Garamond"/>
          <w:sz w:val="22"/>
          <w:szCs w:val="22"/>
        </w:rPr>
      </w:pPr>
    </w:p>
    <w:p w14:paraId="3FFFEE11" w14:textId="77777777" w:rsidR="00F40F99" w:rsidRPr="00626752" w:rsidRDefault="00F40F99" w:rsidP="00F40F99">
      <w:pPr>
        <w:tabs>
          <w:tab w:val="left" w:pos="600"/>
        </w:tabs>
        <w:spacing w:line="312" w:lineRule="auto"/>
        <w:ind w:right="336" w:firstLine="400"/>
        <w:jc w:val="center"/>
        <w:rPr>
          <w:rFonts w:ascii="Garamond" w:hAnsi="Garamond"/>
          <w:sz w:val="22"/>
          <w:szCs w:val="22"/>
        </w:rPr>
      </w:pPr>
    </w:p>
    <w:p w14:paraId="585CC948" w14:textId="77777777" w:rsidR="00F40F99" w:rsidRPr="00626752" w:rsidRDefault="00F40F99" w:rsidP="00F40F99">
      <w:pPr>
        <w:pStyle w:val="Heading7"/>
        <w:spacing w:line="312" w:lineRule="auto"/>
        <w:ind w:right="336" w:firstLine="400"/>
        <w:jc w:val="right"/>
        <w:rPr>
          <w:rFonts w:ascii="Garamond" w:hAnsi="Garamond"/>
          <w:b w:val="0"/>
          <w:spacing w:val="10"/>
          <w:w w:val="110"/>
          <w:szCs w:val="22"/>
        </w:rPr>
      </w:pPr>
      <w:r w:rsidRPr="00626752">
        <w:rPr>
          <w:rFonts w:ascii="Garamond" w:hAnsi="Garamond"/>
          <w:b w:val="0"/>
          <w:spacing w:val="10"/>
          <w:w w:val="110"/>
          <w:szCs w:val="22"/>
        </w:rPr>
        <w:t>Approved under Board of the Central Bank Resolution No. 268A,</w:t>
      </w:r>
    </w:p>
    <w:p w14:paraId="7AA2B774" w14:textId="77777777" w:rsidR="00F40F99" w:rsidRPr="00626752" w:rsidRDefault="00F40F99" w:rsidP="00F40F99">
      <w:pPr>
        <w:pStyle w:val="Heading7"/>
        <w:spacing w:line="312" w:lineRule="auto"/>
        <w:ind w:right="328" w:firstLine="400"/>
        <w:jc w:val="right"/>
        <w:rPr>
          <w:rFonts w:ascii="Garamond" w:hAnsi="Garamond"/>
          <w:b w:val="0"/>
          <w:i/>
          <w:spacing w:val="10"/>
          <w:w w:val="110"/>
          <w:szCs w:val="22"/>
          <w:lang w:val="hy-AM"/>
        </w:rPr>
      </w:pPr>
      <w:r w:rsidRPr="00626752">
        <w:rPr>
          <w:rFonts w:ascii="Garamond" w:hAnsi="Garamond"/>
          <w:b w:val="0"/>
          <w:spacing w:val="10"/>
          <w:w w:val="110"/>
          <w:szCs w:val="22"/>
        </w:rPr>
        <w:t>dated November 24, 2017</w:t>
      </w:r>
    </w:p>
    <w:p w14:paraId="4F64D759" w14:textId="77777777" w:rsidR="00F40F99" w:rsidRPr="00626752" w:rsidRDefault="00F40F99" w:rsidP="00F40F99">
      <w:pPr>
        <w:tabs>
          <w:tab w:val="left" w:pos="600"/>
        </w:tabs>
        <w:spacing w:line="312" w:lineRule="auto"/>
        <w:ind w:right="336" w:firstLine="400"/>
        <w:jc w:val="center"/>
        <w:rPr>
          <w:rFonts w:ascii="Garamond" w:hAnsi="Garamond"/>
          <w:sz w:val="22"/>
          <w:szCs w:val="22"/>
        </w:rPr>
      </w:pPr>
    </w:p>
    <w:p w14:paraId="6AA6550F" w14:textId="77777777" w:rsidR="00F40F99" w:rsidRPr="00626752" w:rsidRDefault="00F40F99" w:rsidP="00F40F99">
      <w:pPr>
        <w:tabs>
          <w:tab w:val="left" w:pos="600"/>
        </w:tabs>
        <w:spacing w:line="312" w:lineRule="auto"/>
        <w:ind w:right="336" w:firstLine="400"/>
        <w:jc w:val="center"/>
        <w:rPr>
          <w:rFonts w:ascii="Garamond" w:hAnsi="Garamond"/>
          <w:sz w:val="22"/>
          <w:szCs w:val="22"/>
        </w:rPr>
      </w:pPr>
    </w:p>
    <w:p w14:paraId="0A1A1797" w14:textId="77777777" w:rsidR="00F40F99" w:rsidRPr="00626752" w:rsidRDefault="00F40F99" w:rsidP="00F40F99">
      <w:pPr>
        <w:tabs>
          <w:tab w:val="left" w:pos="600"/>
        </w:tabs>
        <w:spacing w:line="312" w:lineRule="auto"/>
        <w:ind w:right="336" w:firstLine="400"/>
        <w:jc w:val="center"/>
        <w:rPr>
          <w:rFonts w:ascii="Garamond" w:hAnsi="Garamond"/>
          <w:sz w:val="22"/>
          <w:szCs w:val="22"/>
        </w:rPr>
      </w:pPr>
    </w:p>
    <w:p w14:paraId="2607A7FD" w14:textId="77777777" w:rsidR="00F40F99" w:rsidRPr="00626752" w:rsidRDefault="00F40F99" w:rsidP="00F40F99">
      <w:pPr>
        <w:tabs>
          <w:tab w:val="left" w:pos="600"/>
        </w:tabs>
        <w:spacing w:line="312" w:lineRule="auto"/>
        <w:ind w:right="336" w:firstLine="400"/>
        <w:jc w:val="center"/>
        <w:rPr>
          <w:rFonts w:ascii="Garamond" w:hAnsi="Garamond"/>
          <w:sz w:val="22"/>
          <w:szCs w:val="22"/>
        </w:rPr>
      </w:pPr>
    </w:p>
    <w:p w14:paraId="0EC46E3A" w14:textId="77777777" w:rsidR="00F40F99" w:rsidRPr="00626752" w:rsidRDefault="00F40F99" w:rsidP="00F40F99">
      <w:pPr>
        <w:tabs>
          <w:tab w:val="left" w:pos="600"/>
        </w:tabs>
        <w:spacing w:line="312" w:lineRule="auto"/>
        <w:ind w:right="336" w:firstLine="400"/>
        <w:jc w:val="center"/>
        <w:rPr>
          <w:rFonts w:ascii="Garamond" w:hAnsi="Garamond"/>
          <w:sz w:val="22"/>
          <w:szCs w:val="22"/>
        </w:rPr>
      </w:pPr>
    </w:p>
    <w:p w14:paraId="20C56E54" w14:textId="77777777" w:rsidR="00F40F99" w:rsidRPr="00626752" w:rsidRDefault="00F40F99" w:rsidP="00F40F99">
      <w:pPr>
        <w:tabs>
          <w:tab w:val="left" w:pos="600"/>
        </w:tabs>
        <w:spacing w:line="312" w:lineRule="auto"/>
        <w:ind w:right="336" w:firstLine="400"/>
        <w:jc w:val="center"/>
        <w:rPr>
          <w:rFonts w:ascii="Garamond" w:hAnsi="Garamond"/>
          <w:sz w:val="22"/>
          <w:szCs w:val="22"/>
        </w:rPr>
      </w:pPr>
    </w:p>
    <w:p w14:paraId="51265C63" w14:textId="77777777" w:rsidR="00F40F99" w:rsidRPr="00626752" w:rsidRDefault="00F40F99" w:rsidP="00F40F99">
      <w:pPr>
        <w:tabs>
          <w:tab w:val="left" w:pos="600"/>
        </w:tabs>
        <w:spacing w:line="312" w:lineRule="auto"/>
        <w:ind w:right="336" w:firstLine="400"/>
        <w:jc w:val="center"/>
        <w:rPr>
          <w:rFonts w:ascii="Garamond" w:hAnsi="Garamond"/>
          <w:sz w:val="22"/>
          <w:szCs w:val="22"/>
        </w:rPr>
      </w:pPr>
    </w:p>
    <w:p w14:paraId="47B333EE" w14:textId="77777777" w:rsidR="00F40F99" w:rsidRPr="00626752" w:rsidRDefault="00F40F99" w:rsidP="00F40F99">
      <w:pPr>
        <w:ind w:right="336"/>
        <w:jc w:val="center"/>
        <w:rPr>
          <w:rFonts w:ascii="Garamond" w:hAnsi="Garamond"/>
          <w:sz w:val="22"/>
          <w:szCs w:val="22"/>
        </w:rPr>
      </w:pPr>
      <w:r w:rsidRPr="00626752">
        <w:rPr>
          <w:rFonts w:ascii="Garamond" w:hAnsi="Garamond"/>
          <w:sz w:val="22"/>
          <w:szCs w:val="22"/>
        </w:rPr>
        <w:tab/>
      </w:r>
    </w:p>
    <w:p w14:paraId="40DC15DD" w14:textId="77777777" w:rsidR="00F40F99" w:rsidRPr="00626752" w:rsidRDefault="00F40F99" w:rsidP="00F40F99">
      <w:pPr>
        <w:pStyle w:val="Heading2"/>
        <w:spacing w:line="240" w:lineRule="auto"/>
        <w:ind w:right="336" w:firstLine="0"/>
        <w:rPr>
          <w:rFonts w:ascii="Garamond" w:hAnsi="Garamond" w:cs="Times New Roman"/>
          <w:b/>
          <w:i w:val="0"/>
          <w:iCs w:val="0"/>
          <w:color w:val="auto"/>
          <w:spacing w:val="40"/>
          <w:w w:val="110"/>
          <w:sz w:val="22"/>
          <w:szCs w:val="22"/>
        </w:rPr>
      </w:pPr>
      <w:r w:rsidRPr="00626752">
        <w:rPr>
          <w:rFonts w:ascii="Garamond" w:hAnsi="Garamond" w:cs="Times New Roman"/>
          <w:b/>
          <w:i w:val="0"/>
          <w:iCs w:val="0"/>
          <w:color w:val="auto"/>
          <w:spacing w:val="40"/>
          <w:w w:val="110"/>
          <w:sz w:val="22"/>
          <w:szCs w:val="22"/>
          <w:lang w:val="en-US"/>
        </w:rPr>
        <w:t>Inflation Report</w:t>
      </w:r>
      <w:r w:rsidRPr="00626752">
        <w:rPr>
          <w:rFonts w:ascii="Garamond" w:hAnsi="Garamond" w:cs="Times New Roman"/>
          <w:b/>
          <w:i w:val="0"/>
          <w:iCs w:val="0"/>
          <w:color w:val="auto"/>
          <w:spacing w:val="40"/>
          <w:w w:val="110"/>
          <w:sz w:val="22"/>
          <w:szCs w:val="22"/>
        </w:rPr>
        <w:t xml:space="preserve"> </w:t>
      </w:r>
    </w:p>
    <w:p w14:paraId="563FA869" w14:textId="77777777" w:rsidR="00F40F99" w:rsidRPr="00626752" w:rsidRDefault="00F40F99" w:rsidP="00F40F99">
      <w:pPr>
        <w:pStyle w:val="Heading2"/>
        <w:spacing w:line="240" w:lineRule="auto"/>
        <w:ind w:right="336" w:firstLine="0"/>
        <w:rPr>
          <w:rFonts w:ascii="Garamond" w:hAnsi="Garamond" w:cs="Times New Roman"/>
          <w:i w:val="0"/>
          <w:iCs w:val="0"/>
          <w:color w:val="auto"/>
          <w:sz w:val="22"/>
          <w:szCs w:val="22"/>
        </w:rPr>
      </w:pPr>
    </w:p>
    <w:p w14:paraId="632C97EA" w14:textId="77777777" w:rsidR="00F40F99" w:rsidRPr="00626752" w:rsidRDefault="00F40F99" w:rsidP="00F40F99">
      <w:pPr>
        <w:pStyle w:val="Heading2"/>
        <w:spacing w:line="240" w:lineRule="auto"/>
        <w:ind w:right="336" w:firstLine="0"/>
        <w:rPr>
          <w:rFonts w:ascii="Garamond" w:hAnsi="Garamond" w:cs="Times New Roman"/>
          <w:i w:val="0"/>
          <w:iCs w:val="0"/>
          <w:color w:val="auto"/>
          <w:sz w:val="22"/>
          <w:szCs w:val="22"/>
        </w:rPr>
      </w:pPr>
    </w:p>
    <w:p w14:paraId="40CCC8B2" w14:textId="77777777" w:rsidR="00F40F99" w:rsidRPr="00626752" w:rsidRDefault="00F40F99" w:rsidP="00F40F99">
      <w:pPr>
        <w:ind w:right="336"/>
        <w:rPr>
          <w:rFonts w:ascii="Garamond" w:hAnsi="Garamond"/>
          <w:sz w:val="22"/>
          <w:szCs w:val="22"/>
          <w:lang w:val="hy-AM"/>
        </w:rPr>
      </w:pPr>
    </w:p>
    <w:p w14:paraId="0B3C2298" w14:textId="77777777" w:rsidR="00F40F99" w:rsidRPr="00626752" w:rsidRDefault="00F40F99" w:rsidP="00F40F99">
      <w:pPr>
        <w:ind w:right="336"/>
        <w:rPr>
          <w:rFonts w:ascii="Garamond" w:hAnsi="Garamond"/>
          <w:sz w:val="22"/>
          <w:szCs w:val="22"/>
          <w:lang w:val="hy-AM"/>
        </w:rPr>
      </w:pPr>
    </w:p>
    <w:p w14:paraId="1D07D11A" w14:textId="77777777" w:rsidR="00F40F99" w:rsidRPr="00626752" w:rsidRDefault="00F40F99" w:rsidP="00F40F99">
      <w:pPr>
        <w:ind w:right="336"/>
        <w:rPr>
          <w:rFonts w:ascii="Garamond" w:hAnsi="Garamond"/>
          <w:sz w:val="22"/>
          <w:szCs w:val="22"/>
          <w:lang w:val="hy-AM"/>
        </w:rPr>
      </w:pPr>
    </w:p>
    <w:p w14:paraId="4FED888B" w14:textId="77777777" w:rsidR="00F40F99" w:rsidRPr="00626752" w:rsidRDefault="00F40F99" w:rsidP="00F40F99">
      <w:pPr>
        <w:ind w:right="336"/>
        <w:rPr>
          <w:rFonts w:ascii="Garamond" w:hAnsi="Garamond"/>
          <w:sz w:val="22"/>
          <w:szCs w:val="22"/>
          <w:lang w:val="hy-AM"/>
        </w:rPr>
      </w:pPr>
    </w:p>
    <w:p w14:paraId="669C1BE1" w14:textId="77777777" w:rsidR="00F40F99" w:rsidRPr="00626752" w:rsidRDefault="00F40F99" w:rsidP="00F40F99">
      <w:pPr>
        <w:ind w:right="336"/>
        <w:rPr>
          <w:rFonts w:ascii="Garamond" w:hAnsi="Garamond"/>
          <w:sz w:val="22"/>
          <w:szCs w:val="22"/>
          <w:lang w:val="hy-AM"/>
        </w:rPr>
      </w:pPr>
    </w:p>
    <w:p w14:paraId="0DE66959" w14:textId="77777777" w:rsidR="00F40F99" w:rsidRPr="00626752" w:rsidRDefault="00F40F99" w:rsidP="00F40F99">
      <w:pPr>
        <w:ind w:right="336"/>
        <w:rPr>
          <w:rFonts w:ascii="Garamond" w:hAnsi="Garamond"/>
          <w:sz w:val="22"/>
          <w:szCs w:val="22"/>
          <w:lang w:val="hy-AM"/>
        </w:rPr>
      </w:pPr>
    </w:p>
    <w:p w14:paraId="5B64304E" w14:textId="77777777" w:rsidR="00F40F99" w:rsidRPr="00626752" w:rsidRDefault="00F40F99" w:rsidP="00F40F99">
      <w:pPr>
        <w:ind w:right="336"/>
        <w:rPr>
          <w:rFonts w:ascii="Garamond" w:hAnsi="Garamond"/>
          <w:sz w:val="22"/>
          <w:szCs w:val="22"/>
        </w:rPr>
      </w:pPr>
    </w:p>
    <w:p w14:paraId="2D9E0A49" w14:textId="77777777" w:rsidR="00F40F99" w:rsidRPr="00626752" w:rsidRDefault="00F40F99" w:rsidP="00F40F99">
      <w:pPr>
        <w:ind w:right="336"/>
        <w:rPr>
          <w:rFonts w:ascii="Garamond" w:hAnsi="Garamond"/>
          <w:sz w:val="22"/>
          <w:szCs w:val="22"/>
        </w:rPr>
      </w:pPr>
    </w:p>
    <w:p w14:paraId="22FD6637" w14:textId="77777777" w:rsidR="00F40F99" w:rsidRPr="00626752" w:rsidRDefault="00F40F99" w:rsidP="00F40F99">
      <w:pPr>
        <w:ind w:right="336"/>
        <w:rPr>
          <w:rFonts w:ascii="Garamond" w:hAnsi="Garamond"/>
          <w:sz w:val="22"/>
          <w:szCs w:val="22"/>
        </w:rPr>
      </w:pPr>
    </w:p>
    <w:p w14:paraId="6E4721B2" w14:textId="77777777" w:rsidR="00F40F99" w:rsidRPr="00626752" w:rsidRDefault="00F40F99" w:rsidP="00F40F99">
      <w:pPr>
        <w:ind w:right="336"/>
        <w:rPr>
          <w:rFonts w:ascii="Garamond" w:hAnsi="Garamond"/>
          <w:sz w:val="22"/>
          <w:szCs w:val="22"/>
          <w:lang w:val="hy-AM"/>
        </w:rPr>
      </w:pPr>
    </w:p>
    <w:p w14:paraId="39E4A213" w14:textId="77777777" w:rsidR="00F40F99" w:rsidRPr="00626752" w:rsidRDefault="00F40F99" w:rsidP="00F40F99">
      <w:pPr>
        <w:ind w:right="336"/>
        <w:rPr>
          <w:rFonts w:ascii="Garamond" w:hAnsi="Garamond"/>
          <w:sz w:val="22"/>
          <w:szCs w:val="22"/>
          <w:lang w:val="hy-AM"/>
        </w:rPr>
      </w:pPr>
    </w:p>
    <w:p w14:paraId="132A88D9" w14:textId="77777777" w:rsidR="00F40F99" w:rsidRPr="00626752" w:rsidRDefault="00F40F99" w:rsidP="00F40F99">
      <w:pPr>
        <w:pStyle w:val="Heading2"/>
        <w:spacing w:line="240" w:lineRule="auto"/>
        <w:ind w:right="336" w:firstLine="0"/>
        <w:rPr>
          <w:rFonts w:ascii="Garamond" w:hAnsi="Garamond" w:cs="Times New Roman"/>
          <w:sz w:val="22"/>
          <w:szCs w:val="22"/>
          <w:lang w:val="en-US"/>
        </w:rPr>
      </w:pPr>
      <w:r w:rsidRPr="00626752">
        <w:rPr>
          <w:rFonts w:ascii="Garamond" w:hAnsi="Garamond" w:cs="Times New Roman"/>
          <w:iCs w:val="0"/>
          <w:color w:val="auto"/>
          <w:sz w:val="22"/>
          <w:szCs w:val="22"/>
          <w:lang w:val="en-US"/>
        </w:rPr>
        <w:t>Monetary Policy Program, Q4, 2017</w:t>
      </w:r>
    </w:p>
    <w:p w14:paraId="61D0AD6B" w14:textId="77777777" w:rsidR="00F40F99" w:rsidRPr="00626752" w:rsidRDefault="00F40F99" w:rsidP="00F40F99">
      <w:pPr>
        <w:ind w:right="336" w:firstLine="403"/>
        <w:rPr>
          <w:rFonts w:ascii="Garamond" w:hAnsi="Garamond"/>
          <w:b/>
          <w:i/>
          <w:spacing w:val="40"/>
          <w:w w:val="150"/>
          <w:sz w:val="22"/>
          <w:szCs w:val="22"/>
        </w:rPr>
      </w:pPr>
    </w:p>
    <w:p w14:paraId="1D99D1BE" w14:textId="77777777" w:rsidR="00F40F99" w:rsidRPr="00626752" w:rsidRDefault="00F40F99" w:rsidP="00F40F99">
      <w:pPr>
        <w:spacing w:line="312" w:lineRule="auto"/>
        <w:ind w:right="336" w:firstLine="400"/>
        <w:jc w:val="right"/>
        <w:rPr>
          <w:rFonts w:ascii="Garamond" w:hAnsi="Garamond"/>
          <w:b/>
          <w:sz w:val="22"/>
          <w:szCs w:val="22"/>
        </w:rPr>
      </w:pPr>
      <w:r w:rsidRPr="00626752">
        <w:rPr>
          <w:rFonts w:ascii="Garamond" w:hAnsi="Garamond"/>
          <w:b/>
          <w:sz w:val="22"/>
          <w:szCs w:val="22"/>
        </w:rPr>
        <w:sym w:font="Wingdings 2" w:char="F0E7"/>
      </w:r>
    </w:p>
    <w:p w14:paraId="311020C5" w14:textId="77777777" w:rsidR="00F40F99" w:rsidRPr="00626752" w:rsidRDefault="00F40F99" w:rsidP="00F40F99">
      <w:pPr>
        <w:autoSpaceDE w:val="0"/>
        <w:autoSpaceDN w:val="0"/>
        <w:adjustRightInd w:val="0"/>
        <w:spacing w:after="120" w:line="360" w:lineRule="auto"/>
        <w:jc w:val="both"/>
        <w:rPr>
          <w:rFonts w:ascii="Garamond" w:hAnsi="Garamond"/>
          <w:sz w:val="22"/>
          <w:szCs w:val="22"/>
        </w:rPr>
      </w:pPr>
      <w:r w:rsidRPr="00626752">
        <w:rPr>
          <w:rFonts w:ascii="Garamond" w:hAnsi="Garamond"/>
          <w:iCs/>
          <w:sz w:val="22"/>
          <w:szCs w:val="22"/>
        </w:rPr>
        <w:t xml:space="preserve">      </w:t>
      </w:r>
      <w:r w:rsidR="00331DDB" w:rsidRPr="00626752">
        <w:rPr>
          <w:rFonts w:ascii="Garamond" w:hAnsi="Garamond"/>
          <w:iCs/>
          <w:sz w:val="22"/>
          <w:szCs w:val="22"/>
        </w:rPr>
        <w:tab/>
      </w:r>
      <w:r w:rsidR="00331DDB" w:rsidRPr="00626752">
        <w:rPr>
          <w:rFonts w:ascii="Garamond" w:hAnsi="Garamond"/>
          <w:iCs/>
          <w:sz w:val="22"/>
          <w:szCs w:val="22"/>
        </w:rPr>
        <w:tab/>
      </w:r>
      <w:r w:rsidRPr="00626752">
        <w:rPr>
          <w:rFonts w:ascii="Garamond" w:hAnsi="Garamond"/>
          <w:iCs/>
          <w:sz w:val="22"/>
          <w:szCs w:val="22"/>
        </w:rPr>
        <w:t>Status Report on Implementation of the Monetary Policy Program, Q3, 2017</w:t>
      </w:r>
    </w:p>
    <w:p w14:paraId="52C5E8A0" w14:textId="77777777" w:rsidR="00F40F99" w:rsidRPr="00626752" w:rsidRDefault="00F40F99" w:rsidP="00EE619D">
      <w:pPr>
        <w:autoSpaceDE w:val="0"/>
        <w:autoSpaceDN w:val="0"/>
        <w:adjustRightInd w:val="0"/>
        <w:spacing w:after="120" w:line="360" w:lineRule="auto"/>
        <w:jc w:val="both"/>
        <w:rPr>
          <w:rFonts w:ascii="Garamond" w:hAnsi="Garamond"/>
          <w:sz w:val="22"/>
          <w:szCs w:val="22"/>
        </w:rPr>
      </w:pPr>
    </w:p>
    <w:p w14:paraId="0D7A31C6" w14:textId="77777777" w:rsidR="00F40F99" w:rsidRPr="00626752" w:rsidRDefault="00F40F99" w:rsidP="00EE619D">
      <w:pPr>
        <w:autoSpaceDE w:val="0"/>
        <w:autoSpaceDN w:val="0"/>
        <w:adjustRightInd w:val="0"/>
        <w:spacing w:after="120" w:line="360" w:lineRule="auto"/>
        <w:jc w:val="both"/>
        <w:rPr>
          <w:rFonts w:ascii="Garamond" w:hAnsi="Garamond"/>
          <w:sz w:val="22"/>
          <w:szCs w:val="22"/>
        </w:rPr>
      </w:pPr>
    </w:p>
    <w:p w14:paraId="23D41EC5" w14:textId="77777777" w:rsidR="00F40F99" w:rsidRPr="00626752" w:rsidRDefault="00F40F99" w:rsidP="00EE619D">
      <w:pPr>
        <w:autoSpaceDE w:val="0"/>
        <w:autoSpaceDN w:val="0"/>
        <w:adjustRightInd w:val="0"/>
        <w:spacing w:after="120" w:line="360" w:lineRule="auto"/>
        <w:jc w:val="both"/>
        <w:rPr>
          <w:rFonts w:ascii="Garamond" w:hAnsi="Garamond"/>
          <w:sz w:val="22"/>
          <w:szCs w:val="22"/>
        </w:rPr>
      </w:pPr>
    </w:p>
    <w:p w14:paraId="1BAD3AFE" w14:textId="77777777" w:rsidR="00F40F99" w:rsidRPr="00626752" w:rsidRDefault="00F40F99" w:rsidP="00EE619D">
      <w:pPr>
        <w:autoSpaceDE w:val="0"/>
        <w:autoSpaceDN w:val="0"/>
        <w:adjustRightInd w:val="0"/>
        <w:spacing w:after="120" w:line="360" w:lineRule="auto"/>
        <w:jc w:val="both"/>
        <w:rPr>
          <w:rFonts w:ascii="Garamond" w:hAnsi="Garamond"/>
          <w:sz w:val="22"/>
          <w:szCs w:val="22"/>
        </w:rPr>
      </w:pPr>
    </w:p>
    <w:p w14:paraId="5FBCEA6E" w14:textId="77777777" w:rsidR="00F40F99" w:rsidRPr="00626752" w:rsidRDefault="00F40F99" w:rsidP="00EE619D">
      <w:pPr>
        <w:autoSpaceDE w:val="0"/>
        <w:autoSpaceDN w:val="0"/>
        <w:adjustRightInd w:val="0"/>
        <w:spacing w:after="120" w:line="360" w:lineRule="auto"/>
        <w:jc w:val="both"/>
        <w:rPr>
          <w:rFonts w:ascii="Garamond" w:hAnsi="Garamond"/>
          <w:sz w:val="22"/>
          <w:szCs w:val="22"/>
        </w:rPr>
      </w:pPr>
    </w:p>
    <w:p w14:paraId="6D7A54BA" w14:textId="77777777" w:rsidR="00F40F99" w:rsidRPr="00626752" w:rsidRDefault="00F40F99" w:rsidP="00EE619D">
      <w:pPr>
        <w:autoSpaceDE w:val="0"/>
        <w:autoSpaceDN w:val="0"/>
        <w:adjustRightInd w:val="0"/>
        <w:spacing w:after="120" w:line="360" w:lineRule="auto"/>
        <w:jc w:val="both"/>
        <w:rPr>
          <w:rFonts w:ascii="Garamond" w:hAnsi="Garamond"/>
          <w:sz w:val="22"/>
          <w:szCs w:val="22"/>
        </w:rPr>
      </w:pPr>
    </w:p>
    <w:p w14:paraId="09114A73" w14:textId="77777777" w:rsidR="00F40F99" w:rsidRPr="00626752" w:rsidRDefault="00F40F99" w:rsidP="00EE619D">
      <w:pPr>
        <w:autoSpaceDE w:val="0"/>
        <w:autoSpaceDN w:val="0"/>
        <w:adjustRightInd w:val="0"/>
        <w:spacing w:after="120" w:line="360" w:lineRule="auto"/>
        <w:jc w:val="both"/>
        <w:rPr>
          <w:rFonts w:ascii="Garamond" w:hAnsi="Garamond"/>
          <w:sz w:val="22"/>
          <w:szCs w:val="22"/>
        </w:rPr>
      </w:pPr>
    </w:p>
    <w:p w14:paraId="7761E063"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lastRenderedPageBreak/>
        <w:t xml:space="preserve">The inflation targeting strategy of the Central Bank of Armenia highlights the importance of communicating of the Bank to the general public by publishing, inter alia, quarterly inflation reports. </w:t>
      </w:r>
    </w:p>
    <w:p w14:paraId="00EA222A"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The first section of the inflation report includes the Monetary Policy Program that provides main directions of the monetary policy in the forecast horizon as well as forecasts of inflation and other macroeconomic indicators. These forecasts are based on the Bank’s assessment of the current situation and future assumptions by the Bank, which also include the impact of the Bank operations.</w:t>
      </w:r>
    </w:p>
    <w:p w14:paraId="312D63D3"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The second section includes </w:t>
      </w:r>
      <w:r w:rsidRPr="00626752">
        <w:rPr>
          <w:rStyle w:val="longtext"/>
          <w:rFonts w:ascii="Garamond" w:hAnsi="Garamond"/>
          <w:color w:val="000000"/>
          <w:sz w:val="22"/>
          <w:szCs w:val="22"/>
          <w:shd w:val="clear" w:color="auto" w:fill="FFFFFF"/>
        </w:rPr>
        <w:t>status report on implementation of the monetary policy</w:t>
      </w:r>
      <w:r w:rsidRPr="00626752">
        <w:rPr>
          <w:rFonts w:ascii="Garamond" w:hAnsi="Garamond"/>
          <w:sz w:val="22"/>
          <w:szCs w:val="22"/>
        </w:rPr>
        <w:t xml:space="preserve"> program</w:t>
      </w:r>
      <w:r w:rsidRPr="00626752">
        <w:rPr>
          <w:rStyle w:val="longtext"/>
          <w:rFonts w:ascii="Garamond" w:hAnsi="Garamond"/>
          <w:color w:val="000000"/>
          <w:sz w:val="22"/>
          <w:szCs w:val="22"/>
          <w:shd w:val="clear" w:color="auto" w:fill="FFFFFF"/>
        </w:rPr>
        <w:t xml:space="preserve"> of the previous quarter, which presents the results of monetary policy implementation and covers the actual developments in the domestic economy.</w:t>
      </w:r>
    </w:p>
    <w:p w14:paraId="355B62D5"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Publishing of inflation forecast and assumptions underlying it makes the monetary policy of the Bank more transparent, understandable and predictable, which considerably increases the public confidence in the Bank. The Bank believes that a clear and trusted monetary policy positively affects the anchoring of inflation expectations and maintaining financial stability in terms of cost reduction. </w:t>
      </w:r>
    </w:p>
    <w:p w14:paraId="0DEB47CE"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According to the rule of monetary policy, the policy is aimed at minimizing the deviations between the 4% target and the inflation forecasts. The path to inflation rate shaped as a result of projected policy directions is published as a f</w:t>
      </w:r>
      <w:r w:rsidRPr="00626752">
        <w:rPr>
          <w:rFonts w:ascii="Garamond" w:hAnsi="Garamond"/>
          <w:bCs/>
          <w:sz w:val="22"/>
          <w:szCs w:val="22"/>
        </w:rPr>
        <w:t>orecast probability distribution chart for the 12-quarter time horizon</w:t>
      </w:r>
      <w:r w:rsidRPr="00626752">
        <w:rPr>
          <w:rFonts w:ascii="Garamond" w:hAnsi="Garamond"/>
          <w:sz w:val="22"/>
          <w:szCs w:val="22"/>
        </w:rPr>
        <w:t>.</w:t>
      </w:r>
    </w:p>
    <w:p w14:paraId="162E716F"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Projections in this report are based on the actual information available by November 14, 2017, i.e. the day on which the refinancing rate was set, the results of a survey conducted by the Bank and the judgment made pursuant to the information on future developments of the macroeconomic environment. </w:t>
      </w:r>
    </w:p>
    <w:p w14:paraId="0EC26504"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All inflation reports which have been published to date are available on the Bank’s website which also contains all press-releases and other monetary policy-related publications.</w:t>
      </w:r>
    </w:p>
    <w:p w14:paraId="52A9F054"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p>
    <w:p w14:paraId="5C75AC9B" w14:textId="77777777" w:rsidR="00EE619D" w:rsidRPr="00626752" w:rsidRDefault="00EE619D" w:rsidP="00EE619D">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t>1. EXECUTIVE SUMMARY</w:t>
      </w:r>
    </w:p>
    <w:p w14:paraId="296B8FA0" w14:textId="77777777" w:rsidR="00EE619D" w:rsidRPr="00626752" w:rsidRDefault="00EE619D" w:rsidP="00EE619D">
      <w:pPr>
        <w:autoSpaceDE w:val="0"/>
        <w:autoSpaceDN w:val="0"/>
        <w:adjustRightInd w:val="0"/>
        <w:spacing w:after="120" w:line="360" w:lineRule="auto"/>
        <w:jc w:val="both"/>
        <w:rPr>
          <w:rFonts w:ascii="Garamond" w:hAnsi="Garamond"/>
          <w:b/>
          <w:sz w:val="22"/>
          <w:szCs w:val="22"/>
        </w:rPr>
      </w:pPr>
      <w:r w:rsidRPr="00626752">
        <w:rPr>
          <w:rFonts w:ascii="Garamond" w:hAnsi="Garamond"/>
          <w:b/>
          <w:sz w:val="22"/>
          <w:szCs w:val="22"/>
        </w:rPr>
        <w:t>According to the Q4, 2017 Monetary Policy Program of the Central Bank of Armenia (“the Central Bank”), inflation will continue expanding, stepping in the confidence band in the upcoming months; in the medium-term perspective it will stabilize around the 4% target, influenced by the pace of the monetary policy.</w:t>
      </w:r>
    </w:p>
    <w:p w14:paraId="1E71B462"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Positive developments in the macroeconomic environment expected in the short run will largely contribute to the recovery of the 12-month inflation rate, owing to still visible influence of expansionary monetary policy implemented by the Central Bank and relatively robust recovery in demand expected both in the external and domestic economic environment. During the year the monetary conditions remained expansionary, making it possible for domestic demand and inflation as well as core inflation to recover. However, </w:t>
      </w:r>
      <w:r w:rsidRPr="00626752">
        <w:rPr>
          <w:rFonts w:ascii="Garamond" w:hAnsi="Garamond"/>
          <w:b/>
          <w:sz w:val="22"/>
          <w:szCs w:val="22"/>
        </w:rPr>
        <w:t xml:space="preserve">expansionary </w:t>
      </w:r>
      <w:r w:rsidRPr="00626752">
        <w:rPr>
          <w:rFonts w:ascii="Garamond" w:hAnsi="Garamond"/>
          <w:b/>
          <w:sz w:val="22"/>
          <w:szCs w:val="22"/>
        </w:rPr>
        <w:lastRenderedPageBreak/>
        <w:t>monetary conditions to phase out gradually will be needed</w:t>
      </w:r>
      <w:r w:rsidRPr="00626752">
        <w:rPr>
          <w:rFonts w:ascii="Garamond" w:hAnsi="Garamond"/>
          <w:sz w:val="22"/>
          <w:szCs w:val="22"/>
        </w:rPr>
        <w:t xml:space="preserve"> in the near future in fulfillment of the inflation target in the medium term.</w:t>
      </w:r>
    </w:p>
    <w:p w14:paraId="0B21E37B" w14:textId="77777777" w:rsidR="00EE619D" w:rsidRPr="00626752" w:rsidRDefault="00EE619D" w:rsidP="00EE619D">
      <w:pPr>
        <w:autoSpaceDE w:val="0"/>
        <w:autoSpaceDN w:val="0"/>
        <w:adjustRightInd w:val="0"/>
        <w:spacing w:after="120" w:line="360" w:lineRule="auto"/>
        <w:jc w:val="both"/>
        <w:rPr>
          <w:rFonts w:ascii="Garamond" w:hAnsi="Garamond"/>
          <w:b/>
          <w:sz w:val="22"/>
          <w:szCs w:val="22"/>
        </w:rPr>
      </w:pPr>
      <w:r w:rsidRPr="00626752">
        <w:rPr>
          <w:rFonts w:ascii="Garamond" w:hAnsi="Garamond"/>
          <w:b/>
          <w:sz w:val="22"/>
          <w:szCs w:val="22"/>
        </w:rPr>
        <w:t>In view of economic activity still high in the third quarter of 2017, the Central Bank has again revised the 2017 economic growth forecast slightly upside. The forecast of aggregate demand has been adjusted upward too, taking into account its rapid recovery in the last nine months of the year, reflecting both expanding core inflation and high growth in imports and services. In the forecast horizon, the economic growth rates will accelerate, gradually approaching the long-term equilibrium.</w:t>
      </w:r>
    </w:p>
    <w:p w14:paraId="2E208AED" w14:textId="71D8A6AF" w:rsidR="00EE619D"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b/>
          <w:sz w:val="22"/>
          <w:szCs w:val="22"/>
        </w:rPr>
        <w:t>In the short run</w:t>
      </w:r>
      <w:r w:rsidRPr="00626752">
        <w:rPr>
          <w:rFonts w:ascii="Garamond" w:hAnsi="Garamond"/>
          <w:sz w:val="22"/>
          <w:szCs w:val="22"/>
        </w:rPr>
        <w:t xml:space="preserve">, downside risks to inflation somewhat prevail as prices of seasonal agricultural products prices may have restored not adequately. </w:t>
      </w:r>
      <w:r w:rsidRPr="00626752">
        <w:rPr>
          <w:rFonts w:ascii="Garamond" w:hAnsi="Garamond"/>
          <w:b/>
          <w:sz w:val="22"/>
          <w:szCs w:val="22"/>
        </w:rPr>
        <w:t>From 2018 to the end of the forecast horizon</w:t>
      </w:r>
      <w:r w:rsidRPr="00626752">
        <w:rPr>
          <w:rFonts w:ascii="Garamond" w:hAnsi="Garamond"/>
          <w:sz w:val="22"/>
          <w:szCs w:val="22"/>
        </w:rPr>
        <w:t>, inflationary risks go upward, largely due to the expansion of the inflation environment in international commodity markets and the pace of recovery in domestic demand.</w:t>
      </w:r>
    </w:p>
    <w:p w14:paraId="1F7F69F5" w14:textId="77777777" w:rsidR="00E26630" w:rsidRPr="00626752" w:rsidRDefault="00E26630" w:rsidP="00EE619D">
      <w:pPr>
        <w:autoSpaceDE w:val="0"/>
        <w:autoSpaceDN w:val="0"/>
        <w:adjustRightInd w:val="0"/>
        <w:spacing w:after="120" w:line="360" w:lineRule="auto"/>
        <w:jc w:val="both"/>
        <w:rPr>
          <w:rFonts w:ascii="Garamond" w:hAnsi="Garamond"/>
          <w:sz w:val="22"/>
          <w:szCs w:val="22"/>
        </w:rPr>
      </w:pPr>
    </w:p>
    <w:p w14:paraId="317E6424" w14:textId="77777777" w:rsidR="00EE619D" w:rsidRPr="00626752" w:rsidRDefault="00EE619D" w:rsidP="00EE619D">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t>2. FORECAST, FORECAST CHANGES AND RISKS</w:t>
      </w:r>
    </w:p>
    <w:p w14:paraId="58D47BD7" w14:textId="77777777" w:rsidR="00EE619D" w:rsidRPr="00626752" w:rsidRDefault="00EE619D" w:rsidP="00EE619D">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t>2.1. External environment</w:t>
      </w:r>
    </w:p>
    <w:p w14:paraId="6A9FBADF" w14:textId="77777777" w:rsidR="00EE619D" w:rsidRPr="00626752" w:rsidRDefault="00EE619D" w:rsidP="00EE619D">
      <w:pPr>
        <w:autoSpaceDE w:val="0"/>
        <w:autoSpaceDN w:val="0"/>
        <w:adjustRightInd w:val="0"/>
        <w:spacing w:after="120" w:line="360" w:lineRule="auto"/>
        <w:jc w:val="both"/>
        <w:rPr>
          <w:rFonts w:ascii="Garamond" w:hAnsi="Garamond"/>
          <w:b/>
          <w:sz w:val="22"/>
          <w:szCs w:val="22"/>
        </w:rPr>
      </w:pPr>
      <w:r w:rsidRPr="00626752">
        <w:rPr>
          <w:rFonts w:ascii="Garamond" w:hAnsi="Garamond"/>
          <w:b/>
          <w:sz w:val="22"/>
          <w:szCs w:val="22"/>
        </w:rPr>
        <w:t>The global economic growth is accelerating in 2017 after a slowdown last year. This is expected to carry on in the coming years as well. Certain improvement in economic growth rates is expected in the USA, the Eurozone and Russia – principal trade partners Armenia.</w:t>
      </w:r>
    </w:p>
    <w:p w14:paraId="0CD10011" w14:textId="77777777" w:rsidR="00EE619D" w:rsidRPr="00626752" w:rsidRDefault="00EE619D" w:rsidP="00EE619D">
      <w:pPr>
        <w:autoSpaceDE w:val="0"/>
        <w:autoSpaceDN w:val="0"/>
        <w:adjustRightInd w:val="0"/>
        <w:spacing w:after="120" w:line="360" w:lineRule="auto"/>
        <w:jc w:val="both"/>
        <w:rPr>
          <w:rFonts w:ascii="Garamond" w:hAnsi="Garamond"/>
          <w:b/>
          <w:sz w:val="22"/>
          <w:szCs w:val="22"/>
        </w:rPr>
      </w:pPr>
      <w:r w:rsidRPr="00626752">
        <w:rPr>
          <w:rFonts w:ascii="Garamond" w:hAnsi="Garamond"/>
          <w:b/>
          <w:sz w:val="22"/>
          <w:szCs w:val="22"/>
        </w:rPr>
        <w:t>In international commodity and food product markets, deflationary patterns have eliminated, while inflationary developments are expectable in 2017 and for the period to come, as the global demand recovers.</w:t>
      </w:r>
    </w:p>
    <w:p w14:paraId="48FC33BD"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b/>
          <w:sz w:val="22"/>
          <w:szCs w:val="22"/>
        </w:rPr>
        <w:t>Economic developments in the external sector:</w:t>
      </w:r>
      <w:r w:rsidRPr="00626752">
        <w:rPr>
          <w:rFonts w:ascii="Garamond" w:hAnsi="Garamond"/>
          <w:sz w:val="22"/>
          <w:szCs w:val="22"/>
        </w:rPr>
        <w:t xml:space="preserve"> According to preliminary estimates of the Bureau of Economic Analysis of the U.S. Department of Commerce, economic growth in the </w:t>
      </w:r>
      <w:r w:rsidRPr="00626752">
        <w:rPr>
          <w:rFonts w:ascii="Garamond" w:hAnsi="Garamond"/>
          <w:b/>
          <w:sz w:val="22"/>
          <w:szCs w:val="22"/>
        </w:rPr>
        <w:t>United States</w:t>
      </w:r>
      <w:r w:rsidRPr="00626752">
        <w:rPr>
          <w:rFonts w:ascii="Garamond" w:hAnsi="Garamond"/>
          <w:b/>
          <w:sz w:val="22"/>
          <w:szCs w:val="22"/>
          <w:lang w:val="hy-AM"/>
        </w:rPr>
        <w:t xml:space="preserve"> </w:t>
      </w:r>
      <w:r w:rsidRPr="00626752">
        <w:rPr>
          <w:rFonts w:ascii="Garamond" w:hAnsi="Garamond"/>
          <w:sz w:val="22"/>
          <w:szCs w:val="22"/>
        </w:rPr>
        <w:t>in the third quarter of 2017 was 2.3% y/y in which case average economic growth is projected at 2.2% for 2017. In recent quarters, economic growth was largely driven by increased business investment: in the medium-term, economic growth is expected to stabilize at the 2017 indicator. The current 4.1% unemployment rate is close to the pre-crisis level, so, without further inflationary pressures, the growth of future economic activity will depend largely on productivity growth.</w:t>
      </w:r>
    </w:p>
    <w:p w14:paraId="0E59AFE8"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According to preliminary estimates provided by the Eurostat, economic growth in the</w:t>
      </w:r>
      <w:r w:rsidRPr="00626752">
        <w:rPr>
          <w:rFonts w:ascii="Garamond" w:hAnsi="Garamond"/>
          <w:sz w:val="22"/>
          <w:szCs w:val="22"/>
          <w:lang w:val="hy-AM"/>
        </w:rPr>
        <w:t xml:space="preserve"> </w:t>
      </w:r>
      <w:r w:rsidRPr="00626752">
        <w:rPr>
          <w:rFonts w:ascii="Garamond" w:hAnsi="Garamond"/>
          <w:b/>
          <w:sz w:val="22"/>
          <w:szCs w:val="22"/>
        </w:rPr>
        <w:t>Eurozone</w:t>
      </w:r>
      <w:r w:rsidRPr="00626752">
        <w:rPr>
          <w:rFonts w:ascii="Garamond" w:hAnsi="Garamond"/>
          <w:b/>
          <w:sz w:val="22"/>
          <w:szCs w:val="22"/>
          <w:lang w:val="hy-AM"/>
        </w:rPr>
        <w:t xml:space="preserve"> </w:t>
      </w:r>
      <w:r w:rsidRPr="00626752">
        <w:rPr>
          <w:rFonts w:ascii="Garamond" w:hAnsi="Garamond"/>
          <w:sz w:val="22"/>
          <w:szCs w:val="22"/>
        </w:rPr>
        <w:t>in the third quarter of 2017</w:t>
      </w:r>
      <w:r w:rsidRPr="00626752">
        <w:rPr>
          <w:rFonts w:ascii="Garamond" w:hAnsi="Garamond"/>
          <w:sz w:val="22"/>
          <w:szCs w:val="22"/>
          <w:lang w:val="hy-AM"/>
        </w:rPr>
        <w:t xml:space="preserve"> </w:t>
      </w:r>
      <w:r w:rsidRPr="00626752">
        <w:rPr>
          <w:rFonts w:ascii="Garamond" w:hAnsi="Garamond"/>
          <w:sz w:val="22"/>
          <w:szCs w:val="22"/>
        </w:rPr>
        <w:t xml:space="preserve">was 2.5% y/y. The 2017 economic growth in the Eurozone is forecast 1.95%, owing to the improvement of economic growth in almost all member states. Economic growth will continue to be driven </w:t>
      </w:r>
      <w:r w:rsidRPr="00626752">
        <w:rPr>
          <w:rFonts w:ascii="Garamond" w:hAnsi="Garamond"/>
          <w:sz w:val="22"/>
          <w:szCs w:val="22"/>
        </w:rPr>
        <w:lastRenderedPageBreak/>
        <w:t>by improved business environment and consumer confidence, as well as expansionary monetary policy. Recovering demand, in turn, will also contribute to the further improvement in the labor market conditions.</w:t>
      </w:r>
    </w:p>
    <w:p w14:paraId="21BE0D62"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According to preliminary estimates of State Statistics Service of the</w:t>
      </w:r>
      <w:r w:rsidRPr="00626752">
        <w:rPr>
          <w:rFonts w:ascii="Garamond" w:hAnsi="Garamond"/>
          <w:b/>
          <w:sz w:val="22"/>
          <w:szCs w:val="22"/>
        </w:rPr>
        <w:t xml:space="preserve"> Russian Federation</w:t>
      </w:r>
      <w:r w:rsidRPr="00626752">
        <w:rPr>
          <w:rFonts w:ascii="Garamond" w:hAnsi="Garamond"/>
          <w:sz w:val="22"/>
          <w:szCs w:val="22"/>
        </w:rPr>
        <w:t>, economic growth in the third quarter was 1.8% y/y (2.5% in the same period of the previous quarter) and for 2017, according to our forecasts, it will average 1.7%. The labor market conditions continue improving amid growing economic activity, in which circumstance the decline in unemployment in Russia tends to its historical low. The recovery of domestic demand through an expansionary monetary policy implemented by the Bank of Russia will continue fostering the economic growth.</w:t>
      </w:r>
    </w:p>
    <w:p w14:paraId="131421A0"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b/>
          <w:sz w:val="22"/>
          <w:szCs w:val="22"/>
        </w:rPr>
        <w:t>Price and financial developments in the external sector:</w:t>
      </w:r>
      <w:r w:rsidRPr="00626752">
        <w:rPr>
          <w:rFonts w:ascii="Garamond" w:hAnsi="Garamond"/>
          <w:sz w:val="22"/>
          <w:szCs w:val="22"/>
        </w:rPr>
        <w:t xml:space="preserve"> In the United States in the third quarter of 2017, compared to the previous quarter, the average quarterly inflation has dropped to 1.95%, close to its long-term target. According to forecasts, US inflation will somehow slow in the short-term, and will reach the target during the second quarter of 2018. With economy and prices demonstrating such growth patterns, the US Federal Reserve System kept its policy rate in the range of 1 to 1.25% in the third quarter and announced about the reduction in the balance sheet since October, which also indicates that the FRS will continue to pursue a gradually tightening monetary policy.</w:t>
      </w:r>
    </w:p>
    <w:p w14:paraId="065AB35F"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The average quarterly inflation in the Eurozone in the third quarter of 2017 was 1.44%, still running below its target. It is expected to reach its target only in the medium run. In the short-term perspective, lower prices of import goods due to exchange rate appreciation will be an impediment to recovery of inflation. Under these conditions, the European Central Bank will continue to pursue a low interest rate policy, while the asset purchases program will continue up until the end of 2017, involving the same volumes of EUR 60 billion a month, which will however halve to EUR 30 billion in the first half of 2018.</w:t>
      </w:r>
    </w:p>
    <w:p w14:paraId="609FF87C"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The average quarterly inflation in the </w:t>
      </w:r>
      <w:r w:rsidRPr="00626752">
        <w:rPr>
          <w:rFonts w:ascii="Garamond" w:hAnsi="Garamond"/>
          <w:b/>
          <w:sz w:val="22"/>
          <w:szCs w:val="22"/>
        </w:rPr>
        <w:t>Russian Federation</w:t>
      </w:r>
      <w:r w:rsidRPr="00626752">
        <w:rPr>
          <w:rFonts w:ascii="Garamond" w:hAnsi="Garamond"/>
          <w:sz w:val="22"/>
          <w:szCs w:val="22"/>
        </w:rPr>
        <w:t xml:space="preserve"> kept on declining: in the third quarter of 2017 it ran at a 3.3% level – below its target (4%), and the October indicator reached 2.7%. The decline in services prices has largely contributed to the reduction in inflation. In the third quarter of 2017, therefore, the Central Bank of Russia lowered the policy rate by 0.5 pp to 9%; and it is expected that the CBR will further pursue an expansionary policy, as the inflation remains below the target, although inflation expectations are still high.</w:t>
      </w:r>
    </w:p>
    <w:p w14:paraId="740C96FE"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Relative predictions of economic growth and interest rates across countries leave an impact on how the exchange rates behave. In the third quarter of 2017, the euro appreciated against the US dollar, hitting the maximum value of the past few years, as it amounted to 1.17 dollars per euro. The tendency of the exchange rate reflects strong economic growth in the Eurozone, as well as the US geopolitical tensions and fallouts of the storms on the US economy. The increase in oil prices notwithstanding, the Russian ruble depreciated by 3.2% in the third quarter of 2017, against the previous quarter, to an average RUB 59 per one US dollar. The ruble depreciation was mainly due to the diminishing interest of investors in the currencies of emerging </w:t>
      </w:r>
      <w:r w:rsidRPr="00626752">
        <w:rPr>
          <w:rFonts w:ascii="Garamond" w:hAnsi="Garamond"/>
          <w:sz w:val="22"/>
          <w:szCs w:val="22"/>
        </w:rPr>
        <w:lastRenderedPageBreak/>
        <w:t>economies. According to forecasts, the euro/US dollar and US dollar/Russian ruble exchange rates will fluctuate at current levels.</w:t>
      </w:r>
    </w:p>
    <w:p w14:paraId="22098855"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The recovery of copper and oil prices, a trend observable since the third quarter of 2017, will continue in the short-term, as well. In the mid-term, the international prices of these commodities will shape at relatively high levels now. In the third quarter of 2017, in particular, international copper prices will continue trending up over the fourth quarter too, driven by the growing industry in China and the US dollar depreciation against the rest of the currencies. In the mid-term perspective, however, the prices will incur adjustment, from currently high levels to the lower ones, due to the expectations for the reduction of production volumes. There is prediction that the rise in international oil prices in the third quarter will continue in the short-term, driven by several factors, such as expectations for an extended term of the deal for OPEC + oil production reduction, expectations for reduction in supply by Iraq in the Middle East.</w:t>
      </w:r>
    </w:p>
    <w:p w14:paraId="62BFFAAC"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In the world food product markets, trends of price increases will continue at the end of 2017. In particular, the rise in prices for dairy products has contributed to increased food prices, along with international price of sugar that has stopped declining in previous quarters. However, the current growth in the mid-term will stop due to the fall in dairy product prices, which is, in turn, attributable to the recovering volumes of supply in the market.</w:t>
      </w:r>
    </w:p>
    <w:tbl>
      <w:tblPr>
        <w:tblStyle w:val="TableGrid"/>
        <w:tblW w:w="0" w:type="auto"/>
        <w:tblLook w:val="04A0" w:firstRow="1" w:lastRow="0" w:firstColumn="1" w:lastColumn="0" w:noHBand="0" w:noVBand="1"/>
      </w:tblPr>
      <w:tblGrid>
        <w:gridCol w:w="9576"/>
      </w:tblGrid>
      <w:tr w:rsidR="00EE619D" w:rsidRPr="00626752" w14:paraId="714BC621" w14:textId="77777777" w:rsidTr="00EE619D">
        <w:tc>
          <w:tcPr>
            <w:tcW w:w="9576" w:type="dxa"/>
          </w:tcPr>
          <w:p w14:paraId="7A00717F" w14:textId="77777777" w:rsidR="00331DDB" w:rsidRPr="00626752" w:rsidRDefault="004E6219" w:rsidP="00EE619D">
            <w:pPr>
              <w:autoSpaceDE w:val="0"/>
              <w:autoSpaceDN w:val="0"/>
              <w:adjustRightInd w:val="0"/>
              <w:spacing w:after="120" w:line="360" w:lineRule="auto"/>
              <w:jc w:val="both"/>
              <w:rPr>
                <w:rFonts w:ascii="Garamond" w:hAnsi="Garamond"/>
                <w:b/>
                <w:color w:val="0070C0"/>
                <w:sz w:val="22"/>
                <w:szCs w:val="22"/>
              </w:rPr>
            </w:pPr>
            <w:r>
              <w:rPr>
                <w:rFonts w:ascii="Garamond" w:hAnsi="Garamond"/>
                <w:b/>
                <w:color w:val="0070C0"/>
                <w:sz w:val="22"/>
                <w:szCs w:val="22"/>
              </w:rPr>
              <w:t>Box 1:</w:t>
            </w:r>
          </w:p>
          <w:p w14:paraId="7E0F0D3E" w14:textId="77777777" w:rsidR="00EE619D" w:rsidRPr="00626752" w:rsidRDefault="00EE619D" w:rsidP="00EE619D">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t>International butter price developments</w:t>
            </w:r>
          </w:p>
          <w:p w14:paraId="227C0A52"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The decrease in milk production in major producer countries (Europe, the United States, New Zealand) and the growth in demand have been the main reason why international prices of butter doubled during this year.</w:t>
            </w:r>
          </w:p>
          <w:p w14:paraId="0BA4BCF1" w14:textId="77777777" w:rsidR="00EE619D" w:rsidRPr="00626752" w:rsidRDefault="00260739"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Chart </w:t>
            </w:r>
            <w:r w:rsidR="00EE619D" w:rsidRPr="00626752">
              <w:rPr>
                <w:rFonts w:ascii="Garamond" w:hAnsi="Garamond"/>
                <w:sz w:val="22"/>
                <w:szCs w:val="22"/>
              </w:rPr>
              <w:t xml:space="preserve">1 shows that the butter price has risen in several stages, and the beginning of the most recent price-rise was in May 2017 when a bunch of study papers came in with conclusion that butter is not really among harmful foods* as it has been claimed for years after Minnesota University Professor </w:t>
            </w:r>
            <w:proofErr w:type="spellStart"/>
            <w:r w:rsidR="00EE619D" w:rsidRPr="00626752">
              <w:rPr>
                <w:rFonts w:ascii="Garamond" w:hAnsi="Garamond"/>
                <w:sz w:val="22"/>
                <w:szCs w:val="22"/>
              </w:rPr>
              <w:t>Ancel</w:t>
            </w:r>
            <w:proofErr w:type="spellEnd"/>
            <w:r w:rsidR="00EE619D" w:rsidRPr="00626752">
              <w:rPr>
                <w:rFonts w:ascii="Garamond" w:hAnsi="Garamond"/>
                <w:sz w:val="22"/>
                <w:szCs w:val="22"/>
              </w:rPr>
              <w:t xml:space="preserve"> Keys had his work published in 1961 (also published in the Times magazine), scientifically proving that saturated fat is harmful**. This revealing contributed to the reduction in demand for saturated fat, which led to the drops in international butter prices. The low demand for butter and animal oil continued until the publication of work that denied the hypotheses that using saturated oils was dangerous***, ****. This shored up the demand for butter and, consequently, led to the increase of international prices for butter in 2014. The demand continued growing in line with supply factors which became the major causes of sharp increase in international butter prices in 2017 (Chart 6).</w:t>
            </w:r>
          </w:p>
          <w:p w14:paraId="49F11229"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With excess worldwide milk production volumes in 2014-2015, the global milk production shrank in 2016 (Chart 7), which led to the rise in butter prices, from USD 4400 per ton in the beginning of the year to USD </w:t>
            </w:r>
            <w:r w:rsidRPr="00626752">
              <w:rPr>
                <w:rFonts w:ascii="Garamond" w:hAnsi="Garamond"/>
                <w:sz w:val="22"/>
                <w:szCs w:val="22"/>
              </w:rPr>
              <w:lastRenderedPageBreak/>
              <w:t>6000 in September. The fall in prices urged the farmers to reduce the number of livestock, while forcing others out of the market, which resulted in the reduction in milk supply worldwide.</w:t>
            </w:r>
          </w:p>
          <w:p w14:paraId="405299F8"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Milk production in the world’s major exporting countries started to decline early in 2016 (Chart 7), and only in the second quarter of this year the production volumes restored. Despite large quantities of butter consumption, the rebounding butter production will contribute to the stabilization of prices in the butter market.</w:t>
            </w:r>
          </w:p>
          <w:p w14:paraId="3BE98839" w14:textId="77777777" w:rsidR="00EE619D" w:rsidRPr="00626752" w:rsidRDefault="00EE619D" w:rsidP="00EE619D">
            <w:pPr>
              <w:spacing w:line="360" w:lineRule="auto"/>
              <w:jc w:val="both"/>
              <w:rPr>
                <w:rFonts w:ascii="Garamond" w:hAnsi="Garamond"/>
                <w:sz w:val="22"/>
                <w:szCs w:val="22"/>
              </w:rPr>
            </w:pPr>
            <w:r w:rsidRPr="00626752">
              <w:rPr>
                <w:rFonts w:ascii="Garamond" w:hAnsi="Garamond"/>
                <w:sz w:val="22"/>
                <w:szCs w:val="22"/>
              </w:rPr>
              <w:t>……………………………………………</w:t>
            </w:r>
          </w:p>
          <w:p w14:paraId="091BD757" w14:textId="77777777" w:rsidR="00EE619D" w:rsidRPr="00626752" w:rsidRDefault="00EE619D" w:rsidP="00EE619D">
            <w:pPr>
              <w:rPr>
                <w:rFonts w:ascii="Garamond" w:hAnsi="Garamond"/>
                <w:i/>
                <w:sz w:val="22"/>
                <w:szCs w:val="22"/>
              </w:rPr>
            </w:pPr>
            <w:r w:rsidRPr="00626752">
              <w:rPr>
                <w:rFonts w:ascii="Garamond" w:hAnsi="Garamond"/>
                <w:i/>
                <w:sz w:val="22"/>
                <w:szCs w:val="22"/>
                <w:vertAlign w:val="superscript"/>
              </w:rPr>
              <w:t xml:space="preserve">* </w:t>
            </w:r>
            <w:r w:rsidRPr="00626752">
              <w:rPr>
                <w:rFonts w:ascii="Garamond" w:hAnsi="Garamond"/>
                <w:i/>
                <w:sz w:val="22"/>
                <w:szCs w:val="22"/>
              </w:rPr>
              <w:t>“</w:t>
            </w:r>
            <w:r w:rsidRPr="00626752">
              <w:rPr>
                <w:rFonts w:ascii="Garamond" w:hAnsi="Garamond"/>
                <w:i/>
                <w:sz w:val="22"/>
                <w:szCs w:val="22"/>
                <w:lang w:val="hy-AM"/>
              </w:rPr>
              <w:t>The Big Fat Surprise: Why Butter, Meat, and Cheese Belong in a Healthy Diet</w:t>
            </w:r>
            <w:r w:rsidRPr="00626752">
              <w:rPr>
                <w:rFonts w:ascii="Garamond" w:hAnsi="Garamond"/>
                <w:i/>
                <w:sz w:val="22"/>
                <w:szCs w:val="22"/>
              </w:rPr>
              <w:t>”</w:t>
            </w:r>
            <w:r w:rsidRPr="00626752">
              <w:rPr>
                <w:rFonts w:ascii="Garamond" w:hAnsi="Garamond"/>
                <w:i/>
                <w:sz w:val="22"/>
                <w:szCs w:val="22"/>
                <w:lang w:val="hy-AM"/>
              </w:rPr>
              <w:t xml:space="preserve">, Nina Teicholz, </w:t>
            </w:r>
            <w:r w:rsidRPr="00626752">
              <w:rPr>
                <w:rFonts w:ascii="Garamond" w:hAnsi="Garamond"/>
                <w:i/>
                <w:sz w:val="22"/>
                <w:szCs w:val="22"/>
              </w:rPr>
              <w:t>2014.</w:t>
            </w:r>
          </w:p>
          <w:p w14:paraId="0C20D5E9" w14:textId="77777777" w:rsidR="00EE619D" w:rsidRPr="00626752" w:rsidRDefault="00EE619D" w:rsidP="00EE619D">
            <w:pPr>
              <w:rPr>
                <w:rFonts w:ascii="Garamond" w:hAnsi="Garamond"/>
                <w:i/>
                <w:sz w:val="22"/>
                <w:szCs w:val="22"/>
              </w:rPr>
            </w:pPr>
            <w:r w:rsidRPr="00626752">
              <w:rPr>
                <w:rFonts w:ascii="Garamond" w:hAnsi="Garamond"/>
                <w:i/>
                <w:sz w:val="22"/>
                <w:szCs w:val="22"/>
                <w:vertAlign w:val="superscript"/>
              </w:rPr>
              <w:t>**</w:t>
            </w:r>
            <w:r w:rsidRPr="00626752">
              <w:rPr>
                <w:rFonts w:ascii="Garamond" w:hAnsi="Garamond"/>
                <w:i/>
                <w:sz w:val="22"/>
                <w:szCs w:val="22"/>
                <w:vertAlign w:val="superscript"/>
                <w:lang w:val="hy-AM"/>
              </w:rPr>
              <w:t xml:space="preserve"> </w:t>
            </w:r>
            <w:proofErr w:type="spellStart"/>
            <w:r w:rsidRPr="00626752">
              <w:rPr>
                <w:rFonts w:ascii="Garamond" w:hAnsi="Garamond"/>
                <w:i/>
                <w:sz w:val="22"/>
                <w:szCs w:val="22"/>
              </w:rPr>
              <w:t>Ancel</w:t>
            </w:r>
            <w:proofErr w:type="spellEnd"/>
            <w:r w:rsidRPr="00626752">
              <w:rPr>
                <w:rFonts w:ascii="Garamond" w:hAnsi="Garamond"/>
                <w:i/>
                <w:sz w:val="22"/>
                <w:szCs w:val="22"/>
              </w:rPr>
              <w:t xml:space="preserve"> Keys, Time Magazine, January 13, 1961.</w:t>
            </w:r>
          </w:p>
          <w:p w14:paraId="62BB130D" w14:textId="77777777" w:rsidR="00EE619D" w:rsidRPr="00626752" w:rsidRDefault="00EE619D" w:rsidP="00EE619D">
            <w:pPr>
              <w:rPr>
                <w:rFonts w:ascii="Garamond" w:hAnsi="Garamond"/>
                <w:i/>
                <w:sz w:val="22"/>
                <w:szCs w:val="22"/>
              </w:rPr>
            </w:pPr>
            <w:r w:rsidRPr="00626752">
              <w:rPr>
                <w:rFonts w:ascii="Garamond" w:hAnsi="Garamond"/>
                <w:i/>
                <w:sz w:val="22"/>
                <w:szCs w:val="22"/>
                <w:vertAlign w:val="superscript"/>
              </w:rPr>
              <w:t xml:space="preserve">*** </w:t>
            </w:r>
            <w:r w:rsidRPr="00626752">
              <w:rPr>
                <w:rFonts w:ascii="Garamond" w:hAnsi="Garamond"/>
                <w:i/>
                <w:sz w:val="22"/>
                <w:szCs w:val="22"/>
              </w:rPr>
              <w:t>“The case for eating steak and cream”, The Economist, May 31, 2014.</w:t>
            </w:r>
          </w:p>
          <w:p w14:paraId="3DD6B789" w14:textId="77777777" w:rsidR="00EE619D" w:rsidRPr="00626752" w:rsidRDefault="00EE619D" w:rsidP="00EE619D">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i/>
                <w:sz w:val="22"/>
                <w:szCs w:val="22"/>
                <w:vertAlign w:val="superscript"/>
              </w:rPr>
              <w:t xml:space="preserve">**** </w:t>
            </w:r>
            <w:r w:rsidRPr="00626752">
              <w:rPr>
                <w:rFonts w:ascii="Garamond" w:hAnsi="Garamond"/>
                <w:i/>
                <w:sz w:val="22"/>
                <w:szCs w:val="22"/>
              </w:rPr>
              <w:t>“Ending the war on fat”, Bryan Walsh, Time Magazine. June 12, 2014.</w:t>
            </w:r>
          </w:p>
        </w:tc>
      </w:tr>
    </w:tbl>
    <w:p w14:paraId="02FCC525" w14:textId="77777777" w:rsidR="00EE619D" w:rsidRPr="00626752" w:rsidRDefault="00EE619D" w:rsidP="00EE619D">
      <w:pPr>
        <w:autoSpaceDE w:val="0"/>
        <w:autoSpaceDN w:val="0"/>
        <w:adjustRightInd w:val="0"/>
        <w:spacing w:after="120" w:line="360" w:lineRule="auto"/>
        <w:jc w:val="both"/>
        <w:rPr>
          <w:rFonts w:ascii="Garamond" w:hAnsi="Garamond"/>
          <w:b/>
          <w:color w:val="0070C0"/>
          <w:sz w:val="22"/>
          <w:szCs w:val="22"/>
        </w:rPr>
      </w:pPr>
    </w:p>
    <w:p w14:paraId="3623D84F"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b/>
          <w:bCs/>
          <w:iCs/>
          <w:color w:val="0070C0"/>
          <w:sz w:val="22"/>
          <w:szCs w:val="22"/>
        </w:rPr>
        <w:t>2.2. Forecasts</w:t>
      </w:r>
      <w:r w:rsidRPr="00626752">
        <w:rPr>
          <w:rFonts w:ascii="Garamond" w:hAnsi="Garamond"/>
          <w:sz w:val="22"/>
          <w:szCs w:val="22"/>
        </w:rPr>
        <w:t xml:space="preserve"> </w:t>
      </w:r>
    </w:p>
    <w:p w14:paraId="182E2D90"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b/>
          <w:bCs/>
          <w:iCs/>
          <w:color w:val="0070C0"/>
          <w:sz w:val="22"/>
          <w:szCs w:val="22"/>
        </w:rPr>
        <w:t>2.2.1. Inflation and monetary policy</w:t>
      </w:r>
      <w:r w:rsidRPr="00626752">
        <w:rPr>
          <w:rFonts w:ascii="Garamond" w:hAnsi="Garamond"/>
          <w:sz w:val="22"/>
          <w:szCs w:val="22"/>
        </w:rPr>
        <w:t xml:space="preserve"> </w:t>
      </w:r>
    </w:p>
    <w:p w14:paraId="3E96B625" w14:textId="1046B5EB"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b/>
          <w:sz w:val="22"/>
          <w:szCs w:val="22"/>
        </w:rPr>
        <w:t>Inflation will continue rebounding in the medium term; starting from 2018 it will be within the confidence band, approaching the target. At the end of 2018 and during 2019 it will even slightly outstrip the 4% target, stabilizing again at the same level by the end of the forecast horizon.</w:t>
      </w:r>
    </w:p>
    <w:p w14:paraId="36D67233" w14:textId="1FD245DC"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Notwithstanding the smaller-than-expected inflationary effect from commodity groups “</w:t>
      </w:r>
      <w:r w:rsidR="003A369A">
        <w:rPr>
          <w:rFonts w:ascii="Garamond" w:hAnsi="Garamond"/>
          <w:sz w:val="22"/>
          <w:szCs w:val="22"/>
        </w:rPr>
        <w:t>F</w:t>
      </w:r>
      <w:r w:rsidRPr="00626752">
        <w:rPr>
          <w:rFonts w:ascii="Garamond" w:hAnsi="Garamond"/>
          <w:sz w:val="22"/>
          <w:szCs w:val="22"/>
        </w:rPr>
        <w:t>ruit” and “</w:t>
      </w:r>
      <w:r w:rsidR="003A369A">
        <w:rPr>
          <w:rFonts w:ascii="Garamond" w:hAnsi="Garamond"/>
          <w:sz w:val="22"/>
          <w:szCs w:val="22"/>
        </w:rPr>
        <w:t>V</w:t>
      </w:r>
      <w:r w:rsidRPr="00626752">
        <w:rPr>
          <w:rFonts w:ascii="Garamond" w:hAnsi="Garamond"/>
          <w:sz w:val="22"/>
          <w:szCs w:val="22"/>
        </w:rPr>
        <w:t>egetable”, faster accelerating core inflation rate remains the main factor that determines recovery of inflation. The recovering of core inflation is primarily conditioned by continued strengthening of domestic demand, as well as the inflationary effects coming from commodity markets in the world. It is estimated that in the short-term perspective changes in the customs duty and excise tax rates on certain goods will have a limited inflationary effect</w:t>
      </w:r>
      <w:r w:rsidRPr="00626752">
        <w:rPr>
          <w:rStyle w:val="FootnoteReference"/>
          <w:rFonts w:ascii="Garamond" w:hAnsi="Garamond"/>
          <w:sz w:val="22"/>
          <w:szCs w:val="22"/>
        </w:rPr>
        <w:footnoteReference w:customMarkFollows="1" w:id="1"/>
        <w:t>1</w:t>
      </w:r>
      <w:r w:rsidRPr="00626752">
        <w:rPr>
          <w:rFonts w:ascii="Garamond" w:hAnsi="Garamond"/>
          <w:sz w:val="22"/>
          <w:szCs w:val="22"/>
        </w:rPr>
        <w:t>, which will be temporary and will phase out at the start of 2019. On the other hand, the deflationary effect observed in 2017 as a result of reduced tariffs for regulated services, particularly electricity and gas, will eliminate in early 2018, which will also leave a positive impact on the path to recovery of headline inflation.</w:t>
      </w:r>
    </w:p>
    <w:p w14:paraId="5BE7D050" w14:textId="0B4C2D49"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With the monetary environment expanding and private remittances from abroad growing, a steady increase in domestic demand has been observed since the beginning of the year, which has also been reflected in increasing imports and core inflation behavior. As these developments are combined with expectations of less contractionary effect from the budget in 2017 </w:t>
      </w:r>
      <w:r w:rsidR="00B20ADD">
        <w:rPr>
          <w:rFonts w:ascii="Garamond" w:hAnsi="Garamond"/>
          <w:sz w:val="22"/>
          <w:szCs w:val="22"/>
        </w:rPr>
        <w:t xml:space="preserve">and </w:t>
      </w:r>
      <w:r w:rsidRPr="00626752">
        <w:rPr>
          <w:rFonts w:ascii="Garamond" w:hAnsi="Garamond"/>
          <w:sz w:val="22"/>
          <w:szCs w:val="22"/>
        </w:rPr>
        <w:t xml:space="preserve">some expansionary impact to be expected in 2018, the GDP gap is predicted to enter a positive territory starting from 2018, which will further contribute to the </w:t>
      </w:r>
      <w:r w:rsidRPr="00626752">
        <w:rPr>
          <w:rFonts w:ascii="Garamond" w:hAnsi="Garamond"/>
          <w:sz w:val="22"/>
          <w:szCs w:val="22"/>
        </w:rPr>
        <w:lastRenderedPageBreak/>
        <w:t>acceleration of inflation. In the event expansionary monetary conditions phase out in 2019, the GDP gap will gradually come to zero.</w:t>
      </w:r>
    </w:p>
    <w:p w14:paraId="672F7955" w14:textId="5D5F286A"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As core inflation and demand bounce back, one may see that households’ short-term inflationary expectations increase, which are fueled additionally by mass media giving way to various interpretations for high price inflation on some primary consumption goods. Although inflationary expectations are taken into account by the Central Bank in the monetary policy development</w:t>
      </w:r>
      <w:r w:rsidR="001501E0">
        <w:rPr>
          <w:rFonts w:ascii="Garamond" w:hAnsi="Garamond"/>
          <w:sz w:val="22"/>
          <w:szCs w:val="22"/>
        </w:rPr>
        <w:t xml:space="preserve"> in any case</w:t>
      </w:r>
      <w:r w:rsidRPr="00626752">
        <w:rPr>
          <w:rFonts w:ascii="Garamond" w:hAnsi="Garamond"/>
          <w:sz w:val="22"/>
          <w:szCs w:val="22"/>
        </w:rPr>
        <w:t>, regardless of how they arise, it is estimated that the excessive growth of short-term inflationary expectations under the aforementioned factors will be temporary and will then be anchored at the level which is consistent with the actual inflation indicators and objective developments for recovery of demand. The Central Bank believes that monetary conditions are still reasonable to be left unchanged. Nevertheless, the logic of a forward-looking policy tells that a monetary environment that supports the growth of demand needs only to phase out gradually, as a result of which the inflation will slightly exceed the target but will step back around the target, as influenced by the Central Bank action.</w:t>
      </w:r>
    </w:p>
    <w:p w14:paraId="234E9DC7" w14:textId="77777777" w:rsidR="00EE619D" w:rsidRPr="00626752" w:rsidRDefault="00EE619D" w:rsidP="00EE619D">
      <w:pPr>
        <w:autoSpaceDE w:val="0"/>
        <w:autoSpaceDN w:val="0"/>
        <w:adjustRightInd w:val="0"/>
        <w:spacing w:after="120" w:line="360" w:lineRule="auto"/>
        <w:jc w:val="both"/>
        <w:rPr>
          <w:rFonts w:ascii="Garamond" w:hAnsi="Garamond"/>
          <w:b/>
          <w:bCs/>
          <w:iCs/>
          <w:color w:val="0070C0"/>
          <w:sz w:val="22"/>
          <w:szCs w:val="22"/>
        </w:rPr>
      </w:pPr>
      <w:r w:rsidRPr="00626752">
        <w:rPr>
          <w:rFonts w:ascii="Garamond" w:hAnsi="Garamond"/>
          <w:b/>
          <w:bCs/>
          <w:iCs/>
          <w:color w:val="0070C0"/>
          <w:sz w:val="22"/>
          <w:szCs w:val="22"/>
        </w:rPr>
        <w:t>2.2.2. Economic activity</w:t>
      </w:r>
      <w:r w:rsidRPr="00626752">
        <w:rPr>
          <w:rStyle w:val="FootnoteReference"/>
          <w:rFonts w:ascii="Garamond" w:hAnsi="Garamond"/>
          <w:b/>
          <w:bCs/>
          <w:iCs/>
          <w:color w:val="0070C0"/>
          <w:sz w:val="22"/>
          <w:szCs w:val="22"/>
        </w:rPr>
        <w:footnoteReference w:customMarkFollows="1" w:id="2"/>
        <w:t>2</w:t>
      </w:r>
    </w:p>
    <w:p w14:paraId="1A07A45A"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b/>
          <w:sz w:val="22"/>
          <w:szCs w:val="22"/>
        </w:rPr>
        <w:t>Aggregate demand:</w:t>
      </w:r>
      <w:r w:rsidRPr="00626752">
        <w:rPr>
          <w:rFonts w:ascii="Garamond" w:hAnsi="Garamond"/>
          <w:sz w:val="22"/>
          <w:szCs w:val="22"/>
        </w:rPr>
        <w:t xml:space="preserve"> Continuous monetary expansion by the Central Bank, increased private remittances from Russia and the investment promotion policy of the Armenian Government are the main factors which facilitated a substantial increase of domestic demand in 2017 thus promoting the economic growth. It should also be noted that gradually recovering external demand also contributed to the economic growth expected for the year. These developments with aggregate demand will be persisting to a certain extent also in 2018.</w:t>
      </w:r>
    </w:p>
    <w:p w14:paraId="3238C7FE"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Cyclical effects of expansionary monetary and fiscal policies will gradually weaken over 2019-2020. In this event, the expected economic growth will largely be determined by gradual increase in the level of the economy potential, which will be driven by structural reforms implemented by the Government and the dynamics of economic fundamentalists to be shaped in the external sector.</w:t>
      </w:r>
    </w:p>
    <w:p w14:paraId="475D370F" w14:textId="04720AA3"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In light of the aforementioned developments, economic growth in 2017 is expected in the range of 4.4-4.9% which will be driven mainly by 7.4% growth in private consumption and 6.0% growth in</w:t>
      </w:r>
      <w:r w:rsidR="00D22DE7">
        <w:rPr>
          <w:rFonts w:ascii="Garamond" w:hAnsi="Garamond"/>
          <w:sz w:val="22"/>
          <w:szCs w:val="22"/>
        </w:rPr>
        <w:t xml:space="preserve"> private</w:t>
      </w:r>
      <w:r w:rsidRPr="00626752">
        <w:rPr>
          <w:rFonts w:ascii="Garamond" w:hAnsi="Garamond"/>
          <w:sz w:val="22"/>
          <w:szCs w:val="22"/>
        </w:rPr>
        <w:t xml:space="preserve"> investment.</w:t>
      </w:r>
    </w:p>
    <w:p w14:paraId="5E1627D8"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It should also be noted that export of goods and services will also positively affect the economic growth as a result of the increase in incomes in trade partner countries to Armenia as well as export promotion in the domestic economy. Nonetheless, net exports will have a negative impact on economic growth as the growth in consumption and investment has been concomitant with a significant increase in imports.</w:t>
      </w:r>
    </w:p>
    <w:p w14:paraId="13036ACE"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An expansionary fiscal policy expected in 2018, a lagged impact of expansionary monetary policy carried out in 2017, as well as acceleration of economic growth in trade partner countries to Armenia will lead to </w:t>
      </w:r>
      <w:r w:rsidRPr="00626752">
        <w:rPr>
          <w:rFonts w:ascii="Garamond" w:hAnsi="Garamond"/>
          <w:sz w:val="22"/>
          <w:szCs w:val="22"/>
        </w:rPr>
        <w:lastRenderedPageBreak/>
        <w:t>continued strengthening of domestic and external demand, under which circumstance the economic growth will amount to 3.5-4.6%.</w:t>
      </w:r>
    </w:p>
    <w:p w14:paraId="05251271"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There is expectation that economic growth in 2019-2020 will be in the range of 3.5-4.9% and 3.8-5.4%, respectively. Note that the medium-term economic growth above depends on the pace of structural reforms implemented by the Government, the export promotion policy, and economic growth potentials as expected in trade partner countries to Armenia.</w:t>
      </w:r>
    </w:p>
    <w:p w14:paraId="7A4135F7"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b/>
          <w:sz w:val="22"/>
          <w:szCs w:val="22"/>
        </w:rPr>
        <w:t xml:space="preserve">External demand: </w:t>
      </w:r>
      <w:r w:rsidRPr="00626752">
        <w:rPr>
          <w:rFonts w:ascii="Garamond" w:hAnsi="Garamond"/>
          <w:sz w:val="22"/>
          <w:szCs w:val="22"/>
        </w:rPr>
        <w:t>As was already mentioned, in 2017 the impact of net external demand on real GDP is estimated negative, explained by strong growth in real import of goods and services as domestic demand recovered at a rate faster than anticipated. It should be noted that the growth of domestic demand owed to grown import of all commodity groups. The growth of domestic demand has</w:t>
      </w:r>
      <w:r w:rsidR="00331DDB" w:rsidRPr="00626752">
        <w:rPr>
          <w:rFonts w:ascii="Garamond" w:hAnsi="Garamond"/>
          <w:sz w:val="22"/>
          <w:szCs w:val="22"/>
        </w:rPr>
        <w:t>,</w:t>
      </w:r>
      <w:r w:rsidRPr="00626752">
        <w:rPr>
          <w:rFonts w:ascii="Garamond" w:hAnsi="Garamond"/>
          <w:sz w:val="22"/>
          <w:szCs w:val="22"/>
        </w:rPr>
        <w:t xml:space="preserve"> </w:t>
      </w:r>
      <w:r w:rsidR="00331DDB" w:rsidRPr="00626752">
        <w:rPr>
          <w:rFonts w:ascii="Garamond" w:hAnsi="Garamond"/>
          <w:sz w:val="22"/>
          <w:szCs w:val="22"/>
        </w:rPr>
        <w:t xml:space="preserve">in addition to other factors, </w:t>
      </w:r>
      <w:r w:rsidRPr="00626752">
        <w:rPr>
          <w:rFonts w:ascii="Garamond" w:hAnsi="Garamond"/>
          <w:sz w:val="22"/>
          <w:szCs w:val="22"/>
        </w:rPr>
        <w:t>been fueled</w:t>
      </w:r>
      <w:r w:rsidR="00331DDB" w:rsidRPr="00626752">
        <w:rPr>
          <w:rFonts w:ascii="Garamond" w:hAnsi="Garamond"/>
          <w:sz w:val="22"/>
          <w:szCs w:val="22"/>
        </w:rPr>
        <w:t xml:space="preserve"> </w:t>
      </w:r>
      <w:r w:rsidRPr="00626752">
        <w:rPr>
          <w:rFonts w:ascii="Garamond" w:hAnsi="Garamond"/>
          <w:sz w:val="22"/>
          <w:szCs w:val="22"/>
        </w:rPr>
        <w:t>by high growth of private remittances thanks to rapid recovery of the Russian economy (the growth of private remittances is estimated to be 14.0-16.0% in 2017). The growth in import has exceeded the growth of export and the transfers amid positive developments in the external environment. As a result of these developments, the current account deficit-to-GDP ratio will be in the range of 2.0-3.0%.</w:t>
      </w:r>
    </w:p>
    <w:p w14:paraId="32C0386C" w14:textId="5BE7910A"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The previous year’s negative contribution of net export to real GDP will eliminate </w:t>
      </w:r>
      <w:r w:rsidR="00635D29">
        <w:rPr>
          <w:rFonts w:ascii="Garamond" w:hAnsi="Garamond"/>
          <w:sz w:val="22"/>
          <w:szCs w:val="22"/>
        </w:rPr>
        <w:t>somewhat</w:t>
      </w:r>
      <w:r w:rsidR="00635D29" w:rsidRPr="00626752">
        <w:rPr>
          <w:rFonts w:ascii="Garamond" w:hAnsi="Garamond"/>
          <w:sz w:val="22"/>
          <w:szCs w:val="22"/>
        </w:rPr>
        <w:t xml:space="preserve"> </w:t>
      </w:r>
      <w:r w:rsidRPr="00626752">
        <w:rPr>
          <w:rFonts w:ascii="Garamond" w:hAnsi="Garamond"/>
          <w:sz w:val="22"/>
          <w:szCs w:val="22"/>
        </w:rPr>
        <w:t xml:space="preserve">during 2018. This is based on the assumption that significant part of import growth reflects the offset of contracted demand of previous years, and there is no anticipation that such high growth rates would be maintained – these are projected to reach 2.0-4.0%. With the Government programs to carry on as well as identifying new markets, the growth of real export of goods and services will stabilize within 4.0-6.0% in the medium run. Growth of money transfers will be commensurate with </w:t>
      </w:r>
      <w:r w:rsidR="00635D29">
        <w:rPr>
          <w:rFonts w:ascii="Garamond" w:hAnsi="Garamond"/>
          <w:sz w:val="22"/>
          <w:szCs w:val="22"/>
        </w:rPr>
        <w:t xml:space="preserve">the scenario of </w:t>
      </w:r>
      <w:r w:rsidRPr="00626752">
        <w:rPr>
          <w:rFonts w:ascii="Garamond" w:hAnsi="Garamond"/>
          <w:sz w:val="22"/>
          <w:szCs w:val="22"/>
        </w:rPr>
        <w:t>gradual appreciation of the Russian ruble and of economic recovery in this country</w:t>
      </w:r>
      <w:r w:rsidR="00635D29">
        <w:rPr>
          <w:rFonts w:ascii="Garamond" w:hAnsi="Garamond"/>
          <w:sz w:val="22"/>
          <w:szCs w:val="22"/>
        </w:rPr>
        <w:t>,</w:t>
      </w:r>
      <w:r w:rsidRPr="00626752">
        <w:rPr>
          <w:rFonts w:ascii="Garamond" w:hAnsi="Garamond"/>
          <w:sz w:val="22"/>
          <w:szCs w:val="22"/>
        </w:rPr>
        <w:t xml:space="preserve"> </w:t>
      </w:r>
      <w:r w:rsidR="00635D29">
        <w:rPr>
          <w:rFonts w:ascii="Sylfaen" w:hAnsi="Sylfaen"/>
          <w:sz w:val="22"/>
          <w:szCs w:val="22"/>
        </w:rPr>
        <w:t xml:space="preserve">in which case it </w:t>
      </w:r>
      <w:proofErr w:type="gramStart"/>
      <w:r w:rsidR="00635D29">
        <w:rPr>
          <w:rFonts w:ascii="Sylfaen" w:hAnsi="Sylfaen"/>
          <w:sz w:val="22"/>
          <w:szCs w:val="22"/>
        </w:rPr>
        <w:t xml:space="preserve">is </w:t>
      </w:r>
      <w:r w:rsidRPr="00626752">
        <w:rPr>
          <w:rFonts w:ascii="Garamond" w:hAnsi="Garamond"/>
          <w:sz w:val="22"/>
          <w:szCs w:val="22"/>
        </w:rPr>
        <w:t xml:space="preserve"> anticipate</w:t>
      </w:r>
      <w:r w:rsidR="00635D29">
        <w:rPr>
          <w:rFonts w:ascii="Garamond" w:hAnsi="Garamond"/>
          <w:sz w:val="22"/>
          <w:szCs w:val="22"/>
        </w:rPr>
        <w:t>d</w:t>
      </w:r>
      <w:proofErr w:type="gramEnd"/>
      <w:r w:rsidRPr="00626752">
        <w:rPr>
          <w:rFonts w:ascii="Garamond" w:hAnsi="Garamond"/>
          <w:sz w:val="22"/>
          <w:szCs w:val="22"/>
        </w:rPr>
        <w:t xml:space="preserve"> net growth to be between 6.0-8.0%. As a result, following deterioration in 2017, the current account will stabilize around a medium-term equilibrium of 3%.</w:t>
      </w:r>
    </w:p>
    <w:p w14:paraId="13414C19"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b/>
          <w:sz w:val="22"/>
          <w:szCs w:val="22"/>
        </w:rPr>
        <w:t>Fiscal policy:</w:t>
      </w:r>
      <w:r w:rsidRPr="00626752">
        <w:rPr>
          <w:rFonts w:ascii="Garamond" w:hAnsi="Garamond"/>
          <w:sz w:val="22"/>
          <w:szCs w:val="22"/>
        </w:rPr>
        <w:t xml:space="preserve"> Driven by the actual tax collection and implementation of tax reforms in 2017, the 2017 tax assessment has been reduced by AMD 50.0 billion. As a result, tax revenues will slightly exceed the figure projected in the 2017 budget. This means that the tax-to-GDP ratio will persist almost at the same level compared to the previous year, 21.2%</w:t>
      </w:r>
      <w:r w:rsidRPr="00626752">
        <w:rPr>
          <w:rStyle w:val="FootnoteReference"/>
          <w:rFonts w:ascii="Garamond" w:hAnsi="Garamond"/>
          <w:sz w:val="22"/>
          <w:szCs w:val="22"/>
        </w:rPr>
        <w:footnoteReference w:customMarkFollows="1" w:id="3"/>
        <w:t>3</w:t>
      </w:r>
      <w:r w:rsidRPr="00626752">
        <w:rPr>
          <w:rFonts w:ascii="Garamond" w:hAnsi="Garamond"/>
          <w:sz w:val="22"/>
          <w:szCs w:val="22"/>
        </w:rPr>
        <w:t>, under which the revenue impulse will be smaller, 0.2 pp contractionary.</w:t>
      </w:r>
    </w:p>
    <w:p w14:paraId="4B110BC9"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By the year’s results, there will be savings on public expenditures, as was in the previous plan, which are anticipated to the expense of capital expenses mostly funded through external sources. The expenditures estimate will make up 96.8% of the annual figure of adjusted proportions (about AMD 45.0 billion worth </w:t>
      </w:r>
      <w:r w:rsidRPr="00626752">
        <w:rPr>
          <w:rFonts w:ascii="Garamond" w:hAnsi="Garamond"/>
          <w:sz w:val="22"/>
          <w:szCs w:val="22"/>
        </w:rPr>
        <w:lastRenderedPageBreak/>
        <w:t>savings). As a result, the expenditures-to-GDP ratio will reach 25.6%, dropping by 2.3 pp compared to the previous year, with the expenditures impulse to be 2.7 pp contractionary.</w:t>
      </w:r>
    </w:p>
    <w:p w14:paraId="67FDFA67"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The deficit-to-GDP ratio will amount to 3.3%, reducing by 2.3 pp compared to the same indicator in 2016. The impact of fiscal policy on aggregate demand, driven by the above-mentioned changes, is estimated 2.9 pp contractionary for 2017.</w:t>
      </w:r>
    </w:p>
    <w:p w14:paraId="157C4033"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To pursue a sustainable debt environment in the </w:t>
      </w:r>
      <w:r w:rsidRPr="00626752">
        <w:rPr>
          <w:rFonts w:ascii="Garamond" w:hAnsi="Garamond"/>
          <w:b/>
          <w:sz w:val="22"/>
          <w:szCs w:val="22"/>
        </w:rPr>
        <w:t>mid-term perspective</w:t>
      </w:r>
      <w:r w:rsidRPr="00626752">
        <w:rPr>
          <w:rStyle w:val="FootnoteReference"/>
          <w:rFonts w:ascii="Garamond" w:hAnsi="Garamond"/>
          <w:sz w:val="22"/>
          <w:szCs w:val="22"/>
        </w:rPr>
        <w:footnoteReference w:customMarkFollows="1" w:id="4"/>
        <w:t>4</w:t>
      </w:r>
      <w:r w:rsidRPr="00626752">
        <w:rPr>
          <w:rFonts w:ascii="Garamond" w:hAnsi="Garamond"/>
          <w:sz w:val="22"/>
          <w:szCs w:val="22"/>
        </w:rPr>
        <w:t xml:space="preserve"> the fiscal policy will be steered to gradual reduction of deficit (2.4% of GDP, on average). In 2018</w:t>
      </w:r>
      <w:r w:rsidRPr="00626752">
        <w:rPr>
          <w:rStyle w:val="FootnoteReference"/>
          <w:rFonts w:ascii="Garamond" w:hAnsi="Garamond"/>
          <w:sz w:val="22"/>
          <w:szCs w:val="22"/>
        </w:rPr>
        <w:footnoteReference w:customMarkFollows="1" w:id="5"/>
        <w:t>5</w:t>
      </w:r>
      <w:r w:rsidRPr="00626752">
        <w:rPr>
          <w:rFonts w:ascii="Garamond" w:hAnsi="Garamond"/>
          <w:sz w:val="22"/>
          <w:szCs w:val="22"/>
        </w:rPr>
        <w:t>, relative to the Central Bank estimates for 2017, the deficit-to-GDP ratio is expected to decrease by 0.7 pp. The deficit reduction notwithstanding, the fiscal policy’s impact on aggregate demand in 2018 is predicted to be 0.8 pp expansionary in relation to that of 2017. This is due to the extensive effect of expenditures and net lending</w:t>
      </w:r>
      <w:r w:rsidRPr="00626752">
        <w:rPr>
          <w:rStyle w:val="FootnoteReference"/>
          <w:rFonts w:ascii="Garamond" w:hAnsi="Garamond"/>
          <w:sz w:val="22"/>
          <w:szCs w:val="22"/>
        </w:rPr>
        <w:footnoteReference w:customMarkFollows="1" w:id="6"/>
        <w:t>6</w:t>
      </w:r>
      <w:r w:rsidRPr="00626752">
        <w:rPr>
          <w:rFonts w:ascii="Garamond" w:hAnsi="Garamond"/>
          <w:sz w:val="22"/>
          <w:szCs w:val="22"/>
        </w:rPr>
        <w:t>. In 2019-2020, according to the fiscal impulse assessment, the impact of fiscal policy will be neutral.</w:t>
      </w:r>
    </w:p>
    <w:p w14:paraId="5AB7A4E4" w14:textId="5DBF8942"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b/>
          <w:sz w:val="22"/>
          <w:szCs w:val="22"/>
        </w:rPr>
        <w:t>Labor market</w:t>
      </w:r>
      <w:r w:rsidRPr="00626752">
        <w:rPr>
          <w:rStyle w:val="FootnoteReference"/>
          <w:rFonts w:ascii="Garamond" w:hAnsi="Garamond"/>
          <w:b/>
          <w:sz w:val="22"/>
          <w:szCs w:val="22"/>
        </w:rPr>
        <w:footnoteReference w:customMarkFollows="1" w:id="7"/>
        <w:t>7</w:t>
      </w:r>
      <w:r w:rsidRPr="00626752">
        <w:rPr>
          <w:rFonts w:ascii="Garamond" w:hAnsi="Garamond"/>
          <w:b/>
          <w:sz w:val="22"/>
          <w:szCs w:val="22"/>
        </w:rPr>
        <w:t xml:space="preserve">: </w:t>
      </w:r>
      <w:r w:rsidRPr="00626752">
        <w:rPr>
          <w:rFonts w:ascii="Garamond" w:hAnsi="Garamond"/>
          <w:sz w:val="22"/>
          <w:szCs w:val="22"/>
        </w:rPr>
        <w:t>The developments for nominal wages in the private sector</w:t>
      </w:r>
      <w:r w:rsidR="00D22DE7">
        <w:rPr>
          <w:rFonts w:ascii="Garamond" w:hAnsi="Garamond"/>
          <w:sz w:val="22"/>
          <w:szCs w:val="22"/>
        </w:rPr>
        <w:t>, which tended to accelerate since the beginning of 2017,</w:t>
      </w:r>
      <w:r w:rsidRPr="00626752">
        <w:rPr>
          <w:rFonts w:ascii="Garamond" w:hAnsi="Garamond"/>
          <w:sz w:val="22"/>
          <w:szCs w:val="22"/>
        </w:rPr>
        <w:t xml:space="preserve"> will play their part in helping the domestic demand to stabilize. </w:t>
      </w:r>
      <w:r w:rsidR="00E227E8">
        <w:rPr>
          <w:rFonts w:ascii="Sylfaen" w:hAnsi="Sylfaen"/>
          <w:sz w:val="22"/>
          <w:szCs w:val="22"/>
        </w:rPr>
        <w:t>T</w:t>
      </w:r>
      <w:r w:rsidR="00E227E8" w:rsidRPr="00626752">
        <w:rPr>
          <w:rFonts w:ascii="Garamond" w:hAnsi="Garamond"/>
          <w:sz w:val="22"/>
          <w:szCs w:val="22"/>
        </w:rPr>
        <w:t xml:space="preserve">he </w:t>
      </w:r>
      <w:r w:rsidRPr="00626752">
        <w:rPr>
          <w:rFonts w:ascii="Garamond" w:hAnsi="Garamond"/>
          <w:sz w:val="22"/>
          <w:szCs w:val="22"/>
        </w:rPr>
        <w:t>private sector nominal wage growth will keep abreast with economic growth and inflation developments in the medium run.</w:t>
      </w:r>
    </w:p>
    <w:p w14:paraId="523D99CA"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In the event of such economic growth developments and Government-led investment promotion policy and structural reforms, the rate of unemployment is expected to be 17.9% in 2017, which will gradually decline by 0.3-0.5% annually to reach its mid-term equilibrium at the end of the forecast horizon.</w:t>
      </w:r>
    </w:p>
    <w:p w14:paraId="2041C7DB" w14:textId="77777777" w:rsidR="00EE619D" w:rsidRPr="00626752" w:rsidRDefault="00EE619D" w:rsidP="00EE619D">
      <w:pPr>
        <w:autoSpaceDE w:val="0"/>
        <w:autoSpaceDN w:val="0"/>
        <w:adjustRightInd w:val="0"/>
        <w:spacing w:after="120" w:line="360" w:lineRule="auto"/>
        <w:jc w:val="both"/>
        <w:rPr>
          <w:rFonts w:ascii="Garamond" w:hAnsi="Garamond"/>
          <w:b/>
          <w:bCs/>
          <w:iCs/>
          <w:color w:val="0070C0"/>
          <w:sz w:val="22"/>
          <w:szCs w:val="22"/>
        </w:rPr>
      </w:pPr>
      <w:r w:rsidRPr="00626752">
        <w:rPr>
          <w:rFonts w:ascii="Garamond" w:hAnsi="Garamond"/>
          <w:b/>
          <w:bCs/>
          <w:iCs/>
          <w:color w:val="0070C0"/>
          <w:sz w:val="22"/>
          <w:szCs w:val="22"/>
        </w:rPr>
        <w:t>2.2.3. Comparison with the previous forecast</w:t>
      </w:r>
    </w:p>
    <w:p w14:paraId="169CDE80" w14:textId="77777777" w:rsidR="00EE619D" w:rsidRPr="00626752" w:rsidRDefault="00EE619D" w:rsidP="00EE619D">
      <w:pPr>
        <w:autoSpaceDE w:val="0"/>
        <w:autoSpaceDN w:val="0"/>
        <w:adjustRightInd w:val="0"/>
        <w:spacing w:after="120" w:line="360" w:lineRule="auto"/>
        <w:jc w:val="both"/>
        <w:rPr>
          <w:rFonts w:ascii="Garamond" w:hAnsi="Garamond"/>
          <w:b/>
          <w:sz w:val="22"/>
          <w:szCs w:val="22"/>
        </w:rPr>
      </w:pPr>
      <w:r w:rsidRPr="00626752">
        <w:rPr>
          <w:rFonts w:ascii="Garamond" w:hAnsi="Garamond"/>
          <w:b/>
          <w:sz w:val="22"/>
          <w:szCs w:val="22"/>
        </w:rPr>
        <w:t xml:space="preserve">The indicators of economic growth </w:t>
      </w:r>
      <w:r w:rsidR="00B67B97" w:rsidRPr="00626752">
        <w:rPr>
          <w:rFonts w:ascii="Garamond" w:hAnsi="Garamond"/>
          <w:b/>
          <w:sz w:val="22"/>
          <w:szCs w:val="22"/>
        </w:rPr>
        <w:t>in</w:t>
      </w:r>
      <w:r w:rsidRPr="00626752">
        <w:rPr>
          <w:rFonts w:ascii="Garamond" w:hAnsi="Garamond"/>
          <w:b/>
          <w:sz w:val="22"/>
          <w:szCs w:val="22"/>
        </w:rPr>
        <w:t xml:space="preserve"> </w:t>
      </w:r>
      <w:r w:rsidR="00B67B97" w:rsidRPr="00626752">
        <w:rPr>
          <w:rFonts w:ascii="Garamond" w:hAnsi="Garamond"/>
          <w:b/>
          <w:sz w:val="22"/>
          <w:szCs w:val="22"/>
        </w:rPr>
        <w:t xml:space="preserve">trade </w:t>
      </w:r>
      <w:r w:rsidRPr="00626752">
        <w:rPr>
          <w:rFonts w:ascii="Garamond" w:hAnsi="Garamond"/>
          <w:b/>
          <w:sz w:val="22"/>
          <w:szCs w:val="22"/>
        </w:rPr>
        <w:t xml:space="preserve">partner countries </w:t>
      </w:r>
      <w:r w:rsidR="00B67B97" w:rsidRPr="00626752">
        <w:rPr>
          <w:rFonts w:ascii="Garamond" w:hAnsi="Garamond"/>
          <w:b/>
          <w:sz w:val="22"/>
          <w:szCs w:val="22"/>
        </w:rPr>
        <w:t xml:space="preserve">to Armenia </w:t>
      </w:r>
      <w:r w:rsidRPr="00626752">
        <w:rPr>
          <w:rFonts w:ascii="Garamond" w:hAnsi="Garamond"/>
          <w:b/>
          <w:sz w:val="22"/>
          <w:szCs w:val="22"/>
        </w:rPr>
        <w:t xml:space="preserve">have been revised </w:t>
      </w:r>
      <w:r w:rsidR="00B67B97" w:rsidRPr="00626752">
        <w:rPr>
          <w:rFonts w:ascii="Garamond" w:hAnsi="Garamond"/>
          <w:b/>
          <w:sz w:val="22"/>
          <w:szCs w:val="22"/>
        </w:rPr>
        <w:t xml:space="preserve">generally </w:t>
      </w:r>
      <w:r w:rsidRPr="00626752">
        <w:rPr>
          <w:rFonts w:ascii="Garamond" w:hAnsi="Garamond"/>
          <w:b/>
          <w:sz w:val="22"/>
          <w:szCs w:val="22"/>
        </w:rPr>
        <w:t xml:space="preserve">upward compared to the previous forecast. Particularly, some improvement in economic growth rates in the Eurozone and Russia is expected, and in the United States, economic growth has been </w:t>
      </w:r>
      <w:r w:rsidR="00B67B97" w:rsidRPr="00626752">
        <w:rPr>
          <w:rFonts w:ascii="Garamond" w:hAnsi="Garamond"/>
          <w:b/>
          <w:sz w:val="22"/>
          <w:szCs w:val="22"/>
        </w:rPr>
        <w:t xml:space="preserve">revised </w:t>
      </w:r>
      <w:r w:rsidRPr="00626752">
        <w:rPr>
          <w:rFonts w:ascii="Garamond" w:hAnsi="Garamond"/>
          <w:b/>
          <w:sz w:val="22"/>
          <w:szCs w:val="22"/>
        </w:rPr>
        <w:t xml:space="preserve">slightly </w:t>
      </w:r>
      <w:r w:rsidR="00B67B97" w:rsidRPr="00626752">
        <w:rPr>
          <w:rFonts w:ascii="Garamond" w:hAnsi="Garamond"/>
          <w:b/>
          <w:sz w:val="22"/>
          <w:szCs w:val="22"/>
        </w:rPr>
        <w:t xml:space="preserve">downside </w:t>
      </w:r>
      <w:r w:rsidRPr="00626752">
        <w:rPr>
          <w:rFonts w:ascii="Garamond" w:hAnsi="Garamond"/>
          <w:b/>
          <w:sz w:val="22"/>
          <w:szCs w:val="22"/>
        </w:rPr>
        <w:t>in the medium term compared to the previous forecast.</w:t>
      </w:r>
    </w:p>
    <w:p w14:paraId="1B1081FC" w14:textId="77777777" w:rsidR="00B67B97" w:rsidRPr="00626752" w:rsidRDefault="00B67B97"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The upward revision of economic growth forecasts in the USA is determined by higher-than-anticipated growth recorded in the previous quarter, </w:t>
      </w:r>
      <w:r w:rsidR="00C0520F" w:rsidRPr="00626752">
        <w:rPr>
          <w:rFonts w:ascii="Garamond" w:hAnsi="Garamond"/>
          <w:sz w:val="22"/>
          <w:szCs w:val="22"/>
        </w:rPr>
        <w:t>while the</w:t>
      </w:r>
      <w:r w:rsidRPr="00626752">
        <w:rPr>
          <w:rFonts w:ascii="Garamond" w:hAnsi="Garamond"/>
          <w:sz w:val="22"/>
          <w:szCs w:val="22"/>
        </w:rPr>
        <w:t xml:space="preserve"> 0.1 p</w:t>
      </w:r>
      <w:r w:rsidR="00C0520F" w:rsidRPr="00626752">
        <w:rPr>
          <w:rFonts w:ascii="Garamond" w:hAnsi="Garamond"/>
          <w:sz w:val="22"/>
          <w:szCs w:val="22"/>
        </w:rPr>
        <w:t xml:space="preserve">p </w:t>
      </w:r>
      <w:r w:rsidRPr="00626752">
        <w:rPr>
          <w:rFonts w:ascii="Garamond" w:hAnsi="Garamond"/>
          <w:sz w:val="22"/>
          <w:szCs w:val="22"/>
        </w:rPr>
        <w:t xml:space="preserve">downward revision </w:t>
      </w:r>
      <w:r w:rsidR="00C0520F" w:rsidRPr="00626752">
        <w:rPr>
          <w:rFonts w:ascii="Garamond" w:hAnsi="Garamond"/>
          <w:sz w:val="22"/>
          <w:szCs w:val="22"/>
        </w:rPr>
        <w:t xml:space="preserve">for 2018 and 2019 </w:t>
      </w:r>
      <w:r w:rsidRPr="00626752">
        <w:rPr>
          <w:rFonts w:ascii="Garamond" w:hAnsi="Garamond"/>
          <w:sz w:val="22"/>
          <w:szCs w:val="22"/>
        </w:rPr>
        <w:t xml:space="preserve">is mainly due to the </w:t>
      </w:r>
      <w:r w:rsidR="00C0520F" w:rsidRPr="00626752">
        <w:rPr>
          <w:rFonts w:ascii="Garamond" w:hAnsi="Garamond"/>
          <w:sz w:val="22"/>
          <w:szCs w:val="22"/>
        </w:rPr>
        <w:t xml:space="preserve">expected </w:t>
      </w:r>
      <w:r w:rsidRPr="00626752">
        <w:rPr>
          <w:rFonts w:ascii="Garamond" w:hAnsi="Garamond"/>
          <w:sz w:val="22"/>
          <w:szCs w:val="22"/>
        </w:rPr>
        <w:t xml:space="preserve">canceling of the US Tax Reduction Program </w:t>
      </w:r>
      <w:r w:rsidR="00C0520F" w:rsidRPr="00626752">
        <w:rPr>
          <w:rFonts w:ascii="Garamond" w:hAnsi="Garamond"/>
          <w:sz w:val="22"/>
          <w:szCs w:val="22"/>
        </w:rPr>
        <w:t>during in the time of previous forecasts</w:t>
      </w:r>
      <w:r w:rsidRPr="00626752">
        <w:rPr>
          <w:rFonts w:ascii="Garamond" w:hAnsi="Garamond"/>
          <w:sz w:val="22"/>
          <w:szCs w:val="22"/>
        </w:rPr>
        <w:t xml:space="preserve">. </w:t>
      </w:r>
      <w:r w:rsidR="00010BFD" w:rsidRPr="00626752">
        <w:rPr>
          <w:rFonts w:ascii="Garamond" w:hAnsi="Garamond"/>
          <w:sz w:val="22"/>
          <w:szCs w:val="22"/>
        </w:rPr>
        <w:t xml:space="preserve">The </w:t>
      </w:r>
      <w:r w:rsidRPr="00626752">
        <w:rPr>
          <w:rFonts w:ascii="Garamond" w:hAnsi="Garamond"/>
          <w:sz w:val="22"/>
          <w:szCs w:val="22"/>
        </w:rPr>
        <w:t xml:space="preserve">2017 and 2018 </w:t>
      </w:r>
      <w:r w:rsidR="004B330E" w:rsidRPr="00626752">
        <w:rPr>
          <w:rFonts w:ascii="Garamond" w:hAnsi="Garamond"/>
          <w:sz w:val="22"/>
          <w:szCs w:val="22"/>
        </w:rPr>
        <w:t xml:space="preserve">upward </w:t>
      </w:r>
      <w:r w:rsidR="00010BFD" w:rsidRPr="00626752">
        <w:rPr>
          <w:rFonts w:ascii="Garamond" w:hAnsi="Garamond"/>
          <w:sz w:val="22"/>
          <w:szCs w:val="22"/>
        </w:rPr>
        <w:t>r</w:t>
      </w:r>
      <w:r w:rsidRPr="00626752">
        <w:rPr>
          <w:rFonts w:ascii="Garamond" w:hAnsi="Garamond"/>
          <w:sz w:val="22"/>
          <w:szCs w:val="22"/>
        </w:rPr>
        <w:t xml:space="preserve">evision of economic growth forecasts </w:t>
      </w:r>
      <w:r w:rsidR="00010BFD" w:rsidRPr="00626752">
        <w:rPr>
          <w:rFonts w:ascii="Garamond" w:hAnsi="Garamond"/>
          <w:sz w:val="22"/>
          <w:szCs w:val="22"/>
        </w:rPr>
        <w:t xml:space="preserve">in Eurozone </w:t>
      </w:r>
      <w:r w:rsidRPr="00626752">
        <w:rPr>
          <w:rFonts w:ascii="Garamond" w:hAnsi="Garamond"/>
          <w:sz w:val="22"/>
          <w:szCs w:val="22"/>
        </w:rPr>
        <w:t xml:space="preserve">has </w:t>
      </w:r>
      <w:r w:rsidR="00010BFD" w:rsidRPr="00626752">
        <w:rPr>
          <w:rFonts w:ascii="Garamond" w:hAnsi="Garamond"/>
          <w:sz w:val="22"/>
          <w:szCs w:val="22"/>
        </w:rPr>
        <w:t xml:space="preserve">been driven by </w:t>
      </w:r>
      <w:r w:rsidRPr="00626752">
        <w:rPr>
          <w:rFonts w:ascii="Garamond" w:hAnsi="Garamond"/>
          <w:sz w:val="22"/>
          <w:szCs w:val="22"/>
        </w:rPr>
        <w:t xml:space="preserve">both </w:t>
      </w:r>
      <w:r w:rsidR="00010BFD" w:rsidRPr="00626752">
        <w:rPr>
          <w:rFonts w:ascii="Garamond" w:hAnsi="Garamond"/>
          <w:sz w:val="22"/>
          <w:szCs w:val="22"/>
        </w:rPr>
        <w:t xml:space="preserve">higher-than-expected </w:t>
      </w:r>
      <w:r w:rsidRPr="00626752">
        <w:rPr>
          <w:rFonts w:ascii="Garamond" w:hAnsi="Garamond"/>
          <w:sz w:val="22"/>
          <w:szCs w:val="22"/>
        </w:rPr>
        <w:t>consumption and investment</w:t>
      </w:r>
      <w:r w:rsidR="00010BFD" w:rsidRPr="00626752">
        <w:rPr>
          <w:rFonts w:ascii="Garamond" w:hAnsi="Garamond"/>
          <w:sz w:val="22"/>
          <w:szCs w:val="22"/>
        </w:rPr>
        <w:t xml:space="preserve"> growth</w:t>
      </w:r>
      <w:r w:rsidRPr="00626752">
        <w:rPr>
          <w:rFonts w:ascii="Garamond" w:hAnsi="Garamond"/>
          <w:sz w:val="22"/>
          <w:szCs w:val="22"/>
        </w:rPr>
        <w:t>.</w:t>
      </w:r>
    </w:p>
    <w:p w14:paraId="63575DD6" w14:textId="77777777" w:rsidR="00500167" w:rsidRPr="00626752" w:rsidRDefault="00500167"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lastRenderedPageBreak/>
        <w:t xml:space="preserve">The economic growth rates in Russia in 2017, as compared to previous forecasts, have also been revised upwards, largely due to increased inventories. </w:t>
      </w:r>
    </w:p>
    <w:p w14:paraId="29B7CAE9" w14:textId="77777777" w:rsidR="003B6FDA" w:rsidRPr="00626752" w:rsidRDefault="003B6FDA" w:rsidP="00EE619D">
      <w:pPr>
        <w:autoSpaceDE w:val="0"/>
        <w:autoSpaceDN w:val="0"/>
        <w:adjustRightInd w:val="0"/>
        <w:spacing w:after="120" w:line="360" w:lineRule="auto"/>
        <w:jc w:val="both"/>
        <w:rPr>
          <w:rFonts w:ascii="Garamond" w:hAnsi="Garamond"/>
          <w:b/>
          <w:sz w:val="22"/>
          <w:szCs w:val="22"/>
        </w:rPr>
      </w:pPr>
      <w:r w:rsidRPr="00626752">
        <w:rPr>
          <w:rFonts w:ascii="Garamond" w:hAnsi="Garamond"/>
          <w:b/>
          <w:sz w:val="22"/>
          <w:szCs w:val="22"/>
        </w:rPr>
        <w:t>Inflationary patterns in the commodity markets are more likely to be observed in comparison with previous forecasts.</w:t>
      </w:r>
    </w:p>
    <w:p w14:paraId="0AF02344" w14:textId="77777777" w:rsidR="00500167" w:rsidRPr="00626752" w:rsidRDefault="005A3523"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Particularly, in the global food market, compared to the previous one, a faster price increase is expected despite a minor deflation during October. The revision was mainly conditioned by the temporary increase in prices for dairy products.</w:t>
      </w:r>
    </w:p>
    <w:p w14:paraId="39859A48" w14:textId="77777777" w:rsidR="005A3523" w:rsidRPr="00626752" w:rsidRDefault="005A3523"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Relative to previous forecasts, oil prices will rest on somewhat a higher level in anticipation of an extended term for OPEC + oil production restriction deal</w:t>
      </w:r>
      <w:r w:rsidR="00696D1A" w:rsidRPr="00626752">
        <w:rPr>
          <w:rFonts w:ascii="Garamond" w:hAnsi="Garamond"/>
          <w:sz w:val="22"/>
          <w:szCs w:val="22"/>
        </w:rPr>
        <w:t xml:space="preserve"> and expected </w:t>
      </w:r>
      <w:r w:rsidRPr="00626752">
        <w:rPr>
          <w:rFonts w:ascii="Garamond" w:hAnsi="Garamond"/>
          <w:sz w:val="22"/>
          <w:szCs w:val="22"/>
        </w:rPr>
        <w:t xml:space="preserve">reduction in supply </w:t>
      </w:r>
      <w:r w:rsidR="009E6F4B" w:rsidRPr="00626752">
        <w:rPr>
          <w:rFonts w:ascii="Garamond" w:hAnsi="Garamond"/>
          <w:sz w:val="22"/>
          <w:szCs w:val="22"/>
        </w:rPr>
        <w:t xml:space="preserve">volumes </w:t>
      </w:r>
      <w:r w:rsidRPr="00626752">
        <w:rPr>
          <w:rFonts w:ascii="Garamond" w:hAnsi="Garamond"/>
          <w:sz w:val="22"/>
          <w:szCs w:val="22"/>
        </w:rPr>
        <w:t>by Iraq.</w:t>
      </w:r>
    </w:p>
    <w:p w14:paraId="557C86EF" w14:textId="77777777" w:rsidR="009E6F4B" w:rsidRPr="00626752" w:rsidRDefault="009E6F4B"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Compared to the previous forecast, copper prices will be set at a higher level, driven by the actual high indicator reported in the third quarter, which was attributable to even higher expectations for demand in China and somewhat limited supply volumes in the copper market.</w:t>
      </w:r>
    </w:p>
    <w:p w14:paraId="2551634E" w14:textId="4988A537" w:rsidR="009E6F4B" w:rsidRPr="00626752" w:rsidRDefault="009E6F4B" w:rsidP="00EE619D">
      <w:pPr>
        <w:autoSpaceDE w:val="0"/>
        <w:autoSpaceDN w:val="0"/>
        <w:adjustRightInd w:val="0"/>
        <w:spacing w:after="120" w:line="360" w:lineRule="auto"/>
        <w:jc w:val="both"/>
        <w:rPr>
          <w:rFonts w:ascii="Garamond" w:hAnsi="Garamond"/>
          <w:b/>
          <w:sz w:val="22"/>
          <w:szCs w:val="22"/>
        </w:rPr>
      </w:pPr>
      <w:r w:rsidRPr="00626752">
        <w:rPr>
          <w:rFonts w:ascii="Garamond" w:hAnsi="Garamond"/>
          <w:b/>
          <w:sz w:val="22"/>
          <w:szCs w:val="22"/>
        </w:rPr>
        <w:t>The economic growth rate in Armenia has been revised</w:t>
      </w:r>
      <w:r w:rsidR="00E227E8">
        <w:rPr>
          <w:rFonts w:ascii="Garamond" w:hAnsi="Garamond"/>
          <w:b/>
          <w:sz w:val="22"/>
          <w:szCs w:val="22"/>
        </w:rPr>
        <w:t xml:space="preserve"> upside</w:t>
      </w:r>
      <w:r w:rsidRPr="00626752">
        <w:rPr>
          <w:rFonts w:ascii="Garamond" w:hAnsi="Garamond"/>
          <w:b/>
          <w:sz w:val="22"/>
          <w:szCs w:val="22"/>
        </w:rPr>
        <w:t xml:space="preserve"> </w:t>
      </w:r>
      <w:r w:rsidR="00D50DD3" w:rsidRPr="00E26630">
        <w:rPr>
          <w:rFonts w:ascii="Garamond" w:hAnsi="Garamond"/>
          <w:b/>
          <w:sz w:val="22"/>
          <w:szCs w:val="22"/>
        </w:rPr>
        <w:t>(</w:t>
      </w:r>
      <w:r w:rsidR="00D50DD3">
        <w:rPr>
          <w:rFonts w:ascii="Sylfaen" w:hAnsi="Sylfaen"/>
          <w:b/>
          <w:sz w:val="22"/>
          <w:szCs w:val="22"/>
          <w:lang w:val="hy-AM"/>
        </w:rPr>
        <w:t>վերանայման ուղղությունը դուրս ա մնացել</w:t>
      </w:r>
      <w:r w:rsidR="00D50DD3" w:rsidRPr="00E26630">
        <w:rPr>
          <w:rFonts w:ascii="Garamond" w:hAnsi="Garamond"/>
          <w:b/>
          <w:sz w:val="22"/>
          <w:szCs w:val="22"/>
        </w:rPr>
        <w:t>)</w:t>
      </w:r>
      <w:r w:rsidR="00D50DD3">
        <w:rPr>
          <w:rFonts w:ascii="Sylfaen" w:hAnsi="Sylfaen"/>
          <w:b/>
          <w:sz w:val="22"/>
          <w:szCs w:val="22"/>
        </w:rPr>
        <w:t xml:space="preserve"> </w:t>
      </w:r>
      <w:r w:rsidRPr="00626752">
        <w:rPr>
          <w:rFonts w:ascii="Garamond" w:hAnsi="Garamond"/>
          <w:b/>
          <w:sz w:val="22"/>
          <w:szCs w:val="22"/>
        </w:rPr>
        <w:t>in relation to previous forecasts.</w:t>
      </w:r>
    </w:p>
    <w:p w14:paraId="3E5B7111" w14:textId="77375281" w:rsidR="009E6F4B" w:rsidRPr="00626752" w:rsidRDefault="009E6F4B"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Driven by actual developments, the expectations </w:t>
      </w:r>
      <w:r w:rsidR="00A46B1C" w:rsidRPr="00626752">
        <w:rPr>
          <w:rFonts w:ascii="Garamond" w:hAnsi="Garamond"/>
          <w:sz w:val="22"/>
          <w:szCs w:val="22"/>
        </w:rPr>
        <w:t>for</w:t>
      </w:r>
      <w:r w:rsidRPr="00626752">
        <w:rPr>
          <w:rFonts w:ascii="Garamond" w:hAnsi="Garamond"/>
          <w:sz w:val="22"/>
          <w:szCs w:val="22"/>
        </w:rPr>
        <w:t xml:space="preserve"> growth in agriculture and construction sectors in 2017 have </w:t>
      </w:r>
      <w:r w:rsidR="00A46B1C" w:rsidRPr="00626752">
        <w:rPr>
          <w:rFonts w:ascii="Garamond" w:hAnsi="Garamond"/>
          <w:sz w:val="22"/>
          <w:szCs w:val="22"/>
        </w:rPr>
        <w:t xml:space="preserve">decrease </w:t>
      </w:r>
      <w:r w:rsidRPr="00626752">
        <w:rPr>
          <w:rFonts w:ascii="Garamond" w:hAnsi="Garamond"/>
          <w:sz w:val="22"/>
          <w:szCs w:val="22"/>
        </w:rPr>
        <w:t>compared with the previous</w:t>
      </w:r>
      <w:r w:rsidR="00E26630">
        <w:rPr>
          <w:rFonts w:ascii="Garamond" w:hAnsi="Garamond"/>
          <w:sz w:val="22"/>
          <w:szCs w:val="22"/>
        </w:rPr>
        <w:t xml:space="preserve"> </w:t>
      </w:r>
      <w:r w:rsidR="00D22DE7">
        <w:rPr>
          <w:rFonts w:ascii="Garamond" w:hAnsi="Garamond"/>
          <w:sz w:val="22"/>
          <w:szCs w:val="22"/>
        </w:rPr>
        <w:t>forecasts</w:t>
      </w:r>
      <w:r w:rsidRPr="00626752">
        <w:rPr>
          <w:rFonts w:ascii="Garamond" w:hAnsi="Garamond"/>
          <w:sz w:val="22"/>
          <w:szCs w:val="22"/>
        </w:rPr>
        <w:t xml:space="preserve">. However, </w:t>
      </w:r>
      <w:r w:rsidR="00A46B1C" w:rsidRPr="00626752">
        <w:rPr>
          <w:rFonts w:ascii="Garamond" w:hAnsi="Garamond"/>
          <w:sz w:val="22"/>
          <w:szCs w:val="22"/>
        </w:rPr>
        <w:t xml:space="preserve">certain invigoration in </w:t>
      </w:r>
      <w:r w:rsidRPr="00626752">
        <w:rPr>
          <w:rFonts w:ascii="Garamond" w:hAnsi="Garamond"/>
          <w:sz w:val="22"/>
          <w:szCs w:val="22"/>
        </w:rPr>
        <w:t>economic activity is expected</w:t>
      </w:r>
      <w:r w:rsidR="00A46B1C" w:rsidRPr="00626752">
        <w:rPr>
          <w:rFonts w:ascii="Garamond" w:hAnsi="Garamond"/>
          <w:sz w:val="22"/>
          <w:szCs w:val="22"/>
        </w:rPr>
        <w:t xml:space="preserve"> on the whole</w:t>
      </w:r>
      <w:r w:rsidRPr="00626752">
        <w:rPr>
          <w:rFonts w:ascii="Garamond" w:hAnsi="Garamond"/>
          <w:sz w:val="22"/>
          <w:szCs w:val="22"/>
        </w:rPr>
        <w:t xml:space="preserve">, which is </w:t>
      </w:r>
      <w:r w:rsidR="00A46B1C" w:rsidRPr="00626752">
        <w:rPr>
          <w:rFonts w:ascii="Garamond" w:hAnsi="Garamond"/>
          <w:sz w:val="22"/>
          <w:szCs w:val="22"/>
        </w:rPr>
        <w:t xml:space="preserve">primarily </w:t>
      </w:r>
      <w:r w:rsidRPr="00626752">
        <w:rPr>
          <w:rFonts w:ascii="Garamond" w:hAnsi="Garamond"/>
          <w:sz w:val="22"/>
          <w:szCs w:val="22"/>
        </w:rPr>
        <w:t>conditioned by high</w:t>
      </w:r>
      <w:r w:rsidR="00A46B1C" w:rsidRPr="00626752">
        <w:rPr>
          <w:rFonts w:ascii="Garamond" w:hAnsi="Garamond"/>
          <w:sz w:val="22"/>
          <w:szCs w:val="22"/>
        </w:rPr>
        <w:t>er-than-expected</w:t>
      </w:r>
      <w:r w:rsidRPr="00626752">
        <w:rPr>
          <w:rFonts w:ascii="Garamond" w:hAnsi="Garamond"/>
          <w:sz w:val="22"/>
          <w:szCs w:val="22"/>
        </w:rPr>
        <w:t xml:space="preserve"> growth rates </w:t>
      </w:r>
      <w:r w:rsidR="00A46B1C" w:rsidRPr="00626752">
        <w:rPr>
          <w:rFonts w:ascii="Garamond" w:hAnsi="Garamond"/>
          <w:sz w:val="22"/>
          <w:szCs w:val="22"/>
        </w:rPr>
        <w:t>in</w:t>
      </w:r>
      <w:r w:rsidRPr="00626752">
        <w:rPr>
          <w:rFonts w:ascii="Garamond" w:hAnsi="Garamond"/>
          <w:sz w:val="22"/>
          <w:szCs w:val="22"/>
        </w:rPr>
        <w:t xml:space="preserve"> the services sector.</w:t>
      </w:r>
    </w:p>
    <w:p w14:paraId="550D68D3" w14:textId="02BEB107" w:rsidR="00D92ED6" w:rsidRPr="00626752" w:rsidRDefault="00D22DE7"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Actual and expected h</w:t>
      </w:r>
      <w:r w:rsidRPr="00626752">
        <w:rPr>
          <w:rFonts w:ascii="Garamond" w:hAnsi="Garamond"/>
          <w:sz w:val="22"/>
          <w:szCs w:val="22"/>
        </w:rPr>
        <w:t xml:space="preserve">igh </w:t>
      </w:r>
      <w:r w:rsidR="00D92ED6" w:rsidRPr="00626752">
        <w:rPr>
          <w:rFonts w:ascii="Garamond" w:hAnsi="Garamond"/>
          <w:sz w:val="22"/>
          <w:szCs w:val="22"/>
        </w:rPr>
        <w:t>growth rates in the services sector are explained totally by an upside revision of growth in private sector spending as well as higher growth recorded in the tourism industry in 2017, with the positive developments in the tourism industry believed to be persisting over 2018</w:t>
      </w:r>
      <w:r w:rsidR="00BC7D84" w:rsidRPr="00626752">
        <w:rPr>
          <w:rFonts w:ascii="Garamond" w:hAnsi="Garamond"/>
          <w:sz w:val="22"/>
          <w:szCs w:val="22"/>
        </w:rPr>
        <w:t>, too</w:t>
      </w:r>
      <w:r w:rsidR="00D92ED6" w:rsidRPr="00626752">
        <w:rPr>
          <w:rFonts w:ascii="Garamond" w:hAnsi="Garamond"/>
          <w:sz w:val="22"/>
          <w:szCs w:val="22"/>
        </w:rPr>
        <w:t xml:space="preserve">. </w:t>
      </w:r>
      <w:r w:rsidR="00BC7D84" w:rsidRPr="00626752">
        <w:rPr>
          <w:rFonts w:ascii="Garamond" w:hAnsi="Garamond"/>
          <w:sz w:val="22"/>
          <w:szCs w:val="22"/>
        </w:rPr>
        <w:t xml:space="preserve">Also, </w:t>
      </w:r>
      <w:r w:rsidR="00F71D52" w:rsidRPr="00626752">
        <w:rPr>
          <w:rFonts w:ascii="Garamond" w:hAnsi="Garamond"/>
          <w:sz w:val="22"/>
          <w:szCs w:val="22"/>
        </w:rPr>
        <w:t xml:space="preserve">taking into account </w:t>
      </w:r>
      <w:r w:rsidR="00BC7D84" w:rsidRPr="00626752">
        <w:rPr>
          <w:rFonts w:ascii="Garamond" w:hAnsi="Garamond"/>
          <w:sz w:val="22"/>
          <w:szCs w:val="22"/>
        </w:rPr>
        <w:t xml:space="preserve">the </w:t>
      </w:r>
      <w:r w:rsidR="00D92ED6" w:rsidRPr="00626752">
        <w:rPr>
          <w:rFonts w:ascii="Garamond" w:hAnsi="Garamond"/>
          <w:sz w:val="22"/>
          <w:szCs w:val="22"/>
        </w:rPr>
        <w:t xml:space="preserve">fiscal policy </w:t>
      </w:r>
      <w:r w:rsidR="00F71D52" w:rsidRPr="00626752">
        <w:rPr>
          <w:rFonts w:ascii="Garamond" w:hAnsi="Garamond"/>
          <w:sz w:val="22"/>
          <w:szCs w:val="22"/>
        </w:rPr>
        <w:t>which</w:t>
      </w:r>
      <w:r w:rsidR="00BC7D84" w:rsidRPr="00626752">
        <w:rPr>
          <w:rFonts w:ascii="Garamond" w:hAnsi="Garamond"/>
          <w:sz w:val="22"/>
          <w:szCs w:val="22"/>
        </w:rPr>
        <w:t xml:space="preserve"> is </w:t>
      </w:r>
      <w:r w:rsidR="00D92ED6" w:rsidRPr="00626752">
        <w:rPr>
          <w:rFonts w:ascii="Garamond" w:hAnsi="Garamond"/>
          <w:sz w:val="22"/>
          <w:szCs w:val="22"/>
        </w:rPr>
        <w:t xml:space="preserve">expected </w:t>
      </w:r>
      <w:r w:rsidR="00BC7D84" w:rsidRPr="00626752">
        <w:rPr>
          <w:rFonts w:ascii="Garamond" w:hAnsi="Garamond"/>
          <w:sz w:val="22"/>
          <w:szCs w:val="22"/>
        </w:rPr>
        <w:t xml:space="preserve">to be expansionary </w:t>
      </w:r>
      <w:r w:rsidR="00D92ED6" w:rsidRPr="00626752">
        <w:rPr>
          <w:rFonts w:ascii="Garamond" w:hAnsi="Garamond"/>
          <w:sz w:val="22"/>
          <w:szCs w:val="22"/>
        </w:rPr>
        <w:t xml:space="preserve">in 2018, the </w:t>
      </w:r>
      <w:r w:rsidR="00F71D52" w:rsidRPr="00626752">
        <w:rPr>
          <w:rFonts w:ascii="Garamond" w:hAnsi="Garamond"/>
          <w:sz w:val="22"/>
          <w:szCs w:val="22"/>
        </w:rPr>
        <w:t xml:space="preserve">year’s </w:t>
      </w:r>
      <w:r w:rsidR="00D92ED6" w:rsidRPr="00626752">
        <w:rPr>
          <w:rFonts w:ascii="Garamond" w:hAnsi="Garamond"/>
          <w:sz w:val="22"/>
          <w:szCs w:val="22"/>
        </w:rPr>
        <w:t xml:space="preserve">economic activity </w:t>
      </w:r>
      <w:r w:rsidR="00F71D52" w:rsidRPr="00626752">
        <w:rPr>
          <w:rFonts w:ascii="Garamond" w:hAnsi="Garamond"/>
          <w:sz w:val="22"/>
          <w:szCs w:val="22"/>
        </w:rPr>
        <w:t xml:space="preserve">is anticipated </w:t>
      </w:r>
      <w:r w:rsidR="00D92ED6" w:rsidRPr="00626752">
        <w:rPr>
          <w:rFonts w:ascii="Garamond" w:hAnsi="Garamond"/>
          <w:sz w:val="22"/>
          <w:szCs w:val="22"/>
        </w:rPr>
        <w:t xml:space="preserve">to be higher than </w:t>
      </w:r>
      <w:r w:rsidR="00F71D52" w:rsidRPr="00626752">
        <w:rPr>
          <w:rFonts w:ascii="Garamond" w:hAnsi="Garamond"/>
          <w:sz w:val="22"/>
          <w:szCs w:val="22"/>
        </w:rPr>
        <w:t xml:space="preserve">outlined </w:t>
      </w:r>
      <w:r w:rsidR="00D92ED6" w:rsidRPr="00626752">
        <w:rPr>
          <w:rFonts w:ascii="Garamond" w:hAnsi="Garamond"/>
          <w:sz w:val="22"/>
          <w:szCs w:val="22"/>
        </w:rPr>
        <w:t xml:space="preserve">in previous predictions. It should also be noted that economic growth </w:t>
      </w:r>
      <w:r w:rsidR="00F71D52" w:rsidRPr="00626752">
        <w:rPr>
          <w:rFonts w:ascii="Garamond" w:hAnsi="Garamond"/>
          <w:sz w:val="22"/>
          <w:szCs w:val="22"/>
        </w:rPr>
        <w:t xml:space="preserve">rates </w:t>
      </w:r>
      <w:r w:rsidR="00D92ED6" w:rsidRPr="00626752">
        <w:rPr>
          <w:rFonts w:ascii="Garamond" w:hAnsi="Garamond"/>
          <w:sz w:val="22"/>
          <w:szCs w:val="22"/>
        </w:rPr>
        <w:t xml:space="preserve">expected in 2019-2020 </w:t>
      </w:r>
      <w:r w:rsidR="00F71D52" w:rsidRPr="00626752">
        <w:rPr>
          <w:rFonts w:ascii="Garamond" w:hAnsi="Garamond"/>
          <w:sz w:val="22"/>
          <w:szCs w:val="22"/>
        </w:rPr>
        <w:t xml:space="preserve">did </w:t>
      </w:r>
      <w:r w:rsidR="00D92ED6" w:rsidRPr="00626752">
        <w:rPr>
          <w:rFonts w:ascii="Garamond" w:hAnsi="Garamond"/>
          <w:sz w:val="22"/>
          <w:szCs w:val="22"/>
        </w:rPr>
        <w:t>not change significantly and it is gradually approaching its potential level.</w:t>
      </w:r>
    </w:p>
    <w:p w14:paraId="7E7B43B6" w14:textId="7610A282" w:rsidR="00F71D52" w:rsidRPr="00626752" w:rsidRDefault="00F71D52"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Table 2: </w:t>
      </w:r>
    </w:p>
    <w:p w14:paraId="59E18DE2" w14:textId="60B0B494" w:rsidR="00F71D52" w:rsidRPr="00626752" w:rsidRDefault="00F71D52"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With domestic demand growing persistently, </w:t>
      </w:r>
      <w:r w:rsidR="0073509B" w:rsidRPr="00626752">
        <w:rPr>
          <w:rFonts w:ascii="Garamond" w:hAnsi="Garamond"/>
          <w:sz w:val="22"/>
          <w:szCs w:val="22"/>
        </w:rPr>
        <w:t xml:space="preserve">real </w:t>
      </w:r>
      <w:r w:rsidRPr="00626752">
        <w:rPr>
          <w:rFonts w:ascii="Garamond" w:hAnsi="Garamond"/>
          <w:sz w:val="22"/>
          <w:szCs w:val="22"/>
        </w:rPr>
        <w:t xml:space="preserve">growth in imports </w:t>
      </w:r>
      <w:r w:rsidR="007877D2" w:rsidRPr="00626752">
        <w:rPr>
          <w:rFonts w:ascii="Garamond" w:hAnsi="Garamond"/>
          <w:sz w:val="22"/>
          <w:szCs w:val="22"/>
        </w:rPr>
        <w:t>outstripped</w:t>
      </w:r>
      <w:r w:rsidRPr="00626752">
        <w:rPr>
          <w:rFonts w:ascii="Garamond" w:hAnsi="Garamond"/>
          <w:sz w:val="22"/>
          <w:szCs w:val="22"/>
        </w:rPr>
        <w:t xml:space="preserve"> the expectations in the third quarter of 2017, </w:t>
      </w:r>
      <w:r w:rsidR="0073509B" w:rsidRPr="00626752">
        <w:rPr>
          <w:rFonts w:ascii="Garamond" w:hAnsi="Garamond"/>
          <w:sz w:val="22"/>
          <w:szCs w:val="22"/>
        </w:rPr>
        <w:t xml:space="preserve">yet </w:t>
      </w:r>
      <w:r w:rsidRPr="00626752">
        <w:rPr>
          <w:rFonts w:ascii="Garamond" w:hAnsi="Garamond"/>
          <w:sz w:val="22"/>
          <w:szCs w:val="22"/>
        </w:rPr>
        <w:t>the forecast for real growth of imports</w:t>
      </w:r>
      <w:r w:rsidR="007877D2" w:rsidRPr="00626752">
        <w:rPr>
          <w:rFonts w:ascii="Garamond" w:hAnsi="Garamond"/>
          <w:sz w:val="22"/>
          <w:szCs w:val="22"/>
        </w:rPr>
        <w:t xml:space="preserve"> </w:t>
      </w:r>
      <w:r w:rsidRPr="00626752">
        <w:rPr>
          <w:rFonts w:ascii="Garamond" w:hAnsi="Garamond"/>
          <w:sz w:val="22"/>
          <w:szCs w:val="22"/>
        </w:rPr>
        <w:t>has not been revised</w:t>
      </w:r>
      <w:r w:rsidR="007877D2" w:rsidRPr="00626752">
        <w:rPr>
          <w:rFonts w:ascii="Garamond" w:hAnsi="Garamond"/>
          <w:sz w:val="22"/>
          <w:szCs w:val="22"/>
        </w:rPr>
        <w:t xml:space="preserve"> against the previous program</w:t>
      </w:r>
      <w:r w:rsidR="007877D2" w:rsidRPr="00626752">
        <w:rPr>
          <w:rStyle w:val="FootnoteReference"/>
          <w:rFonts w:ascii="Garamond" w:hAnsi="Garamond"/>
          <w:sz w:val="22"/>
          <w:szCs w:val="22"/>
        </w:rPr>
        <w:footnoteReference w:customMarkFollows="1" w:id="8"/>
        <w:t>8</w:t>
      </w:r>
      <w:r w:rsidRPr="00626752">
        <w:rPr>
          <w:rFonts w:ascii="Garamond" w:hAnsi="Garamond"/>
          <w:sz w:val="22"/>
          <w:szCs w:val="22"/>
        </w:rPr>
        <w:t xml:space="preserve">. The growth of remittances in 2017 has been revised to a certain extent </w:t>
      </w:r>
      <w:r w:rsidR="000A53F3" w:rsidRPr="00626752">
        <w:rPr>
          <w:rFonts w:ascii="Garamond" w:hAnsi="Garamond"/>
          <w:sz w:val="22"/>
          <w:szCs w:val="22"/>
        </w:rPr>
        <w:t xml:space="preserve">owing to </w:t>
      </w:r>
      <w:r w:rsidRPr="00626752">
        <w:rPr>
          <w:rFonts w:ascii="Garamond" w:hAnsi="Garamond"/>
          <w:sz w:val="22"/>
          <w:szCs w:val="22"/>
        </w:rPr>
        <w:t>accelerat</w:t>
      </w:r>
      <w:r w:rsidR="000A53F3" w:rsidRPr="00626752">
        <w:rPr>
          <w:rFonts w:ascii="Garamond" w:hAnsi="Garamond"/>
          <w:sz w:val="22"/>
          <w:szCs w:val="22"/>
        </w:rPr>
        <w:t xml:space="preserve">ed recovery of the </w:t>
      </w:r>
      <w:r w:rsidRPr="00626752">
        <w:rPr>
          <w:rFonts w:ascii="Garamond" w:hAnsi="Garamond"/>
          <w:sz w:val="22"/>
          <w:szCs w:val="22"/>
        </w:rPr>
        <w:t>Russian economy.</w:t>
      </w:r>
    </w:p>
    <w:p w14:paraId="3D0CFF2D" w14:textId="77777777" w:rsidR="007D3AA3" w:rsidRPr="00626752" w:rsidRDefault="007D3AA3"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lastRenderedPageBreak/>
        <w:t>The developments with regard to exports proceed in line with the scenario.</w:t>
      </w:r>
    </w:p>
    <w:p w14:paraId="36A646A7" w14:textId="760C7EB5" w:rsidR="007D3AA3" w:rsidRPr="00626752" w:rsidRDefault="007D3AA3"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In 2018</w:t>
      </w:r>
      <w:r w:rsidR="006366B1" w:rsidRPr="00626752">
        <w:rPr>
          <w:rFonts w:ascii="Garamond" w:hAnsi="Garamond"/>
          <w:sz w:val="22"/>
          <w:szCs w:val="22"/>
        </w:rPr>
        <w:t>,</w:t>
      </w:r>
      <w:r w:rsidRPr="00626752">
        <w:rPr>
          <w:rFonts w:ascii="Garamond" w:hAnsi="Garamond"/>
          <w:sz w:val="22"/>
          <w:szCs w:val="22"/>
        </w:rPr>
        <w:t xml:space="preserve"> the current account deficit-to-GDP ratio is expected to somehow decline compared to previous forecasts, mainly </w:t>
      </w:r>
      <w:r w:rsidR="006366B1" w:rsidRPr="00626752">
        <w:rPr>
          <w:rFonts w:ascii="Garamond" w:hAnsi="Garamond"/>
          <w:sz w:val="22"/>
          <w:szCs w:val="22"/>
        </w:rPr>
        <w:t xml:space="preserve">attributable </w:t>
      </w:r>
      <w:r w:rsidRPr="00626752">
        <w:rPr>
          <w:rFonts w:ascii="Garamond" w:hAnsi="Garamond"/>
          <w:sz w:val="22"/>
          <w:szCs w:val="22"/>
        </w:rPr>
        <w:t xml:space="preserve">to domestic demand </w:t>
      </w:r>
      <w:r w:rsidR="006366B1" w:rsidRPr="00626752">
        <w:rPr>
          <w:rFonts w:ascii="Garamond" w:hAnsi="Garamond"/>
          <w:sz w:val="22"/>
          <w:szCs w:val="22"/>
        </w:rPr>
        <w:t xml:space="preserve">which rebounded </w:t>
      </w:r>
      <w:r w:rsidR="00ED7F84" w:rsidRPr="00626752">
        <w:rPr>
          <w:rFonts w:ascii="Garamond" w:hAnsi="Garamond"/>
          <w:sz w:val="22"/>
          <w:szCs w:val="22"/>
        </w:rPr>
        <w:t>in 2017</w:t>
      </w:r>
      <w:r w:rsidR="00212FD1">
        <w:rPr>
          <w:rFonts w:ascii="Sylfaen" w:hAnsi="Sylfaen"/>
          <w:sz w:val="22"/>
          <w:szCs w:val="22"/>
          <w:lang w:val="hy-AM"/>
        </w:rPr>
        <w:t xml:space="preserve"> </w:t>
      </w:r>
      <w:r w:rsidR="006366B1" w:rsidRPr="00626752">
        <w:rPr>
          <w:rFonts w:ascii="Garamond" w:hAnsi="Garamond"/>
          <w:sz w:val="22"/>
          <w:szCs w:val="22"/>
        </w:rPr>
        <w:t xml:space="preserve">and </w:t>
      </w:r>
      <w:r w:rsidR="00824EFA">
        <w:rPr>
          <w:rFonts w:ascii="Sylfaen" w:hAnsi="Sylfaen"/>
          <w:sz w:val="22"/>
          <w:szCs w:val="22"/>
        </w:rPr>
        <w:t xml:space="preserve">will </w:t>
      </w:r>
      <w:r w:rsidR="006366B1" w:rsidRPr="00626752">
        <w:rPr>
          <w:rFonts w:ascii="Garamond" w:hAnsi="Garamond"/>
          <w:sz w:val="22"/>
          <w:szCs w:val="22"/>
        </w:rPr>
        <w:t xml:space="preserve">stabilize </w:t>
      </w:r>
      <w:r w:rsidR="00824EFA">
        <w:rPr>
          <w:rFonts w:ascii="Garamond" w:hAnsi="Garamond"/>
          <w:sz w:val="22"/>
          <w:szCs w:val="22"/>
        </w:rPr>
        <w:t>further</w:t>
      </w:r>
      <w:r w:rsidRPr="00626752">
        <w:rPr>
          <w:rFonts w:ascii="Garamond" w:hAnsi="Garamond"/>
          <w:sz w:val="22"/>
          <w:szCs w:val="22"/>
        </w:rPr>
        <w:t xml:space="preserve">. Thus, in the medium term, </w:t>
      </w:r>
      <w:r w:rsidR="006366B1" w:rsidRPr="00626752">
        <w:rPr>
          <w:rFonts w:ascii="Garamond" w:hAnsi="Garamond"/>
          <w:sz w:val="22"/>
          <w:szCs w:val="22"/>
        </w:rPr>
        <w:t xml:space="preserve">a larger deficit will be expectable in comparison with </w:t>
      </w:r>
      <w:r w:rsidRPr="00626752">
        <w:rPr>
          <w:rFonts w:ascii="Garamond" w:hAnsi="Garamond"/>
          <w:sz w:val="22"/>
          <w:szCs w:val="22"/>
        </w:rPr>
        <w:t>the previous forecast.</w:t>
      </w:r>
    </w:p>
    <w:p w14:paraId="23F13E53" w14:textId="77777777" w:rsidR="006366B1" w:rsidRPr="00626752" w:rsidRDefault="00510E69" w:rsidP="00EE619D">
      <w:pPr>
        <w:autoSpaceDE w:val="0"/>
        <w:autoSpaceDN w:val="0"/>
        <w:adjustRightInd w:val="0"/>
        <w:spacing w:after="120" w:line="360" w:lineRule="auto"/>
        <w:jc w:val="both"/>
        <w:rPr>
          <w:rFonts w:ascii="Garamond" w:hAnsi="Garamond"/>
          <w:sz w:val="22"/>
          <w:szCs w:val="22"/>
        </w:rPr>
      </w:pPr>
      <w:r w:rsidRPr="00626752">
        <w:rPr>
          <w:rFonts w:ascii="Garamond" w:hAnsi="Garamond"/>
          <w:b/>
          <w:sz w:val="22"/>
          <w:szCs w:val="22"/>
        </w:rPr>
        <w:t>In 2017, r</w:t>
      </w:r>
      <w:r w:rsidR="006366B1" w:rsidRPr="00626752">
        <w:rPr>
          <w:rFonts w:ascii="Garamond" w:hAnsi="Garamond"/>
          <w:b/>
          <w:sz w:val="22"/>
          <w:szCs w:val="22"/>
        </w:rPr>
        <w:t>elative to the previous forecast, the fiscal sector</w:t>
      </w:r>
      <w:r w:rsidRPr="00626752">
        <w:rPr>
          <w:rFonts w:ascii="Garamond" w:hAnsi="Garamond"/>
          <w:b/>
          <w:sz w:val="22"/>
          <w:szCs w:val="22"/>
        </w:rPr>
        <w:t>’s</w:t>
      </w:r>
      <w:r w:rsidR="006366B1" w:rsidRPr="00626752">
        <w:rPr>
          <w:rFonts w:ascii="Garamond" w:hAnsi="Garamond"/>
          <w:b/>
          <w:sz w:val="22"/>
          <w:szCs w:val="22"/>
        </w:rPr>
        <w:t xml:space="preserve"> </w:t>
      </w:r>
      <w:r w:rsidRPr="00626752">
        <w:rPr>
          <w:rFonts w:ascii="Garamond" w:hAnsi="Garamond"/>
          <w:b/>
          <w:sz w:val="22"/>
          <w:szCs w:val="22"/>
        </w:rPr>
        <w:t xml:space="preserve">impact </w:t>
      </w:r>
      <w:r w:rsidR="006366B1" w:rsidRPr="00626752">
        <w:rPr>
          <w:rFonts w:ascii="Garamond" w:hAnsi="Garamond"/>
          <w:b/>
          <w:sz w:val="22"/>
          <w:szCs w:val="22"/>
        </w:rPr>
        <w:t xml:space="preserve">will </w:t>
      </w:r>
      <w:r w:rsidRPr="00626752">
        <w:rPr>
          <w:rFonts w:ascii="Garamond" w:hAnsi="Garamond"/>
          <w:b/>
          <w:sz w:val="22"/>
          <w:szCs w:val="22"/>
        </w:rPr>
        <w:t xml:space="preserve">be </w:t>
      </w:r>
      <w:r w:rsidR="006366B1" w:rsidRPr="00626752">
        <w:rPr>
          <w:rFonts w:ascii="Garamond" w:hAnsi="Garamond"/>
          <w:b/>
          <w:sz w:val="22"/>
          <w:szCs w:val="22"/>
        </w:rPr>
        <w:t xml:space="preserve">less </w:t>
      </w:r>
      <w:r w:rsidRPr="00626752">
        <w:rPr>
          <w:rFonts w:ascii="Garamond" w:hAnsi="Garamond"/>
          <w:b/>
          <w:sz w:val="22"/>
          <w:szCs w:val="22"/>
        </w:rPr>
        <w:t>contractionary</w:t>
      </w:r>
      <w:r w:rsidR="006366B1" w:rsidRPr="00626752">
        <w:rPr>
          <w:rFonts w:ascii="Garamond" w:hAnsi="Garamond"/>
          <w:sz w:val="22"/>
          <w:szCs w:val="22"/>
        </w:rPr>
        <w:t xml:space="preserve"> </w:t>
      </w:r>
      <w:r w:rsidRPr="00626752">
        <w:rPr>
          <w:rFonts w:ascii="Garamond" w:hAnsi="Garamond"/>
          <w:sz w:val="22"/>
          <w:szCs w:val="22"/>
        </w:rPr>
        <w:t>owing to downside revision in t</w:t>
      </w:r>
      <w:r w:rsidR="006366B1" w:rsidRPr="00626752">
        <w:rPr>
          <w:rFonts w:ascii="Garamond" w:hAnsi="Garamond"/>
          <w:sz w:val="22"/>
          <w:szCs w:val="22"/>
        </w:rPr>
        <w:t>ax assessment</w:t>
      </w:r>
      <w:r w:rsidRPr="00626752">
        <w:rPr>
          <w:rFonts w:ascii="Garamond" w:hAnsi="Garamond"/>
          <w:sz w:val="22"/>
          <w:szCs w:val="22"/>
        </w:rPr>
        <w:t>.</w:t>
      </w:r>
      <w:r w:rsidR="006366B1" w:rsidRPr="00626752">
        <w:rPr>
          <w:rFonts w:ascii="Garamond" w:hAnsi="Garamond"/>
          <w:sz w:val="22"/>
          <w:szCs w:val="22"/>
        </w:rPr>
        <w:t xml:space="preserve"> </w:t>
      </w:r>
      <w:r w:rsidR="00EC6A16" w:rsidRPr="00626752">
        <w:rPr>
          <w:rFonts w:ascii="Garamond" w:hAnsi="Garamond"/>
          <w:sz w:val="22"/>
          <w:szCs w:val="22"/>
        </w:rPr>
        <w:t xml:space="preserve">In </w:t>
      </w:r>
      <w:r w:rsidR="006366B1" w:rsidRPr="00626752">
        <w:rPr>
          <w:rFonts w:ascii="Garamond" w:hAnsi="Garamond"/>
          <w:sz w:val="22"/>
          <w:szCs w:val="22"/>
        </w:rPr>
        <w:t xml:space="preserve">2018 </w:t>
      </w:r>
      <w:r w:rsidR="00EC6A16" w:rsidRPr="00626752">
        <w:rPr>
          <w:rFonts w:ascii="Garamond" w:hAnsi="Garamond"/>
          <w:sz w:val="22"/>
          <w:szCs w:val="22"/>
        </w:rPr>
        <w:t xml:space="preserve">the </w:t>
      </w:r>
      <w:r w:rsidR="006366B1" w:rsidRPr="00626752">
        <w:rPr>
          <w:rFonts w:ascii="Garamond" w:hAnsi="Garamond"/>
          <w:sz w:val="22"/>
          <w:szCs w:val="22"/>
        </w:rPr>
        <w:t>fiscal policy is estimated to be</w:t>
      </w:r>
      <w:r w:rsidR="00EC6A16" w:rsidRPr="00626752">
        <w:rPr>
          <w:rFonts w:ascii="Garamond" w:hAnsi="Garamond"/>
          <w:sz w:val="22"/>
          <w:szCs w:val="22"/>
        </w:rPr>
        <w:t xml:space="preserve"> merely</w:t>
      </w:r>
      <w:r w:rsidR="006366B1" w:rsidRPr="00626752">
        <w:rPr>
          <w:rFonts w:ascii="Garamond" w:hAnsi="Garamond"/>
          <w:sz w:val="22"/>
          <w:szCs w:val="22"/>
        </w:rPr>
        <w:t xml:space="preserve"> 0.8 p</w:t>
      </w:r>
      <w:r w:rsidR="00EC6A16" w:rsidRPr="00626752">
        <w:rPr>
          <w:rFonts w:ascii="Garamond" w:hAnsi="Garamond"/>
          <w:sz w:val="22"/>
          <w:szCs w:val="22"/>
        </w:rPr>
        <w:t xml:space="preserve">p expansionary </w:t>
      </w:r>
      <w:r w:rsidR="006366B1" w:rsidRPr="00626752">
        <w:rPr>
          <w:rFonts w:ascii="Garamond" w:hAnsi="Garamond"/>
          <w:sz w:val="22"/>
          <w:szCs w:val="22"/>
        </w:rPr>
        <w:t>against the almost</w:t>
      </w:r>
      <w:r w:rsidR="00EC6A16" w:rsidRPr="00626752">
        <w:rPr>
          <w:rFonts w:ascii="Garamond" w:hAnsi="Garamond"/>
          <w:sz w:val="22"/>
          <w:szCs w:val="22"/>
        </w:rPr>
        <w:t xml:space="preserve"> neutral impact envisaged in</w:t>
      </w:r>
      <w:r w:rsidR="006366B1" w:rsidRPr="00626752">
        <w:rPr>
          <w:rFonts w:ascii="Garamond" w:hAnsi="Garamond"/>
          <w:sz w:val="22"/>
          <w:szCs w:val="22"/>
        </w:rPr>
        <w:t xml:space="preserve"> the previous program</w:t>
      </w:r>
      <w:r w:rsidR="00EC6A16" w:rsidRPr="00626752">
        <w:rPr>
          <w:rStyle w:val="FootnoteReference"/>
          <w:rFonts w:ascii="Garamond" w:hAnsi="Garamond"/>
          <w:sz w:val="22"/>
          <w:szCs w:val="22"/>
        </w:rPr>
        <w:footnoteReference w:customMarkFollows="1" w:id="9"/>
        <w:t>9</w:t>
      </w:r>
      <w:r w:rsidR="006366B1" w:rsidRPr="00626752">
        <w:rPr>
          <w:rFonts w:ascii="Garamond" w:hAnsi="Garamond"/>
          <w:sz w:val="22"/>
          <w:szCs w:val="22"/>
        </w:rPr>
        <w:t xml:space="preserve">. In 2019-2020, the </w:t>
      </w:r>
      <w:r w:rsidR="00BC7B0D" w:rsidRPr="00626752">
        <w:rPr>
          <w:rFonts w:ascii="Garamond" w:hAnsi="Garamond"/>
          <w:sz w:val="22"/>
          <w:szCs w:val="22"/>
        </w:rPr>
        <w:t xml:space="preserve">fiscal policy’s impact will be neural, according to </w:t>
      </w:r>
      <w:r w:rsidR="006366B1" w:rsidRPr="00626752">
        <w:rPr>
          <w:rFonts w:ascii="Garamond" w:hAnsi="Garamond"/>
          <w:sz w:val="22"/>
          <w:szCs w:val="22"/>
        </w:rPr>
        <w:t>fiscal impulse assessment.</w:t>
      </w:r>
    </w:p>
    <w:p w14:paraId="78F0BED4" w14:textId="77777777" w:rsidR="00BA2C88" w:rsidRPr="00626752" w:rsidRDefault="00BA2C88" w:rsidP="00EE619D">
      <w:pPr>
        <w:autoSpaceDE w:val="0"/>
        <w:autoSpaceDN w:val="0"/>
        <w:adjustRightInd w:val="0"/>
        <w:spacing w:after="120" w:line="360" w:lineRule="auto"/>
        <w:jc w:val="both"/>
        <w:rPr>
          <w:rFonts w:ascii="Garamond" w:hAnsi="Garamond"/>
          <w:b/>
          <w:sz w:val="22"/>
          <w:szCs w:val="22"/>
        </w:rPr>
      </w:pPr>
      <w:r w:rsidRPr="00626752">
        <w:rPr>
          <w:rFonts w:ascii="Garamond" w:hAnsi="Garamond"/>
          <w:b/>
          <w:sz w:val="22"/>
          <w:szCs w:val="22"/>
        </w:rPr>
        <w:t>Current forecasts suggest that the inflation will recover at a faster pace in comparison with the previous program.</w:t>
      </w:r>
    </w:p>
    <w:p w14:paraId="46D5D290" w14:textId="77777777" w:rsidR="00BA2C88" w:rsidRPr="00626752" w:rsidRDefault="00BA2C88"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The </w:t>
      </w:r>
      <w:r w:rsidR="005C689C" w:rsidRPr="00626752">
        <w:rPr>
          <w:rFonts w:ascii="Garamond" w:hAnsi="Garamond"/>
          <w:sz w:val="22"/>
          <w:szCs w:val="22"/>
        </w:rPr>
        <w:t>revision owed primarily to core inflation the expectations for which are much higher than the previous one</w:t>
      </w:r>
      <w:r w:rsidRPr="00626752">
        <w:rPr>
          <w:rFonts w:ascii="Garamond" w:hAnsi="Garamond"/>
          <w:sz w:val="22"/>
          <w:szCs w:val="22"/>
        </w:rPr>
        <w:t xml:space="preserve">, which, in turn, is a result of </w:t>
      </w:r>
      <w:r w:rsidR="005C689C" w:rsidRPr="00626752">
        <w:rPr>
          <w:rFonts w:ascii="Garamond" w:hAnsi="Garamond"/>
          <w:sz w:val="22"/>
          <w:szCs w:val="22"/>
        </w:rPr>
        <w:t xml:space="preserve">growing domestic demand on the one hand and continued </w:t>
      </w:r>
      <w:r w:rsidRPr="00626752">
        <w:rPr>
          <w:rFonts w:ascii="Garamond" w:hAnsi="Garamond"/>
          <w:sz w:val="22"/>
          <w:szCs w:val="22"/>
        </w:rPr>
        <w:t xml:space="preserve">inflationary </w:t>
      </w:r>
      <w:r w:rsidR="005C689C" w:rsidRPr="00626752">
        <w:rPr>
          <w:rFonts w:ascii="Garamond" w:hAnsi="Garamond"/>
          <w:sz w:val="22"/>
          <w:szCs w:val="22"/>
        </w:rPr>
        <w:t xml:space="preserve">pressures in global </w:t>
      </w:r>
      <w:r w:rsidRPr="00626752">
        <w:rPr>
          <w:rFonts w:ascii="Garamond" w:hAnsi="Garamond"/>
          <w:sz w:val="22"/>
          <w:szCs w:val="22"/>
        </w:rPr>
        <w:t>commodity markets</w:t>
      </w:r>
      <w:r w:rsidR="005C689C" w:rsidRPr="00626752">
        <w:rPr>
          <w:rFonts w:ascii="Garamond" w:hAnsi="Garamond"/>
          <w:sz w:val="22"/>
          <w:szCs w:val="22"/>
        </w:rPr>
        <w:t xml:space="preserve"> on the other</w:t>
      </w:r>
      <w:r w:rsidRPr="00626752">
        <w:rPr>
          <w:rFonts w:ascii="Garamond" w:hAnsi="Garamond"/>
          <w:sz w:val="22"/>
          <w:szCs w:val="22"/>
        </w:rPr>
        <w:t xml:space="preserve">. </w:t>
      </w:r>
      <w:r w:rsidR="003A741A" w:rsidRPr="00626752">
        <w:rPr>
          <w:rFonts w:ascii="Garamond" w:hAnsi="Garamond"/>
          <w:sz w:val="22"/>
          <w:szCs w:val="22"/>
        </w:rPr>
        <w:t xml:space="preserve">Forecasts for </w:t>
      </w:r>
      <w:r w:rsidRPr="00626752">
        <w:rPr>
          <w:rFonts w:ascii="Garamond" w:hAnsi="Garamond"/>
          <w:sz w:val="22"/>
          <w:szCs w:val="22"/>
        </w:rPr>
        <w:t>regulated service</w:t>
      </w:r>
      <w:r w:rsidR="003A741A" w:rsidRPr="00626752">
        <w:rPr>
          <w:rFonts w:ascii="Garamond" w:hAnsi="Garamond"/>
          <w:sz w:val="22"/>
          <w:szCs w:val="22"/>
        </w:rPr>
        <w:t xml:space="preserve"> tariff</w:t>
      </w:r>
      <w:r w:rsidRPr="00626752">
        <w:rPr>
          <w:rFonts w:ascii="Garamond" w:hAnsi="Garamond"/>
          <w:sz w:val="22"/>
          <w:szCs w:val="22"/>
        </w:rPr>
        <w:t xml:space="preserve">s </w:t>
      </w:r>
      <w:r w:rsidR="001A180F" w:rsidRPr="00626752">
        <w:rPr>
          <w:rFonts w:ascii="Garamond" w:hAnsi="Garamond"/>
          <w:sz w:val="22"/>
          <w:szCs w:val="22"/>
        </w:rPr>
        <w:t>did</w:t>
      </w:r>
      <w:r w:rsidRPr="00626752">
        <w:rPr>
          <w:rFonts w:ascii="Garamond" w:hAnsi="Garamond"/>
          <w:sz w:val="22"/>
          <w:szCs w:val="22"/>
        </w:rPr>
        <w:t xml:space="preserve"> not change</w:t>
      </w:r>
      <w:r w:rsidR="001A180F" w:rsidRPr="00626752">
        <w:rPr>
          <w:rFonts w:ascii="Garamond" w:hAnsi="Garamond"/>
          <w:sz w:val="22"/>
          <w:szCs w:val="22"/>
        </w:rPr>
        <w:t xml:space="preserve"> much</w:t>
      </w:r>
      <w:r w:rsidRPr="00626752">
        <w:rPr>
          <w:rFonts w:ascii="Garamond" w:hAnsi="Garamond"/>
          <w:sz w:val="22"/>
          <w:szCs w:val="22"/>
        </w:rPr>
        <w:t xml:space="preserve"> </w:t>
      </w:r>
      <w:r w:rsidR="001A180F" w:rsidRPr="00626752">
        <w:rPr>
          <w:rFonts w:ascii="Garamond" w:hAnsi="Garamond"/>
          <w:sz w:val="22"/>
          <w:szCs w:val="22"/>
        </w:rPr>
        <w:t xml:space="preserve">in </w:t>
      </w:r>
      <w:r w:rsidR="003A741A" w:rsidRPr="00626752">
        <w:rPr>
          <w:rFonts w:ascii="Garamond" w:hAnsi="Garamond"/>
          <w:sz w:val="22"/>
          <w:szCs w:val="22"/>
        </w:rPr>
        <w:t>relati</w:t>
      </w:r>
      <w:r w:rsidR="001A180F" w:rsidRPr="00626752">
        <w:rPr>
          <w:rFonts w:ascii="Garamond" w:hAnsi="Garamond"/>
          <w:sz w:val="22"/>
          <w:szCs w:val="22"/>
        </w:rPr>
        <w:t xml:space="preserve">on </w:t>
      </w:r>
      <w:r w:rsidR="003A741A" w:rsidRPr="00626752">
        <w:rPr>
          <w:rFonts w:ascii="Garamond" w:hAnsi="Garamond"/>
          <w:sz w:val="22"/>
          <w:szCs w:val="22"/>
        </w:rPr>
        <w:t xml:space="preserve">to </w:t>
      </w:r>
      <w:r w:rsidRPr="00626752">
        <w:rPr>
          <w:rFonts w:ascii="Garamond" w:hAnsi="Garamond"/>
          <w:sz w:val="22"/>
          <w:szCs w:val="22"/>
        </w:rPr>
        <w:t>the previous one</w:t>
      </w:r>
      <w:r w:rsidR="003A741A" w:rsidRPr="00626752">
        <w:rPr>
          <w:rFonts w:ascii="Garamond" w:hAnsi="Garamond"/>
          <w:sz w:val="22"/>
          <w:szCs w:val="22"/>
        </w:rPr>
        <w:t>s</w:t>
      </w:r>
      <w:r w:rsidR="008F3217" w:rsidRPr="00626752">
        <w:rPr>
          <w:rFonts w:ascii="Garamond" w:hAnsi="Garamond"/>
          <w:sz w:val="22"/>
          <w:szCs w:val="22"/>
        </w:rPr>
        <w:t xml:space="preserve">. While actual price inflation on </w:t>
      </w:r>
      <w:r w:rsidRPr="00626752">
        <w:rPr>
          <w:rFonts w:ascii="Garamond" w:hAnsi="Garamond"/>
          <w:sz w:val="22"/>
          <w:szCs w:val="22"/>
        </w:rPr>
        <w:t>seasonal agricultural products ha</w:t>
      </w:r>
      <w:r w:rsidR="008F3217" w:rsidRPr="00626752">
        <w:rPr>
          <w:rFonts w:ascii="Garamond" w:hAnsi="Garamond"/>
          <w:sz w:val="22"/>
          <w:szCs w:val="22"/>
        </w:rPr>
        <w:t>s been below the forecast indicators,</w:t>
      </w:r>
      <w:r w:rsidRPr="00626752">
        <w:rPr>
          <w:rFonts w:ascii="Garamond" w:hAnsi="Garamond"/>
          <w:sz w:val="22"/>
          <w:szCs w:val="22"/>
        </w:rPr>
        <w:t xml:space="preserve"> it is expected that low </w:t>
      </w:r>
      <w:r w:rsidR="008F3217" w:rsidRPr="00626752">
        <w:rPr>
          <w:rFonts w:ascii="Garamond" w:hAnsi="Garamond"/>
          <w:sz w:val="22"/>
          <w:szCs w:val="22"/>
        </w:rPr>
        <w:t xml:space="preserve">indicators of </w:t>
      </w:r>
      <w:r w:rsidRPr="00626752">
        <w:rPr>
          <w:rFonts w:ascii="Garamond" w:hAnsi="Garamond"/>
          <w:sz w:val="22"/>
          <w:szCs w:val="22"/>
        </w:rPr>
        <w:t xml:space="preserve">agricultural </w:t>
      </w:r>
      <w:r w:rsidR="00837F88" w:rsidRPr="00626752">
        <w:rPr>
          <w:rFonts w:ascii="Garamond" w:hAnsi="Garamond"/>
          <w:sz w:val="22"/>
          <w:szCs w:val="22"/>
        </w:rPr>
        <w:t xml:space="preserve">output </w:t>
      </w:r>
      <w:r w:rsidRPr="00626752">
        <w:rPr>
          <w:rFonts w:ascii="Garamond" w:hAnsi="Garamond"/>
          <w:sz w:val="22"/>
          <w:szCs w:val="22"/>
        </w:rPr>
        <w:t>will still be</w:t>
      </w:r>
      <w:r w:rsidR="008F3217" w:rsidRPr="00626752">
        <w:rPr>
          <w:rFonts w:ascii="Garamond" w:hAnsi="Garamond"/>
          <w:sz w:val="22"/>
          <w:szCs w:val="22"/>
        </w:rPr>
        <w:t xml:space="preserve"> demonstrated through </w:t>
      </w:r>
      <w:r w:rsidRPr="00626752">
        <w:rPr>
          <w:rFonts w:ascii="Garamond" w:hAnsi="Garamond"/>
          <w:sz w:val="22"/>
          <w:szCs w:val="22"/>
        </w:rPr>
        <w:t xml:space="preserve">a rise in prices </w:t>
      </w:r>
      <w:r w:rsidR="008F3217" w:rsidRPr="00626752">
        <w:rPr>
          <w:rFonts w:ascii="Garamond" w:hAnsi="Garamond"/>
          <w:sz w:val="22"/>
          <w:szCs w:val="22"/>
        </w:rPr>
        <w:t xml:space="preserve">in this </w:t>
      </w:r>
      <w:r w:rsidRPr="00626752">
        <w:rPr>
          <w:rFonts w:ascii="Garamond" w:hAnsi="Garamond"/>
          <w:sz w:val="22"/>
          <w:szCs w:val="22"/>
        </w:rPr>
        <w:t>group. Consequently, the deviation of the actual inflation</w:t>
      </w:r>
      <w:r w:rsidR="00837F88" w:rsidRPr="00626752">
        <w:rPr>
          <w:rFonts w:ascii="Garamond" w:hAnsi="Garamond"/>
          <w:sz w:val="22"/>
          <w:szCs w:val="22"/>
        </w:rPr>
        <w:t xml:space="preserve"> rate against </w:t>
      </w:r>
      <w:r w:rsidRPr="00626752">
        <w:rPr>
          <w:rFonts w:ascii="Garamond" w:hAnsi="Garamond"/>
          <w:sz w:val="22"/>
          <w:szCs w:val="22"/>
        </w:rPr>
        <w:t xml:space="preserve">the previous program, which is </w:t>
      </w:r>
      <w:r w:rsidR="00837F88" w:rsidRPr="00626752">
        <w:rPr>
          <w:rFonts w:ascii="Garamond" w:hAnsi="Garamond"/>
          <w:sz w:val="22"/>
          <w:szCs w:val="22"/>
        </w:rPr>
        <w:t xml:space="preserve">totally </w:t>
      </w:r>
      <w:r w:rsidRPr="00626752">
        <w:rPr>
          <w:rFonts w:ascii="Garamond" w:hAnsi="Garamond"/>
          <w:sz w:val="22"/>
          <w:szCs w:val="22"/>
        </w:rPr>
        <w:t xml:space="preserve">due to </w:t>
      </w:r>
      <w:r w:rsidR="00837F88" w:rsidRPr="00626752">
        <w:rPr>
          <w:rFonts w:ascii="Garamond" w:hAnsi="Garamond"/>
          <w:sz w:val="22"/>
          <w:szCs w:val="22"/>
        </w:rPr>
        <w:t>smaller prices of agricultural products</w:t>
      </w:r>
      <w:r w:rsidRPr="00626752">
        <w:rPr>
          <w:rFonts w:ascii="Garamond" w:hAnsi="Garamond"/>
          <w:sz w:val="22"/>
          <w:szCs w:val="22"/>
        </w:rPr>
        <w:t xml:space="preserve">, </w:t>
      </w:r>
      <w:r w:rsidR="00837F88" w:rsidRPr="00626752">
        <w:rPr>
          <w:rFonts w:ascii="Garamond" w:hAnsi="Garamond"/>
          <w:sz w:val="22"/>
          <w:szCs w:val="22"/>
        </w:rPr>
        <w:t>is</w:t>
      </w:r>
      <w:r w:rsidRPr="00626752">
        <w:rPr>
          <w:rFonts w:ascii="Garamond" w:hAnsi="Garamond"/>
          <w:sz w:val="22"/>
          <w:szCs w:val="22"/>
        </w:rPr>
        <w:t xml:space="preserve"> temporary</w:t>
      </w:r>
      <w:r w:rsidR="00837F88" w:rsidRPr="00626752">
        <w:rPr>
          <w:rFonts w:ascii="Garamond" w:hAnsi="Garamond"/>
          <w:sz w:val="22"/>
          <w:szCs w:val="22"/>
        </w:rPr>
        <w:t xml:space="preserve"> and reckoned to gradually eliminate </w:t>
      </w:r>
      <w:r w:rsidRPr="00626752">
        <w:rPr>
          <w:rFonts w:ascii="Garamond" w:hAnsi="Garamond"/>
          <w:sz w:val="22"/>
          <w:szCs w:val="22"/>
        </w:rPr>
        <w:t xml:space="preserve">in the </w:t>
      </w:r>
      <w:r w:rsidR="00837F88" w:rsidRPr="00626752">
        <w:rPr>
          <w:rFonts w:ascii="Garamond" w:hAnsi="Garamond"/>
          <w:sz w:val="22"/>
          <w:szCs w:val="22"/>
        </w:rPr>
        <w:t>up</w:t>
      </w:r>
      <w:r w:rsidRPr="00626752">
        <w:rPr>
          <w:rFonts w:ascii="Garamond" w:hAnsi="Garamond"/>
          <w:sz w:val="22"/>
          <w:szCs w:val="22"/>
        </w:rPr>
        <w:t xml:space="preserve">coming months. Accordingly, almost throughout the </w:t>
      </w:r>
      <w:r w:rsidR="00F844C2" w:rsidRPr="00626752">
        <w:rPr>
          <w:rFonts w:ascii="Garamond" w:hAnsi="Garamond"/>
          <w:sz w:val="22"/>
          <w:szCs w:val="22"/>
        </w:rPr>
        <w:t xml:space="preserve">entire </w:t>
      </w:r>
      <w:r w:rsidRPr="00626752">
        <w:rPr>
          <w:rFonts w:ascii="Garamond" w:hAnsi="Garamond"/>
          <w:sz w:val="22"/>
          <w:szCs w:val="22"/>
        </w:rPr>
        <w:t xml:space="preserve">forecast horizon the inflation will </w:t>
      </w:r>
      <w:r w:rsidR="00F844C2" w:rsidRPr="00626752">
        <w:rPr>
          <w:rFonts w:ascii="Garamond" w:hAnsi="Garamond"/>
          <w:sz w:val="22"/>
          <w:szCs w:val="22"/>
        </w:rPr>
        <w:t>run</w:t>
      </w:r>
      <w:r w:rsidRPr="00626752">
        <w:rPr>
          <w:rFonts w:ascii="Garamond" w:hAnsi="Garamond"/>
          <w:sz w:val="22"/>
          <w:szCs w:val="22"/>
        </w:rPr>
        <w:t xml:space="preserve"> higher than the previous predictions (see the Inflation Forecast</w:t>
      </w:r>
      <w:r w:rsidR="00F844C2" w:rsidRPr="00626752">
        <w:rPr>
          <w:rFonts w:ascii="Garamond" w:hAnsi="Garamond"/>
          <w:sz w:val="22"/>
          <w:szCs w:val="22"/>
        </w:rPr>
        <w:t xml:space="preserve">s </w:t>
      </w:r>
      <w:r w:rsidRPr="00626752">
        <w:rPr>
          <w:rFonts w:ascii="Garamond" w:hAnsi="Garamond"/>
          <w:sz w:val="22"/>
          <w:szCs w:val="22"/>
        </w:rPr>
        <w:t xml:space="preserve">Probability </w:t>
      </w:r>
      <w:r w:rsidR="00F844C2" w:rsidRPr="00626752">
        <w:rPr>
          <w:rFonts w:ascii="Garamond" w:hAnsi="Garamond"/>
          <w:sz w:val="22"/>
          <w:szCs w:val="22"/>
        </w:rPr>
        <w:t>Distribution Chart</w:t>
      </w:r>
      <w:r w:rsidRPr="00626752">
        <w:rPr>
          <w:rFonts w:ascii="Garamond" w:hAnsi="Garamond"/>
          <w:sz w:val="22"/>
          <w:szCs w:val="22"/>
        </w:rPr>
        <w:t>).</w:t>
      </w:r>
    </w:p>
    <w:p w14:paraId="13FBA86B" w14:textId="2311D60D" w:rsidR="00F844C2" w:rsidRPr="00626752" w:rsidRDefault="00F844C2" w:rsidP="00EE619D">
      <w:pPr>
        <w:autoSpaceDE w:val="0"/>
        <w:autoSpaceDN w:val="0"/>
        <w:adjustRightInd w:val="0"/>
        <w:spacing w:after="120" w:line="360" w:lineRule="auto"/>
        <w:jc w:val="both"/>
        <w:rPr>
          <w:rFonts w:ascii="Garamond" w:hAnsi="Garamond"/>
          <w:b/>
          <w:sz w:val="22"/>
          <w:szCs w:val="22"/>
        </w:rPr>
      </w:pPr>
      <w:r w:rsidRPr="00626752">
        <w:rPr>
          <w:rFonts w:ascii="Garamond" w:hAnsi="Garamond"/>
          <w:b/>
          <w:sz w:val="22"/>
          <w:szCs w:val="22"/>
        </w:rPr>
        <w:t xml:space="preserve">The short-term inflation expectations have been slightly revised upward compared to previous forecasts, due to predictions for a quicker recovery of core inflation on the one hand, and recent speculations in the media in anticipation of </w:t>
      </w:r>
      <w:r w:rsidR="00124332" w:rsidRPr="00626752">
        <w:rPr>
          <w:rFonts w:ascii="Garamond" w:hAnsi="Garamond"/>
          <w:b/>
          <w:sz w:val="22"/>
          <w:szCs w:val="22"/>
        </w:rPr>
        <w:t xml:space="preserve">impending inflation </w:t>
      </w:r>
      <w:r w:rsidR="003A0A1F">
        <w:rPr>
          <w:rFonts w:ascii="Sylfaen" w:hAnsi="Sylfaen"/>
          <w:b/>
          <w:sz w:val="22"/>
          <w:szCs w:val="22"/>
        </w:rPr>
        <w:t xml:space="preserve">of </w:t>
      </w:r>
      <w:r w:rsidR="003A0A1F" w:rsidRPr="00626752">
        <w:rPr>
          <w:rFonts w:ascii="Garamond" w:hAnsi="Garamond"/>
          <w:b/>
          <w:sz w:val="22"/>
          <w:szCs w:val="22"/>
        </w:rPr>
        <w:t>selected food products (meat, butter)</w:t>
      </w:r>
      <w:r w:rsidR="003A0A1F">
        <w:rPr>
          <w:rFonts w:ascii="Garamond" w:hAnsi="Garamond"/>
          <w:b/>
          <w:sz w:val="22"/>
          <w:szCs w:val="22"/>
        </w:rPr>
        <w:t xml:space="preserve"> </w:t>
      </w:r>
      <w:r w:rsidR="00124332" w:rsidRPr="00626752">
        <w:rPr>
          <w:rFonts w:ascii="Garamond" w:hAnsi="Garamond"/>
          <w:b/>
          <w:sz w:val="22"/>
          <w:szCs w:val="22"/>
        </w:rPr>
        <w:t xml:space="preserve">and </w:t>
      </w:r>
      <w:r w:rsidRPr="00626752">
        <w:rPr>
          <w:rFonts w:ascii="Garamond" w:hAnsi="Garamond"/>
          <w:b/>
          <w:sz w:val="22"/>
          <w:szCs w:val="22"/>
        </w:rPr>
        <w:t>the change</w:t>
      </w:r>
      <w:r w:rsidR="003A0A1F">
        <w:rPr>
          <w:rFonts w:ascii="Garamond" w:hAnsi="Garamond"/>
          <w:b/>
          <w:sz w:val="22"/>
          <w:szCs w:val="22"/>
        </w:rPr>
        <w:t>s</w:t>
      </w:r>
      <w:r w:rsidRPr="00626752">
        <w:rPr>
          <w:rFonts w:ascii="Garamond" w:hAnsi="Garamond"/>
          <w:b/>
          <w:sz w:val="22"/>
          <w:szCs w:val="22"/>
        </w:rPr>
        <w:t xml:space="preserve"> in tax</w:t>
      </w:r>
      <w:r w:rsidR="00124332" w:rsidRPr="00626752">
        <w:rPr>
          <w:rFonts w:ascii="Garamond" w:hAnsi="Garamond"/>
          <w:b/>
          <w:sz w:val="22"/>
          <w:szCs w:val="22"/>
        </w:rPr>
        <w:t xml:space="preserve"> </w:t>
      </w:r>
      <w:r w:rsidRPr="00626752">
        <w:rPr>
          <w:rFonts w:ascii="Garamond" w:hAnsi="Garamond"/>
          <w:b/>
          <w:sz w:val="22"/>
          <w:szCs w:val="22"/>
        </w:rPr>
        <w:t xml:space="preserve">and </w:t>
      </w:r>
      <w:r w:rsidR="00124332" w:rsidRPr="00626752">
        <w:rPr>
          <w:rFonts w:ascii="Garamond" w:hAnsi="Garamond"/>
          <w:b/>
          <w:sz w:val="22"/>
          <w:szCs w:val="22"/>
        </w:rPr>
        <w:t xml:space="preserve">customs </w:t>
      </w:r>
      <w:r w:rsidR="00FF441A" w:rsidRPr="00626752">
        <w:rPr>
          <w:rFonts w:ascii="Garamond" w:hAnsi="Garamond"/>
          <w:b/>
          <w:sz w:val="22"/>
          <w:szCs w:val="22"/>
        </w:rPr>
        <w:t>d</w:t>
      </w:r>
      <w:r w:rsidR="00862B97" w:rsidRPr="00626752">
        <w:rPr>
          <w:rFonts w:ascii="Garamond" w:hAnsi="Garamond"/>
          <w:b/>
          <w:sz w:val="22"/>
          <w:szCs w:val="22"/>
        </w:rPr>
        <w:t xml:space="preserve">uty </w:t>
      </w:r>
      <w:r w:rsidR="00124332" w:rsidRPr="00626752">
        <w:rPr>
          <w:rFonts w:ascii="Garamond" w:hAnsi="Garamond"/>
          <w:b/>
          <w:sz w:val="22"/>
          <w:szCs w:val="22"/>
        </w:rPr>
        <w:t>rates, on the other.</w:t>
      </w:r>
      <w:r w:rsidRPr="00626752">
        <w:rPr>
          <w:rFonts w:ascii="Garamond" w:hAnsi="Garamond"/>
          <w:b/>
          <w:sz w:val="22"/>
          <w:szCs w:val="22"/>
        </w:rPr>
        <w:t xml:space="preserve"> </w:t>
      </w:r>
    </w:p>
    <w:p w14:paraId="3878DD00" w14:textId="77777777" w:rsidR="00815906" w:rsidRPr="00626752" w:rsidRDefault="00815906" w:rsidP="00EE619D">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t>2.2.4. Main assumptions and risks</w:t>
      </w:r>
    </w:p>
    <w:p w14:paraId="0FC31175" w14:textId="7AE1607F" w:rsidR="00815906" w:rsidRPr="00626752" w:rsidRDefault="00C95BEF"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This section presents the main assumptions underlying the Monetary</w:t>
      </w:r>
      <w:r w:rsidR="00815906" w:rsidRPr="00626752">
        <w:rPr>
          <w:rFonts w:ascii="Garamond" w:hAnsi="Garamond"/>
          <w:sz w:val="22"/>
          <w:szCs w:val="22"/>
        </w:rPr>
        <w:t xml:space="preserve"> </w:t>
      </w:r>
      <w:r w:rsidRPr="00626752">
        <w:rPr>
          <w:rFonts w:ascii="Garamond" w:hAnsi="Garamond"/>
          <w:sz w:val="22"/>
          <w:szCs w:val="22"/>
        </w:rPr>
        <w:t>P</w:t>
      </w:r>
      <w:r w:rsidR="00815906" w:rsidRPr="00626752">
        <w:rPr>
          <w:rFonts w:ascii="Garamond" w:hAnsi="Garamond"/>
          <w:sz w:val="22"/>
          <w:szCs w:val="22"/>
        </w:rPr>
        <w:t xml:space="preserve">olicy </w:t>
      </w:r>
      <w:r w:rsidRPr="00626752">
        <w:rPr>
          <w:rFonts w:ascii="Garamond" w:hAnsi="Garamond"/>
          <w:sz w:val="22"/>
          <w:szCs w:val="22"/>
        </w:rPr>
        <w:t xml:space="preserve">Program for the fourth quarter of 2017 and the </w:t>
      </w:r>
      <w:r w:rsidR="00815906" w:rsidRPr="00626752">
        <w:rPr>
          <w:rFonts w:ascii="Garamond" w:hAnsi="Garamond"/>
          <w:sz w:val="22"/>
          <w:szCs w:val="22"/>
        </w:rPr>
        <w:t xml:space="preserve">risks </w:t>
      </w:r>
      <w:r w:rsidRPr="00626752">
        <w:rPr>
          <w:rFonts w:ascii="Garamond" w:hAnsi="Garamond"/>
          <w:sz w:val="22"/>
          <w:szCs w:val="22"/>
        </w:rPr>
        <w:t>to implementation of the program</w:t>
      </w:r>
      <w:r w:rsidR="00012D6D">
        <w:rPr>
          <w:rFonts w:ascii="Garamond" w:hAnsi="Garamond"/>
          <w:sz w:val="22"/>
          <w:szCs w:val="22"/>
        </w:rPr>
        <w:t>, which</w:t>
      </w:r>
      <w:r w:rsidR="00FA0C20" w:rsidRPr="00626752">
        <w:rPr>
          <w:rFonts w:ascii="Garamond" w:hAnsi="Garamond"/>
          <w:sz w:val="22"/>
          <w:szCs w:val="22"/>
        </w:rPr>
        <w:t xml:space="preserve"> </w:t>
      </w:r>
      <w:r w:rsidR="00815906" w:rsidRPr="00626752">
        <w:rPr>
          <w:rFonts w:ascii="Garamond" w:hAnsi="Garamond"/>
          <w:sz w:val="22"/>
          <w:szCs w:val="22"/>
        </w:rPr>
        <w:t xml:space="preserve">derive from </w:t>
      </w:r>
      <w:r w:rsidR="00FA0C20" w:rsidRPr="00626752">
        <w:rPr>
          <w:rFonts w:ascii="Garamond" w:hAnsi="Garamond"/>
          <w:sz w:val="22"/>
          <w:szCs w:val="22"/>
        </w:rPr>
        <w:t xml:space="preserve">the </w:t>
      </w:r>
      <w:r w:rsidR="00815906" w:rsidRPr="00626752">
        <w:rPr>
          <w:rFonts w:ascii="Garamond" w:hAnsi="Garamond"/>
          <w:sz w:val="22"/>
          <w:szCs w:val="22"/>
        </w:rPr>
        <w:t xml:space="preserve">external sector developments, </w:t>
      </w:r>
      <w:r w:rsidR="00FA0C20" w:rsidRPr="00626752">
        <w:rPr>
          <w:rFonts w:ascii="Garamond" w:hAnsi="Garamond"/>
          <w:sz w:val="22"/>
          <w:szCs w:val="22"/>
        </w:rPr>
        <w:t xml:space="preserve">the </w:t>
      </w:r>
      <w:r w:rsidR="00815906" w:rsidRPr="00626752">
        <w:rPr>
          <w:rFonts w:ascii="Garamond" w:hAnsi="Garamond"/>
          <w:sz w:val="22"/>
          <w:szCs w:val="22"/>
        </w:rPr>
        <w:t xml:space="preserve">fiscal policy, </w:t>
      </w:r>
      <w:r w:rsidR="00FA0C20" w:rsidRPr="00626752">
        <w:rPr>
          <w:rFonts w:ascii="Garamond" w:hAnsi="Garamond"/>
          <w:sz w:val="22"/>
          <w:szCs w:val="22"/>
        </w:rPr>
        <w:t xml:space="preserve">the </w:t>
      </w:r>
      <w:r w:rsidR="00815906" w:rsidRPr="00626752">
        <w:rPr>
          <w:rFonts w:ascii="Garamond" w:hAnsi="Garamond"/>
          <w:sz w:val="22"/>
          <w:szCs w:val="22"/>
        </w:rPr>
        <w:t xml:space="preserve">trends and short-term forecasts. </w:t>
      </w:r>
      <w:r w:rsidR="005E3189" w:rsidRPr="00626752">
        <w:rPr>
          <w:rFonts w:ascii="Garamond" w:hAnsi="Garamond"/>
          <w:sz w:val="22"/>
          <w:szCs w:val="22"/>
        </w:rPr>
        <w:t>For the fourth quarter, most relevant are</w:t>
      </w:r>
      <w:r w:rsidR="00815906" w:rsidRPr="00626752">
        <w:rPr>
          <w:rFonts w:ascii="Garamond" w:hAnsi="Garamond"/>
          <w:sz w:val="22"/>
          <w:szCs w:val="22"/>
        </w:rPr>
        <w:t xml:space="preserve"> </w:t>
      </w:r>
      <w:r w:rsidR="005E3189" w:rsidRPr="00626752">
        <w:rPr>
          <w:rFonts w:ascii="Garamond" w:hAnsi="Garamond"/>
          <w:sz w:val="22"/>
          <w:szCs w:val="22"/>
        </w:rPr>
        <w:t xml:space="preserve">the </w:t>
      </w:r>
      <w:r w:rsidR="005E3189" w:rsidRPr="00626752">
        <w:rPr>
          <w:rFonts w:ascii="Garamond" w:hAnsi="Garamond"/>
          <w:sz w:val="22"/>
          <w:szCs w:val="22"/>
        </w:rPr>
        <w:lastRenderedPageBreak/>
        <w:t xml:space="preserve">assumptions </w:t>
      </w:r>
      <w:r w:rsidR="00815906" w:rsidRPr="00626752">
        <w:rPr>
          <w:rFonts w:ascii="Garamond" w:hAnsi="Garamond"/>
          <w:sz w:val="22"/>
          <w:szCs w:val="22"/>
        </w:rPr>
        <w:t xml:space="preserve">and risks </w:t>
      </w:r>
      <w:r w:rsidR="005E3189" w:rsidRPr="00626752">
        <w:rPr>
          <w:rFonts w:ascii="Garamond" w:hAnsi="Garamond"/>
          <w:sz w:val="22"/>
          <w:szCs w:val="22"/>
        </w:rPr>
        <w:t xml:space="preserve">underlying </w:t>
      </w:r>
      <w:r w:rsidR="00815906" w:rsidRPr="00626752">
        <w:rPr>
          <w:rFonts w:ascii="Garamond" w:hAnsi="Garamond"/>
          <w:sz w:val="22"/>
          <w:szCs w:val="22"/>
        </w:rPr>
        <w:t xml:space="preserve">short-term inflation forecasts and inflation expectations, which are presented </w:t>
      </w:r>
      <w:r w:rsidR="005E3189" w:rsidRPr="00626752">
        <w:rPr>
          <w:rFonts w:ascii="Garamond" w:hAnsi="Garamond"/>
          <w:sz w:val="22"/>
          <w:szCs w:val="22"/>
        </w:rPr>
        <w:t xml:space="preserve">below </w:t>
      </w:r>
      <w:r w:rsidR="00815906" w:rsidRPr="00626752">
        <w:rPr>
          <w:rFonts w:ascii="Garamond" w:hAnsi="Garamond"/>
          <w:sz w:val="22"/>
          <w:szCs w:val="22"/>
        </w:rPr>
        <w:t>in more detail.</w:t>
      </w:r>
    </w:p>
    <w:p w14:paraId="498181C8" w14:textId="77777777" w:rsidR="00464EBD" w:rsidRDefault="00464EBD" w:rsidP="00EE619D">
      <w:pPr>
        <w:autoSpaceDE w:val="0"/>
        <w:autoSpaceDN w:val="0"/>
        <w:adjustRightInd w:val="0"/>
        <w:spacing w:after="120" w:line="360" w:lineRule="auto"/>
        <w:jc w:val="both"/>
        <w:rPr>
          <w:rFonts w:ascii="Garamond" w:hAnsi="Garamond"/>
          <w:sz w:val="22"/>
          <w:szCs w:val="22"/>
        </w:rPr>
      </w:pPr>
    </w:p>
    <w:p w14:paraId="085CAC0D" w14:textId="58CEF2C4" w:rsidR="005E3189" w:rsidRDefault="00FF441A"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T</w:t>
      </w:r>
      <w:r w:rsidR="005E3189" w:rsidRPr="00626752">
        <w:rPr>
          <w:rFonts w:ascii="Garamond" w:hAnsi="Garamond"/>
          <w:sz w:val="22"/>
          <w:szCs w:val="22"/>
        </w:rPr>
        <w:t>he short-term inflation forecasts</w:t>
      </w:r>
      <w:r w:rsidRPr="00626752">
        <w:rPr>
          <w:rFonts w:ascii="Garamond" w:hAnsi="Garamond"/>
          <w:sz w:val="22"/>
          <w:szCs w:val="22"/>
        </w:rPr>
        <w:t xml:space="preserve"> have considered </w:t>
      </w:r>
      <w:r w:rsidR="005E3189" w:rsidRPr="00626752">
        <w:rPr>
          <w:rFonts w:ascii="Garamond" w:hAnsi="Garamond"/>
          <w:sz w:val="22"/>
          <w:szCs w:val="22"/>
        </w:rPr>
        <w:t xml:space="preserve">the effects of change in </w:t>
      </w:r>
      <w:r w:rsidRPr="00626752">
        <w:rPr>
          <w:rFonts w:ascii="Garamond" w:hAnsi="Garamond"/>
          <w:sz w:val="22"/>
          <w:szCs w:val="22"/>
        </w:rPr>
        <w:t xml:space="preserve">excise </w:t>
      </w:r>
      <w:r w:rsidR="00862B97" w:rsidRPr="00626752">
        <w:rPr>
          <w:rFonts w:ascii="Garamond" w:hAnsi="Garamond"/>
          <w:sz w:val="22"/>
          <w:szCs w:val="22"/>
        </w:rPr>
        <w:t>tax</w:t>
      </w:r>
      <w:r w:rsidRPr="00626752">
        <w:rPr>
          <w:rFonts w:ascii="Garamond" w:hAnsi="Garamond"/>
          <w:sz w:val="22"/>
          <w:szCs w:val="22"/>
        </w:rPr>
        <w:t xml:space="preserve"> and in </w:t>
      </w:r>
      <w:r w:rsidR="005E3189" w:rsidRPr="00626752">
        <w:rPr>
          <w:rFonts w:ascii="Garamond" w:hAnsi="Garamond"/>
          <w:sz w:val="22"/>
          <w:szCs w:val="22"/>
        </w:rPr>
        <w:t>customs dut</w:t>
      </w:r>
      <w:r w:rsidRPr="00626752">
        <w:rPr>
          <w:rFonts w:ascii="Garamond" w:hAnsi="Garamond"/>
          <w:sz w:val="22"/>
          <w:szCs w:val="22"/>
        </w:rPr>
        <w:t xml:space="preserve">y </w:t>
      </w:r>
      <w:r w:rsidR="00862B97" w:rsidRPr="00626752">
        <w:rPr>
          <w:rFonts w:ascii="Garamond" w:hAnsi="Garamond"/>
          <w:sz w:val="22"/>
          <w:szCs w:val="22"/>
        </w:rPr>
        <w:t xml:space="preserve">on a bunch of commodities </w:t>
      </w:r>
      <w:r w:rsidR="00805838" w:rsidRPr="00626752">
        <w:rPr>
          <w:rFonts w:ascii="Garamond" w:hAnsi="Garamond"/>
          <w:sz w:val="22"/>
          <w:szCs w:val="22"/>
        </w:rPr>
        <w:t xml:space="preserve">since 2018 </w:t>
      </w:r>
      <w:r w:rsidR="005E3189" w:rsidRPr="00626752">
        <w:rPr>
          <w:rFonts w:ascii="Garamond" w:hAnsi="Garamond"/>
          <w:sz w:val="22"/>
          <w:szCs w:val="22"/>
        </w:rPr>
        <w:t xml:space="preserve">(see </w:t>
      </w:r>
      <w:r w:rsidR="00862B97" w:rsidRPr="00626752">
        <w:rPr>
          <w:rFonts w:ascii="Garamond" w:hAnsi="Garamond"/>
          <w:sz w:val="22"/>
          <w:szCs w:val="22"/>
        </w:rPr>
        <w:t>Box</w:t>
      </w:r>
      <w:r w:rsidR="005E3189" w:rsidRPr="00626752">
        <w:rPr>
          <w:rFonts w:ascii="Garamond" w:hAnsi="Garamond"/>
          <w:sz w:val="22"/>
          <w:szCs w:val="22"/>
        </w:rPr>
        <w:t xml:space="preserve"> 1). </w:t>
      </w:r>
      <w:r w:rsidR="00862B97" w:rsidRPr="00626752">
        <w:rPr>
          <w:rFonts w:ascii="Garamond" w:hAnsi="Garamond"/>
          <w:sz w:val="22"/>
          <w:szCs w:val="22"/>
        </w:rPr>
        <w:t xml:space="preserve">The excise tax rate will change to such commodities as </w:t>
      </w:r>
      <w:r w:rsidR="005E3189" w:rsidRPr="00626752">
        <w:rPr>
          <w:rFonts w:ascii="Garamond" w:hAnsi="Garamond"/>
          <w:sz w:val="22"/>
          <w:szCs w:val="22"/>
        </w:rPr>
        <w:t xml:space="preserve">alcoholic beverages, </w:t>
      </w:r>
      <w:r w:rsidR="00862B97" w:rsidRPr="00626752">
        <w:rPr>
          <w:rFonts w:ascii="Garamond" w:hAnsi="Garamond"/>
          <w:sz w:val="22"/>
          <w:szCs w:val="22"/>
        </w:rPr>
        <w:t>tobacco</w:t>
      </w:r>
      <w:r w:rsidR="005E3189" w:rsidRPr="00626752">
        <w:rPr>
          <w:rFonts w:ascii="Garamond" w:hAnsi="Garamond"/>
          <w:sz w:val="22"/>
          <w:szCs w:val="22"/>
        </w:rPr>
        <w:t xml:space="preserve">, </w:t>
      </w:r>
      <w:r w:rsidR="00862B97" w:rsidRPr="00626752">
        <w:rPr>
          <w:rFonts w:ascii="Garamond" w:hAnsi="Garamond"/>
          <w:sz w:val="22"/>
          <w:szCs w:val="22"/>
        </w:rPr>
        <w:t>petrol,</w:t>
      </w:r>
      <w:r w:rsidR="005E3189" w:rsidRPr="00626752">
        <w:rPr>
          <w:rFonts w:ascii="Garamond" w:hAnsi="Garamond"/>
          <w:sz w:val="22"/>
          <w:szCs w:val="22"/>
        </w:rPr>
        <w:t xml:space="preserve"> lubricants, compressed natural gas</w:t>
      </w:r>
      <w:r w:rsidR="007F6C6D" w:rsidRPr="00626752">
        <w:rPr>
          <w:rFonts w:ascii="Garamond" w:hAnsi="Garamond"/>
          <w:sz w:val="22"/>
          <w:szCs w:val="22"/>
        </w:rPr>
        <w:t>; note that the excise tax rate will change with regard to all commodities but diesel</w:t>
      </w:r>
      <w:r w:rsidR="005E3189" w:rsidRPr="00626752">
        <w:rPr>
          <w:rFonts w:ascii="Garamond" w:hAnsi="Garamond"/>
          <w:sz w:val="22"/>
          <w:szCs w:val="22"/>
        </w:rPr>
        <w:t xml:space="preserve">. At the same time, </w:t>
      </w:r>
      <w:r w:rsidR="002A0889" w:rsidRPr="00626752">
        <w:rPr>
          <w:rFonts w:ascii="Garamond" w:hAnsi="Garamond"/>
          <w:sz w:val="22"/>
          <w:szCs w:val="22"/>
        </w:rPr>
        <w:t xml:space="preserve">given </w:t>
      </w:r>
      <w:r w:rsidR="005E3189" w:rsidRPr="00626752">
        <w:rPr>
          <w:rFonts w:ascii="Garamond" w:hAnsi="Garamond"/>
          <w:sz w:val="22"/>
          <w:szCs w:val="22"/>
        </w:rPr>
        <w:t xml:space="preserve">the inflationary pressures in the meat and butter markets, it was supposed that inflationary </w:t>
      </w:r>
      <w:r w:rsidR="002A0889" w:rsidRPr="00626752">
        <w:rPr>
          <w:rFonts w:ascii="Garamond" w:hAnsi="Garamond"/>
          <w:sz w:val="22"/>
          <w:szCs w:val="22"/>
        </w:rPr>
        <w:t>patterns would persist with</w:t>
      </w:r>
      <w:r w:rsidR="005E3189" w:rsidRPr="00626752">
        <w:rPr>
          <w:rFonts w:ascii="Garamond" w:hAnsi="Garamond"/>
          <w:sz w:val="22"/>
          <w:szCs w:val="22"/>
        </w:rPr>
        <w:t xml:space="preserve"> these commodities </w:t>
      </w:r>
      <w:r w:rsidR="002A0889" w:rsidRPr="00626752">
        <w:rPr>
          <w:rFonts w:ascii="Garamond" w:hAnsi="Garamond"/>
          <w:sz w:val="22"/>
          <w:szCs w:val="22"/>
        </w:rPr>
        <w:t>as the recovery of supply goes on slowly</w:t>
      </w:r>
      <w:r w:rsidR="005E3189" w:rsidRPr="00626752">
        <w:rPr>
          <w:rFonts w:ascii="Garamond" w:hAnsi="Garamond"/>
          <w:sz w:val="22"/>
          <w:szCs w:val="22"/>
        </w:rPr>
        <w:t>.</w:t>
      </w:r>
    </w:p>
    <w:p w14:paraId="16443135" w14:textId="77777777" w:rsidR="00E26630" w:rsidRPr="00626752" w:rsidRDefault="00E26630" w:rsidP="00EE619D">
      <w:pPr>
        <w:autoSpaceDE w:val="0"/>
        <w:autoSpaceDN w:val="0"/>
        <w:adjustRightInd w:val="0"/>
        <w:spacing w:after="120" w:line="360" w:lineRule="auto"/>
        <w:jc w:val="both"/>
        <w:rPr>
          <w:rFonts w:ascii="Garamond" w:hAnsi="Garamond"/>
          <w:sz w:val="22"/>
          <w:szCs w:val="22"/>
        </w:rPr>
      </w:pPr>
    </w:p>
    <w:p w14:paraId="664132C1" w14:textId="5865EA00" w:rsidR="00C65814" w:rsidRPr="00626752" w:rsidRDefault="00C65814"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Table 3: </w:t>
      </w:r>
    </w:p>
    <w:p w14:paraId="6E45139E" w14:textId="77777777" w:rsidR="00F40F99" w:rsidRPr="00626752" w:rsidRDefault="002A0889"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The direct impact of the change in excise tax rate is estimated 0.5 pp.</w:t>
      </w:r>
    </w:p>
    <w:p w14:paraId="6B0E77C0" w14:textId="6D3103C7" w:rsidR="002A0889" w:rsidRPr="00626752" w:rsidRDefault="002A0889"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As </w:t>
      </w:r>
      <w:r w:rsidR="00BD5B1C" w:rsidRPr="00626752">
        <w:rPr>
          <w:rFonts w:ascii="Garamond" w:hAnsi="Garamond"/>
          <w:sz w:val="22"/>
          <w:szCs w:val="22"/>
        </w:rPr>
        <w:t>to</w:t>
      </w:r>
      <w:r w:rsidRPr="00626752">
        <w:rPr>
          <w:rFonts w:ascii="Garamond" w:hAnsi="Garamond"/>
          <w:sz w:val="22"/>
          <w:szCs w:val="22"/>
        </w:rPr>
        <w:t xml:space="preserve"> the EEU membership-driven change in customs duties, </w:t>
      </w:r>
      <w:r w:rsidR="00BD5B1C" w:rsidRPr="00626752">
        <w:rPr>
          <w:rFonts w:ascii="Garamond" w:hAnsi="Garamond"/>
          <w:sz w:val="22"/>
          <w:szCs w:val="22"/>
        </w:rPr>
        <w:t xml:space="preserve">an increase in </w:t>
      </w:r>
      <w:r w:rsidRPr="00626752">
        <w:rPr>
          <w:rFonts w:ascii="Garamond" w:hAnsi="Garamond"/>
          <w:sz w:val="22"/>
          <w:szCs w:val="22"/>
        </w:rPr>
        <w:t xml:space="preserve">customs duties </w:t>
      </w:r>
      <w:r w:rsidR="00BD5B1C" w:rsidRPr="00626752">
        <w:rPr>
          <w:rFonts w:ascii="Garamond" w:hAnsi="Garamond"/>
          <w:sz w:val="22"/>
          <w:szCs w:val="22"/>
        </w:rPr>
        <w:t>is anticipated with regard to nearly</w:t>
      </w:r>
      <w:r w:rsidRPr="00626752">
        <w:rPr>
          <w:rFonts w:ascii="Garamond" w:hAnsi="Garamond"/>
          <w:sz w:val="22"/>
          <w:szCs w:val="22"/>
        </w:rPr>
        <w:t xml:space="preserve"> 30 </w:t>
      </w:r>
      <w:r w:rsidR="00BD5B1C" w:rsidRPr="00626752">
        <w:rPr>
          <w:rFonts w:ascii="Garamond" w:hAnsi="Garamond"/>
          <w:sz w:val="22"/>
          <w:szCs w:val="22"/>
        </w:rPr>
        <w:t xml:space="preserve">item names in the </w:t>
      </w:r>
      <w:r w:rsidRPr="00626752">
        <w:rPr>
          <w:rFonts w:ascii="Garamond" w:hAnsi="Garamond"/>
          <w:sz w:val="22"/>
          <w:szCs w:val="22"/>
        </w:rPr>
        <w:t>consum</w:t>
      </w:r>
      <w:r w:rsidR="00BD5B1C" w:rsidRPr="00626752">
        <w:rPr>
          <w:rFonts w:ascii="Garamond" w:hAnsi="Garamond"/>
          <w:sz w:val="22"/>
          <w:szCs w:val="22"/>
        </w:rPr>
        <w:t>ption basket</w:t>
      </w:r>
      <w:r w:rsidR="00BD5B1C" w:rsidRPr="00626752">
        <w:rPr>
          <w:rStyle w:val="FootnoteReference"/>
          <w:rFonts w:ascii="Garamond" w:hAnsi="Garamond"/>
          <w:sz w:val="22"/>
          <w:szCs w:val="22"/>
        </w:rPr>
        <w:footnoteReference w:customMarkFollows="1" w:id="10"/>
        <w:t>11</w:t>
      </w:r>
      <w:r w:rsidRPr="00626752">
        <w:rPr>
          <w:rFonts w:ascii="Garamond" w:hAnsi="Garamond"/>
          <w:sz w:val="22"/>
          <w:szCs w:val="22"/>
        </w:rPr>
        <w:t>, the overall impact of which is estimated to be 0.4 p</w:t>
      </w:r>
      <w:r w:rsidR="00BD5B1C" w:rsidRPr="00626752">
        <w:rPr>
          <w:rFonts w:ascii="Garamond" w:hAnsi="Garamond"/>
          <w:sz w:val="22"/>
          <w:szCs w:val="22"/>
        </w:rPr>
        <w:t>p</w:t>
      </w:r>
      <w:r w:rsidRPr="00626752">
        <w:rPr>
          <w:rFonts w:ascii="Garamond" w:hAnsi="Garamond"/>
          <w:sz w:val="22"/>
          <w:szCs w:val="22"/>
        </w:rPr>
        <w:t>. Thus, the direct impact of the aforementioned change</w:t>
      </w:r>
      <w:r w:rsidR="001765DE">
        <w:rPr>
          <w:rFonts w:ascii="Garamond" w:hAnsi="Garamond"/>
          <w:sz w:val="22"/>
          <w:szCs w:val="22"/>
        </w:rPr>
        <w:t>s</w:t>
      </w:r>
      <w:r w:rsidRPr="00626752">
        <w:rPr>
          <w:rFonts w:ascii="Garamond" w:hAnsi="Garamond"/>
          <w:sz w:val="22"/>
          <w:szCs w:val="22"/>
        </w:rPr>
        <w:t xml:space="preserve"> is estimated </w:t>
      </w:r>
      <w:r w:rsidR="0048286A" w:rsidRPr="00626752">
        <w:rPr>
          <w:rFonts w:ascii="Garamond" w:hAnsi="Garamond"/>
          <w:sz w:val="22"/>
          <w:szCs w:val="22"/>
        </w:rPr>
        <w:t>to be</w:t>
      </w:r>
      <w:r w:rsidRPr="00626752">
        <w:rPr>
          <w:rFonts w:ascii="Garamond" w:hAnsi="Garamond"/>
          <w:sz w:val="22"/>
          <w:szCs w:val="22"/>
        </w:rPr>
        <w:t xml:space="preserve"> 0.92 p</w:t>
      </w:r>
      <w:r w:rsidR="0048286A" w:rsidRPr="00626752">
        <w:rPr>
          <w:rFonts w:ascii="Garamond" w:hAnsi="Garamond"/>
          <w:sz w:val="22"/>
          <w:szCs w:val="22"/>
        </w:rPr>
        <w:t>p</w:t>
      </w:r>
      <w:r w:rsidRPr="00626752">
        <w:rPr>
          <w:rFonts w:ascii="Garamond" w:hAnsi="Garamond"/>
          <w:sz w:val="22"/>
          <w:szCs w:val="22"/>
        </w:rPr>
        <w:t xml:space="preserve">. The </w:t>
      </w:r>
      <w:r w:rsidR="0048286A" w:rsidRPr="00626752">
        <w:rPr>
          <w:rFonts w:ascii="Garamond" w:hAnsi="Garamond"/>
          <w:sz w:val="22"/>
          <w:szCs w:val="22"/>
        </w:rPr>
        <w:t xml:space="preserve">overall </w:t>
      </w:r>
      <w:r w:rsidRPr="00626752">
        <w:rPr>
          <w:rFonts w:ascii="Garamond" w:hAnsi="Garamond"/>
          <w:sz w:val="22"/>
          <w:szCs w:val="22"/>
        </w:rPr>
        <w:t>impact will be up to 1 p</w:t>
      </w:r>
      <w:r w:rsidR="0048286A" w:rsidRPr="00626752">
        <w:rPr>
          <w:rFonts w:ascii="Garamond" w:hAnsi="Garamond"/>
          <w:sz w:val="22"/>
          <w:szCs w:val="22"/>
        </w:rPr>
        <w:t>p</w:t>
      </w:r>
      <w:r w:rsidRPr="00626752">
        <w:rPr>
          <w:rFonts w:ascii="Garamond" w:hAnsi="Garamond"/>
          <w:sz w:val="22"/>
          <w:szCs w:val="22"/>
        </w:rPr>
        <w:t xml:space="preserve">. According to the estimates, </w:t>
      </w:r>
      <w:r w:rsidR="0048286A" w:rsidRPr="00626752">
        <w:rPr>
          <w:rFonts w:ascii="Garamond" w:hAnsi="Garamond"/>
          <w:sz w:val="22"/>
          <w:szCs w:val="22"/>
        </w:rPr>
        <w:t>a</w:t>
      </w:r>
      <w:r w:rsidRPr="00626752">
        <w:rPr>
          <w:rFonts w:ascii="Garamond" w:hAnsi="Garamond"/>
          <w:sz w:val="22"/>
          <w:szCs w:val="22"/>
        </w:rPr>
        <w:t xml:space="preserve"> 0.4 p</w:t>
      </w:r>
      <w:r w:rsidR="0048286A" w:rsidRPr="00626752">
        <w:rPr>
          <w:rFonts w:ascii="Garamond" w:hAnsi="Garamond"/>
          <w:sz w:val="22"/>
          <w:szCs w:val="22"/>
        </w:rPr>
        <w:t>p</w:t>
      </w:r>
      <w:r w:rsidRPr="00626752">
        <w:rPr>
          <w:rFonts w:ascii="Garamond" w:hAnsi="Garamond"/>
          <w:sz w:val="22"/>
          <w:szCs w:val="22"/>
        </w:rPr>
        <w:t xml:space="preserve"> impact is expected in the first quarter of 2018.</w:t>
      </w:r>
    </w:p>
    <w:p w14:paraId="2514FB8F" w14:textId="355F67C0" w:rsidR="0048286A" w:rsidRPr="00626752" w:rsidRDefault="007609A9"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The </w:t>
      </w:r>
      <w:r w:rsidR="008B632C" w:rsidRPr="00626752">
        <w:rPr>
          <w:rFonts w:ascii="Garamond" w:hAnsi="Garamond"/>
          <w:sz w:val="22"/>
          <w:szCs w:val="22"/>
        </w:rPr>
        <w:t xml:space="preserve">assumption </w:t>
      </w:r>
      <w:r w:rsidRPr="00626752">
        <w:rPr>
          <w:rFonts w:ascii="Garamond" w:hAnsi="Garamond"/>
          <w:sz w:val="22"/>
          <w:szCs w:val="22"/>
        </w:rPr>
        <w:t>was that</w:t>
      </w:r>
      <w:r w:rsidR="00360173" w:rsidRPr="00626752">
        <w:rPr>
          <w:rFonts w:ascii="Garamond" w:hAnsi="Garamond"/>
          <w:sz w:val="22"/>
          <w:szCs w:val="22"/>
        </w:rPr>
        <w:t xml:space="preserve">, in addition to the growth determined by recovering core inflation, </w:t>
      </w:r>
      <w:r w:rsidR="0048286A" w:rsidRPr="00626752">
        <w:rPr>
          <w:rFonts w:ascii="Garamond" w:hAnsi="Garamond"/>
          <w:sz w:val="22"/>
          <w:szCs w:val="22"/>
        </w:rPr>
        <w:t>short-term inflation expectations</w:t>
      </w:r>
      <w:r w:rsidRPr="00626752">
        <w:rPr>
          <w:rFonts w:ascii="Garamond" w:hAnsi="Garamond"/>
          <w:sz w:val="22"/>
          <w:szCs w:val="22"/>
        </w:rPr>
        <w:t xml:space="preserve"> </w:t>
      </w:r>
      <w:r w:rsidR="008B632C" w:rsidRPr="00626752">
        <w:rPr>
          <w:rFonts w:ascii="Garamond" w:hAnsi="Garamond"/>
          <w:sz w:val="22"/>
          <w:szCs w:val="22"/>
        </w:rPr>
        <w:t xml:space="preserve">have </w:t>
      </w:r>
      <w:r w:rsidRPr="00626752">
        <w:rPr>
          <w:rFonts w:ascii="Garamond" w:hAnsi="Garamond"/>
          <w:sz w:val="22"/>
          <w:szCs w:val="22"/>
        </w:rPr>
        <w:t>revealed some excess growth trends</w:t>
      </w:r>
      <w:r w:rsidR="0048286A" w:rsidRPr="00626752">
        <w:rPr>
          <w:rFonts w:ascii="Garamond" w:hAnsi="Garamond"/>
          <w:sz w:val="22"/>
          <w:szCs w:val="22"/>
        </w:rPr>
        <w:t xml:space="preserve">, </w:t>
      </w:r>
      <w:r w:rsidR="008B632C" w:rsidRPr="00626752">
        <w:rPr>
          <w:rFonts w:ascii="Garamond" w:hAnsi="Garamond"/>
          <w:sz w:val="22"/>
          <w:szCs w:val="22"/>
        </w:rPr>
        <w:t xml:space="preserve">driven by the media’s lively debates </w:t>
      </w:r>
      <w:r w:rsidR="0048286A" w:rsidRPr="00626752">
        <w:rPr>
          <w:rFonts w:ascii="Garamond" w:hAnsi="Garamond"/>
          <w:sz w:val="22"/>
          <w:szCs w:val="22"/>
        </w:rPr>
        <w:t xml:space="preserve">and comments </w:t>
      </w:r>
      <w:r w:rsidR="008B632C" w:rsidRPr="00626752">
        <w:rPr>
          <w:rFonts w:ascii="Garamond" w:hAnsi="Garamond"/>
          <w:sz w:val="22"/>
          <w:szCs w:val="22"/>
        </w:rPr>
        <w:t xml:space="preserve">about the inflation </w:t>
      </w:r>
      <w:r w:rsidR="0048286A" w:rsidRPr="00626752">
        <w:rPr>
          <w:rFonts w:ascii="Garamond" w:hAnsi="Garamond"/>
          <w:sz w:val="22"/>
          <w:szCs w:val="22"/>
        </w:rPr>
        <w:t xml:space="preserve">of </w:t>
      </w:r>
      <w:r w:rsidR="008B632C" w:rsidRPr="00626752">
        <w:rPr>
          <w:rFonts w:ascii="Garamond" w:hAnsi="Garamond"/>
          <w:sz w:val="22"/>
          <w:szCs w:val="22"/>
        </w:rPr>
        <w:t xml:space="preserve">a selected list of basic consumption goods. </w:t>
      </w:r>
      <w:r w:rsidR="0048286A" w:rsidRPr="00626752">
        <w:rPr>
          <w:rFonts w:ascii="Garamond" w:hAnsi="Garamond"/>
          <w:sz w:val="22"/>
          <w:szCs w:val="22"/>
        </w:rPr>
        <w:t xml:space="preserve">The growth of inflation expectations has </w:t>
      </w:r>
      <w:r w:rsidR="008B632C" w:rsidRPr="00626752">
        <w:rPr>
          <w:rFonts w:ascii="Garamond" w:hAnsi="Garamond"/>
          <w:sz w:val="22"/>
          <w:szCs w:val="22"/>
        </w:rPr>
        <w:t xml:space="preserve">started reflecting </w:t>
      </w:r>
      <w:r w:rsidR="0048286A" w:rsidRPr="00626752">
        <w:rPr>
          <w:rFonts w:ascii="Garamond" w:hAnsi="Garamond"/>
          <w:sz w:val="22"/>
          <w:szCs w:val="22"/>
        </w:rPr>
        <w:t>the indic</w:t>
      </w:r>
      <w:r w:rsidR="004C7FE0">
        <w:rPr>
          <w:rFonts w:ascii="Garamond" w:hAnsi="Garamond"/>
          <w:sz w:val="22"/>
          <w:szCs w:val="22"/>
        </w:rPr>
        <w:t>ator</w:t>
      </w:r>
      <w:r w:rsidR="0048286A" w:rsidRPr="00626752">
        <w:rPr>
          <w:rFonts w:ascii="Garamond" w:hAnsi="Garamond"/>
          <w:sz w:val="22"/>
          <w:szCs w:val="22"/>
        </w:rPr>
        <w:t xml:space="preserve">s of </w:t>
      </w:r>
      <w:r w:rsidR="004C7FE0">
        <w:rPr>
          <w:rFonts w:ascii="Garamond" w:hAnsi="Garamond"/>
          <w:sz w:val="22"/>
          <w:szCs w:val="22"/>
        </w:rPr>
        <w:t xml:space="preserve">survey of </w:t>
      </w:r>
      <w:r w:rsidR="0048286A" w:rsidRPr="00626752">
        <w:rPr>
          <w:rFonts w:ascii="Garamond" w:hAnsi="Garamond"/>
          <w:sz w:val="22"/>
          <w:szCs w:val="22"/>
        </w:rPr>
        <w:t>inflation expectations.</w:t>
      </w:r>
    </w:p>
    <w:p w14:paraId="31036BB3" w14:textId="77777777" w:rsidR="00360173" w:rsidRPr="00626752" w:rsidRDefault="00360173"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Expectations: According to the Central Bank estimates, the households</w:t>
      </w:r>
      <w:r w:rsidR="008C1060" w:rsidRPr="00626752">
        <w:rPr>
          <w:rFonts w:ascii="Garamond" w:hAnsi="Garamond"/>
          <w:sz w:val="22"/>
          <w:szCs w:val="22"/>
        </w:rPr>
        <w:t>’</w:t>
      </w:r>
      <w:r w:rsidRPr="00626752">
        <w:rPr>
          <w:rFonts w:ascii="Garamond" w:hAnsi="Garamond"/>
          <w:sz w:val="22"/>
          <w:szCs w:val="22"/>
        </w:rPr>
        <w:t xml:space="preserve"> inflation expectations in the third quarter have slightly increased, mainly </w:t>
      </w:r>
      <w:r w:rsidR="0036083E" w:rsidRPr="00626752">
        <w:rPr>
          <w:rFonts w:ascii="Garamond" w:hAnsi="Garamond"/>
          <w:sz w:val="22"/>
          <w:szCs w:val="22"/>
        </w:rPr>
        <w:t xml:space="preserve">owing to </w:t>
      </w:r>
      <w:r w:rsidRPr="00626752">
        <w:rPr>
          <w:rFonts w:ascii="Garamond" w:hAnsi="Garamond"/>
          <w:sz w:val="22"/>
          <w:szCs w:val="22"/>
        </w:rPr>
        <w:t xml:space="preserve">the </w:t>
      </w:r>
      <w:r w:rsidR="0036083E" w:rsidRPr="00626752">
        <w:rPr>
          <w:rFonts w:ascii="Garamond" w:hAnsi="Garamond"/>
          <w:sz w:val="22"/>
          <w:szCs w:val="22"/>
        </w:rPr>
        <w:t xml:space="preserve">impact of the </w:t>
      </w:r>
      <w:r w:rsidRPr="00626752">
        <w:rPr>
          <w:rFonts w:ascii="Garamond" w:hAnsi="Garamond"/>
          <w:sz w:val="22"/>
          <w:szCs w:val="22"/>
        </w:rPr>
        <w:t xml:space="preserve">rise in international prices for several commodities on domestic prices. </w:t>
      </w:r>
      <w:r w:rsidR="0036083E" w:rsidRPr="00626752">
        <w:rPr>
          <w:rFonts w:ascii="Garamond" w:hAnsi="Garamond"/>
          <w:sz w:val="22"/>
          <w:szCs w:val="22"/>
        </w:rPr>
        <w:t xml:space="preserve">Given </w:t>
      </w:r>
      <w:r w:rsidRPr="00626752">
        <w:rPr>
          <w:rFonts w:ascii="Garamond" w:hAnsi="Garamond"/>
          <w:sz w:val="22"/>
          <w:szCs w:val="22"/>
        </w:rPr>
        <w:t xml:space="preserve">the developments </w:t>
      </w:r>
      <w:r w:rsidR="0036083E" w:rsidRPr="00626752">
        <w:rPr>
          <w:rFonts w:ascii="Garamond" w:hAnsi="Garamond"/>
          <w:sz w:val="22"/>
          <w:szCs w:val="22"/>
        </w:rPr>
        <w:t xml:space="preserve">with core inflation </w:t>
      </w:r>
      <w:r w:rsidRPr="00626752">
        <w:rPr>
          <w:rFonts w:ascii="Garamond" w:hAnsi="Garamond"/>
          <w:sz w:val="22"/>
          <w:szCs w:val="22"/>
        </w:rPr>
        <w:t xml:space="preserve">and </w:t>
      </w:r>
      <w:r w:rsidR="0036083E" w:rsidRPr="00626752">
        <w:rPr>
          <w:rFonts w:ascii="Garamond" w:hAnsi="Garamond"/>
          <w:sz w:val="22"/>
          <w:szCs w:val="22"/>
        </w:rPr>
        <w:t>the households</w:t>
      </w:r>
      <w:r w:rsidR="008C1060" w:rsidRPr="00626752">
        <w:rPr>
          <w:rFonts w:ascii="Garamond" w:hAnsi="Garamond"/>
          <w:sz w:val="22"/>
          <w:szCs w:val="22"/>
        </w:rPr>
        <w:t>’</w:t>
      </w:r>
      <w:r w:rsidR="0036083E" w:rsidRPr="00626752">
        <w:rPr>
          <w:rFonts w:ascii="Garamond" w:hAnsi="Garamond"/>
          <w:sz w:val="22"/>
          <w:szCs w:val="22"/>
        </w:rPr>
        <w:t xml:space="preserve"> h</w:t>
      </w:r>
      <w:r w:rsidRPr="00626752">
        <w:rPr>
          <w:rFonts w:ascii="Garamond" w:hAnsi="Garamond"/>
          <w:sz w:val="22"/>
          <w:szCs w:val="22"/>
        </w:rPr>
        <w:t>igh inflation expectations, the C</w:t>
      </w:r>
      <w:r w:rsidR="0036083E" w:rsidRPr="00626752">
        <w:rPr>
          <w:rFonts w:ascii="Garamond" w:hAnsi="Garamond"/>
          <w:sz w:val="22"/>
          <w:szCs w:val="22"/>
        </w:rPr>
        <w:t xml:space="preserve">entral </w:t>
      </w:r>
      <w:r w:rsidRPr="00626752">
        <w:rPr>
          <w:rFonts w:ascii="Garamond" w:hAnsi="Garamond"/>
          <w:sz w:val="22"/>
          <w:szCs w:val="22"/>
        </w:rPr>
        <w:t>B</w:t>
      </w:r>
      <w:r w:rsidR="0036083E" w:rsidRPr="00626752">
        <w:rPr>
          <w:rFonts w:ascii="Garamond" w:hAnsi="Garamond"/>
          <w:sz w:val="22"/>
          <w:szCs w:val="22"/>
        </w:rPr>
        <w:t>ank</w:t>
      </w:r>
      <w:r w:rsidRPr="00626752">
        <w:rPr>
          <w:rFonts w:ascii="Garamond" w:hAnsi="Garamond"/>
          <w:sz w:val="22"/>
          <w:szCs w:val="22"/>
        </w:rPr>
        <w:t xml:space="preserve"> estimates that inflation expectations have increased </w:t>
      </w:r>
      <w:r w:rsidR="0036083E" w:rsidRPr="00626752">
        <w:rPr>
          <w:rFonts w:ascii="Garamond" w:hAnsi="Garamond"/>
          <w:sz w:val="22"/>
          <w:szCs w:val="22"/>
        </w:rPr>
        <w:t>to</w:t>
      </w:r>
      <w:r w:rsidRPr="00626752">
        <w:rPr>
          <w:rFonts w:ascii="Garamond" w:hAnsi="Garamond"/>
          <w:sz w:val="22"/>
          <w:szCs w:val="22"/>
        </w:rPr>
        <w:t xml:space="preserve"> 2.3%. In the coming year, they will continue to grow</w:t>
      </w:r>
      <w:r w:rsidR="0036083E" w:rsidRPr="00626752">
        <w:rPr>
          <w:rFonts w:ascii="Garamond" w:hAnsi="Garamond"/>
          <w:sz w:val="22"/>
          <w:szCs w:val="22"/>
        </w:rPr>
        <w:t xml:space="preserve">, anchoring around </w:t>
      </w:r>
      <w:r w:rsidRPr="00626752">
        <w:rPr>
          <w:rFonts w:ascii="Garamond" w:hAnsi="Garamond"/>
          <w:sz w:val="22"/>
          <w:szCs w:val="22"/>
        </w:rPr>
        <w:t xml:space="preserve">the target in the </w:t>
      </w:r>
      <w:r w:rsidR="0036083E" w:rsidRPr="00626752">
        <w:rPr>
          <w:rFonts w:ascii="Garamond" w:hAnsi="Garamond"/>
          <w:sz w:val="22"/>
          <w:szCs w:val="22"/>
        </w:rPr>
        <w:t>forecast</w:t>
      </w:r>
      <w:r w:rsidRPr="00626752">
        <w:rPr>
          <w:rFonts w:ascii="Garamond" w:hAnsi="Garamond"/>
          <w:sz w:val="22"/>
          <w:szCs w:val="22"/>
        </w:rPr>
        <w:t xml:space="preserve"> horizon.</w:t>
      </w:r>
    </w:p>
    <w:p w14:paraId="6B478831" w14:textId="77777777" w:rsidR="00545DBA" w:rsidRPr="00626752" w:rsidRDefault="00545DBA" w:rsidP="00EE619D">
      <w:pPr>
        <w:autoSpaceDE w:val="0"/>
        <w:autoSpaceDN w:val="0"/>
        <w:adjustRightInd w:val="0"/>
        <w:spacing w:after="120" w:line="360" w:lineRule="auto"/>
        <w:jc w:val="both"/>
        <w:rPr>
          <w:rFonts w:ascii="Garamond" w:hAnsi="Garamond"/>
          <w:sz w:val="22"/>
          <w:szCs w:val="22"/>
        </w:rPr>
      </w:pPr>
    </w:p>
    <w:tbl>
      <w:tblPr>
        <w:tblStyle w:val="TableGrid"/>
        <w:tblW w:w="0" w:type="auto"/>
        <w:tblLook w:val="04A0" w:firstRow="1" w:lastRow="0" w:firstColumn="1" w:lastColumn="0" w:noHBand="0" w:noVBand="1"/>
      </w:tblPr>
      <w:tblGrid>
        <w:gridCol w:w="9576"/>
      </w:tblGrid>
      <w:tr w:rsidR="008C1060" w:rsidRPr="00626752" w14:paraId="517220BA" w14:textId="77777777" w:rsidTr="00E97DD5">
        <w:tc>
          <w:tcPr>
            <w:tcW w:w="9576" w:type="dxa"/>
          </w:tcPr>
          <w:p w14:paraId="3240BBA9" w14:textId="77777777" w:rsidR="008C1060" w:rsidRPr="00626752" w:rsidRDefault="004E6219" w:rsidP="00E97DD5">
            <w:pPr>
              <w:autoSpaceDE w:val="0"/>
              <w:autoSpaceDN w:val="0"/>
              <w:adjustRightInd w:val="0"/>
              <w:spacing w:after="120" w:line="360" w:lineRule="auto"/>
              <w:jc w:val="both"/>
              <w:rPr>
                <w:rFonts w:ascii="Garamond" w:hAnsi="Garamond"/>
                <w:b/>
                <w:color w:val="0070C0"/>
                <w:sz w:val="22"/>
                <w:szCs w:val="22"/>
              </w:rPr>
            </w:pPr>
            <w:r>
              <w:rPr>
                <w:rFonts w:ascii="Garamond" w:hAnsi="Garamond"/>
                <w:b/>
                <w:color w:val="0070C0"/>
                <w:sz w:val="22"/>
                <w:szCs w:val="22"/>
              </w:rPr>
              <w:t>Box 2:</w:t>
            </w:r>
          </w:p>
          <w:p w14:paraId="786BFF9C" w14:textId="77777777" w:rsidR="008C1060" w:rsidRPr="00626752" w:rsidRDefault="008C1060" w:rsidP="00E97DD5">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lastRenderedPageBreak/>
              <w:t>The results of survey on the expectations by the households and the financial system</w:t>
            </w:r>
          </w:p>
          <w:p w14:paraId="6239ECDF" w14:textId="77777777" w:rsidR="008C1060" w:rsidRPr="00626752" w:rsidRDefault="00072E34" w:rsidP="00E97DD5">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Household inflation expectations have increased to an average </w:t>
            </w:r>
            <w:r w:rsidRPr="00626752">
              <w:rPr>
                <w:rFonts w:ascii="Garamond" w:hAnsi="Garamond"/>
                <w:b/>
                <w:sz w:val="22"/>
                <w:szCs w:val="22"/>
              </w:rPr>
              <w:t>0.9%</w:t>
            </w:r>
            <w:r w:rsidRPr="00626752">
              <w:rPr>
                <w:rStyle w:val="FootnoteReference"/>
                <w:rFonts w:ascii="Garamond" w:hAnsi="Garamond"/>
                <w:b/>
                <w:sz w:val="22"/>
                <w:szCs w:val="22"/>
              </w:rPr>
              <w:footnoteReference w:customMarkFollows="1" w:id="11"/>
              <w:t>12</w:t>
            </w:r>
            <w:r w:rsidRPr="00626752">
              <w:rPr>
                <w:rFonts w:ascii="Garamond" w:hAnsi="Garamond"/>
                <w:sz w:val="22"/>
                <w:szCs w:val="22"/>
              </w:rPr>
              <w:t xml:space="preserve"> of the 12-month inflation rate, against that of 0.6% reported for the previous quarter.</w:t>
            </w:r>
          </w:p>
          <w:p w14:paraId="634101C0" w14:textId="77777777" w:rsidR="00E97DD5" w:rsidRPr="00626752" w:rsidRDefault="00E97DD5" w:rsidP="00E97DD5">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The inflation expectations have been largely stable, according to the results of the Q3, 2017 survey on selected macroeconomic indicators</w:t>
            </w:r>
            <w:r w:rsidR="00130386" w:rsidRPr="00626752">
              <w:rPr>
                <w:rFonts w:ascii="Garamond" w:hAnsi="Garamond"/>
                <w:sz w:val="22"/>
                <w:szCs w:val="22"/>
              </w:rPr>
              <w:t>,</w:t>
            </w:r>
            <w:r w:rsidRPr="00626752">
              <w:rPr>
                <w:rFonts w:ascii="Garamond" w:hAnsi="Garamond"/>
                <w:sz w:val="22"/>
                <w:szCs w:val="22"/>
              </w:rPr>
              <w:t xml:space="preserve"> conducted by the Central Bank</w:t>
            </w:r>
            <w:r w:rsidR="00130386" w:rsidRPr="00626752">
              <w:rPr>
                <w:rFonts w:ascii="Garamond" w:hAnsi="Garamond"/>
                <w:sz w:val="22"/>
                <w:szCs w:val="22"/>
              </w:rPr>
              <w:t xml:space="preserve"> among households and organizations of the financial sector</w:t>
            </w:r>
            <w:r w:rsidRPr="00626752">
              <w:rPr>
                <w:rFonts w:ascii="Garamond" w:hAnsi="Garamond"/>
                <w:sz w:val="22"/>
                <w:szCs w:val="22"/>
              </w:rPr>
              <w:t xml:space="preserve">. The </w:t>
            </w:r>
            <w:r w:rsidRPr="00626752">
              <w:rPr>
                <w:rFonts w:ascii="Garamond" w:hAnsi="Garamond"/>
                <w:b/>
                <w:sz w:val="22"/>
                <w:szCs w:val="22"/>
              </w:rPr>
              <w:t>average level of inflation expectations of the financial system</w:t>
            </w:r>
            <w:r w:rsidRPr="00626752">
              <w:rPr>
                <w:rFonts w:ascii="Garamond" w:hAnsi="Garamond"/>
                <w:sz w:val="22"/>
                <w:szCs w:val="22"/>
              </w:rPr>
              <w:t xml:space="preserve"> in the upcoming </w:t>
            </w:r>
            <w:r w:rsidR="00130386" w:rsidRPr="00626752">
              <w:rPr>
                <w:rFonts w:ascii="Garamond" w:hAnsi="Garamond"/>
                <w:sz w:val="22"/>
                <w:szCs w:val="22"/>
              </w:rPr>
              <w:t>one-</w:t>
            </w:r>
            <w:r w:rsidRPr="00626752">
              <w:rPr>
                <w:rFonts w:ascii="Garamond" w:hAnsi="Garamond"/>
                <w:sz w:val="22"/>
                <w:szCs w:val="22"/>
              </w:rPr>
              <w:t xml:space="preserve">year </w:t>
            </w:r>
            <w:r w:rsidR="00130386" w:rsidRPr="00626752">
              <w:rPr>
                <w:rFonts w:ascii="Garamond" w:hAnsi="Garamond"/>
                <w:sz w:val="22"/>
                <w:szCs w:val="22"/>
              </w:rPr>
              <w:t xml:space="preserve">horizon </w:t>
            </w:r>
            <w:r w:rsidRPr="00626752">
              <w:rPr>
                <w:rFonts w:ascii="Garamond" w:hAnsi="Garamond"/>
                <w:sz w:val="22"/>
                <w:szCs w:val="22"/>
              </w:rPr>
              <w:t xml:space="preserve">is </w:t>
            </w:r>
            <w:r w:rsidRPr="00626752">
              <w:rPr>
                <w:rFonts w:ascii="Garamond" w:hAnsi="Garamond"/>
                <w:b/>
                <w:sz w:val="22"/>
                <w:szCs w:val="22"/>
              </w:rPr>
              <w:t>2.8%</w:t>
            </w:r>
            <w:r w:rsidR="00130386" w:rsidRPr="00626752">
              <w:rPr>
                <w:rFonts w:ascii="Garamond" w:hAnsi="Garamond"/>
                <w:sz w:val="22"/>
                <w:szCs w:val="22"/>
              </w:rPr>
              <w:t>, according to the current and previous survey</w:t>
            </w:r>
            <w:r w:rsidRPr="00626752">
              <w:rPr>
                <w:rFonts w:ascii="Garamond" w:hAnsi="Garamond"/>
                <w:sz w:val="22"/>
                <w:szCs w:val="22"/>
              </w:rPr>
              <w:t>.</w:t>
            </w:r>
          </w:p>
          <w:p w14:paraId="4FECFB51" w14:textId="77777777" w:rsidR="008C1060" w:rsidRPr="00626752" w:rsidRDefault="00055AF4" w:rsidP="002A3A33">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sz w:val="22"/>
                <w:szCs w:val="22"/>
              </w:rPr>
              <w:t>T</w:t>
            </w:r>
            <w:r w:rsidR="002A3A33" w:rsidRPr="00626752">
              <w:rPr>
                <w:rFonts w:ascii="Garamond" w:hAnsi="Garamond"/>
                <w:sz w:val="22"/>
                <w:szCs w:val="22"/>
              </w:rPr>
              <w:t>he results of the third quarter’</w:t>
            </w:r>
            <w:r w:rsidRPr="00626752">
              <w:rPr>
                <w:rFonts w:ascii="Garamond" w:hAnsi="Garamond"/>
                <w:sz w:val="22"/>
                <w:szCs w:val="22"/>
              </w:rPr>
              <w:t>s survey</w:t>
            </w:r>
            <w:r w:rsidR="002A3A33" w:rsidRPr="00626752">
              <w:rPr>
                <w:rFonts w:ascii="Garamond" w:hAnsi="Garamond"/>
                <w:sz w:val="22"/>
                <w:szCs w:val="22"/>
              </w:rPr>
              <w:t xml:space="preserve"> denote that</w:t>
            </w:r>
            <w:r w:rsidRPr="00626752">
              <w:rPr>
                <w:rFonts w:ascii="Garamond" w:hAnsi="Garamond"/>
                <w:sz w:val="22"/>
                <w:szCs w:val="22"/>
              </w:rPr>
              <w:t xml:space="preserve"> the financial system</w:t>
            </w:r>
            <w:r w:rsidR="002A3A33" w:rsidRPr="00626752">
              <w:rPr>
                <w:rFonts w:ascii="Garamond" w:hAnsi="Garamond"/>
                <w:sz w:val="22"/>
                <w:szCs w:val="22"/>
              </w:rPr>
              <w:t>’s</w:t>
            </w:r>
            <w:r w:rsidRPr="00626752">
              <w:rPr>
                <w:rFonts w:ascii="Garamond" w:hAnsi="Garamond"/>
                <w:sz w:val="22"/>
                <w:szCs w:val="22"/>
              </w:rPr>
              <w:t xml:space="preserve"> expectations for </w:t>
            </w:r>
            <w:r w:rsidR="002A3A33" w:rsidRPr="00626752">
              <w:rPr>
                <w:rFonts w:ascii="Garamond" w:hAnsi="Garamond"/>
                <w:sz w:val="22"/>
                <w:szCs w:val="22"/>
              </w:rPr>
              <w:t>a</w:t>
            </w:r>
            <w:r w:rsidRPr="00626752">
              <w:rPr>
                <w:rFonts w:ascii="Garamond" w:hAnsi="Garamond"/>
                <w:sz w:val="22"/>
                <w:szCs w:val="22"/>
              </w:rPr>
              <w:t xml:space="preserve"> short-term and long-term average interest rate </w:t>
            </w:r>
            <w:r w:rsidR="002A3A33" w:rsidRPr="00626752">
              <w:rPr>
                <w:rFonts w:ascii="Garamond" w:hAnsi="Garamond"/>
                <w:sz w:val="22"/>
                <w:szCs w:val="22"/>
              </w:rPr>
              <w:t>in a one-year horizon</w:t>
            </w:r>
            <w:r w:rsidRPr="00626752">
              <w:rPr>
                <w:rFonts w:ascii="Garamond" w:hAnsi="Garamond"/>
                <w:sz w:val="22"/>
                <w:szCs w:val="22"/>
              </w:rPr>
              <w:t xml:space="preserve"> continue t</w:t>
            </w:r>
            <w:r w:rsidR="002A3A33" w:rsidRPr="00626752">
              <w:rPr>
                <w:rFonts w:ascii="Garamond" w:hAnsi="Garamond"/>
                <w:sz w:val="22"/>
                <w:szCs w:val="22"/>
              </w:rPr>
              <w:t xml:space="preserve">rending downward; the </w:t>
            </w:r>
            <w:r w:rsidRPr="00626752">
              <w:rPr>
                <w:rFonts w:ascii="Garamond" w:hAnsi="Garamond"/>
                <w:sz w:val="22"/>
                <w:szCs w:val="22"/>
              </w:rPr>
              <w:t xml:space="preserve">expected quarterly levels </w:t>
            </w:r>
            <w:r w:rsidR="002A3A33" w:rsidRPr="00626752">
              <w:rPr>
                <w:rFonts w:ascii="Garamond" w:hAnsi="Garamond"/>
                <w:sz w:val="22"/>
                <w:szCs w:val="22"/>
              </w:rPr>
              <w:t xml:space="preserve">have been revised </w:t>
            </w:r>
            <w:r w:rsidRPr="00626752">
              <w:rPr>
                <w:rFonts w:ascii="Garamond" w:hAnsi="Garamond"/>
                <w:sz w:val="22"/>
                <w:szCs w:val="22"/>
              </w:rPr>
              <w:t>down</w:t>
            </w:r>
            <w:r w:rsidR="002A3A33" w:rsidRPr="00626752">
              <w:rPr>
                <w:rFonts w:ascii="Garamond" w:hAnsi="Garamond"/>
                <w:sz w:val="22"/>
                <w:szCs w:val="22"/>
              </w:rPr>
              <w:t>side</w:t>
            </w:r>
            <w:r w:rsidRPr="00626752">
              <w:rPr>
                <w:rFonts w:ascii="Garamond" w:hAnsi="Garamond"/>
                <w:sz w:val="22"/>
                <w:szCs w:val="22"/>
              </w:rPr>
              <w:t>.</w:t>
            </w:r>
          </w:p>
        </w:tc>
      </w:tr>
    </w:tbl>
    <w:p w14:paraId="225E524B" w14:textId="77777777" w:rsidR="005C6536" w:rsidRPr="00626752" w:rsidRDefault="005C6536" w:rsidP="005C6536">
      <w:pPr>
        <w:autoSpaceDE w:val="0"/>
        <w:autoSpaceDN w:val="0"/>
        <w:adjustRightInd w:val="0"/>
        <w:spacing w:after="120" w:line="360" w:lineRule="auto"/>
        <w:jc w:val="both"/>
        <w:rPr>
          <w:rFonts w:ascii="Garamond" w:hAnsi="Garamond"/>
          <w:sz w:val="22"/>
          <w:szCs w:val="22"/>
        </w:rPr>
      </w:pPr>
    </w:p>
    <w:p w14:paraId="1787CF1B" w14:textId="77777777" w:rsidR="005C6536" w:rsidRPr="00626752" w:rsidRDefault="005C6536" w:rsidP="005C6536">
      <w:pPr>
        <w:autoSpaceDE w:val="0"/>
        <w:autoSpaceDN w:val="0"/>
        <w:adjustRightInd w:val="0"/>
        <w:spacing w:after="120" w:line="360" w:lineRule="auto"/>
        <w:jc w:val="both"/>
        <w:rPr>
          <w:rFonts w:ascii="Garamond" w:hAnsi="Garamond"/>
          <w:b/>
          <w:sz w:val="22"/>
          <w:szCs w:val="22"/>
        </w:rPr>
      </w:pPr>
      <w:r w:rsidRPr="00626752">
        <w:rPr>
          <w:rFonts w:ascii="Garamond" w:hAnsi="Garamond"/>
          <w:b/>
          <w:sz w:val="22"/>
          <w:szCs w:val="22"/>
        </w:rPr>
        <w:t>Forecast assumptions and risks</w:t>
      </w:r>
    </w:p>
    <w:p w14:paraId="5020F9B4" w14:textId="77777777" w:rsidR="005C6536" w:rsidRPr="00626752" w:rsidRDefault="005C6536" w:rsidP="005C6536">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The main judgments and assumptions underlying the forecasts are presented in Table 4.</w:t>
      </w:r>
    </w:p>
    <w:p w14:paraId="1C183F64" w14:textId="77777777" w:rsidR="005C6536" w:rsidRPr="00626752" w:rsidRDefault="005C6536" w:rsidP="005C6536">
      <w:pPr>
        <w:autoSpaceDE w:val="0"/>
        <w:autoSpaceDN w:val="0"/>
        <w:adjustRightInd w:val="0"/>
        <w:spacing w:after="120" w:line="360" w:lineRule="auto"/>
        <w:jc w:val="both"/>
        <w:rPr>
          <w:rFonts w:ascii="Garamond" w:hAnsi="Garamond" w:cs="Sylfaen"/>
          <w:b/>
          <w:i/>
          <w:iCs/>
          <w:sz w:val="22"/>
          <w:szCs w:val="22"/>
        </w:rPr>
      </w:pPr>
      <w:r w:rsidRPr="00626752">
        <w:rPr>
          <w:rFonts w:ascii="Garamond" w:hAnsi="Garamond"/>
          <w:b/>
          <w:sz w:val="22"/>
          <w:szCs w:val="22"/>
        </w:rPr>
        <w:t>Table 4:</w:t>
      </w:r>
      <w:r w:rsidR="00DA0E4F" w:rsidRPr="00626752">
        <w:rPr>
          <w:rFonts w:ascii="Garamond" w:hAnsi="Garamond"/>
          <w:b/>
          <w:sz w:val="22"/>
          <w:szCs w:val="22"/>
        </w:rPr>
        <w:t xml:space="preserve"> </w:t>
      </w:r>
    </w:p>
    <w:tbl>
      <w:tblPr>
        <w:tblStyle w:val="TableGrid"/>
        <w:tblW w:w="6243" w:type="dxa"/>
        <w:tblInd w:w="43" w:type="dxa"/>
        <w:tblLayout w:type="fixed"/>
        <w:tblCellMar>
          <w:left w:w="57" w:type="dxa"/>
          <w:right w:w="57" w:type="dxa"/>
        </w:tblCellMar>
        <w:tblLook w:val="04A0" w:firstRow="1" w:lastRow="0" w:firstColumn="1" w:lastColumn="0" w:noHBand="0" w:noVBand="1"/>
      </w:tblPr>
      <w:tblGrid>
        <w:gridCol w:w="1715"/>
        <w:gridCol w:w="4528"/>
      </w:tblGrid>
      <w:tr w:rsidR="005C6536" w:rsidRPr="00626752" w14:paraId="08C9031A" w14:textId="77777777" w:rsidTr="004D4A0F">
        <w:trPr>
          <w:trHeight w:val="20"/>
        </w:trPr>
        <w:tc>
          <w:tcPr>
            <w:tcW w:w="6243" w:type="dxa"/>
            <w:gridSpan w:val="2"/>
            <w:vAlign w:val="center"/>
          </w:tcPr>
          <w:p w14:paraId="6944A05D" w14:textId="77777777" w:rsidR="005C6536" w:rsidRPr="00626752" w:rsidRDefault="005C6536" w:rsidP="005C6536">
            <w:pPr>
              <w:spacing w:before="40"/>
              <w:jc w:val="center"/>
              <w:rPr>
                <w:rFonts w:ascii="Garamond" w:eastAsia="Calibri" w:hAnsi="Garamond" w:cs="GHEA Grapalat"/>
                <w:i/>
                <w:sz w:val="18"/>
                <w:szCs w:val="18"/>
              </w:rPr>
            </w:pPr>
            <w:r w:rsidRPr="00626752">
              <w:rPr>
                <w:rFonts w:ascii="Garamond" w:hAnsi="Garamond" w:cs="Sylfaen"/>
                <w:b/>
                <w:sz w:val="18"/>
                <w:szCs w:val="18"/>
              </w:rPr>
              <w:t xml:space="preserve">Main </w:t>
            </w:r>
            <w:r w:rsidRPr="00626752">
              <w:rPr>
                <w:rFonts w:ascii="Garamond" w:hAnsi="Garamond" w:cs="Sylfaen"/>
                <w:b/>
                <w:sz w:val="18"/>
                <w:szCs w:val="18"/>
                <w:lang w:val="hy-AM"/>
              </w:rPr>
              <w:t>judgments and assumptions</w:t>
            </w:r>
          </w:p>
        </w:tc>
      </w:tr>
      <w:tr w:rsidR="005C6536" w:rsidRPr="00626752" w14:paraId="68D950AA" w14:textId="77777777" w:rsidTr="004D4A0F">
        <w:trPr>
          <w:trHeight w:val="20"/>
        </w:trPr>
        <w:tc>
          <w:tcPr>
            <w:tcW w:w="1715" w:type="dxa"/>
            <w:vAlign w:val="center"/>
          </w:tcPr>
          <w:p w14:paraId="2288C4D4" w14:textId="77777777" w:rsidR="005C6536" w:rsidRPr="00626752" w:rsidRDefault="005C6536" w:rsidP="004D4A0F">
            <w:pPr>
              <w:spacing w:before="30" w:after="30"/>
              <w:rPr>
                <w:rFonts w:ascii="Garamond" w:eastAsia="Calibri" w:hAnsi="Garamond" w:cs="GHEA Grapalat"/>
                <w:b/>
                <w:sz w:val="18"/>
                <w:szCs w:val="18"/>
                <w:lang w:val="hy-AM"/>
              </w:rPr>
            </w:pPr>
            <w:r w:rsidRPr="00626752">
              <w:rPr>
                <w:rFonts w:ascii="Garamond" w:hAnsi="Garamond" w:cs="Sylfaen"/>
                <w:b/>
                <w:sz w:val="18"/>
                <w:szCs w:val="18"/>
              </w:rPr>
              <w:t xml:space="preserve">Main </w:t>
            </w:r>
            <w:r w:rsidRPr="00626752">
              <w:rPr>
                <w:rFonts w:ascii="Garamond" w:hAnsi="Garamond" w:cs="Sylfaen"/>
                <w:b/>
                <w:sz w:val="18"/>
                <w:szCs w:val="18"/>
                <w:lang w:val="hy-AM"/>
              </w:rPr>
              <w:t>judgments and assumptions</w:t>
            </w:r>
          </w:p>
        </w:tc>
        <w:tc>
          <w:tcPr>
            <w:tcW w:w="4528" w:type="dxa"/>
            <w:vAlign w:val="center"/>
          </w:tcPr>
          <w:p w14:paraId="73F3BE52" w14:textId="77777777" w:rsidR="005C6536" w:rsidRPr="00626752" w:rsidRDefault="005C6536" w:rsidP="005C6536">
            <w:pPr>
              <w:spacing w:before="30" w:after="30"/>
              <w:rPr>
                <w:rFonts w:ascii="Garamond" w:eastAsia="Calibri" w:hAnsi="Garamond" w:cs="GHEA Grapalat"/>
                <w:b/>
                <w:sz w:val="18"/>
                <w:szCs w:val="18"/>
              </w:rPr>
            </w:pPr>
            <w:r w:rsidRPr="00626752">
              <w:rPr>
                <w:rFonts w:ascii="Garamond" w:eastAsia="Calibri" w:hAnsi="Garamond" w:cs="GHEA Grapalat"/>
                <w:b/>
                <w:sz w:val="18"/>
                <w:szCs w:val="18"/>
              </w:rPr>
              <w:t>P</w:t>
            </w:r>
            <w:r w:rsidRPr="00626752">
              <w:rPr>
                <w:rFonts w:ascii="Garamond" w:eastAsia="Calibri" w:hAnsi="Garamond" w:cs="GHEA Grapalat"/>
                <w:b/>
                <w:sz w:val="18"/>
                <w:szCs w:val="18"/>
                <w:lang w:val="hy-AM"/>
              </w:rPr>
              <w:t xml:space="preserve">ossible developments in the </w:t>
            </w:r>
            <w:r w:rsidRPr="00626752">
              <w:rPr>
                <w:rFonts w:ascii="Garamond" w:eastAsia="Calibri" w:hAnsi="Garamond" w:cs="GHEA Grapalat"/>
                <w:b/>
                <w:sz w:val="18"/>
                <w:szCs w:val="18"/>
              </w:rPr>
              <w:t xml:space="preserve">event of </w:t>
            </w:r>
            <w:r w:rsidRPr="00626752">
              <w:rPr>
                <w:rFonts w:ascii="Garamond" w:eastAsia="Calibri" w:hAnsi="Garamond" w:cs="GHEA Grapalat"/>
                <w:b/>
                <w:sz w:val="18"/>
                <w:szCs w:val="18"/>
                <w:lang w:val="hy-AM"/>
              </w:rPr>
              <w:t>implementation of this assumption</w:t>
            </w:r>
            <w:r w:rsidRPr="00626752">
              <w:rPr>
                <w:rFonts w:ascii="Garamond" w:eastAsia="Calibri" w:hAnsi="Garamond" w:cs="GHEA Grapalat"/>
                <w:b/>
                <w:sz w:val="18"/>
                <w:szCs w:val="18"/>
              </w:rPr>
              <w:t xml:space="preserve"> </w:t>
            </w:r>
          </w:p>
        </w:tc>
      </w:tr>
      <w:tr w:rsidR="005C6536" w:rsidRPr="00626752" w14:paraId="4A12B918" w14:textId="77777777" w:rsidTr="004D4A0F">
        <w:trPr>
          <w:trHeight w:val="20"/>
        </w:trPr>
        <w:tc>
          <w:tcPr>
            <w:tcW w:w="1715" w:type="dxa"/>
            <w:vAlign w:val="center"/>
          </w:tcPr>
          <w:p w14:paraId="73F873C7" w14:textId="77777777" w:rsidR="005C6536" w:rsidRPr="00626752" w:rsidRDefault="00703FA4" w:rsidP="00703FA4">
            <w:pPr>
              <w:spacing w:before="30" w:after="30"/>
              <w:rPr>
                <w:rFonts w:ascii="Garamond" w:eastAsia="Calibri" w:hAnsi="Garamond" w:cs="GHEA Grapalat"/>
                <w:sz w:val="18"/>
                <w:szCs w:val="18"/>
                <w:lang w:val="hy-AM"/>
              </w:rPr>
            </w:pPr>
            <w:r w:rsidRPr="00626752">
              <w:rPr>
                <w:rFonts w:ascii="Garamond" w:eastAsia="Calibri" w:hAnsi="Garamond" w:cs="Sylfaen"/>
                <w:sz w:val="18"/>
                <w:szCs w:val="18"/>
              </w:rPr>
              <w:t>I</w:t>
            </w:r>
            <w:r w:rsidRPr="00626752">
              <w:rPr>
                <w:rFonts w:ascii="Garamond" w:eastAsia="Calibri" w:hAnsi="Garamond" w:cs="Sylfaen"/>
                <w:sz w:val="18"/>
                <w:szCs w:val="18"/>
                <w:lang w:val="hy-AM"/>
              </w:rPr>
              <w:t>n the external sector</w:t>
            </w:r>
            <w:r w:rsidRPr="00626752">
              <w:rPr>
                <w:rFonts w:ascii="Garamond" w:eastAsia="Calibri" w:hAnsi="Garamond" w:cs="Sylfaen"/>
                <w:sz w:val="18"/>
                <w:szCs w:val="18"/>
              </w:rPr>
              <w:t xml:space="preserve"> e</w:t>
            </w:r>
            <w:r w:rsidRPr="00626752">
              <w:rPr>
                <w:rFonts w:ascii="Garamond" w:eastAsia="Calibri" w:hAnsi="Garamond" w:cs="Sylfaen"/>
                <w:sz w:val="18"/>
                <w:szCs w:val="18"/>
                <w:lang w:val="hy-AM"/>
              </w:rPr>
              <w:t xml:space="preserve">conomic growth </w:t>
            </w:r>
            <w:r w:rsidRPr="00626752">
              <w:rPr>
                <w:rFonts w:ascii="Garamond" w:eastAsia="Calibri" w:hAnsi="Garamond" w:cs="Sylfaen"/>
                <w:sz w:val="18"/>
                <w:szCs w:val="18"/>
              </w:rPr>
              <w:t>recovers at steady rates</w:t>
            </w:r>
            <w:r w:rsidRPr="00626752">
              <w:rPr>
                <w:rFonts w:ascii="Garamond" w:eastAsia="Calibri" w:hAnsi="Garamond" w:cs="Sylfaen"/>
                <w:sz w:val="18"/>
                <w:szCs w:val="18"/>
                <w:lang w:val="hy-AM"/>
              </w:rPr>
              <w:t xml:space="preserve"> </w:t>
            </w:r>
          </w:p>
        </w:tc>
        <w:tc>
          <w:tcPr>
            <w:tcW w:w="4528" w:type="dxa"/>
            <w:vAlign w:val="center"/>
          </w:tcPr>
          <w:p w14:paraId="1D7E9A52" w14:textId="77777777" w:rsidR="00703FA4" w:rsidRPr="00626752" w:rsidRDefault="00703FA4" w:rsidP="00703FA4">
            <w:pPr>
              <w:pStyle w:val="ListParagraph"/>
              <w:numPr>
                <w:ilvl w:val="0"/>
                <w:numId w:val="5"/>
              </w:numPr>
              <w:spacing w:before="30" w:after="30"/>
              <w:rPr>
                <w:rFonts w:ascii="Garamond" w:hAnsi="Garamond" w:cs="Sylfaen"/>
                <w:sz w:val="18"/>
                <w:szCs w:val="18"/>
                <w:lang w:val="hy-AM"/>
              </w:rPr>
            </w:pPr>
            <w:r w:rsidRPr="00626752">
              <w:rPr>
                <w:rFonts w:ascii="Garamond" w:hAnsi="Garamond" w:cs="Sylfaen"/>
                <w:sz w:val="18"/>
                <w:szCs w:val="18"/>
              </w:rPr>
              <w:t>D</w:t>
            </w:r>
            <w:r w:rsidRPr="00626752">
              <w:rPr>
                <w:rFonts w:ascii="Garamond" w:hAnsi="Garamond" w:cs="Sylfaen"/>
                <w:sz w:val="18"/>
                <w:szCs w:val="18"/>
                <w:lang w:val="hy-AM"/>
              </w:rPr>
              <w:t xml:space="preserve">emand </w:t>
            </w:r>
            <w:r w:rsidRPr="00626752">
              <w:rPr>
                <w:rFonts w:ascii="Garamond" w:hAnsi="Garamond" w:cs="Sylfaen"/>
                <w:sz w:val="18"/>
                <w:szCs w:val="18"/>
              </w:rPr>
              <w:t xml:space="preserve">will keep on recovering </w:t>
            </w:r>
            <w:r w:rsidRPr="00626752">
              <w:rPr>
                <w:rFonts w:ascii="Garamond" w:hAnsi="Garamond" w:cs="Sylfaen"/>
                <w:sz w:val="18"/>
                <w:szCs w:val="18"/>
                <w:lang w:val="hy-AM"/>
              </w:rPr>
              <w:t>and econom</w:t>
            </w:r>
            <w:r w:rsidRPr="00626752">
              <w:rPr>
                <w:rFonts w:ascii="Garamond" w:hAnsi="Garamond" w:cs="Sylfaen"/>
                <w:sz w:val="18"/>
                <w:szCs w:val="18"/>
              </w:rPr>
              <w:t xml:space="preserve">y invigorating </w:t>
            </w:r>
            <w:r w:rsidRPr="00626752">
              <w:rPr>
                <w:rFonts w:ascii="Garamond" w:hAnsi="Garamond" w:cs="Sylfaen"/>
                <w:sz w:val="18"/>
                <w:szCs w:val="18"/>
                <w:lang w:val="hy-AM"/>
              </w:rPr>
              <w:t xml:space="preserve">in </w:t>
            </w:r>
            <w:r w:rsidRPr="00626752">
              <w:rPr>
                <w:rFonts w:ascii="Garamond" w:hAnsi="Garamond" w:cs="Sylfaen"/>
                <w:sz w:val="18"/>
                <w:szCs w:val="18"/>
              </w:rPr>
              <w:t xml:space="preserve">trade </w:t>
            </w:r>
            <w:r w:rsidRPr="00626752">
              <w:rPr>
                <w:rFonts w:ascii="Garamond" w:hAnsi="Garamond" w:cs="Sylfaen"/>
                <w:sz w:val="18"/>
                <w:szCs w:val="18"/>
                <w:lang w:val="hy-AM"/>
              </w:rPr>
              <w:t>partner countries.</w:t>
            </w:r>
          </w:p>
          <w:p w14:paraId="1CF30D8A" w14:textId="77777777" w:rsidR="00703FA4" w:rsidRPr="00626752" w:rsidRDefault="00703FA4" w:rsidP="00703FA4">
            <w:pPr>
              <w:pStyle w:val="ListParagraph"/>
              <w:numPr>
                <w:ilvl w:val="0"/>
                <w:numId w:val="5"/>
              </w:numPr>
              <w:spacing w:before="30" w:after="30"/>
              <w:rPr>
                <w:rFonts w:ascii="Garamond" w:hAnsi="Garamond" w:cs="Sylfaen"/>
                <w:sz w:val="18"/>
                <w:szCs w:val="18"/>
                <w:lang w:val="hy-AM"/>
              </w:rPr>
            </w:pPr>
            <w:r w:rsidRPr="00626752">
              <w:rPr>
                <w:rFonts w:ascii="Garamond" w:hAnsi="Garamond" w:cs="Sylfaen"/>
                <w:sz w:val="18"/>
                <w:szCs w:val="18"/>
              </w:rPr>
              <w:t xml:space="preserve">With demand recovering, accelerated inflation on </w:t>
            </w:r>
            <w:r w:rsidRPr="00626752">
              <w:rPr>
                <w:rFonts w:ascii="Garamond" w:hAnsi="Garamond" w:cs="Sylfaen"/>
                <w:sz w:val="18"/>
                <w:szCs w:val="18"/>
                <w:lang w:val="hy-AM"/>
              </w:rPr>
              <w:t>food and raw materials</w:t>
            </w:r>
            <w:r w:rsidRPr="00626752">
              <w:rPr>
                <w:rFonts w:ascii="Garamond" w:hAnsi="Garamond" w:cs="Sylfaen"/>
                <w:sz w:val="18"/>
                <w:szCs w:val="18"/>
              </w:rPr>
              <w:t xml:space="preserve"> </w:t>
            </w:r>
            <w:r w:rsidRPr="00626752">
              <w:rPr>
                <w:rFonts w:ascii="Garamond" w:hAnsi="Garamond" w:cs="Sylfaen"/>
                <w:sz w:val="18"/>
                <w:szCs w:val="18"/>
                <w:lang w:val="hy-AM"/>
              </w:rPr>
              <w:t xml:space="preserve">will </w:t>
            </w:r>
            <w:r w:rsidRPr="00626752">
              <w:rPr>
                <w:rFonts w:ascii="Garamond" w:hAnsi="Garamond" w:cs="Sylfaen"/>
                <w:sz w:val="18"/>
                <w:szCs w:val="18"/>
              </w:rPr>
              <w:t>continue</w:t>
            </w:r>
            <w:r w:rsidRPr="00626752">
              <w:rPr>
                <w:rFonts w:ascii="Garamond" w:hAnsi="Garamond" w:cs="Sylfaen"/>
                <w:sz w:val="18"/>
                <w:szCs w:val="18"/>
                <w:lang w:val="hy-AM"/>
              </w:rPr>
              <w:t>.</w:t>
            </w:r>
          </w:p>
          <w:p w14:paraId="335B2121" w14:textId="77777777" w:rsidR="005C6536" w:rsidRPr="00626752" w:rsidRDefault="00EA6FA3" w:rsidP="00012E6D">
            <w:pPr>
              <w:pStyle w:val="ListParagraph"/>
              <w:numPr>
                <w:ilvl w:val="0"/>
                <w:numId w:val="5"/>
              </w:numPr>
              <w:spacing w:before="30" w:after="30"/>
              <w:rPr>
                <w:rFonts w:ascii="Garamond" w:hAnsi="Garamond" w:cs="GHEA Grapalat"/>
                <w:sz w:val="18"/>
                <w:szCs w:val="18"/>
                <w:lang w:val="hy-AM"/>
              </w:rPr>
            </w:pPr>
            <w:r w:rsidRPr="00626752">
              <w:rPr>
                <w:rFonts w:ascii="Garamond" w:hAnsi="Garamond" w:cs="Sylfaen"/>
                <w:sz w:val="18"/>
                <w:szCs w:val="18"/>
              </w:rPr>
              <w:t xml:space="preserve">As </w:t>
            </w:r>
            <w:r w:rsidR="00703FA4" w:rsidRPr="00626752">
              <w:rPr>
                <w:rFonts w:ascii="Garamond" w:hAnsi="Garamond" w:cs="Sylfaen"/>
                <w:sz w:val="18"/>
                <w:szCs w:val="18"/>
                <w:lang w:val="hy-AM"/>
              </w:rPr>
              <w:t>econom</w:t>
            </w:r>
            <w:r w:rsidR="00DA0E4F" w:rsidRPr="00626752">
              <w:rPr>
                <w:rFonts w:ascii="Garamond" w:hAnsi="Garamond" w:cs="Sylfaen"/>
                <w:sz w:val="18"/>
                <w:szCs w:val="18"/>
              </w:rPr>
              <w:t xml:space="preserve">y rebounds, </w:t>
            </w:r>
            <w:r w:rsidR="00703FA4" w:rsidRPr="00626752">
              <w:rPr>
                <w:rFonts w:ascii="Garamond" w:hAnsi="Garamond" w:cs="Sylfaen"/>
                <w:sz w:val="18"/>
                <w:szCs w:val="18"/>
                <w:lang w:val="hy-AM"/>
              </w:rPr>
              <w:t xml:space="preserve">gradual monetary tightening is expected in developed countries. Particularly, </w:t>
            </w:r>
            <w:r w:rsidR="00DA0E4F" w:rsidRPr="00626752">
              <w:rPr>
                <w:rFonts w:ascii="Garamond" w:hAnsi="Garamond" w:cs="Sylfaen"/>
                <w:sz w:val="18"/>
                <w:szCs w:val="18"/>
              </w:rPr>
              <w:t xml:space="preserve">the </w:t>
            </w:r>
            <w:r w:rsidR="00703FA4" w:rsidRPr="00626752">
              <w:rPr>
                <w:rFonts w:ascii="Garamond" w:hAnsi="Garamond" w:cs="Sylfaen"/>
                <w:sz w:val="18"/>
                <w:szCs w:val="18"/>
                <w:lang w:val="hy-AM"/>
              </w:rPr>
              <w:t xml:space="preserve">US </w:t>
            </w:r>
            <w:r w:rsidR="00DA0E4F" w:rsidRPr="00626752">
              <w:rPr>
                <w:rFonts w:ascii="Garamond" w:hAnsi="Garamond" w:cs="Sylfaen"/>
                <w:sz w:val="18"/>
                <w:szCs w:val="18"/>
              </w:rPr>
              <w:t>m</w:t>
            </w:r>
            <w:r w:rsidR="00703FA4" w:rsidRPr="00626752">
              <w:rPr>
                <w:rFonts w:ascii="Garamond" w:hAnsi="Garamond" w:cs="Sylfaen"/>
                <w:sz w:val="18"/>
                <w:szCs w:val="18"/>
                <w:lang w:val="hy-AM"/>
              </w:rPr>
              <w:t xml:space="preserve">onetary </w:t>
            </w:r>
            <w:r w:rsidR="00DA0E4F" w:rsidRPr="00626752">
              <w:rPr>
                <w:rFonts w:ascii="Garamond" w:hAnsi="Garamond" w:cs="Sylfaen"/>
                <w:sz w:val="18"/>
                <w:szCs w:val="18"/>
              </w:rPr>
              <w:t>p</w:t>
            </w:r>
            <w:r w:rsidR="00703FA4" w:rsidRPr="00626752">
              <w:rPr>
                <w:rFonts w:ascii="Garamond" w:hAnsi="Garamond" w:cs="Sylfaen"/>
                <w:sz w:val="18"/>
                <w:szCs w:val="18"/>
                <w:lang w:val="hy-AM"/>
              </w:rPr>
              <w:t xml:space="preserve">olicy </w:t>
            </w:r>
            <w:r w:rsidR="00DA0E4F" w:rsidRPr="00626752">
              <w:rPr>
                <w:rFonts w:ascii="Garamond" w:hAnsi="Garamond" w:cs="Sylfaen"/>
                <w:sz w:val="18"/>
                <w:szCs w:val="18"/>
              </w:rPr>
              <w:t>r</w:t>
            </w:r>
            <w:r w:rsidR="00703FA4" w:rsidRPr="00626752">
              <w:rPr>
                <w:rFonts w:ascii="Garamond" w:hAnsi="Garamond" w:cs="Sylfaen"/>
                <w:sz w:val="18"/>
                <w:szCs w:val="18"/>
                <w:lang w:val="hy-AM"/>
              </w:rPr>
              <w:t>ate</w:t>
            </w:r>
            <w:r w:rsidR="00DA0E4F" w:rsidRPr="00626752">
              <w:rPr>
                <w:rFonts w:ascii="Garamond" w:hAnsi="Garamond" w:cs="Sylfaen"/>
                <w:sz w:val="18"/>
                <w:szCs w:val="18"/>
              </w:rPr>
              <w:t>s</w:t>
            </w:r>
            <w:r w:rsidR="00012E6D">
              <w:rPr>
                <w:rFonts w:ascii="Garamond" w:hAnsi="Garamond" w:cs="Sylfaen"/>
                <w:sz w:val="18"/>
                <w:szCs w:val="18"/>
                <w:lang w:val="hy-AM"/>
              </w:rPr>
              <w:t xml:space="preserve"> </w:t>
            </w:r>
            <w:r w:rsidR="00012E6D">
              <w:rPr>
                <w:rFonts w:ascii="Garamond" w:hAnsi="Garamond" w:cs="Sylfaen"/>
                <w:sz w:val="18"/>
                <w:szCs w:val="18"/>
              </w:rPr>
              <w:t>increase</w:t>
            </w:r>
            <w:r w:rsidR="00DA0E4F" w:rsidRPr="00626752">
              <w:rPr>
                <w:rFonts w:ascii="Garamond" w:hAnsi="Garamond" w:cs="Sylfaen"/>
                <w:sz w:val="18"/>
                <w:szCs w:val="18"/>
              </w:rPr>
              <w:t xml:space="preserve"> in December</w:t>
            </w:r>
            <w:r w:rsidR="00703FA4" w:rsidRPr="00626752">
              <w:rPr>
                <w:rFonts w:ascii="Garamond" w:hAnsi="Garamond" w:cs="Sylfaen"/>
                <w:sz w:val="18"/>
                <w:szCs w:val="18"/>
                <w:lang w:val="hy-AM"/>
              </w:rPr>
              <w:t xml:space="preserve"> 2017</w:t>
            </w:r>
            <w:r w:rsidR="00DA0E4F" w:rsidRPr="00626752">
              <w:rPr>
                <w:rFonts w:ascii="Garamond" w:hAnsi="Garamond" w:cs="Sylfaen"/>
                <w:sz w:val="18"/>
                <w:szCs w:val="18"/>
              </w:rPr>
              <w:t>;</w:t>
            </w:r>
            <w:r w:rsidR="00703FA4" w:rsidRPr="00626752">
              <w:rPr>
                <w:rFonts w:ascii="Garamond" w:hAnsi="Garamond" w:cs="Sylfaen"/>
                <w:sz w:val="18"/>
                <w:szCs w:val="18"/>
                <w:lang w:val="hy-AM"/>
              </w:rPr>
              <w:t xml:space="preserve"> </w:t>
            </w:r>
            <w:r w:rsidR="00DA0E4F" w:rsidRPr="00626752">
              <w:rPr>
                <w:rFonts w:ascii="Garamond" w:hAnsi="Garamond" w:cs="Sylfaen"/>
                <w:sz w:val="18"/>
                <w:szCs w:val="18"/>
              </w:rPr>
              <w:t>the</w:t>
            </w:r>
            <w:r w:rsidR="00703FA4" w:rsidRPr="00626752">
              <w:rPr>
                <w:rFonts w:ascii="Garamond" w:hAnsi="Garamond" w:cs="Sylfaen"/>
                <w:sz w:val="18"/>
                <w:szCs w:val="18"/>
                <w:lang w:val="hy-AM"/>
              </w:rPr>
              <w:t xml:space="preserve"> ECB asset purchasing program </w:t>
            </w:r>
            <w:r w:rsidR="00DA0E4F" w:rsidRPr="00626752">
              <w:rPr>
                <w:rFonts w:ascii="Garamond" w:hAnsi="Garamond" w:cs="Sylfaen"/>
                <w:sz w:val="18"/>
                <w:szCs w:val="18"/>
              </w:rPr>
              <w:t xml:space="preserve">reduces in size since </w:t>
            </w:r>
            <w:r w:rsidR="00703FA4" w:rsidRPr="00626752">
              <w:rPr>
                <w:rFonts w:ascii="Garamond" w:hAnsi="Garamond" w:cs="Sylfaen"/>
                <w:sz w:val="18"/>
                <w:szCs w:val="18"/>
                <w:lang w:val="hy-AM"/>
              </w:rPr>
              <w:t>January</w:t>
            </w:r>
            <w:r w:rsidR="00DA0E4F" w:rsidRPr="00626752">
              <w:rPr>
                <w:rFonts w:ascii="Garamond" w:hAnsi="Garamond" w:cs="Sylfaen"/>
                <w:sz w:val="18"/>
                <w:szCs w:val="18"/>
              </w:rPr>
              <w:t xml:space="preserve"> 2018</w:t>
            </w:r>
            <w:r w:rsidR="00703FA4" w:rsidRPr="00626752">
              <w:rPr>
                <w:rFonts w:ascii="Garamond" w:hAnsi="Garamond" w:cs="Sylfaen"/>
                <w:sz w:val="18"/>
                <w:szCs w:val="18"/>
                <w:lang w:val="hy-AM"/>
              </w:rPr>
              <w:t>, according to ECB statement.</w:t>
            </w:r>
          </w:p>
        </w:tc>
      </w:tr>
      <w:tr w:rsidR="005C6536" w:rsidRPr="00626752" w14:paraId="2C70AEEB" w14:textId="77777777" w:rsidTr="004D4A0F">
        <w:trPr>
          <w:trHeight w:val="20"/>
        </w:trPr>
        <w:tc>
          <w:tcPr>
            <w:tcW w:w="1715" w:type="dxa"/>
            <w:vAlign w:val="center"/>
          </w:tcPr>
          <w:p w14:paraId="4B5399D8" w14:textId="77777777" w:rsidR="005C6536" w:rsidRPr="00626752" w:rsidRDefault="00E40394" w:rsidP="00E40394">
            <w:pPr>
              <w:spacing w:before="30" w:after="30"/>
              <w:rPr>
                <w:rFonts w:ascii="Garamond" w:eastAsia="Calibri" w:hAnsi="Garamond" w:cs="GHEA Grapalat"/>
                <w:sz w:val="18"/>
                <w:szCs w:val="18"/>
                <w:lang w:val="hy-AM"/>
              </w:rPr>
            </w:pPr>
            <w:r w:rsidRPr="00626752">
              <w:rPr>
                <w:rFonts w:ascii="Garamond" w:eastAsia="Calibri" w:hAnsi="Garamond" w:cs="Sylfaen"/>
                <w:sz w:val="18"/>
                <w:szCs w:val="18"/>
              </w:rPr>
              <w:t>In Russia e</w:t>
            </w:r>
            <w:r w:rsidRPr="00626752">
              <w:rPr>
                <w:rFonts w:ascii="Garamond" w:eastAsia="Calibri" w:hAnsi="Garamond" w:cs="Sylfaen"/>
                <w:sz w:val="18"/>
                <w:szCs w:val="18"/>
                <w:lang w:val="hy-AM"/>
              </w:rPr>
              <w:t>conomic activity</w:t>
            </w:r>
            <w:r w:rsidRPr="00626752">
              <w:rPr>
                <w:rFonts w:ascii="Garamond" w:eastAsia="Calibri" w:hAnsi="Garamond" w:cs="Sylfaen"/>
                <w:sz w:val="18"/>
                <w:szCs w:val="18"/>
              </w:rPr>
              <w:t xml:space="preserve"> grows stronger </w:t>
            </w:r>
            <w:r w:rsidRPr="00626752">
              <w:rPr>
                <w:rFonts w:ascii="Garamond" w:eastAsia="Calibri" w:hAnsi="Garamond" w:cs="Sylfaen"/>
                <w:sz w:val="18"/>
                <w:szCs w:val="18"/>
                <w:lang w:val="hy-AM"/>
              </w:rPr>
              <w:t>and inflation expectations</w:t>
            </w:r>
            <w:r w:rsidRPr="00626752">
              <w:rPr>
                <w:rFonts w:ascii="Garamond" w:eastAsia="Calibri" w:hAnsi="Garamond" w:cs="Sylfaen"/>
                <w:sz w:val="18"/>
                <w:szCs w:val="18"/>
              </w:rPr>
              <w:t xml:space="preserve"> reduce substantially</w:t>
            </w:r>
          </w:p>
        </w:tc>
        <w:tc>
          <w:tcPr>
            <w:tcW w:w="4528" w:type="dxa"/>
            <w:vAlign w:val="center"/>
          </w:tcPr>
          <w:p w14:paraId="6141E249" w14:textId="77777777" w:rsidR="00E40394" w:rsidRPr="00626752" w:rsidRDefault="00E40394" w:rsidP="00E40394">
            <w:pPr>
              <w:pStyle w:val="ListParagraph"/>
              <w:numPr>
                <w:ilvl w:val="0"/>
                <w:numId w:val="5"/>
              </w:numPr>
              <w:spacing w:before="30" w:after="30"/>
              <w:rPr>
                <w:rFonts w:ascii="Garamond" w:hAnsi="Garamond" w:cs="Sylfaen"/>
                <w:sz w:val="18"/>
                <w:szCs w:val="18"/>
                <w:lang w:val="hy-AM"/>
              </w:rPr>
            </w:pPr>
            <w:r w:rsidRPr="00626752">
              <w:rPr>
                <w:rFonts w:ascii="Garamond" w:hAnsi="Garamond" w:cs="Sylfaen"/>
                <w:sz w:val="18"/>
                <w:szCs w:val="18"/>
                <w:lang w:val="hy-AM"/>
              </w:rPr>
              <w:t xml:space="preserve">The monetary policy </w:t>
            </w:r>
            <w:r w:rsidRPr="00626752">
              <w:rPr>
                <w:rFonts w:ascii="Garamond" w:hAnsi="Garamond" w:cs="Sylfaen"/>
                <w:sz w:val="18"/>
                <w:szCs w:val="18"/>
              </w:rPr>
              <w:t xml:space="preserve">rate reduces even more </w:t>
            </w:r>
            <w:r w:rsidRPr="00626752">
              <w:rPr>
                <w:rFonts w:ascii="Garamond" w:hAnsi="Garamond" w:cs="Sylfaen"/>
                <w:sz w:val="18"/>
                <w:szCs w:val="18"/>
                <w:lang w:val="hy-AM"/>
              </w:rPr>
              <w:t>considerabl</w:t>
            </w:r>
            <w:r w:rsidRPr="00626752">
              <w:rPr>
                <w:rFonts w:ascii="Garamond" w:hAnsi="Garamond" w:cs="Sylfaen"/>
                <w:sz w:val="18"/>
                <w:szCs w:val="18"/>
              </w:rPr>
              <w:t>y</w:t>
            </w:r>
            <w:r w:rsidRPr="00626752">
              <w:rPr>
                <w:rFonts w:ascii="Garamond" w:hAnsi="Garamond" w:cs="Sylfaen"/>
                <w:sz w:val="18"/>
                <w:szCs w:val="18"/>
                <w:lang w:val="hy-AM"/>
              </w:rPr>
              <w:t>.</w:t>
            </w:r>
          </w:p>
          <w:p w14:paraId="3792FD29" w14:textId="77777777" w:rsidR="00E40394" w:rsidRPr="00626752" w:rsidRDefault="00E40394" w:rsidP="00E40394">
            <w:pPr>
              <w:pStyle w:val="ListParagraph"/>
              <w:numPr>
                <w:ilvl w:val="0"/>
                <w:numId w:val="5"/>
              </w:numPr>
              <w:spacing w:before="30" w:after="30"/>
              <w:rPr>
                <w:rFonts w:ascii="Garamond" w:hAnsi="Garamond" w:cs="Sylfaen"/>
                <w:sz w:val="18"/>
                <w:szCs w:val="18"/>
                <w:lang w:val="hy-AM"/>
              </w:rPr>
            </w:pPr>
            <w:r w:rsidRPr="00626752">
              <w:rPr>
                <w:rFonts w:ascii="Garamond" w:hAnsi="Garamond" w:cs="Sylfaen"/>
                <w:sz w:val="18"/>
                <w:szCs w:val="18"/>
              </w:rPr>
              <w:t>T</w:t>
            </w:r>
            <w:r w:rsidRPr="00626752">
              <w:rPr>
                <w:rFonts w:ascii="Garamond" w:hAnsi="Garamond" w:cs="Sylfaen"/>
                <w:sz w:val="18"/>
                <w:szCs w:val="18"/>
                <w:lang w:val="hy-AM"/>
              </w:rPr>
              <w:t xml:space="preserve">he ruble exchange rate </w:t>
            </w:r>
            <w:r w:rsidRPr="00626752">
              <w:rPr>
                <w:rFonts w:ascii="Garamond" w:hAnsi="Garamond" w:cs="Sylfaen"/>
                <w:sz w:val="18"/>
                <w:szCs w:val="18"/>
              </w:rPr>
              <w:t>incurs certain appreciation pressures, all else being equal</w:t>
            </w:r>
            <w:r w:rsidRPr="00626752">
              <w:rPr>
                <w:rFonts w:ascii="Garamond" w:hAnsi="Garamond" w:cs="Sylfaen"/>
                <w:sz w:val="18"/>
                <w:szCs w:val="18"/>
                <w:lang w:val="hy-AM"/>
              </w:rPr>
              <w:t>.</w:t>
            </w:r>
          </w:p>
          <w:p w14:paraId="1D06E44A" w14:textId="77777777" w:rsidR="005C6536" w:rsidRPr="00626752" w:rsidRDefault="00E40394" w:rsidP="00E40394">
            <w:pPr>
              <w:pStyle w:val="ListParagraph"/>
              <w:numPr>
                <w:ilvl w:val="0"/>
                <w:numId w:val="5"/>
              </w:numPr>
              <w:spacing w:before="30" w:after="30"/>
              <w:rPr>
                <w:rFonts w:ascii="Garamond" w:hAnsi="Garamond" w:cs="GHEA Grapalat"/>
                <w:sz w:val="18"/>
                <w:szCs w:val="18"/>
                <w:lang w:val="hy-AM"/>
              </w:rPr>
            </w:pPr>
            <w:r w:rsidRPr="00626752">
              <w:rPr>
                <w:rFonts w:ascii="Garamond" w:hAnsi="Garamond" w:cs="Sylfaen"/>
                <w:sz w:val="18"/>
                <w:szCs w:val="18"/>
                <w:lang w:val="hy-AM"/>
              </w:rPr>
              <w:t>Growth of money transfers from Russia.</w:t>
            </w:r>
          </w:p>
        </w:tc>
      </w:tr>
      <w:tr w:rsidR="005C6536" w:rsidRPr="00626752" w14:paraId="5ECD705B" w14:textId="77777777" w:rsidTr="004D4A0F">
        <w:trPr>
          <w:trHeight w:val="20"/>
        </w:trPr>
        <w:tc>
          <w:tcPr>
            <w:tcW w:w="1715" w:type="dxa"/>
            <w:vAlign w:val="center"/>
          </w:tcPr>
          <w:p w14:paraId="79F34482" w14:textId="77777777" w:rsidR="005C6536" w:rsidRPr="00626752" w:rsidRDefault="00BF4394" w:rsidP="004D4A0F">
            <w:pPr>
              <w:spacing w:before="30" w:after="30"/>
              <w:rPr>
                <w:rFonts w:ascii="Garamond" w:eastAsia="Calibri" w:hAnsi="Garamond" w:cs="GHEA Grapalat"/>
                <w:sz w:val="18"/>
                <w:szCs w:val="18"/>
              </w:rPr>
            </w:pPr>
            <w:r w:rsidRPr="00626752">
              <w:rPr>
                <w:rFonts w:ascii="Garamond" w:eastAsia="Calibri" w:hAnsi="Garamond" w:cs="Sylfaen"/>
                <w:sz w:val="18"/>
                <w:szCs w:val="18"/>
              </w:rPr>
              <w:t>T</w:t>
            </w:r>
            <w:r w:rsidRPr="00626752">
              <w:rPr>
                <w:rFonts w:ascii="Garamond" w:eastAsia="Calibri" w:hAnsi="Garamond" w:cs="Sylfaen"/>
                <w:sz w:val="18"/>
                <w:szCs w:val="18"/>
                <w:lang w:val="hy-AM"/>
              </w:rPr>
              <w:t>ax rates and customs duties</w:t>
            </w:r>
            <w:r w:rsidRPr="00626752">
              <w:rPr>
                <w:rFonts w:ascii="Garamond" w:eastAsia="Calibri" w:hAnsi="Garamond" w:cs="Sylfaen"/>
                <w:sz w:val="18"/>
                <w:szCs w:val="18"/>
              </w:rPr>
              <w:t xml:space="preserve"> change</w:t>
            </w:r>
          </w:p>
        </w:tc>
        <w:tc>
          <w:tcPr>
            <w:tcW w:w="4528" w:type="dxa"/>
            <w:vAlign w:val="center"/>
          </w:tcPr>
          <w:p w14:paraId="049838F3" w14:textId="77777777" w:rsidR="005C6536" w:rsidRPr="00626752" w:rsidRDefault="00BF4394" w:rsidP="00BF4394">
            <w:pPr>
              <w:pStyle w:val="ListParagraph"/>
              <w:numPr>
                <w:ilvl w:val="0"/>
                <w:numId w:val="3"/>
              </w:numPr>
              <w:spacing w:before="30" w:after="30"/>
              <w:rPr>
                <w:rFonts w:ascii="Garamond" w:hAnsi="Garamond" w:cs="GHEA Grapalat"/>
                <w:sz w:val="18"/>
                <w:szCs w:val="18"/>
                <w:lang w:val="hy-AM"/>
              </w:rPr>
            </w:pPr>
            <w:r w:rsidRPr="00626752">
              <w:rPr>
                <w:rFonts w:ascii="Garamond" w:hAnsi="Garamond" w:cs="Sylfaen"/>
                <w:sz w:val="18"/>
                <w:szCs w:val="18"/>
              </w:rPr>
              <w:t>I</w:t>
            </w:r>
            <w:r w:rsidRPr="00626752">
              <w:rPr>
                <w:rFonts w:ascii="Garamond" w:hAnsi="Garamond" w:cs="Sylfaen"/>
                <w:sz w:val="18"/>
                <w:szCs w:val="18"/>
                <w:lang w:val="hy-AM"/>
              </w:rPr>
              <w:t xml:space="preserve">nflation </w:t>
            </w:r>
            <w:r w:rsidRPr="00626752">
              <w:rPr>
                <w:rFonts w:ascii="Garamond" w:hAnsi="Garamond" w:cs="Sylfaen"/>
                <w:sz w:val="18"/>
                <w:szCs w:val="18"/>
              </w:rPr>
              <w:t>incurs a d</w:t>
            </w:r>
            <w:r w:rsidRPr="00626752">
              <w:rPr>
                <w:rFonts w:ascii="Garamond" w:hAnsi="Garamond" w:cs="Sylfaen"/>
                <w:sz w:val="18"/>
                <w:szCs w:val="18"/>
                <w:lang w:val="hy-AM"/>
              </w:rPr>
              <w:t xml:space="preserve">irect and indirect impact </w:t>
            </w:r>
            <w:r w:rsidRPr="00626752">
              <w:rPr>
                <w:rFonts w:ascii="Garamond" w:hAnsi="Garamond" w:cs="Sylfaen"/>
                <w:sz w:val="18"/>
                <w:szCs w:val="18"/>
              </w:rPr>
              <w:t xml:space="preserve">of </w:t>
            </w:r>
            <w:r w:rsidRPr="00626752">
              <w:rPr>
                <w:rFonts w:ascii="Garamond" w:hAnsi="Garamond" w:cs="Sylfaen"/>
                <w:sz w:val="18"/>
                <w:szCs w:val="18"/>
                <w:lang w:val="hy-AM"/>
              </w:rPr>
              <w:t xml:space="preserve">up to 1 percentage point, with 0.4 pp falling </w:t>
            </w:r>
            <w:r w:rsidRPr="00626752">
              <w:rPr>
                <w:rFonts w:ascii="Garamond" w:hAnsi="Garamond" w:cs="Sylfaen"/>
                <w:sz w:val="18"/>
                <w:szCs w:val="18"/>
              </w:rPr>
              <w:t xml:space="preserve">upon </w:t>
            </w:r>
            <w:r w:rsidRPr="00626752">
              <w:rPr>
                <w:rFonts w:ascii="Garamond" w:hAnsi="Garamond" w:cs="Sylfaen"/>
                <w:sz w:val="18"/>
                <w:szCs w:val="18"/>
                <w:lang w:val="hy-AM"/>
              </w:rPr>
              <w:t xml:space="preserve">the first quarter </w:t>
            </w:r>
            <w:r w:rsidRPr="00626752">
              <w:rPr>
                <w:rFonts w:ascii="Garamond" w:hAnsi="Garamond" w:cs="Sylfaen"/>
                <w:sz w:val="18"/>
                <w:szCs w:val="18"/>
              </w:rPr>
              <w:t xml:space="preserve">of </w:t>
            </w:r>
            <w:r w:rsidRPr="00626752">
              <w:rPr>
                <w:rFonts w:ascii="Garamond" w:hAnsi="Garamond" w:cs="Sylfaen"/>
                <w:sz w:val="18"/>
                <w:szCs w:val="18"/>
                <w:lang w:val="hy-AM"/>
              </w:rPr>
              <w:t xml:space="preserve">2018. </w:t>
            </w:r>
          </w:p>
        </w:tc>
      </w:tr>
      <w:tr w:rsidR="005C6536" w:rsidRPr="00626752" w14:paraId="60CBC1C5" w14:textId="77777777" w:rsidTr="004D4A0F">
        <w:trPr>
          <w:trHeight w:val="20"/>
        </w:trPr>
        <w:tc>
          <w:tcPr>
            <w:tcW w:w="1715" w:type="dxa"/>
            <w:vAlign w:val="center"/>
          </w:tcPr>
          <w:p w14:paraId="0A5C481A" w14:textId="77777777" w:rsidR="005C6536" w:rsidRPr="00626752" w:rsidRDefault="00543464" w:rsidP="004D4A0F">
            <w:pPr>
              <w:spacing w:before="30" w:after="30"/>
              <w:rPr>
                <w:rFonts w:ascii="Garamond" w:eastAsia="Calibri" w:hAnsi="Garamond" w:cs="GHEA Grapalat"/>
                <w:sz w:val="18"/>
                <w:szCs w:val="18"/>
              </w:rPr>
            </w:pPr>
            <w:r w:rsidRPr="00626752">
              <w:rPr>
                <w:rFonts w:ascii="Garamond" w:eastAsia="Calibri" w:hAnsi="Garamond" w:cs="Sylfaen"/>
                <w:sz w:val="18"/>
                <w:szCs w:val="18"/>
              </w:rPr>
              <w:t>I</w:t>
            </w:r>
            <w:r w:rsidRPr="00626752">
              <w:rPr>
                <w:rFonts w:ascii="Garamond" w:eastAsia="Calibri" w:hAnsi="Garamond" w:cs="Sylfaen"/>
                <w:sz w:val="18"/>
                <w:szCs w:val="18"/>
                <w:lang w:val="hy-AM"/>
              </w:rPr>
              <w:t>nflation expectations</w:t>
            </w:r>
            <w:r w:rsidRPr="00626752">
              <w:rPr>
                <w:rFonts w:ascii="Garamond" w:eastAsia="Calibri" w:hAnsi="Garamond" w:cs="Sylfaen"/>
                <w:sz w:val="18"/>
                <w:szCs w:val="18"/>
              </w:rPr>
              <w:t xml:space="preserve"> grow</w:t>
            </w:r>
          </w:p>
        </w:tc>
        <w:tc>
          <w:tcPr>
            <w:tcW w:w="4528" w:type="dxa"/>
            <w:vAlign w:val="center"/>
          </w:tcPr>
          <w:p w14:paraId="1146B649" w14:textId="77777777" w:rsidR="005C6536" w:rsidRPr="00626752" w:rsidRDefault="00543464" w:rsidP="001A33F8">
            <w:pPr>
              <w:pStyle w:val="ListParagraph"/>
              <w:numPr>
                <w:ilvl w:val="0"/>
                <w:numId w:val="2"/>
              </w:numPr>
              <w:spacing w:before="30" w:after="30"/>
              <w:rPr>
                <w:rFonts w:ascii="Garamond" w:hAnsi="Garamond" w:cs="GHEA Grapalat"/>
                <w:sz w:val="18"/>
                <w:szCs w:val="18"/>
                <w:lang w:val="hy-AM"/>
              </w:rPr>
            </w:pPr>
            <w:r w:rsidRPr="00626752">
              <w:rPr>
                <w:rFonts w:ascii="Garamond" w:hAnsi="Garamond" w:cs="Sylfaen"/>
                <w:sz w:val="18"/>
                <w:szCs w:val="18"/>
              </w:rPr>
              <w:t>S</w:t>
            </w:r>
            <w:r w:rsidRPr="00626752">
              <w:rPr>
                <w:rFonts w:ascii="Garamond" w:hAnsi="Garamond" w:cs="Sylfaen"/>
                <w:sz w:val="18"/>
                <w:szCs w:val="18"/>
                <w:lang w:val="hy-AM"/>
              </w:rPr>
              <w:t xml:space="preserve">hort-term </w:t>
            </w:r>
            <w:r w:rsidRPr="00626752">
              <w:rPr>
                <w:rFonts w:ascii="Garamond" w:hAnsi="Garamond" w:cs="Sylfaen"/>
                <w:sz w:val="18"/>
                <w:szCs w:val="18"/>
              </w:rPr>
              <w:t xml:space="preserve">inflation </w:t>
            </w:r>
            <w:r w:rsidRPr="00626752">
              <w:rPr>
                <w:rFonts w:ascii="Garamond" w:hAnsi="Garamond" w:cs="Sylfaen"/>
                <w:sz w:val="18"/>
                <w:szCs w:val="18"/>
                <w:lang w:val="hy-AM"/>
              </w:rPr>
              <w:t>expectations</w:t>
            </w:r>
            <w:r w:rsidRPr="00626752">
              <w:rPr>
                <w:rFonts w:ascii="Garamond" w:hAnsi="Garamond" w:cs="Sylfaen"/>
                <w:sz w:val="18"/>
                <w:szCs w:val="18"/>
              </w:rPr>
              <w:t xml:space="preserve"> will persist in line with current growth trends, as core inflation recovers and the media actively invites </w:t>
            </w:r>
            <w:r w:rsidR="001A33F8" w:rsidRPr="00626752">
              <w:rPr>
                <w:rFonts w:ascii="Garamond" w:hAnsi="Garamond" w:cs="Sylfaen"/>
                <w:sz w:val="18"/>
                <w:szCs w:val="18"/>
              </w:rPr>
              <w:t xml:space="preserve">a </w:t>
            </w:r>
            <w:r w:rsidRPr="00626752">
              <w:rPr>
                <w:rFonts w:ascii="Garamond" w:hAnsi="Garamond" w:cs="Sylfaen"/>
                <w:sz w:val="18"/>
                <w:szCs w:val="18"/>
              </w:rPr>
              <w:t xml:space="preserve">debate over </w:t>
            </w:r>
            <w:r w:rsidRPr="00626752">
              <w:rPr>
                <w:rFonts w:ascii="Garamond" w:hAnsi="Garamond" w:cs="Sylfaen"/>
                <w:sz w:val="18"/>
                <w:szCs w:val="18"/>
                <w:lang w:val="hy-AM"/>
              </w:rPr>
              <w:t xml:space="preserve">inflation </w:t>
            </w:r>
            <w:r w:rsidRPr="00626752">
              <w:rPr>
                <w:rFonts w:ascii="Garamond" w:hAnsi="Garamond" w:cs="Sylfaen"/>
                <w:sz w:val="18"/>
                <w:szCs w:val="18"/>
              </w:rPr>
              <w:t xml:space="preserve">on selected </w:t>
            </w:r>
            <w:r w:rsidR="001A33F8" w:rsidRPr="00626752">
              <w:rPr>
                <w:rFonts w:ascii="Garamond" w:hAnsi="Garamond" w:cs="Sylfaen"/>
                <w:sz w:val="18"/>
                <w:szCs w:val="18"/>
              </w:rPr>
              <w:t>goods/</w:t>
            </w:r>
            <w:r w:rsidRPr="00626752">
              <w:rPr>
                <w:rFonts w:ascii="Garamond" w:hAnsi="Garamond" w:cs="Sylfaen"/>
                <w:sz w:val="18"/>
                <w:szCs w:val="18"/>
              </w:rPr>
              <w:t>products</w:t>
            </w:r>
            <w:r w:rsidRPr="00626752">
              <w:rPr>
                <w:rFonts w:ascii="Garamond" w:hAnsi="Garamond" w:cs="Sylfaen"/>
                <w:sz w:val="18"/>
                <w:szCs w:val="18"/>
                <w:lang w:val="hy-AM"/>
              </w:rPr>
              <w:t>.</w:t>
            </w:r>
          </w:p>
        </w:tc>
      </w:tr>
      <w:tr w:rsidR="005C6536" w:rsidRPr="00626752" w14:paraId="38FF4CF9" w14:textId="77777777" w:rsidTr="004D4A0F">
        <w:trPr>
          <w:trHeight w:val="20"/>
        </w:trPr>
        <w:tc>
          <w:tcPr>
            <w:tcW w:w="1715" w:type="dxa"/>
            <w:vAlign w:val="center"/>
          </w:tcPr>
          <w:p w14:paraId="03D585B3" w14:textId="77777777" w:rsidR="005C6536" w:rsidRPr="00626752" w:rsidRDefault="007241F1" w:rsidP="007241F1">
            <w:pPr>
              <w:spacing w:before="40" w:after="40"/>
              <w:rPr>
                <w:rFonts w:ascii="Garamond" w:eastAsia="Calibri" w:hAnsi="Garamond" w:cs="GHEA Grapalat"/>
                <w:sz w:val="18"/>
                <w:szCs w:val="18"/>
                <w:lang w:val="hy-AM"/>
              </w:rPr>
            </w:pPr>
            <w:r w:rsidRPr="00626752">
              <w:rPr>
                <w:rFonts w:ascii="Garamond" w:eastAsia="Calibri" w:hAnsi="Garamond" w:cs="Sylfaen"/>
                <w:sz w:val="18"/>
                <w:szCs w:val="18"/>
                <w:lang w:val="hy-AM"/>
              </w:rPr>
              <w:t xml:space="preserve">Fiscal </w:t>
            </w:r>
            <w:r w:rsidRPr="00626752">
              <w:rPr>
                <w:rFonts w:ascii="Garamond" w:eastAsia="Calibri" w:hAnsi="Garamond" w:cs="Sylfaen"/>
                <w:sz w:val="18"/>
                <w:szCs w:val="18"/>
              </w:rPr>
              <w:t>p</w:t>
            </w:r>
            <w:r w:rsidRPr="00626752">
              <w:rPr>
                <w:rFonts w:ascii="Garamond" w:eastAsia="Calibri" w:hAnsi="Garamond" w:cs="Sylfaen"/>
                <w:sz w:val="18"/>
                <w:szCs w:val="18"/>
                <w:lang w:val="hy-AM"/>
              </w:rPr>
              <w:t>olicy</w:t>
            </w:r>
            <w:r w:rsidRPr="00626752">
              <w:rPr>
                <w:rFonts w:ascii="Garamond" w:eastAsia="Calibri" w:hAnsi="Garamond" w:cs="Sylfaen"/>
                <w:sz w:val="18"/>
                <w:szCs w:val="18"/>
              </w:rPr>
              <w:t xml:space="preserve"> conditions</w:t>
            </w:r>
          </w:p>
        </w:tc>
        <w:tc>
          <w:tcPr>
            <w:tcW w:w="4528" w:type="dxa"/>
            <w:vAlign w:val="center"/>
          </w:tcPr>
          <w:p w14:paraId="3176E36B" w14:textId="77777777" w:rsidR="005C6536" w:rsidRPr="00626752" w:rsidRDefault="009F698D" w:rsidP="009F698D">
            <w:pPr>
              <w:pStyle w:val="ListParagraph"/>
              <w:numPr>
                <w:ilvl w:val="0"/>
                <w:numId w:val="4"/>
              </w:numPr>
              <w:spacing w:before="40" w:after="40"/>
              <w:rPr>
                <w:rFonts w:ascii="Garamond" w:hAnsi="Garamond" w:cs="GHEA Grapalat"/>
                <w:sz w:val="18"/>
                <w:szCs w:val="18"/>
                <w:lang w:val="hy-AM"/>
              </w:rPr>
            </w:pPr>
            <w:r w:rsidRPr="00626752">
              <w:rPr>
                <w:rFonts w:ascii="Garamond" w:hAnsi="Garamond" w:cs="Sylfaen"/>
                <w:color w:val="000000" w:themeColor="text1"/>
                <w:sz w:val="18"/>
                <w:szCs w:val="18"/>
              </w:rPr>
              <w:t xml:space="preserve">Aggregate demand incurs </w:t>
            </w:r>
            <w:r w:rsidRPr="00626752">
              <w:rPr>
                <w:rFonts w:ascii="Garamond" w:hAnsi="Garamond" w:cs="Sylfaen"/>
                <w:color w:val="000000" w:themeColor="text1"/>
                <w:sz w:val="18"/>
                <w:szCs w:val="18"/>
                <w:lang w:val="hy-AM"/>
              </w:rPr>
              <w:t xml:space="preserve">-2.9 </w:t>
            </w:r>
            <w:r w:rsidRPr="00626752">
              <w:rPr>
                <w:rFonts w:ascii="Garamond" w:hAnsi="Garamond" w:cs="Sylfaen"/>
                <w:color w:val="000000" w:themeColor="text1"/>
                <w:sz w:val="18"/>
                <w:szCs w:val="18"/>
              </w:rPr>
              <w:t xml:space="preserve">contractionary impact in </w:t>
            </w:r>
            <w:r w:rsidRPr="00626752">
              <w:rPr>
                <w:rFonts w:ascii="Garamond" w:hAnsi="Garamond" w:cs="Sylfaen"/>
                <w:color w:val="000000" w:themeColor="text1"/>
                <w:sz w:val="18"/>
                <w:szCs w:val="18"/>
                <w:lang w:val="hy-AM"/>
              </w:rPr>
              <w:t>2017</w:t>
            </w:r>
            <w:r w:rsidRPr="00626752">
              <w:rPr>
                <w:rFonts w:ascii="Garamond" w:hAnsi="Garamond" w:cs="Sylfaen"/>
                <w:color w:val="000000" w:themeColor="text1"/>
                <w:sz w:val="18"/>
                <w:szCs w:val="18"/>
              </w:rPr>
              <w:t xml:space="preserve">, </w:t>
            </w:r>
            <w:r w:rsidRPr="00626752">
              <w:rPr>
                <w:rFonts w:ascii="Garamond" w:hAnsi="Garamond" w:cs="Sylfaen"/>
                <w:color w:val="000000" w:themeColor="text1"/>
                <w:sz w:val="18"/>
                <w:szCs w:val="18"/>
                <w:lang w:val="hy-AM"/>
              </w:rPr>
              <w:t xml:space="preserve">0.8 </w:t>
            </w:r>
            <w:proofErr w:type="spellStart"/>
            <w:r w:rsidRPr="00626752">
              <w:rPr>
                <w:rFonts w:ascii="Garamond" w:hAnsi="Garamond" w:cs="Sylfaen"/>
                <w:color w:val="000000" w:themeColor="text1"/>
                <w:sz w:val="18"/>
                <w:szCs w:val="18"/>
                <w:lang w:val="hy-AM"/>
              </w:rPr>
              <w:t>expans</w:t>
            </w:r>
            <w:r w:rsidRPr="00626752">
              <w:rPr>
                <w:rFonts w:ascii="Garamond" w:hAnsi="Garamond" w:cs="Sylfaen"/>
                <w:color w:val="000000" w:themeColor="text1"/>
                <w:sz w:val="18"/>
                <w:szCs w:val="18"/>
              </w:rPr>
              <w:t>ionary</w:t>
            </w:r>
            <w:proofErr w:type="spellEnd"/>
            <w:r w:rsidRPr="00626752">
              <w:rPr>
                <w:rFonts w:ascii="Garamond" w:hAnsi="Garamond" w:cs="Sylfaen"/>
                <w:color w:val="000000" w:themeColor="text1"/>
                <w:sz w:val="18"/>
                <w:szCs w:val="18"/>
              </w:rPr>
              <w:t xml:space="preserve"> impact in 2018 and neutral impact </w:t>
            </w:r>
            <w:r w:rsidRPr="00626752">
              <w:rPr>
                <w:rFonts w:ascii="Garamond" w:hAnsi="Garamond" w:cs="Sylfaen"/>
                <w:color w:val="000000" w:themeColor="text1"/>
                <w:sz w:val="18"/>
                <w:szCs w:val="18"/>
              </w:rPr>
              <w:lastRenderedPageBreak/>
              <w:t xml:space="preserve">in </w:t>
            </w:r>
            <w:r w:rsidRPr="00626752">
              <w:rPr>
                <w:rFonts w:ascii="Garamond" w:hAnsi="Garamond" w:cs="Sylfaen"/>
                <w:color w:val="000000" w:themeColor="text1"/>
                <w:sz w:val="18"/>
                <w:szCs w:val="18"/>
                <w:lang w:val="hy-AM"/>
              </w:rPr>
              <w:t>2019-2020.</w:t>
            </w:r>
          </w:p>
        </w:tc>
      </w:tr>
      <w:tr w:rsidR="005C6536" w:rsidRPr="00626752" w14:paraId="20D5C18F" w14:textId="77777777" w:rsidTr="004D4A0F">
        <w:trPr>
          <w:trHeight w:val="20"/>
        </w:trPr>
        <w:tc>
          <w:tcPr>
            <w:tcW w:w="1715" w:type="dxa"/>
            <w:vAlign w:val="center"/>
          </w:tcPr>
          <w:p w14:paraId="3538C2C7" w14:textId="77777777" w:rsidR="005C6536" w:rsidRPr="00626752" w:rsidRDefault="009F698D" w:rsidP="009F698D">
            <w:pPr>
              <w:spacing w:before="40" w:after="40"/>
              <w:rPr>
                <w:rFonts w:ascii="Garamond" w:eastAsia="Calibri" w:hAnsi="Garamond" w:cs="GHEA Grapalat"/>
                <w:sz w:val="18"/>
                <w:szCs w:val="18"/>
                <w:lang w:val="hy-AM"/>
              </w:rPr>
            </w:pPr>
            <w:r w:rsidRPr="00626752">
              <w:rPr>
                <w:rFonts w:ascii="Garamond" w:eastAsia="Calibri" w:hAnsi="Garamond" w:cs="Sylfaen"/>
                <w:sz w:val="18"/>
                <w:szCs w:val="18"/>
              </w:rPr>
              <w:lastRenderedPageBreak/>
              <w:t>Action to tackle t</w:t>
            </w:r>
            <w:r w:rsidRPr="00626752">
              <w:rPr>
                <w:rFonts w:ascii="Garamond" w:eastAsia="Calibri" w:hAnsi="Garamond" w:cs="Sylfaen"/>
                <w:sz w:val="18"/>
                <w:szCs w:val="18"/>
                <w:lang w:val="hy-AM"/>
              </w:rPr>
              <w:t>he growth of potential GDP</w:t>
            </w:r>
            <w:r w:rsidRPr="00626752">
              <w:rPr>
                <w:rStyle w:val="FootnoteReference"/>
                <w:rFonts w:ascii="Garamond" w:eastAsia="Calibri" w:hAnsi="Garamond" w:cs="Sylfaen"/>
                <w:sz w:val="18"/>
                <w:szCs w:val="18"/>
                <w:lang w:val="hy-AM"/>
              </w:rPr>
              <w:footnoteReference w:customMarkFollows="1" w:id="12"/>
              <w:t>13</w:t>
            </w:r>
          </w:p>
        </w:tc>
        <w:tc>
          <w:tcPr>
            <w:tcW w:w="4528" w:type="dxa"/>
            <w:vAlign w:val="center"/>
          </w:tcPr>
          <w:p w14:paraId="5D95095C" w14:textId="77777777" w:rsidR="00F7005B" w:rsidRPr="00626752" w:rsidRDefault="00F7005B" w:rsidP="00F7005B">
            <w:pPr>
              <w:pStyle w:val="ListParagraph"/>
              <w:numPr>
                <w:ilvl w:val="0"/>
                <w:numId w:val="4"/>
              </w:numPr>
              <w:spacing w:before="40" w:after="40"/>
              <w:rPr>
                <w:rFonts w:ascii="Garamond" w:hAnsi="Garamond" w:cs="Sylfaen"/>
                <w:sz w:val="18"/>
                <w:szCs w:val="18"/>
                <w:lang w:val="hy-AM"/>
              </w:rPr>
            </w:pPr>
            <w:r w:rsidRPr="00626752">
              <w:rPr>
                <w:rFonts w:ascii="Garamond" w:hAnsi="Garamond" w:cs="Sylfaen"/>
                <w:sz w:val="18"/>
                <w:szCs w:val="18"/>
              </w:rPr>
              <w:t>T</w:t>
            </w:r>
            <w:r w:rsidRPr="00626752">
              <w:rPr>
                <w:rFonts w:ascii="Garamond" w:hAnsi="Garamond" w:cs="Sylfaen"/>
                <w:sz w:val="18"/>
                <w:szCs w:val="18"/>
                <w:lang w:val="hy-AM"/>
              </w:rPr>
              <w:t xml:space="preserve">he </w:t>
            </w:r>
            <w:r w:rsidRPr="00626752">
              <w:rPr>
                <w:rFonts w:ascii="Garamond" w:hAnsi="Garamond" w:cs="Sylfaen"/>
                <w:sz w:val="18"/>
                <w:szCs w:val="18"/>
              </w:rPr>
              <w:t>Armenia G</w:t>
            </w:r>
            <w:r w:rsidRPr="00626752">
              <w:rPr>
                <w:rFonts w:ascii="Garamond" w:hAnsi="Garamond" w:cs="Sylfaen"/>
                <w:sz w:val="18"/>
                <w:szCs w:val="18"/>
                <w:lang w:val="hy-AM"/>
              </w:rPr>
              <w:t xml:space="preserve">overnment </w:t>
            </w:r>
            <w:r w:rsidRPr="00626752">
              <w:rPr>
                <w:rFonts w:ascii="Garamond" w:hAnsi="Garamond" w:cs="Sylfaen"/>
                <w:sz w:val="18"/>
                <w:szCs w:val="18"/>
              </w:rPr>
              <w:t xml:space="preserve">will further push ahead with </w:t>
            </w:r>
            <w:r w:rsidRPr="00626752">
              <w:rPr>
                <w:rFonts w:ascii="Garamond" w:hAnsi="Garamond" w:cs="Sylfaen"/>
                <w:sz w:val="18"/>
                <w:szCs w:val="18"/>
                <w:lang w:val="hy-AM"/>
              </w:rPr>
              <w:t xml:space="preserve">structural reforms </w:t>
            </w:r>
            <w:r w:rsidR="00AA14B9" w:rsidRPr="00626752">
              <w:rPr>
                <w:rFonts w:ascii="Garamond" w:hAnsi="Garamond" w:cs="Sylfaen"/>
                <w:sz w:val="18"/>
                <w:szCs w:val="18"/>
              </w:rPr>
              <w:t xml:space="preserve">as a result of which </w:t>
            </w:r>
            <w:r w:rsidRPr="00626752">
              <w:rPr>
                <w:rFonts w:ascii="Garamond" w:hAnsi="Garamond" w:cs="Sylfaen"/>
                <w:sz w:val="18"/>
                <w:szCs w:val="18"/>
                <w:lang w:val="hy-AM"/>
              </w:rPr>
              <w:t>investments in the private sector will gradually expand</w:t>
            </w:r>
            <w:r w:rsidR="00AA14B9" w:rsidRPr="00626752">
              <w:rPr>
                <w:rFonts w:ascii="Garamond" w:hAnsi="Garamond" w:cs="Sylfaen"/>
                <w:sz w:val="18"/>
                <w:szCs w:val="18"/>
              </w:rPr>
              <w:t>, providing u</w:t>
            </w:r>
            <w:r w:rsidRPr="00626752">
              <w:rPr>
                <w:rFonts w:ascii="Garamond" w:hAnsi="Garamond" w:cs="Sylfaen"/>
                <w:sz w:val="18"/>
                <w:szCs w:val="18"/>
                <w:lang w:val="hy-AM"/>
              </w:rPr>
              <w:t xml:space="preserve">p to 4.5-5% </w:t>
            </w:r>
            <w:r w:rsidR="00AA14B9" w:rsidRPr="00626752">
              <w:rPr>
                <w:rFonts w:ascii="Garamond" w:hAnsi="Garamond" w:cs="Sylfaen"/>
                <w:sz w:val="18"/>
                <w:szCs w:val="18"/>
              </w:rPr>
              <w:t xml:space="preserve">growth </w:t>
            </w:r>
            <w:r w:rsidRPr="00626752">
              <w:rPr>
                <w:rFonts w:ascii="Garamond" w:hAnsi="Garamond" w:cs="Sylfaen"/>
                <w:sz w:val="18"/>
                <w:szCs w:val="18"/>
                <w:lang w:val="hy-AM"/>
              </w:rPr>
              <w:t>annually.</w:t>
            </w:r>
          </w:p>
          <w:p w14:paraId="3994E9AF" w14:textId="77777777" w:rsidR="005C6536" w:rsidRPr="00626752" w:rsidRDefault="00AA14B9" w:rsidP="00AA14B9">
            <w:pPr>
              <w:pStyle w:val="ListParagraph"/>
              <w:numPr>
                <w:ilvl w:val="0"/>
                <w:numId w:val="4"/>
              </w:numPr>
              <w:spacing w:before="40" w:after="40"/>
              <w:rPr>
                <w:rFonts w:ascii="Garamond" w:hAnsi="Garamond" w:cs="GHEA Grapalat"/>
                <w:color w:val="000000" w:themeColor="text1"/>
                <w:sz w:val="18"/>
                <w:szCs w:val="18"/>
                <w:lang w:val="hy-AM"/>
              </w:rPr>
            </w:pPr>
            <w:r w:rsidRPr="00626752">
              <w:rPr>
                <w:rFonts w:ascii="Garamond" w:hAnsi="Garamond" w:cs="Sylfaen"/>
                <w:sz w:val="18"/>
                <w:szCs w:val="18"/>
              </w:rPr>
              <w:t xml:space="preserve">More investment </w:t>
            </w:r>
            <w:r w:rsidR="00F7005B" w:rsidRPr="00626752">
              <w:rPr>
                <w:rFonts w:ascii="Garamond" w:hAnsi="Garamond" w:cs="Sylfaen"/>
                <w:sz w:val="18"/>
                <w:szCs w:val="18"/>
                <w:lang w:val="hy-AM"/>
              </w:rPr>
              <w:t xml:space="preserve">in </w:t>
            </w:r>
            <w:r w:rsidRPr="00626752">
              <w:rPr>
                <w:rFonts w:ascii="Garamond" w:hAnsi="Garamond" w:cs="Sylfaen"/>
                <w:sz w:val="18"/>
                <w:szCs w:val="18"/>
              </w:rPr>
              <w:t xml:space="preserve">the </w:t>
            </w:r>
            <w:r w:rsidR="00F7005B" w:rsidRPr="00626752">
              <w:rPr>
                <w:rFonts w:ascii="Garamond" w:hAnsi="Garamond" w:cs="Sylfaen"/>
                <w:sz w:val="18"/>
                <w:szCs w:val="18"/>
                <w:lang w:val="hy-AM"/>
              </w:rPr>
              <w:t>private sector</w:t>
            </w:r>
            <w:r w:rsidRPr="00626752">
              <w:rPr>
                <w:rFonts w:ascii="Garamond" w:hAnsi="Garamond" w:cs="Sylfaen"/>
                <w:sz w:val="18"/>
                <w:szCs w:val="18"/>
              </w:rPr>
              <w:t xml:space="preserve"> </w:t>
            </w:r>
            <w:r w:rsidR="00F7005B" w:rsidRPr="00626752">
              <w:rPr>
                <w:rFonts w:ascii="Garamond" w:hAnsi="Garamond" w:cs="Sylfaen"/>
                <w:sz w:val="18"/>
                <w:szCs w:val="18"/>
                <w:lang w:val="hy-AM"/>
              </w:rPr>
              <w:t xml:space="preserve">and potential GDP growth will largely be reflected in the </w:t>
            </w:r>
            <w:r w:rsidRPr="00626752">
              <w:rPr>
                <w:rFonts w:ascii="Garamond" w:hAnsi="Garamond" w:cs="Sylfaen"/>
                <w:sz w:val="18"/>
                <w:szCs w:val="18"/>
              </w:rPr>
              <w:t xml:space="preserve">tradable </w:t>
            </w:r>
            <w:r w:rsidR="00F7005B" w:rsidRPr="00626752">
              <w:rPr>
                <w:rFonts w:ascii="Garamond" w:hAnsi="Garamond" w:cs="Sylfaen"/>
                <w:sz w:val="18"/>
                <w:szCs w:val="18"/>
                <w:lang w:val="hy-AM"/>
              </w:rPr>
              <w:t xml:space="preserve">sector </w:t>
            </w:r>
            <w:r w:rsidRPr="00626752">
              <w:rPr>
                <w:rFonts w:ascii="Garamond" w:hAnsi="Garamond" w:cs="Sylfaen"/>
                <w:sz w:val="18"/>
                <w:szCs w:val="18"/>
                <w:lang w:val="hy-AM"/>
              </w:rPr>
              <w:t xml:space="preserve">in terms of </w:t>
            </w:r>
            <w:r w:rsidR="00F7005B" w:rsidRPr="00626752">
              <w:rPr>
                <w:rFonts w:ascii="Garamond" w:hAnsi="Garamond" w:cs="Sylfaen"/>
                <w:sz w:val="18"/>
                <w:szCs w:val="18"/>
                <w:lang w:val="hy-AM"/>
              </w:rPr>
              <w:t>significant</w:t>
            </w:r>
            <w:r w:rsidRPr="00626752">
              <w:rPr>
                <w:rFonts w:ascii="Garamond" w:hAnsi="Garamond" w:cs="Sylfaen"/>
                <w:sz w:val="18"/>
                <w:szCs w:val="18"/>
              </w:rPr>
              <w:t xml:space="preserve"> growth in</w:t>
            </w:r>
            <w:r w:rsidR="00F7005B" w:rsidRPr="00626752">
              <w:rPr>
                <w:rFonts w:ascii="Garamond" w:hAnsi="Garamond" w:cs="Sylfaen"/>
                <w:sz w:val="18"/>
                <w:szCs w:val="18"/>
                <w:lang w:val="hy-AM"/>
              </w:rPr>
              <w:t xml:space="preserve"> export of</w:t>
            </w:r>
            <w:r w:rsidRPr="00626752">
              <w:rPr>
                <w:rFonts w:ascii="Garamond" w:hAnsi="Garamond" w:cs="Sylfaen"/>
                <w:sz w:val="18"/>
                <w:szCs w:val="18"/>
              </w:rPr>
              <w:t xml:space="preserve"> both</w:t>
            </w:r>
            <w:r w:rsidR="00F7005B" w:rsidRPr="00626752">
              <w:rPr>
                <w:rFonts w:ascii="Garamond" w:hAnsi="Garamond" w:cs="Sylfaen"/>
                <w:sz w:val="18"/>
                <w:szCs w:val="18"/>
                <w:lang w:val="hy-AM"/>
              </w:rPr>
              <w:t xml:space="preserve"> goods and services.</w:t>
            </w:r>
          </w:p>
        </w:tc>
      </w:tr>
    </w:tbl>
    <w:p w14:paraId="436F3C67" w14:textId="77777777" w:rsidR="005C6536" w:rsidRPr="00626752" w:rsidRDefault="005C6536" w:rsidP="005C6536">
      <w:pPr>
        <w:spacing w:line="300" w:lineRule="atLeast"/>
        <w:ind w:firstLine="284"/>
        <w:jc w:val="both"/>
        <w:rPr>
          <w:rFonts w:ascii="Garamond" w:hAnsi="Garamond"/>
          <w:sz w:val="18"/>
          <w:szCs w:val="18"/>
          <w:lang w:val="hy-AM"/>
        </w:rPr>
      </w:pPr>
    </w:p>
    <w:p w14:paraId="1D6D10C4" w14:textId="77777777" w:rsidR="009E1B90" w:rsidRPr="00626752" w:rsidRDefault="009E1B90" w:rsidP="005C6536">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The </w:t>
      </w:r>
      <w:r w:rsidR="00254051" w:rsidRPr="00626752">
        <w:rPr>
          <w:rFonts w:ascii="Garamond" w:hAnsi="Garamond"/>
          <w:sz w:val="22"/>
          <w:szCs w:val="22"/>
        </w:rPr>
        <w:t xml:space="preserve">downside </w:t>
      </w:r>
      <w:r w:rsidRPr="00626752">
        <w:rPr>
          <w:rFonts w:ascii="Garamond" w:hAnsi="Garamond"/>
          <w:sz w:val="22"/>
          <w:szCs w:val="22"/>
        </w:rPr>
        <w:t xml:space="preserve">risks to inflation forecast for the fourth quarter of 2017 </w:t>
      </w:r>
      <w:r w:rsidR="00254051" w:rsidRPr="00626752">
        <w:rPr>
          <w:rFonts w:ascii="Garamond" w:hAnsi="Garamond"/>
          <w:sz w:val="22"/>
          <w:szCs w:val="22"/>
        </w:rPr>
        <w:t>somewhat prevail as prices of seasonal agricultural products may have recovered not satisfactorily</w:t>
      </w:r>
      <w:r w:rsidRPr="00626752">
        <w:rPr>
          <w:rFonts w:ascii="Garamond" w:hAnsi="Garamond"/>
          <w:sz w:val="22"/>
          <w:szCs w:val="22"/>
        </w:rPr>
        <w:t>. On the other hand, s</w:t>
      </w:r>
      <w:r w:rsidR="00254051" w:rsidRPr="00626752">
        <w:rPr>
          <w:rFonts w:ascii="Garamond" w:hAnsi="Garamond"/>
          <w:sz w:val="22"/>
          <w:szCs w:val="22"/>
        </w:rPr>
        <w:t xml:space="preserve">tarting </w:t>
      </w:r>
      <w:r w:rsidRPr="00626752">
        <w:rPr>
          <w:rFonts w:ascii="Garamond" w:hAnsi="Garamond"/>
          <w:sz w:val="22"/>
          <w:szCs w:val="22"/>
        </w:rPr>
        <w:t xml:space="preserve">2018, </w:t>
      </w:r>
      <w:r w:rsidR="00254051" w:rsidRPr="00626752">
        <w:rPr>
          <w:rFonts w:ascii="Garamond" w:hAnsi="Garamond"/>
          <w:sz w:val="22"/>
          <w:szCs w:val="22"/>
        </w:rPr>
        <w:t xml:space="preserve">the </w:t>
      </w:r>
      <w:r w:rsidRPr="00626752">
        <w:rPr>
          <w:rFonts w:ascii="Garamond" w:hAnsi="Garamond"/>
          <w:sz w:val="22"/>
          <w:szCs w:val="22"/>
        </w:rPr>
        <w:t xml:space="preserve">risks </w:t>
      </w:r>
      <w:r w:rsidR="00254051" w:rsidRPr="00626752">
        <w:rPr>
          <w:rFonts w:ascii="Garamond" w:hAnsi="Garamond"/>
          <w:sz w:val="22"/>
          <w:szCs w:val="22"/>
        </w:rPr>
        <w:t>to inflation go an upside path in the medium run</w:t>
      </w:r>
      <w:r w:rsidR="00443063" w:rsidRPr="00626752">
        <w:rPr>
          <w:rFonts w:ascii="Garamond" w:hAnsi="Garamond"/>
          <w:sz w:val="22"/>
          <w:szCs w:val="22"/>
        </w:rPr>
        <w:t xml:space="preserve"> </w:t>
      </w:r>
      <w:r w:rsidR="00254051" w:rsidRPr="00626752">
        <w:rPr>
          <w:rFonts w:ascii="Garamond" w:hAnsi="Garamond"/>
          <w:sz w:val="22"/>
          <w:szCs w:val="22"/>
        </w:rPr>
        <w:t>(see the Inflation Forecasts Probability Distribution Chart).</w:t>
      </w:r>
    </w:p>
    <w:p w14:paraId="7C28DE68" w14:textId="77777777" w:rsidR="00443063" w:rsidRPr="00626752" w:rsidRDefault="00443063" w:rsidP="005C6536">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In the medium-term perspective, the prevalence of upside risks to inflation depends on a bunch of key factors and developments taking place in relevant sectors of the economy.</w:t>
      </w:r>
    </w:p>
    <w:p w14:paraId="46E92641" w14:textId="77777777" w:rsidR="009A460A" w:rsidRPr="00626752" w:rsidRDefault="009A460A" w:rsidP="009A460A">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The first group factors are </w:t>
      </w:r>
      <w:r w:rsidR="00E45D05" w:rsidRPr="00626752">
        <w:rPr>
          <w:rFonts w:ascii="Garamond" w:hAnsi="Garamond"/>
          <w:sz w:val="22"/>
          <w:szCs w:val="22"/>
        </w:rPr>
        <w:t xml:space="preserve">pertinent to </w:t>
      </w:r>
      <w:r w:rsidRPr="00626752">
        <w:rPr>
          <w:rFonts w:ascii="Garamond" w:hAnsi="Garamond"/>
          <w:sz w:val="22"/>
          <w:szCs w:val="22"/>
        </w:rPr>
        <w:t xml:space="preserve">the acceleration of economic recovery in the external </w:t>
      </w:r>
      <w:r w:rsidR="00E45D05" w:rsidRPr="00626752">
        <w:rPr>
          <w:rFonts w:ascii="Garamond" w:hAnsi="Garamond"/>
          <w:sz w:val="22"/>
          <w:szCs w:val="22"/>
        </w:rPr>
        <w:t>environment and the impact to be spilled over to the Armenian economy.</w:t>
      </w:r>
      <w:r w:rsidRPr="00626752">
        <w:rPr>
          <w:rFonts w:ascii="Garamond" w:hAnsi="Garamond"/>
          <w:sz w:val="22"/>
          <w:szCs w:val="22"/>
        </w:rPr>
        <w:t xml:space="preserve"> Specifically, the following key factors can be </w:t>
      </w:r>
      <w:r w:rsidR="00E45D05" w:rsidRPr="00626752">
        <w:rPr>
          <w:rFonts w:ascii="Garamond" w:hAnsi="Garamond"/>
          <w:sz w:val="22"/>
          <w:szCs w:val="22"/>
        </w:rPr>
        <w:t>highlighted</w:t>
      </w:r>
      <w:r w:rsidRPr="00626752">
        <w:rPr>
          <w:rFonts w:ascii="Garamond" w:hAnsi="Garamond"/>
          <w:sz w:val="22"/>
          <w:szCs w:val="22"/>
        </w:rPr>
        <w:t>:</w:t>
      </w:r>
    </w:p>
    <w:p w14:paraId="796D69CC" w14:textId="77777777" w:rsidR="009A460A" w:rsidRPr="00626752" w:rsidRDefault="00E45D05" w:rsidP="00E45D05">
      <w:pPr>
        <w:pStyle w:val="ListParagraph"/>
        <w:numPr>
          <w:ilvl w:val="0"/>
          <w:numId w:val="6"/>
        </w:num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Rapider </w:t>
      </w:r>
      <w:r w:rsidR="009A460A" w:rsidRPr="00626752">
        <w:rPr>
          <w:rFonts w:ascii="Garamond" w:hAnsi="Garamond"/>
          <w:sz w:val="22"/>
          <w:szCs w:val="22"/>
        </w:rPr>
        <w:t>recovery of external demand and inflationary risks</w:t>
      </w:r>
      <w:r w:rsidRPr="00626752">
        <w:rPr>
          <w:rFonts w:ascii="Garamond" w:hAnsi="Garamond"/>
          <w:sz w:val="22"/>
          <w:szCs w:val="22"/>
        </w:rPr>
        <w:t xml:space="preserve"> resulting therefrom</w:t>
      </w:r>
      <w:r w:rsidR="009A460A" w:rsidRPr="00626752">
        <w:rPr>
          <w:rFonts w:ascii="Garamond" w:hAnsi="Garamond"/>
          <w:sz w:val="22"/>
          <w:szCs w:val="22"/>
        </w:rPr>
        <w:t xml:space="preserve">, including </w:t>
      </w:r>
      <w:r w:rsidRPr="00626752">
        <w:rPr>
          <w:rFonts w:ascii="Garamond" w:hAnsi="Garamond"/>
          <w:sz w:val="22"/>
          <w:szCs w:val="22"/>
        </w:rPr>
        <w:t xml:space="preserve">faster-than-expected rise in </w:t>
      </w:r>
      <w:r w:rsidR="009A460A" w:rsidRPr="00626752">
        <w:rPr>
          <w:rFonts w:ascii="Garamond" w:hAnsi="Garamond"/>
          <w:sz w:val="22"/>
          <w:szCs w:val="22"/>
        </w:rPr>
        <w:t xml:space="preserve">international prices in raw </w:t>
      </w:r>
      <w:r w:rsidRPr="00626752">
        <w:rPr>
          <w:rFonts w:ascii="Garamond" w:hAnsi="Garamond"/>
          <w:sz w:val="22"/>
          <w:szCs w:val="22"/>
        </w:rPr>
        <w:t xml:space="preserve">materials </w:t>
      </w:r>
      <w:r w:rsidR="009A460A" w:rsidRPr="00626752">
        <w:rPr>
          <w:rFonts w:ascii="Garamond" w:hAnsi="Garamond"/>
          <w:sz w:val="22"/>
          <w:szCs w:val="22"/>
        </w:rPr>
        <w:t xml:space="preserve">and food </w:t>
      </w:r>
      <w:r w:rsidRPr="00626752">
        <w:rPr>
          <w:rFonts w:ascii="Garamond" w:hAnsi="Garamond"/>
          <w:sz w:val="22"/>
          <w:szCs w:val="22"/>
        </w:rPr>
        <w:t>product markets</w:t>
      </w:r>
      <w:r w:rsidR="009A460A" w:rsidRPr="00626752">
        <w:rPr>
          <w:rFonts w:ascii="Garamond" w:hAnsi="Garamond"/>
          <w:sz w:val="22"/>
          <w:szCs w:val="22"/>
        </w:rPr>
        <w:t>.</w:t>
      </w:r>
    </w:p>
    <w:p w14:paraId="75809D4F" w14:textId="77777777" w:rsidR="009A460A" w:rsidRPr="00626752" w:rsidRDefault="009A460A" w:rsidP="00E45D05">
      <w:pPr>
        <w:pStyle w:val="ListParagraph"/>
        <w:numPr>
          <w:ilvl w:val="0"/>
          <w:numId w:val="6"/>
        </w:num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Risks </w:t>
      </w:r>
      <w:r w:rsidR="00E45D05" w:rsidRPr="00626752">
        <w:rPr>
          <w:rFonts w:ascii="Garamond" w:hAnsi="Garamond"/>
          <w:sz w:val="22"/>
          <w:szCs w:val="22"/>
        </w:rPr>
        <w:t>to</w:t>
      </w:r>
      <w:r w:rsidRPr="00626752">
        <w:rPr>
          <w:rFonts w:ascii="Garamond" w:hAnsi="Garamond"/>
          <w:sz w:val="22"/>
          <w:szCs w:val="22"/>
        </w:rPr>
        <w:t xml:space="preserve"> capital outflow from developing countries </w:t>
      </w:r>
      <w:r w:rsidR="00E45D05" w:rsidRPr="00626752">
        <w:rPr>
          <w:rFonts w:ascii="Garamond" w:hAnsi="Garamond"/>
          <w:sz w:val="22"/>
          <w:szCs w:val="22"/>
        </w:rPr>
        <w:t>on the back of further</w:t>
      </w:r>
      <w:r w:rsidRPr="00626752">
        <w:rPr>
          <w:rFonts w:ascii="Garamond" w:hAnsi="Garamond"/>
          <w:sz w:val="22"/>
          <w:szCs w:val="22"/>
        </w:rPr>
        <w:t xml:space="preserve"> t</w:t>
      </w:r>
      <w:r w:rsidR="00E45D05" w:rsidRPr="00626752">
        <w:rPr>
          <w:rFonts w:ascii="Garamond" w:hAnsi="Garamond"/>
          <w:sz w:val="22"/>
          <w:szCs w:val="22"/>
        </w:rPr>
        <w:t xml:space="preserve">ightened </w:t>
      </w:r>
      <w:r w:rsidRPr="00626752">
        <w:rPr>
          <w:rFonts w:ascii="Garamond" w:hAnsi="Garamond"/>
          <w:sz w:val="22"/>
          <w:szCs w:val="22"/>
        </w:rPr>
        <w:t>monetary policy conditions in developed countries.</w:t>
      </w:r>
    </w:p>
    <w:p w14:paraId="621FD69C" w14:textId="77777777" w:rsidR="00E45D05" w:rsidRPr="00626752" w:rsidRDefault="00E45D05" w:rsidP="00E45D05">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I</w:t>
      </w:r>
      <w:r w:rsidR="00934823" w:rsidRPr="00626752">
        <w:rPr>
          <w:rFonts w:ascii="Garamond" w:hAnsi="Garamond"/>
          <w:sz w:val="22"/>
          <w:szCs w:val="22"/>
        </w:rPr>
        <w:t xml:space="preserve">f </w:t>
      </w:r>
      <w:r w:rsidRPr="00626752">
        <w:rPr>
          <w:rFonts w:ascii="Garamond" w:hAnsi="Garamond"/>
          <w:sz w:val="22"/>
          <w:szCs w:val="22"/>
        </w:rPr>
        <w:t xml:space="preserve">the aforementioned risks materialize, </w:t>
      </w:r>
      <w:r w:rsidR="00934823" w:rsidRPr="00626752">
        <w:rPr>
          <w:rFonts w:ascii="Garamond" w:hAnsi="Garamond"/>
          <w:sz w:val="22"/>
          <w:szCs w:val="22"/>
        </w:rPr>
        <w:t xml:space="preserve">the inflation will incur an added impact of </w:t>
      </w:r>
      <w:r w:rsidRPr="00626752">
        <w:rPr>
          <w:rFonts w:ascii="Garamond" w:hAnsi="Garamond"/>
          <w:sz w:val="22"/>
          <w:szCs w:val="22"/>
        </w:rPr>
        <w:t xml:space="preserve">inflationary pressures from the external sector, </w:t>
      </w:r>
      <w:r w:rsidR="00934823" w:rsidRPr="00626752">
        <w:rPr>
          <w:rFonts w:ascii="Garamond" w:hAnsi="Garamond"/>
          <w:sz w:val="22"/>
          <w:szCs w:val="22"/>
        </w:rPr>
        <w:t xml:space="preserve">in </w:t>
      </w:r>
      <w:r w:rsidRPr="00626752">
        <w:rPr>
          <w:rFonts w:ascii="Garamond" w:hAnsi="Garamond"/>
          <w:sz w:val="22"/>
          <w:szCs w:val="22"/>
        </w:rPr>
        <w:t xml:space="preserve">which </w:t>
      </w:r>
      <w:r w:rsidR="00934823" w:rsidRPr="00626752">
        <w:rPr>
          <w:rFonts w:ascii="Garamond" w:hAnsi="Garamond"/>
          <w:sz w:val="22"/>
          <w:szCs w:val="22"/>
        </w:rPr>
        <w:t xml:space="preserve">event </w:t>
      </w:r>
      <w:r w:rsidRPr="00626752">
        <w:rPr>
          <w:rFonts w:ascii="Garamond" w:hAnsi="Garamond"/>
          <w:sz w:val="22"/>
          <w:szCs w:val="22"/>
        </w:rPr>
        <w:t xml:space="preserve">tightening </w:t>
      </w:r>
      <w:r w:rsidR="00934823" w:rsidRPr="00626752">
        <w:rPr>
          <w:rFonts w:ascii="Garamond" w:hAnsi="Garamond"/>
          <w:sz w:val="22"/>
          <w:szCs w:val="22"/>
        </w:rPr>
        <w:t xml:space="preserve">the </w:t>
      </w:r>
      <w:r w:rsidRPr="00626752">
        <w:rPr>
          <w:rFonts w:ascii="Garamond" w:hAnsi="Garamond"/>
          <w:sz w:val="22"/>
          <w:szCs w:val="22"/>
        </w:rPr>
        <w:t>monetary conditions relatively quickly</w:t>
      </w:r>
      <w:r w:rsidR="00934823" w:rsidRPr="00626752">
        <w:rPr>
          <w:rFonts w:ascii="Garamond" w:hAnsi="Garamond"/>
          <w:sz w:val="22"/>
          <w:szCs w:val="22"/>
        </w:rPr>
        <w:t xml:space="preserve"> would be needed</w:t>
      </w:r>
      <w:r w:rsidRPr="00626752">
        <w:rPr>
          <w:rFonts w:ascii="Garamond" w:hAnsi="Garamond"/>
          <w:sz w:val="22"/>
          <w:szCs w:val="22"/>
        </w:rPr>
        <w:t>.</w:t>
      </w:r>
    </w:p>
    <w:p w14:paraId="7A7902B3" w14:textId="77777777" w:rsidR="00EE00FC" w:rsidRPr="00626752" w:rsidRDefault="00EE00FC" w:rsidP="00EE00FC">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The main inflation risks emerging from the developments in the domestic economy pertain to the following factors:</w:t>
      </w:r>
    </w:p>
    <w:p w14:paraId="0F6979AD" w14:textId="77777777" w:rsidR="00EE00FC" w:rsidRPr="00626752" w:rsidRDefault="00EE00FC" w:rsidP="00EE00FC">
      <w:pPr>
        <w:pStyle w:val="ListParagraph"/>
        <w:numPr>
          <w:ilvl w:val="0"/>
          <w:numId w:val="6"/>
        </w:numPr>
        <w:autoSpaceDE w:val="0"/>
        <w:autoSpaceDN w:val="0"/>
        <w:adjustRightInd w:val="0"/>
        <w:spacing w:after="120" w:line="360" w:lineRule="auto"/>
        <w:jc w:val="both"/>
        <w:rPr>
          <w:rFonts w:ascii="Garamond" w:hAnsi="Garamond"/>
          <w:b/>
          <w:sz w:val="22"/>
          <w:szCs w:val="22"/>
        </w:rPr>
      </w:pPr>
      <w:r w:rsidRPr="00626752">
        <w:rPr>
          <w:rFonts w:ascii="Garamond" w:hAnsi="Garamond"/>
          <w:b/>
          <w:sz w:val="22"/>
          <w:szCs w:val="22"/>
        </w:rPr>
        <w:t>A lasting growth of demand and, particularly, consumption</w:t>
      </w:r>
    </w:p>
    <w:p w14:paraId="5C6DA402" w14:textId="77777777" w:rsidR="00EE00FC" w:rsidRPr="00626752" w:rsidRDefault="00C20830" w:rsidP="00EE00FC">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According to the assumptions underlying the Central Bank forecasts, c</w:t>
      </w:r>
      <w:r w:rsidR="00EE00FC" w:rsidRPr="00626752">
        <w:rPr>
          <w:rFonts w:ascii="Garamond" w:hAnsi="Garamond"/>
          <w:sz w:val="22"/>
          <w:szCs w:val="22"/>
        </w:rPr>
        <w:t>urrent</w:t>
      </w:r>
      <w:r w:rsidRPr="00626752">
        <w:rPr>
          <w:rFonts w:ascii="Garamond" w:hAnsi="Garamond"/>
          <w:sz w:val="22"/>
          <w:szCs w:val="22"/>
        </w:rPr>
        <w:t>ly</w:t>
      </w:r>
      <w:r w:rsidR="00EE00FC" w:rsidRPr="00626752">
        <w:rPr>
          <w:rFonts w:ascii="Garamond" w:hAnsi="Garamond"/>
          <w:sz w:val="22"/>
          <w:szCs w:val="22"/>
        </w:rPr>
        <w:t xml:space="preserve"> </w:t>
      </w:r>
      <w:r w:rsidRPr="00626752">
        <w:rPr>
          <w:rFonts w:ascii="Garamond" w:hAnsi="Garamond"/>
          <w:sz w:val="22"/>
          <w:szCs w:val="22"/>
        </w:rPr>
        <w:t xml:space="preserve">high </w:t>
      </w:r>
      <w:r w:rsidR="00EE00FC" w:rsidRPr="00626752">
        <w:rPr>
          <w:rFonts w:ascii="Garamond" w:hAnsi="Garamond"/>
          <w:sz w:val="22"/>
          <w:szCs w:val="22"/>
        </w:rPr>
        <w:t xml:space="preserve">indicators of </w:t>
      </w:r>
      <w:r w:rsidRPr="00626752">
        <w:rPr>
          <w:rFonts w:ascii="Garamond" w:hAnsi="Garamond"/>
          <w:sz w:val="22"/>
          <w:szCs w:val="22"/>
        </w:rPr>
        <w:t xml:space="preserve">rebounding </w:t>
      </w:r>
      <w:r w:rsidR="00EE00FC" w:rsidRPr="00626752">
        <w:rPr>
          <w:rFonts w:ascii="Garamond" w:hAnsi="Garamond"/>
          <w:sz w:val="22"/>
          <w:szCs w:val="22"/>
        </w:rPr>
        <w:t xml:space="preserve">consumption and demand partly </w:t>
      </w:r>
      <w:r w:rsidRPr="00626752">
        <w:rPr>
          <w:rFonts w:ascii="Garamond" w:hAnsi="Garamond"/>
          <w:sz w:val="22"/>
          <w:szCs w:val="22"/>
        </w:rPr>
        <w:t>owe</w:t>
      </w:r>
      <w:r w:rsidR="00EE00FC" w:rsidRPr="00626752">
        <w:rPr>
          <w:rFonts w:ascii="Garamond" w:hAnsi="Garamond"/>
          <w:sz w:val="22"/>
          <w:szCs w:val="22"/>
        </w:rPr>
        <w:t xml:space="preserve"> to the </w:t>
      </w:r>
      <w:r w:rsidRPr="00626752">
        <w:rPr>
          <w:rFonts w:ascii="Garamond" w:hAnsi="Garamond"/>
          <w:sz w:val="22"/>
          <w:szCs w:val="22"/>
        </w:rPr>
        <w:t xml:space="preserve">offset for </w:t>
      </w:r>
      <w:r w:rsidR="00EE00FC" w:rsidRPr="00626752">
        <w:rPr>
          <w:rFonts w:ascii="Garamond" w:hAnsi="Garamond"/>
          <w:sz w:val="22"/>
          <w:szCs w:val="22"/>
        </w:rPr>
        <w:t>reduc</w:t>
      </w:r>
      <w:r w:rsidRPr="00626752">
        <w:rPr>
          <w:rFonts w:ascii="Garamond" w:hAnsi="Garamond"/>
          <w:sz w:val="22"/>
          <w:szCs w:val="22"/>
        </w:rPr>
        <w:t xml:space="preserve">ed </w:t>
      </w:r>
      <w:r w:rsidR="00EE00FC" w:rsidRPr="00626752">
        <w:rPr>
          <w:rFonts w:ascii="Garamond" w:hAnsi="Garamond"/>
          <w:sz w:val="22"/>
          <w:szCs w:val="22"/>
        </w:rPr>
        <w:t xml:space="preserve">consumption in recent years, so they will have a short-term nature. Nevertheless, there is </w:t>
      </w:r>
      <w:r w:rsidRPr="00626752">
        <w:rPr>
          <w:rFonts w:ascii="Garamond" w:hAnsi="Garamond"/>
          <w:sz w:val="22"/>
          <w:szCs w:val="22"/>
        </w:rPr>
        <w:t>l</w:t>
      </w:r>
      <w:r w:rsidR="00EE00FC" w:rsidRPr="00626752">
        <w:rPr>
          <w:rFonts w:ascii="Garamond" w:hAnsi="Garamond"/>
          <w:sz w:val="22"/>
          <w:szCs w:val="22"/>
        </w:rPr>
        <w:t>ikelihood that the curre</w:t>
      </w:r>
      <w:r w:rsidRPr="00626752">
        <w:rPr>
          <w:rFonts w:ascii="Garamond" w:hAnsi="Garamond"/>
          <w:sz w:val="22"/>
          <w:szCs w:val="22"/>
        </w:rPr>
        <w:t xml:space="preserve">nt level of indicators reflects a </w:t>
      </w:r>
      <w:r w:rsidR="00EE00FC" w:rsidRPr="00626752">
        <w:rPr>
          <w:rFonts w:ascii="Garamond" w:hAnsi="Garamond"/>
          <w:sz w:val="22"/>
          <w:szCs w:val="22"/>
        </w:rPr>
        <w:t>st</w:t>
      </w:r>
      <w:r w:rsidRPr="00626752">
        <w:rPr>
          <w:rFonts w:ascii="Garamond" w:hAnsi="Garamond"/>
          <w:sz w:val="22"/>
          <w:szCs w:val="22"/>
        </w:rPr>
        <w:t xml:space="preserve">eadier </w:t>
      </w:r>
      <w:r w:rsidR="00EE00FC" w:rsidRPr="00626752">
        <w:rPr>
          <w:rFonts w:ascii="Garamond" w:hAnsi="Garamond"/>
          <w:sz w:val="22"/>
          <w:szCs w:val="22"/>
        </w:rPr>
        <w:t>growth of demand, in which c</w:t>
      </w:r>
      <w:r w:rsidR="00827B52" w:rsidRPr="00626752">
        <w:rPr>
          <w:rFonts w:ascii="Garamond" w:hAnsi="Garamond"/>
          <w:sz w:val="22"/>
          <w:szCs w:val="22"/>
        </w:rPr>
        <w:t xml:space="preserve">ircumstance </w:t>
      </w:r>
      <w:r w:rsidR="00EE00FC" w:rsidRPr="00626752">
        <w:rPr>
          <w:rFonts w:ascii="Garamond" w:hAnsi="Garamond"/>
          <w:sz w:val="22"/>
          <w:szCs w:val="22"/>
        </w:rPr>
        <w:t>further inflationary pressures are possible.</w:t>
      </w:r>
    </w:p>
    <w:p w14:paraId="7539C979" w14:textId="77777777" w:rsidR="00EE00FC" w:rsidRPr="00626752" w:rsidRDefault="00EE00FC" w:rsidP="00EE00FC">
      <w:pPr>
        <w:pStyle w:val="ListParagraph"/>
        <w:numPr>
          <w:ilvl w:val="0"/>
          <w:numId w:val="6"/>
        </w:numPr>
        <w:autoSpaceDE w:val="0"/>
        <w:autoSpaceDN w:val="0"/>
        <w:adjustRightInd w:val="0"/>
        <w:spacing w:after="120" w:line="360" w:lineRule="auto"/>
        <w:jc w:val="both"/>
        <w:rPr>
          <w:rFonts w:ascii="Garamond" w:hAnsi="Garamond"/>
          <w:b/>
          <w:sz w:val="22"/>
          <w:szCs w:val="22"/>
        </w:rPr>
      </w:pPr>
      <w:r w:rsidRPr="00626752">
        <w:rPr>
          <w:rFonts w:ascii="Garamond" w:hAnsi="Garamond"/>
          <w:b/>
          <w:sz w:val="22"/>
          <w:szCs w:val="22"/>
        </w:rPr>
        <w:t>Accelerati</w:t>
      </w:r>
      <w:r w:rsidR="00827B52" w:rsidRPr="00626752">
        <w:rPr>
          <w:rFonts w:ascii="Garamond" w:hAnsi="Garamond"/>
          <w:b/>
          <w:sz w:val="22"/>
          <w:szCs w:val="22"/>
        </w:rPr>
        <w:t>on in inflation expectations</w:t>
      </w:r>
    </w:p>
    <w:p w14:paraId="44F3249D" w14:textId="77777777" w:rsidR="00EE00FC" w:rsidRPr="00626752" w:rsidRDefault="00EE00FC" w:rsidP="00EE00FC">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lastRenderedPageBreak/>
        <w:t xml:space="preserve">If </w:t>
      </w:r>
      <w:r w:rsidR="00827B52" w:rsidRPr="00626752">
        <w:rPr>
          <w:rFonts w:ascii="Garamond" w:hAnsi="Garamond"/>
          <w:sz w:val="22"/>
          <w:szCs w:val="22"/>
        </w:rPr>
        <w:t xml:space="preserve">accelerated </w:t>
      </w:r>
      <w:r w:rsidRPr="00626752">
        <w:rPr>
          <w:rFonts w:ascii="Garamond" w:hAnsi="Garamond"/>
          <w:sz w:val="22"/>
          <w:szCs w:val="22"/>
        </w:rPr>
        <w:t>short-term inflation expectations</w:t>
      </w:r>
      <w:r w:rsidR="00827B52" w:rsidRPr="00626752">
        <w:rPr>
          <w:rFonts w:ascii="Garamond" w:hAnsi="Garamond"/>
          <w:sz w:val="22"/>
          <w:szCs w:val="22"/>
        </w:rPr>
        <w:t xml:space="preserve">, which are fueled </w:t>
      </w:r>
      <w:r w:rsidRPr="00626752">
        <w:rPr>
          <w:rFonts w:ascii="Garamond" w:hAnsi="Garamond"/>
          <w:sz w:val="22"/>
          <w:szCs w:val="22"/>
        </w:rPr>
        <w:t>by the inflation o</w:t>
      </w:r>
      <w:r w:rsidR="00827B52" w:rsidRPr="00626752">
        <w:rPr>
          <w:rFonts w:ascii="Garamond" w:hAnsi="Garamond"/>
          <w:sz w:val="22"/>
          <w:szCs w:val="22"/>
        </w:rPr>
        <w:t>n selected p</w:t>
      </w:r>
      <w:r w:rsidRPr="00626752">
        <w:rPr>
          <w:rFonts w:ascii="Garamond" w:hAnsi="Garamond"/>
          <w:sz w:val="22"/>
          <w:szCs w:val="22"/>
        </w:rPr>
        <w:t xml:space="preserve">roducts, </w:t>
      </w:r>
      <w:r w:rsidR="00827B52" w:rsidRPr="00626752">
        <w:rPr>
          <w:rFonts w:ascii="Garamond" w:hAnsi="Garamond"/>
          <w:sz w:val="22"/>
          <w:szCs w:val="22"/>
        </w:rPr>
        <w:t>prove to be more lasting, the Central Bank</w:t>
      </w:r>
      <w:r w:rsidRPr="00626752">
        <w:rPr>
          <w:rFonts w:ascii="Garamond" w:hAnsi="Garamond"/>
          <w:sz w:val="22"/>
          <w:szCs w:val="22"/>
        </w:rPr>
        <w:t xml:space="preserve"> will re</w:t>
      </w:r>
      <w:r w:rsidR="00612C30" w:rsidRPr="00626752">
        <w:rPr>
          <w:rFonts w:ascii="Garamond" w:hAnsi="Garamond"/>
          <w:sz w:val="22"/>
          <w:szCs w:val="22"/>
        </w:rPr>
        <w:t xml:space="preserve">act to </w:t>
      </w:r>
      <w:r w:rsidRPr="00626752">
        <w:rPr>
          <w:rFonts w:ascii="Garamond" w:hAnsi="Garamond"/>
          <w:sz w:val="22"/>
          <w:szCs w:val="22"/>
        </w:rPr>
        <w:t>th</w:t>
      </w:r>
      <w:r w:rsidR="00612C30" w:rsidRPr="00626752">
        <w:rPr>
          <w:rFonts w:ascii="Garamond" w:hAnsi="Garamond"/>
          <w:sz w:val="22"/>
          <w:szCs w:val="22"/>
        </w:rPr>
        <w:t>e</w:t>
      </w:r>
      <w:r w:rsidRPr="00626752">
        <w:rPr>
          <w:rFonts w:ascii="Garamond" w:hAnsi="Garamond"/>
          <w:sz w:val="22"/>
          <w:szCs w:val="22"/>
        </w:rPr>
        <w:t xml:space="preserve"> situation </w:t>
      </w:r>
      <w:r w:rsidR="00644C5D" w:rsidRPr="00626752">
        <w:rPr>
          <w:rFonts w:ascii="Garamond" w:hAnsi="Garamond"/>
          <w:sz w:val="22"/>
          <w:szCs w:val="22"/>
        </w:rPr>
        <w:t>by taking action,</w:t>
      </w:r>
      <w:r w:rsidRPr="00626752">
        <w:rPr>
          <w:rFonts w:ascii="Garamond" w:hAnsi="Garamond"/>
          <w:sz w:val="22"/>
          <w:szCs w:val="22"/>
        </w:rPr>
        <w:t xml:space="preserve"> while</w:t>
      </w:r>
      <w:r w:rsidR="00612C30" w:rsidRPr="00626752">
        <w:rPr>
          <w:rFonts w:ascii="Garamond" w:hAnsi="Garamond"/>
          <w:sz w:val="22"/>
          <w:szCs w:val="22"/>
        </w:rPr>
        <w:t>,</w:t>
      </w:r>
      <w:r w:rsidRPr="00626752">
        <w:rPr>
          <w:rFonts w:ascii="Garamond" w:hAnsi="Garamond"/>
          <w:sz w:val="22"/>
          <w:szCs w:val="22"/>
        </w:rPr>
        <w:t xml:space="preserve"> </w:t>
      </w:r>
      <w:r w:rsidR="00612C30" w:rsidRPr="00626752">
        <w:rPr>
          <w:rFonts w:ascii="Garamond" w:hAnsi="Garamond"/>
          <w:sz w:val="22"/>
          <w:szCs w:val="22"/>
        </w:rPr>
        <w:t xml:space="preserve">all else being equal, </w:t>
      </w:r>
      <w:r w:rsidRPr="00626752">
        <w:rPr>
          <w:rFonts w:ascii="Garamond" w:hAnsi="Garamond"/>
          <w:sz w:val="22"/>
          <w:szCs w:val="22"/>
        </w:rPr>
        <w:t>tightening monetary conditions.</w:t>
      </w:r>
    </w:p>
    <w:p w14:paraId="3ED0660A" w14:textId="77777777" w:rsidR="00EE00FC" w:rsidRPr="00626752" w:rsidRDefault="003F7BD8" w:rsidP="00EE00FC">
      <w:pPr>
        <w:autoSpaceDE w:val="0"/>
        <w:autoSpaceDN w:val="0"/>
        <w:adjustRightInd w:val="0"/>
        <w:spacing w:after="120" w:line="360" w:lineRule="auto"/>
        <w:jc w:val="both"/>
        <w:rPr>
          <w:rFonts w:ascii="Garamond" w:hAnsi="Garamond"/>
          <w:sz w:val="22"/>
          <w:szCs w:val="22"/>
        </w:rPr>
      </w:pPr>
      <w:r w:rsidRPr="00626752">
        <w:rPr>
          <w:rFonts w:ascii="Garamond" w:hAnsi="Garamond"/>
          <w:b/>
          <w:sz w:val="22"/>
          <w:szCs w:val="22"/>
        </w:rPr>
        <w:t>In the forecast horizon</w:t>
      </w:r>
      <w:r w:rsidRPr="00626752">
        <w:rPr>
          <w:rFonts w:ascii="Garamond" w:hAnsi="Garamond"/>
          <w:sz w:val="22"/>
          <w:szCs w:val="22"/>
        </w:rPr>
        <w:t>, th</w:t>
      </w:r>
      <w:r w:rsidR="00EE00FC" w:rsidRPr="00626752">
        <w:rPr>
          <w:rFonts w:ascii="Garamond" w:hAnsi="Garamond"/>
          <w:sz w:val="22"/>
          <w:szCs w:val="22"/>
        </w:rPr>
        <w:t xml:space="preserve">e risks </w:t>
      </w:r>
      <w:r w:rsidRPr="00626752">
        <w:rPr>
          <w:rFonts w:ascii="Garamond" w:hAnsi="Garamond"/>
          <w:sz w:val="22"/>
          <w:szCs w:val="22"/>
        </w:rPr>
        <w:t>to</w:t>
      </w:r>
      <w:r w:rsidR="00EE00FC" w:rsidRPr="00626752">
        <w:rPr>
          <w:rFonts w:ascii="Garamond" w:hAnsi="Garamond"/>
          <w:sz w:val="22"/>
          <w:szCs w:val="22"/>
        </w:rPr>
        <w:t xml:space="preserve"> economic growth are </w:t>
      </w:r>
      <w:r w:rsidRPr="00626752">
        <w:rPr>
          <w:rFonts w:ascii="Garamond" w:hAnsi="Garamond"/>
          <w:sz w:val="22"/>
          <w:szCs w:val="22"/>
        </w:rPr>
        <w:t xml:space="preserve">dual-sided </w:t>
      </w:r>
      <w:r w:rsidR="00EE00FC" w:rsidRPr="00626752">
        <w:rPr>
          <w:rFonts w:ascii="Garamond" w:hAnsi="Garamond"/>
          <w:sz w:val="22"/>
          <w:szCs w:val="22"/>
        </w:rPr>
        <w:t>and balanced.</w:t>
      </w:r>
    </w:p>
    <w:p w14:paraId="5BE760A7" w14:textId="77777777" w:rsidR="00EE00FC" w:rsidRPr="00626752" w:rsidRDefault="00EE00FC" w:rsidP="00EE00FC">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The risks </w:t>
      </w:r>
      <w:r w:rsidR="00A81B1A" w:rsidRPr="00626752">
        <w:rPr>
          <w:rFonts w:ascii="Garamond" w:hAnsi="Garamond"/>
          <w:sz w:val="22"/>
          <w:szCs w:val="22"/>
        </w:rPr>
        <w:t xml:space="preserve">to the </w:t>
      </w:r>
      <w:r w:rsidRPr="00626752">
        <w:rPr>
          <w:rFonts w:ascii="Garamond" w:hAnsi="Garamond"/>
          <w:sz w:val="22"/>
          <w:szCs w:val="22"/>
        </w:rPr>
        <w:t xml:space="preserve">economic growth </w:t>
      </w:r>
      <w:r w:rsidR="00A81B1A" w:rsidRPr="00626752">
        <w:rPr>
          <w:rFonts w:ascii="Garamond" w:hAnsi="Garamond"/>
          <w:sz w:val="22"/>
          <w:szCs w:val="22"/>
        </w:rPr>
        <w:t>include</w:t>
      </w:r>
      <w:r w:rsidRPr="00626752">
        <w:rPr>
          <w:rFonts w:ascii="Garamond" w:hAnsi="Garamond"/>
          <w:sz w:val="22"/>
          <w:szCs w:val="22"/>
        </w:rPr>
        <w:t>:</w:t>
      </w:r>
    </w:p>
    <w:p w14:paraId="5673CA65" w14:textId="77777777" w:rsidR="00EE00FC" w:rsidRPr="00626752" w:rsidRDefault="000F7F64" w:rsidP="00EE00FC">
      <w:pPr>
        <w:pStyle w:val="ListParagraph"/>
        <w:numPr>
          <w:ilvl w:val="0"/>
          <w:numId w:val="6"/>
        </w:num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u</w:t>
      </w:r>
      <w:r w:rsidR="00EE00FC" w:rsidRPr="00626752">
        <w:rPr>
          <w:rFonts w:ascii="Garamond" w:hAnsi="Garamond"/>
          <w:sz w:val="22"/>
          <w:szCs w:val="22"/>
        </w:rPr>
        <w:t xml:space="preserve">ncertainties </w:t>
      </w:r>
      <w:r w:rsidRPr="00626752">
        <w:rPr>
          <w:rFonts w:ascii="Garamond" w:hAnsi="Garamond"/>
          <w:sz w:val="22"/>
          <w:szCs w:val="22"/>
        </w:rPr>
        <w:t xml:space="preserve">over </w:t>
      </w:r>
      <w:r w:rsidR="00EE00FC" w:rsidRPr="00626752">
        <w:rPr>
          <w:rFonts w:ascii="Garamond" w:hAnsi="Garamond"/>
          <w:sz w:val="22"/>
          <w:szCs w:val="22"/>
        </w:rPr>
        <w:t>the recovery rate of the global economy,</w:t>
      </w:r>
    </w:p>
    <w:p w14:paraId="33287BD4" w14:textId="77777777" w:rsidR="00EE00FC" w:rsidRPr="00626752" w:rsidRDefault="00EE00FC" w:rsidP="00EE00FC">
      <w:pPr>
        <w:pStyle w:val="ListParagraph"/>
        <w:numPr>
          <w:ilvl w:val="0"/>
          <w:numId w:val="6"/>
        </w:num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possible sudden changes in </w:t>
      </w:r>
      <w:r w:rsidR="000F7F64" w:rsidRPr="00626752">
        <w:rPr>
          <w:rFonts w:ascii="Garamond" w:hAnsi="Garamond"/>
          <w:sz w:val="22"/>
          <w:szCs w:val="22"/>
        </w:rPr>
        <w:t xml:space="preserve">the </w:t>
      </w:r>
      <w:r w:rsidRPr="00626752">
        <w:rPr>
          <w:rFonts w:ascii="Garamond" w:hAnsi="Garamond"/>
          <w:sz w:val="22"/>
          <w:szCs w:val="22"/>
        </w:rPr>
        <w:t xml:space="preserve">capital </w:t>
      </w:r>
      <w:r w:rsidR="000F7F64" w:rsidRPr="00626752">
        <w:rPr>
          <w:rFonts w:ascii="Garamond" w:hAnsi="Garamond"/>
          <w:sz w:val="22"/>
          <w:szCs w:val="22"/>
        </w:rPr>
        <w:t xml:space="preserve">flight </w:t>
      </w:r>
      <w:r w:rsidRPr="00626752">
        <w:rPr>
          <w:rFonts w:ascii="Garamond" w:hAnsi="Garamond"/>
          <w:sz w:val="22"/>
          <w:szCs w:val="22"/>
        </w:rPr>
        <w:t>between emerging and developed countries,</w:t>
      </w:r>
    </w:p>
    <w:p w14:paraId="33234683" w14:textId="77777777" w:rsidR="00EE00FC" w:rsidRPr="00626752" w:rsidRDefault="000F7F64" w:rsidP="00EE00FC">
      <w:pPr>
        <w:pStyle w:val="ListParagraph"/>
        <w:numPr>
          <w:ilvl w:val="0"/>
          <w:numId w:val="6"/>
        </w:num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t</w:t>
      </w:r>
      <w:r w:rsidR="00EE00FC" w:rsidRPr="00626752">
        <w:rPr>
          <w:rFonts w:ascii="Garamond" w:hAnsi="Garamond"/>
          <w:sz w:val="22"/>
          <w:szCs w:val="22"/>
        </w:rPr>
        <w:t>he exte</w:t>
      </w:r>
      <w:r w:rsidR="001950CC" w:rsidRPr="00626752">
        <w:rPr>
          <w:rFonts w:ascii="Garamond" w:hAnsi="Garamond"/>
          <w:sz w:val="22"/>
          <w:szCs w:val="22"/>
        </w:rPr>
        <w:t xml:space="preserve">nt and impact of the Government-led </w:t>
      </w:r>
      <w:r w:rsidR="00EE00FC" w:rsidRPr="00626752">
        <w:rPr>
          <w:rFonts w:ascii="Garamond" w:hAnsi="Garamond"/>
          <w:sz w:val="22"/>
          <w:szCs w:val="22"/>
        </w:rPr>
        <w:t>structural reform</w:t>
      </w:r>
      <w:r w:rsidR="001950CC" w:rsidRPr="00626752">
        <w:rPr>
          <w:rFonts w:ascii="Garamond" w:hAnsi="Garamond"/>
          <w:sz w:val="22"/>
          <w:szCs w:val="22"/>
        </w:rPr>
        <w:t>s</w:t>
      </w:r>
      <w:r w:rsidR="00EE00FC" w:rsidRPr="00626752">
        <w:rPr>
          <w:rFonts w:ascii="Garamond" w:hAnsi="Garamond"/>
          <w:sz w:val="22"/>
          <w:szCs w:val="22"/>
        </w:rPr>
        <w:t xml:space="preserve"> and investment promotion</w:t>
      </w:r>
      <w:r w:rsidR="001950CC" w:rsidRPr="00626752">
        <w:rPr>
          <w:rFonts w:ascii="Garamond" w:hAnsi="Garamond"/>
          <w:sz w:val="22"/>
          <w:szCs w:val="22"/>
        </w:rPr>
        <w:t xml:space="preserve"> policies,</w:t>
      </w:r>
    </w:p>
    <w:p w14:paraId="6B54E8E7" w14:textId="77777777" w:rsidR="00EE00FC" w:rsidRPr="00626752" w:rsidRDefault="00131D86" w:rsidP="00EE00FC">
      <w:pPr>
        <w:pStyle w:val="ListParagraph"/>
        <w:numPr>
          <w:ilvl w:val="0"/>
          <w:numId w:val="6"/>
        </w:num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e</w:t>
      </w:r>
      <w:r w:rsidR="00EE00FC" w:rsidRPr="00626752">
        <w:rPr>
          <w:rFonts w:ascii="Garamond" w:hAnsi="Garamond"/>
          <w:sz w:val="22"/>
          <w:szCs w:val="22"/>
        </w:rPr>
        <w:t xml:space="preserve">conomic </w:t>
      </w:r>
      <w:r w:rsidRPr="00626752">
        <w:rPr>
          <w:rFonts w:ascii="Garamond" w:hAnsi="Garamond"/>
          <w:sz w:val="22"/>
          <w:szCs w:val="22"/>
        </w:rPr>
        <w:t>consequences</w:t>
      </w:r>
      <w:r w:rsidR="00EE00FC" w:rsidRPr="00626752">
        <w:rPr>
          <w:rFonts w:ascii="Garamond" w:hAnsi="Garamond"/>
          <w:sz w:val="22"/>
          <w:szCs w:val="22"/>
        </w:rPr>
        <w:t xml:space="preserve"> of </w:t>
      </w:r>
      <w:proofErr w:type="spellStart"/>
      <w:r w:rsidR="00EE00FC" w:rsidRPr="00626752">
        <w:rPr>
          <w:rFonts w:ascii="Garamond" w:hAnsi="Garamond"/>
          <w:sz w:val="22"/>
          <w:szCs w:val="22"/>
        </w:rPr>
        <w:t>Amulsar</w:t>
      </w:r>
      <w:proofErr w:type="spellEnd"/>
      <w:r w:rsidR="00EE00FC" w:rsidRPr="00626752">
        <w:rPr>
          <w:rFonts w:ascii="Garamond" w:hAnsi="Garamond"/>
          <w:sz w:val="22"/>
          <w:szCs w:val="22"/>
        </w:rPr>
        <w:t xml:space="preserve"> mine </w:t>
      </w:r>
      <w:r w:rsidRPr="00626752">
        <w:rPr>
          <w:rFonts w:ascii="Garamond" w:hAnsi="Garamond"/>
          <w:sz w:val="22"/>
          <w:szCs w:val="22"/>
        </w:rPr>
        <w:t>operation</w:t>
      </w:r>
      <w:r w:rsidR="00EE00FC" w:rsidRPr="00626752">
        <w:rPr>
          <w:rFonts w:ascii="Garamond" w:hAnsi="Garamond"/>
          <w:sz w:val="22"/>
          <w:szCs w:val="22"/>
        </w:rPr>
        <w:t>,</w:t>
      </w:r>
    </w:p>
    <w:p w14:paraId="3377D38A" w14:textId="5120763A" w:rsidR="00EE00FC" w:rsidRDefault="00131D86" w:rsidP="00EE00FC">
      <w:pPr>
        <w:pStyle w:val="ListParagraph"/>
        <w:numPr>
          <w:ilvl w:val="0"/>
          <w:numId w:val="6"/>
        </w:num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u</w:t>
      </w:r>
      <w:r w:rsidR="00EE00FC" w:rsidRPr="00626752">
        <w:rPr>
          <w:rFonts w:ascii="Garamond" w:hAnsi="Garamond"/>
          <w:sz w:val="22"/>
          <w:szCs w:val="22"/>
        </w:rPr>
        <w:t xml:space="preserve">ncertainties regarding the </w:t>
      </w:r>
      <w:r w:rsidRPr="00626752">
        <w:rPr>
          <w:rFonts w:ascii="Garamond" w:hAnsi="Garamond"/>
          <w:sz w:val="22"/>
          <w:szCs w:val="22"/>
        </w:rPr>
        <w:t xml:space="preserve">exploring </w:t>
      </w:r>
      <w:r w:rsidR="00EE00FC" w:rsidRPr="00626752">
        <w:rPr>
          <w:rFonts w:ascii="Garamond" w:hAnsi="Garamond"/>
          <w:sz w:val="22"/>
          <w:szCs w:val="22"/>
        </w:rPr>
        <w:t>new export markets and creati</w:t>
      </w:r>
      <w:r w:rsidRPr="00626752">
        <w:rPr>
          <w:rFonts w:ascii="Garamond" w:hAnsi="Garamond"/>
          <w:sz w:val="22"/>
          <w:szCs w:val="22"/>
        </w:rPr>
        <w:t xml:space="preserve">ng </w:t>
      </w:r>
      <w:r w:rsidR="00EE00FC" w:rsidRPr="00626752">
        <w:rPr>
          <w:rFonts w:ascii="Garamond" w:hAnsi="Garamond"/>
          <w:sz w:val="22"/>
          <w:szCs w:val="22"/>
        </w:rPr>
        <w:t>new products by</w:t>
      </w:r>
      <w:r w:rsidR="00FC67ED" w:rsidRPr="00626752">
        <w:rPr>
          <w:rFonts w:ascii="Garamond" w:hAnsi="Garamond"/>
          <w:sz w:val="22"/>
          <w:szCs w:val="22"/>
        </w:rPr>
        <w:t xml:space="preserve"> businesses</w:t>
      </w:r>
      <w:r w:rsidR="00EE00FC" w:rsidRPr="00626752">
        <w:rPr>
          <w:rFonts w:ascii="Garamond" w:hAnsi="Garamond"/>
          <w:sz w:val="22"/>
          <w:szCs w:val="22"/>
        </w:rPr>
        <w:t>.</w:t>
      </w:r>
    </w:p>
    <w:p w14:paraId="65645CD8" w14:textId="77777777" w:rsidR="00E26630" w:rsidRPr="00E26630" w:rsidRDefault="00E26630" w:rsidP="00E26630">
      <w:pPr>
        <w:autoSpaceDE w:val="0"/>
        <w:autoSpaceDN w:val="0"/>
        <w:adjustRightInd w:val="0"/>
        <w:spacing w:after="120" w:line="360" w:lineRule="auto"/>
        <w:jc w:val="both"/>
        <w:rPr>
          <w:rFonts w:ascii="Garamond" w:hAnsi="Garamond"/>
          <w:sz w:val="22"/>
          <w:szCs w:val="22"/>
        </w:rPr>
      </w:pPr>
    </w:p>
    <w:p w14:paraId="16FB2516" w14:textId="77777777" w:rsidR="00933B63" w:rsidRPr="00626752" w:rsidRDefault="00933B63" w:rsidP="00933B63">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t>3. ACTUAL DEVELOPMENTS IN Q3, 2017</w:t>
      </w:r>
    </w:p>
    <w:p w14:paraId="3BCA6933" w14:textId="77777777" w:rsidR="00933B63" w:rsidRPr="00626752" w:rsidRDefault="00933B63" w:rsidP="00933B63">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t>3.1. Inflation</w:t>
      </w:r>
    </w:p>
    <w:p w14:paraId="5F32A9CF" w14:textId="77777777" w:rsidR="00933B63" w:rsidRPr="00626752" w:rsidRDefault="00933B63" w:rsidP="00933B63">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t>3.1.1. Fulfilment of the inflation target</w:t>
      </w:r>
    </w:p>
    <w:p w14:paraId="35A953B3" w14:textId="77777777" w:rsidR="00A374BA" w:rsidRPr="00626752" w:rsidRDefault="00A374BA" w:rsidP="00933B63">
      <w:pPr>
        <w:autoSpaceDE w:val="0"/>
        <w:autoSpaceDN w:val="0"/>
        <w:adjustRightInd w:val="0"/>
        <w:spacing w:after="120" w:line="360" w:lineRule="auto"/>
        <w:jc w:val="both"/>
        <w:rPr>
          <w:rFonts w:ascii="Garamond" w:hAnsi="Garamond"/>
          <w:sz w:val="22"/>
          <w:szCs w:val="22"/>
        </w:rPr>
      </w:pPr>
      <w:r w:rsidRPr="00626752">
        <w:rPr>
          <w:rFonts w:ascii="Garamond" w:hAnsi="Garamond"/>
          <w:b/>
          <w:sz w:val="22"/>
          <w:szCs w:val="22"/>
        </w:rPr>
        <w:t>For the previous one-year horizon, which covers a timespan from fourth quarter of 2016 to fourth quarter of 2017</w:t>
      </w:r>
      <w:r w:rsidRPr="00626752">
        <w:rPr>
          <w:rFonts w:ascii="Garamond" w:hAnsi="Garamond"/>
          <w:sz w:val="22"/>
          <w:szCs w:val="22"/>
        </w:rPr>
        <w:t xml:space="preserve">, </w:t>
      </w:r>
      <w:r w:rsidR="00CF08C9" w:rsidRPr="00626752">
        <w:rPr>
          <w:rFonts w:ascii="Garamond" w:hAnsi="Garamond"/>
          <w:sz w:val="22"/>
          <w:szCs w:val="22"/>
        </w:rPr>
        <w:t xml:space="preserve">according to Q4, 2016 monetary policy program </w:t>
      </w:r>
      <w:r w:rsidRPr="00626752">
        <w:rPr>
          <w:rFonts w:ascii="Garamond" w:hAnsi="Garamond"/>
          <w:sz w:val="22"/>
          <w:szCs w:val="22"/>
        </w:rPr>
        <w:t xml:space="preserve">the deflationary environment was to mitigate notably at the end of the year but was </w:t>
      </w:r>
      <w:r w:rsidR="00CF08C9" w:rsidRPr="00626752">
        <w:rPr>
          <w:rFonts w:ascii="Garamond" w:hAnsi="Garamond"/>
          <w:sz w:val="22"/>
          <w:szCs w:val="22"/>
        </w:rPr>
        <w:t xml:space="preserve">still to linger </w:t>
      </w:r>
      <w:r w:rsidR="00943F4D" w:rsidRPr="00626752">
        <w:rPr>
          <w:rFonts w:ascii="Garamond" w:hAnsi="Garamond"/>
          <w:sz w:val="22"/>
          <w:szCs w:val="22"/>
        </w:rPr>
        <w:t>over the first quarter of 2017</w:t>
      </w:r>
      <w:r w:rsidR="00A4603B" w:rsidRPr="00626752">
        <w:rPr>
          <w:rFonts w:ascii="Garamond" w:hAnsi="Garamond"/>
          <w:sz w:val="22"/>
          <w:szCs w:val="22"/>
        </w:rPr>
        <w:t>, largely due to a planned lowering of gas tariff; then it was supposed to phase out, giving way to the 12-month inflation rate to return to the target over the rest part of forecast horizon.</w:t>
      </w:r>
      <w:r w:rsidRPr="00626752">
        <w:rPr>
          <w:rFonts w:ascii="Garamond" w:hAnsi="Garamond"/>
          <w:sz w:val="22"/>
          <w:szCs w:val="22"/>
        </w:rPr>
        <w:t xml:space="preserve"> </w:t>
      </w:r>
    </w:p>
    <w:p w14:paraId="3BFCCA47" w14:textId="77777777" w:rsidR="00312FE7" w:rsidRPr="00626752" w:rsidRDefault="00312FE7" w:rsidP="00933B63">
      <w:pPr>
        <w:autoSpaceDE w:val="0"/>
        <w:autoSpaceDN w:val="0"/>
        <w:adjustRightInd w:val="0"/>
        <w:spacing w:after="120" w:line="360" w:lineRule="auto"/>
        <w:jc w:val="both"/>
        <w:rPr>
          <w:rFonts w:ascii="Garamond" w:hAnsi="Garamond"/>
          <w:b/>
          <w:sz w:val="22"/>
          <w:szCs w:val="22"/>
        </w:rPr>
      </w:pPr>
      <w:r w:rsidRPr="00626752">
        <w:rPr>
          <w:rFonts w:ascii="Garamond" w:hAnsi="Garamond"/>
          <w:b/>
          <w:sz w:val="22"/>
          <w:szCs w:val="22"/>
        </w:rPr>
        <w:t xml:space="preserve">In such a situation, the deflation risks, the Central Bank reckoned, would generally persist in the medium run, along with the 2017 contractionary fiscal policy factor, so certain easing of monetary conditions in the fourth quarter was still </w:t>
      </w:r>
      <w:r w:rsidR="006E31BD" w:rsidRPr="00626752">
        <w:rPr>
          <w:rFonts w:ascii="Garamond" w:hAnsi="Garamond"/>
          <w:b/>
          <w:sz w:val="22"/>
          <w:szCs w:val="22"/>
        </w:rPr>
        <w:t>reasonable</w:t>
      </w:r>
      <w:r w:rsidRPr="00626752">
        <w:rPr>
          <w:rFonts w:ascii="Garamond" w:hAnsi="Garamond"/>
          <w:b/>
          <w:sz w:val="22"/>
          <w:szCs w:val="22"/>
        </w:rPr>
        <w:t>.</w:t>
      </w:r>
    </w:p>
    <w:p w14:paraId="6BE8CDDF" w14:textId="77777777" w:rsidR="00A374BA" w:rsidRPr="00626752" w:rsidRDefault="006C6A27" w:rsidP="00933B63">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In the fourth quarter of 2016 and the first quarter of 2017, i</w:t>
      </w:r>
      <w:r w:rsidR="006E31BD" w:rsidRPr="00626752">
        <w:rPr>
          <w:rFonts w:ascii="Garamond" w:hAnsi="Garamond"/>
          <w:sz w:val="22"/>
          <w:szCs w:val="22"/>
        </w:rPr>
        <w:t xml:space="preserve">n spite of the deflationary risks,  </w:t>
      </w:r>
      <w:r w:rsidRPr="00626752">
        <w:rPr>
          <w:rFonts w:ascii="Garamond" w:hAnsi="Garamond"/>
          <w:sz w:val="22"/>
          <w:szCs w:val="22"/>
        </w:rPr>
        <w:t xml:space="preserve">the 12-month inflation rate has notably increased, </w:t>
      </w:r>
      <w:r w:rsidR="006E31BD" w:rsidRPr="00626752">
        <w:rPr>
          <w:rFonts w:ascii="Garamond" w:hAnsi="Garamond"/>
          <w:sz w:val="22"/>
          <w:szCs w:val="22"/>
        </w:rPr>
        <w:t xml:space="preserve">as was expected, </w:t>
      </w:r>
      <w:r w:rsidRPr="00626752">
        <w:rPr>
          <w:rFonts w:ascii="Garamond" w:hAnsi="Garamond"/>
          <w:sz w:val="22"/>
          <w:szCs w:val="22"/>
        </w:rPr>
        <w:t xml:space="preserve">to </w:t>
      </w:r>
      <w:r w:rsidR="006E31BD" w:rsidRPr="00626752">
        <w:rPr>
          <w:rFonts w:ascii="Garamond" w:hAnsi="Garamond"/>
          <w:sz w:val="22"/>
          <w:szCs w:val="22"/>
        </w:rPr>
        <w:t xml:space="preserve">-0.1% </w:t>
      </w:r>
      <w:r w:rsidRPr="00626752">
        <w:rPr>
          <w:rFonts w:ascii="Garamond" w:hAnsi="Garamond"/>
          <w:b/>
          <w:sz w:val="22"/>
          <w:szCs w:val="22"/>
        </w:rPr>
        <w:t>at the end of March</w:t>
      </w:r>
      <w:r w:rsidRPr="00626752">
        <w:rPr>
          <w:rFonts w:ascii="Garamond" w:hAnsi="Garamond"/>
          <w:sz w:val="22"/>
          <w:szCs w:val="22"/>
        </w:rPr>
        <w:t xml:space="preserve"> (year 2016 ended with </w:t>
      </w:r>
      <w:r w:rsidRPr="00626752">
        <w:rPr>
          <w:rFonts w:ascii="Garamond" w:hAnsi="Garamond"/>
          <w:b/>
          <w:sz w:val="22"/>
          <w:szCs w:val="22"/>
        </w:rPr>
        <w:t>-1.1%</w:t>
      </w:r>
      <w:r w:rsidR="006E31BD" w:rsidRPr="00626752">
        <w:rPr>
          <w:rFonts w:ascii="Garamond" w:hAnsi="Garamond"/>
          <w:sz w:val="22"/>
          <w:szCs w:val="22"/>
        </w:rPr>
        <w:t xml:space="preserve">). It should be noted that inflationary developments </w:t>
      </w:r>
      <w:r w:rsidR="00266CD8" w:rsidRPr="00626752">
        <w:rPr>
          <w:rFonts w:ascii="Garamond" w:hAnsi="Garamond"/>
          <w:sz w:val="22"/>
          <w:szCs w:val="22"/>
        </w:rPr>
        <w:t xml:space="preserve">in this period of time have </w:t>
      </w:r>
      <w:r w:rsidR="006E31BD" w:rsidRPr="00626752">
        <w:rPr>
          <w:rFonts w:ascii="Garamond" w:hAnsi="Garamond"/>
          <w:sz w:val="22"/>
          <w:szCs w:val="22"/>
        </w:rPr>
        <w:t xml:space="preserve">mostly </w:t>
      </w:r>
      <w:r w:rsidR="00266CD8" w:rsidRPr="00626752">
        <w:rPr>
          <w:rFonts w:ascii="Garamond" w:hAnsi="Garamond"/>
          <w:sz w:val="22"/>
          <w:szCs w:val="22"/>
        </w:rPr>
        <w:t xml:space="preserve">incurred </w:t>
      </w:r>
      <w:r w:rsidR="006E31BD" w:rsidRPr="00626752">
        <w:rPr>
          <w:rFonts w:ascii="Garamond" w:hAnsi="Garamond"/>
          <w:sz w:val="22"/>
          <w:szCs w:val="22"/>
        </w:rPr>
        <w:t>the influence of expansi</w:t>
      </w:r>
      <w:r w:rsidR="00266CD8" w:rsidRPr="00626752">
        <w:rPr>
          <w:rFonts w:ascii="Garamond" w:hAnsi="Garamond"/>
          <w:sz w:val="22"/>
          <w:szCs w:val="22"/>
        </w:rPr>
        <w:t xml:space="preserve">onary </w:t>
      </w:r>
      <w:r w:rsidR="006E31BD" w:rsidRPr="00626752">
        <w:rPr>
          <w:rFonts w:ascii="Garamond" w:hAnsi="Garamond"/>
          <w:sz w:val="22"/>
          <w:szCs w:val="22"/>
        </w:rPr>
        <w:t>monetary policy implemented by the Central Bank.</w:t>
      </w:r>
    </w:p>
    <w:p w14:paraId="5D2EDA2C" w14:textId="77777777" w:rsidR="00266CD8" w:rsidRPr="00626752" w:rsidRDefault="00266CD8" w:rsidP="00933B63">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In </w:t>
      </w:r>
      <w:r w:rsidR="002C086C" w:rsidRPr="00626752">
        <w:rPr>
          <w:rFonts w:ascii="Garamond" w:hAnsi="Garamond"/>
          <w:sz w:val="22"/>
          <w:szCs w:val="22"/>
        </w:rPr>
        <w:t xml:space="preserve">consideration of </w:t>
      </w:r>
      <w:r w:rsidRPr="00626752">
        <w:rPr>
          <w:rFonts w:ascii="Garamond" w:hAnsi="Garamond"/>
          <w:sz w:val="22"/>
          <w:szCs w:val="22"/>
        </w:rPr>
        <w:t>the domestic demand persisted at a low between October 2016 and March 2017, the deflationary effects from the external sector transmitted onto food products and, later on, non-food products, as well as anticipated impact of the Government’s contractionary fiscal policy in 2017, the C</w:t>
      </w:r>
      <w:r w:rsidR="002C086C" w:rsidRPr="00626752">
        <w:rPr>
          <w:rFonts w:ascii="Garamond" w:hAnsi="Garamond"/>
          <w:sz w:val="22"/>
          <w:szCs w:val="22"/>
        </w:rPr>
        <w:t xml:space="preserve">entral </w:t>
      </w:r>
      <w:r w:rsidRPr="00626752">
        <w:rPr>
          <w:rFonts w:ascii="Garamond" w:hAnsi="Garamond"/>
          <w:sz w:val="22"/>
          <w:szCs w:val="22"/>
        </w:rPr>
        <w:t>B</w:t>
      </w:r>
      <w:r w:rsidR="002C086C" w:rsidRPr="00626752">
        <w:rPr>
          <w:rFonts w:ascii="Garamond" w:hAnsi="Garamond"/>
          <w:sz w:val="22"/>
          <w:szCs w:val="22"/>
        </w:rPr>
        <w:t>ank</w:t>
      </w:r>
      <w:r w:rsidRPr="00626752">
        <w:rPr>
          <w:rFonts w:ascii="Garamond" w:hAnsi="Garamond"/>
          <w:sz w:val="22"/>
          <w:szCs w:val="22"/>
        </w:rPr>
        <w:t xml:space="preserve"> continued in the meantime to mitigate the lending </w:t>
      </w:r>
      <w:r w:rsidR="002C086C" w:rsidRPr="00626752">
        <w:rPr>
          <w:rFonts w:ascii="Garamond" w:hAnsi="Garamond"/>
          <w:sz w:val="22"/>
          <w:szCs w:val="22"/>
        </w:rPr>
        <w:t>terms</w:t>
      </w:r>
      <w:r w:rsidRPr="00626752">
        <w:rPr>
          <w:rFonts w:ascii="Garamond" w:hAnsi="Garamond"/>
          <w:sz w:val="22"/>
          <w:szCs w:val="22"/>
        </w:rPr>
        <w:t xml:space="preserve"> by reducing the refinancing rate by 0.75 p</w:t>
      </w:r>
      <w:r w:rsidR="002C086C" w:rsidRPr="00626752">
        <w:rPr>
          <w:rFonts w:ascii="Garamond" w:hAnsi="Garamond"/>
          <w:sz w:val="22"/>
          <w:szCs w:val="22"/>
        </w:rPr>
        <w:t>p</w:t>
      </w:r>
      <w:r w:rsidRPr="00626752">
        <w:rPr>
          <w:rFonts w:ascii="Garamond" w:hAnsi="Garamond"/>
          <w:sz w:val="22"/>
          <w:szCs w:val="22"/>
        </w:rPr>
        <w:t xml:space="preserve"> to </w:t>
      </w:r>
      <w:r w:rsidRPr="00626752">
        <w:rPr>
          <w:rFonts w:ascii="Garamond" w:hAnsi="Garamond"/>
          <w:b/>
          <w:sz w:val="22"/>
          <w:szCs w:val="22"/>
        </w:rPr>
        <w:t>6.0%</w:t>
      </w:r>
      <w:r w:rsidRPr="00626752">
        <w:rPr>
          <w:rFonts w:ascii="Garamond" w:hAnsi="Garamond"/>
          <w:sz w:val="22"/>
          <w:szCs w:val="22"/>
        </w:rPr>
        <w:t xml:space="preserve"> at the end of February.</w:t>
      </w:r>
    </w:p>
    <w:p w14:paraId="6974B50E" w14:textId="77777777" w:rsidR="00DA7005" w:rsidRPr="00626752" w:rsidRDefault="00DA7005" w:rsidP="00933B63">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lastRenderedPageBreak/>
        <w:t xml:space="preserve">In the second quarter of 2017 inflation increased considerably, largely due to high levels of prices for agricultural products, and, as a result, </w:t>
      </w:r>
      <w:r w:rsidRPr="00626752">
        <w:rPr>
          <w:rFonts w:ascii="Garamond" w:hAnsi="Garamond"/>
          <w:b/>
          <w:sz w:val="22"/>
          <w:szCs w:val="22"/>
        </w:rPr>
        <w:t>the 12-month inflation rate has entered a positive territory since April</w:t>
      </w:r>
      <w:r w:rsidRPr="00626752">
        <w:rPr>
          <w:rFonts w:ascii="Garamond" w:hAnsi="Garamond"/>
          <w:sz w:val="22"/>
          <w:szCs w:val="22"/>
        </w:rPr>
        <w:t xml:space="preserve">, fluctuating within </w:t>
      </w:r>
      <w:r w:rsidRPr="00626752">
        <w:rPr>
          <w:rFonts w:ascii="Garamond" w:hAnsi="Garamond"/>
          <w:b/>
          <w:sz w:val="22"/>
          <w:szCs w:val="22"/>
        </w:rPr>
        <w:t>1.3%</w:t>
      </w:r>
      <w:r w:rsidR="00D46A64" w:rsidRPr="00626752">
        <w:rPr>
          <w:rFonts w:ascii="Garamond" w:hAnsi="Garamond"/>
          <w:sz w:val="22"/>
          <w:szCs w:val="22"/>
        </w:rPr>
        <w:t xml:space="preserve"> on average</w:t>
      </w:r>
      <w:r w:rsidR="00491B9C" w:rsidRPr="00626752">
        <w:rPr>
          <w:rFonts w:ascii="Garamond" w:hAnsi="Garamond"/>
          <w:sz w:val="22"/>
          <w:szCs w:val="22"/>
        </w:rPr>
        <w:t xml:space="preserve"> during the quarter</w:t>
      </w:r>
      <w:r w:rsidRPr="00626752">
        <w:rPr>
          <w:rFonts w:ascii="Garamond" w:hAnsi="Garamond"/>
          <w:sz w:val="22"/>
          <w:szCs w:val="22"/>
        </w:rPr>
        <w:t xml:space="preserve">. </w:t>
      </w:r>
      <w:r w:rsidR="00D16B8C" w:rsidRPr="00626752">
        <w:rPr>
          <w:rFonts w:ascii="Garamond" w:hAnsi="Garamond"/>
          <w:sz w:val="22"/>
          <w:szCs w:val="22"/>
        </w:rPr>
        <w:t>In the meantime</w:t>
      </w:r>
      <w:r w:rsidRPr="00626752">
        <w:rPr>
          <w:rFonts w:ascii="Garamond" w:hAnsi="Garamond"/>
          <w:sz w:val="22"/>
          <w:szCs w:val="22"/>
        </w:rPr>
        <w:t xml:space="preserve">, the 12-month </w:t>
      </w:r>
      <w:r w:rsidR="00D16B8C" w:rsidRPr="00626752">
        <w:rPr>
          <w:rFonts w:ascii="Garamond" w:hAnsi="Garamond"/>
          <w:sz w:val="22"/>
          <w:szCs w:val="22"/>
        </w:rPr>
        <w:t>core</w:t>
      </w:r>
      <w:r w:rsidRPr="00626752">
        <w:rPr>
          <w:rFonts w:ascii="Garamond" w:hAnsi="Garamond"/>
          <w:sz w:val="22"/>
          <w:szCs w:val="22"/>
        </w:rPr>
        <w:t xml:space="preserve"> inflation </w:t>
      </w:r>
      <w:r w:rsidR="00D16B8C" w:rsidRPr="00626752">
        <w:rPr>
          <w:rFonts w:ascii="Garamond" w:hAnsi="Garamond"/>
          <w:sz w:val="22"/>
          <w:szCs w:val="22"/>
        </w:rPr>
        <w:t xml:space="preserve">rate has </w:t>
      </w:r>
      <w:r w:rsidRPr="00626752">
        <w:rPr>
          <w:rFonts w:ascii="Garamond" w:hAnsi="Garamond"/>
          <w:sz w:val="22"/>
          <w:szCs w:val="22"/>
        </w:rPr>
        <w:t>also increased</w:t>
      </w:r>
      <w:r w:rsidR="00D16B8C" w:rsidRPr="00626752">
        <w:rPr>
          <w:rFonts w:ascii="Garamond" w:hAnsi="Garamond"/>
          <w:sz w:val="22"/>
          <w:szCs w:val="22"/>
        </w:rPr>
        <w:t>,</w:t>
      </w:r>
      <w:r w:rsidRPr="00626752">
        <w:rPr>
          <w:rFonts w:ascii="Garamond" w:hAnsi="Garamond"/>
          <w:sz w:val="22"/>
          <w:szCs w:val="22"/>
        </w:rPr>
        <w:t xml:space="preserve"> </w:t>
      </w:r>
      <w:r w:rsidR="00D16B8C" w:rsidRPr="00626752">
        <w:rPr>
          <w:rFonts w:ascii="Garamond" w:hAnsi="Garamond"/>
          <w:sz w:val="22"/>
          <w:szCs w:val="22"/>
        </w:rPr>
        <w:t>to</w:t>
      </w:r>
      <w:r w:rsidRPr="00626752">
        <w:rPr>
          <w:rFonts w:ascii="Garamond" w:hAnsi="Garamond"/>
          <w:sz w:val="22"/>
          <w:szCs w:val="22"/>
        </w:rPr>
        <w:t xml:space="preserve"> 0.3%</w:t>
      </w:r>
      <w:r w:rsidR="00D16B8C" w:rsidRPr="00626752">
        <w:rPr>
          <w:rFonts w:ascii="Garamond" w:hAnsi="Garamond"/>
          <w:sz w:val="22"/>
          <w:szCs w:val="22"/>
        </w:rPr>
        <w:t xml:space="preserve"> from the</w:t>
      </w:r>
      <w:r w:rsidRPr="00626752">
        <w:rPr>
          <w:rFonts w:ascii="Garamond" w:hAnsi="Garamond"/>
          <w:sz w:val="22"/>
          <w:szCs w:val="22"/>
        </w:rPr>
        <w:t xml:space="preserve"> </w:t>
      </w:r>
      <w:r w:rsidR="00D16B8C" w:rsidRPr="00626752">
        <w:rPr>
          <w:rFonts w:ascii="Garamond" w:hAnsi="Garamond"/>
          <w:sz w:val="22"/>
          <w:szCs w:val="22"/>
        </w:rPr>
        <w:t xml:space="preserve">previous quarter’s indicator of </w:t>
      </w:r>
      <w:r w:rsidRPr="00626752">
        <w:rPr>
          <w:rFonts w:ascii="Garamond" w:hAnsi="Garamond"/>
          <w:sz w:val="22"/>
          <w:szCs w:val="22"/>
        </w:rPr>
        <w:t xml:space="preserve">-0.9% </w:t>
      </w:r>
      <w:r w:rsidR="00D16B8C" w:rsidRPr="00626752">
        <w:rPr>
          <w:rFonts w:ascii="Garamond" w:hAnsi="Garamond"/>
          <w:sz w:val="22"/>
          <w:szCs w:val="22"/>
        </w:rPr>
        <w:t xml:space="preserve">owing to </w:t>
      </w:r>
      <w:r w:rsidRPr="00626752">
        <w:rPr>
          <w:rFonts w:ascii="Garamond" w:hAnsi="Garamond"/>
          <w:sz w:val="22"/>
          <w:szCs w:val="22"/>
        </w:rPr>
        <w:t>a</w:t>
      </w:r>
      <w:r w:rsidR="00D16B8C" w:rsidRPr="00626752">
        <w:rPr>
          <w:rFonts w:ascii="Garamond" w:hAnsi="Garamond"/>
          <w:sz w:val="22"/>
          <w:szCs w:val="22"/>
        </w:rPr>
        <w:t>n</w:t>
      </w:r>
      <w:r w:rsidRPr="00626752">
        <w:rPr>
          <w:rFonts w:ascii="Garamond" w:hAnsi="Garamond"/>
          <w:sz w:val="22"/>
          <w:szCs w:val="22"/>
        </w:rPr>
        <w:t xml:space="preserve"> </w:t>
      </w:r>
      <w:r w:rsidR="00D16B8C" w:rsidRPr="00626752">
        <w:rPr>
          <w:rFonts w:ascii="Garamond" w:hAnsi="Garamond"/>
          <w:sz w:val="22"/>
          <w:szCs w:val="22"/>
        </w:rPr>
        <w:t xml:space="preserve">expansionary </w:t>
      </w:r>
      <w:r w:rsidRPr="00626752">
        <w:rPr>
          <w:rFonts w:ascii="Garamond" w:hAnsi="Garamond"/>
          <w:sz w:val="22"/>
          <w:szCs w:val="22"/>
        </w:rPr>
        <w:t>monetary policy.</w:t>
      </w:r>
      <w:r w:rsidR="004E0889" w:rsidRPr="00626752">
        <w:rPr>
          <w:rFonts w:ascii="Garamond" w:hAnsi="Garamond"/>
          <w:sz w:val="22"/>
          <w:szCs w:val="22"/>
        </w:rPr>
        <w:t xml:space="preserve"> T</w:t>
      </w:r>
      <w:r w:rsidRPr="00626752">
        <w:rPr>
          <w:rFonts w:ascii="Garamond" w:hAnsi="Garamond"/>
          <w:sz w:val="22"/>
          <w:szCs w:val="22"/>
        </w:rPr>
        <w:t xml:space="preserve">he 12-month </w:t>
      </w:r>
      <w:r w:rsidR="004E0889" w:rsidRPr="00626752">
        <w:rPr>
          <w:rFonts w:ascii="Garamond" w:hAnsi="Garamond"/>
          <w:sz w:val="22"/>
          <w:szCs w:val="22"/>
        </w:rPr>
        <w:t>growth rates in fruit and vegetable price</w:t>
      </w:r>
      <w:r w:rsidRPr="00626752">
        <w:rPr>
          <w:rFonts w:ascii="Garamond" w:hAnsi="Garamond"/>
          <w:sz w:val="22"/>
          <w:szCs w:val="22"/>
        </w:rPr>
        <w:t>s slowed down</w:t>
      </w:r>
      <w:r w:rsidR="004E0889" w:rsidRPr="00626752">
        <w:rPr>
          <w:rFonts w:ascii="Garamond" w:hAnsi="Garamond"/>
          <w:sz w:val="22"/>
          <w:szCs w:val="22"/>
        </w:rPr>
        <w:t xml:space="preserve"> in the third quarter;</w:t>
      </w:r>
      <w:r w:rsidRPr="00626752">
        <w:rPr>
          <w:rFonts w:ascii="Garamond" w:hAnsi="Garamond"/>
          <w:sz w:val="22"/>
          <w:szCs w:val="22"/>
        </w:rPr>
        <w:t xml:space="preserve"> </w:t>
      </w:r>
      <w:r w:rsidR="004E0889" w:rsidRPr="00626752">
        <w:rPr>
          <w:rFonts w:ascii="Garamond" w:hAnsi="Garamond"/>
          <w:sz w:val="22"/>
          <w:szCs w:val="22"/>
        </w:rPr>
        <w:t>this</w:t>
      </w:r>
      <w:r w:rsidRPr="00626752">
        <w:rPr>
          <w:rFonts w:ascii="Garamond" w:hAnsi="Garamond"/>
          <w:sz w:val="22"/>
          <w:szCs w:val="22"/>
        </w:rPr>
        <w:t xml:space="preserve"> has </w:t>
      </w:r>
      <w:r w:rsidR="004E0889" w:rsidRPr="00626752">
        <w:rPr>
          <w:rFonts w:ascii="Garamond" w:hAnsi="Garamond"/>
          <w:sz w:val="22"/>
          <w:szCs w:val="22"/>
        </w:rPr>
        <w:t xml:space="preserve">halted </w:t>
      </w:r>
      <w:r w:rsidRPr="00626752">
        <w:rPr>
          <w:rFonts w:ascii="Garamond" w:hAnsi="Garamond"/>
          <w:sz w:val="22"/>
          <w:szCs w:val="22"/>
        </w:rPr>
        <w:t>the recover</w:t>
      </w:r>
      <w:r w:rsidR="004E0889" w:rsidRPr="00626752">
        <w:rPr>
          <w:rFonts w:ascii="Garamond" w:hAnsi="Garamond"/>
          <w:sz w:val="22"/>
          <w:szCs w:val="22"/>
        </w:rPr>
        <w:t xml:space="preserve">ing </w:t>
      </w:r>
      <w:r w:rsidRPr="00626752">
        <w:rPr>
          <w:rFonts w:ascii="Garamond" w:hAnsi="Garamond"/>
          <w:sz w:val="22"/>
          <w:szCs w:val="22"/>
        </w:rPr>
        <w:t xml:space="preserve">of inflation which </w:t>
      </w:r>
      <w:r w:rsidR="004E0889" w:rsidRPr="00626752">
        <w:rPr>
          <w:rFonts w:ascii="Garamond" w:hAnsi="Garamond"/>
          <w:sz w:val="22"/>
          <w:szCs w:val="22"/>
        </w:rPr>
        <w:t xml:space="preserve">averaged </w:t>
      </w:r>
      <w:r w:rsidRPr="00626752">
        <w:rPr>
          <w:rFonts w:ascii="Garamond" w:hAnsi="Garamond"/>
          <w:sz w:val="22"/>
          <w:szCs w:val="22"/>
        </w:rPr>
        <w:t xml:space="preserve">1.0%, while the 12-month </w:t>
      </w:r>
      <w:r w:rsidR="004E0889" w:rsidRPr="00626752">
        <w:rPr>
          <w:rFonts w:ascii="Garamond" w:hAnsi="Garamond"/>
          <w:sz w:val="22"/>
          <w:szCs w:val="22"/>
        </w:rPr>
        <w:t>core</w:t>
      </w:r>
      <w:r w:rsidRPr="00626752">
        <w:rPr>
          <w:rFonts w:ascii="Garamond" w:hAnsi="Garamond"/>
          <w:sz w:val="22"/>
          <w:szCs w:val="22"/>
        </w:rPr>
        <w:t xml:space="preserve"> inflation </w:t>
      </w:r>
      <w:r w:rsidR="004E0889" w:rsidRPr="00626752">
        <w:rPr>
          <w:rFonts w:ascii="Garamond" w:hAnsi="Garamond"/>
          <w:sz w:val="22"/>
          <w:szCs w:val="22"/>
        </w:rPr>
        <w:t xml:space="preserve">rate </w:t>
      </w:r>
      <w:r w:rsidRPr="00626752">
        <w:rPr>
          <w:rFonts w:ascii="Garamond" w:hAnsi="Garamond"/>
          <w:sz w:val="22"/>
          <w:szCs w:val="22"/>
        </w:rPr>
        <w:t>continued grow</w:t>
      </w:r>
      <w:r w:rsidR="004E0889" w:rsidRPr="00626752">
        <w:rPr>
          <w:rFonts w:ascii="Garamond" w:hAnsi="Garamond"/>
          <w:sz w:val="22"/>
          <w:szCs w:val="22"/>
        </w:rPr>
        <w:t>ing</w:t>
      </w:r>
      <w:r w:rsidRPr="00626752">
        <w:rPr>
          <w:rFonts w:ascii="Garamond" w:hAnsi="Garamond"/>
          <w:sz w:val="22"/>
          <w:szCs w:val="22"/>
        </w:rPr>
        <w:t xml:space="preserve"> at a rapid pace</w:t>
      </w:r>
      <w:r w:rsidR="004E0889" w:rsidRPr="00626752">
        <w:rPr>
          <w:rFonts w:ascii="Garamond" w:hAnsi="Garamond"/>
          <w:sz w:val="22"/>
          <w:szCs w:val="22"/>
        </w:rPr>
        <w:t xml:space="preserve">, amounting to 1.9% </w:t>
      </w:r>
      <w:r w:rsidRPr="00626752">
        <w:rPr>
          <w:rFonts w:ascii="Garamond" w:hAnsi="Garamond"/>
          <w:sz w:val="22"/>
          <w:szCs w:val="22"/>
        </w:rPr>
        <w:t>by the end of the quarter</w:t>
      </w:r>
      <w:r w:rsidR="004E0889" w:rsidRPr="00626752">
        <w:rPr>
          <w:rFonts w:ascii="Garamond" w:hAnsi="Garamond"/>
          <w:sz w:val="22"/>
          <w:szCs w:val="22"/>
        </w:rPr>
        <w:t>.</w:t>
      </w:r>
      <w:r w:rsidRPr="00626752">
        <w:rPr>
          <w:rFonts w:ascii="Garamond" w:hAnsi="Garamond"/>
          <w:sz w:val="22"/>
          <w:szCs w:val="22"/>
        </w:rPr>
        <w:t xml:space="preserve"> It should be noted that </w:t>
      </w:r>
      <w:r w:rsidR="00CC20C2" w:rsidRPr="00626752">
        <w:rPr>
          <w:rFonts w:ascii="Garamond" w:hAnsi="Garamond"/>
          <w:sz w:val="22"/>
          <w:szCs w:val="22"/>
        </w:rPr>
        <w:t xml:space="preserve">October saw </w:t>
      </w:r>
      <w:r w:rsidRPr="00626752">
        <w:rPr>
          <w:rFonts w:ascii="Garamond" w:hAnsi="Garamond"/>
          <w:sz w:val="22"/>
          <w:szCs w:val="22"/>
        </w:rPr>
        <w:t xml:space="preserve">both </w:t>
      </w:r>
      <w:r w:rsidR="00CC20C2" w:rsidRPr="00626752">
        <w:rPr>
          <w:rFonts w:ascii="Garamond" w:hAnsi="Garamond"/>
          <w:sz w:val="22"/>
          <w:szCs w:val="22"/>
        </w:rPr>
        <w:t>headline</w:t>
      </w:r>
      <w:r w:rsidRPr="00626752">
        <w:rPr>
          <w:rFonts w:ascii="Garamond" w:hAnsi="Garamond"/>
          <w:sz w:val="22"/>
          <w:szCs w:val="22"/>
        </w:rPr>
        <w:t xml:space="preserve"> and </w:t>
      </w:r>
      <w:r w:rsidR="00CC20C2" w:rsidRPr="00626752">
        <w:rPr>
          <w:rFonts w:ascii="Garamond" w:hAnsi="Garamond"/>
          <w:sz w:val="22"/>
          <w:szCs w:val="22"/>
        </w:rPr>
        <w:t>core</w:t>
      </w:r>
      <w:r w:rsidRPr="00626752">
        <w:rPr>
          <w:rFonts w:ascii="Garamond" w:hAnsi="Garamond"/>
          <w:sz w:val="22"/>
          <w:szCs w:val="22"/>
        </w:rPr>
        <w:t xml:space="preserve"> inflation</w:t>
      </w:r>
      <w:r w:rsidR="00CC20C2" w:rsidRPr="00626752">
        <w:rPr>
          <w:rFonts w:ascii="Garamond" w:hAnsi="Garamond"/>
          <w:sz w:val="22"/>
          <w:szCs w:val="22"/>
        </w:rPr>
        <w:t xml:space="preserve"> rates</w:t>
      </w:r>
      <w:r w:rsidRPr="00626752">
        <w:rPr>
          <w:rFonts w:ascii="Garamond" w:hAnsi="Garamond"/>
          <w:sz w:val="22"/>
          <w:szCs w:val="22"/>
        </w:rPr>
        <w:t xml:space="preserve"> increase</w:t>
      </w:r>
      <w:r w:rsidR="00CC20C2" w:rsidRPr="00626752">
        <w:rPr>
          <w:rFonts w:ascii="Garamond" w:hAnsi="Garamond"/>
          <w:sz w:val="22"/>
          <w:szCs w:val="22"/>
        </w:rPr>
        <w:t>d</w:t>
      </w:r>
      <w:r w:rsidRPr="00626752">
        <w:rPr>
          <w:rFonts w:ascii="Garamond" w:hAnsi="Garamond"/>
          <w:sz w:val="22"/>
          <w:szCs w:val="22"/>
        </w:rPr>
        <w:t xml:space="preserve"> </w:t>
      </w:r>
      <w:r w:rsidR="00CC20C2" w:rsidRPr="00626752">
        <w:rPr>
          <w:rFonts w:ascii="Garamond" w:hAnsi="Garamond"/>
          <w:sz w:val="22"/>
          <w:szCs w:val="22"/>
        </w:rPr>
        <w:t>to</w:t>
      </w:r>
      <w:r w:rsidRPr="00626752">
        <w:rPr>
          <w:rFonts w:ascii="Garamond" w:hAnsi="Garamond"/>
          <w:sz w:val="22"/>
          <w:szCs w:val="22"/>
        </w:rPr>
        <w:t xml:space="preserve"> 1.2% and 2.4%, </w:t>
      </w:r>
      <w:r w:rsidR="00CC20C2" w:rsidRPr="00626752">
        <w:rPr>
          <w:rFonts w:ascii="Garamond" w:hAnsi="Garamond"/>
          <w:sz w:val="22"/>
          <w:szCs w:val="22"/>
        </w:rPr>
        <w:t xml:space="preserve">respectively, </w:t>
      </w:r>
      <w:r w:rsidRPr="00626752">
        <w:rPr>
          <w:rFonts w:ascii="Garamond" w:hAnsi="Garamond"/>
          <w:sz w:val="22"/>
          <w:szCs w:val="22"/>
        </w:rPr>
        <w:t xml:space="preserve">which </w:t>
      </w:r>
      <w:r w:rsidR="00CC20C2" w:rsidRPr="00626752">
        <w:rPr>
          <w:rFonts w:ascii="Garamond" w:hAnsi="Garamond"/>
          <w:sz w:val="22"/>
          <w:szCs w:val="22"/>
        </w:rPr>
        <w:t xml:space="preserve">points to </w:t>
      </w:r>
      <w:r w:rsidRPr="00626752">
        <w:rPr>
          <w:rFonts w:ascii="Garamond" w:hAnsi="Garamond"/>
          <w:sz w:val="22"/>
          <w:szCs w:val="22"/>
        </w:rPr>
        <w:t xml:space="preserve">high probability </w:t>
      </w:r>
      <w:r w:rsidR="00CC20C2" w:rsidRPr="00626752">
        <w:rPr>
          <w:rFonts w:ascii="Garamond" w:hAnsi="Garamond"/>
          <w:sz w:val="22"/>
          <w:szCs w:val="22"/>
        </w:rPr>
        <w:t xml:space="preserve">that prices of </w:t>
      </w:r>
      <w:r w:rsidRPr="00626752">
        <w:rPr>
          <w:rFonts w:ascii="Garamond" w:hAnsi="Garamond"/>
          <w:sz w:val="22"/>
          <w:szCs w:val="22"/>
        </w:rPr>
        <w:t xml:space="preserve">seasonal agricultural products </w:t>
      </w:r>
      <w:r w:rsidR="00CC20C2" w:rsidRPr="00626752">
        <w:rPr>
          <w:rFonts w:ascii="Garamond" w:hAnsi="Garamond"/>
          <w:sz w:val="22"/>
          <w:szCs w:val="22"/>
        </w:rPr>
        <w:t xml:space="preserve">would rise </w:t>
      </w:r>
      <w:r w:rsidRPr="00626752">
        <w:rPr>
          <w:rFonts w:ascii="Garamond" w:hAnsi="Garamond"/>
          <w:sz w:val="22"/>
          <w:szCs w:val="22"/>
        </w:rPr>
        <w:t xml:space="preserve">and </w:t>
      </w:r>
      <w:r w:rsidR="00CC20C2" w:rsidRPr="00626752">
        <w:rPr>
          <w:rFonts w:ascii="Garamond" w:hAnsi="Garamond"/>
          <w:sz w:val="22"/>
          <w:szCs w:val="22"/>
        </w:rPr>
        <w:t>more inflation</w:t>
      </w:r>
      <w:r w:rsidRPr="00626752">
        <w:rPr>
          <w:rFonts w:ascii="Garamond" w:hAnsi="Garamond"/>
          <w:sz w:val="22"/>
          <w:szCs w:val="22"/>
        </w:rPr>
        <w:t xml:space="preserve"> expectations </w:t>
      </w:r>
      <w:r w:rsidR="00CC20C2" w:rsidRPr="00626752">
        <w:rPr>
          <w:rFonts w:ascii="Garamond" w:hAnsi="Garamond"/>
          <w:sz w:val="22"/>
          <w:szCs w:val="22"/>
        </w:rPr>
        <w:t xml:space="preserve">would emerge </w:t>
      </w:r>
      <w:r w:rsidRPr="00626752">
        <w:rPr>
          <w:rFonts w:ascii="Garamond" w:hAnsi="Garamond"/>
          <w:sz w:val="22"/>
          <w:szCs w:val="22"/>
        </w:rPr>
        <w:t xml:space="preserve">by the end of the year. At the same time, the inflation expectations of the population are growing faster due to </w:t>
      </w:r>
      <w:r w:rsidR="004D4A0F" w:rsidRPr="00626752">
        <w:rPr>
          <w:rFonts w:ascii="Garamond" w:hAnsi="Garamond"/>
          <w:sz w:val="22"/>
          <w:szCs w:val="22"/>
        </w:rPr>
        <w:t>i</w:t>
      </w:r>
      <w:r w:rsidRPr="00626752">
        <w:rPr>
          <w:rFonts w:ascii="Garamond" w:hAnsi="Garamond"/>
          <w:sz w:val="22"/>
          <w:szCs w:val="22"/>
        </w:rPr>
        <w:t>ncrease</w:t>
      </w:r>
      <w:r w:rsidR="004D4A0F" w:rsidRPr="00626752">
        <w:rPr>
          <w:rFonts w:ascii="Garamond" w:hAnsi="Garamond"/>
          <w:sz w:val="22"/>
          <w:szCs w:val="22"/>
        </w:rPr>
        <w:t xml:space="preserve">d </w:t>
      </w:r>
      <w:r w:rsidRPr="00626752">
        <w:rPr>
          <w:rFonts w:ascii="Garamond" w:hAnsi="Garamond"/>
          <w:sz w:val="22"/>
          <w:szCs w:val="22"/>
        </w:rPr>
        <w:t xml:space="preserve">prices for some products in the </w:t>
      </w:r>
      <w:r w:rsidR="004D4A0F" w:rsidRPr="00626752">
        <w:rPr>
          <w:rFonts w:ascii="Garamond" w:hAnsi="Garamond"/>
          <w:sz w:val="22"/>
          <w:szCs w:val="22"/>
        </w:rPr>
        <w:t>food products markets in the world</w:t>
      </w:r>
      <w:r w:rsidRPr="00626752">
        <w:rPr>
          <w:rFonts w:ascii="Garamond" w:hAnsi="Garamond"/>
          <w:sz w:val="22"/>
          <w:szCs w:val="22"/>
        </w:rPr>
        <w:t>.</w:t>
      </w:r>
    </w:p>
    <w:p w14:paraId="3D52C994" w14:textId="3830EEE6" w:rsidR="009321C8" w:rsidRDefault="009321C8" w:rsidP="00933B63">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In such a situation, the Central Bank reckons, the monetary policy implemented previously proved rather expansionary for the inflation to recover and would still have its impact transmitted </w:t>
      </w:r>
      <w:r w:rsidR="00744899" w:rsidRPr="00626752">
        <w:rPr>
          <w:rFonts w:ascii="Garamond" w:hAnsi="Garamond"/>
          <w:sz w:val="22"/>
          <w:szCs w:val="22"/>
        </w:rPr>
        <w:t xml:space="preserve">by the end of the year. Therefore, the Central Bank </w:t>
      </w:r>
      <w:r w:rsidRPr="00626752">
        <w:rPr>
          <w:rFonts w:ascii="Garamond" w:hAnsi="Garamond"/>
          <w:sz w:val="22"/>
          <w:szCs w:val="22"/>
        </w:rPr>
        <w:t xml:space="preserve">left </w:t>
      </w:r>
      <w:r w:rsidR="00744899" w:rsidRPr="00626752">
        <w:rPr>
          <w:rFonts w:ascii="Garamond" w:hAnsi="Garamond"/>
          <w:sz w:val="22"/>
          <w:szCs w:val="22"/>
        </w:rPr>
        <w:t xml:space="preserve">the monetary conditions unchanged </w:t>
      </w:r>
      <w:r w:rsidRPr="00626752">
        <w:rPr>
          <w:rFonts w:ascii="Garamond" w:hAnsi="Garamond"/>
          <w:sz w:val="22"/>
          <w:szCs w:val="22"/>
        </w:rPr>
        <w:t xml:space="preserve">during the second and third quarters, </w:t>
      </w:r>
      <w:r w:rsidRPr="00626752">
        <w:rPr>
          <w:rFonts w:ascii="Garamond" w:hAnsi="Garamond"/>
          <w:b/>
          <w:sz w:val="22"/>
          <w:szCs w:val="22"/>
        </w:rPr>
        <w:t>keeping the refinancing rate at 6%.</w:t>
      </w:r>
      <w:r w:rsidRPr="00626752">
        <w:rPr>
          <w:rFonts w:ascii="Garamond" w:hAnsi="Garamond"/>
          <w:sz w:val="22"/>
          <w:szCs w:val="22"/>
        </w:rPr>
        <w:t xml:space="preserve"> In the fourth quarter, </w:t>
      </w:r>
      <w:r w:rsidR="00E17834" w:rsidRPr="00626752">
        <w:rPr>
          <w:rFonts w:ascii="Garamond" w:hAnsi="Garamond"/>
          <w:sz w:val="22"/>
          <w:szCs w:val="22"/>
        </w:rPr>
        <w:t xml:space="preserve">as the inflation environment expanded and inflation </w:t>
      </w:r>
      <w:r w:rsidRPr="00626752">
        <w:rPr>
          <w:rFonts w:ascii="Garamond" w:hAnsi="Garamond"/>
          <w:sz w:val="22"/>
          <w:szCs w:val="22"/>
        </w:rPr>
        <w:t>expectations</w:t>
      </w:r>
      <w:r w:rsidR="00E17834" w:rsidRPr="00626752">
        <w:rPr>
          <w:rFonts w:ascii="Garamond" w:hAnsi="Garamond"/>
          <w:sz w:val="22"/>
          <w:szCs w:val="22"/>
        </w:rPr>
        <w:t xml:space="preserve"> grew</w:t>
      </w:r>
      <w:r w:rsidRPr="00626752">
        <w:rPr>
          <w:rFonts w:ascii="Garamond" w:hAnsi="Garamond"/>
          <w:sz w:val="22"/>
          <w:szCs w:val="22"/>
        </w:rPr>
        <w:t>, the C</w:t>
      </w:r>
      <w:r w:rsidR="00E17834" w:rsidRPr="00626752">
        <w:rPr>
          <w:rFonts w:ascii="Garamond" w:hAnsi="Garamond"/>
          <w:sz w:val="22"/>
          <w:szCs w:val="22"/>
        </w:rPr>
        <w:t xml:space="preserve">entral </w:t>
      </w:r>
      <w:r w:rsidRPr="00626752">
        <w:rPr>
          <w:rFonts w:ascii="Garamond" w:hAnsi="Garamond"/>
          <w:sz w:val="22"/>
          <w:szCs w:val="22"/>
        </w:rPr>
        <w:t>B</w:t>
      </w:r>
      <w:r w:rsidR="00E17834" w:rsidRPr="00626752">
        <w:rPr>
          <w:rFonts w:ascii="Garamond" w:hAnsi="Garamond"/>
          <w:sz w:val="22"/>
          <w:szCs w:val="22"/>
        </w:rPr>
        <w:t>ank</w:t>
      </w:r>
      <w:r w:rsidRPr="00626752">
        <w:rPr>
          <w:rFonts w:ascii="Garamond" w:hAnsi="Garamond"/>
          <w:sz w:val="22"/>
          <w:szCs w:val="22"/>
        </w:rPr>
        <w:t xml:space="preserve"> again left the refinancing rate unchanged, </w:t>
      </w:r>
      <w:r w:rsidR="00E17834" w:rsidRPr="00626752">
        <w:rPr>
          <w:rFonts w:ascii="Garamond" w:hAnsi="Garamond"/>
          <w:sz w:val="22"/>
          <w:szCs w:val="22"/>
        </w:rPr>
        <w:t>yet</w:t>
      </w:r>
      <w:r w:rsidRPr="00626752">
        <w:rPr>
          <w:rFonts w:ascii="Garamond" w:hAnsi="Garamond"/>
          <w:sz w:val="22"/>
          <w:szCs w:val="22"/>
        </w:rPr>
        <w:t xml:space="preserve"> the financial market has already been signaled </w:t>
      </w:r>
      <w:r w:rsidRPr="00626752">
        <w:rPr>
          <w:rFonts w:ascii="Garamond" w:hAnsi="Garamond"/>
          <w:b/>
          <w:sz w:val="22"/>
          <w:szCs w:val="22"/>
        </w:rPr>
        <w:t xml:space="preserve">that </w:t>
      </w:r>
      <w:r w:rsidR="00E17834" w:rsidRPr="00626752">
        <w:rPr>
          <w:rFonts w:ascii="Garamond" w:hAnsi="Garamond"/>
          <w:b/>
          <w:sz w:val="22"/>
          <w:szCs w:val="22"/>
        </w:rPr>
        <w:t xml:space="preserve">stimulating monetary conditions </w:t>
      </w:r>
      <w:r w:rsidRPr="00626752">
        <w:rPr>
          <w:rFonts w:ascii="Garamond" w:hAnsi="Garamond"/>
          <w:b/>
          <w:sz w:val="22"/>
          <w:szCs w:val="22"/>
        </w:rPr>
        <w:t>w</w:t>
      </w:r>
      <w:r w:rsidR="00E17834" w:rsidRPr="00626752">
        <w:rPr>
          <w:rFonts w:ascii="Garamond" w:hAnsi="Garamond"/>
          <w:b/>
          <w:sz w:val="22"/>
          <w:szCs w:val="22"/>
        </w:rPr>
        <w:t>ould need to be abolished gradually</w:t>
      </w:r>
      <w:r w:rsidR="00B36A0F" w:rsidRPr="00626752">
        <w:rPr>
          <w:rFonts w:ascii="Garamond" w:hAnsi="Garamond"/>
          <w:sz w:val="22"/>
          <w:szCs w:val="22"/>
        </w:rPr>
        <w:t xml:space="preserve"> in the light of forecast developments</w:t>
      </w:r>
      <w:r w:rsidR="00E17834" w:rsidRPr="00626752">
        <w:rPr>
          <w:rFonts w:ascii="Garamond" w:hAnsi="Garamond"/>
          <w:sz w:val="22"/>
          <w:szCs w:val="22"/>
        </w:rPr>
        <w:t>.</w:t>
      </w:r>
      <w:r w:rsidR="00B36A0F" w:rsidRPr="00626752">
        <w:rPr>
          <w:rFonts w:ascii="Garamond" w:hAnsi="Garamond"/>
          <w:sz w:val="22"/>
          <w:szCs w:val="22"/>
        </w:rPr>
        <w:t xml:space="preserve"> </w:t>
      </w:r>
      <w:r w:rsidRPr="00626752">
        <w:rPr>
          <w:rFonts w:ascii="Garamond" w:hAnsi="Garamond"/>
          <w:sz w:val="22"/>
          <w:szCs w:val="22"/>
        </w:rPr>
        <w:t xml:space="preserve">As a result, inflation will continue </w:t>
      </w:r>
      <w:r w:rsidR="00332C46" w:rsidRPr="00626752">
        <w:rPr>
          <w:rFonts w:ascii="Garamond" w:hAnsi="Garamond"/>
          <w:sz w:val="22"/>
          <w:szCs w:val="22"/>
        </w:rPr>
        <w:t xml:space="preserve">to </w:t>
      </w:r>
      <w:r w:rsidRPr="00626752">
        <w:rPr>
          <w:rFonts w:ascii="Garamond" w:hAnsi="Garamond"/>
          <w:sz w:val="22"/>
          <w:szCs w:val="22"/>
        </w:rPr>
        <w:t>grow gradually</w:t>
      </w:r>
      <w:r w:rsidR="00332C46" w:rsidRPr="00626752">
        <w:rPr>
          <w:rFonts w:ascii="Garamond" w:hAnsi="Garamond"/>
          <w:sz w:val="22"/>
          <w:szCs w:val="22"/>
        </w:rPr>
        <w:t>, shaping within the confidence band</w:t>
      </w:r>
      <w:r w:rsidR="00947E4F">
        <w:rPr>
          <w:rFonts w:ascii="Sylfaen" w:hAnsi="Sylfaen"/>
          <w:sz w:val="22"/>
          <w:szCs w:val="22"/>
          <w:lang w:val="hy-AM"/>
        </w:rPr>
        <w:t xml:space="preserve"> </w:t>
      </w:r>
      <w:r w:rsidR="00947E4F">
        <w:rPr>
          <w:rFonts w:ascii="Sylfaen" w:hAnsi="Sylfaen"/>
          <w:sz w:val="22"/>
          <w:szCs w:val="22"/>
        </w:rPr>
        <w:t>in 2017</w:t>
      </w:r>
      <w:r w:rsidR="00332C46" w:rsidRPr="00626752">
        <w:rPr>
          <w:rFonts w:ascii="Garamond" w:hAnsi="Garamond"/>
          <w:sz w:val="22"/>
          <w:szCs w:val="22"/>
        </w:rPr>
        <w:t xml:space="preserve">; </w:t>
      </w:r>
      <w:r w:rsidR="00947E4F">
        <w:rPr>
          <w:rFonts w:ascii="Garamond" w:hAnsi="Garamond"/>
          <w:sz w:val="22"/>
          <w:szCs w:val="22"/>
        </w:rPr>
        <w:t xml:space="preserve">and </w:t>
      </w:r>
      <w:r w:rsidR="00332C46" w:rsidRPr="00626752">
        <w:rPr>
          <w:rFonts w:ascii="Garamond" w:hAnsi="Garamond"/>
          <w:sz w:val="22"/>
          <w:szCs w:val="22"/>
        </w:rPr>
        <w:t xml:space="preserve">in the forecast horizon it will stabilize around the target </w:t>
      </w:r>
      <w:r w:rsidRPr="00626752">
        <w:rPr>
          <w:rFonts w:ascii="Garamond" w:hAnsi="Garamond"/>
          <w:sz w:val="22"/>
          <w:szCs w:val="22"/>
        </w:rPr>
        <w:t xml:space="preserve">under the influence </w:t>
      </w:r>
      <w:r w:rsidR="00332C46" w:rsidRPr="00626752">
        <w:rPr>
          <w:rFonts w:ascii="Garamond" w:hAnsi="Garamond"/>
          <w:sz w:val="22"/>
          <w:szCs w:val="22"/>
        </w:rPr>
        <w:t xml:space="preserve">of the </w:t>
      </w:r>
      <w:r w:rsidRPr="00626752">
        <w:rPr>
          <w:rFonts w:ascii="Garamond" w:hAnsi="Garamond"/>
          <w:sz w:val="22"/>
          <w:szCs w:val="22"/>
        </w:rPr>
        <w:t>monetary policy.</w:t>
      </w:r>
    </w:p>
    <w:p w14:paraId="4849D195" w14:textId="77777777" w:rsidR="00E26630" w:rsidRPr="00626752" w:rsidRDefault="00E26630" w:rsidP="00933B63">
      <w:pPr>
        <w:autoSpaceDE w:val="0"/>
        <w:autoSpaceDN w:val="0"/>
        <w:adjustRightInd w:val="0"/>
        <w:spacing w:after="120" w:line="360" w:lineRule="auto"/>
        <w:jc w:val="both"/>
        <w:rPr>
          <w:rFonts w:ascii="Garamond" w:hAnsi="Garamond"/>
          <w:sz w:val="22"/>
          <w:szCs w:val="22"/>
        </w:rPr>
      </w:pPr>
    </w:p>
    <w:p w14:paraId="2C0C1765" w14:textId="77777777" w:rsidR="001E301B" w:rsidRPr="00626752" w:rsidRDefault="001E301B" w:rsidP="00933B63">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t>3.1.2. Prices</w:t>
      </w:r>
    </w:p>
    <w:p w14:paraId="66EA555B" w14:textId="705C2556" w:rsidR="00933B63" w:rsidRPr="00626752" w:rsidRDefault="001E301B" w:rsidP="00933B63">
      <w:pPr>
        <w:autoSpaceDE w:val="0"/>
        <w:autoSpaceDN w:val="0"/>
        <w:adjustRightInd w:val="0"/>
        <w:spacing w:after="120" w:line="360" w:lineRule="auto"/>
        <w:jc w:val="both"/>
        <w:rPr>
          <w:rFonts w:ascii="Garamond" w:hAnsi="Garamond"/>
          <w:sz w:val="22"/>
          <w:szCs w:val="22"/>
        </w:rPr>
      </w:pPr>
      <w:r w:rsidRPr="00626752">
        <w:rPr>
          <w:rFonts w:ascii="Garamond" w:hAnsi="Garamond"/>
          <w:b/>
          <w:sz w:val="22"/>
          <w:szCs w:val="22"/>
        </w:rPr>
        <w:t>Consumer prices:</w:t>
      </w:r>
      <w:r w:rsidRPr="00626752">
        <w:rPr>
          <w:rFonts w:ascii="Garamond" w:hAnsi="Garamond"/>
          <w:sz w:val="22"/>
          <w:szCs w:val="22"/>
        </w:rPr>
        <w:t xml:space="preserve"> There was </w:t>
      </w:r>
      <w:r w:rsidRPr="00626752">
        <w:rPr>
          <w:rFonts w:ascii="Garamond" w:hAnsi="Garamond"/>
          <w:b/>
          <w:sz w:val="22"/>
          <w:szCs w:val="22"/>
        </w:rPr>
        <w:t>-2.8% inflation</w:t>
      </w:r>
      <w:r w:rsidRPr="00626752">
        <w:rPr>
          <w:rFonts w:ascii="Garamond" w:hAnsi="Garamond"/>
          <w:sz w:val="22"/>
          <w:szCs w:val="22"/>
        </w:rPr>
        <w:t xml:space="preserve"> recorded the third quarter of 2017 (against the predicted </w:t>
      </w:r>
      <w:r w:rsidRPr="00626752">
        <w:rPr>
          <w:rFonts w:ascii="Garamond" w:hAnsi="Garamond"/>
          <w:b/>
          <w:sz w:val="22"/>
          <w:szCs w:val="22"/>
        </w:rPr>
        <w:t>-1.8%</w:t>
      </w:r>
      <w:r w:rsidRPr="00626752">
        <w:rPr>
          <w:rFonts w:ascii="Garamond" w:hAnsi="Garamond"/>
          <w:sz w:val="22"/>
          <w:szCs w:val="22"/>
        </w:rPr>
        <w:t xml:space="preserve">), which was totally due to </w:t>
      </w:r>
      <w:r w:rsidR="00BD2D01" w:rsidRPr="00626752">
        <w:rPr>
          <w:rFonts w:ascii="Garamond" w:hAnsi="Garamond"/>
          <w:sz w:val="22"/>
          <w:szCs w:val="22"/>
        </w:rPr>
        <w:t>smaller-than-expected inflation on prices of seasonal food products</w:t>
      </w:r>
      <w:r w:rsidRPr="00626752">
        <w:rPr>
          <w:rFonts w:ascii="Garamond" w:hAnsi="Garamond"/>
          <w:sz w:val="22"/>
          <w:szCs w:val="22"/>
        </w:rPr>
        <w:t>, particularly</w:t>
      </w:r>
      <w:r w:rsidR="00BD2D01" w:rsidRPr="00626752">
        <w:rPr>
          <w:rFonts w:ascii="Garamond" w:hAnsi="Garamond"/>
          <w:sz w:val="22"/>
          <w:szCs w:val="22"/>
        </w:rPr>
        <w:t xml:space="preserve"> </w:t>
      </w:r>
      <w:r w:rsidRPr="00626752">
        <w:rPr>
          <w:rFonts w:ascii="Garamond" w:hAnsi="Garamond"/>
          <w:b/>
          <w:sz w:val="22"/>
          <w:szCs w:val="22"/>
        </w:rPr>
        <w:t>fruits</w:t>
      </w:r>
      <w:r w:rsidRPr="00626752">
        <w:rPr>
          <w:rFonts w:ascii="Garamond" w:hAnsi="Garamond"/>
          <w:sz w:val="22"/>
          <w:szCs w:val="22"/>
        </w:rPr>
        <w:t xml:space="preserve">, </w:t>
      </w:r>
      <w:r w:rsidR="00BD2D01" w:rsidRPr="00626752">
        <w:rPr>
          <w:rFonts w:ascii="Garamond" w:hAnsi="Garamond"/>
          <w:sz w:val="22"/>
          <w:szCs w:val="22"/>
        </w:rPr>
        <w:t xml:space="preserve">and </w:t>
      </w:r>
      <w:r w:rsidRPr="00626752">
        <w:rPr>
          <w:rFonts w:ascii="Garamond" w:hAnsi="Garamond"/>
          <w:b/>
          <w:sz w:val="22"/>
          <w:szCs w:val="22"/>
        </w:rPr>
        <w:t>vegetables and potatoes</w:t>
      </w:r>
      <w:r w:rsidR="00BD2D01" w:rsidRPr="00626752">
        <w:rPr>
          <w:rFonts w:ascii="Garamond" w:hAnsi="Garamond"/>
          <w:sz w:val="22"/>
          <w:szCs w:val="22"/>
        </w:rPr>
        <w:t>,</w:t>
      </w:r>
      <w:r w:rsidRPr="00626752">
        <w:rPr>
          <w:rFonts w:ascii="Garamond" w:hAnsi="Garamond"/>
          <w:sz w:val="22"/>
          <w:szCs w:val="22"/>
        </w:rPr>
        <w:t xml:space="preserve"> -32.4% and -37.6%</w:t>
      </w:r>
      <w:r w:rsidR="00BD2D01" w:rsidRPr="00626752">
        <w:rPr>
          <w:rFonts w:ascii="Garamond" w:hAnsi="Garamond"/>
          <w:sz w:val="22"/>
          <w:szCs w:val="22"/>
        </w:rPr>
        <w:t>,</w:t>
      </w:r>
      <w:r w:rsidRPr="00626752">
        <w:rPr>
          <w:rFonts w:ascii="Garamond" w:hAnsi="Garamond"/>
          <w:sz w:val="22"/>
          <w:szCs w:val="22"/>
        </w:rPr>
        <w:t xml:space="preserve"> respectively (negative contribution</w:t>
      </w:r>
      <w:r w:rsidR="00BD2D01" w:rsidRPr="00626752">
        <w:rPr>
          <w:rFonts w:ascii="Garamond" w:hAnsi="Garamond"/>
          <w:sz w:val="22"/>
          <w:szCs w:val="22"/>
        </w:rPr>
        <w:t xml:space="preserve"> to the</w:t>
      </w:r>
      <w:r w:rsidRPr="00626752">
        <w:rPr>
          <w:rFonts w:ascii="Garamond" w:hAnsi="Garamond"/>
          <w:sz w:val="22"/>
          <w:szCs w:val="22"/>
        </w:rPr>
        <w:t xml:space="preserve"> quarter</w:t>
      </w:r>
      <w:r w:rsidR="00BD2D01" w:rsidRPr="00626752">
        <w:rPr>
          <w:rFonts w:ascii="Garamond" w:hAnsi="Garamond"/>
          <w:sz w:val="22"/>
          <w:szCs w:val="22"/>
        </w:rPr>
        <w:t xml:space="preserve">’s </w:t>
      </w:r>
      <w:r w:rsidRPr="00626752">
        <w:rPr>
          <w:rFonts w:ascii="Garamond" w:hAnsi="Garamond"/>
          <w:sz w:val="22"/>
          <w:szCs w:val="22"/>
        </w:rPr>
        <w:t>inflation</w:t>
      </w:r>
      <w:r w:rsidR="00BD2D01" w:rsidRPr="00626752">
        <w:rPr>
          <w:rFonts w:ascii="Garamond" w:hAnsi="Garamond"/>
          <w:sz w:val="22"/>
          <w:szCs w:val="22"/>
        </w:rPr>
        <w:t>:</w:t>
      </w:r>
      <w:r w:rsidRPr="00626752">
        <w:rPr>
          <w:rFonts w:ascii="Garamond" w:hAnsi="Garamond"/>
          <w:sz w:val="22"/>
          <w:szCs w:val="22"/>
        </w:rPr>
        <w:t xml:space="preserve"> about 3.0 p</w:t>
      </w:r>
      <w:r w:rsidR="00BD2D01" w:rsidRPr="00626752">
        <w:rPr>
          <w:rFonts w:ascii="Garamond" w:hAnsi="Garamond"/>
          <w:sz w:val="22"/>
          <w:szCs w:val="22"/>
        </w:rPr>
        <w:t>p</w:t>
      </w:r>
      <w:r w:rsidRPr="00626752">
        <w:rPr>
          <w:rFonts w:ascii="Garamond" w:hAnsi="Garamond"/>
          <w:sz w:val="22"/>
          <w:szCs w:val="22"/>
        </w:rPr>
        <w:t xml:space="preserve">). </w:t>
      </w:r>
      <w:r w:rsidR="005E176B" w:rsidRPr="00626752">
        <w:rPr>
          <w:rFonts w:ascii="Garamond" w:hAnsi="Garamond"/>
          <w:sz w:val="22"/>
          <w:szCs w:val="22"/>
        </w:rPr>
        <w:t xml:space="preserve">In expectation of the decline </w:t>
      </w:r>
      <w:r w:rsidRPr="00626752">
        <w:rPr>
          <w:rFonts w:ascii="Garamond" w:hAnsi="Garamond"/>
          <w:sz w:val="22"/>
          <w:szCs w:val="22"/>
        </w:rPr>
        <w:t>in the agricultur</w:t>
      </w:r>
      <w:r w:rsidR="005E176B" w:rsidRPr="00626752">
        <w:rPr>
          <w:rFonts w:ascii="Garamond" w:hAnsi="Garamond"/>
          <w:sz w:val="22"/>
          <w:szCs w:val="22"/>
        </w:rPr>
        <w:t>e</w:t>
      </w:r>
      <w:r w:rsidRPr="00626752">
        <w:rPr>
          <w:rFonts w:ascii="Garamond" w:hAnsi="Garamond"/>
          <w:sz w:val="22"/>
          <w:szCs w:val="22"/>
        </w:rPr>
        <w:t xml:space="preserve"> sector</w:t>
      </w:r>
      <w:r w:rsidR="005E176B" w:rsidRPr="00626752">
        <w:rPr>
          <w:rFonts w:ascii="Garamond" w:hAnsi="Garamond"/>
          <w:sz w:val="22"/>
          <w:szCs w:val="22"/>
        </w:rPr>
        <w:t xml:space="preserve"> in 2017</w:t>
      </w:r>
      <w:r w:rsidRPr="00626752">
        <w:rPr>
          <w:rFonts w:ascii="Garamond" w:hAnsi="Garamond"/>
          <w:sz w:val="22"/>
          <w:szCs w:val="22"/>
        </w:rPr>
        <w:t xml:space="preserve"> (around -11% </w:t>
      </w:r>
      <w:r w:rsidR="005E176B" w:rsidRPr="00626752">
        <w:rPr>
          <w:rFonts w:ascii="Garamond" w:hAnsi="Garamond"/>
          <w:sz w:val="22"/>
          <w:szCs w:val="22"/>
        </w:rPr>
        <w:t xml:space="preserve">y/y </w:t>
      </w:r>
      <w:r w:rsidRPr="00626752">
        <w:rPr>
          <w:rFonts w:ascii="Garamond" w:hAnsi="Garamond"/>
          <w:sz w:val="22"/>
          <w:szCs w:val="22"/>
        </w:rPr>
        <w:t>in the third quarter)</w:t>
      </w:r>
      <w:r w:rsidR="005E176B" w:rsidRPr="00626752">
        <w:rPr>
          <w:rFonts w:ascii="Garamond" w:hAnsi="Garamond"/>
          <w:sz w:val="22"/>
          <w:szCs w:val="22"/>
        </w:rPr>
        <w:t xml:space="preserve">, the prediction was that </w:t>
      </w:r>
      <w:r w:rsidR="001D5226" w:rsidRPr="00626752">
        <w:rPr>
          <w:rFonts w:ascii="Garamond" w:hAnsi="Garamond"/>
          <w:sz w:val="22"/>
          <w:szCs w:val="22"/>
        </w:rPr>
        <w:t xml:space="preserve">there would be higher inflation </w:t>
      </w:r>
      <w:r w:rsidR="00947E4F" w:rsidRPr="00626752">
        <w:rPr>
          <w:rFonts w:ascii="Garamond" w:hAnsi="Garamond"/>
          <w:sz w:val="22"/>
          <w:szCs w:val="22"/>
        </w:rPr>
        <w:t xml:space="preserve">on prices of seasonal food products </w:t>
      </w:r>
      <w:r w:rsidR="001D5226" w:rsidRPr="00626752">
        <w:rPr>
          <w:rFonts w:ascii="Garamond" w:hAnsi="Garamond"/>
          <w:sz w:val="22"/>
          <w:szCs w:val="22"/>
        </w:rPr>
        <w:t xml:space="preserve">instead of the lower one specific to the third quarter, </w:t>
      </w:r>
      <w:r w:rsidRPr="00626752">
        <w:rPr>
          <w:rFonts w:ascii="Garamond" w:hAnsi="Garamond"/>
          <w:sz w:val="22"/>
          <w:szCs w:val="22"/>
        </w:rPr>
        <w:t>which did not happen</w:t>
      </w:r>
      <w:r w:rsidR="001D5226" w:rsidRPr="00626752">
        <w:rPr>
          <w:rFonts w:ascii="Garamond" w:hAnsi="Garamond"/>
          <w:sz w:val="22"/>
          <w:szCs w:val="22"/>
        </w:rPr>
        <w:t>, however</w:t>
      </w:r>
      <w:r w:rsidRPr="00626752">
        <w:rPr>
          <w:rFonts w:ascii="Garamond" w:hAnsi="Garamond"/>
          <w:sz w:val="22"/>
          <w:szCs w:val="22"/>
        </w:rPr>
        <w:t xml:space="preserve">. It is worth mentioning that </w:t>
      </w:r>
      <w:r w:rsidR="00DF60F5" w:rsidRPr="00626752">
        <w:rPr>
          <w:rFonts w:ascii="Garamond" w:hAnsi="Garamond"/>
          <w:sz w:val="22"/>
          <w:szCs w:val="22"/>
        </w:rPr>
        <w:t>in</w:t>
      </w:r>
      <w:r w:rsidRPr="00626752">
        <w:rPr>
          <w:rFonts w:ascii="Garamond" w:hAnsi="Garamond"/>
          <w:sz w:val="22"/>
          <w:szCs w:val="22"/>
        </w:rPr>
        <w:t xml:space="preserve"> the third quarter</w:t>
      </w:r>
      <w:r w:rsidR="00DF60F5" w:rsidRPr="00626752">
        <w:rPr>
          <w:rFonts w:ascii="Garamond" w:hAnsi="Garamond"/>
          <w:sz w:val="22"/>
          <w:szCs w:val="22"/>
        </w:rPr>
        <w:t xml:space="preserve"> of 2017</w:t>
      </w:r>
      <w:r w:rsidRPr="00626752">
        <w:rPr>
          <w:rFonts w:ascii="Garamond" w:hAnsi="Garamond"/>
          <w:sz w:val="22"/>
          <w:szCs w:val="22"/>
        </w:rPr>
        <w:t xml:space="preserve"> the growth rate of </w:t>
      </w:r>
      <w:r w:rsidR="00DF60F5" w:rsidRPr="00626752">
        <w:rPr>
          <w:rFonts w:ascii="Garamond" w:hAnsi="Garamond"/>
          <w:sz w:val="22"/>
          <w:szCs w:val="22"/>
        </w:rPr>
        <w:t>core</w:t>
      </w:r>
      <w:r w:rsidRPr="00626752">
        <w:rPr>
          <w:rFonts w:ascii="Garamond" w:hAnsi="Garamond"/>
          <w:sz w:val="22"/>
          <w:szCs w:val="22"/>
        </w:rPr>
        <w:t xml:space="preserve"> inflation was 1.9%</w:t>
      </w:r>
      <w:r w:rsidR="00DF60F5" w:rsidRPr="00626752">
        <w:rPr>
          <w:rFonts w:ascii="Garamond" w:hAnsi="Garamond"/>
          <w:sz w:val="22"/>
          <w:szCs w:val="22"/>
        </w:rPr>
        <w:t>, running</w:t>
      </w:r>
      <w:r w:rsidRPr="00626752">
        <w:rPr>
          <w:rFonts w:ascii="Garamond" w:hAnsi="Garamond"/>
          <w:sz w:val="22"/>
          <w:szCs w:val="22"/>
        </w:rPr>
        <w:t xml:space="preserve"> </w:t>
      </w:r>
      <w:r w:rsidR="00FB603D" w:rsidRPr="00626752">
        <w:rPr>
          <w:rFonts w:ascii="Garamond" w:hAnsi="Garamond"/>
          <w:sz w:val="22"/>
          <w:szCs w:val="22"/>
        </w:rPr>
        <w:t>above the projected figure</w:t>
      </w:r>
      <w:r w:rsidRPr="00626752">
        <w:rPr>
          <w:rFonts w:ascii="Garamond" w:hAnsi="Garamond"/>
          <w:sz w:val="22"/>
          <w:szCs w:val="22"/>
        </w:rPr>
        <w:t xml:space="preserve">. </w:t>
      </w:r>
      <w:r w:rsidR="00E716D6" w:rsidRPr="00626752">
        <w:rPr>
          <w:rFonts w:ascii="Garamond" w:hAnsi="Garamond"/>
          <w:sz w:val="22"/>
          <w:szCs w:val="22"/>
        </w:rPr>
        <w:t xml:space="preserve">Such a strong growth rate </w:t>
      </w:r>
      <w:r w:rsidRPr="00626752">
        <w:rPr>
          <w:rFonts w:ascii="Garamond" w:hAnsi="Garamond"/>
          <w:sz w:val="22"/>
          <w:szCs w:val="22"/>
        </w:rPr>
        <w:t>was mainly due to increase</w:t>
      </w:r>
      <w:r w:rsidR="00E716D6" w:rsidRPr="00626752">
        <w:rPr>
          <w:rFonts w:ascii="Garamond" w:hAnsi="Garamond"/>
          <w:sz w:val="22"/>
          <w:szCs w:val="22"/>
        </w:rPr>
        <w:t>d prices of</w:t>
      </w:r>
      <w:r w:rsidRPr="00626752">
        <w:rPr>
          <w:rFonts w:ascii="Garamond" w:hAnsi="Garamond"/>
          <w:sz w:val="22"/>
          <w:szCs w:val="22"/>
        </w:rPr>
        <w:t xml:space="preserve"> </w:t>
      </w:r>
      <w:r w:rsidRPr="00626752">
        <w:rPr>
          <w:rFonts w:ascii="Garamond" w:hAnsi="Garamond"/>
          <w:b/>
          <w:sz w:val="22"/>
          <w:szCs w:val="22"/>
        </w:rPr>
        <w:t>meat products</w:t>
      </w:r>
      <w:r w:rsidRPr="00626752">
        <w:rPr>
          <w:rFonts w:ascii="Garamond" w:hAnsi="Garamond"/>
          <w:sz w:val="22"/>
          <w:szCs w:val="22"/>
        </w:rPr>
        <w:t xml:space="preserve"> (2.7%</w:t>
      </w:r>
      <w:r w:rsidR="00E716D6" w:rsidRPr="00626752">
        <w:rPr>
          <w:rFonts w:ascii="Garamond" w:hAnsi="Garamond"/>
          <w:sz w:val="22"/>
          <w:szCs w:val="22"/>
        </w:rPr>
        <w:t xml:space="preserve"> </w:t>
      </w:r>
      <w:r w:rsidR="00947E4F">
        <w:rPr>
          <w:rFonts w:ascii="Garamond" w:hAnsi="Garamond"/>
          <w:sz w:val="22"/>
          <w:szCs w:val="22"/>
        </w:rPr>
        <w:t>q/q</w:t>
      </w:r>
      <w:r w:rsidRPr="00626752">
        <w:rPr>
          <w:rFonts w:ascii="Garamond" w:hAnsi="Garamond"/>
          <w:sz w:val="22"/>
          <w:szCs w:val="22"/>
        </w:rPr>
        <w:t xml:space="preserve">), </w:t>
      </w:r>
      <w:r w:rsidRPr="00626752">
        <w:rPr>
          <w:rFonts w:ascii="Garamond" w:hAnsi="Garamond"/>
          <w:b/>
          <w:sz w:val="22"/>
          <w:szCs w:val="22"/>
        </w:rPr>
        <w:t>dairy products</w:t>
      </w:r>
      <w:r w:rsidRPr="00626752">
        <w:rPr>
          <w:rFonts w:ascii="Garamond" w:hAnsi="Garamond"/>
          <w:sz w:val="22"/>
          <w:szCs w:val="22"/>
        </w:rPr>
        <w:t xml:space="preserve"> (1.2%</w:t>
      </w:r>
      <w:r w:rsidR="00E716D6" w:rsidRPr="00626752">
        <w:rPr>
          <w:rFonts w:ascii="Garamond" w:hAnsi="Garamond"/>
          <w:sz w:val="22"/>
          <w:szCs w:val="22"/>
        </w:rPr>
        <w:t xml:space="preserve"> </w:t>
      </w:r>
      <w:r w:rsidR="00947E4F">
        <w:rPr>
          <w:rFonts w:ascii="Garamond" w:hAnsi="Garamond"/>
          <w:sz w:val="22"/>
          <w:szCs w:val="22"/>
        </w:rPr>
        <w:t>q/q</w:t>
      </w:r>
      <w:r w:rsidRPr="00626752">
        <w:rPr>
          <w:rFonts w:ascii="Garamond" w:hAnsi="Garamond"/>
          <w:sz w:val="22"/>
          <w:szCs w:val="22"/>
        </w:rPr>
        <w:t xml:space="preserve">), </w:t>
      </w:r>
      <w:r w:rsidRPr="00626752">
        <w:rPr>
          <w:rFonts w:ascii="Garamond" w:hAnsi="Garamond"/>
          <w:b/>
          <w:sz w:val="22"/>
          <w:szCs w:val="22"/>
        </w:rPr>
        <w:t>oils and fats</w:t>
      </w:r>
      <w:r w:rsidRPr="00626752">
        <w:rPr>
          <w:rFonts w:ascii="Garamond" w:hAnsi="Garamond"/>
          <w:sz w:val="22"/>
          <w:szCs w:val="22"/>
        </w:rPr>
        <w:t xml:space="preserve"> (3.1%</w:t>
      </w:r>
      <w:r w:rsidR="00E716D6" w:rsidRPr="00626752">
        <w:rPr>
          <w:rFonts w:ascii="Garamond" w:hAnsi="Garamond"/>
          <w:sz w:val="22"/>
          <w:szCs w:val="22"/>
        </w:rPr>
        <w:t xml:space="preserve"> </w:t>
      </w:r>
      <w:r w:rsidR="00947E4F">
        <w:rPr>
          <w:rFonts w:ascii="Garamond" w:hAnsi="Garamond"/>
          <w:sz w:val="22"/>
          <w:szCs w:val="22"/>
        </w:rPr>
        <w:t>q/q</w:t>
      </w:r>
      <w:r w:rsidRPr="00626752">
        <w:rPr>
          <w:rFonts w:ascii="Garamond" w:hAnsi="Garamond"/>
          <w:sz w:val="22"/>
          <w:szCs w:val="22"/>
        </w:rPr>
        <w:t>)</w:t>
      </w:r>
      <w:r w:rsidR="007E371D" w:rsidRPr="00626752">
        <w:rPr>
          <w:rFonts w:ascii="Garamond" w:hAnsi="Garamond"/>
          <w:sz w:val="22"/>
          <w:szCs w:val="22"/>
        </w:rPr>
        <w:t>,</w:t>
      </w:r>
      <w:r w:rsidRPr="00626752">
        <w:rPr>
          <w:rFonts w:ascii="Garamond" w:hAnsi="Garamond"/>
          <w:sz w:val="22"/>
          <w:szCs w:val="22"/>
        </w:rPr>
        <w:t xml:space="preserve"> </w:t>
      </w:r>
      <w:r w:rsidRPr="00626752">
        <w:rPr>
          <w:rFonts w:ascii="Garamond" w:hAnsi="Garamond"/>
          <w:b/>
          <w:sz w:val="22"/>
          <w:szCs w:val="22"/>
        </w:rPr>
        <w:t>pharmaceutic</w:t>
      </w:r>
      <w:r w:rsidR="00E716D6" w:rsidRPr="00626752">
        <w:rPr>
          <w:rFonts w:ascii="Garamond" w:hAnsi="Garamond"/>
          <w:b/>
          <w:sz w:val="22"/>
          <w:szCs w:val="22"/>
        </w:rPr>
        <w:t>s</w:t>
      </w:r>
      <w:r w:rsidR="00E716D6" w:rsidRPr="00626752">
        <w:rPr>
          <w:rFonts w:ascii="Garamond" w:hAnsi="Garamond"/>
          <w:sz w:val="22"/>
          <w:szCs w:val="22"/>
        </w:rPr>
        <w:t xml:space="preserve"> (</w:t>
      </w:r>
      <w:r w:rsidRPr="00626752">
        <w:rPr>
          <w:rFonts w:ascii="Garamond" w:hAnsi="Garamond"/>
          <w:sz w:val="22"/>
          <w:szCs w:val="22"/>
        </w:rPr>
        <w:t>3.1%</w:t>
      </w:r>
      <w:r w:rsidR="00E716D6" w:rsidRPr="00626752">
        <w:rPr>
          <w:rFonts w:ascii="Garamond" w:hAnsi="Garamond"/>
          <w:sz w:val="22"/>
          <w:szCs w:val="22"/>
        </w:rPr>
        <w:t xml:space="preserve"> </w:t>
      </w:r>
      <w:r w:rsidR="00947E4F">
        <w:rPr>
          <w:rFonts w:ascii="Garamond" w:hAnsi="Garamond"/>
          <w:sz w:val="22"/>
          <w:szCs w:val="22"/>
        </w:rPr>
        <w:t>q/q</w:t>
      </w:r>
      <w:r w:rsidRPr="00626752">
        <w:rPr>
          <w:rFonts w:ascii="Garamond" w:hAnsi="Garamond"/>
          <w:sz w:val="22"/>
          <w:szCs w:val="22"/>
        </w:rPr>
        <w:t xml:space="preserve">) (see </w:t>
      </w:r>
      <w:r w:rsidR="00E716D6" w:rsidRPr="00626752">
        <w:rPr>
          <w:rFonts w:ascii="Garamond" w:hAnsi="Garamond"/>
          <w:sz w:val="22"/>
          <w:szCs w:val="22"/>
        </w:rPr>
        <w:t>Box</w:t>
      </w:r>
      <w:r w:rsidRPr="00626752">
        <w:rPr>
          <w:rFonts w:ascii="Garamond" w:hAnsi="Garamond"/>
          <w:sz w:val="22"/>
          <w:szCs w:val="22"/>
        </w:rPr>
        <w:t xml:space="preserve"> 3). The </w:t>
      </w:r>
      <w:r w:rsidR="00634424" w:rsidRPr="00626752">
        <w:rPr>
          <w:rFonts w:ascii="Garamond" w:hAnsi="Garamond"/>
          <w:sz w:val="22"/>
          <w:szCs w:val="22"/>
        </w:rPr>
        <w:t>rise in prices of item “</w:t>
      </w:r>
      <w:r w:rsidRPr="00626752">
        <w:rPr>
          <w:rFonts w:ascii="Garamond" w:hAnsi="Garamond"/>
          <w:sz w:val="22"/>
          <w:szCs w:val="22"/>
        </w:rPr>
        <w:t>Oil</w:t>
      </w:r>
      <w:r w:rsidR="00634424" w:rsidRPr="00626752">
        <w:rPr>
          <w:rFonts w:ascii="Garamond" w:hAnsi="Garamond"/>
          <w:sz w:val="22"/>
          <w:szCs w:val="22"/>
        </w:rPr>
        <w:t>s</w:t>
      </w:r>
      <w:r w:rsidRPr="00626752">
        <w:rPr>
          <w:rFonts w:ascii="Garamond" w:hAnsi="Garamond"/>
          <w:sz w:val="22"/>
          <w:szCs w:val="22"/>
        </w:rPr>
        <w:t xml:space="preserve"> and Fats</w:t>
      </w:r>
      <w:r w:rsidR="00634424" w:rsidRPr="00626752">
        <w:rPr>
          <w:rFonts w:ascii="Garamond" w:hAnsi="Garamond"/>
          <w:sz w:val="22"/>
          <w:szCs w:val="22"/>
        </w:rPr>
        <w:t>”</w:t>
      </w:r>
      <w:r w:rsidRPr="00626752">
        <w:rPr>
          <w:rFonts w:ascii="Garamond" w:hAnsi="Garamond"/>
          <w:sz w:val="22"/>
          <w:szCs w:val="22"/>
        </w:rPr>
        <w:t xml:space="preserve"> </w:t>
      </w:r>
      <w:r w:rsidR="00634424" w:rsidRPr="00626752">
        <w:rPr>
          <w:rFonts w:ascii="Garamond" w:hAnsi="Garamond"/>
          <w:sz w:val="22"/>
          <w:szCs w:val="22"/>
        </w:rPr>
        <w:t xml:space="preserve">totally owed to </w:t>
      </w:r>
      <w:r w:rsidRPr="00626752">
        <w:rPr>
          <w:rFonts w:ascii="Garamond" w:hAnsi="Garamond"/>
          <w:sz w:val="22"/>
          <w:szCs w:val="22"/>
        </w:rPr>
        <w:t xml:space="preserve">the continuous increase in the </w:t>
      </w:r>
      <w:r w:rsidR="00492E20" w:rsidRPr="00626752">
        <w:rPr>
          <w:rFonts w:ascii="Garamond" w:hAnsi="Garamond"/>
          <w:sz w:val="22"/>
          <w:szCs w:val="22"/>
        </w:rPr>
        <w:t xml:space="preserve">import </w:t>
      </w:r>
      <w:r w:rsidRPr="00626752">
        <w:rPr>
          <w:rFonts w:ascii="Garamond" w:hAnsi="Garamond"/>
          <w:sz w:val="22"/>
          <w:szCs w:val="22"/>
        </w:rPr>
        <w:t xml:space="preserve">prices </w:t>
      </w:r>
      <w:r w:rsidR="00492E20" w:rsidRPr="00626752">
        <w:rPr>
          <w:rFonts w:ascii="Garamond" w:hAnsi="Garamond"/>
          <w:sz w:val="22"/>
          <w:szCs w:val="22"/>
        </w:rPr>
        <w:t xml:space="preserve">of </w:t>
      </w:r>
      <w:r w:rsidRPr="00626752">
        <w:rPr>
          <w:rFonts w:ascii="Garamond" w:hAnsi="Garamond"/>
          <w:sz w:val="22"/>
          <w:szCs w:val="22"/>
        </w:rPr>
        <w:t>butter (9.2%</w:t>
      </w:r>
      <w:r w:rsidR="00634424" w:rsidRPr="00626752">
        <w:rPr>
          <w:rFonts w:ascii="Garamond" w:hAnsi="Garamond"/>
          <w:sz w:val="22"/>
          <w:szCs w:val="22"/>
        </w:rPr>
        <w:t xml:space="preserve"> </w:t>
      </w:r>
      <w:r w:rsidR="00947E4F">
        <w:rPr>
          <w:rFonts w:ascii="Garamond" w:hAnsi="Garamond"/>
          <w:sz w:val="22"/>
          <w:szCs w:val="22"/>
        </w:rPr>
        <w:t>q/q</w:t>
      </w:r>
      <w:r w:rsidRPr="00626752">
        <w:rPr>
          <w:rFonts w:ascii="Garamond" w:hAnsi="Garamond"/>
          <w:sz w:val="22"/>
          <w:szCs w:val="22"/>
        </w:rPr>
        <w:t>).</w:t>
      </w:r>
    </w:p>
    <w:p w14:paraId="46D971D4" w14:textId="77777777" w:rsidR="00AA70CA" w:rsidRPr="00626752" w:rsidRDefault="00AA70CA" w:rsidP="00933B63">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lastRenderedPageBreak/>
        <w:t>With the developments mentioned above, the inflation environment remained unchanged in the third quarter of 2017, in which case the 12-month inflation rate in September amounted to 1.0% instead of projected 2.0%.</w:t>
      </w:r>
    </w:p>
    <w:p w14:paraId="1EF0AFD4" w14:textId="77777777" w:rsidR="001D4E73" w:rsidRPr="00626752" w:rsidRDefault="001D4E73" w:rsidP="00933B63">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Table 5: (</w:t>
      </w:r>
      <w:proofErr w:type="spellStart"/>
      <w:r w:rsidRPr="00626752">
        <w:rPr>
          <w:rFonts w:ascii="Sylfaen" w:hAnsi="Sylfaen" w:cs="Sylfaen"/>
          <w:sz w:val="22"/>
          <w:szCs w:val="22"/>
        </w:rPr>
        <w:t>աղյուսակը</w:t>
      </w:r>
      <w:proofErr w:type="spellEnd"/>
      <w:r w:rsidRPr="00626752">
        <w:rPr>
          <w:rFonts w:ascii="Sylfaen" w:hAnsi="Sylfaen" w:cs="Sylfaen"/>
          <w:sz w:val="22"/>
          <w:szCs w:val="22"/>
        </w:rPr>
        <w:t>՝</w:t>
      </w:r>
      <w:r w:rsidRPr="00626752">
        <w:rPr>
          <w:rFonts w:ascii="Garamond" w:hAnsi="Garamond"/>
          <w:sz w:val="22"/>
          <w:szCs w:val="22"/>
        </w:rPr>
        <w:t xml:space="preserve"> </w:t>
      </w:r>
      <w:proofErr w:type="spellStart"/>
      <w:r w:rsidRPr="00626752">
        <w:rPr>
          <w:rFonts w:ascii="Sylfaen" w:hAnsi="Sylfaen" w:cs="Sylfaen"/>
          <w:sz w:val="22"/>
          <w:szCs w:val="22"/>
        </w:rPr>
        <w:t>հայերեն</w:t>
      </w:r>
      <w:proofErr w:type="spellEnd"/>
      <w:r w:rsidRPr="00626752">
        <w:rPr>
          <w:rFonts w:ascii="Garamond" w:hAnsi="Garamond"/>
          <w:sz w:val="22"/>
          <w:szCs w:val="22"/>
        </w:rPr>
        <w:t xml:space="preserve"> </w:t>
      </w:r>
      <w:proofErr w:type="spellStart"/>
      <w:r w:rsidRPr="00626752">
        <w:rPr>
          <w:rFonts w:ascii="Sylfaen" w:hAnsi="Sylfaen" w:cs="Sylfaen"/>
          <w:sz w:val="22"/>
          <w:szCs w:val="22"/>
        </w:rPr>
        <w:t>տեքստում</w:t>
      </w:r>
      <w:proofErr w:type="spellEnd"/>
      <w:r w:rsidRPr="00626752">
        <w:rPr>
          <w:rFonts w:ascii="Garamond" w:hAnsi="Garamond"/>
          <w:sz w:val="22"/>
          <w:szCs w:val="22"/>
        </w:rPr>
        <w:t>)</w:t>
      </w:r>
    </w:p>
    <w:p w14:paraId="12961B61" w14:textId="77777777" w:rsidR="00DD6EF9" w:rsidRPr="00626752" w:rsidRDefault="004A45D1" w:rsidP="00933B63">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According to the data issued by the National Statistics Service of Armenia, there was 0.8% inflation in October of 2017, mainly due to increased prices of </w:t>
      </w:r>
      <w:r w:rsidRPr="00626752">
        <w:rPr>
          <w:rFonts w:ascii="Garamond" w:hAnsi="Garamond"/>
          <w:b/>
          <w:sz w:val="22"/>
          <w:szCs w:val="22"/>
        </w:rPr>
        <w:t xml:space="preserve">vegetables and potatoes </w:t>
      </w:r>
      <w:r w:rsidRPr="00626752">
        <w:rPr>
          <w:rFonts w:ascii="Garamond" w:hAnsi="Garamond"/>
          <w:sz w:val="22"/>
          <w:szCs w:val="22"/>
        </w:rPr>
        <w:t xml:space="preserve">(11.8%), </w:t>
      </w:r>
      <w:r w:rsidRPr="00626752">
        <w:rPr>
          <w:rFonts w:ascii="Garamond" w:hAnsi="Garamond"/>
          <w:b/>
          <w:sz w:val="22"/>
          <w:szCs w:val="22"/>
        </w:rPr>
        <w:t xml:space="preserve">oils and fats </w:t>
      </w:r>
      <w:r w:rsidRPr="00626752">
        <w:rPr>
          <w:rFonts w:ascii="Garamond" w:hAnsi="Garamond"/>
          <w:sz w:val="22"/>
          <w:szCs w:val="22"/>
        </w:rPr>
        <w:t xml:space="preserve">(5.6%), </w:t>
      </w:r>
      <w:r w:rsidRPr="00626752">
        <w:rPr>
          <w:rFonts w:ascii="Garamond" w:hAnsi="Garamond"/>
          <w:b/>
          <w:sz w:val="22"/>
          <w:szCs w:val="22"/>
        </w:rPr>
        <w:t xml:space="preserve">meat products </w:t>
      </w:r>
      <w:r w:rsidRPr="00626752">
        <w:rPr>
          <w:rFonts w:ascii="Garamond" w:hAnsi="Garamond"/>
          <w:sz w:val="22"/>
          <w:szCs w:val="22"/>
        </w:rPr>
        <w:t xml:space="preserve">(1.3%), as well as </w:t>
      </w:r>
      <w:r w:rsidRPr="00626752">
        <w:rPr>
          <w:rFonts w:ascii="Garamond" w:hAnsi="Garamond"/>
          <w:b/>
          <w:sz w:val="22"/>
          <w:szCs w:val="22"/>
        </w:rPr>
        <w:t>clothes</w:t>
      </w:r>
      <w:r w:rsidRPr="00626752">
        <w:rPr>
          <w:rFonts w:ascii="Garamond" w:hAnsi="Garamond"/>
          <w:sz w:val="22"/>
          <w:szCs w:val="22"/>
        </w:rPr>
        <w:t xml:space="preserve"> (7.7%) and </w:t>
      </w:r>
      <w:r w:rsidRPr="00626752">
        <w:rPr>
          <w:rFonts w:ascii="Garamond" w:hAnsi="Garamond"/>
          <w:b/>
          <w:sz w:val="22"/>
          <w:szCs w:val="22"/>
        </w:rPr>
        <w:t>footwear</w:t>
      </w:r>
      <w:r w:rsidRPr="00626752">
        <w:rPr>
          <w:rFonts w:ascii="Garamond" w:hAnsi="Garamond"/>
          <w:sz w:val="22"/>
          <w:szCs w:val="22"/>
        </w:rPr>
        <w:t xml:space="preserve"> (9.6%)</w:t>
      </w:r>
      <w:r w:rsidR="00632D07" w:rsidRPr="00626752">
        <w:rPr>
          <w:rFonts w:ascii="Garamond" w:hAnsi="Garamond"/>
          <w:sz w:val="22"/>
          <w:szCs w:val="22"/>
        </w:rPr>
        <w:t>,</w:t>
      </w:r>
      <w:r w:rsidRPr="00626752">
        <w:rPr>
          <w:rFonts w:ascii="Garamond" w:hAnsi="Garamond"/>
          <w:sz w:val="22"/>
          <w:szCs w:val="22"/>
        </w:rPr>
        <w:t xml:space="preserve"> </w:t>
      </w:r>
      <w:r w:rsidR="005B4859" w:rsidRPr="00626752">
        <w:rPr>
          <w:rFonts w:ascii="Garamond" w:hAnsi="Garamond"/>
          <w:sz w:val="22"/>
          <w:szCs w:val="22"/>
        </w:rPr>
        <w:t xml:space="preserve">(total </w:t>
      </w:r>
      <w:r w:rsidR="00BC374F" w:rsidRPr="00626752">
        <w:rPr>
          <w:rFonts w:ascii="Garamond" w:hAnsi="Garamond"/>
          <w:sz w:val="22"/>
          <w:szCs w:val="22"/>
        </w:rPr>
        <w:t xml:space="preserve">contribution </w:t>
      </w:r>
      <w:r w:rsidRPr="00626752">
        <w:rPr>
          <w:rFonts w:ascii="Garamond" w:hAnsi="Garamond"/>
          <w:sz w:val="22"/>
          <w:szCs w:val="22"/>
        </w:rPr>
        <w:t>to inflation</w:t>
      </w:r>
      <w:r w:rsidR="00BC374F" w:rsidRPr="00626752">
        <w:rPr>
          <w:rFonts w:ascii="Garamond" w:hAnsi="Garamond"/>
          <w:sz w:val="22"/>
          <w:szCs w:val="22"/>
        </w:rPr>
        <w:t>:</w:t>
      </w:r>
      <w:r w:rsidRPr="00626752">
        <w:rPr>
          <w:rFonts w:ascii="Garamond" w:hAnsi="Garamond"/>
          <w:sz w:val="22"/>
          <w:szCs w:val="22"/>
        </w:rPr>
        <w:t xml:space="preserve"> 1.3 p</w:t>
      </w:r>
      <w:r w:rsidR="00BC374F" w:rsidRPr="00626752">
        <w:rPr>
          <w:rFonts w:ascii="Garamond" w:hAnsi="Garamond"/>
          <w:sz w:val="22"/>
          <w:szCs w:val="22"/>
        </w:rPr>
        <w:t>p</w:t>
      </w:r>
      <w:r w:rsidRPr="00626752">
        <w:rPr>
          <w:rFonts w:ascii="Garamond" w:hAnsi="Garamond"/>
          <w:sz w:val="22"/>
          <w:szCs w:val="22"/>
        </w:rPr>
        <w:t xml:space="preserve">). Meanwhile, there </w:t>
      </w:r>
      <w:r w:rsidR="005B4859" w:rsidRPr="00626752">
        <w:rPr>
          <w:rFonts w:ascii="Garamond" w:hAnsi="Garamond"/>
          <w:sz w:val="22"/>
          <w:szCs w:val="22"/>
        </w:rPr>
        <w:t xml:space="preserve">has been </w:t>
      </w:r>
      <w:r w:rsidRPr="00626752">
        <w:rPr>
          <w:rFonts w:ascii="Garamond" w:hAnsi="Garamond"/>
          <w:sz w:val="22"/>
          <w:szCs w:val="22"/>
        </w:rPr>
        <w:t xml:space="preserve">a fall in </w:t>
      </w:r>
      <w:r w:rsidR="005B4859" w:rsidRPr="00626752">
        <w:rPr>
          <w:rFonts w:ascii="Garamond" w:hAnsi="Garamond"/>
          <w:sz w:val="22"/>
          <w:szCs w:val="22"/>
        </w:rPr>
        <w:t xml:space="preserve">prices in item </w:t>
      </w:r>
      <w:r w:rsidR="005B4859" w:rsidRPr="00626752">
        <w:rPr>
          <w:rFonts w:ascii="Garamond" w:hAnsi="Garamond"/>
          <w:b/>
          <w:sz w:val="22"/>
          <w:szCs w:val="22"/>
        </w:rPr>
        <w:t>fruits</w:t>
      </w:r>
      <w:r w:rsidRPr="00626752">
        <w:rPr>
          <w:rFonts w:ascii="Garamond" w:hAnsi="Garamond"/>
          <w:sz w:val="22"/>
          <w:szCs w:val="22"/>
        </w:rPr>
        <w:t xml:space="preserve"> and air transport service</w:t>
      </w:r>
      <w:r w:rsidR="005B4859" w:rsidRPr="00626752">
        <w:rPr>
          <w:rFonts w:ascii="Garamond" w:hAnsi="Garamond"/>
          <w:sz w:val="22"/>
          <w:szCs w:val="22"/>
        </w:rPr>
        <w:t>s</w:t>
      </w:r>
      <w:r w:rsidRPr="00626752">
        <w:rPr>
          <w:rFonts w:ascii="Garamond" w:hAnsi="Garamond"/>
          <w:sz w:val="22"/>
          <w:szCs w:val="22"/>
        </w:rPr>
        <w:t xml:space="preserve"> (</w:t>
      </w:r>
      <w:r w:rsidR="005B4859" w:rsidRPr="00626752">
        <w:rPr>
          <w:rFonts w:ascii="Garamond" w:hAnsi="Garamond"/>
          <w:sz w:val="22"/>
          <w:szCs w:val="22"/>
        </w:rPr>
        <w:t>total</w:t>
      </w:r>
      <w:r w:rsidRPr="00626752">
        <w:rPr>
          <w:rFonts w:ascii="Garamond" w:hAnsi="Garamond"/>
          <w:sz w:val="22"/>
          <w:szCs w:val="22"/>
        </w:rPr>
        <w:t xml:space="preserve"> contribution to inflation</w:t>
      </w:r>
      <w:r w:rsidR="005B4859" w:rsidRPr="00626752">
        <w:rPr>
          <w:rFonts w:ascii="Garamond" w:hAnsi="Garamond"/>
          <w:sz w:val="22"/>
          <w:szCs w:val="22"/>
        </w:rPr>
        <w:t>:</w:t>
      </w:r>
      <w:r w:rsidRPr="00626752">
        <w:rPr>
          <w:rFonts w:ascii="Garamond" w:hAnsi="Garamond"/>
          <w:sz w:val="22"/>
          <w:szCs w:val="22"/>
        </w:rPr>
        <w:t xml:space="preserve"> -0.5 pp). As a result, the 12-month inflation </w:t>
      </w:r>
      <w:r w:rsidR="005B4859" w:rsidRPr="00626752">
        <w:rPr>
          <w:rFonts w:ascii="Garamond" w:hAnsi="Garamond"/>
          <w:sz w:val="22"/>
          <w:szCs w:val="22"/>
        </w:rPr>
        <w:t xml:space="preserve">rate </w:t>
      </w:r>
      <w:r w:rsidRPr="00626752">
        <w:rPr>
          <w:rFonts w:ascii="Garamond" w:hAnsi="Garamond"/>
          <w:sz w:val="22"/>
          <w:szCs w:val="22"/>
        </w:rPr>
        <w:t xml:space="preserve">has increased </w:t>
      </w:r>
      <w:r w:rsidR="005B4859" w:rsidRPr="00626752">
        <w:rPr>
          <w:rFonts w:ascii="Garamond" w:hAnsi="Garamond"/>
          <w:sz w:val="22"/>
          <w:szCs w:val="22"/>
        </w:rPr>
        <w:t>to</w:t>
      </w:r>
      <w:r w:rsidRPr="00626752">
        <w:rPr>
          <w:rFonts w:ascii="Garamond" w:hAnsi="Garamond"/>
          <w:sz w:val="22"/>
          <w:szCs w:val="22"/>
        </w:rPr>
        <w:t xml:space="preserve"> 1.2%.</w:t>
      </w:r>
    </w:p>
    <w:tbl>
      <w:tblPr>
        <w:tblStyle w:val="TableGrid"/>
        <w:tblW w:w="0" w:type="auto"/>
        <w:tblLook w:val="04A0" w:firstRow="1" w:lastRow="0" w:firstColumn="1" w:lastColumn="0" w:noHBand="0" w:noVBand="1"/>
      </w:tblPr>
      <w:tblGrid>
        <w:gridCol w:w="9576"/>
      </w:tblGrid>
      <w:tr w:rsidR="00545DBA" w:rsidRPr="00626752" w14:paraId="2765BCCB" w14:textId="77777777" w:rsidTr="00545DBA">
        <w:tc>
          <w:tcPr>
            <w:tcW w:w="9576" w:type="dxa"/>
          </w:tcPr>
          <w:p w14:paraId="23A51708" w14:textId="77777777" w:rsidR="00545DBA" w:rsidRPr="00626752" w:rsidRDefault="00545DBA" w:rsidP="00933B63">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t>Box 3:</w:t>
            </w:r>
          </w:p>
          <w:p w14:paraId="0F7149A1" w14:textId="77777777" w:rsidR="00545DBA" w:rsidRPr="00626752" w:rsidRDefault="00545DBA" w:rsidP="00933B63">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t>What cause</w:t>
            </w:r>
            <w:r w:rsidR="00A940E4" w:rsidRPr="00626752">
              <w:rPr>
                <w:rFonts w:ascii="Garamond" w:hAnsi="Garamond"/>
                <w:b/>
                <w:color w:val="0070C0"/>
                <w:sz w:val="22"/>
                <w:szCs w:val="22"/>
              </w:rPr>
              <w:t>d</w:t>
            </w:r>
            <w:r w:rsidRPr="00626752">
              <w:rPr>
                <w:rFonts w:ascii="Garamond" w:hAnsi="Garamond"/>
                <w:b/>
                <w:color w:val="0070C0"/>
                <w:sz w:val="22"/>
                <w:szCs w:val="22"/>
              </w:rPr>
              <w:t xml:space="preserve"> </w:t>
            </w:r>
            <w:r w:rsidR="00A940E4" w:rsidRPr="00626752">
              <w:rPr>
                <w:rFonts w:ascii="Garamond" w:hAnsi="Garamond"/>
                <w:b/>
                <w:color w:val="0070C0"/>
                <w:sz w:val="22"/>
                <w:szCs w:val="22"/>
              </w:rPr>
              <w:t>the</w:t>
            </w:r>
            <w:r w:rsidRPr="00626752">
              <w:rPr>
                <w:rFonts w:ascii="Garamond" w:hAnsi="Garamond"/>
                <w:b/>
                <w:color w:val="0070C0"/>
                <w:sz w:val="22"/>
                <w:szCs w:val="22"/>
              </w:rPr>
              <w:t xml:space="preserve"> meat price </w:t>
            </w:r>
            <w:r w:rsidR="00A940E4" w:rsidRPr="00626752">
              <w:rPr>
                <w:rFonts w:ascii="Garamond" w:hAnsi="Garamond"/>
                <w:b/>
                <w:color w:val="0070C0"/>
                <w:sz w:val="22"/>
                <w:szCs w:val="22"/>
              </w:rPr>
              <w:t xml:space="preserve">to </w:t>
            </w:r>
            <w:r w:rsidRPr="00626752">
              <w:rPr>
                <w:rFonts w:ascii="Garamond" w:hAnsi="Garamond"/>
                <w:b/>
                <w:color w:val="0070C0"/>
                <w:sz w:val="22"/>
                <w:szCs w:val="22"/>
              </w:rPr>
              <w:t>rise?</w:t>
            </w:r>
          </w:p>
          <w:p w14:paraId="0822500D" w14:textId="77777777" w:rsidR="00545DBA" w:rsidRPr="00626752" w:rsidRDefault="00545DBA" w:rsidP="00A940E4">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High </w:t>
            </w:r>
            <w:r w:rsidR="00A940E4" w:rsidRPr="00626752">
              <w:rPr>
                <w:rFonts w:ascii="Garamond" w:hAnsi="Garamond"/>
                <w:sz w:val="22"/>
                <w:szCs w:val="22"/>
              </w:rPr>
              <w:t xml:space="preserve">growth of prices of meat products </w:t>
            </w:r>
            <w:r w:rsidRPr="00626752">
              <w:rPr>
                <w:rFonts w:ascii="Garamond" w:hAnsi="Garamond"/>
                <w:sz w:val="22"/>
                <w:szCs w:val="22"/>
              </w:rPr>
              <w:t xml:space="preserve">has been </w:t>
            </w:r>
            <w:r w:rsidR="00A940E4" w:rsidRPr="00626752">
              <w:rPr>
                <w:rFonts w:ascii="Garamond" w:hAnsi="Garamond"/>
                <w:sz w:val="22"/>
                <w:szCs w:val="22"/>
              </w:rPr>
              <w:t xml:space="preserve">attributable to increased volumes of export of </w:t>
            </w:r>
            <w:r w:rsidRPr="00626752">
              <w:rPr>
                <w:rFonts w:ascii="Garamond" w:hAnsi="Garamond"/>
                <w:sz w:val="22"/>
                <w:szCs w:val="22"/>
              </w:rPr>
              <w:t>large and small cattle as well as a sharp increase in pork prices in international markets</w:t>
            </w:r>
            <w:r w:rsidR="00A940E4" w:rsidRPr="00626752">
              <w:rPr>
                <w:rFonts w:ascii="Garamond" w:hAnsi="Garamond"/>
                <w:sz w:val="22"/>
                <w:szCs w:val="22"/>
              </w:rPr>
              <w:t xml:space="preserve"> during 2017</w:t>
            </w:r>
            <w:r w:rsidRPr="00626752">
              <w:rPr>
                <w:rFonts w:ascii="Garamond" w:hAnsi="Garamond"/>
                <w:sz w:val="22"/>
                <w:szCs w:val="22"/>
              </w:rPr>
              <w:t>.</w:t>
            </w:r>
          </w:p>
        </w:tc>
      </w:tr>
    </w:tbl>
    <w:p w14:paraId="050888D3" w14:textId="77777777" w:rsidR="00545DBA" w:rsidRPr="00626752" w:rsidRDefault="00545DBA" w:rsidP="00933B63">
      <w:pPr>
        <w:autoSpaceDE w:val="0"/>
        <w:autoSpaceDN w:val="0"/>
        <w:adjustRightInd w:val="0"/>
        <w:spacing w:after="120" w:line="360" w:lineRule="auto"/>
        <w:jc w:val="both"/>
        <w:rPr>
          <w:rFonts w:ascii="Garamond" w:hAnsi="Garamond"/>
          <w:sz w:val="22"/>
          <w:szCs w:val="22"/>
        </w:rPr>
      </w:pPr>
    </w:p>
    <w:p w14:paraId="3375A84C" w14:textId="6460DE4F" w:rsidR="00C1309E" w:rsidRPr="00626752" w:rsidRDefault="007908C9" w:rsidP="00933B63">
      <w:pPr>
        <w:autoSpaceDE w:val="0"/>
        <w:autoSpaceDN w:val="0"/>
        <w:adjustRightInd w:val="0"/>
        <w:spacing w:after="120" w:line="360" w:lineRule="auto"/>
        <w:jc w:val="both"/>
        <w:rPr>
          <w:rFonts w:ascii="Garamond" w:hAnsi="Garamond"/>
          <w:sz w:val="22"/>
          <w:szCs w:val="22"/>
        </w:rPr>
      </w:pPr>
      <w:r w:rsidRPr="00626752">
        <w:rPr>
          <w:rFonts w:ascii="Garamond" w:hAnsi="Garamond"/>
          <w:b/>
          <w:sz w:val="22"/>
          <w:szCs w:val="22"/>
        </w:rPr>
        <w:t>Import prices:</w:t>
      </w:r>
      <w:r w:rsidRPr="00626752">
        <w:rPr>
          <w:rFonts w:ascii="Garamond" w:hAnsi="Garamond"/>
          <w:sz w:val="22"/>
          <w:szCs w:val="22"/>
        </w:rPr>
        <w:t xml:space="preserve"> </w:t>
      </w:r>
      <w:r w:rsidR="00A249F2" w:rsidRPr="00626752">
        <w:rPr>
          <w:rFonts w:ascii="Garamond" w:hAnsi="Garamond"/>
          <w:sz w:val="22"/>
          <w:szCs w:val="22"/>
        </w:rPr>
        <w:t>I</w:t>
      </w:r>
      <w:r w:rsidRPr="00626752">
        <w:rPr>
          <w:rFonts w:ascii="Garamond" w:hAnsi="Garamond"/>
          <w:sz w:val="22"/>
          <w:szCs w:val="22"/>
        </w:rPr>
        <w:t xml:space="preserve">n the </w:t>
      </w:r>
      <w:r w:rsidR="00A249F2" w:rsidRPr="00626752">
        <w:rPr>
          <w:rFonts w:ascii="Garamond" w:hAnsi="Garamond"/>
          <w:sz w:val="22"/>
          <w:szCs w:val="22"/>
        </w:rPr>
        <w:t xml:space="preserve">third </w:t>
      </w:r>
      <w:r w:rsidRPr="00626752">
        <w:rPr>
          <w:rFonts w:ascii="Garamond" w:hAnsi="Garamond"/>
          <w:sz w:val="22"/>
          <w:szCs w:val="22"/>
        </w:rPr>
        <w:t>quarter of 2017</w:t>
      </w:r>
      <w:r w:rsidR="00A249F2" w:rsidRPr="00626752">
        <w:rPr>
          <w:rFonts w:ascii="Garamond" w:hAnsi="Garamond"/>
          <w:sz w:val="22"/>
          <w:szCs w:val="22"/>
        </w:rPr>
        <w:t xml:space="preserve">, </w:t>
      </w:r>
      <w:r w:rsidRPr="00626752">
        <w:rPr>
          <w:rFonts w:ascii="Garamond" w:hAnsi="Garamond"/>
          <w:sz w:val="22"/>
          <w:szCs w:val="22"/>
        </w:rPr>
        <w:t xml:space="preserve">the growth of dollar prices of import of goods and services to Armenia </w:t>
      </w:r>
      <w:r w:rsidR="00A249F2" w:rsidRPr="00626752">
        <w:rPr>
          <w:rFonts w:ascii="Garamond" w:hAnsi="Garamond"/>
          <w:sz w:val="22"/>
          <w:szCs w:val="22"/>
        </w:rPr>
        <w:t>accelerated, reaching 2.5</w:t>
      </w:r>
      <w:r w:rsidRPr="00626752">
        <w:rPr>
          <w:rFonts w:ascii="Garamond" w:hAnsi="Garamond"/>
          <w:sz w:val="22"/>
          <w:szCs w:val="22"/>
        </w:rPr>
        <w:t>% q/q on average</w:t>
      </w:r>
      <w:r w:rsidR="00A249F2" w:rsidRPr="00626752">
        <w:rPr>
          <w:rFonts w:ascii="Garamond" w:hAnsi="Garamond"/>
          <w:sz w:val="22"/>
          <w:szCs w:val="22"/>
        </w:rPr>
        <w:t>, as the global demand rebounded</w:t>
      </w:r>
      <w:r w:rsidRPr="00626752">
        <w:rPr>
          <w:rFonts w:ascii="Garamond" w:hAnsi="Garamond"/>
          <w:sz w:val="22"/>
          <w:szCs w:val="22"/>
        </w:rPr>
        <w:t xml:space="preserve">. The growth over the same reference period last year amounted to </w:t>
      </w:r>
      <w:r w:rsidR="006B5C7F" w:rsidRPr="00626752">
        <w:rPr>
          <w:rFonts w:ascii="Garamond" w:hAnsi="Garamond"/>
          <w:sz w:val="22"/>
          <w:szCs w:val="22"/>
        </w:rPr>
        <w:t>4</w:t>
      </w:r>
      <w:r w:rsidRPr="00626752">
        <w:rPr>
          <w:rFonts w:ascii="Garamond" w:hAnsi="Garamond"/>
          <w:sz w:val="22"/>
          <w:szCs w:val="22"/>
        </w:rPr>
        <w:t>.</w:t>
      </w:r>
      <w:r w:rsidR="006B5C7F" w:rsidRPr="00626752">
        <w:rPr>
          <w:rFonts w:ascii="Garamond" w:hAnsi="Garamond"/>
          <w:sz w:val="22"/>
          <w:szCs w:val="22"/>
        </w:rPr>
        <w:t>5</w:t>
      </w:r>
      <w:r w:rsidRPr="00626752">
        <w:rPr>
          <w:rFonts w:ascii="Garamond" w:hAnsi="Garamond"/>
          <w:sz w:val="22"/>
          <w:szCs w:val="22"/>
        </w:rPr>
        <w:t>% y/y.</w:t>
      </w:r>
      <w:r w:rsidR="00C1309E" w:rsidRPr="00626752">
        <w:rPr>
          <w:rFonts w:ascii="Garamond" w:hAnsi="Garamond"/>
          <w:sz w:val="22"/>
          <w:szCs w:val="22"/>
        </w:rPr>
        <w:t xml:space="preserve"> It is worth mentioning that the prices for butter and pork are quite high </w:t>
      </w:r>
      <w:r w:rsidR="007D01C1" w:rsidRPr="00626752">
        <w:rPr>
          <w:rFonts w:ascii="Garamond" w:hAnsi="Garamond"/>
          <w:sz w:val="22"/>
          <w:szCs w:val="22"/>
        </w:rPr>
        <w:t>amid strengthening</w:t>
      </w:r>
      <w:r w:rsidR="00C1309E" w:rsidRPr="00626752">
        <w:rPr>
          <w:rFonts w:ascii="Garamond" w:hAnsi="Garamond"/>
          <w:sz w:val="22"/>
          <w:szCs w:val="22"/>
        </w:rPr>
        <w:t xml:space="preserve"> demand in the global market (see Boxes 1 and 3). Meanwhile, </w:t>
      </w:r>
      <w:r w:rsidR="003A2DCC" w:rsidRPr="00626752">
        <w:rPr>
          <w:rFonts w:ascii="Garamond" w:hAnsi="Garamond"/>
          <w:sz w:val="22"/>
          <w:szCs w:val="22"/>
        </w:rPr>
        <w:t xml:space="preserve">in the light of </w:t>
      </w:r>
      <w:r w:rsidR="00C1309E" w:rsidRPr="00626752">
        <w:rPr>
          <w:rFonts w:ascii="Garamond" w:hAnsi="Garamond"/>
          <w:sz w:val="22"/>
          <w:szCs w:val="22"/>
        </w:rPr>
        <w:t>economic developments</w:t>
      </w:r>
      <w:r w:rsidR="003A2DCC" w:rsidRPr="00626752">
        <w:rPr>
          <w:rFonts w:ascii="Garamond" w:hAnsi="Garamond"/>
          <w:sz w:val="22"/>
          <w:szCs w:val="22"/>
        </w:rPr>
        <w:t xml:space="preserve"> globally</w:t>
      </w:r>
      <w:r w:rsidR="00C1309E" w:rsidRPr="00626752">
        <w:rPr>
          <w:rFonts w:ascii="Garamond" w:hAnsi="Garamond"/>
          <w:sz w:val="22"/>
          <w:szCs w:val="22"/>
        </w:rPr>
        <w:t xml:space="preserve">, </w:t>
      </w:r>
      <w:r w:rsidR="00DE27F9">
        <w:rPr>
          <w:rFonts w:ascii="Garamond" w:hAnsi="Garamond"/>
          <w:sz w:val="22"/>
          <w:szCs w:val="22"/>
        </w:rPr>
        <w:t>prices</w:t>
      </w:r>
      <w:r w:rsidR="00C1309E" w:rsidRPr="00626752">
        <w:rPr>
          <w:rFonts w:ascii="Garamond" w:hAnsi="Garamond"/>
          <w:sz w:val="22"/>
          <w:szCs w:val="22"/>
        </w:rPr>
        <w:t xml:space="preserve"> have also </w:t>
      </w:r>
      <w:r w:rsidR="0036344E" w:rsidRPr="00626752">
        <w:rPr>
          <w:rFonts w:ascii="Garamond" w:hAnsi="Garamond"/>
          <w:sz w:val="22"/>
          <w:szCs w:val="22"/>
        </w:rPr>
        <w:t xml:space="preserve">speeded up </w:t>
      </w:r>
      <w:r w:rsidR="00C1309E" w:rsidRPr="00626752">
        <w:rPr>
          <w:rFonts w:ascii="Garamond" w:hAnsi="Garamond"/>
          <w:sz w:val="22"/>
          <w:szCs w:val="22"/>
        </w:rPr>
        <w:t>in oil, wheat and iron ore markets</w:t>
      </w:r>
      <w:r w:rsidR="0036344E" w:rsidRPr="00626752">
        <w:rPr>
          <w:rFonts w:ascii="Garamond" w:hAnsi="Garamond"/>
          <w:sz w:val="22"/>
          <w:szCs w:val="22"/>
        </w:rPr>
        <w:t xml:space="preserve"> in the world</w:t>
      </w:r>
      <w:r w:rsidR="00C1309E" w:rsidRPr="00626752">
        <w:rPr>
          <w:rFonts w:ascii="Garamond" w:hAnsi="Garamond"/>
          <w:sz w:val="22"/>
          <w:szCs w:val="22"/>
        </w:rPr>
        <w:t>.</w:t>
      </w:r>
      <w:r w:rsidRPr="00626752">
        <w:rPr>
          <w:rFonts w:ascii="Garamond" w:hAnsi="Garamond"/>
          <w:sz w:val="22"/>
          <w:szCs w:val="22"/>
        </w:rPr>
        <w:t xml:space="preserve"> </w:t>
      </w:r>
    </w:p>
    <w:p w14:paraId="43C63471" w14:textId="77777777" w:rsidR="007D01C1" w:rsidRPr="00626752" w:rsidRDefault="007D01C1" w:rsidP="00933B63">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Acceleration of global dollar price growth rates, especially </w:t>
      </w:r>
      <w:r w:rsidR="00C52117" w:rsidRPr="00626752">
        <w:rPr>
          <w:rFonts w:ascii="Garamond" w:hAnsi="Garamond"/>
          <w:sz w:val="22"/>
          <w:szCs w:val="22"/>
        </w:rPr>
        <w:t xml:space="preserve">on the back of </w:t>
      </w:r>
      <w:r w:rsidRPr="00626752">
        <w:rPr>
          <w:rFonts w:ascii="Garamond" w:hAnsi="Garamond"/>
          <w:sz w:val="22"/>
          <w:szCs w:val="22"/>
        </w:rPr>
        <w:t>appreciat</w:t>
      </w:r>
      <w:r w:rsidR="00695216" w:rsidRPr="00626752">
        <w:rPr>
          <w:rFonts w:ascii="Garamond" w:hAnsi="Garamond"/>
          <w:sz w:val="22"/>
          <w:szCs w:val="22"/>
        </w:rPr>
        <w:t xml:space="preserve">ion of </w:t>
      </w:r>
      <w:r w:rsidRPr="00626752">
        <w:rPr>
          <w:rFonts w:ascii="Garamond" w:hAnsi="Garamond"/>
          <w:sz w:val="22"/>
          <w:szCs w:val="22"/>
        </w:rPr>
        <w:t>exchange rate</w:t>
      </w:r>
      <w:r w:rsidR="00C52117" w:rsidRPr="00626752">
        <w:rPr>
          <w:rFonts w:ascii="Garamond" w:hAnsi="Garamond"/>
          <w:sz w:val="22"/>
          <w:szCs w:val="22"/>
        </w:rPr>
        <w:t>s</w:t>
      </w:r>
      <w:r w:rsidRPr="00626752">
        <w:rPr>
          <w:rFonts w:ascii="Garamond" w:hAnsi="Garamond"/>
          <w:sz w:val="22"/>
          <w:szCs w:val="22"/>
        </w:rPr>
        <w:t xml:space="preserve"> in Russia and the E</w:t>
      </w:r>
      <w:r w:rsidR="00C52117" w:rsidRPr="00626752">
        <w:rPr>
          <w:rFonts w:ascii="Garamond" w:hAnsi="Garamond"/>
          <w:sz w:val="22"/>
          <w:szCs w:val="22"/>
        </w:rPr>
        <w:t xml:space="preserve">uropean </w:t>
      </w:r>
      <w:r w:rsidRPr="00626752">
        <w:rPr>
          <w:rFonts w:ascii="Garamond" w:hAnsi="Garamond"/>
          <w:sz w:val="22"/>
          <w:szCs w:val="22"/>
        </w:rPr>
        <w:t>U</w:t>
      </w:r>
      <w:r w:rsidR="00C52117" w:rsidRPr="00626752">
        <w:rPr>
          <w:rFonts w:ascii="Garamond" w:hAnsi="Garamond"/>
          <w:sz w:val="22"/>
          <w:szCs w:val="22"/>
        </w:rPr>
        <w:t>nion</w:t>
      </w:r>
      <w:r w:rsidRPr="00626752">
        <w:rPr>
          <w:rFonts w:ascii="Garamond" w:hAnsi="Garamond"/>
          <w:sz w:val="22"/>
          <w:szCs w:val="22"/>
        </w:rPr>
        <w:t>, has resulted in increase</w:t>
      </w:r>
      <w:r w:rsidR="00C52117" w:rsidRPr="00626752">
        <w:rPr>
          <w:rFonts w:ascii="Garamond" w:hAnsi="Garamond"/>
          <w:sz w:val="22"/>
          <w:szCs w:val="22"/>
        </w:rPr>
        <w:t>d</w:t>
      </w:r>
      <w:r w:rsidRPr="00626752">
        <w:rPr>
          <w:rFonts w:ascii="Garamond" w:hAnsi="Garamond"/>
          <w:sz w:val="22"/>
          <w:szCs w:val="22"/>
        </w:rPr>
        <w:t xml:space="preserve"> prices for final </w:t>
      </w:r>
      <w:r w:rsidR="00C52117" w:rsidRPr="00626752">
        <w:rPr>
          <w:rFonts w:ascii="Garamond" w:hAnsi="Garamond"/>
          <w:sz w:val="22"/>
          <w:szCs w:val="22"/>
        </w:rPr>
        <w:t xml:space="preserve">consumption goods </w:t>
      </w:r>
      <w:r w:rsidRPr="00626752">
        <w:rPr>
          <w:rFonts w:ascii="Garamond" w:hAnsi="Garamond"/>
          <w:sz w:val="22"/>
          <w:szCs w:val="22"/>
        </w:rPr>
        <w:t xml:space="preserve">in Armenia, the impact of which </w:t>
      </w:r>
      <w:r w:rsidR="00C52117" w:rsidRPr="00626752">
        <w:rPr>
          <w:rFonts w:ascii="Garamond" w:hAnsi="Garamond"/>
          <w:sz w:val="22"/>
          <w:szCs w:val="22"/>
        </w:rPr>
        <w:t xml:space="preserve">on the </w:t>
      </w:r>
      <w:r w:rsidR="00E40BA8" w:rsidRPr="00626752">
        <w:rPr>
          <w:rFonts w:ascii="Garamond" w:hAnsi="Garamond"/>
          <w:sz w:val="22"/>
          <w:szCs w:val="22"/>
        </w:rPr>
        <w:t xml:space="preserve">overall </w:t>
      </w:r>
      <w:r w:rsidR="00C52117" w:rsidRPr="00626752">
        <w:rPr>
          <w:rFonts w:ascii="Garamond" w:hAnsi="Garamond"/>
          <w:sz w:val="22"/>
          <w:szCs w:val="22"/>
        </w:rPr>
        <w:t>imports</w:t>
      </w:r>
      <w:r w:rsidR="00E40BA8" w:rsidRPr="00626752">
        <w:rPr>
          <w:rFonts w:ascii="Garamond" w:hAnsi="Garamond"/>
          <w:sz w:val="22"/>
          <w:szCs w:val="22"/>
        </w:rPr>
        <w:t xml:space="preserve"> in dollar terms</w:t>
      </w:r>
      <w:r w:rsidR="00C52117" w:rsidRPr="00626752">
        <w:rPr>
          <w:rFonts w:ascii="Garamond" w:hAnsi="Garamond"/>
          <w:sz w:val="22"/>
          <w:szCs w:val="22"/>
        </w:rPr>
        <w:t xml:space="preserve"> </w:t>
      </w:r>
      <w:r w:rsidR="00695216" w:rsidRPr="00626752">
        <w:rPr>
          <w:rFonts w:ascii="Garamond" w:hAnsi="Garamond"/>
          <w:sz w:val="22"/>
          <w:szCs w:val="22"/>
        </w:rPr>
        <w:t xml:space="preserve">reached </w:t>
      </w:r>
      <w:r w:rsidRPr="00626752">
        <w:rPr>
          <w:rFonts w:ascii="Garamond" w:hAnsi="Garamond"/>
          <w:sz w:val="22"/>
          <w:szCs w:val="22"/>
        </w:rPr>
        <w:t>0.6 p</w:t>
      </w:r>
      <w:r w:rsidR="00695216" w:rsidRPr="00626752">
        <w:rPr>
          <w:rFonts w:ascii="Garamond" w:hAnsi="Garamond"/>
          <w:sz w:val="22"/>
          <w:szCs w:val="22"/>
        </w:rPr>
        <w:t>p</w:t>
      </w:r>
      <w:r w:rsidRPr="00626752">
        <w:rPr>
          <w:rFonts w:ascii="Garamond" w:hAnsi="Garamond"/>
          <w:sz w:val="22"/>
          <w:szCs w:val="22"/>
        </w:rPr>
        <w:t>.</w:t>
      </w:r>
    </w:p>
    <w:p w14:paraId="25D69BCF" w14:textId="77777777" w:rsidR="00E40BA8" w:rsidRPr="00626752" w:rsidRDefault="00E40BA8" w:rsidP="00933B63">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t>3.2 Economic developments</w:t>
      </w:r>
    </w:p>
    <w:p w14:paraId="352415FD" w14:textId="77777777" w:rsidR="00E40BA8" w:rsidRPr="00626752" w:rsidRDefault="00E40BA8" w:rsidP="00933B63">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t>3.2.1. Economy position</w:t>
      </w:r>
    </w:p>
    <w:p w14:paraId="446C50D1" w14:textId="1F1625DD" w:rsidR="00E40BA8" w:rsidRPr="00626752" w:rsidRDefault="000C72B9" w:rsidP="00933B63">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Private spending and investment sharply </w:t>
      </w:r>
      <w:proofErr w:type="spellStart"/>
      <w:r w:rsidR="00D22DE7">
        <w:rPr>
          <w:rFonts w:ascii="Garamond" w:hAnsi="Garamond"/>
          <w:sz w:val="22"/>
          <w:szCs w:val="22"/>
        </w:rPr>
        <w:t>declined</w:t>
      </w:r>
      <w:r w:rsidRPr="00626752">
        <w:rPr>
          <w:rFonts w:ascii="Garamond" w:hAnsi="Garamond"/>
          <w:sz w:val="22"/>
          <w:szCs w:val="22"/>
        </w:rPr>
        <w:t>in</w:t>
      </w:r>
      <w:proofErr w:type="spellEnd"/>
      <w:r w:rsidRPr="00626752">
        <w:rPr>
          <w:rFonts w:ascii="Garamond" w:hAnsi="Garamond"/>
          <w:sz w:val="22"/>
          <w:szCs w:val="22"/>
        </w:rPr>
        <w:t xml:space="preserve"> the Armenian economy due to r</w:t>
      </w:r>
      <w:r w:rsidR="00E40BA8" w:rsidRPr="00626752">
        <w:rPr>
          <w:rFonts w:ascii="Garamond" w:hAnsi="Garamond"/>
          <w:sz w:val="22"/>
          <w:szCs w:val="22"/>
        </w:rPr>
        <w:t>educ</w:t>
      </w:r>
      <w:r w:rsidRPr="00626752">
        <w:rPr>
          <w:rFonts w:ascii="Garamond" w:hAnsi="Garamond"/>
          <w:sz w:val="22"/>
          <w:szCs w:val="22"/>
        </w:rPr>
        <w:t xml:space="preserve">tion in </w:t>
      </w:r>
      <w:r w:rsidR="00E40BA8" w:rsidRPr="00626752">
        <w:rPr>
          <w:rFonts w:ascii="Garamond" w:hAnsi="Garamond"/>
          <w:sz w:val="22"/>
          <w:szCs w:val="22"/>
        </w:rPr>
        <w:t xml:space="preserve">remittances from Russia </w:t>
      </w:r>
      <w:r w:rsidRPr="00626752">
        <w:rPr>
          <w:rFonts w:ascii="Garamond" w:hAnsi="Garamond"/>
          <w:sz w:val="22"/>
          <w:szCs w:val="22"/>
        </w:rPr>
        <w:t xml:space="preserve">between </w:t>
      </w:r>
      <w:r w:rsidR="00E40BA8" w:rsidRPr="00626752">
        <w:rPr>
          <w:rFonts w:ascii="Garamond" w:hAnsi="Garamond"/>
          <w:sz w:val="22"/>
          <w:szCs w:val="22"/>
        </w:rPr>
        <w:t>2015</w:t>
      </w:r>
      <w:r w:rsidRPr="00626752">
        <w:rPr>
          <w:rFonts w:ascii="Garamond" w:hAnsi="Garamond"/>
          <w:sz w:val="22"/>
          <w:szCs w:val="22"/>
        </w:rPr>
        <w:t xml:space="preserve"> and </w:t>
      </w:r>
      <w:r w:rsidR="00E40BA8" w:rsidRPr="00626752">
        <w:rPr>
          <w:rFonts w:ascii="Garamond" w:hAnsi="Garamond"/>
          <w:sz w:val="22"/>
          <w:szCs w:val="22"/>
        </w:rPr>
        <w:t>2016</w:t>
      </w:r>
      <w:r w:rsidR="007B7C08" w:rsidRPr="00626752">
        <w:rPr>
          <w:rFonts w:ascii="Garamond" w:hAnsi="Garamond"/>
          <w:sz w:val="22"/>
          <w:szCs w:val="22"/>
        </w:rPr>
        <w:t>.</w:t>
      </w:r>
      <w:r w:rsidRPr="00626752">
        <w:rPr>
          <w:rFonts w:ascii="Garamond" w:hAnsi="Garamond"/>
          <w:sz w:val="22"/>
          <w:szCs w:val="22"/>
        </w:rPr>
        <w:t xml:space="preserve"> </w:t>
      </w:r>
      <w:r w:rsidR="007B7C08" w:rsidRPr="00626752">
        <w:rPr>
          <w:rFonts w:ascii="Garamond" w:hAnsi="Garamond"/>
          <w:sz w:val="22"/>
          <w:szCs w:val="22"/>
        </w:rPr>
        <w:t>A</w:t>
      </w:r>
      <w:r w:rsidRPr="00626752">
        <w:rPr>
          <w:rFonts w:ascii="Garamond" w:hAnsi="Garamond"/>
          <w:sz w:val="22"/>
          <w:szCs w:val="22"/>
        </w:rPr>
        <w:t xml:space="preserve"> negative </w:t>
      </w:r>
      <w:r w:rsidR="00E40BA8" w:rsidRPr="00626752">
        <w:rPr>
          <w:rFonts w:ascii="Garamond" w:hAnsi="Garamond"/>
          <w:sz w:val="22"/>
          <w:szCs w:val="22"/>
        </w:rPr>
        <w:t>GDP gap</w:t>
      </w:r>
      <w:r w:rsidRPr="00626752">
        <w:rPr>
          <w:rFonts w:ascii="Garamond" w:hAnsi="Garamond"/>
          <w:sz w:val="22"/>
          <w:szCs w:val="22"/>
        </w:rPr>
        <w:t xml:space="preserve"> has emerged as a result</w:t>
      </w:r>
      <w:r w:rsidR="007B7C08" w:rsidRPr="00626752">
        <w:rPr>
          <w:rFonts w:ascii="Garamond" w:hAnsi="Garamond"/>
          <w:sz w:val="22"/>
          <w:szCs w:val="22"/>
        </w:rPr>
        <w:t xml:space="preserve">, creating </w:t>
      </w:r>
      <w:r w:rsidR="00E40BA8" w:rsidRPr="00626752">
        <w:rPr>
          <w:rFonts w:ascii="Garamond" w:hAnsi="Garamond"/>
          <w:sz w:val="22"/>
          <w:szCs w:val="22"/>
        </w:rPr>
        <w:t xml:space="preserve">substantial deflationary pressures in the consumer market. </w:t>
      </w:r>
      <w:r w:rsidR="00A5263E" w:rsidRPr="00626752">
        <w:rPr>
          <w:rFonts w:ascii="Garamond" w:hAnsi="Garamond"/>
          <w:sz w:val="22"/>
          <w:szCs w:val="22"/>
        </w:rPr>
        <w:t xml:space="preserve">To tackle the situation, the Government carried out an expansionary </w:t>
      </w:r>
      <w:r w:rsidR="00E40BA8" w:rsidRPr="00626752">
        <w:rPr>
          <w:rFonts w:ascii="Garamond" w:hAnsi="Garamond"/>
          <w:sz w:val="22"/>
          <w:szCs w:val="22"/>
        </w:rPr>
        <w:t>fiscal policy</w:t>
      </w:r>
      <w:r w:rsidR="00A5263E" w:rsidRPr="00626752">
        <w:rPr>
          <w:rFonts w:ascii="Garamond" w:hAnsi="Garamond"/>
          <w:sz w:val="22"/>
          <w:szCs w:val="22"/>
        </w:rPr>
        <w:t xml:space="preserve"> in 2016</w:t>
      </w:r>
      <w:r w:rsidR="00E40BA8" w:rsidRPr="00626752">
        <w:rPr>
          <w:rFonts w:ascii="Garamond" w:hAnsi="Garamond"/>
          <w:sz w:val="22"/>
          <w:szCs w:val="22"/>
        </w:rPr>
        <w:t xml:space="preserve">. At the same time, the Central Bank gradually </w:t>
      </w:r>
      <w:r w:rsidR="00B01B53" w:rsidRPr="00626752">
        <w:rPr>
          <w:rFonts w:ascii="Garamond" w:hAnsi="Garamond"/>
          <w:sz w:val="22"/>
          <w:szCs w:val="22"/>
        </w:rPr>
        <w:t>eased</w:t>
      </w:r>
      <w:r w:rsidR="00E40BA8" w:rsidRPr="00626752">
        <w:rPr>
          <w:rFonts w:ascii="Garamond" w:hAnsi="Garamond"/>
          <w:sz w:val="22"/>
          <w:szCs w:val="22"/>
        </w:rPr>
        <w:t xml:space="preserve"> the monetary conditions</w:t>
      </w:r>
      <w:r w:rsidR="00B01B53" w:rsidRPr="00626752">
        <w:rPr>
          <w:rFonts w:ascii="Garamond" w:hAnsi="Garamond"/>
          <w:sz w:val="22"/>
          <w:szCs w:val="22"/>
        </w:rPr>
        <w:t xml:space="preserve"> while carrying on implementing an </w:t>
      </w:r>
      <w:r w:rsidR="00E40BA8" w:rsidRPr="00626752">
        <w:rPr>
          <w:rFonts w:ascii="Garamond" w:hAnsi="Garamond"/>
          <w:sz w:val="22"/>
          <w:szCs w:val="22"/>
        </w:rPr>
        <w:t xml:space="preserve">expansionary monetary policy </w:t>
      </w:r>
      <w:r w:rsidR="00B01B53" w:rsidRPr="00626752">
        <w:rPr>
          <w:rFonts w:ascii="Garamond" w:hAnsi="Garamond"/>
          <w:sz w:val="22"/>
          <w:szCs w:val="22"/>
        </w:rPr>
        <w:t xml:space="preserve">over </w:t>
      </w:r>
      <w:r w:rsidR="00E40BA8" w:rsidRPr="00626752">
        <w:rPr>
          <w:rFonts w:ascii="Garamond" w:hAnsi="Garamond"/>
          <w:sz w:val="22"/>
          <w:szCs w:val="22"/>
        </w:rPr>
        <w:t>2017.</w:t>
      </w:r>
      <w:r w:rsidR="00BF261D">
        <w:rPr>
          <w:rFonts w:ascii="Garamond" w:hAnsi="Garamond"/>
          <w:sz w:val="22"/>
          <w:szCs w:val="22"/>
        </w:rPr>
        <w:t>In line with these developments,</w:t>
      </w:r>
      <w:r w:rsidR="005D6EF3" w:rsidRPr="00626752">
        <w:rPr>
          <w:rFonts w:ascii="Garamond" w:hAnsi="Garamond"/>
          <w:sz w:val="22"/>
          <w:szCs w:val="22"/>
        </w:rPr>
        <w:t xml:space="preserve"> starting from the third quarter of 2016, the volumes of remittances from Russia gradually recovered</w:t>
      </w:r>
      <w:r w:rsidR="00E40BA8" w:rsidRPr="00626752">
        <w:rPr>
          <w:rFonts w:ascii="Garamond" w:hAnsi="Garamond"/>
          <w:sz w:val="22"/>
          <w:szCs w:val="22"/>
        </w:rPr>
        <w:t>.</w:t>
      </w:r>
    </w:p>
    <w:p w14:paraId="0A654DD3" w14:textId="2388A644" w:rsidR="00F93A0F" w:rsidRDefault="00F93A0F" w:rsidP="00933B63">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lastRenderedPageBreak/>
        <w:t xml:space="preserve">Driven by the factors mentioned above, a growth of private spending </w:t>
      </w:r>
      <w:r w:rsidR="00ED4268" w:rsidRPr="00626752">
        <w:rPr>
          <w:rFonts w:ascii="Garamond" w:hAnsi="Garamond"/>
          <w:sz w:val="22"/>
          <w:szCs w:val="22"/>
        </w:rPr>
        <w:t xml:space="preserve">was </w:t>
      </w:r>
      <w:r w:rsidRPr="00626752">
        <w:rPr>
          <w:rFonts w:ascii="Garamond" w:hAnsi="Garamond"/>
          <w:sz w:val="22"/>
          <w:szCs w:val="22"/>
        </w:rPr>
        <w:t xml:space="preserve">observable since the beginning of 2017, as the actual GDP gradually approached the potential level, or which is the same, the negative GDP gap reduced, </w:t>
      </w:r>
      <w:r w:rsidR="00CA70BE" w:rsidRPr="00626752">
        <w:rPr>
          <w:rFonts w:ascii="Garamond" w:hAnsi="Garamond"/>
          <w:sz w:val="22"/>
          <w:szCs w:val="22"/>
        </w:rPr>
        <w:t xml:space="preserve">which has been also fueled notably by </w:t>
      </w:r>
      <w:r w:rsidRPr="00626752">
        <w:rPr>
          <w:rFonts w:ascii="Garamond" w:hAnsi="Garamond"/>
          <w:sz w:val="22"/>
          <w:szCs w:val="22"/>
        </w:rPr>
        <w:t>growth of export of goods and services</w:t>
      </w:r>
      <w:r w:rsidR="00AF4555" w:rsidRPr="00626752">
        <w:rPr>
          <w:rStyle w:val="FootnoteReference"/>
          <w:rFonts w:ascii="Garamond" w:hAnsi="Garamond"/>
          <w:sz w:val="22"/>
          <w:szCs w:val="22"/>
        </w:rPr>
        <w:footnoteReference w:customMarkFollows="1" w:id="13"/>
        <w:t>15</w:t>
      </w:r>
      <w:r w:rsidRPr="00626752">
        <w:rPr>
          <w:rFonts w:ascii="Garamond" w:hAnsi="Garamond"/>
          <w:sz w:val="22"/>
          <w:szCs w:val="22"/>
        </w:rPr>
        <w:t xml:space="preserve">. In spite of significant reduction in </w:t>
      </w:r>
      <w:r w:rsidR="00D250C5" w:rsidRPr="00626752">
        <w:rPr>
          <w:rFonts w:ascii="Garamond" w:hAnsi="Garamond"/>
          <w:sz w:val="22"/>
          <w:szCs w:val="22"/>
        </w:rPr>
        <w:t xml:space="preserve">the </w:t>
      </w:r>
      <w:r w:rsidRPr="00626752">
        <w:rPr>
          <w:rFonts w:ascii="Garamond" w:hAnsi="Garamond"/>
          <w:sz w:val="22"/>
          <w:szCs w:val="22"/>
        </w:rPr>
        <w:t xml:space="preserve">GDP </w:t>
      </w:r>
      <w:r w:rsidR="00D250C5" w:rsidRPr="00626752">
        <w:rPr>
          <w:rFonts w:ascii="Garamond" w:hAnsi="Garamond"/>
          <w:sz w:val="22"/>
          <w:szCs w:val="22"/>
        </w:rPr>
        <w:t>gap</w:t>
      </w:r>
      <w:r w:rsidRPr="00626752">
        <w:rPr>
          <w:rFonts w:ascii="Garamond" w:hAnsi="Garamond"/>
          <w:sz w:val="22"/>
          <w:szCs w:val="22"/>
        </w:rPr>
        <w:t xml:space="preserve">, </w:t>
      </w:r>
      <w:r w:rsidR="00D250C5" w:rsidRPr="00626752">
        <w:rPr>
          <w:rFonts w:ascii="Garamond" w:hAnsi="Garamond"/>
          <w:sz w:val="22"/>
          <w:szCs w:val="22"/>
        </w:rPr>
        <w:t>the economy’s cyclic stance i</w:t>
      </w:r>
      <w:r w:rsidRPr="00626752">
        <w:rPr>
          <w:rFonts w:ascii="Garamond" w:hAnsi="Garamond"/>
          <w:sz w:val="22"/>
          <w:szCs w:val="22"/>
        </w:rPr>
        <w:t xml:space="preserve">s </w:t>
      </w:r>
      <w:r w:rsidR="00D250C5" w:rsidRPr="00626752">
        <w:rPr>
          <w:rFonts w:ascii="Garamond" w:hAnsi="Garamond"/>
          <w:sz w:val="22"/>
          <w:szCs w:val="22"/>
        </w:rPr>
        <w:t xml:space="preserve">estimated </w:t>
      </w:r>
      <w:r w:rsidRPr="00626752">
        <w:rPr>
          <w:rFonts w:ascii="Garamond" w:hAnsi="Garamond"/>
          <w:sz w:val="22"/>
          <w:szCs w:val="22"/>
        </w:rPr>
        <w:t xml:space="preserve">still </w:t>
      </w:r>
      <w:r w:rsidR="00D250C5" w:rsidRPr="00626752">
        <w:rPr>
          <w:rFonts w:ascii="Garamond" w:hAnsi="Garamond"/>
          <w:sz w:val="22"/>
          <w:szCs w:val="22"/>
        </w:rPr>
        <w:t>a little</w:t>
      </w:r>
      <w:r w:rsidRPr="00626752">
        <w:rPr>
          <w:rFonts w:ascii="Garamond" w:hAnsi="Garamond"/>
          <w:sz w:val="22"/>
          <w:szCs w:val="22"/>
        </w:rPr>
        <w:t xml:space="preserve"> negative, </w:t>
      </w:r>
      <w:r w:rsidR="00D250C5" w:rsidRPr="00626752">
        <w:rPr>
          <w:rFonts w:ascii="Garamond" w:hAnsi="Garamond"/>
          <w:sz w:val="22"/>
          <w:szCs w:val="22"/>
        </w:rPr>
        <w:t xml:space="preserve">in which circumstance minor </w:t>
      </w:r>
      <w:r w:rsidR="00BF261D">
        <w:rPr>
          <w:rFonts w:ascii="Garamond" w:hAnsi="Garamond"/>
          <w:sz w:val="22"/>
          <w:szCs w:val="22"/>
        </w:rPr>
        <w:t>deflationary</w:t>
      </w:r>
      <w:r w:rsidR="00E26630">
        <w:rPr>
          <w:rFonts w:ascii="Garamond" w:hAnsi="Garamond"/>
          <w:sz w:val="22"/>
          <w:szCs w:val="22"/>
        </w:rPr>
        <w:t xml:space="preserve"> </w:t>
      </w:r>
      <w:r w:rsidRPr="00626752">
        <w:rPr>
          <w:rFonts w:ascii="Garamond" w:hAnsi="Garamond"/>
          <w:sz w:val="22"/>
          <w:szCs w:val="22"/>
        </w:rPr>
        <w:t xml:space="preserve">pressures </w:t>
      </w:r>
      <w:r w:rsidR="00D250C5" w:rsidRPr="00626752">
        <w:rPr>
          <w:rFonts w:ascii="Garamond" w:hAnsi="Garamond"/>
          <w:sz w:val="22"/>
          <w:szCs w:val="22"/>
        </w:rPr>
        <w:t xml:space="preserve">were observable </w:t>
      </w:r>
      <w:r w:rsidRPr="00626752">
        <w:rPr>
          <w:rFonts w:ascii="Garamond" w:hAnsi="Garamond"/>
          <w:sz w:val="22"/>
          <w:szCs w:val="22"/>
        </w:rPr>
        <w:t>in the economy.</w:t>
      </w:r>
    </w:p>
    <w:p w14:paraId="4C5F50F9" w14:textId="77777777" w:rsidR="00E26630" w:rsidRPr="00626752" w:rsidRDefault="00E26630" w:rsidP="00933B63">
      <w:pPr>
        <w:autoSpaceDE w:val="0"/>
        <w:autoSpaceDN w:val="0"/>
        <w:adjustRightInd w:val="0"/>
        <w:spacing w:after="120" w:line="360" w:lineRule="auto"/>
        <w:jc w:val="both"/>
        <w:rPr>
          <w:rFonts w:ascii="Garamond" w:hAnsi="Garamond"/>
          <w:sz w:val="22"/>
          <w:szCs w:val="22"/>
        </w:rPr>
      </w:pPr>
    </w:p>
    <w:p w14:paraId="6B6760B5" w14:textId="77777777" w:rsidR="00AA16AD" w:rsidRPr="00626752" w:rsidRDefault="00AA16AD" w:rsidP="00933B63">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t>3.2.2. The expenditures aspect of the economy</w:t>
      </w:r>
    </w:p>
    <w:p w14:paraId="77F5DD69" w14:textId="77777777" w:rsidR="00545DBA" w:rsidRPr="00626752" w:rsidRDefault="00AA16AD" w:rsidP="00933B63">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In the third quarter of 2017, demand further restored in the private sector, exceeding the Central Bank’s expectations. Specifically, private spending has grown by 7.2%, resulting from 7.8% growth in private consumption and 4% in private investment.</w:t>
      </w:r>
    </w:p>
    <w:p w14:paraId="2E3C0772" w14:textId="77777777" w:rsidR="00AA16AD" w:rsidRPr="00626752" w:rsidRDefault="00AA16AD" w:rsidP="00933B63">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The growth of private consumption and investment in the third quarter has been driven largely by the growth of remittances from Russia, the expansionary monetary policy carried out by the Central Bank, as well as </w:t>
      </w:r>
      <w:r w:rsidR="00966C30" w:rsidRPr="00626752">
        <w:rPr>
          <w:rFonts w:ascii="Garamond" w:hAnsi="Garamond"/>
          <w:sz w:val="22"/>
          <w:szCs w:val="22"/>
        </w:rPr>
        <w:t xml:space="preserve">the measures in support of the </w:t>
      </w:r>
      <w:r w:rsidRPr="00626752">
        <w:rPr>
          <w:rFonts w:ascii="Garamond" w:hAnsi="Garamond"/>
          <w:sz w:val="22"/>
          <w:szCs w:val="22"/>
        </w:rPr>
        <w:t>Government</w:t>
      </w:r>
      <w:r w:rsidR="00966C30" w:rsidRPr="00626752">
        <w:rPr>
          <w:rFonts w:ascii="Garamond" w:hAnsi="Garamond"/>
          <w:sz w:val="22"/>
          <w:szCs w:val="22"/>
        </w:rPr>
        <w:t xml:space="preserve">-led </w:t>
      </w:r>
      <w:r w:rsidRPr="00626752">
        <w:rPr>
          <w:rFonts w:ascii="Garamond" w:hAnsi="Garamond"/>
          <w:sz w:val="22"/>
          <w:szCs w:val="22"/>
        </w:rPr>
        <w:t>investment</w:t>
      </w:r>
      <w:r w:rsidR="00966C30" w:rsidRPr="00626752">
        <w:rPr>
          <w:rFonts w:ascii="Garamond" w:hAnsi="Garamond"/>
          <w:sz w:val="22"/>
          <w:szCs w:val="22"/>
        </w:rPr>
        <w:t xml:space="preserve"> promotion policy</w:t>
      </w:r>
      <w:r w:rsidRPr="00626752">
        <w:rPr>
          <w:rFonts w:ascii="Garamond" w:hAnsi="Garamond"/>
          <w:sz w:val="22"/>
          <w:szCs w:val="22"/>
        </w:rPr>
        <w:t xml:space="preserve">. It should also be noted that </w:t>
      </w:r>
      <w:r w:rsidR="001F67CE" w:rsidRPr="00626752">
        <w:rPr>
          <w:rFonts w:ascii="Garamond" w:hAnsi="Garamond"/>
          <w:sz w:val="22"/>
          <w:szCs w:val="22"/>
        </w:rPr>
        <w:t xml:space="preserve">contractionary </w:t>
      </w:r>
      <w:r w:rsidRPr="00626752">
        <w:rPr>
          <w:rFonts w:ascii="Garamond" w:hAnsi="Garamond"/>
          <w:sz w:val="22"/>
          <w:szCs w:val="22"/>
        </w:rPr>
        <w:t xml:space="preserve">fiscal policy </w:t>
      </w:r>
      <w:r w:rsidR="001F67CE" w:rsidRPr="00626752">
        <w:rPr>
          <w:rFonts w:ascii="Garamond" w:hAnsi="Garamond"/>
          <w:sz w:val="22"/>
          <w:szCs w:val="22"/>
        </w:rPr>
        <w:t xml:space="preserve">steered to sustainable </w:t>
      </w:r>
      <w:r w:rsidRPr="00626752">
        <w:rPr>
          <w:rFonts w:ascii="Garamond" w:hAnsi="Garamond"/>
          <w:sz w:val="22"/>
          <w:szCs w:val="22"/>
        </w:rPr>
        <w:t xml:space="preserve">public debt </w:t>
      </w:r>
      <w:r w:rsidR="001F67CE" w:rsidRPr="00626752">
        <w:rPr>
          <w:rFonts w:ascii="Garamond" w:hAnsi="Garamond"/>
          <w:sz w:val="22"/>
          <w:szCs w:val="22"/>
        </w:rPr>
        <w:t xml:space="preserve">management has somehow curbed the growth of spending </w:t>
      </w:r>
      <w:r w:rsidRPr="00626752">
        <w:rPr>
          <w:rFonts w:ascii="Garamond" w:hAnsi="Garamond"/>
          <w:sz w:val="22"/>
          <w:szCs w:val="22"/>
        </w:rPr>
        <w:t>in the</w:t>
      </w:r>
      <w:r w:rsidR="001F67CE" w:rsidRPr="00626752">
        <w:rPr>
          <w:rFonts w:ascii="Garamond" w:hAnsi="Garamond"/>
          <w:sz w:val="22"/>
          <w:szCs w:val="22"/>
        </w:rPr>
        <w:t xml:space="preserve"> private sector in the</w:t>
      </w:r>
      <w:r w:rsidRPr="00626752">
        <w:rPr>
          <w:rFonts w:ascii="Garamond" w:hAnsi="Garamond"/>
          <w:sz w:val="22"/>
          <w:szCs w:val="22"/>
        </w:rPr>
        <w:t xml:space="preserve"> third quarter.</w:t>
      </w:r>
    </w:p>
    <w:p w14:paraId="4FF67575" w14:textId="272FC882" w:rsidR="00DA46AC" w:rsidRPr="00626752" w:rsidRDefault="00B43D6F" w:rsidP="00933B63">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C</w:t>
      </w:r>
      <w:r w:rsidR="00DA46AC" w:rsidRPr="00626752">
        <w:rPr>
          <w:rFonts w:ascii="Garamond" w:hAnsi="Garamond"/>
          <w:sz w:val="22"/>
          <w:szCs w:val="22"/>
        </w:rPr>
        <w:t xml:space="preserve">ontinued growth in </w:t>
      </w:r>
      <w:r w:rsidRPr="00626752">
        <w:rPr>
          <w:rFonts w:ascii="Garamond" w:hAnsi="Garamond"/>
          <w:sz w:val="22"/>
          <w:szCs w:val="22"/>
        </w:rPr>
        <w:t xml:space="preserve">private </w:t>
      </w:r>
      <w:r w:rsidR="00BF261D">
        <w:rPr>
          <w:rFonts w:ascii="Garamond" w:hAnsi="Garamond"/>
          <w:sz w:val="22"/>
          <w:szCs w:val="22"/>
        </w:rPr>
        <w:t>spending</w:t>
      </w:r>
      <w:r w:rsidR="00BF261D" w:rsidRPr="00626752">
        <w:rPr>
          <w:rFonts w:ascii="Garamond" w:hAnsi="Garamond"/>
          <w:sz w:val="22"/>
          <w:szCs w:val="22"/>
        </w:rPr>
        <w:t xml:space="preserve"> </w:t>
      </w:r>
      <w:r w:rsidRPr="00626752">
        <w:rPr>
          <w:rFonts w:ascii="Garamond" w:hAnsi="Garamond"/>
          <w:sz w:val="22"/>
          <w:szCs w:val="22"/>
        </w:rPr>
        <w:t xml:space="preserve">observable </w:t>
      </w:r>
      <w:r w:rsidR="00DA46AC" w:rsidRPr="00626752">
        <w:rPr>
          <w:rFonts w:ascii="Garamond" w:hAnsi="Garamond"/>
          <w:sz w:val="22"/>
          <w:szCs w:val="22"/>
        </w:rPr>
        <w:t>since the beginning of 2017</w:t>
      </w:r>
      <w:r w:rsidRPr="00626752">
        <w:rPr>
          <w:rFonts w:ascii="Garamond" w:hAnsi="Garamond"/>
          <w:sz w:val="22"/>
          <w:szCs w:val="22"/>
        </w:rPr>
        <w:t xml:space="preserve"> helped </w:t>
      </w:r>
      <w:r w:rsidR="00DA46AC" w:rsidRPr="00626752">
        <w:rPr>
          <w:rFonts w:ascii="Garamond" w:hAnsi="Garamond"/>
          <w:sz w:val="22"/>
          <w:szCs w:val="22"/>
        </w:rPr>
        <w:t xml:space="preserve">private spending approach </w:t>
      </w:r>
      <w:r w:rsidRPr="00626752">
        <w:rPr>
          <w:rFonts w:ascii="Garamond" w:hAnsi="Garamond"/>
          <w:sz w:val="22"/>
          <w:szCs w:val="22"/>
        </w:rPr>
        <w:t xml:space="preserve">its </w:t>
      </w:r>
      <w:r w:rsidR="00DA46AC" w:rsidRPr="00626752">
        <w:rPr>
          <w:rFonts w:ascii="Garamond" w:hAnsi="Garamond"/>
          <w:sz w:val="22"/>
          <w:szCs w:val="22"/>
        </w:rPr>
        <w:t>potential</w:t>
      </w:r>
      <w:r w:rsidRPr="00626752">
        <w:rPr>
          <w:rFonts w:ascii="Garamond" w:hAnsi="Garamond"/>
          <w:sz w:val="22"/>
          <w:szCs w:val="22"/>
        </w:rPr>
        <w:t xml:space="preserve"> level</w:t>
      </w:r>
      <w:r w:rsidR="00DA46AC" w:rsidRPr="00626752">
        <w:rPr>
          <w:rFonts w:ascii="Garamond" w:hAnsi="Garamond"/>
          <w:sz w:val="22"/>
          <w:szCs w:val="22"/>
        </w:rPr>
        <w:t xml:space="preserve">, which has essentially </w:t>
      </w:r>
      <w:r w:rsidRPr="00626752">
        <w:rPr>
          <w:rFonts w:ascii="Garamond" w:hAnsi="Garamond"/>
          <w:sz w:val="22"/>
          <w:szCs w:val="22"/>
        </w:rPr>
        <w:t xml:space="preserve">diminished </w:t>
      </w:r>
      <w:r w:rsidR="00DA46AC" w:rsidRPr="00626752">
        <w:rPr>
          <w:rFonts w:ascii="Garamond" w:hAnsi="Garamond"/>
          <w:sz w:val="22"/>
          <w:szCs w:val="22"/>
        </w:rPr>
        <w:t xml:space="preserve">the negative gap in private demand. Nevertheless, private </w:t>
      </w:r>
      <w:r w:rsidR="00BF261D">
        <w:rPr>
          <w:rFonts w:ascii="Garamond" w:hAnsi="Garamond"/>
          <w:sz w:val="22"/>
          <w:szCs w:val="22"/>
        </w:rPr>
        <w:t>spending</w:t>
      </w:r>
      <w:r w:rsidR="00BF261D" w:rsidRPr="00626752">
        <w:rPr>
          <w:rFonts w:ascii="Garamond" w:hAnsi="Garamond"/>
          <w:sz w:val="22"/>
          <w:szCs w:val="22"/>
        </w:rPr>
        <w:t xml:space="preserve"> </w:t>
      </w:r>
      <w:r w:rsidRPr="00626752">
        <w:rPr>
          <w:rFonts w:ascii="Garamond" w:hAnsi="Garamond"/>
          <w:sz w:val="22"/>
          <w:szCs w:val="22"/>
        </w:rPr>
        <w:t xml:space="preserve">kept on </w:t>
      </w:r>
      <w:r w:rsidR="0079789B" w:rsidRPr="00626752">
        <w:rPr>
          <w:rFonts w:ascii="Garamond" w:hAnsi="Garamond"/>
          <w:sz w:val="22"/>
          <w:szCs w:val="22"/>
        </w:rPr>
        <w:t xml:space="preserve">making </w:t>
      </w:r>
      <w:r w:rsidRPr="00626752">
        <w:rPr>
          <w:rFonts w:ascii="Garamond" w:hAnsi="Garamond"/>
          <w:sz w:val="22"/>
          <w:szCs w:val="22"/>
        </w:rPr>
        <w:t xml:space="preserve">deflationary </w:t>
      </w:r>
      <w:r w:rsidR="0079789B" w:rsidRPr="00626752">
        <w:rPr>
          <w:rFonts w:ascii="Garamond" w:hAnsi="Garamond"/>
          <w:sz w:val="22"/>
          <w:szCs w:val="22"/>
        </w:rPr>
        <w:t>contribution during</w:t>
      </w:r>
      <w:r w:rsidR="00DA46AC" w:rsidRPr="00626752">
        <w:rPr>
          <w:rFonts w:ascii="Garamond" w:hAnsi="Garamond"/>
          <w:sz w:val="22"/>
          <w:szCs w:val="22"/>
        </w:rPr>
        <w:t xml:space="preserve"> the third quarter. However, </w:t>
      </w:r>
      <w:r w:rsidR="0079789B" w:rsidRPr="00626752">
        <w:rPr>
          <w:rFonts w:ascii="Garamond" w:hAnsi="Garamond"/>
          <w:sz w:val="22"/>
          <w:szCs w:val="22"/>
        </w:rPr>
        <w:t>the extent of such contribution has decreased notably amid</w:t>
      </w:r>
      <w:r w:rsidR="00DA46AC" w:rsidRPr="00626752">
        <w:rPr>
          <w:rFonts w:ascii="Garamond" w:hAnsi="Garamond"/>
          <w:sz w:val="22"/>
          <w:szCs w:val="22"/>
        </w:rPr>
        <w:t xml:space="preserve"> rapid</w:t>
      </w:r>
      <w:r w:rsidR="0079789B" w:rsidRPr="00626752">
        <w:rPr>
          <w:rFonts w:ascii="Garamond" w:hAnsi="Garamond"/>
          <w:sz w:val="22"/>
          <w:szCs w:val="22"/>
        </w:rPr>
        <w:t>ly</w:t>
      </w:r>
      <w:r w:rsidR="00DA46AC" w:rsidRPr="00626752">
        <w:rPr>
          <w:rFonts w:ascii="Garamond" w:hAnsi="Garamond"/>
          <w:sz w:val="22"/>
          <w:szCs w:val="22"/>
        </w:rPr>
        <w:t xml:space="preserve"> recover</w:t>
      </w:r>
      <w:r w:rsidR="0079789B" w:rsidRPr="00626752">
        <w:rPr>
          <w:rFonts w:ascii="Garamond" w:hAnsi="Garamond"/>
          <w:sz w:val="22"/>
          <w:szCs w:val="22"/>
        </w:rPr>
        <w:t>ed</w:t>
      </w:r>
      <w:r w:rsidR="00DA46AC" w:rsidRPr="00626752">
        <w:rPr>
          <w:rFonts w:ascii="Garamond" w:hAnsi="Garamond"/>
          <w:sz w:val="22"/>
          <w:szCs w:val="22"/>
        </w:rPr>
        <w:t xml:space="preserve"> private demand</w:t>
      </w:r>
      <w:r w:rsidR="0079789B" w:rsidRPr="00626752">
        <w:rPr>
          <w:rFonts w:ascii="Garamond" w:hAnsi="Garamond"/>
          <w:sz w:val="22"/>
          <w:szCs w:val="22"/>
        </w:rPr>
        <w:t xml:space="preserve"> when compared with t</w:t>
      </w:r>
      <w:r w:rsidR="00DA46AC" w:rsidRPr="00626752">
        <w:rPr>
          <w:rFonts w:ascii="Garamond" w:hAnsi="Garamond"/>
          <w:sz w:val="22"/>
          <w:szCs w:val="22"/>
        </w:rPr>
        <w:t>he previous program</w:t>
      </w:r>
      <w:r w:rsidR="0079789B" w:rsidRPr="00626752">
        <w:rPr>
          <w:rFonts w:ascii="Garamond" w:hAnsi="Garamond"/>
          <w:sz w:val="22"/>
          <w:szCs w:val="22"/>
        </w:rPr>
        <w:t>.</w:t>
      </w:r>
    </w:p>
    <w:p w14:paraId="3D04E990" w14:textId="6F2BEDA1" w:rsidR="0079789B" w:rsidRPr="00626752" w:rsidRDefault="0079789B" w:rsidP="00933B63">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In the third quarter of 2017, according to the Central Bank estimates, net real export has had a negative impact on the GDP growth as a result of faster growth of real </w:t>
      </w:r>
      <w:proofErr w:type="gramStart"/>
      <w:r w:rsidRPr="00626752">
        <w:rPr>
          <w:rFonts w:ascii="Garamond" w:hAnsi="Garamond"/>
          <w:sz w:val="22"/>
          <w:szCs w:val="22"/>
        </w:rPr>
        <w:t>import  over</w:t>
      </w:r>
      <w:proofErr w:type="gramEnd"/>
      <w:r w:rsidRPr="00626752">
        <w:rPr>
          <w:rFonts w:ascii="Garamond" w:hAnsi="Garamond"/>
          <w:sz w:val="22"/>
          <w:szCs w:val="22"/>
        </w:rPr>
        <w:t xml:space="preserve"> those of export. During the quarter, real </w:t>
      </w:r>
      <w:r w:rsidR="00E228B8" w:rsidRPr="00626752">
        <w:rPr>
          <w:rFonts w:ascii="Garamond" w:hAnsi="Garamond"/>
          <w:sz w:val="22"/>
          <w:szCs w:val="22"/>
        </w:rPr>
        <w:t xml:space="preserve">growth rates of </w:t>
      </w:r>
      <w:r w:rsidRPr="00626752">
        <w:rPr>
          <w:rFonts w:ascii="Garamond" w:hAnsi="Garamond"/>
          <w:sz w:val="22"/>
          <w:szCs w:val="22"/>
        </w:rPr>
        <w:t xml:space="preserve">export of goods and services </w:t>
      </w:r>
      <w:r w:rsidR="00E228B8" w:rsidRPr="00626752">
        <w:rPr>
          <w:rFonts w:ascii="Garamond" w:hAnsi="Garamond"/>
          <w:sz w:val="22"/>
          <w:szCs w:val="22"/>
        </w:rPr>
        <w:t xml:space="preserve">amounted to </w:t>
      </w:r>
      <w:r w:rsidRPr="00626752">
        <w:rPr>
          <w:rFonts w:ascii="Garamond" w:hAnsi="Garamond"/>
          <w:sz w:val="22"/>
          <w:szCs w:val="22"/>
        </w:rPr>
        <w:t xml:space="preserve">8.6% </w:t>
      </w:r>
      <w:r w:rsidR="00E228B8" w:rsidRPr="00626752">
        <w:rPr>
          <w:rFonts w:ascii="Garamond" w:hAnsi="Garamond"/>
          <w:sz w:val="22"/>
          <w:szCs w:val="22"/>
        </w:rPr>
        <w:t>y/y</w:t>
      </w:r>
      <w:r w:rsidRPr="00626752">
        <w:rPr>
          <w:rFonts w:ascii="Garamond" w:hAnsi="Garamond"/>
          <w:sz w:val="22"/>
          <w:szCs w:val="22"/>
        </w:rPr>
        <w:t xml:space="preserve"> and </w:t>
      </w:r>
      <w:r w:rsidR="00E228B8" w:rsidRPr="00626752">
        <w:rPr>
          <w:rFonts w:ascii="Garamond" w:hAnsi="Garamond"/>
          <w:sz w:val="22"/>
          <w:szCs w:val="22"/>
        </w:rPr>
        <w:t xml:space="preserve">real growth rates of </w:t>
      </w:r>
      <w:r w:rsidR="00571689" w:rsidRPr="00626752">
        <w:rPr>
          <w:rFonts w:ascii="Garamond" w:hAnsi="Garamond"/>
          <w:sz w:val="22"/>
          <w:szCs w:val="22"/>
        </w:rPr>
        <w:t>import,</w:t>
      </w:r>
      <w:r w:rsidRPr="00626752">
        <w:rPr>
          <w:rFonts w:ascii="Garamond" w:hAnsi="Garamond"/>
          <w:sz w:val="22"/>
          <w:szCs w:val="22"/>
        </w:rPr>
        <w:t xml:space="preserve"> 17.3%</w:t>
      </w:r>
      <w:r w:rsidR="00571689" w:rsidRPr="00626752">
        <w:rPr>
          <w:rFonts w:ascii="Garamond" w:hAnsi="Garamond"/>
          <w:sz w:val="22"/>
          <w:szCs w:val="22"/>
        </w:rPr>
        <w:t xml:space="preserve"> y/y</w:t>
      </w:r>
      <w:r w:rsidR="004B4262" w:rsidRPr="00626752">
        <w:rPr>
          <w:rStyle w:val="FootnoteReference"/>
          <w:rFonts w:ascii="Garamond" w:hAnsi="Garamond"/>
          <w:sz w:val="22"/>
          <w:szCs w:val="22"/>
        </w:rPr>
        <w:footnoteReference w:customMarkFollows="1" w:id="14"/>
        <w:t>16</w:t>
      </w:r>
      <w:r w:rsidRPr="00626752">
        <w:rPr>
          <w:rFonts w:ascii="Garamond" w:hAnsi="Garamond"/>
          <w:sz w:val="22"/>
          <w:szCs w:val="22"/>
        </w:rPr>
        <w:t>.</w:t>
      </w:r>
    </w:p>
    <w:p w14:paraId="00810DE9" w14:textId="7FB24B3A" w:rsidR="004B4262" w:rsidRDefault="004B4262" w:rsidP="00933B63">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The growth rates in dollar value of net remittances of individuals (seasonal workers’ </w:t>
      </w:r>
      <w:r w:rsidR="00D0013B">
        <w:rPr>
          <w:rFonts w:ascii="Garamond" w:hAnsi="Garamond"/>
          <w:sz w:val="22"/>
          <w:szCs w:val="22"/>
        </w:rPr>
        <w:t>income</w:t>
      </w:r>
      <w:r w:rsidRPr="00626752">
        <w:rPr>
          <w:rFonts w:ascii="Garamond" w:hAnsi="Garamond"/>
          <w:sz w:val="22"/>
          <w:szCs w:val="22"/>
        </w:rPr>
        <w:t xml:space="preserve"> and personal transfers inclusive) </w:t>
      </w:r>
      <w:r w:rsidR="00EB5FCA" w:rsidRPr="00626752">
        <w:rPr>
          <w:rFonts w:ascii="Garamond" w:hAnsi="Garamond"/>
          <w:sz w:val="22"/>
          <w:szCs w:val="22"/>
        </w:rPr>
        <w:t xml:space="preserve">accelerated to 15.7% y/y </w:t>
      </w:r>
      <w:r w:rsidRPr="00626752">
        <w:rPr>
          <w:rFonts w:ascii="Garamond" w:hAnsi="Garamond"/>
          <w:sz w:val="22"/>
          <w:szCs w:val="22"/>
        </w:rPr>
        <w:t>in the third quarter</w:t>
      </w:r>
      <w:r w:rsidR="00EB5FCA" w:rsidRPr="00626752">
        <w:rPr>
          <w:rFonts w:ascii="Garamond" w:hAnsi="Garamond"/>
          <w:sz w:val="22"/>
          <w:szCs w:val="22"/>
        </w:rPr>
        <w:t xml:space="preserve"> of 2017</w:t>
      </w:r>
      <w:r w:rsidRPr="00626752">
        <w:rPr>
          <w:rFonts w:ascii="Garamond" w:hAnsi="Garamond"/>
          <w:sz w:val="22"/>
          <w:szCs w:val="22"/>
        </w:rPr>
        <w:t xml:space="preserve">, </w:t>
      </w:r>
      <w:r w:rsidR="00EB5FCA" w:rsidRPr="00626752">
        <w:rPr>
          <w:rFonts w:ascii="Garamond" w:hAnsi="Garamond"/>
          <w:sz w:val="22"/>
          <w:szCs w:val="22"/>
        </w:rPr>
        <w:t xml:space="preserve">driven by faster recovering </w:t>
      </w:r>
      <w:r w:rsidRPr="00626752">
        <w:rPr>
          <w:rFonts w:ascii="Garamond" w:hAnsi="Garamond"/>
          <w:sz w:val="22"/>
          <w:szCs w:val="22"/>
        </w:rPr>
        <w:t>Russian economy.</w:t>
      </w:r>
    </w:p>
    <w:p w14:paraId="75FCEA0D" w14:textId="77777777" w:rsidR="00E26630" w:rsidRPr="00626752" w:rsidRDefault="00E26630" w:rsidP="00933B63">
      <w:pPr>
        <w:autoSpaceDE w:val="0"/>
        <w:autoSpaceDN w:val="0"/>
        <w:adjustRightInd w:val="0"/>
        <w:spacing w:after="120" w:line="360" w:lineRule="auto"/>
        <w:jc w:val="both"/>
        <w:rPr>
          <w:rFonts w:ascii="Garamond" w:hAnsi="Garamond"/>
          <w:sz w:val="22"/>
          <w:szCs w:val="22"/>
        </w:rPr>
      </w:pPr>
    </w:p>
    <w:p w14:paraId="71FF59E4" w14:textId="77777777" w:rsidR="00B178C0" w:rsidRPr="00626752" w:rsidRDefault="00B178C0" w:rsidP="00B178C0">
      <w:pPr>
        <w:autoSpaceDE w:val="0"/>
        <w:autoSpaceDN w:val="0"/>
        <w:adjustRightInd w:val="0"/>
        <w:spacing w:after="120" w:line="360" w:lineRule="auto"/>
        <w:jc w:val="both"/>
        <w:rPr>
          <w:rFonts w:ascii="Garamond" w:hAnsi="Garamond"/>
          <w:b/>
          <w:sz w:val="22"/>
          <w:szCs w:val="22"/>
        </w:rPr>
      </w:pPr>
      <w:r w:rsidRPr="00626752">
        <w:rPr>
          <w:rFonts w:ascii="Garamond" w:hAnsi="Garamond"/>
          <w:b/>
          <w:sz w:val="22"/>
          <w:szCs w:val="22"/>
        </w:rPr>
        <w:lastRenderedPageBreak/>
        <w:t>Fiscal policy</w:t>
      </w:r>
      <w:r w:rsidRPr="00626752">
        <w:rPr>
          <w:rStyle w:val="FootnoteReference"/>
          <w:rFonts w:ascii="Garamond" w:hAnsi="Garamond"/>
          <w:b/>
          <w:sz w:val="22"/>
          <w:szCs w:val="22"/>
        </w:rPr>
        <w:footnoteReference w:customMarkFollows="1" w:id="15"/>
        <w:t>17</w:t>
      </w:r>
      <w:r w:rsidRPr="00626752">
        <w:rPr>
          <w:rFonts w:ascii="Garamond" w:hAnsi="Garamond"/>
          <w:b/>
          <w:sz w:val="22"/>
          <w:szCs w:val="22"/>
        </w:rPr>
        <w:t>:</w:t>
      </w:r>
    </w:p>
    <w:p w14:paraId="6C286D26" w14:textId="7FCB7C02" w:rsidR="00F40F99" w:rsidRPr="00626752" w:rsidRDefault="00B178C0" w:rsidP="00B178C0">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In the third quarter of 2017 the State Budget was performed </w:t>
      </w:r>
      <w:r w:rsidR="007C2ACC">
        <w:rPr>
          <w:rFonts w:ascii="Garamond" w:hAnsi="Garamond"/>
          <w:sz w:val="22"/>
          <w:szCs w:val="22"/>
        </w:rPr>
        <w:t>as</w:t>
      </w:r>
      <w:r w:rsidR="007C2ACC" w:rsidRPr="00626752">
        <w:rPr>
          <w:rFonts w:ascii="Garamond" w:hAnsi="Garamond"/>
          <w:sz w:val="22"/>
          <w:szCs w:val="22"/>
        </w:rPr>
        <w:t xml:space="preserve"> </w:t>
      </w:r>
      <w:r w:rsidR="007C2ACC">
        <w:rPr>
          <w:rFonts w:ascii="Garamond" w:hAnsi="Garamond"/>
          <w:sz w:val="22"/>
          <w:szCs w:val="22"/>
        </w:rPr>
        <w:t xml:space="preserve">expenditure in line with projections, </w:t>
      </w:r>
      <w:r w:rsidRPr="00626752">
        <w:rPr>
          <w:rFonts w:ascii="Garamond" w:hAnsi="Garamond"/>
          <w:sz w:val="22"/>
          <w:szCs w:val="22"/>
        </w:rPr>
        <w:t xml:space="preserve">but </w:t>
      </w:r>
      <w:r w:rsidR="007C2ACC">
        <w:rPr>
          <w:rFonts w:ascii="Garamond" w:hAnsi="Garamond"/>
          <w:sz w:val="22"/>
          <w:szCs w:val="22"/>
        </w:rPr>
        <w:t xml:space="preserve">taxes </w:t>
      </w:r>
      <w:r w:rsidRPr="00626752">
        <w:rPr>
          <w:rFonts w:ascii="Garamond" w:hAnsi="Garamond"/>
          <w:sz w:val="22"/>
          <w:szCs w:val="22"/>
        </w:rPr>
        <w:t xml:space="preserve">collected </w:t>
      </w:r>
      <w:r w:rsidR="00D14C7C" w:rsidRPr="00626752">
        <w:rPr>
          <w:rFonts w:ascii="Garamond" w:hAnsi="Garamond"/>
          <w:sz w:val="22"/>
          <w:szCs w:val="22"/>
        </w:rPr>
        <w:t>below</w:t>
      </w:r>
      <w:r w:rsidRPr="00626752">
        <w:rPr>
          <w:rFonts w:ascii="Garamond" w:hAnsi="Garamond"/>
          <w:sz w:val="22"/>
          <w:szCs w:val="22"/>
        </w:rPr>
        <w:t xml:space="preserve"> the Central Bank’s projections</w:t>
      </w:r>
      <w:r w:rsidRPr="00626752">
        <w:rPr>
          <w:rStyle w:val="FootnoteReference"/>
          <w:rFonts w:ascii="Garamond" w:hAnsi="Garamond"/>
          <w:sz w:val="22"/>
          <w:szCs w:val="22"/>
        </w:rPr>
        <w:footnoteReference w:customMarkFollows="1" w:id="16"/>
        <w:t>18</w:t>
      </w:r>
      <w:r w:rsidRPr="00626752">
        <w:rPr>
          <w:rFonts w:ascii="Garamond" w:hAnsi="Garamond"/>
          <w:sz w:val="22"/>
          <w:szCs w:val="22"/>
        </w:rPr>
        <w:t>. The fiscal secto</w:t>
      </w:r>
      <w:r w:rsidR="00D14C7C" w:rsidRPr="00626752">
        <w:rPr>
          <w:rFonts w:ascii="Garamond" w:hAnsi="Garamond"/>
          <w:sz w:val="22"/>
          <w:szCs w:val="22"/>
        </w:rPr>
        <w:t>r’s impact on aggregate demand wa</w:t>
      </w:r>
      <w:r w:rsidRPr="00626752">
        <w:rPr>
          <w:rFonts w:ascii="Garamond" w:hAnsi="Garamond"/>
          <w:sz w:val="22"/>
          <w:szCs w:val="22"/>
        </w:rPr>
        <w:t xml:space="preserve">s estimated </w:t>
      </w:r>
      <w:r w:rsidR="00D14C7C" w:rsidRPr="00626752">
        <w:rPr>
          <w:rFonts w:ascii="Garamond" w:hAnsi="Garamond"/>
          <w:sz w:val="22"/>
          <w:szCs w:val="22"/>
        </w:rPr>
        <w:t>1</w:t>
      </w:r>
      <w:r w:rsidRPr="00626752">
        <w:rPr>
          <w:rFonts w:ascii="Garamond" w:hAnsi="Garamond"/>
          <w:sz w:val="22"/>
          <w:szCs w:val="22"/>
        </w:rPr>
        <w:t>.</w:t>
      </w:r>
      <w:r w:rsidR="00D14C7C" w:rsidRPr="00626752">
        <w:rPr>
          <w:rFonts w:ascii="Garamond" w:hAnsi="Garamond"/>
          <w:sz w:val="22"/>
          <w:szCs w:val="22"/>
        </w:rPr>
        <w:t>9</w:t>
      </w:r>
      <w:r w:rsidRPr="00626752">
        <w:rPr>
          <w:rFonts w:ascii="Garamond" w:hAnsi="Garamond"/>
          <w:sz w:val="22"/>
          <w:szCs w:val="22"/>
        </w:rPr>
        <w:t xml:space="preserve"> </w:t>
      </w:r>
      <w:r w:rsidR="00D14C7C" w:rsidRPr="00626752">
        <w:rPr>
          <w:rFonts w:ascii="Garamond" w:hAnsi="Garamond"/>
          <w:sz w:val="22"/>
          <w:szCs w:val="22"/>
        </w:rPr>
        <w:t xml:space="preserve">pp </w:t>
      </w:r>
      <w:r w:rsidRPr="00626752">
        <w:rPr>
          <w:rFonts w:ascii="Garamond" w:hAnsi="Garamond"/>
          <w:sz w:val="22"/>
          <w:szCs w:val="22"/>
        </w:rPr>
        <w:t xml:space="preserve">contractionary for the quarter, </w:t>
      </w:r>
      <w:r w:rsidR="00D14C7C" w:rsidRPr="00626752">
        <w:rPr>
          <w:rFonts w:ascii="Garamond" w:hAnsi="Garamond"/>
          <w:sz w:val="22"/>
          <w:szCs w:val="22"/>
        </w:rPr>
        <w:t>against the forecast 3.0 pp contractionary</w:t>
      </w:r>
      <w:r w:rsidRPr="00626752">
        <w:rPr>
          <w:rFonts w:ascii="Garamond" w:hAnsi="Garamond"/>
          <w:sz w:val="22"/>
          <w:szCs w:val="22"/>
        </w:rPr>
        <w:t>.</w:t>
      </w:r>
    </w:p>
    <w:p w14:paraId="65F030C8" w14:textId="77777777" w:rsidR="00D14C7C" w:rsidRPr="00626752" w:rsidRDefault="00D14C7C" w:rsidP="00B178C0">
      <w:pPr>
        <w:autoSpaceDE w:val="0"/>
        <w:autoSpaceDN w:val="0"/>
        <w:adjustRightInd w:val="0"/>
        <w:spacing w:after="120" w:line="360" w:lineRule="auto"/>
        <w:jc w:val="both"/>
        <w:rPr>
          <w:rFonts w:ascii="Garamond" w:hAnsi="Garamond"/>
          <w:color w:val="000000"/>
          <w:sz w:val="22"/>
          <w:szCs w:val="22"/>
        </w:rPr>
      </w:pPr>
      <w:r w:rsidRPr="00626752">
        <w:rPr>
          <w:rFonts w:ascii="Garamond" w:hAnsi="Garamond"/>
          <w:color w:val="000000"/>
          <w:sz w:val="22"/>
          <w:szCs w:val="22"/>
        </w:rPr>
        <w:t xml:space="preserve">In the third quarter, consolidated budget revenues </w:t>
      </w:r>
      <w:r w:rsidR="00540986" w:rsidRPr="00626752">
        <w:rPr>
          <w:rFonts w:ascii="Garamond" w:hAnsi="Garamond"/>
          <w:color w:val="000000"/>
          <w:sz w:val="22"/>
          <w:szCs w:val="22"/>
        </w:rPr>
        <w:t xml:space="preserve">were under-collected </w:t>
      </w:r>
      <w:r w:rsidRPr="00626752">
        <w:rPr>
          <w:rFonts w:ascii="Garamond" w:hAnsi="Garamond"/>
          <w:color w:val="000000"/>
          <w:sz w:val="22"/>
          <w:szCs w:val="22"/>
        </w:rPr>
        <w:t xml:space="preserve">by 5.4% </w:t>
      </w:r>
      <w:r w:rsidR="00540986" w:rsidRPr="00626752">
        <w:rPr>
          <w:rFonts w:ascii="Garamond" w:hAnsi="Garamond"/>
          <w:color w:val="000000"/>
          <w:sz w:val="22"/>
          <w:szCs w:val="22"/>
        </w:rPr>
        <w:t xml:space="preserve">against </w:t>
      </w:r>
      <w:r w:rsidRPr="00626752">
        <w:rPr>
          <w:rFonts w:ascii="Garamond" w:hAnsi="Garamond"/>
          <w:color w:val="000000"/>
          <w:sz w:val="22"/>
          <w:szCs w:val="22"/>
        </w:rPr>
        <w:t xml:space="preserve">the </w:t>
      </w:r>
      <w:r w:rsidR="00540986" w:rsidRPr="00626752">
        <w:rPr>
          <w:rFonts w:ascii="Garamond" w:hAnsi="Garamond"/>
          <w:color w:val="000000"/>
          <w:sz w:val="22"/>
          <w:szCs w:val="22"/>
        </w:rPr>
        <w:t>projection</w:t>
      </w:r>
      <w:r w:rsidRPr="00626752">
        <w:rPr>
          <w:rFonts w:ascii="Garamond" w:hAnsi="Garamond"/>
          <w:color w:val="000000"/>
          <w:sz w:val="22"/>
          <w:szCs w:val="22"/>
        </w:rPr>
        <w:t xml:space="preserve">. The revenue </w:t>
      </w:r>
      <w:r w:rsidR="00540986" w:rsidRPr="00626752">
        <w:rPr>
          <w:rFonts w:ascii="Garamond" w:hAnsi="Garamond"/>
          <w:color w:val="000000"/>
          <w:sz w:val="22"/>
          <w:szCs w:val="22"/>
        </w:rPr>
        <w:t>impulse reached</w:t>
      </w:r>
      <w:r w:rsidRPr="00626752">
        <w:rPr>
          <w:rFonts w:ascii="Garamond" w:hAnsi="Garamond"/>
          <w:color w:val="000000"/>
          <w:sz w:val="22"/>
          <w:szCs w:val="22"/>
        </w:rPr>
        <w:t xml:space="preserve"> 0.2 p</w:t>
      </w:r>
      <w:r w:rsidR="00540986" w:rsidRPr="00626752">
        <w:rPr>
          <w:rFonts w:ascii="Garamond" w:hAnsi="Garamond"/>
          <w:color w:val="000000"/>
          <w:sz w:val="22"/>
          <w:szCs w:val="22"/>
        </w:rPr>
        <w:t>p</w:t>
      </w:r>
      <w:r w:rsidRPr="00626752">
        <w:rPr>
          <w:rFonts w:ascii="Garamond" w:hAnsi="Garamond"/>
          <w:color w:val="000000"/>
          <w:sz w:val="22"/>
          <w:szCs w:val="22"/>
        </w:rPr>
        <w:t xml:space="preserve"> </w:t>
      </w:r>
      <w:r w:rsidR="00540986" w:rsidRPr="00626752">
        <w:rPr>
          <w:rFonts w:ascii="Garamond" w:hAnsi="Garamond"/>
          <w:color w:val="000000"/>
          <w:sz w:val="22"/>
          <w:szCs w:val="22"/>
        </w:rPr>
        <w:t>expansionary</w:t>
      </w:r>
      <w:r w:rsidRPr="00626752">
        <w:rPr>
          <w:rFonts w:ascii="Garamond" w:hAnsi="Garamond"/>
          <w:color w:val="000000"/>
          <w:sz w:val="22"/>
          <w:szCs w:val="22"/>
        </w:rPr>
        <w:t xml:space="preserve"> </w:t>
      </w:r>
      <w:r w:rsidR="00540986" w:rsidRPr="00626752">
        <w:rPr>
          <w:rFonts w:ascii="Garamond" w:hAnsi="Garamond"/>
          <w:color w:val="000000"/>
          <w:sz w:val="22"/>
          <w:szCs w:val="22"/>
        </w:rPr>
        <w:t xml:space="preserve">instead of </w:t>
      </w:r>
      <w:r w:rsidRPr="00626752">
        <w:rPr>
          <w:rFonts w:ascii="Garamond" w:hAnsi="Garamond"/>
          <w:color w:val="000000"/>
          <w:sz w:val="22"/>
          <w:szCs w:val="22"/>
        </w:rPr>
        <w:t>the forecast 0.5</w:t>
      </w:r>
      <w:r w:rsidR="00540986" w:rsidRPr="00626752">
        <w:rPr>
          <w:rFonts w:ascii="Garamond" w:hAnsi="Garamond"/>
          <w:color w:val="000000"/>
          <w:sz w:val="22"/>
          <w:szCs w:val="22"/>
        </w:rPr>
        <w:t xml:space="preserve"> pp contractionary</w:t>
      </w:r>
      <w:r w:rsidRPr="00626752">
        <w:rPr>
          <w:rFonts w:ascii="Garamond" w:hAnsi="Garamond"/>
          <w:color w:val="000000"/>
          <w:sz w:val="22"/>
          <w:szCs w:val="22"/>
        </w:rPr>
        <w:t>.</w:t>
      </w:r>
    </w:p>
    <w:p w14:paraId="4A8C4ABD" w14:textId="77777777" w:rsidR="004C5E94" w:rsidRPr="00626752" w:rsidRDefault="004C5E94" w:rsidP="00B178C0">
      <w:pPr>
        <w:autoSpaceDE w:val="0"/>
        <w:autoSpaceDN w:val="0"/>
        <w:adjustRightInd w:val="0"/>
        <w:spacing w:after="120" w:line="360" w:lineRule="auto"/>
        <w:jc w:val="both"/>
        <w:rPr>
          <w:rFonts w:ascii="Garamond" w:hAnsi="Garamond"/>
          <w:sz w:val="22"/>
          <w:szCs w:val="22"/>
        </w:rPr>
      </w:pPr>
      <w:r w:rsidRPr="00626752">
        <w:rPr>
          <w:rFonts w:ascii="Garamond" w:hAnsi="Garamond"/>
          <w:color w:val="000000"/>
          <w:sz w:val="22"/>
          <w:szCs w:val="22"/>
        </w:rPr>
        <w:t xml:space="preserve">In the </w:t>
      </w:r>
      <w:r w:rsidRPr="00626752">
        <w:rPr>
          <w:rFonts w:ascii="Garamond" w:hAnsi="Garamond"/>
          <w:sz w:val="22"/>
          <w:szCs w:val="22"/>
        </w:rPr>
        <w:t xml:space="preserve">third quarter of 2017 the budget expenditures were performed in compliance with the projection. </w:t>
      </w:r>
      <w:r w:rsidRPr="00626752">
        <w:rPr>
          <w:rFonts w:ascii="Garamond" w:hAnsi="Garamond"/>
          <w:b/>
          <w:sz w:val="22"/>
          <w:szCs w:val="22"/>
        </w:rPr>
        <w:t>Public spending</w:t>
      </w:r>
      <w:r w:rsidRPr="00626752">
        <w:rPr>
          <w:rFonts w:ascii="Garamond" w:hAnsi="Garamond"/>
          <w:sz w:val="22"/>
          <w:szCs w:val="22"/>
        </w:rPr>
        <w:t xml:space="preserve"> exceeded the predicted figure by about 9% whereas expenditures on item </w:t>
      </w:r>
      <w:r w:rsidRPr="00626752">
        <w:rPr>
          <w:rFonts w:ascii="Garamond" w:hAnsi="Garamond"/>
          <w:b/>
          <w:sz w:val="22"/>
          <w:szCs w:val="22"/>
        </w:rPr>
        <w:t>“Transactions with non-financial assets”</w:t>
      </w:r>
      <w:r w:rsidRPr="00626752">
        <w:rPr>
          <w:rFonts w:ascii="Garamond" w:hAnsi="Garamond"/>
          <w:sz w:val="22"/>
          <w:szCs w:val="22"/>
        </w:rPr>
        <w:t xml:space="preserve"> were 7% less from the projection. As a result, the expenditures impulse amounted to 2.1 pp contractionary, which is in line with the forecast.</w:t>
      </w:r>
    </w:p>
    <w:p w14:paraId="031C0596" w14:textId="3C614F1D" w:rsidR="004C5E94" w:rsidRDefault="004C5E94" w:rsidP="00B178C0">
      <w:pPr>
        <w:autoSpaceDE w:val="0"/>
        <w:autoSpaceDN w:val="0"/>
        <w:adjustRightInd w:val="0"/>
        <w:spacing w:after="120" w:line="360" w:lineRule="auto"/>
        <w:jc w:val="both"/>
        <w:rPr>
          <w:rFonts w:ascii="Garamond" w:hAnsi="Garamond"/>
          <w:bCs/>
          <w:iCs/>
          <w:color w:val="000000"/>
          <w:sz w:val="22"/>
          <w:szCs w:val="22"/>
        </w:rPr>
      </w:pPr>
      <w:r w:rsidRPr="00626752">
        <w:rPr>
          <w:rFonts w:ascii="Garamond" w:hAnsi="Garamond"/>
          <w:sz w:val="22"/>
          <w:szCs w:val="22"/>
        </w:rPr>
        <w:t xml:space="preserve">With </w:t>
      </w:r>
      <w:r w:rsidRPr="00626752">
        <w:rPr>
          <w:rFonts w:ascii="Garamond" w:hAnsi="Garamond"/>
          <w:bCs/>
          <w:iCs/>
          <w:color w:val="000000"/>
          <w:sz w:val="22"/>
          <w:szCs w:val="22"/>
        </w:rPr>
        <w:t xml:space="preserve">revenues and expenditures performance described above, in the third quarter of 2017 the state budget generated a deficit of roughly AMD 50.5 billion, which is 65% higher from the Central Bank’s projection for the </w:t>
      </w:r>
      <w:r w:rsidR="00D42518" w:rsidRPr="00626752">
        <w:rPr>
          <w:rFonts w:ascii="Garamond" w:hAnsi="Garamond"/>
          <w:bCs/>
          <w:iCs/>
          <w:color w:val="000000"/>
          <w:sz w:val="22"/>
          <w:szCs w:val="22"/>
        </w:rPr>
        <w:t>quarter</w:t>
      </w:r>
      <w:r w:rsidRPr="00626752">
        <w:rPr>
          <w:rFonts w:ascii="Garamond" w:hAnsi="Garamond"/>
          <w:bCs/>
          <w:iCs/>
          <w:color w:val="000000"/>
          <w:sz w:val="22"/>
          <w:szCs w:val="22"/>
        </w:rPr>
        <w:t>.</w:t>
      </w:r>
    </w:p>
    <w:p w14:paraId="7C24E512" w14:textId="77777777" w:rsidR="00E26630" w:rsidRPr="00626752" w:rsidRDefault="00E26630" w:rsidP="00B178C0">
      <w:pPr>
        <w:autoSpaceDE w:val="0"/>
        <w:autoSpaceDN w:val="0"/>
        <w:adjustRightInd w:val="0"/>
        <w:spacing w:after="120" w:line="360" w:lineRule="auto"/>
        <w:jc w:val="both"/>
        <w:rPr>
          <w:rFonts w:ascii="Garamond" w:hAnsi="Garamond"/>
          <w:bCs/>
          <w:iCs/>
          <w:color w:val="000000"/>
          <w:sz w:val="22"/>
          <w:szCs w:val="22"/>
        </w:rPr>
      </w:pPr>
    </w:p>
    <w:p w14:paraId="650F058F" w14:textId="77777777" w:rsidR="004C5E94" w:rsidRPr="00626752" w:rsidRDefault="004C5E94" w:rsidP="00B178C0">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bCs/>
          <w:iCs/>
          <w:color w:val="0070C0"/>
          <w:sz w:val="22"/>
          <w:szCs w:val="22"/>
        </w:rPr>
        <w:t xml:space="preserve">3.2.3. The </w:t>
      </w:r>
      <w:r w:rsidRPr="00626752">
        <w:rPr>
          <w:rFonts w:ascii="Garamond" w:hAnsi="Garamond"/>
          <w:b/>
          <w:color w:val="0070C0"/>
          <w:sz w:val="22"/>
          <w:szCs w:val="22"/>
        </w:rPr>
        <w:t>revenues aspect of the economy</w:t>
      </w:r>
    </w:p>
    <w:p w14:paraId="0C553664" w14:textId="77777777" w:rsidR="004C5E94" w:rsidRPr="00626752" w:rsidRDefault="004C5E94" w:rsidP="00B178C0">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Economic activity in January-September 2017 has increased by 5.1%, and the GDP growth in the third quarter is an estimated 4.0%, which is slightly </w:t>
      </w:r>
      <w:r w:rsidR="004F13D9" w:rsidRPr="00626752">
        <w:rPr>
          <w:rFonts w:ascii="Garamond" w:hAnsi="Garamond"/>
          <w:sz w:val="22"/>
          <w:szCs w:val="22"/>
        </w:rPr>
        <w:t xml:space="preserve">above </w:t>
      </w:r>
      <w:r w:rsidRPr="00626752">
        <w:rPr>
          <w:rFonts w:ascii="Garamond" w:hAnsi="Garamond"/>
          <w:sz w:val="22"/>
          <w:szCs w:val="22"/>
        </w:rPr>
        <w:t>the Central Bank expectation</w:t>
      </w:r>
      <w:r w:rsidR="004F13D9" w:rsidRPr="00626752">
        <w:rPr>
          <w:rFonts w:ascii="Garamond" w:hAnsi="Garamond"/>
          <w:sz w:val="22"/>
          <w:szCs w:val="22"/>
        </w:rPr>
        <w:t>s</w:t>
      </w:r>
      <w:r w:rsidRPr="00626752">
        <w:rPr>
          <w:rFonts w:ascii="Garamond" w:hAnsi="Garamond"/>
          <w:sz w:val="22"/>
          <w:szCs w:val="22"/>
        </w:rPr>
        <w:t xml:space="preserve">. </w:t>
      </w:r>
    </w:p>
    <w:p w14:paraId="3C1452F9" w14:textId="77777777" w:rsidR="00D42518" w:rsidRPr="00626752" w:rsidRDefault="004F13D9" w:rsidP="00B178C0">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T</w:t>
      </w:r>
      <w:r w:rsidR="00D42518" w:rsidRPr="00626752">
        <w:rPr>
          <w:rFonts w:ascii="Garamond" w:hAnsi="Garamond"/>
          <w:sz w:val="22"/>
          <w:szCs w:val="22"/>
        </w:rPr>
        <w:t xml:space="preserve">he </w:t>
      </w:r>
      <w:r w:rsidRPr="00626752">
        <w:rPr>
          <w:rFonts w:ascii="Garamond" w:hAnsi="Garamond"/>
          <w:sz w:val="22"/>
          <w:szCs w:val="22"/>
        </w:rPr>
        <w:t xml:space="preserve">third quarter’s </w:t>
      </w:r>
      <w:r w:rsidR="00D42518" w:rsidRPr="00626752">
        <w:rPr>
          <w:rFonts w:ascii="Garamond" w:hAnsi="Garamond"/>
          <w:sz w:val="22"/>
          <w:szCs w:val="22"/>
        </w:rPr>
        <w:t xml:space="preserve">economic growth </w:t>
      </w:r>
      <w:r w:rsidRPr="00626752">
        <w:rPr>
          <w:rFonts w:ascii="Garamond" w:hAnsi="Garamond"/>
          <w:sz w:val="22"/>
          <w:szCs w:val="22"/>
        </w:rPr>
        <w:t>owed to the in</w:t>
      </w:r>
      <w:r w:rsidR="00D42518" w:rsidRPr="00626752">
        <w:rPr>
          <w:rFonts w:ascii="Garamond" w:hAnsi="Garamond"/>
          <w:sz w:val="22"/>
          <w:szCs w:val="22"/>
        </w:rPr>
        <w:t>dustry and services</w:t>
      </w:r>
      <w:r w:rsidRPr="00626752">
        <w:rPr>
          <w:rFonts w:ascii="Garamond" w:hAnsi="Garamond"/>
          <w:sz w:val="22"/>
          <w:szCs w:val="22"/>
        </w:rPr>
        <w:t xml:space="preserve"> sectors</w:t>
      </w:r>
      <w:r w:rsidR="00D42518" w:rsidRPr="00626752">
        <w:rPr>
          <w:rFonts w:ascii="Garamond" w:hAnsi="Garamond"/>
          <w:sz w:val="22"/>
          <w:szCs w:val="22"/>
        </w:rPr>
        <w:t xml:space="preserve">, with </w:t>
      </w:r>
      <w:r w:rsidRPr="00626752">
        <w:rPr>
          <w:rFonts w:ascii="Garamond" w:hAnsi="Garamond"/>
          <w:sz w:val="22"/>
          <w:szCs w:val="22"/>
        </w:rPr>
        <w:t xml:space="preserve">their growths </w:t>
      </w:r>
      <w:r w:rsidR="00D42518" w:rsidRPr="00626752">
        <w:rPr>
          <w:rFonts w:ascii="Garamond" w:hAnsi="Garamond"/>
          <w:sz w:val="22"/>
          <w:szCs w:val="22"/>
        </w:rPr>
        <w:t>of 6.7</w:t>
      </w:r>
      <w:r w:rsidRPr="00626752">
        <w:rPr>
          <w:rFonts w:ascii="Garamond" w:hAnsi="Garamond"/>
          <w:sz w:val="22"/>
          <w:szCs w:val="22"/>
        </w:rPr>
        <w:t>%</w:t>
      </w:r>
      <w:r w:rsidR="00D42518" w:rsidRPr="00626752">
        <w:rPr>
          <w:rFonts w:ascii="Garamond" w:hAnsi="Garamond"/>
          <w:sz w:val="22"/>
          <w:szCs w:val="22"/>
        </w:rPr>
        <w:t xml:space="preserve"> and 12.6</w:t>
      </w:r>
      <w:r w:rsidRPr="00626752">
        <w:rPr>
          <w:rFonts w:ascii="Garamond" w:hAnsi="Garamond"/>
          <w:sz w:val="22"/>
          <w:szCs w:val="22"/>
        </w:rPr>
        <w:t>%</w:t>
      </w:r>
      <w:r w:rsidR="00D42518" w:rsidRPr="00626752">
        <w:rPr>
          <w:rFonts w:ascii="Garamond" w:hAnsi="Garamond"/>
          <w:sz w:val="22"/>
          <w:szCs w:val="22"/>
        </w:rPr>
        <w:t xml:space="preserve">, respectively, in the reporting period. </w:t>
      </w:r>
      <w:r w:rsidR="005D4071" w:rsidRPr="00626752">
        <w:rPr>
          <w:rFonts w:ascii="Garamond" w:hAnsi="Garamond"/>
          <w:sz w:val="22"/>
          <w:szCs w:val="22"/>
        </w:rPr>
        <w:t xml:space="preserve">Note that </w:t>
      </w:r>
      <w:r w:rsidR="00D42518" w:rsidRPr="00626752">
        <w:rPr>
          <w:rFonts w:ascii="Garamond" w:hAnsi="Garamond"/>
          <w:sz w:val="22"/>
          <w:szCs w:val="22"/>
        </w:rPr>
        <w:t>the growth of services exceeded the expectations of the C</w:t>
      </w:r>
      <w:r w:rsidR="005D4071" w:rsidRPr="00626752">
        <w:rPr>
          <w:rFonts w:ascii="Garamond" w:hAnsi="Garamond"/>
          <w:sz w:val="22"/>
          <w:szCs w:val="22"/>
        </w:rPr>
        <w:t>entral Bank as both domestic and external demand bounced back rapidly</w:t>
      </w:r>
      <w:r w:rsidR="00D42518" w:rsidRPr="00626752">
        <w:rPr>
          <w:rFonts w:ascii="Garamond" w:hAnsi="Garamond"/>
          <w:sz w:val="22"/>
          <w:szCs w:val="22"/>
        </w:rPr>
        <w:t xml:space="preserve">. </w:t>
      </w:r>
      <w:r w:rsidR="005D4071" w:rsidRPr="00626752">
        <w:rPr>
          <w:rFonts w:ascii="Garamond" w:hAnsi="Garamond"/>
          <w:sz w:val="22"/>
          <w:szCs w:val="22"/>
        </w:rPr>
        <w:t>S</w:t>
      </w:r>
      <w:r w:rsidR="00D42518" w:rsidRPr="00626752">
        <w:rPr>
          <w:rFonts w:ascii="Garamond" w:hAnsi="Garamond"/>
          <w:sz w:val="22"/>
          <w:szCs w:val="22"/>
        </w:rPr>
        <w:t xml:space="preserve">teady growth in the industry has, in turn, been </w:t>
      </w:r>
      <w:r w:rsidR="005D4071" w:rsidRPr="00626752">
        <w:rPr>
          <w:rFonts w:ascii="Garamond" w:hAnsi="Garamond"/>
          <w:sz w:val="22"/>
          <w:szCs w:val="22"/>
        </w:rPr>
        <w:t xml:space="preserve">driven </w:t>
      </w:r>
      <w:r w:rsidR="00D42518" w:rsidRPr="00626752">
        <w:rPr>
          <w:rFonts w:ascii="Garamond" w:hAnsi="Garamond"/>
          <w:sz w:val="22"/>
          <w:szCs w:val="22"/>
        </w:rPr>
        <w:t xml:space="preserve">by </w:t>
      </w:r>
      <w:r w:rsidR="005D4071" w:rsidRPr="00626752">
        <w:rPr>
          <w:rFonts w:ascii="Garamond" w:hAnsi="Garamond"/>
          <w:sz w:val="22"/>
          <w:szCs w:val="22"/>
        </w:rPr>
        <w:t xml:space="preserve">further </w:t>
      </w:r>
      <w:r w:rsidR="00D42518" w:rsidRPr="00626752">
        <w:rPr>
          <w:rFonts w:ascii="Garamond" w:hAnsi="Garamond"/>
          <w:sz w:val="22"/>
          <w:szCs w:val="22"/>
        </w:rPr>
        <w:t>increas</w:t>
      </w:r>
      <w:r w:rsidR="005D4071" w:rsidRPr="00626752">
        <w:rPr>
          <w:rFonts w:ascii="Garamond" w:hAnsi="Garamond"/>
          <w:sz w:val="22"/>
          <w:szCs w:val="22"/>
        </w:rPr>
        <w:t xml:space="preserve">ing </w:t>
      </w:r>
      <w:r w:rsidR="00D42518" w:rsidRPr="00626752">
        <w:rPr>
          <w:rFonts w:ascii="Garamond" w:hAnsi="Garamond"/>
          <w:sz w:val="22"/>
          <w:szCs w:val="22"/>
        </w:rPr>
        <w:t>export potential.</w:t>
      </w:r>
    </w:p>
    <w:p w14:paraId="72C00095" w14:textId="77777777" w:rsidR="00665458" w:rsidRPr="00626752" w:rsidRDefault="00665458" w:rsidP="00B178C0">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Developments in other sectors of the economy had a negative contribution to economic growth in the third quarter: the decline in agriculture and construction observable since the beginning of the year persisted over the third quarter (11% and 6.9%, respectively).</w:t>
      </w:r>
    </w:p>
    <w:p w14:paraId="4AE34412" w14:textId="5A827143" w:rsidR="00F8317E" w:rsidRPr="00626752" w:rsidRDefault="00F8317E" w:rsidP="00B178C0">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The productivity (real output</w:t>
      </w:r>
      <w:r w:rsidR="009E1E01">
        <w:rPr>
          <w:rFonts w:ascii="Garamond" w:hAnsi="Garamond"/>
          <w:sz w:val="22"/>
          <w:szCs w:val="22"/>
        </w:rPr>
        <w:t xml:space="preserve"> per hour</w:t>
      </w:r>
      <w:r w:rsidRPr="00626752">
        <w:rPr>
          <w:rFonts w:ascii="Garamond" w:hAnsi="Garamond"/>
          <w:sz w:val="22"/>
          <w:szCs w:val="22"/>
        </w:rPr>
        <w:t xml:space="preserve">) reported strong growth rates in early 2017, which in part determined </w:t>
      </w:r>
      <w:r w:rsidR="00166AE0" w:rsidRPr="00626752">
        <w:rPr>
          <w:rFonts w:ascii="Garamond" w:hAnsi="Garamond"/>
          <w:sz w:val="22"/>
          <w:szCs w:val="22"/>
        </w:rPr>
        <w:t xml:space="preserve">a </w:t>
      </w:r>
      <w:r w:rsidRPr="00626752">
        <w:rPr>
          <w:rFonts w:ascii="Garamond" w:hAnsi="Garamond"/>
          <w:sz w:val="22"/>
          <w:szCs w:val="22"/>
        </w:rPr>
        <w:t xml:space="preserve">high </w:t>
      </w:r>
      <w:r w:rsidR="00166AE0" w:rsidRPr="00626752">
        <w:rPr>
          <w:rFonts w:ascii="Garamond" w:hAnsi="Garamond"/>
          <w:sz w:val="22"/>
          <w:szCs w:val="22"/>
        </w:rPr>
        <w:t xml:space="preserve">level of </w:t>
      </w:r>
      <w:r w:rsidRPr="00626752">
        <w:rPr>
          <w:rFonts w:ascii="Garamond" w:hAnsi="Garamond"/>
          <w:sz w:val="22"/>
          <w:szCs w:val="22"/>
        </w:rPr>
        <w:t xml:space="preserve">economic activity. </w:t>
      </w:r>
      <w:r w:rsidR="00166AE0" w:rsidRPr="00626752">
        <w:rPr>
          <w:rFonts w:ascii="Garamond" w:hAnsi="Garamond"/>
          <w:sz w:val="22"/>
          <w:szCs w:val="22"/>
        </w:rPr>
        <w:t xml:space="preserve">The </w:t>
      </w:r>
      <w:r w:rsidRPr="00626752">
        <w:rPr>
          <w:rFonts w:ascii="Garamond" w:hAnsi="Garamond"/>
          <w:sz w:val="22"/>
          <w:szCs w:val="22"/>
        </w:rPr>
        <w:t xml:space="preserve">productivity </w:t>
      </w:r>
      <w:r w:rsidR="00166AE0" w:rsidRPr="00626752">
        <w:rPr>
          <w:rFonts w:ascii="Garamond" w:hAnsi="Garamond"/>
          <w:sz w:val="22"/>
          <w:szCs w:val="22"/>
        </w:rPr>
        <w:t xml:space="preserve">growth rate </w:t>
      </w:r>
      <w:r w:rsidRPr="00626752">
        <w:rPr>
          <w:rFonts w:ascii="Garamond" w:hAnsi="Garamond"/>
          <w:sz w:val="22"/>
          <w:szCs w:val="22"/>
        </w:rPr>
        <w:t xml:space="preserve">in the second quarter was 5.2%, which, according to the estimates, slightly decreased in the third quarter </w:t>
      </w:r>
      <w:r w:rsidR="00166AE0" w:rsidRPr="00626752">
        <w:rPr>
          <w:rFonts w:ascii="Garamond" w:hAnsi="Garamond"/>
          <w:sz w:val="22"/>
          <w:szCs w:val="22"/>
        </w:rPr>
        <w:t>to</w:t>
      </w:r>
      <w:r w:rsidRPr="00626752">
        <w:rPr>
          <w:rFonts w:ascii="Garamond" w:hAnsi="Garamond"/>
          <w:sz w:val="22"/>
          <w:szCs w:val="22"/>
        </w:rPr>
        <w:t xml:space="preserve"> 4.1%.</w:t>
      </w:r>
    </w:p>
    <w:p w14:paraId="0BB74EC5" w14:textId="77777777" w:rsidR="001761F4" w:rsidRPr="00626752" w:rsidRDefault="001761F4" w:rsidP="00B178C0">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lastRenderedPageBreak/>
        <w:t>3.2.4. Labor market</w:t>
      </w:r>
    </w:p>
    <w:p w14:paraId="12558215" w14:textId="77777777" w:rsidR="001761F4" w:rsidRPr="00626752" w:rsidRDefault="001761F4" w:rsidP="00B178C0">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Average nominal wage in the </w:t>
      </w:r>
      <w:r w:rsidRPr="00626752">
        <w:rPr>
          <w:rFonts w:ascii="Garamond" w:hAnsi="Garamond"/>
          <w:b/>
          <w:sz w:val="22"/>
          <w:szCs w:val="22"/>
        </w:rPr>
        <w:t>private sector</w:t>
      </w:r>
      <w:r w:rsidRPr="00626752">
        <w:rPr>
          <w:rFonts w:ascii="Garamond" w:hAnsi="Garamond"/>
          <w:sz w:val="22"/>
          <w:szCs w:val="22"/>
        </w:rPr>
        <w:t xml:space="preserve"> has grown faster since the beginning of 2017</w:t>
      </w:r>
      <w:r w:rsidR="00BA117B" w:rsidRPr="00626752">
        <w:rPr>
          <w:rFonts w:ascii="Garamond" w:hAnsi="Garamond"/>
          <w:sz w:val="22"/>
          <w:szCs w:val="22"/>
        </w:rPr>
        <w:t>, i</w:t>
      </w:r>
      <w:r w:rsidRPr="00626752">
        <w:rPr>
          <w:rFonts w:ascii="Garamond" w:hAnsi="Garamond"/>
          <w:sz w:val="22"/>
          <w:szCs w:val="22"/>
        </w:rPr>
        <w:t>n line with economic growth</w:t>
      </w:r>
      <w:r w:rsidR="00BA117B" w:rsidRPr="00626752">
        <w:rPr>
          <w:rFonts w:ascii="Garamond" w:hAnsi="Garamond"/>
          <w:sz w:val="22"/>
          <w:szCs w:val="22"/>
        </w:rPr>
        <w:t xml:space="preserve">; it was however </w:t>
      </w:r>
      <w:r w:rsidRPr="00626752">
        <w:rPr>
          <w:rFonts w:ascii="Garamond" w:hAnsi="Garamond"/>
          <w:sz w:val="22"/>
          <w:szCs w:val="22"/>
        </w:rPr>
        <w:t xml:space="preserve">slightly </w:t>
      </w:r>
      <w:r w:rsidR="00BA117B" w:rsidRPr="00626752">
        <w:rPr>
          <w:rFonts w:ascii="Garamond" w:hAnsi="Garamond"/>
          <w:sz w:val="22"/>
          <w:szCs w:val="22"/>
        </w:rPr>
        <w:t>s</w:t>
      </w:r>
      <w:r w:rsidRPr="00626752">
        <w:rPr>
          <w:rFonts w:ascii="Garamond" w:hAnsi="Garamond"/>
          <w:sz w:val="22"/>
          <w:szCs w:val="22"/>
        </w:rPr>
        <w:t xml:space="preserve">lower </w:t>
      </w:r>
      <w:r w:rsidR="00BA117B" w:rsidRPr="00626752">
        <w:rPr>
          <w:rFonts w:ascii="Garamond" w:hAnsi="Garamond"/>
          <w:sz w:val="22"/>
          <w:szCs w:val="22"/>
        </w:rPr>
        <w:t xml:space="preserve">(4%) in the third quarter from </w:t>
      </w:r>
      <w:r w:rsidRPr="00626752">
        <w:rPr>
          <w:rFonts w:ascii="Garamond" w:hAnsi="Garamond"/>
          <w:sz w:val="22"/>
          <w:szCs w:val="22"/>
        </w:rPr>
        <w:t>th</w:t>
      </w:r>
      <w:r w:rsidR="00BA117B" w:rsidRPr="00626752">
        <w:rPr>
          <w:rFonts w:ascii="Garamond" w:hAnsi="Garamond"/>
          <w:sz w:val="22"/>
          <w:szCs w:val="22"/>
        </w:rPr>
        <w:t xml:space="preserve">at of outlined in the </w:t>
      </w:r>
      <w:r w:rsidRPr="00626752">
        <w:rPr>
          <w:rFonts w:ascii="Garamond" w:hAnsi="Garamond"/>
          <w:sz w:val="22"/>
          <w:szCs w:val="22"/>
        </w:rPr>
        <w:t>previous forecast</w:t>
      </w:r>
      <w:r w:rsidR="00BA117B" w:rsidRPr="00626752">
        <w:rPr>
          <w:rFonts w:ascii="Garamond" w:hAnsi="Garamond"/>
          <w:sz w:val="22"/>
          <w:szCs w:val="22"/>
        </w:rPr>
        <w:t>s, due to a lower-than-expected inflation rate</w:t>
      </w:r>
      <w:r w:rsidRPr="00626752">
        <w:rPr>
          <w:rFonts w:ascii="Garamond" w:hAnsi="Garamond"/>
          <w:sz w:val="22"/>
          <w:szCs w:val="22"/>
        </w:rPr>
        <w:t xml:space="preserve">. Nevertheless, the growth of private real wage is close to the historical average for recent years. </w:t>
      </w:r>
      <w:r w:rsidR="00845EE0" w:rsidRPr="00626752">
        <w:rPr>
          <w:rFonts w:ascii="Garamond" w:hAnsi="Garamond"/>
          <w:sz w:val="22"/>
          <w:szCs w:val="22"/>
        </w:rPr>
        <w:t>T</w:t>
      </w:r>
      <w:r w:rsidRPr="00626752">
        <w:rPr>
          <w:rFonts w:ascii="Garamond" w:hAnsi="Garamond"/>
          <w:sz w:val="22"/>
          <w:szCs w:val="22"/>
        </w:rPr>
        <w:t>he third quarter</w:t>
      </w:r>
      <w:r w:rsidR="00AE09C8" w:rsidRPr="00626752">
        <w:rPr>
          <w:rFonts w:ascii="Garamond" w:hAnsi="Garamond"/>
          <w:sz w:val="22"/>
          <w:szCs w:val="22"/>
        </w:rPr>
        <w:t xml:space="preserve"> </w:t>
      </w:r>
      <w:r w:rsidR="00845EE0" w:rsidRPr="00626752">
        <w:rPr>
          <w:rFonts w:ascii="Garamond" w:hAnsi="Garamond"/>
          <w:sz w:val="22"/>
          <w:szCs w:val="22"/>
        </w:rPr>
        <w:t>saw an estimated</w:t>
      </w:r>
      <w:r w:rsidR="005C122C" w:rsidRPr="00626752">
        <w:rPr>
          <w:rFonts w:ascii="Garamond" w:hAnsi="Garamond"/>
          <w:sz w:val="22"/>
          <w:szCs w:val="22"/>
        </w:rPr>
        <w:t xml:space="preserve"> -0.6% decline in nominal wage</w:t>
      </w:r>
      <w:r w:rsidR="00845EE0" w:rsidRPr="00626752">
        <w:rPr>
          <w:rFonts w:ascii="Garamond" w:hAnsi="Garamond"/>
          <w:sz w:val="22"/>
          <w:szCs w:val="22"/>
        </w:rPr>
        <w:t xml:space="preserve"> in the </w:t>
      </w:r>
      <w:r w:rsidR="00845EE0" w:rsidRPr="00626752">
        <w:rPr>
          <w:rFonts w:ascii="Garamond" w:hAnsi="Garamond"/>
          <w:b/>
          <w:sz w:val="22"/>
          <w:szCs w:val="22"/>
        </w:rPr>
        <w:t>public sector</w:t>
      </w:r>
      <w:r w:rsidR="005C122C" w:rsidRPr="00626752">
        <w:rPr>
          <w:rFonts w:ascii="Garamond" w:hAnsi="Garamond"/>
          <w:sz w:val="22"/>
          <w:szCs w:val="22"/>
        </w:rPr>
        <w:t xml:space="preserve">, which is </w:t>
      </w:r>
      <w:r w:rsidR="00845EE0" w:rsidRPr="00626752">
        <w:rPr>
          <w:rFonts w:ascii="Garamond" w:hAnsi="Garamond"/>
          <w:sz w:val="22"/>
          <w:szCs w:val="22"/>
        </w:rPr>
        <w:t xml:space="preserve">below </w:t>
      </w:r>
      <w:r w:rsidR="005C122C" w:rsidRPr="00626752">
        <w:rPr>
          <w:rFonts w:ascii="Garamond" w:hAnsi="Garamond"/>
          <w:sz w:val="22"/>
          <w:szCs w:val="22"/>
        </w:rPr>
        <w:t>the C</w:t>
      </w:r>
      <w:r w:rsidR="00845EE0" w:rsidRPr="00626752">
        <w:rPr>
          <w:rFonts w:ascii="Garamond" w:hAnsi="Garamond"/>
          <w:sz w:val="22"/>
          <w:szCs w:val="22"/>
        </w:rPr>
        <w:t xml:space="preserve">entral </w:t>
      </w:r>
      <w:r w:rsidR="005C122C" w:rsidRPr="00626752">
        <w:rPr>
          <w:rFonts w:ascii="Garamond" w:hAnsi="Garamond"/>
          <w:sz w:val="22"/>
          <w:szCs w:val="22"/>
        </w:rPr>
        <w:t>B</w:t>
      </w:r>
      <w:r w:rsidR="00845EE0" w:rsidRPr="00626752">
        <w:rPr>
          <w:rFonts w:ascii="Garamond" w:hAnsi="Garamond"/>
          <w:sz w:val="22"/>
          <w:szCs w:val="22"/>
        </w:rPr>
        <w:t>ank</w:t>
      </w:r>
      <w:r w:rsidR="005C122C" w:rsidRPr="00626752">
        <w:rPr>
          <w:rFonts w:ascii="Garamond" w:hAnsi="Garamond"/>
          <w:sz w:val="22"/>
          <w:szCs w:val="22"/>
        </w:rPr>
        <w:t xml:space="preserve"> expectations. As a result, the </w:t>
      </w:r>
      <w:r w:rsidR="005C122C" w:rsidRPr="00626752">
        <w:rPr>
          <w:rFonts w:ascii="Garamond" w:hAnsi="Garamond"/>
          <w:b/>
          <w:sz w:val="22"/>
          <w:szCs w:val="22"/>
        </w:rPr>
        <w:t xml:space="preserve">average nominal </w:t>
      </w:r>
      <w:r w:rsidR="007D6ECD" w:rsidRPr="00626752">
        <w:rPr>
          <w:rFonts w:ascii="Garamond" w:hAnsi="Garamond"/>
          <w:b/>
          <w:sz w:val="22"/>
          <w:szCs w:val="22"/>
        </w:rPr>
        <w:t xml:space="preserve">wage </w:t>
      </w:r>
      <w:r w:rsidR="005C122C" w:rsidRPr="00626752">
        <w:rPr>
          <w:rFonts w:ascii="Garamond" w:hAnsi="Garamond"/>
          <w:b/>
          <w:sz w:val="22"/>
          <w:szCs w:val="22"/>
        </w:rPr>
        <w:t>growth rate</w:t>
      </w:r>
      <w:r w:rsidR="005C122C" w:rsidRPr="00626752">
        <w:rPr>
          <w:rFonts w:ascii="Garamond" w:hAnsi="Garamond"/>
          <w:sz w:val="22"/>
          <w:szCs w:val="22"/>
        </w:rPr>
        <w:t xml:space="preserve"> in the third quarter of 2017 </w:t>
      </w:r>
      <w:r w:rsidR="007D6ECD" w:rsidRPr="00626752">
        <w:rPr>
          <w:rFonts w:ascii="Garamond" w:hAnsi="Garamond"/>
          <w:sz w:val="22"/>
          <w:szCs w:val="22"/>
        </w:rPr>
        <w:t xml:space="preserve">was </w:t>
      </w:r>
      <w:r w:rsidR="005C122C" w:rsidRPr="00626752">
        <w:rPr>
          <w:rFonts w:ascii="Garamond" w:hAnsi="Garamond"/>
          <w:sz w:val="22"/>
          <w:szCs w:val="22"/>
        </w:rPr>
        <w:t xml:space="preserve">slightly </w:t>
      </w:r>
      <w:r w:rsidR="007D6ECD" w:rsidRPr="00626752">
        <w:rPr>
          <w:rFonts w:ascii="Garamond" w:hAnsi="Garamond"/>
          <w:sz w:val="22"/>
          <w:szCs w:val="22"/>
        </w:rPr>
        <w:t xml:space="preserve">adjusted downside against previous forecasts to </w:t>
      </w:r>
      <w:r w:rsidR="005C122C" w:rsidRPr="00626752">
        <w:rPr>
          <w:rFonts w:ascii="Garamond" w:hAnsi="Garamond"/>
          <w:sz w:val="22"/>
          <w:szCs w:val="22"/>
        </w:rPr>
        <w:t>2.4%</w:t>
      </w:r>
      <w:r w:rsidR="007D6ECD" w:rsidRPr="00626752">
        <w:rPr>
          <w:rFonts w:ascii="Garamond" w:hAnsi="Garamond"/>
          <w:sz w:val="22"/>
          <w:szCs w:val="22"/>
        </w:rPr>
        <w:t>.</w:t>
      </w:r>
    </w:p>
    <w:p w14:paraId="756C210A" w14:textId="77777777" w:rsidR="008E1E4F" w:rsidRPr="00626752" w:rsidRDefault="008E1E4F" w:rsidP="00B178C0">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In the third quarter of 2017 the </w:t>
      </w:r>
      <w:r w:rsidRPr="00626752">
        <w:rPr>
          <w:rFonts w:ascii="Garamond" w:hAnsi="Garamond"/>
          <w:b/>
          <w:sz w:val="22"/>
          <w:szCs w:val="22"/>
        </w:rPr>
        <w:t>unemployment rate</w:t>
      </w:r>
      <w:r w:rsidRPr="00626752">
        <w:rPr>
          <w:rFonts w:ascii="Garamond" w:hAnsi="Garamond"/>
          <w:sz w:val="22"/>
          <w:szCs w:val="22"/>
        </w:rPr>
        <w:t xml:space="preserve"> is an estimated 17.4%, which is not that different from previous predictions.</w:t>
      </w:r>
    </w:p>
    <w:p w14:paraId="503C6C6D" w14:textId="77777777" w:rsidR="00DE4A0D" w:rsidRPr="00626752" w:rsidRDefault="00DE4A0D" w:rsidP="00B178C0">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In the reporting period, unit labor costs of the firms have grown, reflecting the acceleration of private wage growth in relation to output growth </w:t>
      </w:r>
      <w:r w:rsidR="009E75D5" w:rsidRPr="00626752">
        <w:rPr>
          <w:rFonts w:ascii="Garamond" w:hAnsi="Garamond"/>
          <w:sz w:val="22"/>
          <w:szCs w:val="22"/>
        </w:rPr>
        <w:t xml:space="preserve">rate </w:t>
      </w:r>
      <w:r w:rsidRPr="00626752">
        <w:rPr>
          <w:rFonts w:ascii="Garamond" w:hAnsi="Garamond"/>
          <w:sz w:val="22"/>
          <w:szCs w:val="22"/>
        </w:rPr>
        <w:t xml:space="preserve">per unit </w:t>
      </w:r>
      <w:r w:rsidR="009E75D5" w:rsidRPr="00626752">
        <w:rPr>
          <w:rFonts w:ascii="Garamond" w:hAnsi="Garamond"/>
          <w:sz w:val="22"/>
          <w:szCs w:val="22"/>
        </w:rPr>
        <w:t xml:space="preserve">of </w:t>
      </w:r>
      <w:r w:rsidRPr="00626752">
        <w:rPr>
          <w:rFonts w:ascii="Garamond" w:hAnsi="Garamond"/>
          <w:sz w:val="22"/>
          <w:szCs w:val="22"/>
        </w:rPr>
        <w:t>labor.</w:t>
      </w:r>
    </w:p>
    <w:p w14:paraId="39186BBD" w14:textId="77777777" w:rsidR="00B14F4F" w:rsidRPr="00626752" w:rsidRDefault="00B14F4F" w:rsidP="00B178C0">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t>3.3. Financial market developments</w:t>
      </w:r>
    </w:p>
    <w:p w14:paraId="78E9F8D7" w14:textId="77777777" w:rsidR="00B14F4F" w:rsidRPr="00626752" w:rsidRDefault="00B14F4F" w:rsidP="00B178C0">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t>3.3.1. Financial markets</w:t>
      </w:r>
    </w:p>
    <w:p w14:paraId="42FC3F60" w14:textId="77777777" w:rsidR="00375699" w:rsidRPr="00626752" w:rsidRDefault="00375699" w:rsidP="00B178C0">
      <w:pPr>
        <w:autoSpaceDE w:val="0"/>
        <w:autoSpaceDN w:val="0"/>
        <w:adjustRightInd w:val="0"/>
        <w:spacing w:after="120" w:line="360" w:lineRule="auto"/>
        <w:jc w:val="both"/>
        <w:rPr>
          <w:rFonts w:ascii="Garamond" w:hAnsi="Garamond"/>
          <w:b/>
          <w:sz w:val="22"/>
          <w:szCs w:val="22"/>
        </w:rPr>
      </w:pPr>
      <w:r w:rsidRPr="00626752">
        <w:rPr>
          <w:rFonts w:ascii="Garamond" w:hAnsi="Garamond"/>
          <w:b/>
          <w:sz w:val="22"/>
          <w:szCs w:val="22"/>
        </w:rPr>
        <w:t xml:space="preserve">The </w:t>
      </w:r>
      <w:r w:rsidR="00853CC1" w:rsidRPr="00626752">
        <w:rPr>
          <w:rFonts w:ascii="Garamond" w:hAnsi="Garamond"/>
          <w:b/>
          <w:sz w:val="22"/>
          <w:szCs w:val="22"/>
        </w:rPr>
        <w:t xml:space="preserve">refinancing rate was left unchanged by the </w:t>
      </w:r>
      <w:r w:rsidRPr="00626752">
        <w:rPr>
          <w:rFonts w:ascii="Garamond" w:hAnsi="Garamond"/>
          <w:b/>
          <w:sz w:val="22"/>
          <w:szCs w:val="22"/>
        </w:rPr>
        <w:t xml:space="preserve">Board of Central Bank </w:t>
      </w:r>
      <w:r w:rsidR="00853CC1" w:rsidRPr="00626752">
        <w:rPr>
          <w:rFonts w:ascii="Garamond" w:hAnsi="Garamond"/>
          <w:b/>
          <w:sz w:val="22"/>
          <w:szCs w:val="22"/>
        </w:rPr>
        <w:t>in</w:t>
      </w:r>
      <w:r w:rsidRPr="00626752">
        <w:rPr>
          <w:rFonts w:ascii="Garamond" w:hAnsi="Garamond"/>
          <w:b/>
          <w:sz w:val="22"/>
          <w:szCs w:val="22"/>
        </w:rPr>
        <w:t xml:space="preserve"> the third quarter of 2017.</w:t>
      </w:r>
    </w:p>
    <w:p w14:paraId="621815AC" w14:textId="77777777" w:rsidR="00853CC1" w:rsidRPr="00626752" w:rsidRDefault="00853CC1" w:rsidP="00B178C0">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The Board’s decision to leave the policy rate at 6% </w:t>
      </w:r>
      <w:r w:rsidR="009F710C" w:rsidRPr="00626752">
        <w:rPr>
          <w:rFonts w:ascii="Garamond" w:hAnsi="Garamond"/>
          <w:sz w:val="22"/>
          <w:szCs w:val="22"/>
        </w:rPr>
        <w:t xml:space="preserve">has been in consideration of macroeconomic developments, both actual and expected, as well as </w:t>
      </w:r>
      <w:r w:rsidRPr="00626752">
        <w:rPr>
          <w:rFonts w:ascii="Garamond" w:hAnsi="Garamond"/>
          <w:sz w:val="22"/>
          <w:szCs w:val="22"/>
        </w:rPr>
        <w:t xml:space="preserve">inflation forecasts. It was estimated that the current level of policy rate was </w:t>
      </w:r>
      <w:r w:rsidR="006848CE" w:rsidRPr="00626752">
        <w:rPr>
          <w:rFonts w:ascii="Garamond" w:hAnsi="Garamond"/>
          <w:sz w:val="22"/>
          <w:szCs w:val="22"/>
        </w:rPr>
        <w:t xml:space="preserve">stimulating enough </w:t>
      </w:r>
      <w:r w:rsidRPr="00626752">
        <w:rPr>
          <w:rFonts w:ascii="Garamond" w:hAnsi="Garamond"/>
          <w:sz w:val="22"/>
          <w:szCs w:val="22"/>
        </w:rPr>
        <w:t xml:space="preserve">and would </w:t>
      </w:r>
      <w:r w:rsidR="006848CE" w:rsidRPr="00626752">
        <w:rPr>
          <w:rFonts w:ascii="Garamond" w:hAnsi="Garamond"/>
          <w:sz w:val="22"/>
          <w:szCs w:val="22"/>
        </w:rPr>
        <w:t xml:space="preserve">further facilitate </w:t>
      </w:r>
      <w:r w:rsidRPr="00626752">
        <w:rPr>
          <w:rFonts w:ascii="Garamond" w:hAnsi="Garamond"/>
          <w:sz w:val="22"/>
          <w:szCs w:val="22"/>
        </w:rPr>
        <w:t>the re</w:t>
      </w:r>
      <w:r w:rsidR="006848CE" w:rsidRPr="00626752">
        <w:rPr>
          <w:rFonts w:ascii="Garamond" w:hAnsi="Garamond"/>
          <w:sz w:val="22"/>
          <w:szCs w:val="22"/>
        </w:rPr>
        <w:t xml:space="preserve">covery of </w:t>
      </w:r>
      <w:r w:rsidRPr="00626752">
        <w:rPr>
          <w:rFonts w:ascii="Garamond" w:hAnsi="Garamond"/>
          <w:sz w:val="22"/>
          <w:szCs w:val="22"/>
        </w:rPr>
        <w:t xml:space="preserve">the inflation and </w:t>
      </w:r>
      <w:r w:rsidR="006848CE" w:rsidRPr="00626752">
        <w:rPr>
          <w:rFonts w:ascii="Garamond" w:hAnsi="Garamond"/>
          <w:sz w:val="22"/>
          <w:szCs w:val="22"/>
        </w:rPr>
        <w:t xml:space="preserve">fulfilment of the target in </w:t>
      </w:r>
      <w:r w:rsidRPr="00626752">
        <w:rPr>
          <w:rFonts w:ascii="Garamond" w:hAnsi="Garamond"/>
          <w:sz w:val="22"/>
          <w:szCs w:val="22"/>
        </w:rPr>
        <w:t>the forecast horizon.</w:t>
      </w:r>
    </w:p>
    <w:p w14:paraId="5104527B" w14:textId="77777777" w:rsidR="00473C6C" w:rsidRPr="00626752" w:rsidRDefault="00317122" w:rsidP="00B178C0">
      <w:pPr>
        <w:autoSpaceDE w:val="0"/>
        <w:autoSpaceDN w:val="0"/>
        <w:adjustRightInd w:val="0"/>
        <w:spacing w:after="120" w:line="360" w:lineRule="auto"/>
        <w:jc w:val="both"/>
        <w:rPr>
          <w:rFonts w:ascii="Garamond" w:hAnsi="Garamond"/>
          <w:sz w:val="22"/>
          <w:szCs w:val="22"/>
        </w:rPr>
      </w:pPr>
      <w:r w:rsidRPr="00626752">
        <w:rPr>
          <w:rFonts w:ascii="Garamond" w:hAnsi="Garamond"/>
          <w:b/>
          <w:sz w:val="22"/>
          <w:szCs w:val="22"/>
        </w:rPr>
        <w:t>In the financial market, trends of the previous period persisted over the third quarter of 2017</w:t>
      </w:r>
      <w:r w:rsidR="00136095" w:rsidRPr="00626752">
        <w:rPr>
          <w:rFonts w:ascii="Garamond" w:hAnsi="Garamond"/>
          <w:b/>
          <w:sz w:val="22"/>
          <w:szCs w:val="22"/>
        </w:rPr>
        <w:t>:</w:t>
      </w:r>
      <w:r w:rsidR="00473C6C" w:rsidRPr="00626752">
        <w:rPr>
          <w:rFonts w:ascii="Garamond" w:hAnsi="Garamond"/>
          <w:sz w:val="22"/>
          <w:szCs w:val="22"/>
        </w:rPr>
        <w:t xml:space="preserve"> </w:t>
      </w:r>
      <w:r w:rsidR="00894AA6" w:rsidRPr="00626752">
        <w:rPr>
          <w:rFonts w:ascii="Garamond" w:hAnsi="Garamond"/>
          <w:sz w:val="22"/>
          <w:szCs w:val="22"/>
        </w:rPr>
        <w:t xml:space="preserve">even though there has been strong liquidity </w:t>
      </w:r>
      <w:r w:rsidR="00473C6C" w:rsidRPr="00626752">
        <w:rPr>
          <w:rFonts w:ascii="Garamond" w:hAnsi="Garamond"/>
          <w:sz w:val="22"/>
          <w:szCs w:val="22"/>
        </w:rPr>
        <w:t>in the banking system, the demand for liquidity offered through the C</w:t>
      </w:r>
      <w:r w:rsidR="00894AA6" w:rsidRPr="00626752">
        <w:rPr>
          <w:rFonts w:ascii="Garamond" w:hAnsi="Garamond"/>
          <w:sz w:val="22"/>
          <w:szCs w:val="22"/>
        </w:rPr>
        <w:t xml:space="preserve">entral </w:t>
      </w:r>
      <w:r w:rsidR="00473C6C" w:rsidRPr="00626752">
        <w:rPr>
          <w:rFonts w:ascii="Garamond" w:hAnsi="Garamond"/>
          <w:sz w:val="22"/>
          <w:szCs w:val="22"/>
        </w:rPr>
        <w:t>B</w:t>
      </w:r>
      <w:r w:rsidR="00894AA6" w:rsidRPr="00626752">
        <w:rPr>
          <w:rFonts w:ascii="Garamond" w:hAnsi="Garamond"/>
          <w:sz w:val="22"/>
          <w:szCs w:val="22"/>
        </w:rPr>
        <w:t xml:space="preserve">ank’s </w:t>
      </w:r>
      <w:r w:rsidR="00473C6C" w:rsidRPr="00626752">
        <w:rPr>
          <w:rFonts w:ascii="Garamond" w:hAnsi="Garamond"/>
          <w:sz w:val="22"/>
          <w:szCs w:val="22"/>
        </w:rPr>
        <w:t xml:space="preserve">repo instrument was rather small, with </w:t>
      </w:r>
      <w:r w:rsidR="00894AA6" w:rsidRPr="00626752">
        <w:rPr>
          <w:rFonts w:ascii="Garamond" w:hAnsi="Garamond"/>
          <w:sz w:val="22"/>
          <w:szCs w:val="22"/>
        </w:rPr>
        <w:t xml:space="preserve">short-term market rates further </w:t>
      </w:r>
      <w:r w:rsidR="00473C6C" w:rsidRPr="00626752">
        <w:rPr>
          <w:rFonts w:ascii="Garamond" w:hAnsi="Garamond"/>
          <w:sz w:val="22"/>
          <w:szCs w:val="22"/>
        </w:rPr>
        <w:t>trend</w:t>
      </w:r>
      <w:r w:rsidR="00894AA6" w:rsidRPr="00626752">
        <w:rPr>
          <w:rFonts w:ascii="Garamond" w:hAnsi="Garamond"/>
          <w:sz w:val="22"/>
          <w:szCs w:val="22"/>
        </w:rPr>
        <w:t>ing</w:t>
      </w:r>
      <w:r w:rsidR="00473C6C" w:rsidRPr="00626752">
        <w:rPr>
          <w:rFonts w:ascii="Garamond" w:hAnsi="Garamond"/>
          <w:sz w:val="22"/>
          <w:szCs w:val="22"/>
        </w:rPr>
        <w:t xml:space="preserve"> </w:t>
      </w:r>
      <w:r w:rsidR="00894AA6" w:rsidRPr="00626752">
        <w:rPr>
          <w:rFonts w:ascii="Garamond" w:hAnsi="Garamond"/>
          <w:sz w:val="22"/>
          <w:szCs w:val="22"/>
        </w:rPr>
        <w:t>down</w:t>
      </w:r>
      <w:r w:rsidR="00473C6C" w:rsidRPr="00626752">
        <w:rPr>
          <w:rFonts w:ascii="Garamond" w:hAnsi="Garamond"/>
          <w:sz w:val="22"/>
          <w:szCs w:val="22"/>
        </w:rPr>
        <w:t xml:space="preserve">. The quarterly </w:t>
      </w:r>
      <w:r w:rsidR="004246F6" w:rsidRPr="00626752">
        <w:rPr>
          <w:rFonts w:ascii="Garamond" w:hAnsi="Garamond"/>
          <w:sz w:val="22"/>
          <w:szCs w:val="22"/>
        </w:rPr>
        <w:t xml:space="preserve">interbank repo </w:t>
      </w:r>
      <w:r w:rsidR="00473C6C" w:rsidRPr="00626752">
        <w:rPr>
          <w:rFonts w:ascii="Garamond" w:hAnsi="Garamond"/>
          <w:sz w:val="22"/>
          <w:szCs w:val="22"/>
        </w:rPr>
        <w:t xml:space="preserve">rate </w:t>
      </w:r>
      <w:r w:rsidR="004246F6" w:rsidRPr="00626752">
        <w:rPr>
          <w:rFonts w:ascii="Garamond" w:hAnsi="Garamond"/>
          <w:sz w:val="22"/>
          <w:szCs w:val="22"/>
        </w:rPr>
        <w:t>has</w:t>
      </w:r>
      <w:r w:rsidR="00473C6C" w:rsidRPr="00626752">
        <w:rPr>
          <w:rFonts w:ascii="Garamond" w:hAnsi="Garamond"/>
          <w:sz w:val="22"/>
          <w:szCs w:val="22"/>
        </w:rPr>
        <w:t xml:space="preserve"> decreased by 0.53 p</w:t>
      </w:r>
      <w:r w:rsidR="004246F6" w:rsidRPr="00626752">
        <w:rPr>
          <w:rFonts w:ascii="Garamond" w:hAnsi="Garamond"/>
          <w:sz w:val="22"/>
          <w:szCs w:val="22"/>
        </w:rPr>
        <w:t>p</w:t>
      </w:r>
      <w:r w:rsidR="00473C6C" w:rsidRPr="00626752">
        <w:rPr>
          <w:rFonts w:ascii="Garamond" w:hAnsi="Garamond"/>
          <w:sz w:val="22"/>
          <w:szCs w:val="22"/>
        </w:rPr>
        <w:t xml:space="preserve"> </w:t>
      </w:r>
      <w:r w:rsidR="004246F6" w:rsidRPr="00626752">
        <w:rPr>
          <w:rFonts w:ascii="Garamond" w:hAnsi="Garamond"/>
          <w:sz w:val="22"/>
          <w:szCs w:val="22"/>
        </w:rPr>
        <w:t xml:space="preserve">against </w:t>
      </w:r>
      <w:r w:rsidR="00473C6C" w:rsidRPr="00626752">
        <w:rPr>
          <w:rFonts w:ascii="Garamond" w:hAnsi="Garamond"/>
          <w:sz w:val="22"/>
          <w:szCs w:val="22"/>
        </w:rPr>
        <w:t>the previous quarter</w:t>
      </w:r>
      <w:r w:rsidR="004246F6" w:rsidRPr="00626752">
        <w:rPr>
          <w:rFonts w:ascii="Garamond" w:hAnsi="Garamond"/>
          <w:sz w:val="22"/>
          <w:szCs w:val="22"/>
        </w:rPr>
        <w:t xml:space="preserve"> to 5.33%;</w:t>
      </w:r>
      <w:r w:rsidR="00473C6C" w:rsidRPr="00626752">
        <w:rPr>
          <w:rFonts w:ascii="Garamond" w:hAnsi="Garamond"/>
          <w:sz w:val="22"/>
          <w:szCs w:val="22"/>
        </w:rPr>
        <w:t xml:space="preserve"> the average monthly </w:t>
      </w:r>
      <w:r w:rsidR="004246F6" w:rsidRPr="00626752">
        <w:rPr>
          <w:rFonts w:ascii="Garamond" w:hAnsi="Garamond"/>
          <w:sz w:val="22"/>
          <w:szCs w:val="22"/>
        </w:rPr>
        <w:t>repo</w:t>
      </w:r>
      <w:r w:rsidR="00473C6C" w:rsidRPr="00626752">
        <w:rPr>
          <w:rFonts w:ascii="Garamond" w:hAnsi="Garamond"/>
          <w:sz w:val="22"/>
          <w:szCs w:val="22"/>
        </w:rPr>
        <w:t xml:space="preserve"> rate in September was 5.19%, dropping by 0.45 pp </w:t>
      </w:r>
      <w:r w:rsidR="004246F6" w:rsidRPr="00626752">
        <w:rPr>
          <w:rFonts w:ascii="Garamond" w:hAnsi="Garamond"/>
          <w:sz w:val="22"/>
          <w:szCs w:val="22"/>
        </w:rPr>
        <w:t xml:space="preserve">against </w:t>
      </w:r>
      <w:r w:rsidR="00F10ED8" w:rsidRPr="00626752">
        <w:rPr>
          <w:rFonts w:ascii="Garamond" w:hAnsi="Garamond"/>
          <w:sz w:val="22"/>
          <w:szCs w:val="22"/>
        </w:rPr>
        <w:t xml:space="preserve">June. </w:t>
      </w:r>
      <w:r w:rsidR="00473C6C" w:rsidRPr="00626752">
        <w:rPr>
          <w:rFonts w:ascii="Garamond" w:hAnsi="Garamond"/>
          <w:sz w:val="22"/>
          <w:szCs w:val="22"/>
        </w:rPr>
        <w:t xml:space="preserve">Interest rates on </w:t>
      </w:r>
      <w:r w:rsidR="00F10ED8" w:rsidRPr="00626752">
        <w:rPr>
          <w:rFonts w:ascii="Garamond" w:hAnsi="Garamond"/>
          <w:sz w:val="22"/>
          <w:szCs w:val="22"/>
        </w:rPr>
        <w:t xml:space="preserve">up to 14-day interbank repo transactions were 0.82 pp smaller from the refinancing rate of the Central Bank </w:t>
      </w:r>
      <w:r w:rsidR="00473C6C" w:rsidRPr="00626752">
        <w:rPr>
          <w:rFonts w:ascii="Garamond" w:hAnsi="Garamond"/>
          <w:sz w:val="22"/>
          <w:szCs w:val="22"/>
        </w:rPr>
        <w:t>in</w:t>
      </w:r>
      <w:r w:rsidR="00F10ED8" w:rsidRPr="00626752">
        <w:rPr>
          <w:rFonts w:ascii="Garamond" w:hAnsi="Garamond"/>
          <w:sz w:val="22"/>
          <w:szCs w:val="22"/>
        </w:rPr>
        <w:t xml:space="preserve"> September</w:t>
      </w:r>
      <w:r w:rsidR="00F10ED8" w:rsidRPr="00626752">
        <w:rPr>
          <w:rStyle w:val="FootnoteReference"/>
          <w:rFonts w:ascii="Garamond" w:hAnsi="Garamond"/>
          <w:sz w:val="22"/>
          <w:szCs w:val="22"/>
        </w:rPr>
        <w:footnoteReference w:customMarkFollows="1" w:id="17"/>
        <w:t>19</w:t>
      </w:r>
      <w:r w:rsidR="00473C6C" w:rsidRPr="00626752">
        <w:rPr>
          <w:rFonts w:ascii="Garamond" w:hAnsi="Garamond"/>
          <w:sz w:val="22"/>
          <w:szCs w:val="22"/>
        </w:rPr>
        <w:t>.</w:t>
      </w:r>
    </w:p>
    <w:p w14:paraId="2DDD2136" w14:textId="77777777" w:rsidR="00DA7BC5" w:rsidRPr="00626752" w:rsidRDefault="00DA7BC5" w:rsidP="00B178C0">
      <w:pPr>
        <w:autoSpaceDE w:val="0"/>
        <w:autoSpaceDN w:val="0"/>
        <w:adjustRightInd w:val="0"/>
        <w:spacing w:after="120" w:line="360" w:lineRule="auto"/>
        <w:jc w:val="both"/>
        <w:rPr>
          <w:rFonts w:ascii="Garamond" w:hAnsi="Garamond"/>
          <w:sz w:val="22"/>
          <w:szCs w:val="22"/>
        </w:rPr>
      </w:pPr>
      <w:r w:rsidRPr="00626752">
        <w:rPr>
          <w:rFonts w:ascii="Garamond" w:hAnsi="Garamond"/>
          <w:b/>
          <w:sz w:val="22"/>
          <w:szCs w:val="22"/>
        </w:rPr>
        <w:t>Currency Market:</w:t>
      </w:r>
      <w:r w:rsidRPr="00626752">
        <w:rPr>
          <w:rFonts w:ascii="Garamond" w:hAnsi="Garamond"/>
          <w:sz w:val="22"/>
          <w:szCs w:val="22"/>
        </w:rPr>
        <w:t xml:space="preserve"> In the third quarter of 2017 the Central Bank carried on implementing an expansionary monetary policy </w:t>
      </w:r>
      <w:r w:rsidRPr="00204B5E">
        <w:rPr>
          <w:rFonts w:ascii="Garamond" w:hAnsi="Garamond"/>
          <w:sz w:val="22"/>
          <w:szCs w:val="22"/>
        </w:rPr>
        <w:t>which pushed interbank money market rates considerably down</w:t>
      </w:r>
      <w:r w:rsidRPr="00626752">
        <w:rPr>
          <w:rFonts w:ascii="Garamond" w:hAnsi="Garamond"/>
          <w:sz w:val="22"/>
          <w:szCs w:val="22"/>
        </w:rPr>
        <w:t xml:space="preserve">, whereas interest rates on the US federal funds have risen. Under such conditions, the difference between domestic and foreign market interest rates further narrowed, which </w:t>
      </w:r>
      <w:r w:rsidR="00DF16EE" w:rsidRPr="00626752">
        <w:rPr>
          <w:rFonts w:ascii="Garamond" w:hAnsi="Garamond"/>
          <w:sz w:val="22"/>
          <w:szCs w:val="22"/>
        </w:rPr>
        <w:t xml:space="preserve">in </w:t>
      </w:r>
      <w:r w:rsidRPr="00626752">
        <w:rPr>
          <w:rFonts w:ascii="Garamond" w:hAnsi="Garamond"/>
          <w:sz w:val="22"/>
          <w:szCs w:val="22"/>
        </w:rPr>
        <w:t xml:space="preserve">part reflects the reduction of </w:t>
      </w:r>
      <w:r w:rsidR="00DF16EE" w:rsidRPr="00626752">
        <w:rPr>
          <w:rFonts w:ascii="Garamond" w:hAnsi="Garamond"/>
          <w:sz w:val="22"/>
          <w:szCs w:val="22"/>
        </w:rPr>
        <w:t xml:space="preserve">the </w:t>
      </w:r>
      <w:r w:rsidR="00DF16EE" w:rsidRPr="00204B5E">
        <w:rPr>
          <w:rFonts w:ascii="Garamond" w:hAnsi="Garamond"/>
          <w:sz w:val="22"/>
          <w:szCs w:val="22"/>
        </w:rPr>
        <w:t xml:space="preserve">Republic of Armenia’s </w:t>
      </w:r>
      <w:r w:rsidRPr="00626752">
        <w:rPr>
          <w:rFonts w:ascii="Garamond" w:hAnsi="Garamond"/>
          <w:sz w:val="22"/>
          <w:szCs w:val="22"/>
        </w:rPr>
        <w:t xml:space="preserve">risk </w:t>
      </w:r>
      <w:r w:rsidRPr="00626752">
        <w:rPr>
          <w:rFonts w:ascii="Garamond" w:hAnsi="Garamond"/>
          <w:sz w:val="22"/>
          <w:szCs w:val="22"/>
        </w:rPr>
        <w:lastRenderedPageBreak/>
        <w:t xml:space="preserve">premium. </w:t>
      </w:r>
      <w:r w:rsidR="00DF16EE" w:rsidRPr="00626752">
        <w:rPr>
          <w:rFonts w:ascii="Garamond" w:hAnsi="Garamond"/>
          <w:sz w:val="22"/>
          <w:szCs w:val="22"/>
        </w:rPr>
        <w:t xml:space="preserve">During the quarter </w:t>
      </w:r>
      <w:r w:rsidRPr="00626752">
        <w:rPr>
          <w:rFonts w:ascii="Garamond" w:hAnsi="Garamond"/>
          <w:sz w:val="22"/>
          <w:szCs w:val="22"/>
        </w:rPr>
        <w:t xml:space="preserve">the Central Bank purchased </w:t>
      </w:r>
      <w:r w:rsidR="00DF16EE" w:rsidRPr="00626752">
        <w:rPr>
          <w:rFonts w:ascii="Garamond" w:hAnsi="Garamond"/>
          <w:sz w:val="22"/>
          <w:szCs w:val="22"/>
        </w:rPr>
        <w:t xml:space="preserve">about </w:t>
      </w:r>
      <w:r w:rsidRPr="00626752">
        <w:rPr>
          <w:rFonts w:ascii="Garamond" w:hAnsi="Garamond"/>
          <w:sz w:val="22"/>
          <w:szCs w:val="22"/>
        </w:rPr>
        <w:t xml:space="preserve">USD 99.1 million from the foreign exchange market in order to </w:t>
      </w:r>
      <w:r w:rsidR="00DF16EE" w:rsidRPr="00626752">
        <w:rPr>
          <w:rFonts w:ascii="Garamond" w:hAnsi="Garamond"/>
          <w:sz w:val="22"/>
          <w:szCs w:val="22"/>
        </w:rPr>
        <w:t xml:space="preserve">absorb </w:t>
      </w:r>
      <w:r w:rsidRPr="00626752">
        <w:rPr>
          <w:rFonts w:ascii="Garamond" w:hAnsi="Garamond"/>
          <w:sz w:val="22"/>
          <w:szCs w:val="22"/>
        </w:rPr>
        <w:t xml:space="preserve">short-term </w:t>
      </w:r>
      <w:r w:rsidR="00DF16EE" w:rsidRPr="00626752">
        <w:rPr>
          <w:rFonts w:ascii="Garamond" w:hAnsi="Garamond"/>
          <w:sz w:val="22"/>
          <w:szCs w:val="22"/>
        </w:rPr>
        <w:t xml:space="preserve">volatilities caused by the Balance of Payments seasonality </w:t>
      </w:r>
      <w:r w:rsidR="00DF16EE" w:rsidRPr="00204B5E">
        <w:rPr>
          <w:rFonts w:ascii="Garamond" w:hAnsi="Garamond"/>
          <w:sz w:val="22"/>
          <w:szCs w:val="22"/>
        </w:rPr>
        <w:t>in the</w:t>
      </w:r>
      <w:r w:rsidR="00390F3E" w:rsidRPr="00204B5E">
        <w:rPr>
          <w:rFonts w:ascii="Garamond" w:hAnsi="Garamond"/>
          <w:sz w:val="22"/>
          <w:szCs w:val="22"/>
        </w:rPr>
        <w:t xml:space="preserve"> </w:t>
      </w:r>
      <w:r w:rsidR="00DF16EE" w:rsidRPr="00204B5E">
        <w:rPr>
          <w:rFonts w:ascii="Garamond" w:hAnsi="Garamond"/>
          <w:sz w:val="22"/>
          <w:szCs w:val="22"/>
        </w:rPr>
        <w:t>market</w:t>
      </w:r>
      <w:r w:rsidR="00DF16EE" w:rsidRPr="00626752">
        <w:rPr>
          <w:rFonts w:ascii="Garamond" w:hAnsi="Garamond"/>
          <w:sz w:val="22"/>
          <w:szCs w:val="22"/>
        </w:rPr>
        <w:t xml:space="preserve">. </w:t>
      </w:r>
      <w:r w:rsidRPr="00626752">
        <w:rPr>
          <w:rFonts w:ascii="Garamond" w:hAnsi="Garamond"/>
          <w:sz w:val="22"/>
          <w:szCs w:val="22"/>
        </w:rPr>
        <w:t xml:space="preserve">The nominal exchange rate of the Armenian dram </w:t>
      </w:r>
      <w:r w:rsidR="00390F3E" w:rsidRPr="00204B5E">
        <w:rPr>
          <w:rFonts w:ascii="Garamond" w:hAnsi="Garamond"/>
          <w:sz w:val="22"/>
          <w:szCs w:val="22"/>
        </w:rPr>
        <w:t>versus</w:t>
      </w:r>
      <w:r w:rsidRPr="00204B5E">
        <w:rPr>
          <w:rFonts w:ascii="Garamond" w:hAnsi="Garamond"/>
          <w:sz w:val="22"/>
          <w:szCs w:val="22"/>
        </w:rPr>
        <w:t xml:space="preserve"> the US dollar </w:t>
      </w:r>
      <w:r w:rsidR="00390F3E" w:rsidRPr="00204B5E">
        <w:rPr>
          <w:rFonts w:ascii="Garamond" w:hAnsi="Garamond"/>
          <w:sz w:val="22"/>
          <w:szCs w:val="22"/>
        </w:rPr>
        <w:t xml:space="preserve">behaved </w:t>
      </w:r>
      <w:r w:rsidRPr="00204B5E">
        <w:rPr>
          <w:rFonts w:ascii="Garamond" w:hAnsi="Garamond"/>
          <w:sz w:val="22"/>
          <w:szCs w:val="22"/>
        </w:rPr>
        <w:t>mostly stabl</w:t>
      </w:r>
      <w:r w:rsidR="00390F3E" w:rsidRPr="00204B5E">
        <w:rPr>
          <w:rFonts w:ascii="Garamond" w:hAnsi="Garamond"/>
          <w:sz w:val="22"/>
          <w:szCs w:val="22"/>
        </w:rPr>
        <w:t>y</w:t>
      </w:r>
      <w:r w:rsidRPr="00626752">
        <w:rPr>
          <w:rFonts w:ascii="Garamond" w:hAnsi="Garamond"/>
          <w:sz w:val="22"/>
          <w:szCs w:val="22"/>
        </w:rPr>
        <w:t>, appreciating by about 1%. I</w:t>
      </w:r>
      <w:r w:rsidR="00390F3E" w:rsidRPr="00626752">
        <w:rPr>
          <w:rFonts w:ascii="Garamond" w:hAnsi="Garamond"/>
          <w:sz w:val="22"/>
          <w:szCs w:val="22"/>
        </w:rPr>
        <w:t>n the third quarter of 2017, the nominal effective exchange rate of the Armenian dram depreciated by 1.1% amid further</w:t>
      </w:r>
      <w:r w:rsidRPr="00626752">
        <w:rPr>
          <w:rFonts w:ascii="Garamond" w:hAnsi="Garamond"/>
          <w:sz w:val="22"/>
          <w:szCs w:val="22"/>
        </w:rPr>
        <w:t xml:space="preserve"> appreciati</w:t>
      </w:r>
      <w:r w:rsidR="00390F3E" w:rsidRPr="00626752">
        <w:rPr>
          <w:rFonts w:ascii="Garamond" w:hAnsi="Garamond"/>
          <w:sz w:val="22"/>
          <w:szCs w:val="22"/>
        </w:rPr>
        <w:t xml:space="preserve">ng </w:t>
      </w:r>
      <w:r w:rsidRPr="00626752">
        <w:rPr>
          <w:rFonts w:ascii="Garamond" w:hAnsi="Garamond"/>
          <w:sz w:val="22"/>
          <w:szCs w:val="22"/>
        </w:rPr>
        <w:t xml:space="preserve">dollar </w:t>
      </w:r>
      <w:r w:rsidR="00390F3E" w:rsidRPr="00204B5E">
        <w:rPr>
          <w:rFonts w:ascii="Garamond" w:hAnsi="Garamond"/>
          <w:sz w:val="22"/>
          <w:szCs w:val="22"/>
        </w:rPr>
        <w:t>versus</w:t>
      </w:r>
      <w:r w:rsidR="00390F3E" w:rsidRPr="00626752">
        <w:rPr>
          <w:rFonts w:ascii="Garamond" w:hAnsi="Garamond"/>
          <w:sz w:val="22"/>
          <w:szCs w:val="22"/>
        </w:rPr>
        <w:t xml:space="preserve"> trade partners’ currencies </w:t>
      </w:r>
      <w:r w:rsidRPr="00626752">
        <w:rPr>
          <w:rFonts w:ascii="Garamond" w:hAnsi="Garamond"/>
          <w:sz w:val="22"/>
          <w:szCs w:val="22"/>
        </w:rPr>
        <w:t>(</w:t>
      </w:r>
      <w:r w:rsidR="00390F3E" w:rsidRPr="00626752">
        <w:rPr>
          <w:rFonts w:ascii="Garamond" w:hAnsi="Garamond"/>
          <w:sz w:val="22"/>
          <w:szCs w:val="22"/>
        </w:rPr>
        <w:t xml:space="preserve">the euro, </w:t>
      </w:r>
      <w:r w:rsidRPr="00626752">
        <w:rPr>
          <w:rFonts w:ascii="Garamond" w:hAnsi="Garamond"/>
          <w:sz w:val="22"/>
          <w:szCs w:val="22"/>
        </w:rPr>
        <w:t>in particular).</w:t>
      </w:r>
    </w:p>
    <w:p w14:paraId="174FD702" w14:textId="77777777" w:rsidR="00C67AF4" w:rsidRPr="00626752" w:rsidRDefault="00C67AF4" w:rsidP="00B178C0">
      <w:pPr>
        <w:autoSpaceDE w:val="0"/>
        <w:autoSpaceDN w:val="0"/>
        <w:adjustRightInd w:val="0"/>
        <w:spacing w:after="120" w:line="360" w:lineRule="auto"/>
        <w:jc w:val="both"/>
        <w:rPr>
          <w:rFonts w:ascii="Garamond" w:hAnsi="Garamond"/>
          <w:sz w:val="22"/>
          <w:szCs w:val="22"/>
        </w:rPr>
      </w:pPr>
      <w:r w:rsidRPr="00626752">
        <w:rPr>
          <w:rFonts w:ascii="Garamond" w:hAnsi="Garamond"/>
          <w:b/>
          <w:sz w:val="22"/>
          <w:szCs w:val="22"/>
        </w:rPr>
        <w:t>The expectations of financial market participants were relatively stable during the quarter.</w:t>
      </w:r>
      <w:r w:rsidRPr="00626752">
        <w:rPr>
          <w:rFonts w:ascii="Garamond" w:hAnsi="Garamond"/>
          <w:sz w:val="22"/>
          <w:szCs w:val="22"/>
        </w:rPr>
        <w:t xml:space="preserve"> At the same time, </w:t>
      </w:r>
      <w:r w:rsidR="000A5C6B" w:rsidRPr="00626752">
        <w:rPr>
          <w:rFonts w:ascii="Garamond" w:hAnsi="Garamond"/>
          <w:sz w:val="22"/>
          <w:szCs w:val="22"/>
        </w:rPr>
        <w:t xml:space="preserve">the </w:t>
      </w:r>
      <w:r w:rsidRPr="00626752">
        <w:rPr>
          <w:rFonts w:ascii="Garamond" w:hAnsi="Garamond"/>
          <w:sz w:val="22"/>
          <w:szCs w:val="22"/>
        </w:rPr>
        <w:t xml:space="preserve">high level of excess liquidity </w:t>
      </w:r>
      <w:r w:rsidR="00C62873" w:rsidRPr="00626752">
        <w:rPr>
          <w:rFonts w:ascii="Garamond" w:hAnsi="Garamond"/>
          <w:sz w:val="22"/>
          <w:szCs w:val="22"/>
        </w:rPr>
        <w:t xml:space="preserve">and </w:t>
      </w:r>
      <w:r w:rsidRPr="00626752">
        <w:rPr>
          <w:rFonts w:ascii="Garamond" w:hAnsi="Garamond"/>
          <w:sz w:val="22"/>
          <w:szCs w:val="22"/>
        </w:rPr>
        <w:t xml:space="preserve">the Central Banks’ expansionary policy impact on the government bond market </w:t>
      </w:r>
      <w:r w:rsidR="000A5C6B" w:rsidRPr="00626752">
        <w:rPr>
          <w:rFonts w:ascii="Garamond" w:hAnsi="Garamond"/>
          <w:sz w:val="22"/>
          <w:szCs w:val="22"/>
        </w:rPr>
        <w:t xml:space="preserve">shored up </w:t>
      </w:r>
      <w:r w:rsidR="00D16E1D" w:rsidRPr="00626752">
        <w:rPr>
          <w:rFonts w:ascii="Garamond" w:hAnsi="Garamond"/>
          <w:sz w:val="22"/>
          <w:szCs w:val="22"/>
        </w:rPr>
        <w:t xml:space="preserve">a strong </w:t>
      </w:r>
      <w:r w:rsidRPr="00626752">
        <w:rPr>
          <w:rFonts w:ascii="Garamond" w:hAnsi="Garamond"/>
          <w:sz w:val="22"/>
          <w:szCs w:val="22"/>
        </w:rPr>
        <w:t xml:space="preserve">demand for bonds </w:t>
      </w:r>
      <w:r w:rsidR="000A5C6B" w:rsidRPr="00626752">
        <w:rPr>
          <w:rFonts w:ascii="Garamond" w:hAnsi="Garamond"/>
          <w:sz w:val="22"/>
          <w:szCs w:val="22"/>
        </w:rPr>
        <w:t xml:space="preserve">while leading to </w:t>
      </w:r>
      <w:r w:rsidRPr="00626752">
        <w:rPr>
          <w:rFonts w:ascii="Garamond" w:hAnsi="Garamond"/>
          <w:sz w:val="22"/>
          <w:szCs w:val="22"/>
        </w:rPr>
        <w:t>reduc</w:t>
      </w:r>
      <w:r w:rsidR="000A5C6B" w:rsidRPr="00626752">
        <w:rPr>
          <w:rFonts w:ascii="Garamond" w:hAnsi="Garamond"/>
          <w:sz w:val="22"/>
          <w:szCs w:val="22"/>
        </w:rPr>
        <w:t xml:space="preserve">ed </w:t>
      </w:r>
      <w:r w:rsidRPr="00626752">
        <w:rPr>
          <w:rFonts w:ascii="Garamond" w:hAnsi="Garamond"/>
          <w:sz w:val="22"/>
          <w:szCs w:val="22"/>
        </w:rPr>
        <w:t xml:space="preserve">yields. The bond yields have </w:t>
      </w:r>
      <w:r w:rsidR="00FB5BB0" w:rsidRPr="00626752">
        <w:rPr>
          <w:rFonts w:ascii="Garamond" w:hAnsi="Garamond"/>
          <w:sz w:val="22"/>
          <w:szCs w:val="22"/>
        </w:rPr>
        <w:t xml:space="preserve">equally </w:t>
      </w:r>
      <w:r w:rsidRPr="00626752">
        <w:rPr>
          <w:rFonts w:ascii="Garamond" w:hAnsi="Garamond"/>
          <w:sz w:val="22"/>
          <w:szCs w:val="22"/>
        </w:rPr>
        <w:t xml:space="preserve">dropped all along the </w:t>
      </w:r>
      <w:r w:rsidR="000A5C6B" w:rsidRPr="00626752">
        <w:rPr>
          <w:rFonts w:ascii="Garamond" w:hAnsi="Garamond"/>
          <w:sz w:val="22"/>
          <w:szCs w:val="22"/>
        </w:rPr>
        <w:t>yield</w:t>
      </w:r>
      <w:r w:rsidRPr="00626752">
        <w:rPr>
          <w:rFonts w:ascii="Garamond" w:hAnsi="Garamond"/>
          <w:sz w:val="22"/>
          <w:szCs w:val="22"/>
        </w:rPr>
        <w:t xml:space="preserve"> cu</w:t>
      </w:r>
      <w:r w:rsidR="0094484A" w:rsidRPr="00626752">
        <w:rPr>
          <w:rFonts w:ascii="Garamond" w:hAnsi="Garamond"/>
          <w:sz w:val="22"/>
          <w:szCs w:val="22"/>
        </w:rPr>
        <w:t xml:space="preserve">rve: in end-September, relative to end-June, </w:t>
      </w:r>
      <w:r w:rsidRPr="00626752">
        <w:rPr>
          <w:rFonts w:ascii="Garamond" w:hAnsi="Garamond"/>
          <w:sz w:val="22"/>
          <w:szCs w:val="22"/>
        </w:rPr>
        <w:t>the yield curve s</w:t>
      </w:r>
      <w:r w:rsidR="0094484A" w:rsidRPr="00626752">
        <w:rPr>
          <w:rFonts w:ascii="Garamond" w:hAnsi="Garamond"/>
          <w:sz w:val="22"/>
          <w:szCs w:val="22"/>
        </w:rPr>
        <w:t>loped down by</w:t>
      </w:r>
      <w:r w:rsidRPr="00626752">
        <w:rPr>
          <w:rFonts w:ascii="Garamond" w:hAnsi="Garamond"/>
          <w:sz w:val="22"/>
          <w:szCs w:val="22"/>
        </w:rPr>
        <w:t xml:space="preserve"> approximately 0.17 p</w:t>
      </w:r>
      <w:r w:rsidR="0094484A" w:rsidRPr="00626752">
        <w:rPr>
          <w:rFonts w:ascii="Garamond" w:hAnsi="Garamond"/>
          <w:sz w:val="22"/>
          <w:szCs w:val="22"/>
        </w:rPr>
        <w:t>p</w:t>
      </w:r>
      <w:r w:rsidR="007A7ABB" w:rsidRPr="00626752">
        <w:rPr>
          <w:rFonts w:ascii="Garamond" w:hAnsi="Garamond"/>
          <w:sz w:val="22"/>
          <w:szCs w:val="22"/>
        </w:rPr>
        <w:t>.</w:t>
      </w:r>
    </w:p>
    <w:p w14:paraId="6CF818A7" w14:textId="076FE83A" w:rsidR="001F384B" w:rsidRPr="00626752" w:rsidRDefault="001F384B" w:rsidP="00B178C0">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Despite an unchanged level of the Central Bank policy rates since March 2017, the influence of previous expansionary monetary policy by the Central Bank </w:t>
      </w:r>
      <w:r w:rsidR="00491A52">
        <w:rPr>
          <w:rFonts w:ascii="Garamond" w:hAnsi="Garamond"/>
          <w:sz w:val="22"/>
          <w:szCs w:val="22"/>
        </w:rPr>
        <w:t xml:space="preserve">continued </w:t>
      </w:r>
      <w:r w:rsidRPr="00626752">
        <w:rPr>
          <w:rFonts w:ascii="Garamond" w:hAnsi="Garamond"/>
          <w:sz w:val="22"/>
          <w:szCs w:val="22"/>
        </w:rPr>
        <w:t xml:space="preserve">on the financial market, contributing to </w:t>
      </w:r>
      <w:r w:rsidR="00C62873" w:rsidRPr="00626752">
        <w:rPr>
          <w:rFonts w:ascii="Garamond" w:hAnsi="Garamond"/>
          <w:sz w:val="22"/>
          <w:szCs w:val="22"/>
        </w:rPr>
        <w:t xml:space="preserve">lower </w:t>
      </w:r>
      <w:r w:rsidRPr="00626752">
        <w:rPr>
          <w:rFonts w:ascii="Garamond" w:hAnsi="Garamond"/>
          <w:sz w:val="22"/>
          <w:szCs w:val="22"/>
        </w:rPr>
        <w:t xml:space="preserve">interest rates </w:t>
      </w:r>
      <w:r w:rsidR="00C62873" w:rsidRPr="00626752">
        <w:rPr>
          <w:rFonts w:ascii="Garamond" w:hAnsi="Garamond"/>
          <w:sz w:val="22"/>
          <w:szCs w:val="22"/>
        </w:rPr>
        <w:t xml:space="preserve">but </w:t>
      </w:r>
      <w:r w:rsidRPr="00626752">
        <w:rPr>
          <w:rFonts w:ascii="Garamond" w:hAnsi="Garamond"/>
          <w:sz w:val="22"/>
          <w:szCs w:val="22"/>
        </w:rPr>
        <w:t xml:space="preserve">more funds attracted and </w:t>
      </w:r>
      <w:r w:rsidR="00C62873" w:rsidRPr="00626752">
        <w:rPr>
          <w:rFonts w:ascii="Garamond" w:hAnsi="Garamond"/>
          <w:sz w:val="22"/>
          <w:szCs w:val="22"/>
        </w:rPr>
        <w:t xml:space="preserve">allocated </w:t>
      </w:r>
      <w:r w:rsidRPr="00626752">
        <w:rPr>
          <w:rFonts w:ascii="Garamond" w:hAnsi="Garamond"/>
          <w:sz w:val="22"/>
          <w:szCs w:val="22"/>
        </w:rPr>
        <w:t>by commercial banks</w:t>
      </w:r>
      <w:r w:rsidR="00C62873" w:rsidRPr="00626752">
        <w:rPr>
          <w:rFonts w:ascii="Garamond" w:hAnsi="Garamond"/>
          <w:sz w:val="22"/>
          <w:szCs w:val="22"/>
        </w:rPr>
        <w:t xml:space="preserve">, on the one hand, and bolstering </w:t>
      </w:r>
      <w:r w:rsidRPr="00626752">
        <w:rPr>
          <w:rFonts w:ascii="Garamond" w:hAnsi="Garamond"/>
          <w:sz w:val="22"/>
          <w:szCs w:val="22"/>
        </w:rPr>
        <w:t xml:space="preserve">competition between financial institutions and </w:t>
      </w:r>
      <w:r w:rsidR="00C62873" w:rsidRPr="00626752">
        <w:rPr>
          <w:rFonts w:ascii="Garamond" w:hAnsi="Garamond"/>
          <w:sz w:val="22"/>
          <w:szCs w:val="22"/>
        </w:rPr>
        <w:t xml:space="preserve">facilitating </w:t>
      </w:r>
      <w:r w:rsidRPr="00626752">
        <w:rPr>
          <w:rFonts w:ascii="Garamond" w:hAnsi="Garamond"/>
          <w:sz w:val="22"/>
          <w:szCs w:val="22"/>
        </w:rPr>
        <w:t>the current liquidity,</w:t>
      </w:r>
      <w:r w:rsidR="00C62873" w:rsidRPr="00626752">
        <w:rPr>
          <w:rFonts w:ascii="Garamond" w:hAnsi="Garamond"/>
          <w:sz w:val="22"/>
          <w:szCs w:val="22"/>
        </w:rPr>
        <w:t xml:space="preserve"> on the other. </w:t>
      </w:r>
    </w:p>
    <w:p w14:paraId="04D6AFF7" w14:textId="6B2CBD07" w:rsidR="00B72834" w:rsidRPr="00626752" w:rsidRDefault="00B72834" w:rsidP="00B178C0">
      <w:pPr>
        <w:autoSpaceDE w:val="0"/>
        <w:autoSpaceDN w:val="0"/>
        <w:adjustRightInd w:val="0"/>
        <w:spacing w:after="120" w:line="360" w:lineRule="auto"/>
        <w:jc w:val="both"/>
        <w:rPr>
          <w:rFonts w:ascii="Garamond" w:hAnsi="Garamond"/>
          <w:sz w:val="22"/>
          <w:szCs w:val="22"/>
        </w:rPr>
      </w:pPr>
      <w:r w:rsidRPr="00626752">
        <w:rPr>
          <w:rFonts w:ascii="Garamond" w:hAnsi="Garamond"/>
          <w:b/>
          <w:sz w:val="22"/>
          <w:szCs w:val="22"/>
        </w:rPr>
        <w:t>Attraction of deposit continued growing during the quarter.</w:t>
      </w:r>
      <w:r w:rsidRPr="00626752">
        <w:rPr>
          <w:rFonts w:ascii="Garamond" w:hAnsi="Garamond"/>
          <w:sz w:val="22"/>
          <w:szCs w:val="22"/>
        </w:rPr>
        <w:t xml:space="preserve"> Reduction of interest rates was concurrent with growing dram and foreign currency deposits, with an 8.0% growth of dram deposits mainly due to more funds attracted from individuals; foreign currency deposits have grown by 3.2%. The </w:t>
      </w:r>
      <w:r w:rsidR="00536A36" w:rsidRPr="00536A36">
        <w:rPr>
          <w:rFonts w:ascii="Garamond" w:hAnsi="Garamond"/>
          <w:sz w:val="22"/>
          <w:szCs w:val="22"/>
        </w:rPr>
        <w:t xml:space="preserve">level </w:t>
      </w:r>
      <w:r w:rsidR="00536A36">
        <w:rPr>
          <w:rFonts w:ascii="Garamond" w:hAnsi="Garamond"/>
          <w:sz w:val="22"/>
          <w:szCs w:val="22"/>
        </w:rPr>
        <w:t xml:space="preserve">of </w:t>
      </w:r>
      <w:r w:rsidRPr="00626752">
        <w:rPr>
          <w:rFonts w:ascii="Garamond" w:hAnsi="Garamond"/>
          <w:sz w:val="22"/>
          <w:szCs w:val="22"/>
        </w:rPr>
        <w:t xml:space="preserve">dollarization </w:t>
      </w:r>
      <w:r w:rsidR="00536A36">
        <w:rPr>
          <w:rFonts w:ascii="Garamond" w:hAnsi="Garamond"/>
          <w:sz w:val="22"/>
          <w:szCs w:val="22"/>
        </w:rPr>
        <w:t xml:space="preserve">decreased </w:t>
      </w:r>
      <w:r w:rsidRPr="00626752">
        <w:rPr>
          <w:rFonts w:ascii="Garamond" w:hAnsi="Garamond"/>
          <w:sz w:val="22"/>
          <w:szCs w:val="22"/>
        </w:rPr>
        <w:t>by 0.6 pp during the quarter.</w:t>
      </w:r>
    </w:p>
    <w:p w14:paraId="3B293C6C" w14:textId="77777777" w:rsidR="009A5297" w:rsidRPr="00626752" w:rsidRDefault="009A5297" w:rsidP="00B178C0">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As it was anticipated, lending continued to grow amid dropping interest rates, facilitated lending procedures. Over the quarter, the growth of loans to the economy was 3.9%, mainly owing to the loans provided to companies. The 12-month growth of total lending to economy in September 2017 was 12.8%, which is more than Central Bank estimation.</w:t>
      </w:r>
    </w:p>
    <w:tbl>
      <w:tblPr>
        <w:tblStyle w:val="TableGrid"/>
        <w:tblW w:w="0" w:type="auto"/>
        <w:tblLook w:val="04A0" w:firstRow="1" w:lastRow="0" w:firstColumn="1" w:lastColumn="0" w:noHBand="0" w:noVBand="1"/>
      </w:tblPr>
      <w:tblGrid>
        <w:gridCol w:w="9576"/>
      </w:tblGrid>
      <w:tr w:rsidR="00F464AE" w:rsidRPr="00626752" w14:paraId="509A7D49" w14:textId="77777777" w:rsidTr="00260739">
        <w:tc>
          <w:tcPr>
            <w:tcW w:w="9576" w:type="dxa"/>
          </w:tcPr>
          <w:p w14:paraId="37FFBCB9" w14:textId="77777777" w:rsidR="00F464AE" w:rsidRPr="00626752" w:rsidRDefault="00F464AE" w:rsidP="00260739">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t>Box 4:</w:t>
            </w:r>
          </w:p>
          <w:p w14:paraId="68F7D59A" w14:textId="77777777" w:rsidR="00F464AE" w:rsidRPr="00626752" w:rsidRDefault="00F464AE" w:rsidP="00260739">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t xml:space="preserve">Survey on the Terms of Lending by Banks and Credit Organizations </w:t>
            </w:r>
          </w:p>
          <w:p w14:paraId="06CA7155" w14:textId="77777777" w:rsidR="00242DB9" w:rsidRPr="00626752" w:rsidRDefault="00242DB9" w:rsidP="00260739">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According to the results of the third quarter 2017 survey on terms of lending by local banks and credit organizations, there has been further easing of terms in respect of all aspects of lending. Stronger competition between banks and other financial institutions as well as an increased level of liquidity</w:t>
            </w:r>
            <w:r w:rsidR="00AB5B81" w:rsidRPr="00626752">
              <w:rPr>
                <w:rFonts w:ascii="Garamond" w:hAnsi="Garamond"/>
                <w:sz w:val="22"/>
                <w:szCs w:val="22"/>
              </w:rPr>
              <w:t>,</w:t>
            </w:r>
            <w:r w:rsidRPr="00626752">
              <w:rPr>
                <w:rFonts w:ascii="Garamond" w:hAnsi="Garamond"/>
                <w:sz w:val="22"/>
                <w:szCs w:val="22"/>
              </w:rPr>
              <w:t xml:space="preserve"> which not only resulted in easier terms for loan interest rates but also less strict terms of maturity (i.e. providing the borrowers with extended deadlines) and </w:t>
            </w:r>
            <w:r w:rsidR="00AB5B81" w:rsidRPr="00626752">
              <w:rPr>
                <w:rFonts w:ascii="Garamond" w:hAnsi="Garamond"/>
                <w:sz w:val="22"/>
                <w:szCs w:val="22"/>
              </w:rPr>
              <w:t xml:space="preserve">fewer non-interest charges, </w:t>
            </w:r>
            <w:r w:rsidRPr="00626752">
              <w:rPr>
                <w:rFonts w:ascii="Garamond" w:hAnsi="Garamond"/>
                <w:sz w:val="22"/>
                <w:szCs w:val="22"/>
              </w:rPr>
              <w:t xml:space="preserve">remained decisive factors </w:t>
            </w:r>
            <w:r w:rsidR="00AB5B81" w:rsidRPr="00626752">
              <w:rPr>
                <w:rFonts w:ascii="Garamond" w:hAnsi="Garamond"/>
                <w:sz w:val="22"/>
                <w:szCs w:val="22"/>
              </w:rPr>
              <w:t>to easing.</w:t>
            </w:r>
            <w:r w:rsidR="00DF606B" w:rsidRPr="00626752">
              <w:rPr>
                <w:rFonts w:ascii="Garamond" w:hAnsi="Garamond"/>
                <w:sz w:val="22"/>
                <w:szCs w:val="22"/>
              </w:rPr>
              <w:t xml:space="preserve"> Non-interest charges have slightly increased in providing mortgage loans, however. Actual demand for all types of credit has grown.</w:t>
            </w:r>
          </w:p>
          <w:p w14:paraId="1F6A6B13" w14:textId="77777777" w:rsidR="00F464AE" w:rsidRPr="00626752" w:rsidRDefault="00DF606B" w:rsidP="00260739">
            <w:pPr>
              <w:autoSpaceDE w:val="0"/>
              <w:autoSpaceDN w:val="0"/>
              <w:adjustRightInd w:val="0"/>
              <w:spacing w:after="120" w:line="360" w:lineRule="auto"/>
              <w:jc w:val="both"/>
              <w:rPr>
                <w:rFonts w:ascii="Garamond" w:hAnsi="Garamond"/>
                <w:sz w:val="22"/>
                <w:szCs w:val="22"/>
              </w:rPr>
            </w:pPr>
            <w:r w:rsidRPr="00626752">
              <w:rPr>
                <w:rFonts w:ascii="Garamond" w:eastAsia="Calibri" w:hAnsi="Garamond"/>
                <w:color w:val="000000"/>
                <w:sz w:val="22"/>
                <w:szCs w:val="22"/>
              </w:rPr>
              <w:t xml:space="preserve">For the fourth quarter of 2017 banks and credit organizations anticipate further easing in lending procedures </w:t>
            </w:r>
            <w:r w:rsidRPr="00626752">
              <w:rPr>
                <w:rFonts w:ascii="Garamond" w:eastAsia="Calibri" w:hAnsi="Garamond"/>
                <w:color w:val="000000"/>
                <w:sz w:val="22"/>
                <w:szCs w:val="22"/>
              </w:rPr>
              <w:lastRenderedPageBreak/>
              <w:t xml:space="preserve">and a growing demand for loans. </w:t>
            </w:r>
            <w:r w:rsidRPr="00626752">
              <w:rPr>
                <w:rFonts w:ascii="Garamond" w:hAnsi="Garamond"/>
                <w:sz w:val="22"/>
                <w:szCs w:val="22"/>
              </w:rPr>
              <w:t>The results of the survey are in line with CB's assessment of the demand for economic recovery.</w:t>
            </w:r>
          </w:p>
        </w:tc>
      </w:tr>
    </w:tbl>
    <w:p w14:paraId="51C53B00" w14:textId="77777777" w:rsidR="00F40F99" w:rsidRPr="00626752" w:rsidRDefault="00F40F99" w:rsidP="00F40F99">
      <w:pPr>
        <w:spacing w:line="360" w:lineRule="auto"/>
        <w:jc w:val="both"/>
        <w:rPr>
          <w:rFonts w:ascii="Garamond" w:hAnsi="Garamond"/>
          <w:b/>
          <w:sz w:val="22"/>
          <w:szCs w:val="22"/>
        </w:rPr>
      </w:pPr>
    </w:p>
    <w:p w14:paraId="167554E8" w14:textId="77777777" w:rsidR="00ED1126" w:rsidRPr="00626752" w:rsidRDefault="00ED1126" w:rsidP="00F40F99">
      <w:pPr>
        <w:spacing w:line="360" w:lineRule="auto"/>
        <w:jc w:val="both"/>
        <w:rPr>
          <w:rFonts w:ascii="Garamond" w:hAnsi="Garamond"/>
          <w:b/>
          <w:sz w:val="22"/>
          <w:szCs w:val="22"/>
        </w:rPr>
      </w:pPr>
    </w:p>
    <w:p w14:paraId="2E46FCF5" w14:textId="77777777" w:rsidR="00ED1126" w:rsidRPr="00626752" w:rsidRDefault="00ED1126" w:rsidP="00F40F99">
      <w:pPr>
        <w:spacing w:line="360" w:lineRule="auto"/>
        <w:jc w:val="both"/>
        <w:rPr>
          <w:rFonts w:ascii="Garamond" w:hAnsi="Garamond"/>
          <w:b/>
          <w:sz w:val="22"/>
          <w:szCs w:val="22"/>
        </w:rPr>
      </w:pPr>
    </w:p>
    <w:p w14:paraId="51A782FF" w14:textId="77777777" w:rsidR="00ED1126" w:rsidRPr="00626752" w:rsidRDefault="00ED1126" w:rsidP="00F40F99">
      <w:pPr>
        <w:spacing w:line="360" w:lineRule="auto"/>
        <w:jc w:val="both"/>
        <w:rPr>
          <w:rFonts w:ascii="Garamond" w:hAnsi="Garamond"/>
          <w:b/>
          <w:sz w:val="22"/>
          <w:szCs w:val="22"/>
        </w:rPr>
      </w:pPr>
    </w:p>
    <w:p w14:paraId="225951AC" w14:textId="77777777" w:rsidR="00F40F99" w:rsidRPr="00626752" w:rsidRDefault="00F40F99" w:rsidP="00F40F99">
      <w:pPr>
        <w:spacing w:line="360" w:lineRule="auto"/>
        <w:jc w:val="center"/>
        <w:rPr>
          <w:rFonts w:ascii="Garamond" w:hAnsi="Garamond"/>
          <w:b/>
          <w:bCs/>
          <w:sz w:val="22"/>
          <w:szCs w:val="22"/>
        </w:rPr>
      </w:pPr>
      <w:r w:rsidRPr="00626752">
        <w:rPr>
          <w:rFonts w:ascii="Garamond" w:hAnsi="Garamond"/>
          <w:b/>
          <w:bCs/>
          <w:sz w:val="22"/>
          <w:szCs w:val="22"/>
        </w:rPr>
        <w:t>………………………………………………………………………………………………………………..</w:t>
      </w:r>
    </w:p>
    <w:p w14:paraId="579EEF93" w14:textId="77777777" w:rsidR="00F40F99" w:rsidRPr="00626752" w:rsidRDefault="00F40F99" w:rsidP="00F40F99">
      <w:pPr>
        <w:spacing w:line="360" w:lineRule="auto"/>
        <w:jc w:val="center"/>
        <w:rPr>
          <w:rFonts w:ascii="Garamond" w:hAnsi="Garamond"/>
          <w:b/>
          <w:bCs/>
          <w:sz w:val="22"/>
          <w:szCs w:val="22"/>
        </w:rPr>
      </w:pPr>
    </w:p>
    <w:p w14:paraId="0759CE2C" w14:textId="77777777" w:rsidR="00F40F99" w:rsidRPr="00626752" w:rsidRDefault="00F40F99" w:rsidP="00F40F99">
      <w:pPr>
        <w:spacing w:line="360" w:lineRule="auto"/>
        <w:jc w:val="center"/>
        <w:rPr>
          <w:rFonts w:ascii="Garamond" w:hAnsi="Garamond"/>
          <w:b/>
          <w:bCs/>
          <w:color w:val="0070C0"/>
          <w:sz w:val="22"/>
          <w:szCs w:val="22"/>
        </w:rPr>
      </w:pPr>
      <w:r w:rsidRPr="00626752">
        <w:rPr>
          <w:rFonts w:ascii="Garamond" w:hAnsi="Garamond"/>
          <w:b/>
          <w:bCs/>
          <w:color w:val="0070C0"/>
          <w:sz w:val="22"/>
          <w:szCs w:val="22"/>
        </w:rPr>
        <w:t xml:space="preserve">BOARD OF </w:t>
      </w:r>
      <w:r w:rsidR="003E32BF" w:rsidRPr="00626752">
        <w:rPr>
          <w:rFonts w:ascii="Garamond" w:hAnsi="Garamond"/>
          <w:b/>
          <w:bCs/>
          <w:color w:val="0070C0"/>
          <w:sz w:val="22"/>
          <w:szCs w:val="22"/>
        </w:rPr>
        <w:t xml:space="preserve">THE </w:t>
      </w:r>
      <w:r w:rsidRPr="00626752">
        <w:rPr>
          <w:rFonts w:ascii="Garamond" w:hAnsi="Garamond"/>
          <w:b/>
          <w:bCs/>
          <w:color w:val="0070C0"/>
          <w:sz w:val="22"/>
          <w:szCs w:val="22"/>
        </w:rPr>
        <w:t>CBA</w:t>
      </w:r>
    </w:p>
    <w:p w14:paraId="1B471373" w14:textId="77777777" w:rsidR="00F40F99" w:rsidRPr="00626752" w:rsidRDefault="00F40F99" w:rsidP="00F40F99">
      <w:pPr>
        <w:spacing w:line="360" w:lineRule="auto"/>
        <w:jc w:val="center"/>
        <w:rPr>
          <w:rFonts w:ascii="Garamond" w:hAnsi="Garamond"/>
          <w:b/>
          <w:bCs/>
          <w:color w:val="0070C0"/>
          <w:sz w:val="22"/>
          <w:szCs w:val="22"/>
        </w:rPr>
      </w:pPr>
    </w:p>
    <w:p w14:paraId="10C1F5BA" w14:textId="77777777" w:rsidR="00F40F99" w:rsidRPr="00626752" w:rsidRDefault="00F40F99" w:rsidP="00F40F99">
      <w:pPr>
        <w:spacing w:line="360" w:lineRule="auto"/>
        <w:jc w:val="center"/>
        <w:rPr>
          <w:rFonts w:ascii="Garamond" w:hAnsi="Garamond"/>
          <w:b/>
          <w:bCs/>
          <w:color w:val="0070C0"/>
          <w:sz w:val="22"/>
          <w:szCs w:val="22"/>
        </w:rPr>
      </w:pPr>
      <w:r w:rsidRPr="00626752">
        <w:rPr>
          <w:rFonts w:ascii="Garamond" w:hAnsi="Garamond"/>
          <w:b/>
          <w:bCs/>
          <w:color w:val="0070C0"/>
          <w:sz w:val="22"/>
          <w:szCs w:val="22"/>
        </w:rPr>
        <w:t>MINUTES</w:t>
      </w:r>
    </w:p>
    <w:p w14:paraId="7BFC96F7" w14:textId="77777777" w:rsidR="00F40F99" w:rsidRPr="00626752" w:rsidRDefault="003E32BF" w:rsidP="00F40F99">
      <w:pPr>
        <w:spacing w:line="360" w:lineRule="auto"/>
        <w:jc w:val="center"/>
        <w:rPr>
          <w:rFonts w:ascii="Garamond" w:hAnsi="Garamond"/>
          <w:b/>
          <w:bCs/>
          <w:sz w:val="22"/>
          <w:szCs w:val="22"/>
        </w:rPr>
      </w:pPr>
      <w:r w:rsidRPr="00626752">
        <w:rPr>
          <w:rFonts w:ascii="Garamond" w:hAnsi="Garamond"/>
          <w:b/>
          <w:bCs/>
          <w:color w:val="0070C0"/>
          <w:sz w:val="22"/>
          <w:szCs w:val="22"/>
        </w:rPr>
        <w:t>(14</w:t>
      </w:r>
      <w:r w:rsidR="00F40F99" w:rsidRPr="00626752">
        <w:rPr>
          <w:rFonts w:ascii="Garamond" w:hAnsi="Garamond"/>
          <w:b/>
          <w:bCs/>
          <w:color w:val="0070C0"/>
          <w:sz w:val="22"/>
          <w:szCs w:val="22"/>
        </w:rPr>
        <w:t>.</w:t>
      </w:r>
      <w:r w:rsidRPr="00626752">
        <w:rPr>
          <w:rFonts w:ascii="Garamond" w:hAnsi="Garamond"/>
          <w:b/>
          <w:bCs/>
          <w:color w:val="0070C0"/>
          <w:sz w:val="22"/>
          <w:szCs w:val="22"/>
        </w:rPr>
        <w:t>11</w:t>
      </w:r>
      <w:r w:rsidR="00F40F99" w:rsidRPr="00626752">
        <w:rPr>
          <w:rFonts w:ascii="Garamond" w:hAnsi="Garamond"/>
          <w:b/>
          <w:bCs/>
          <w:color w:val="0070C0"/>
          <w:sz w:val="22"/>
          <w:szCs w:val="22"/>
        </w:rPr>
        <w:t>.2017)</w:t>
      </w:r>
    </w:p>
    <w:p w14:paraId="24387CFD" w14:textId="77777777" w:rsidR="00F40F99" w:rsidRPr="00626752" w:rsidRDefault="00F40F99" w:rsidP="00F40F99">
      <w:pPr>
        <w:spacing w:line="360" w:lineRule="auto"/>
        <w:jc w:val="center"/>
        <w:rPr>
          <w:rFonts w:ascii="Garamond" w:hAnsi="Garamond"/>
          <w:b/>
          <w:bCs/>
          <w:sz w:val="22"/>
          <w:szCs w:val="22"/>
        </w:rPr>
      </w:pPr>
    </w:p>
    <w:p w14:paraId="261FC81C" w14:textId="77777777" w:rsidR="00F40F99" w:rsidRPr="00626752" w:rsidRDefault="00F40F99" w:rsidP="00F40F99">
      <w:pPr>
        <w:spacing w:line="360" w:lineRule="auto"/>
        <w:jc w:val="center"/>
        <w:rPr>
          <w:rFonts w:ascii="Garamond" w:hAnsi="Garamond"/>
          <w:color w:val="0070C0"/>
          <w:sz w:val="22"/>
          <w:szCs w:val="22"/>
        </w:rPr>
      </w:pPr>
      <w:r w:rsidRPr="00626752">
        <w:rPr>
          <w:rFonts w:ascii="Garamond" w:hAnsi="Garamond"/>
          <w:b/>
          <w:bCs/>
          <w:color w:val="0070C0"/>
          <w:sz w:val="22"/>
          <w:szCs w:val="22"/>
        </w:rPr>
        <w:t xml:space="preserve">Refinancing Rate of </w:t>
      </w:r>
      <w:r w:rsidR="003E32BF" w:rsidRPr="00626752">
        <w:rPr>
          <w:rFonts w:ascii="Garamond" w:hAnsi="Garamond"/>
          <w:b/>
          <w:bCs/>
          <w:color w:val="0070C0"/>
          <w:sz w:val="22"/>
          <w:szCs w:val="22"/>
        </w:rPr>
        <w:t>November</w:t>
      </w:r>
      <w:r w:rsidRPr="00626752">
        <w:rPr>
          <w:rFonts w:ascii="Garamond" w:hAnsi="Garamond"/>
          <w:b/>
          <w:bCs/>
          <w:color w:val="0070C0"/>
          <w:sz w:val="22"/>
          <w:szCs w:val="22"/>
        </w:rPr>
        <w:t xml:space="preserve"> 1</w:t>
      </w:r>
      <w:r w:rsidR="003E32BF" w:rsidRPr="00626752">
        <w:rPr>
          <w:rFonts w:ascii="Garamond" w:hAnsi="Garamond"/>
          <w:b/>
          <w:bCs/>
          <w:color w:val="0070C0"/>
          <w:sz w:val="22"/>
          <w:szCs w:val="22"/>
        </w:rPr>
        <w:t>4</w:t>
      </w:r>
      <w:r w:rsidRPr="00626752">
        <w:rPr>
          <w:rFonts w:ascii="Garamond" w:hAnsi="Garamond"/>
          <w:b/>
          <w:bCs/>
          <w:color w:val="0070C0"/>
          <w:sz w:val="22"/>
          <w:szCs w:val="22"/>
        </w:rPr>
        <w:t>, 2017</w:t>
      </w:r>
    </w:p>
    <w:p w14:paraId="2C4C979D" w14:textId="77777777" w:rsidR="00F40F99" w:rsidRPr="00626752" w:rsidRDefault="00F40F99" w:rsidP="00F40F99">
      <w:pPr>
        <w:spacing w:line="360" w:lineRule="auto"/>
        <w:jc w:val="center"/>
        <w:rPr>
          <w:rFonts w:ascii="Garamond" w:hAnsi="Garamond"/>
          <w:sz w:val="22"/>
          <w:szCs w:val="22"/>
        </w:rPr>
      </w:pPr>
    </w:p>
    <w:p w14:paraId="116139C8" w14:textId="77777777" w:rsidR="00F40F99" w:rsidRPr="00626752" w:rsidRDefault="00F40F99" w:rsidP="00F40F99">
      <w:pPr>
        <w:pStyle w:val="BodyText"/>
        <w:spacing w:line="360" w:lineRule="auto"/>
        <w:jc w:val="center"/>
        <w:rPr>
          <w:rFonts w:ascii="Garamond" w:hAnsi="Garamond"/>
          <w:b/>
        </w:rPr>
      </w:pPr>
      <w:r w:rsidRPr="00626752">
        <w:rPr>
          <w:rFonts w:ascii="Garamond" w:hAnsi="Garamond"/>
          <w:b/>
        </w:rPr>
        <w:t xml:space="preserve">The CBA Board Meeting of </w:t>
      </w:r>
      <w:r w:rsidR="003E32BF" w:rsidRPr="00626752">
        <w:rPr>
          <w:rFonts w:ascii="Garamond" w:hAnsi="Garamond"/>
          <w:b/>
          <w:bCs/>
        </w:rPr>
        <w:t>November 14</w:t>
      </w:r>
      <w:r w:rsidRPr="00626752">
        <w:rPr>
          <w:rFonts w:ascii="Garamond" w:hAnsi="Garamond"/>
          <w:b/>
          <w:bCs/>
        </w:rPr>
        <w:t>, 2017</w:t>
      </w:r>
      <w:r w:rsidRPr="00626752">
        <w:rPr>
          <w:rFonts w:ascii="Garamond" w:hAnsi="Garamond"/>
          <w:b/>
        </w:rPr>
        <w:t xml:space="preserve"> attended by Chairman</w:t>
      </w:r>
      <w:r w:rsidR="003E32BF" w:rsidRPr="00626752">
        <w:rPr>
          <w:rFonts w:ascii="Garamond" w:hAnsi="Garamond"/>
          <w:b/>
        </w:rPr>
        <w:t xml:space="preserve"> Arthur Javadyan, Deputy Chairmen</w:t>
      </w:r>
      <w:r w:rsidRPr="00626752">
        <w:rPr>
          <w:rFonts w:ascii="Garamond" w:hAnsi="Garamond"/>
          <w:b/>
        </w:rPr>
        <w:t xml:space="preserve"> </w:t>
      </w:r>
      <w:proofErr w:type="spellStart"/>
      <w:r w:rsidRPr="00626752">
        <w:rPr>
          <w:rFonts w:ascii="Garamond" w:hAnsi="Garamond"/>
          <w:b/>
        </w:rPr>
        <w:t>Nerses</w:t>
      </w:r>
      <w:proofErr w:type="spellEnd"/>
      <w:r w:rsidRPr="00626752">
        <w:rPr>
          <w:rFonts w:ascii="Garamond" w:hAnsi="Garamond"/>
          <w:b/>
        </w:rPr>
        <w:t xml:space="preserve"> </w:t>
      </w:r>
      <w:proofErr w:type="spellStart"/>
      <w:r w:rsidRPr="00626752">
        <w:rPr>
          <w:rFonts w:ascii="Garamond" w:hAnsi="Garamond"/>
          <w:b/>
        </w:rPr>
        <w:t>Yeritsyan</w:t>
      </w:r>
      <w:proofErr w:type="spellEnd"/>
      <w:r w:rsidR="003E32BF" w:rsidRPr="00626752">
        <w:rPr>
          <w:rFonts w:ascii="Garamond" w:hAnsi="Garamond"/>
          <w:b/>
        </w:rPr>
        <w:t xml:space="preserve"> and Vakhtang </w:t>
      </w:r>
      <w:proofErr w:type="spellStart"/>
      <w:r w:rsidR="003E32BF" w:rsidRPr="00626752">
        <w:rPr>
          <w:rFonts w:ascii="Garamond" w:hAnsi="Garamond"/>
          <w:b/>
        </w:rPr>
        <w:t>Abrahamyan</w:t>
      </w:r>
      <w:proofErr w:type="spellEnd"/>
      <w:r w:rsidRPr="00626752">
        <w:rPr>
          <w:rFonts w:ascii="Garamond" w:hAnsi="Garamond"/>
          <w:b/>
        </w:rPr>
        <w:t xml:space="preserve">, and Board Members Ashot Mkrtchyan, Arthur Stepanyan, Armenak Darbinyan, Oleg </w:t>
      </w:r>
      <w:proofErr w:type="spellStart"/>
      <w:r w:rsidRPr="00626752">
        <w:rPr>
          <w:rFonts w:ascii="Garamond" w:hAnsi="Garamond"/>
          <w:b/>
        </w:rPr>
        <w:t>Aghasyan</w:t>
      </w:r>
      <w:proofErr w:type="spellEnd"/>
      <w:r w:rsidRPr="00626752">
        <w:rPr>
          <w:rFonts w:ascii="Garamond" w:hAnsi="Garamond"/>
          <w:b/>
        </w:rPr>
        <w:t xml:space="preserve"> and </w:t>
      </w:r>
      <w:proofErr w:type="spellStart"/>
      <w:r w:rsidRPr="00626752">
        <w:rPr>
          <w:rFonts w:ascii="Garamond" w:hAnsi="Garamond"/>
          <w:b/>
        </w:rPr>
        <w:t>Arkadi</w:t>
      </w:r>
      <w:proofErr w:type="spellEnd"/>
      <w:r w:rsidRPr="00626752">
        <w:rPr>
          <w:rFonts w:ascii="Garamond" w:hAnsi="Garamond"/>
          <w:b/>
        </w:rPr>
        <w:t xml:space="preserve"> Khachatryan.</w:t>
      </w:r>
    </w:p>
    <w:p w14:paraId="59F255AB" w14:textId="77777777" w:rsidR="00F40F99" w:rsidRPr="00626752" w:rsidRDefault="00F40F99" w:rsidP="00F40F99">
      <w:pPr>
        <w:spacing w:line="360" w:lineRule="auto"/>
        <w:jc w:val="both"/>
        <w:rPr>
          <w:rFonts w:ascii="Garamond" w:hAnsi="Garamond"/>
          <w:sz w:val="22"/>
          <w:szCs w:val="22"/>
        </w:rPr>
      </w:pPr>
    </w:p>
    <w:p w14:paraId="40CD5ACF" w14:textId="77777777" w:rsidR="00F40F99" w:rsidRPr="00626752" w:rsidRDefault="00F40F99" w:rsidP="00F40F99">
      <w:pPr>
        <w:spacing w:line="360" w:lineRule="auto"/>
        <w:jc w:val="both"/>
        <w:rPr>
          <w:rFonts w:ascii="Garamond" w:hAnsi="Garamond"/>
          <w:sz w:val="22"/>
          <w:szCs w:val="22"/>
        </w:rPr>
      </w:pPr>
      <w:r w:rsidRPr="00626752">
        <w:rPr>
          <w:rFonts w:ascii="Garamond" w:hAnsi="Garamond"/>
          <w:sz w:val="22"/>
          <w:szCs w:val="22"/>
        </w:rPr>
        <w:t xml:space="preserve">The Board meeting opened with presentation of Situation Report as of </w:t>
      </w:r>
      <w:r w:rsidR="003E32BF" w:rsidRPr="00626752">
        <w:rPr>
          <w:rFonts w:ascii="Garamond" w:hAnsi="Garamond"/>
          <w:sz w:val="22"/>
          <w:szCs w:val="22"/>
        </w:rPr>
        <w:t xml:space="preserve">November </w:t>
      </w:r>
      <w:r w:rsidR="003E32BF" w:rsidRPr="00626752">
        <w:rPr>
          <w:rFonts w:ascii="Garamond" w:hAnsi="Garamond"/>
          <w:bCs/>
          <w:sz w:val="22"/>
          <w:szCs w:val="22"/>
        </w:rPr>
        <w:t>14,</w:t>
      </w:r>
      <w:r w:rsidRPr="00626752">
        <w:rPr>
          <w:rFonts w:ascii="Garamond" w:hAnsi="Garamond"/>
          <w:bCs/>
          <w:sz w:val="22"/>
          <w:szCs w:val="22"/>
        </w:rPr>
        <w:t xml:space="preserve"> 2017</w:t>
      </w:r>
      <w:r w:rsidRPr="00626752">
        <w:rPr>
          <w:rFonts w:ascii="Garamond" w:hAnsi="Garamond"/>
          <w:sz w:val="22"/>
          <w:szCs w:val="22"/>
        </w:rPr>
        <w:t xml:space="preserve">. It addressed current developments on inflation, external environment and real, fiscal and monetary sectors of the economy. </w:t>
      </w:r>
    </w:p>
    <w:p w14:paraId="2121A14D" w14:textId="77777777" w:rsidR="00F40F99" w:rsidRPr="00626752" w:rsidRDefault="00F40F99" w:rsidP="00F40F99">
      <w:pPr>
        <w:spacing w:line="360" w:lineRule="auto"/>
        <w:jc w:val="both"/>
        <w:rPr>
          <w:rFonts w:ascii="Garamond" w:hAnsi="Garamond"/>
          <w:sz w:val="22"/>
          <w:szCs w:val="22"/>
        </w:rPr>
      </w:pPr>
    </w:p>
    <w:p w14:paraId="2235C23E" w14:textId="77777777" w:rsidR="00A926B6" w:rsidRPr="00626752" w:rsidRDefault="00A926B6" w:rsidP="00F40F99">
      <w:pPr>
        <w:spacing w:line="360" w:lineRule="auto"/>
        <w:jc w:val="both"/>
        <w:rPr>
          <w:rFonts w:ascii="Garamond" w:hAnsi="Garamond"/>
          <w:sz w:val="22"/>
          <w:szCs w:val="22"/>
        </w:rPr>
      </w:pPr>
      <w:r w:rsidRPr="00626752">
        <w:rPr>
          <w:rFonts w:ascii="Garamond" w:hAnsi="Garamond"/>
          <w:sz w:val="22"/>
          <w:szCs w:val="22"/>
        </w:rPr>
        <w:t>Inflation in the third quarter of 2017 was lower than expected, mainly due to lower prices for fruits and vegetables. This effect, the Central Bank estimates, will phase out in the up</w:t>
      </w:r>
      <w:r w:rsidR="00E475A6" w:rsidRPr="00626752">
        <w:rPr>
          <w:rFonts w:ascii="Garamond" w:hAnsi="Garamond"/>
          <w:sz w:val="22"/>
          <w:szCs w:val="22"/>
        </w:rPr>
        <w:t xml:space="preserve">coming months, as the </w:t>
      </w:r>
      <w:r w:rsidRPr="00626752">
        <w:rPr>
          <w:rFonts w:ascii="Garamond" w:hAnsi="Garamond"/>
          <w:sz w:val="22"/>
          <w:szCs w:val="22"/>
        </w:rPr>
        <w:t>volume</w:t>
      </w:r>
      <w:r w:rsidR="00E475A6" w:rsidRPr="00626752">
        <w:rPr>
          <w:rFonts w:ascii="Garamond" w:hAnsi="Garamond"/>
          <w:sz w:val="22"/>
          <w:szCs w:val="22"/>
        </w:rPr>
        <w:t>s</w:t>
      </w:r>
      <w:r w:rsidRPr="00626752">
        <w:rPr>
          <w:rFonts w:ascii="Garamond" w:hAnsi="Garamond"/>
          <w:sz w:val="22"/>
          <w:szCs w:val="22"/>
        </w:rPr>
        <w:t xml:space="preserve"> of agricultural </w:t>
      </w:r>
      <w:r w:rsidR="00E475A6" w:rsidRPr="00626752">
        <w:rPr>
          <w:rFonts w:ascii="Garamond" w:hAnsi="Garamond"/>
          <w:sz w:val="22"/>
          <w:szCs w:val="22"/>
        </w:rPr>
        <w:t>output are</w:t>
      </w:r>
      <w:r w:rsidRPr="00626752">
        <w:rPr>
          <w:rFonts w:ascii="Garamond" w:hAnsi="Garamond"/>
          <w:sz w:val="22"/>
          <w:szCs w:val="22"/>
        </w:rPr>
        <w:t xml:space="preserve"> still </w:t>
      </w:r>
      <w:r w:rsidR="00E475A6" w:rsidRPr="00626752">
        <w:rPr>
          <w:rFonts w:ascii="Garamond" w:hAnsi="Garamond"/>
          <w:sz w:val="22"/>
          <w:szCs w:val="22"/>
        </w:rPr>
        <w:t>below the previous year’</w:t>
      </w:r>
      <w:r w:rsidRPr="00626752">
        <w:rPr>
          <w:rFonts w:ascii="Garamond" w:hAnsi="Garamond"/>
          <w:sz w:val="22"/>
          <w:szCs w:val="22"/>
        </w:rPr>
        <w:t xml:space="preserve">s level. </w:t>
      </w:r>
      <w:r w:rsidR="0055355B" w:rsidRPr="00626752">
        <w:rPr>
          <w:rFonts w:ascii="Garamond" w:hAnsi="Garamond"/>
          <w:sz w:val="22"/>
          <w:szCs w:val="22"/>
        </w:rPr>
        <w:t xml:space="preserve">There is expectation that </w:t>
      </w:r>
      <w:r w:rsidRPr="00626752">
        <w:rPr>
          <w:rFonts w:ascii="Garamond" w:hAnsi="Garamond"/>
          <w:sz w:val="22"/>
          <w:szCs w:val="22"/>
        </w:rPr>
        <w:t xml:space="preserve">inflation will be </w:t>
      </w:r>
      <w:r w:rsidR="0055355B" w:rsidRPr="00626752">
        <w:rPr>
          <w:rFonts w:ascii="Garamond" w:hAnsi="Garamond"/>
          <w:sz w:val="22"/>
          <w:szCs w:val="22"/>
        </w:rPr>
        <w:t xml:space="preserve">within the confidence band </w:t>
      </w:r>
      <w:r w:rsidR="002254DB" w:rsidRPr="00626752">
        <w:rPr>
          <w:rFonts w:ascii="Garamond" w:hAnsi="Garamond"/>
          <w:sz w:val="22"/>
          <w:szCs w:val="22"/>
        </w:rPr>
        <w:t>by</w:t>
      </w:r>
      <w:r w:rsidRPr="00626752">
        <w:rPr>
          <w:rFonts w:ascii="Garamond" w:hAnsi="Garamond"/>
          <w:sz w:val="22"/>
          <w:szCs w:val="22"/>
        </w:rPr>
        <w:t xml:space="preserve"> the end of December. </w:t>
      </w:r>
      <w:r w:rsidR="00E91D8D" w:rsidRPr="00626752">
        <w:rPr>
          <w:rFonts w:ascii="Garamond" w:hAnsi="Garamond"/>
          <w:sz w:val="22"/>
          <w:szCs w:val="22"/>
        </w:rPr>
        <w:t>In recent months, core inflation has been recovering at a faster pace</w:t>
      </w:r>
      <w:r w:rsidRPr="00626752">
        <w:rPr>
          <w:rFonts w:ascii="Garamond" w:hAnsi="Garamond"/>
          <w:sz w:val="22"/>
          <w:szCs w:val="22"/>
        </w:rPr>
        <w:t xml:space="preserve">, </w:t>
      </w:r>
      <w:r w:rsidR="00E91D8D" w:rsidRPr="00626752">
        <w:rPr>
          <w:rFonts w:ascii="Garamond" w:hAnsi="Garamond"/>
          <w:sz w:val="22"/>
          <w:szCs w:val="22"/>
        </w:rPr>
        <w:t>incurring</w:t>
      </w:r>
      <w:r w:rsidRPr="00626752">
        <w:rPr>
          <w:rFonts w:ascii="Garamond" w:hAnsi="Garamond"/>
          <w:sz w:val="22"/>
          <w:szCs w:val="22"/>
        </w:rPr>
        <w:t xml:space="preserve"> the </w:t>
      </w:r>
      <w:r w:rsidR="00E91D8D" w:rsidRPr="00626752">
        <w:rPr>
          <w:rFonts w:ascii="Garamond" w:hAnsi="Garamond"/>
          <w:sz w:val="22"/>
          <w:szCs w:val="22"/>
        </w:rPr>
        <w:t>impact of r</w:t>
      </w:r>
      <w:r w:rsidRPr="00626752">
        <w:rPr>
          <w:rFonts w:ascii="Garamond" w:hAnsi="Garamond"/>
          <w:sz w:val="22"/>
          <w:szCs w:val="22"/>
        </w:rPr>
        <w:t xml:space="preserve">elatively </w:t>
      </w:r>
      <w:r w:rsidR="00E91D8D" w:rsidRPr="00626752">
        <w:rPr>
          <w:rFonts w:ascii="Garamond" w:hAnsi="Garamond"/>
          <w:sz w:val="22"/>
          <w:szCs w:val="22"/>
        </w:rPr>
        <w:t xml:space="preserve">high growth of </w:t>
      </w:r>
      <w:r w:rsidRPr="00626752">
        <w:rPr>
          <w:rFonts w:ascii="Garamond" w:hAnsi="Garamond"/>
          <w:sz w:val="22"/>
          <w:szCs w:val="22"/>
        </w:rPr>
        <w:t xml:space="preserve">domestic demand, </w:t>
      </w:r>
      <w:r w:rsidR="009318F7" w:rsidRPr="00626752">
        <w:rPr>
          <w:rFonts w:ascii="Garamond" w:hAnsi="Garamond"/>
          <w:sz w:val="22"/>
          <w:szCs w:val="22"/>
        </w:rPr>
        <w:t xml:space="preserve">further </w:t>
      </w:r>
      <w:proofErr w:type="spellStart"/>
      <w:r w:rsidR="009318F7" w:rsidRPr="00626752">
        <w:rPr>
          <w:rFonts w:ascii="Garamond" w:hAnsi="Garamond"/>
          <w:sz w:val="22"/>
          <w:szCs w:val="22"/>
        </w:rPr>
        <w:t>fuelled</w:t>
      </w:r>
      <w:proofErr w:type="spellEnd"/>
      <w:r w:rsidR="009318F7" w:rsidRPr="00626752">
        <w:rPr>
          <w:rFonts w:ascii="Garamond" w:hAnsi="Garamond"/>
          <w:sz w:val="22"/>
          <w:szCs w:val="22"/>
        </w:rPr>
        <w:t xml:space="preserve"> by </w:t>
      </w:r>
      <w:r w:rsidRPr="00626752">
        <w:rPr>
          <w:rFonts w:ascii="Garamond" w:hAnsi="Garamond"/>
          <w:sz w:val="22"/>
          <w:szCs w:val="22"/>
        </w:rPr>
        <w:t xml:space="preserve">the </w:t>
      </w:r>
      <w:r w:rsidR="009318F7" w:rsidRPr="00626752">
        <w:rPr>
          <w:rFonts w:ascii="Garamond" w:hAnsi="Garamond"/>
          <w:sz w:val="22"/>
          <w:szCs w:val="22"/>
        </w:rPr>
        <w:t xml:space="preserve">expansionary </w:t>
      </w:r>
      <w:r w:rsidRPr="00626752">
        <w:rPr>
          <w:rFonts w:ascii="Garamond" w:hAnsi="Garamond"/>
          <w:sz w:val="22"/>
          <w:szCs w:val="22"/>
        </w:rPr>
        <w:t>monetary policy implemented by the Central Bank. The</w:t>
      </w:r>
      <w:r w:rsidR="00DA09A3" w:rsidRPr="00626752">
        <w:rPr>
          <w:rFonts w:ascii="Garamond" w:hAnsi="Garamond"/>
          <w:sz w:val="22"/>
          <w:szCs w:val="22"/>
        </w:rPr>
        <w:t xml:space="preserve"> </w:t>
      </w:r>
      <w:r w:rsidRPr="00626752">
        <w:rPr>
          <w:rFonts w:ascii="Garamond" w:hAnsi="Garamond"/>
          <w:sz w:val="22"/>
          <w:szCs w:val="22"/>
        </w:rPr>
        <w:t xml:space="preserve">high rates </w:t>
      </w:r>
      <w:r w:rsidR="00DA09A3" w:rsidRPr="00626752">
        <w:rPr>
          <w:rFonts w:ascii="Garamond" w:hAnsi="Garamond"/>
          <w:sz w:val="22"/>
          <w:szCs w:val="22"/>
        </w:rPr>
        <w:t xml:space="preserve">with which core inflation recovers points to the grown </w:t>
      </w:r>
      <w:r w:rsidRPr="00626752">
        <w:rPr>
          <w:rFonts w:ascii="Garamond" w:hAnsi="Garamond"/>
          <w:sz w:val="22"/>
          <w:szCs w:val="22"/>
        </w:rPr>
        <w:t xml:space="preserve">inflation expectations, with </w:t>
      </w:r>
      <w:r w:rsidR="00DA09A3" w:rsidRPr="00626752">
        <w:rPr>
          <w:rFonts w:ascii="Garamond" w:hAnsi="Garamond"/>
          <w:sz w:val="22"/>
          <w:szCs w:val="22"/>
        </w:rPr>
        <w:t xml:space="preserve">household </w:t>
      </w:r>
      <w:r w:rsidRPr="00626752">
        <w:rPr>
          <w:rFonts w:ascii="Garamond" w:hAnsi="Garamond"/>
          <w:sz w:val="22"/>
          <w:szCs w:val="22"/>
        </w:rPr>
        <w:t xml:space="preserve">inflation expectations increasing </w:t>
      </w:r>
      <w:r w:rsidR="00DA09A3" w:rsidRPr="00626752">
        <w:rPr>
          <w:rFonts w:ascii="Garamond" w:hAnsi="Garamond"/>
          <w:sz w:val="22"/>
          <w:szCs w:val="22"/>
        </w:rPr>
        <w:t xml:space="preserve">even </w:t>
      </w:r>
      <w:r w:rsidRPr="00626752">
        <w:rPr>
          <w:rFonts w:ascii="Garamond" w:hAnsi="Garamond"/>
          <w:sz w:val="22"/>
          <w:szCs w:val="22"/>
        </w:rPr>
        <w:t>faster</w:t>
      </w:r>
      <w:r w:rsidR="00DA09A3" w:rsidRPr="00626752">
        <w:rPr>
          <w:rFonts w:ascii="Garamond" w:hAnsi="Garamond"/>
          <w:sz w:val="22"/>
          <w:szCs w:val="22"/>
        </w:rPr>
        <w:t>, which is determined by an</w:t>
      </w:r>
      <w:r w:rsidRPr="00626752">
        <w:rPr>
          <w:rFonts w:ascii="Garamond" w:hAnsi="Garamond"/>
          <w:sz w:val="22"/>
          <w:szCs w:val="22"/>
        </w:rPr>
        <w:t xml:space="preserve"> increase in prices for some </w:t>
      </w:r>
      <w:r w:rsidR="00DA09A3" w:rsidRPr="00626752">
        <w:rPr>
          <w:rFonts w:ascii="Garamond" w:hAnsi="Garamond"/>
          <w:sz w:val="22"/>
          <w:szCs w:val="22"/>
        </w:rPr>
        <w:t xml:space="preserve">food </w:t>
      </w:r>
      <w:r w:rsidRPr="00626752">
        <w:rPr>
          <w:rFonts w:ascii="Garamond" w:hAnsi="Garamond"/>
          <w:sz w:val="22"/>
          <w:szCs w:val="22"/>
        </w:rPr>
        <w:t xml:space="preserve">products in </w:t>
      </w:r>
      <w:r w:rsidR="00DA09A3" w:rsidRPr="00626752">
        <w:rPr>
          <w:rFonts w:ascii="Garamond" w:hAnsi="Garamond"/>
          <w:sz w:val="22"/>
          <w:szCs w:val="22"/>
        </w:rPr>
        <w:t>food markets of the world</w:t>
      </w:r>
      <w:r w:rsidRPr="00626752">
        <w:rPr>
          <w:rFonts w:ascii="Garamond" w:hAnsi="Garamond"/>
          <w:sz w:val="22"/>
          <w:szCs w:val="22"/>
        </w:rPr>
        <w:t>.</w:t>
      </w:r>
    </w:p>
    <w:p w14:paraId="03699201" w14:textId="77777777" w:rsidR="00DA09A3" w:rsidRPr="00626752" w:rsidRDefault="00DA09A3" w:rsidP="00F40F99">
      <w:pPr>
        <w:spacing w:line="360" w:lineRule="auto"/>
        <w:jc w:val="both"/>
        <w:rPr>
          <w:rFonts w:ascii="Garamond" w:hAnsi="Garamond"/>
          <w:sz w:val="22"/>
          <w:szCs w:val="22"/>
        </w:rPr>
      </w:pPr>
    </w:p>
    <w:p w14:paraId="0412DCCD" w14:textId="77777777" w:rsidR="00DA09A3" w:rsidRPr="00626752" w:rsidRDefault="00774197" w:rsidP="00F40F99">
      <w:pPr>
        <w:spacing w:line="360" w:lineRule="auto"/>
        <w:jc w:val="both"/>
        <w:rPr>
          <w:rFonts w:ascii="Garamond" w:hAnsi="Garamond"/>
          <w:sz w:val="22"/>
          <w:szCs w:val="22"/>
        </w:rPr>
      </w:pPr>
      <w:r w:rsidRPr="00626752">
        <w:rPr>
          <w:rFonts w:ascii="Garamond" w:hAnsi="Garamond"/>
          <w:sz w:val="22"/>
          <w:szCs w:val="22"/>
        </w:rPr>
        <w:t xml:space="preserve">The Board addressed the current economic situation, stating that </w:t>
      </w:r>
      <w:r w:rsidR="00DA09A3" w:rsidRPr="00626752">
        <w:rPr>
          <w:rFonts w:ascii="Garamond" w:hAnsi="Garamond"/>
          <w:sz w:val="22"/>
          <w:szCs w:val="22"/>
        </w:rPr>
        <w:t xml:space="preserve">economic activity </w:t>
      </w:r>
      <w:r w:rsidRPr="00626752">
        <w:rPr>
          <w:rFonts w:ascii="Garamond" w:hAnsi="Garamond"/>
          <w:sz w:val="22"/>
          <w:szCs w:val="22"/>
        </w:rPr>
        <w:t>remained high also in the third quarter of 2017</w:t>
      </w:r>
      <w:r w:rsidR="00DA09A3" w:rsidRPr="00626752">
        <w:rPr>
          <w:rFonts w:ascii="Garamond" w:hAnsi="Garamond"/>
          <w:sz w:val="22"/>
          <w:szCs w:val="22"/>
        </w:rPr>
        <w:t xml:space="preserve">, mainly </w:t>
      </w:r>
      <w:r w:rsidRPr="00626752">
        <w:rPr>
          <w:rFonts w:ascii="Garamond" w:hAnsi="Garamond"/>
          <w:sz w:val="22"/>
          <w:szCs w:val="22"/>
        </w:rPr>
        <w:t>driven by strong growth registered in the</w:t>
      </w:r>
      <w:r w:rsidR="00DA09A3" w:rsidRPr="00626752">
        <w:rPr>
          <w:rFonts w:ascii="Garamond" w:hAnsi="Garamond"/>
          <w:sz w:val="22"/>
          <w:szCs w:val="22"/>
        </w:rPr>
        <w:t xml:space="preserve"> services</w:t>
      </w:r>
      <w:r w:rsidRPr="00626752">
        <w:rPr>
          <w:rFonts w:ascii="Garamond" w:hAnsi="Garamond"/>
          <w:sz w:val="22"/>
          <w:szCs w:val="22"/>
        </w:rPr>
        <w:t xml:space="preserve"> sector</w:t>
      </w:r>
      <w:r w:rsidR="00DA09A3" w:rsidRPr="00626752">
        <w:rPr>
          <w:rFonts w:ascii="Garamond" w:hAnsi="Garamond"/>
          <w:sz w:val="22"/>
          <w:szCs w:val="22"/>
        </w:rPr>
        <w:t xml:space="preserve">. </w:t>
      </w:r>
      <w:r w:rsidR="00115D65" w:rsidRPr="00626752">
        <w:rPr>
          <w:rFonts w:ascii="Garamond" w:hAnsi="Garamond"/>
          <w:sz w:val="22"/>
          <w:szCs w:val="22"/>
        </w:rPr>
        <w:t xml:space="preserve">In view of these </w:t>
      </w:r>
      <w:r w:rsidR="00DA09A3" w:rsidRPr="00626752">
        <w:rPr>
          <w:rFonts w:ascii="Garamond" w:hAnsi="Garamond"/>
          <w:sz w:val="22"/>
          <w:szCs w:val="22"/>
        </w:rPr>
        <w:lastRenderedPageBreak/>
        <w:t>developments, the C</w:t>
      </w:r>
      <w:r w:rsidR="00115D65" w:rsidRPr="00626752">
        <w:rPr>
          <w:rFonts w:ascii="Garamond" w:hAnsi="Garamond"/>
          <w:sz w:val="22"/>
          <w:szCs w:val="22"/>
        </w:rPr>
        <w:t xml:space="preserve">entral </w:t>
      </w:r>
      <w:r w:rsidR="00DA09A3" w:rsidRPr="00626752">
        <w:rPr>
          <w:rFonts w:ascii="Garamond" w:hAnsi="Garamond"/>
          <w:sz w:val="22"/>
          <w:szCs w:val="22"/>
        </w:rPr>
        <w:t>B</w:t>
      </w:r>
      <w:r w:rsidR="00115D65" w:rsidRPr="00626752">
        <w:rPr>
          <w:rFonts w:ascii="Garamond" w:hAnsi="Garamond"/>
          <w:sz w:val="22"/>
          <w:szCs w:val="22"/>
        </w:rPr>
        <w:t>ank</w:t>
      </w:r>
      <w:r w:rsidR="00DA09A3" w:rsidRPr="00626752">
        <w:rPr>
          <w:rFonts w:ascii="Garamond" w:hAnsi="Garamond"/>
          <w:sz w:val="22"/>
          <w:szCs w:val="22"/>
        </w:rPr>
        <w:t xml:space="preserve"> again revised the economic growth forecast </w:t>
      </w:r>
      <w:r w:rsidR="00115D65" w:rsidRPr="00626752">
        <w:rPr>
          <w:rFonts w:ascii="Garamond" w:hAnsi="Garamond"/>
          <w:sz w:val="22"/>
          <w:szCs w:val="22"/>
        </w:rPr>
        <w:t>upside in the Q4, 2017 Monetary Policy Program</w:t>
      </w:r>
      <w:r w:rsidR="00DA09A3" w:rsidRPr="00626752">
        <w:rPr>
          <w:rFonts w:ascii="Garamond" w:hAnsi="Garamond"/>
          <w:sz w:val="22"/>
          <w:szCs w:val="22"/>
        </w:rPr>
        <w:t xml:space="preserve">. High economic activity has </w:t>
      </w:r>
      <w:r w:rsidR="00115D65" w:rsidRPr="00626752">
        <w:rPr>
          <w:rFonts w:ascii="Garamond" w:hAnsi="Garamond"/>
          <w:sz w:val="22"/>
          <w:szCs w:val="22"/>
        </w:rPr>
        <w:t xml:space="preserve">been largely attributable to domestic demand </w:t>
      </w:r>
      <w:r w:rsidR="00FF0E29" w:rsidRPr="00626752">
        <w:rPr>
          <w:rFonts w:ascii="Garamond" w:hAnsi="Garamond"/>
          <w:sz w:val="22"/>
          <w:szCs w:val="22"/>
        </w:rPr>
        <w:t xml:space="preserve">that </w:t>
      </w:r>
      <w:r w:rsidR="00115D65" w:rsidRPr="00626752">
        <w:rPr>
          <w:rFonts w:ascii="Garamond" w:hAnsi="Garamond"/>
          <w:sz w:val="22"/>
          <w:szCs w:val="22"/>
        </w:rPr>
        <w:t>recover</w:t>
      </w:r>
      <w:r w:rsidR="00FF0E29" w:rsidRPr="00626752">
        <w:rPr>
          <w:rFonts w:ascii="Garamond" w:hAnsi="Garamond"/>
          <w:sz w:val="22"/>
          <w:szCs w:val="22"/>
        </w:rPr>
        <w:t xml:space="preserve">ed </w:t>
      </w:r>
      <w:r w:rsidR="00115D65" w:rsidRPr="00626752">
        <w:rPr>
          <w:rFonts w:ascii="Garamond" w:hAnsi="Garamond"/>
          <w:sz w:val="22"/>
          <w:szCs w:val="22"/>
        </w:rPr>
        <w:t>at faster-than-expected rates</w:t>
      </w:r>
      <w:r w:rsidR="00DA09A3" w:rsidRPr="00626752">
        <w:rPr>
          <w:rFonts w:ascii="Garamond" w:hAnsi="Garamond"/>
          <w:sz w:val="22"/>
          <w:szCs w:val="22"/>
        </w:rPr>
        <w:t xml:space="preserve">, which </w:t>
      </w:r>
      <w:r w:rsidR="00FF0E29" w:rsidRPr="00626752">
        <w:rPr>
          <w:rFonts w:ascii="Garamond" w:hAnsi="Garamond"/>
          <w:sz w:val="22"/>
          <w:szCs w:val="22"/>
        </w:rPr>
        <w:t xml:space="preserve">mostly incurred </w:t>
      </w:r>
      <w:r w:rsidR="00DA09A3" w:rsidRPr="00626752">
        <w:rPr>
          <w:rFonts w:ascii="Garamond" w:hAnsi="Garamond"/>
          <w:sz w:val="22"/>
          <w:szCs w:val="22"/>
        </w:rPr>
        <w:t xml:space="preserve">the </w:t>
      </w:r>
      <w:r w:rsidR="00FF0E29" w:rsidRPr="00626752">
        <w:rPr>
          <w:rFonts w:ascii="Garamond" w:hAnsi="Garamond"/>
          <w:sz w:val="22"/>
          <w:szCs w:val="22"/>
        </w:rPr>
        <w:t xml:space="preserve">effect of expansionary </w:t>
      </w:r>
      <w:r w:rsidR="00DA09A3" w:rsidRPr="00626752">
        <w:rPr>
          <w:rFonts w:ascii="Garamond" w:hAnsi="Garamond"/>
          <w:sz w:val="22"/>
          <w:szCs w:val="22"/>
        </w:rPr>
        <w:t xml:space="preserve">monetary policy </w:t>
      </w:r>
      <w:r w:rsidR="00FF0E29" w:rsidRPr="00626752">
        <w:rPr>
          <w:rFonts w:ascii="Garamond" w:hAnsi="Garamond"/>
          <w:sz w:val="22"/>
          <w:szCs w:val="22"/>
        </w:rPr>
        <w:t xml:space="preserve">implementation and of restored </w:t>
      </w:r>
      <w:r w:rsidR="00DA09A3" w:rsidRPr="00626752">
        <w:rPr>
          <w:rFonts w:ascii="Garamond" w:hAnsi="Garamond"/>
          <w:sz w:val="22"/>
          <w:szCs w:val="22"/>
        </w:rPr>
        <w:t xml:space="preserve">growth </w:t>
      </w:r>
      <w:r w:rsidR="00FF0E29" w:rsidRPr="00626752">
        <w:rPr>
          <w:rFonts w:ascii="Garamond" w:hAnsi="Garamond"/>
          <w:sz w:val="22"/>
          <w:szCs w:val="22"/>
        </w:rPr>
        <w:t>rates in</w:t>
      </w:r>
      <w:r w:rsidR="00DA09A3" w:rsidRPr="00626752">
        <w:rPr>
          <w:rFonts w:ascii="Garamond" w:hAnsi="Garamond"/>
          <w:sz w:val="22"/>
          <w:szCs w:val="22"/>
        </w:rPr>
        <w:t xml:space="preserve"> </w:t>
      </w:r>
      <w:r w:rsidR="00343A25" w:rsidRPr="00626752">
        <w:rPr>
          <w:rFonts w:ascii="Garamond" w:hAnsi="Garamond"/>
          <w:sz w:val="22"/>
          <w:szCs w:val="22"/>
        </w:rPr>
        <w:t xml:space="preserve">remittances </w:t>
      </w:r>
      <w:r w:rsidR="00DA09A3" w:rsidRPr="00626752">
        <w:rPr>
          <w:rFonts w:ascii="Garamond" w:hAnsi="Garamond"/>
          <w:sz w:val="22"/>
          <w:szCs w:val="22"/>
        </w:rPr>
        <w:t xml:space="preserve">from abroad. It should be noted that high </w:t>
      </w:r>
      <w:r w:rsidR="00343A25" w:rsidRPr="00626752">
        <w:rPr>
          <w:rFonts w:ascii="Garamond" w:hAnsi="Garamond"/>
          <w:sz w:val="22"/>
          <w:szCs w:val="22"/>
        </w:rPr>
        <w:t xml:space="preserve">growth </w:t>
      </w:r>
      <w:r w:rsidR="00DA09A3" w:rsidRPr="00626752">
        <w:rPr>
          <w:rFonts w:ascii="Garamond" w:hAnsi="Garamond"/>
          <w:sz w:val="22"/>
          <w:szCs w:val="22"/>
        </w:rPr>
        <w:t xml:space="preserve">rates </w:t>
      </w:r>
      <w:r w:rsidR="00343A25" w:rsidRPr="00626752">
        <w:rPr>
          <w:rFonts w:ascii="Garamond" w:hAnsi="Garamond"/>
          <w:sz w:val="22"/>
          <w:szCs w:val="22"/>
        </w:rPr>
        <w:t>in import of goods also persisted in the third quarter</w:t>
      </w:r>
      <w:r w:rsidR="00DA09A3" w:rsidRPr="00626752">
        <w:rPr>
          <w:rFonts w:ascii="Garamond" w:hAnsi="Garamond"/>
          <w:sz w:val="22"/>
          <w:szCs w:val="22"/>
        </w:rPr>
        <w:t xml:space="preserve">, which </w:t>
      </w:r>
      <w:r w:rsidR="00343A25" w:rsidRPr="00626752">
        <w:rPr>
          <w:rFonts w:ascii="Garamond" w:hAnsi="Garamond"/>
          <w:sz w:val="22"/>
          <w:szCs w:val="22"/>
        </w:rPr>
        <w:t xml:space="preserve">is another </w:t>
      </w:r>
      <w:r w:rsidR="00DA09A3" w:rsidRPr="00626752">
        <w:rPr>
          <w:rFonts w:ascii="Garamond" w:hAnsi="Garamond"/>
          <w:sz w:val="22"/>
          <w:szCs w:val="22"/>
        </w:rPr>
        <w:t>indicat</w:t>
      </w:r>
      <w:r w:rsidR="00343A25" w:rsidRPr="00626752">
        <w:rPr>
          <w:rFonts w:ascii="Garamond" w:hAnsi="Garamond"/>
          <w:sz w:val="22"/>
          <w:szCs w:val="22"/>
        </w:rPr>
        <w:t xml:space="preserve">ion of </w:t>
      </w:r>
      <w:r w:rsidR="00DA09A3" w:rsidRPr="00626752">
        <w:rPr>
          <w:rFonts w:ascii="Garamond" w:hAnsi="Garamond"/>
          <w:sz w:val="22"/>
          <w:szCs w:val="22"/>
        </w:rPr>
        <w:t>the recovery of domestic demand.</w:t>
      </w:r>
    </w:p>
    <w:p w14:paraId="62AD4CEF" w14:textId="77777777" w:rsidR="00A926B6" w:rsidRPr="00626752" w:rsidRDefault="00A926B6" w:rsidP="00F40F99">
      <w:pPr>
        <w:spacing w:line="360" w:lineRule="auto"/>
        <w:jc w:val="both"/>
        <w:rPr>
          <w:rFonts w:ascii="Garamond" w:hAnsi="Garamond"/>
          <w:sz w:val="22"/>
          <w:szCs w:val="22"/>
        </w:rPr>
      </w:pPr>
    </w:p>
    <w:p w14:paraId="2D6D49F6" w14:textId="77777777" w:rsidR="00F40F99" w:rsidRPr="00626752" w:rsidRDefault="00012292" w:rsidP="00F40F99">
      <w:pPr>
        <w:spacing w:line="360" w:lineRule="auto"/>
        <w:jc w:val="both"/>
        <w:rPr>
          <w:rFonts w:ascii="Garamond" w:hAnsi="Garamond"/>
          <w:sz w:val="22"/>
          <w:szCs w:val="22"/>
        </w:rPr>
      </w:pPr>
      <w:r w:rsidRPr="00626752">
        <w:rPr>
          <w:rFonts w:ascii="Garamond" w:hAnsi="Garamond"/>
          <w:sz w:val="22"/>
          <w:szCs w:val="22"/>
        </w:rPr>
        <w:t xml:space="preserve">The Board also </w:t>
      </w:r>
      <w:r w:rsidR="0090456D" w:rsidRPr="00626752">
        <w:rPr>
          <w:rFonts w:ascii="Garamond" w:hAnsi="Garamond"/>
          <w:sz w:val="22"/>
          <w:szCs w:val="22"/>
        </w:rPr>
        <w:t xml:space="preserve">discussed </w:t>
      </w:r>
      <w:r w:rsidR="00076DC3" w:rsidRPr="00626752">
        <w:rPr>
          <w:rFonts w:ascii="Garamond" w:hAnsi="Garamond"/>
          <w:sz w:val="22"/>
          <w:szCs w:val="22"/>
        </w:rPr>
        <w:t>the external sector</w:t>
      </w:r>
      <w:r w:rsidRPr="00626752">
        <w:rPr>
          <w:rFonts w:ascii="Garamond" w:hAnsi="Garamond"/>
          <w:sz w:val="22"/>
          <w:szCs w:val="22"/>
        </w:rPr>
        <w:t xml:space="preserve"> developments, which, in line with the scenario, </w:t>
      </w:r>
      <w:r w:rsidR="00076DC3" w:rsidRPr="00626752">
        <w:rPr>
          <w:rFonts w:ascii="Garamond" w:hAnsi="Garamond"/>
          <w:sz w:val="22"/>
          <w:szCs w:val="22"/>
        </w:rPr>
        <w:t xml:space="preserve">contained trends for improved </w:t>
      </w:r>
      <w:r w:rsidRPr="00626752">
        <w:rPr>
          <w:rFonts w:ascii="Garamond" w:hAnsi="Garamond"/>
          <w:sz w:val="22"/>
          <w:szCs w:val="22"/>
        </w:rPr>
        <w:t xml:space="preserve">economic growth, </w:t>
      </w:r>
      <w:r w:rsidR="00076DC3" w:rsidRPr="00626752">
        <w:rPr>
          <w:rFonts w:ascii="Garamond" w:hAnsi="Garamond"/>
          <w:sz w:val="22"/>
          <w:szCs w:val="22"/>
        </w:rPr>
        <w:t xml:space="preserve">somehow </w:t>
      </w:r>
      <w:r w:rsidR="0090456D" w:rsidRPr="00626752">
        <w:rPr>
          <w:rFonts w:ascii="Garamond" w:hAnsi="Garamond"/>
          <w:sz w:val="22"/>
          <w:szCs w:val="22"/>
        </w:rPr>
        <w:t xml:space="preserve">accelerating the </w:t>
      </w:r>
      <w:r w:rsidR="00076DC3" w:rsidRPr="00626752">
        <w:rPr>
          <w:rFonts w:ascii="Garamond" w:hAnsi="Garamond"/>
          <w:sz w:val="22"/>
          <w:szCs w:val="22"/>
        </w:rPr>
        <w:t xml:space="preserve">external demand growth rates and the rise in prices </w:t>
      </w:r>
      <w:r w:rsidRPr="00626752">
        <w:rPr>
          <w:rFonts w:ascii="Garamond" w:hAnsi="Garamond"/>
          <w:sz w:val="22"/>
          <w:szCs w:val="22"/>
        </w:rPr>
        <w:t xml:space="preserve">in </w:t>
      </w:r>
      <w:r w:rsidR="00076DC3" w:rsidRPr="00626752">
        <w:rPr>
          <w:rFonts w:ascii="Garamond" w:hAnsi="Garamond"/>
          <w:sz w:val="22"/>
          <w:szCs w:val="22"/>
        </w:rPr>
        <w:t xml:space="preserve">the international </w:t>
      </w:r>
      <w:r w:rsidRPr="00626752">
        <w:rPr>
          <w:rFonts w:ascii="Garamond" w:hAnsi="Garamond"/>
          <w:sz w:val="22"/>
          <w:szCs w:val="22"/>
        </w:rPr>
        <w:t xml:space="preserve">commodity markets. </w:t>
      </w:r>
      <w:r w:rsidR="0090456D" w:rsidRPr="00626752">
        <w:rPr>
          <w:rFonts w:ascii="Garamond" w:hAnsi="Garamond"/>
          <w:sz w:val="22"/>
          <w:szCs w:val="22"/>
        </w:rPr>
        <w:t xml:space="preserve">Following the discussion, </w:t>
      </w:r>
      <w:r w:rsidRPr="00626752">
        <w:rPr>
          <w:rFonts w:ascii="Garamond" w:hAnsi="Garamond"/>
          <w:sz w:val="22"/>
          <w:szCs w:val="22"/>
        </w:rPr>
        <w:t xml:space="preserve">the Board </w:t>
      </w:r>
      <w:r w:rsidR="001B2700" w:rsidRPr="00626752">
        <w:rPr>
          <w:rFonts w:ascii="Garamond" w:hAnsi="Garamond"/>
          <w:sz w:val="22"/>
          <w:szCs w:val="22"/>
        </w:rPr>
        <w:t xml:space="preserve">concluded that </w:t>
      </w:r>
      <w:r w:rsidRPr="00626752">
        <w:rPr>
          <w:rFonts w:ascii="Garamond" w:hAnsi="Garamond"/>
          <w:sz w:val="22"/>
          <w:szCs w:val="22"/>
        </w:rPr>
        <w:t xml:space="preserve">these trends will be maintained in the </w:t>
      </w:r>
      <w:r w:rsidR="001B2700" w:rsidRPr="00626752">
        <w:rPr>
          <w:rFonts w:ascii="Garamond" w:hAnsi="Garamond"/>
          <w:sz w:val="22"/>
          <w:szCs w:val="22"/>
        </w:rPr>
        <w:t>up</w:t>
      </w:r>
      <w:r w:rsidRPr="00626752">
        <w:rPr>
          <w:rFonts w:ascii="Garamond" w:hAnsi="Garamond"/>
          <w:sz w:val="22"/>
          <w:szCs w:val="22"/>
        </w:rPr>
        <w:t>coming months and</w:t>
      </w:r>
      <w:r w:rsidR="000E1F26" w:rsidRPr="00626752">
        <w:rPr>
          <w:rFonts w:ascii="Garamond" w:hAnsi="Garamond"/>
          <w:sz w:val="22"/>
          <w:szCs w:val="22"/>
        </w:rPr>
        <w:t>, consequently,</w:t>
      </w:r>
      <w:r w:rsidRPr="00626752">
        <w:rPr>
          <w:rFonts w:ascii="Garamond" w:hAnsi="Garamond"/>
          <w:sz w:val="22"/>
          <w:szCs w:val="22"/>
        </w:rPr>
        <w:t xml:space="preserve"> </w:t>
      </w:r>
      <w:r w:rsidR="001B2700" w:rsidRPr="00626752">
        <w:rPr>
          <w:rFonts w:ascii="Garamond" w:hAnsi="Garamond"/>
          <w:sz w:val="22"/>
          <w:szCs w:val="22"/>
        </w:rPr>
        <w:t xml:space="preserve">certain </w:t>
      </w:r>
      <w:r w:rsidRPr="00626752">
        <w:rPr>
          <w:rFonts w:ascii="Garamond" w:hAnsi="Garamond"/>
          <w:sz w:val="22"/>
          <w:szCs w:val="22"/>
        </w:rPr>
        <w:t>inflation</w:t>
      </w:r>
      <w:r w:rsidR="001B2700" w:rsidRPr="00626752">
        <w:rPr>
          <w:rFonts w:ascii="Garamond" w:hAnsi="Garamond"/>
          <w:sz w:val="22"/>
          <w:szCs w:val="22"/>
        </w:rPr>
        <w:t>ary patterns</w:t>
      </w:r>
      <w:r w:rsidRPr="00626752">
        <w:rPr>
          <w:rFonts w:ascii="Garamond" w:hAnsi="Garamond"/>
          <w:sz w:val="22"/>
          <w:szCs w:val="22"/>
        </w:rPr>
        <w:t xml:space="preserve"> will continue </w:t>
      </w:r>
      <w:r w:rsidR="001B2700" w:rsidRPr="00626752">
        <w:rPr>
          <w:rFonts w:ascii="Garamond" w:hAnsi="Garamond"/>
          <w:sz w:val="22"/>
          <w:szCs w:val="22"/>
        </w:rPr>
        <w:t xml:space="preserve">to be observable </w:t>
      </w:r>
      <w:r w:rsidRPr="00626752">
        <w:rPr>
          <w:rFonts w:ascii="Garamond" w:hAnsi="Garamond"/>
          <w:sz w:val="22"/>
          <w:szCs w:val="22"/>
        </w:rPr>
        <w:t>in the external sector.</w:t>
      </w:r>
    </w:p>
    <w:p w14:paraId="54BB33BD" w14:textId="77777777" w:rsidR="00F40F99" w:rsidRPr="00626752" w:rsidRDefault="00F40F99" w:rsidP="00F40F99">
      <w:pPr>
        <w:spacing w:line="360" w:lineRule="auto"/>
        <w:jc w:val="both"/>
        <w:rPr>
          <w:rFonts w:ascii="Garamond" w:hAnsi="Garamond"/>
          <w:sz w:val="22"/>
          <w:szCs w:val="22"/>
        </w:rPr>
      </w:pPr>
    </w:p>
    <w:p w14:paraId="2CBCBD8B" w14:textId="2E5CAC15" w:rsidR="00F40F99" w:rsidRPr="00626752" w:rsidRDefault="00F40F99" w:rsidP="00F40F99">
      <w:pPr>
        <w:spacing w:line="360" w:lineRule="auto"/>
        <w:jc w:val="both"/>
        <w:rPr>
          <w:rFonts w:ascii="Garamond" w:hAnsi="Garamond"/>
          <w:sz w:val="22"/>
          <w:szCs w:val="22"/>
        </w:rPr>
      </w:pPr>
      <w:r w:rsidRPr="00626752">
        <w:rPr>
          <w:rFonts w:ascii="Garamond" w:hAnsi="Garamond"/>
          <w:sz w:val="22"/>
          <w:szCs w:val="22"/>
        </w:rPr>
        <w:t xml:space="preserve">The Board </w:t>
      </w:r>
      <w:r w:rsidR="003A6BEB" w:rsidRPr="00626752">
        <w:rPr>
          <w:rFonts w:ascii="Garamond" w:hAnsi="Garamond"/>
          <w:sz w:val="22"/>
          <w:szCs w:val="22"/>
        </w:rPr>
        <w:t xml:space="preserve">looked into </w:t>
      </w:r>
      <w:r w:rsidRPr="00626752">
        <w:rPr>
          <w:rFonts w:ascii="Garamond" w:hAnsi="Garamond"/>
          <w:sz w:val="22"/>
          <w:szCs w:val="22"/>
        </w:rPr>
        <w:t>the developments in</w:t>
      </w:r>
      <w:r w:rsidR="003A6BEB" w:rsidRPr="00626752">
        <w:rPr>
          <w:rFonts w:ascii="Garamond" w:hAnsi="Garamond"/>
          <w:sz w:val="22"/>
          <w:szCs w:val="22"/>
        </w:rPr>
        <w:t xml:space="preserve"> the domestic</w:t>
      </w:r>
      <w:r w:rsidRPr="00626752">
        <w:rPr>
          <w:rFonts w:ascii="Garamond" w:hAnsi="Garamond"/>
          <w:sz w:val="22"/>
          <w:szCs w:val="22"/>
        </w:rPr>
        <w:t xml:space="preserve"> financial market</w:t>
      </w:r>
      <w:r w:rsidR="003A6BEB" w:rsidRPr="00626752">
        <w:rPr>
          <w:rFonts w:ascii="Garamond" w:hAnsi="Garamond"/>
          <w:sz w:val="22"/>
          <w:szCs w:val="22"/>
        </w:rPr>
        <w:t xml:space="preserve">, admitting that an expansionary monetary policy implemented by the Central Bank has given way for short-term market rates to further decline, </w:t>
      </w:r>
      <w:proofErr w:type="spellStart"/>
      <w:r w:rsidR="00522F8F" w:rsidRPr="00626752">
        <w:rPr>
          <w:rFonts w:ascii="Garamond" w:hAnsi="Garamond"/>
          <w:sz w:val="22"/>
          <w:szCs w:val="22"/>
        </w:rPr>
        <w:t>fuelled</w:t>
      </w:r>
      <w:proofErr w:type="spellEnd"/>
      <w:r w:rsidR="00522F8F" w:rsidRPr="00626752">
        <w:rPr>
          <w:rFonts w:ascii="Garamond" w:hAnsi="Garamond"/>
          <w:sz w:val="22"/>
          <w:szCs w:val="22"/>
        </w:rPr>
        <w:t xml:space="preserve"> also by a</w:t>
      </w:r>
      <w:r w:rsidR="003A6BEB" w:rsidRPr="00626752">
        <w:rPr>
          <w:rFonts w:ascii="Garamond" w:hAnsi="Garamond"/>
          <w:sz w:val="22"/>
          <w:szCs w:val="22"/>
        </w:rPr>
        <w:t xml:space="preserve"> high level of excess liquidity in the banking system. In </w:t>
      </w:r>
      <w:r w:rsidR="00522F8F" w:rsidRPr="00626752">
        <w:rPr>
          <w:rFonts w:ascii="Garamond" w:hAnsi="Garamond"/>
          <w:sz w:val="22"/>
          <w:szCs w:val="22"/>
        </w:rPr>
        <w:t>such a</w:t>
      </w:r>
      <w:r w:rsidR="003A6BEB" w:rsidRPr="00626752">
        <w:rPr>
          <w:rFonts w:ascii="Garamond" w:hAnsi="Garamond"/>
          <w:sz w:val="22"/>
          <w:szCs w:val="22"/>
        </w:rPr>
        <w:t xml:space="preserve"> situation, the C</w:t>
      </w:r>
      <w:r w:rsidR="00522F8F" w:rsidRPr="00626752">
        <w:rPr>
          <w:rFonts w:ascii="Garamond" w:hAnsi="Garamond"/>
          <w:sz w:val="22"/>
          <w:szCs w:val="22"/>
        </w:rPr>
        <w:t xml:space="preserve">entral </w:t>
      </w:r>
      <w:r w:rsidR="003A6BEB" w:rsidRPr="00626752">
        <w:rPr>
          <w:rFonts w:ascii="Garamond" w:hAnsi="Garamond"/>
          <w:sz w:val="22"/>
          <w:szCs w:val="22"/>
        </w:rPr>
        <w:t>B</w:t>
      </w:r>
      <w:r w:rsidR="00522F8F" w:rsidRPr="00626752">
        <w:rPr>
          <w:rFonts w:ascii="Garamond" w:hAnsi="Garamond"/>
          <w:sz w:val="22"/>
          <w:szCs w:val="22"/>
        </w:rPr>
        <w:t>ank</w:t>
      </w:r>
      <w:r w:rsidR="003A6BEB" w:rsidRPr="00626752">
        <w:rPr>
          <w:rFonts w:ascii="Garamond" w:hAnsi="Garamond"/>
          <w:sz w:val="22"/>
          <w:szCs w:val="22"/>
        </w:rPr>
        <w:t xml:space="preserve"> </w:t>
      </w:r>
      <w:r w:rsidR="00522F8F" w:rsidRPr="00626752">
        <w:rPr>
          <w:rFonts w:ascii="Garamond" w:hAnsi="Garamond"/>
          <w:sz w:val="22"/>
          <w:szCs w:val="22"/>
        </w:rPr>
        <w:t xml:space="preserve">has </w:t>
      </w:r>
      <w:proofErr w:type="gramStart"/>
      <w:r w:rsidR="00522F8F" w:rsidRPr="00626752">
        <w:rPr>
          <w:rFonts w:ascii="Garamond" w:hAnsi="Garamond"/>
          <w:sz w:val="22"/>
          <w:szCs w:val="22"/>
        </w:rPr>
        <w:t xml:space="preserve">decided </w:t>
      </w:r>
      <w:r w:rsidR="008273D4">
        <w:rPr>
          <w:rFonts w:ascii="Garamond" w:hAnsi="Garamond"/>
          <w:sz w:val="22"/>
          <w:szCs w:val="22"/>
        </w:rPr>
        <w:t xml:space="preserve"> to</w:t>
      </w:r>
      <w:proofErr w:type="gramEnd"/>
      <w:r w:rsidR="008273D4">
        <w:rPr>
          <w:rFonts w:ascii="Garamond" w:hAnsi="Garamond"/>
          <w:sz w:val="22"/>
          <w:szCs w:val="22"/>
        </w:rPr>
        <w:t xml:space="preserve"> correct the</w:t>
      </w:r>
      <w:r w:rsidR="00522F8F" w:rsidRPr="00626752">
        <w:rPr>
          <w:rFonts w:ascii="Garamond" w:hAnsi="Garamond"/>
          <w:sz w:val="22"/>
          <w:szCs w:val="22"/>
        </w:rPr>
        <w:t xml:space="preserve"> </w:t>
      </w:r>
      <w:r w:rsidR="003A6BEB" w:rsidRPr="00626752">
        <w:rPr>
          <w:rFonts w:ascii="Garamond" w:hAnsi="Garamond"/>
          <w:sz w:val="22"/>
          <w:szCs w:val="22"/>
        </w:rPr>
        <w:t>toolkit</w:t>
      </w:r>
      <w:r w:rsidR="00522F8F" w:rsidRPr="00626752">
        <w:rPr>
          <w:rFonts w:ascii="Garamond" w:hAnsi="Garamond"/>
          <w:sz w:val="22"/>
          <w:szCs w:val="22"/>
        </w:rPr>
        <w:t xml:space="preserve">, in </w:t>
      </w:r>
      <w:r w:rsidR="003A6BEB" w:rsidRPr="00626752">
        <w:rPr>
          <w:rFonts w:ascii="Garamond" w:hAnsi="Garamond"/>
          <w:sz w:val="22"/>
          <w:szCs w:val="22"/>
        </w:rPr>
        <w:t>co</w:t>
      </w:r>
      <w:r w:rsidR="00522F8F" w:rsidRPr="00626752">
        <w:rPr>
          <w:rFonts w:ascii="Garamond" w:hAnsi="Garamond"/>
          <w:sz w:val="22"/>
          <w:szCs w:val="22"/>
        </w:rPr>
        <w:t xml:space="preserve">ncert with public debt management by the Republic of Armenia </w:t>
      </w:r>
      <w:r w:rsidR="003A6BEB" w:rsidRPr="00626752">
        <w:rPr>
          <w:rFonts w:ascii="Garamond" w:hAnsi="Garamond"/>
          <w:sz w:val="22"/>
          <w:szCs w:val="22"/>
        </w:rPr>
        <w:t>Ministry of Finance</w:t>
      </w:r>
      <w:r w:rsidR="00522F8F" w:rsidRPr="00626752">
        <w:rPr>
          <w:rFonts w:ascii="Garamond" w:hAnsi="Garamond"/>
          <w:sz w:val="22"/>
          <w:szCs w:val="22"/>
        </w:rPr>
        <w:t>, in order to absorb the excess</w:t>
      </w:r>
      <w:r w:rsidR="003A6BEB" w:rsidRPr="00626752">
        <w:rPr>
          <w:rFonts w:ascii="Garamond" w:hAnsi="Garamond"/>
          <w:sz w:val="22"/>
          <w:szCs w:val="22"/>
        </w:rPr>
        <w:t xml:space="preserve"> liquidity</w:t>
      </w:r>
      <w:r w:rsidR="00FC26C8" w:rsidRPr="00626752">
        <w:rPr>
          <w:rFonts w:ascii="Garamond" w:hAnsi="Garamond"/>
          <w:sz w:val="22"/>
          <w:szCs w:val="22"/>
        </w:rPr>
        <w:t>,</w:t>
      </w:r>
      <w:r w:rsidR="00522F8F" w:rsidRPr="00626752">
        <w:rPr>
          <w:rFonts w:ascii="Garamond" w:hAnsi="Garamond"/>
          <w:sz w:val="22"/>
          <w:szCs w:val="22"/>
        </w:rPr>
        <w:t xml:space="preserve"> thus</w:t>
      </w:r>
      <w:r w:rsidR="003A6BEB" w:rsidRPr="00626752">
        <w:rPr>
          <w:rFonts w:ascii="Garamond" w:hAnsi="Garamond"/>
          <w:sz w:val="22"/>
          <w:szCs w:val="22"/>
        </w:rPr>
        <w:t xml:space="preserve"> </w:t>
      </w:r>
      <w:r w:rsidR="00522F8F" w:rsidRPr="00626752">
        <w:rPr>
          <w:rFonts w:ascii="Garamond" w:hAnsi="Garamond"/>
          <w:sz w:val="22"/>
          <w:szCs w:val="22"/>
        </w:rPr>
        <w:t xml:space="preserve">making </w:t>
      </w:r>
      <w:r w:rsidR="003A6BEB" w:rsidRPr="00626752">
        <w:rPr>
          <w:rFonts w:ascii="Garamond" w:hAnsi="Garamond"/>
          <w:sz w:val="22"/>
          <w:szCs w:val="22"/>
        </w:rPr>
        <w:t xml:space="preserve">interest rates to </w:t>
      </w:r>
      <w:r w:rsidR="00DA5925" w:rsidRPr="00626752">
        <w:rPr>
          <w:rFonts w:ascii="Garamond" w:hAnsi="Garamond"/>
          <w:sz w:val="22"/>
          <w:szCs w:val="22"/>
        </w:rPr>
        <w:t>return to the level of the P</w:t>
      </w:r>
      <w:r w:rsidR="003A6BEB" w:rsidRPr="00626752">
        <w:rPr>
          <w:rFonts w:ascii="Garamond" w:hAnsi="Garamond"/>
          <w:sz w:val="22"/>
          <w:szCs w:val="22"/>
        </w:rPr>
        <w:t xml:space="preserve">olicy </w:t>
      </w:r>
      <w:r w:rsidR="00DA5925" w:rsidRPr="00626752">
        <w:rPr>
          <w:rFonts w:ascii="Garamond" w:hAnsi="Garamond"/>
          <w:sz w:val="22"/>
          <w:szCs w:val="22"/>
        </w:rPr>
        <w:t>R</w:t>
      </w:r>
      <w:r w:rsidR="003A6BEB" w:rsidRPr="00626752">
        <w:rPr>
          <w:rFonts w:ascii="Garamond" w:hAnsi="Garamond"/>
          <w:sz w:val="22"/>
          <w:szCs w:val="22"/>
        </w:rPr>
        <w:t>ate</w:t>
      </w:r>
      <w:r w:rsidR="00522F8F" w:rsidRPr="00626752">
        <w:rPr>
          <w:rFonts w:ascii="Garamond" w:hAnsi="Garamond"/>
          <w:sz w:val="22"/>
          <w:szCs w:val="22"/>
        </w:rPr>
        <w:t xml:space="preserve"> in October-November of 2017</w:t>
      </w:r>
      <w:r w:rsidR="003A6BEB" w:rsidRPr="00626752">
        <w:rPr>
          <w:rFonts w:ascii="Garamond" w:hAnsi="Garamond"/>
          <w:sz w:val="22"/>
          <w:szCs w:val="22"/>
        </w:rPr>
        <w:t xml:space="preserve">. </w:t>
      </w:r>
    </w:p>
    <w:p w14:paraId="5FC035D7" w14:textId="77777777" w:rsidR="00CE7257" w:rsidRPr="00626752" w:rsidRDefault="00CE7257" w:rsidP="00F40F99">
      <w:pPr>
        <w:spacing w:line="360" w:lineRule="auto"/>
        <w:jc w:val="both"/>
        <w:rPr>
          <w:rFonts w:ascii="Garamond" w:hAnsi="Garamond"/>
          <w:sz w:val="22"/>
          <w:szCs w:val="22"/>
        </w:rPr>
      </w:pPr>
    </w:p>
    <w:p w14:paraId="6BDE69B8" w14:textId="344262E4" w:rsidR="00F40F99" w:rsidRPr="00626752" w:rsidRDefault="00F40F99" w:rsidP="00F40F99">
      <w:pPr>
        <w:spacing w:line="360" w:lineRule="auto"/>
        <w:jc w:val="both"/>
        <w:rPr>
          <w:rFonts w:ascii="Garamond" w:hAnsi="Garamond"/>
          <w:sz w:val="22"/>
          <w:szCs w:val="22"/>
        </w:rPr>
      </w:pPr>
      <w:r w:rsidRPr="00626752">
        <w:rPr>
          <w:rFonts w:ascii="Garamond" w:hAnsi="Garamond"/>
          <w:sz w:val="22"/>
          <w:szCs w:val="22"/>
        </w:rPr>
        <w:t xml:space="preserve">Following presentation of the Situation Report and the developments in external and domestic macroeconomic environments, the Board began </w:t>
      </w:r>
      <w:r w:rsidR="0092736C" w:rsidRPr="00626752">
        <w:rPr>
          <w:rFonts w:ascii="Garamond" w:hAnsi="Garamond"/>
          <w:sz w:val="22"/>
          <w:szCs w:val="22"/>
        </w:rPr>
        <w:t xml:space="preserve">addressing </w:t>
      </w:r>
      <w:r w:rsidRPr="00626752">
        <w:rPr>
          <w:rFonts w:ascii="Garamond" w:hAnsi="Garamond"/>
          <w:sz w:val="22"/>
          <w:szCs w:val="22"/>
        </w:rPr>
        <w:t xml:space="preserve">the monetary policy directions and </w:t>
      </w:r>
      <w:r w:rsidR="0092736C" w:rsidRPr="00626752">
        <w:rPr>
          <w:rFonts w:ascii="Garamond" w:hAnsi="Garamond"/>
          <w:sz w:val="22"/>
          <w:szCs w:val="22"/>
        </w:rPr>
        <w:t xml:space="preserve">making decision on </w:t>
      </w:r>
      <w:r w:rsidRPr="00626752">
        <w:rPr>
          <w:rFonts w:ascii="Garamond" w:hAnsi="Garamond"/>
          <w:sz w:val="22"/>
          <w:szCs w:val="22"/>
        </w:rPr>
        <w:t xml:space="preserve">the interest rate. </w:t>
      </w:r>
      <w:r w:rsidR="00942E03" w:rsidRPr="00626752">
        <w:rPr>
          <w:rFonts w:ascii="Garamond" w:hAnsi="Garamond"/>
          <w:sz w:val="22"/>
          <w:szCs w:val="22"/>
        </w:rPr>
        <w:t xml:space="preserve">Two options were on the table – to leave the refinancing rate unchanged and to raise it by 0.25 pp. </w:t>
      </w:r>
      <w:r w:rsidR="000B2925" w:rsidRPr="00626752">
        <w:rPr>
          <w:rFonts w:ascii="Garamond" w:hAnsi="Garamond"/>
          <w:sz w:val="22"/>
          <w:szCs w:val="22"/>
        </w:rPr>
        <w:t xml:space="preserve">The Board noted that although </w:t>
      </w:r>
      <w:r w:rsidR="00942E03" w:rsidRPr="00626752">
        <w:rPr>
          <w:rFonts w:ascii="Garamond" w:hAnsi="Garamond"/>
          <w:sz w:val="22"/>
          <w:szCs w:val="22"/>
        </w:rPr>
        <w:t>inflation expectations and inflation</w:t>
      </w:r>
      <w:r w:rsidR="000B2925" w:rsidRPr="00626752">
        <w:rPr>
          <w:rFonts w:ascii="Garamond" w:hAnsi="Garamond"/>
          <w:sz w:val="22"/>
          <w:szCs w:val="22"/>
        </w:rPr>
        <w:t xml:space="preserve"> risks came in </w:t>
      </w:r>
      <w:r w:rsidR="00942E03" w:rsidRPr="00626752">
        <w:rPr>
          <w:rFonts w:ascii="Garamond" w:hAnsi="Garamond"/>
          <w:sz w:val="22"/>
          <w:szCs w:val="22"/>
        </w:rPr>
        <w:t>somewhat intensif</w:t>
      </w:r>
      <w:r w:rsidR="000B2925" w:rsidRPr="00626752">
        <w:rPr>
          <w:rFonts w:ascii="Garamond" w:hAnsi="Garamond"/>
          <w:sz w:val="22"/>
          <w:szCs w:val="22"/>
        </w:rPr>
        <w:t>ied</w:t>
      </w:r>
      <w:r w:rsidR="00942E03" w:rsidRPr="00626752">
        <w:rPr>
          <w:rFonts w:ascii="Garamond" w:hAnsi="Garamond"/>
          <w:sz w:val="22"/>
          <w:szCs w:val="22"/>
        </w:rPr>
        <w:t xml:space="preserve">, it </w:t>
      </w:r>
      <w:r w:rsidR="000B2925" w:rsidRPr="00626752">
        <w:rPr>
          <w:rFonts w:ascii="Garamond" w:hAnsi="Garamond"/>
          <w:sz w:val="22"/>
          <w:szCs w:val="22"/>
        </w:rPr>
        <w:t>wa</w:t>
      </w:r>
      <w:r w:rsidR="00942E03" w:rsidRPr="00626752">
        <w:rPr>
          <w:rFonts w:ascii="Garamond" w:hAnsi="Garamond"/>
          <w:sz w:val="22"/>
          <w:szCs w:val="22"/>
        </w:rPr>
        <w:t xml:space="preserve">s still appropriate to </w:t>
      </w:r>
      <w:r w:rsidR="000B2925" w:rsidRPr="00626752">
        <w:rPr>
          <w:rFonts w:ascii="Garamond" w:hAnsi="Garamond"/>
          <w:sz w:val="22"/>
          <w:szCs w:val="22"/>
        </w:rPr>
        <w:t xml:space="preserve">keep </w:t>
      </w:r>
      <w:r w:rsidR="00942E03" w:rsidRPr="00626752">
        <w:rPr>
          <w:rFonts w:ascii="Garamond" w:hAnsi="Garamond"/>
          <w:sz w:val="22"/>
          <w:szCs w:val="22"/>
        </w:rPr>
        <w:t xml:space="preserve">the policy </w:t>
      </w:r>
      <w:r w:rsidR="000B2925" w:rsidRPr="00626752">
        <w:rPr>
          <w:rFonts w:ascii="Garamond" w:hAnsi="Garamond"/>
          <w:sz w:val="22"/>
          <w:szCs w:val="22"/>
        </w:rPr>
        <w:t xml:space="preserve">rate </w:t>
      </w:r>
      <w:r w:rsidR="00942E03" w:rsidRPr="00626752">
        <w:rPr>
          <w:rFonts w:ascii="Garamond" w:hAnsi="Garamond"/>
          <w:sz w:val="22"/>
          <w:szCs w:val="22"/>
        </w:rPr>
        <w:t xml:space="preserve">unchanged, </w:t>
      </w:r>
      <w:r w:rsidR="000B2925" w:rsidRPr="00626752">
        <w:rPr>
          <w:rFonts w:ascii="Garamond" w:hAnsi="Garamond"/>
          <w:sz w:val="22"/>
          <w:szCs w:val="22"/>
        </w:rPr>
        <w:t xml:space="preserve">leaving </w:t>
      </w:r>
      <w:proofErr w:type="gramStart"/>
      <w:r w:rsidR="000B2925" w:rsidRPr="00626752">
        <w:rPr>
          <w:rFonts w:ascii="Garamond" w:hAnsi="Garamond"/>
          <w:sz w:val="22"/>
          <w:szCs w:val="22"/>
        </w:rPr>
        <w:t xml:space="preserve">it </w:t>
      </w:r>
      <w:r w:rsidR="00BB3812">
        <w:rPr>
          <w:rFonts w:ascii="Garamond" w:hAnsi="Garamond"/>
          <w:sz w:val="22"/>
          <w:szCs w:val="22"/>
        </w:rPr>
        <w:t xml:space="preserve"> expansive</w:t>
      </w:r>
      <w:proofErr w:type="gramEnd"/>
      <w:r w:rsidR="000B2925" w:rsidRPr="00626752">
        <w:rPr>
          <w:rFonts w:ascii="Garamond" w:hAnsi="Garamond"/>
          <w:sz w:val="22"/>
          <w:szCs w:val="22"/>
        </w:rPr>
        <w:t>,</w:t>
      </w:r>
      <w:r w:rsidR="00942E03" w:rsidRPr="00626752">
        <w:rPr>
          <w:rFonts w:ascii="Garamond" w:hAnsi="Garamond"/>
          <w:sz w:val="22"/>
          <w:szCs w:val="22"/>
        </w:rPr>
        <w:t xml:space="preserve"> and </w:t>
      </w:r>
      <w:r w:rsidR="000B2925" w:rsidRPr="00626752">
        <w:rPr>
          <w:rFonts w:ascii="Garamond" w:hAnsi="Garamond"/>
          <w:sz w:val="22"/>
          <w:szCs w:val="22"/>
        </w:rPr>
        <w:t>to give signal to</w:t>
      </w:r>
      <w:r w:rsidR="00B607BF" w:rsidRPr="00626752">
        <w:rPr>
          <w:rFonts w:ascii="Garamond" w:hAnsi="Garamond"/>
          <w:sz w:val="22"/>
          <w:szCs w:val="22"/>
        </w:rPr>
        <w:t xml:space="preserve"> the financial market about the need for gradual increase in interest rates </w:t>
      </w:r>
      <w:r w:rsidR="00942E03" w:rsidRPr="00626752">
        <w:rPr>
          <w:rFonts w:ascii="Garamond" w:hAnsi="Garamond"/>
          <w:sz w:val="22"/>
          <w:szCs w:val="22"/>
        </w:rPr>
        <w:t xml:space="preserve">in </w:t>
      </w:r>
      <w:r w:rsidR="00B607BF" w:rsidRPr="00626752">
        <w:rPr>
          <w:rFonts w:ascii="Garamond" w:hAnsi="Garamond"/>
          <w:sz w:val="22"/>
          <w:szCs w:val="22"/>
        </w:rPr>
        <w:t>the future</w:t>
      </w:r>
      <w:r w:rsidR="00942E03" w:rsidRPr="00626752">
        <w:rPr>
          <w:rFonts w:ascii="Garamond" w:hAnsi="Garamond"/>
          <w:sz w:val="22"/>
          <w:szCs w:val="22"/>
        </w:rPr>
        <w:t xml:space="preserve">. As a result, the </w:t>
      </w:r>
      <w:r w:rsidR="00942E03" w:rsidRPr="00626752">
        <w:rPr>
          <w:rFonts w:ascii="Garamond" w:hAnsi="Garamond"/>
          <w:b/>
          <w:sz w:val="22"/>
          <w:szCs w:val="22"/>
        </w:rPr>
        <w:t>12-month inflation</w:t>
      </w:r>
      <w:r w:rsidR="00B607BF" w:rsidRPr="00626752">
        <w:rPr>
          <w:rFonts w:ascii="Garamond" w:hAnsi="Garamond"/>
          <w:b/>
          <w:sz w:val="22"/>
          <w:szCs w:val="22"/>
        </w:rPr>
        <w:t xml:space="preserve"> rate</w:t>
      </w:r>
      <w:r w:rsidR="00942E03" w:rsidRPr="00626752">
        <w:rPr>
          <w:rFonts w:ascii="Garamond" w:hAnsi="Garamond"/>
          <w:sz w:val="22"/>
          <w:szCs w:val="22"/>
        </w:rPr>
        <w:t xml:space="preserve"> will enter the </w:t>
      </w:r>
      <w:r w:rsidR="00B607BF" w:rsidRPr="00626752">
        <w:rPr>
          <w:rFonts w:ascii="Garamond" w:hAnsi="Garamond"/>
          <w:sz w:val="22"/>
          <w:szCs w:val="22"/>
        </w:rPr>
        <w:t xml:space="preserve">confidence band by </w:t>
      </w:r>
      <w:r w:rsidR="00942E03" w:rsidRPr="00626752">
        <w:rPr>
          <w:rFonts w:ascii="Garamond" w:hAnsi="Garamond"/>
          <w:sz w:val="22"/>
          <w:szCs w:val="22"/>
        </w:rPr>
        <w:t xml:space="preserve">the </w:t>
      </w:r>
      <w:r w:rsidR="00B607BF" w:rsidRPr="00626752">
        <w:rPr>
          <w:rFonts w:ascii="Garamond" w:hAnsi="Garamond"/>
          <w:sz w:val="22"/>
          <w:szCs w:val="22"/>
        </w:rPr>
        <w:t xml:space="preserve">end of the </w:t>
      </w:r>
      <w:r w:rsidR="00942E03" w:rsidRPr="00626752">
        <w:rPr>
          <w:rFonts w:ascii="Garamond" w:hAnsi="Garamond"/>
          <w:sz w:val="22"/>
          <w:szCs w:val="22"/>
        </w:rPr>
        <w:t>year</w:t>
      </w:r>
      <w:r w:rsidR="00B607BF" w:rsidRPr="00626752">
        <w:rPr>
          <w:rFonts w:ascii="Garamond" w:hAnsi="Garamond"/>
          <w:sz w:val="22"/>
          <w:szCs w:val="22"/>
        </w:rPr>
        <w:t>;</w:t>
      </w:r>
      <w:r w:rsidR="00942E03" w:rsidRPr="00626752">
        <w:rPr>
          <w:rFonts w:ascii="Garamond" w:hAnsi="Garamond"/>
          <w:sz w:val="22"/>
          <w:szCs w:val="22"/>
        </w:rPr>
        <w:t xml:space="preserve"> </w:t>
      </w:r>
      <w:r w:rsidR="00B607BF" w:rsidRPr="00626752">
        <w:rPr>
          <w:rFonts w:ascii="Garamond" w:hAnsi="Garamond"/>
          <w:sz w:val="22"/>
          <w:szCs w:val="22"/>
        </w:rPr>
        <w:t xml:space="preserve">it </w:t>
      </w:r>
      <w:r w:rsidR="00942E03" w:rsidRPr="00626752">
        <w:rPr>
          <w:rFonts w:ascii="Garamond" w:hAnsi="Garamond"/>
          <w:sz w:val="22"/>
          <w:szCs w:val="22"/>
        </w:rPr>
        <w:t xml:space="preserve">will exceed the 4% </w:t>
      </w:r>
      <w:r w:rsidR="00B607BF" w:rsidRPr="00626752">
        <w:rPr>
          <w:rFonts w:ascii="Garamond" w:hAnsi="Garamond"/>
          <w:sz w:val="22"/>
          <w:szCs w:val="22"/>
        </w:rPr>
        <w:t xml:space="preserve">target starting from </w:t>
      </w:r>
      <w:r w:rsidR="00942E03" w:rsidRPr="00626752">
        <w:rPr>
          <w:rFonts w:ascii="Garamond" w:hAnsi="Garamond"/>
          <w:sz w:val="22"/>
          <w:szCs w:val="22"/>
        </w:rPr>
        <w:t xml:space="preserve">2018, and only at the end of the forecast horizon will stabilize around the average </w:t>
      </w:r>
      <w:r w:rsidR="00B607BF" w:rsidRPr="00626752">
        <w:rPr>
          <w:rFonts w:ascii="Garamond" w:hAnsi="Garamond"/>
          <w:sz w:val="22"/>
          <w:szCs w:val="22"/>
        </w:rPr>
        <w:t>inflation</w:t>
      </w:r>
      <w:r w:rsidR="00942E03" w:rsidRPr="00626752">
        <w:rPr>
          <w:rFonts w:ascii="Garamond" w:hAnsi="Garamond"/>
          <w:sz w:val="22"/>
          <w:szCs w:val="22"/>
        </w:rPr>
        <w:t>.</w:t>
      </w:r>
      <w:r w:rsidRPr="00626752">
        <w:rPr>
          <w:rFonts w:ascii="Garamond" w:hAnsi="Garamond"/>
          <w:sz w:val="22"/>
          <w:szCs w:val="22"/>
        </w:rPr>
        <w:t xml:space="preserve"> </w:t>
      </w:r>
    </w:p>
    <w:p w14:paraId="4E8AB845" w14:textId="77777777" w:rsidR="00CE7257" w:rsidRPr="00626752" w:rsidRDefault="00CE7257" w:rsidP="00F40F99">
      <w:pPr>
        <w:spacing w:line="360" w:lineRule="auto"/>
        <w:jc w:val="both"/>
        <w:rPr>
          <w:rFonts w:ascii="Garamond" w:hAnsi="Garamond"/>
          <w:sz w:val="22"/>
          <w:szCs w:val="22"/>
        </w:rPr>
      </w:pPr>
    </w:p>
    <w:p w14:paraId="3ACC15CB" w14:textId="77777777" w:rsidR="00CE7257" w:rsidRPr="00626752" w:rsidRDefault="00CE7257" w:rsidP="00F40F99">
      <w:pPr>
        <w:spacing w:line="360" w:lineRule="auto"/>
        <w:jc w:val="both"/>
        <w:rPr>
          <w:rFonts w:ascii="Garamond" w:hAnsi="Garamond"/>
          <w:sz w:val="22"/>
          <w:szCs w:val="22"/>
        </w:rPr>
      </w:pPr>
      <w:r w:rsidRPr="00626752">
        <w:rPr>
          <w:rFonts w:ascii="Garamond" w:hAnsi="Garamond"/>
          <w:sz w:val="22"/>
          <w:szCs w:val="22"/>
        </w:rPr>
        <w:t>Al</w:t>
      </w:r>
      <w:r w:rsidR="00872DDC" w:rsidRPr="00626752">
        <w:rPr>
          <w:rFonts w:ascii="Garamond" w:hAnsi="Garamond"/>
          <w:sz w:val="22"/>
          <w:szCs w:val="22"/>
        </w:rPr>
        <w:t>beit</w:t>
      </w:r>
      <w:r w:rsidRPr="00626752">
        <w:rPr>
          <w:rFonts w:ascii="Garamond" w:hAnsi="Garamond"/>
          <w:sz w:val="22"/>
          <w:szCs w:val="22"/>
        </w:rPr>
        <w:t xml:space="preserve"> </w:t>
      </w:r>
      <w:r w:rsidR="00872DDC" w:rsidRPr="00626752">
        <w:rPr>
          <w:rFonts w:ascii="Garamond" w:hAnsi="Garamond"/>
          <w:sz w:val="22"/>
          <w:szCs w:val="22"/>
        </w:rPr>
        <w:t xml:space="preserve">still low in the short-term, the risks to </w:t>
      </w:r>
      <w:r w:rsidRPr="00626752">
        <w:rPr>
          <w:rFonts w:ascii="Garamond" w:hAnsi="Garamond"/>
          <w:sz w:val="22"/>
          <w:szCs w:val="22"/>
        </w:rPr>
        <w:t>inflation</w:t>
      </w:r>
      <w:r w:rsidR="00872DDC" w:rsidRPr="00626752">
        <w:rPr>
          <w:rFonts w:ascii="Garamond" w:hAnsi="Garamond"/>
          <w:sz w:val="22"/>
          <w:szCs w:val="22"/>
        </w:rPr>
        <w:t xml:space="preserve"> trend </w:t>
      </w:r>
      <w:r w:rsidRPr="00626752">
        <w:rPr>
          <w:rFonts w:ascii="Garamond" w:hAnsi="Garamond"/>
          <w:sz w:val="22"/>
          <w:szCs w:val="22"/>
        </w:rPr>
        <w:t>substantially upward</w:t>
      </w:r>
      <w:r w:rsidR="00872DDC" w:rsidRPr="00626752">
        <w:rPr>
          <w:rFonts w:ascii="Garamond" w:hAnsi="Garamond"/>
          <w:sz w:val="22"/>
          <w:szCs w:val="22"/>
        </w:rPr>
        <w:t xml:space="preserve"> in the medium run</w:t>
      </w:r>
      <w:r w:rsidRPr="00626752">
        <w:rPr>
          <w:rFonts w:ascii="Garamond" w:hAnsi="Garamond"/>
          <w:sz w:val="22"/>
          <w:szCs w:val="22"/>
        </w:rPr>
        <w:t xml:space="preserve">, </w:t>
      </w:r>
      <w:r w:rsidR="00872DDC" w:rsidRPr="00626752">
        <w:rPr>
          <w:rFonts w:ascii="Garamond" w:hAnsi="Garamond"/>
          <w:sz w:val="22"/>
          <w:szCs w:val="22"/>
        </w:rPr>
        <w:t xml:space="preserve">and should they materialize, a tougher policy would be </w:t>
      </w:r>
      <w:r w:rsidRPr="00626752">
        <w:rPr>
          <w:rFonts w:ascii="Garamond" w:hAnsi="Garamond"/>
          <w:sz w:val="22"/>
          <w:szCs w:val="22"/>
        </w:rPr>
        <w:t>require</w:t>
      </w:r>
      <w:r w:rsidR="00872DDC" w:rsidRPr="00626752">
        <w:rPr>
          <w:rFonts w:ascii="Garamond" w:hAnsi="Garamond"/>
          <w:sz w:val="22"/>
          <w:szCs w:val="22"/>
        </w:rPr>
        <w:t>d</w:t>
      </w:r>
      <w:r w:rsidRPr="00626752">
        <w:rPr>
          <w:rFonts w:ascii="Garamond" w:hAnsi="Garamond"/>
          <w:sz w:val="22"/>
          <w:szCs w:val="22"/>
        </w:rPr>
        <w:t>.</w:t>
      </w:r>
    </w:p>
    <w:p w14:paraId="426CE7B6" w14:textId="77777777" w:rsidR="00F40F99" w:rsidRPr="00626752" w:rsidRDefault="00F40F99" w:rsidP="00F40F99">
      <w:pPr>
        <w:spacing w:line="360" w:lineRule="auto"/>
        <w:jc w:val="both"/>
        <w:rPr>
          <w:rFonts w:ascii="Garamond" w:hAnsi="Garamond"/>
          <w:sz w:val="22"/>
          <w:szCs w:val="22"/>
        </w:rPr>
      </w:pPr>
    </w:p>
    <w:p w14:paraId="6701F839" w14:textId="77777777" w:rsidR="00F40F99" w:rsidRPr="00626752" w:rsidRDefault="00F40F99" w:rsidP="00F40F99">
      <w:pPr>
        <w:spacing w:line="360" w:lineRule="auto"/>
        <w:jc w:val="both"/>
        <w:rPr>
          <w:rFonts w:ascii="Garamond" w:hAnsi="Garamond"/>
          <w:sz w:val="22"/>
          <w:szCs w:val="22"/>
        </w:rPr>
      </w:pPr>
      <w:r w:rsidRPr="00626752">
        <w:rPr>
          <w:rFonts w:ascii="Garamond" w:hAnsi="Garamond"/>
          <w:sz w:val="22"/>
          <w:szCs w:val="22"/>
        </w:rPr>
        <w:t>The Board approved the decision on interest rates of monetary instruments of the Central Bank and the proposed press release, which are attached hereto.</w:t>
      </w:r>
    </w:p>
    <w:p w14:paraId="519C8B02" w14:textId="77777777" w:rsidR="00F40F99" w:rsidRDefault="00F40F99" w:rsidP="00F40F99">
      <w:pPr>
        <w:spacing w:line="360" w:lineRule="auto"/>
        <w:jc w:val="center"/>
        <w:rPr>
          <w:rFonts w:ascii="Garamond" w:hAnsi="Garamond"/>
          <w:b/>
          <w:sz w:val="22"/>
          <w:szCs w:val="22"/>
        </w:rPr>
      </w:pPr>
    </w:p>
    <w:p w14:paraId="7D8D9F91" w14:textId="77777777" w:rsidR="00D21F21" w:rsidRDefault="00D21F21" w:rsidP="00F40F99">
      <w:pPr>
        <w:spacing w:line="360" w:lineRule="auto"/>
        <w:jc w:val="center"/>
        <w:rPr>
          <w:rFonts w:ascii="Garamond" w:hAnsi="Garamond"/>
          <w:b/>
          <w:sz w:val="22"/>
          <w:szCs w:val="22"/>
        </w:rPr>
      </w:pPr>
    </w:p>
    <w:p w14:paraId="3D2F87B2" w14:textId="77777777" w:rsidR="00D21F21" w:rsidRDefault="00D21F21" w:rsidP="00F40F99">
      <w:pPr>
        <w:spacing w:line="360" w:lineRule="auto"/>
        <w:jc w:val="center"/>
        <w:rPr>
          <w:rFonts w:ascii="Garamond" w:hAnsi="Garamond"/>
          <w:b/>
          <w:sz w:val="22"/>
          <w:szCs w:val="22"/>
        </w:rPr>
      </w:pPr>
    </w:p>
    <w:p w14:paraId="6375819E" w14:textId="77777777" w:rsidR="00D21F21" w:rsidRDefault="00D21F21" w:rsidP="00F40F99">
      <w:pPr>
        <w:spacing w:line="360" w:lineRule="auto"/>
        <w:jc w:val="center"/>
        <w:rPr>
          <w:rFonts w:ascii="Garamond" w:hAnsi="Garamond"/>
          <w:b/>
          <w:sz w:val="22"/>
          <w:szCs w:val="22"/>
        </w:rPr>
      </w:pPr>
    </w:p>
    <w:p w14:paraId="2DFA6EF4" w14:textId="77777777" w:rsidR="00D21F21" w:rsidRDefault="00D21F21" w:rsidP="00F40F99">
      <w:pPr>
        <w:spacing w:line="360" w:lineRule="auto"/>
        <w:jc w:val="center"/>
        <w:rPr>
          <w:rFonts w:ascii="Garamond" w:hAnsi="Garamond"/>
          <w:b/>
          <w:sz w:val="22"/>
          <w:szCs w:val="22"/>
        </w:rPr>
      </w:pPr>
    </w:p>
    <w:p w14:paraId="7B7F5756" w14:textId="77777777" w:rsidR="00D21F21" w:rsidRDefault="00D21F21" w:rsidP="00F40F99">
      <w:pPr>
        <w:spacing w:line="360" w:lineRule="auto"/>
        <w:jc w:val="center"/>
        <w:rPr>
          <w:rFonts w:ascii="Garamond" w:hAnsi="Garamond"/>
          <w:b/>
          <w:sz w:val="22"/>
          <w:szCs w:val="22"/>
        </w:rPr>
      </w:pPr>
    </w:p>
    <w:p w14:paraId="5F467022" w14:textId="77777777" w:rsidR="00D21F21" w:rsidRDefault="00D21F21" w:rsidP="00F40F99">
      <w:pPr>
        <w:spacing w:line="360" w:lineRule="auto"/>
        <w:jc w:val="center"/>
        <w:rPr>
          <w:rFonts w:ascii="Garamond" w:hAnsi="Garamond"/>
          <w:b/>
          <w:sz w:val="22"/>
          <w:szCs w:val="22"/>
        </w:rPr>
      </w:pPr>
    </w:p>
    <w:p w14:paraId="2C48A5CA" w14:textId="77777777" w:rsidR="00D21F21" w:rsidRPr="00626752" w:rsidRDefault="00D21F21" w:rsidP="00F40F99">
      <w:pPr>
        <w:spacing w:line="360" w:lineRule="auto"/>
        <w:jc w:val="center"/>
        <w:rPr>
          <w:rFonts w:ascii="Garamond" w:hAnsi="Garamond"/>
          <w:b/>
          <w:sz w:val="22"/>
          <w:szCs w:val="22"/>
        </w:rPr>
      </w:pPr>
    </w:p>
    <w:p w14:paraId="7A0CFD43" w14:textId="77777777" w:rsidR="00F40F99" w:rsidRPr="00626752" w:rsidRDefault="00F40F99" w:rsidP="00F40F99">
      <w:pPr>
        <w:spacing w:line="360" w:lineRule="auto"/>
        <w:jc w:val="center"/>
        <w:rPr>
          <w:rFonts w:ascii="Garamond" w:hAnsi="Garamond"/>
          <w:b/>
          <w:sz w:val="22"/>
          <w:szCs w:val="22"/>
        </w:rPr>
      </w:pPr>
      <w:r w:rsidRPr="00626752">
        <w:rPr>
          <w:rFonts w:ascii="Garamond" w:hAnsi="Garamond"/>
          <w:b/>
          <w:sz w:val="22"/>
          <w:szCs w:val="22"/>
        </w:rPr>
        <w:t>………………………………………………………………………………………………………………..</w:t>
      </w:r>
    </w:p>
    <w:p w14:paraId="5F5CED19" w14:textId="77777777" w:rsidR="00F40F99" w:rsidRPr="00626752" w:rsidRDefault="00F40F99" w:rsidP="00F40F99">
      <w:pPr>
        <w:spacing w:line="360" w:lineRule="auto"/>
        <w:jc w:val="center"/>
        <w:rPr>
          <w:rFonts w:ascii="Garamond" w:hAnsi="Garamond"/>
          <w:b/>
          <w:sz w:val="22"/>
          <w:szCs w:val="22"/>
        </w:rPr>
      </w:pPr>
    </w:p>
    <w:p w14:paraId="0B00B85E" w14:textId="77777777" w:rsidR="00F40F99" w:rsidRPr="00626752" w:rsidRDefault="00F40F99" w:rsidP="00F40F99">
      <w:pPr>
        <w:spacing w:line="360" w:lineRule="auto"/>
        <w:jc w:val="center"/>
        <w:rPr>
          <w:rFonts w:ascii="Garamond" w:hAnsi="Garamond"/>
          <w:b/>
          <w:sz w:val="22"/>
          <w:szCs w:val="22"/>
        </w:rPr>
      </w:pPr>
    </w:p>
    <w:p w14:paraId="35ADB149" w14:textId="77777777" w:rsidR="00F40F99" w:rsidRPr="00626752" w:rsidRDefault="00F40F99" w:rsidP="00F40F99">
      <w:pPr>
        <w:spacing w:line="360" w:lineRule="auto"/>
        <w:jc w:val="center"/>
        <w:rPr>
          <w:rFonts w:ascii="Garamond" w:hAnsi="Garamond"/>
          <w:b/>
          <w:color w:val="0070C0"/>
          <w:sz w:val="22"/>
          <w:szCs w:val="22"/>
        </w:rPr>
      </w:pPr>
      <w:r w:rsidRPr="00626752">
        <w:rPr>
          <w:rFonts w:ascii="Garamond" w:hAnsi="Garamond"/>
          <w:b/>
          <w:color w:val="0070C0"/>
          <w:sz w:val="22"/>
          <w:szCs w:val="22"/>
        </w:rPr>
        <w:t>THE CENTRAL BANK OF THE REPUBLIC OF ARMENIA</w:t>
      </w:r>
    </w:p>
    <w:p w14:paraId="63770DC4" w14:textId="77777777" w:rsidR="00F40F99" w:rsidRPr="00626752" w:rsidRDefault="00F40F99" w:rsidP="00F40F99">
      <w:pPr>
        <w:spacing w:line="360" w:lineRule="auto"/>
        <w:jc w:val="center"/>
        <w:rPr>
          <w:rFonts w:ascii="Garamond" w:hAnsi="Garamond"/>
          <w:b/>
          <w:sz w:val="22"/>
          <w:szCs w:val="22"/>
        </w:rPr>
      </w:pPr>
      <w:r w:rsidRPr="00626752">
        <w:rPr>
          <w:rFonts w:ascii="Garamond" w:hAnsi="Garamond"/>
          <w:b/>
          <w:color w:val="0070C0"/>
          <w:sz w:val="22"/>
          <w:szCs w:val="22"/>
        </w:rPr>
        <w:t>BOARD RESOLUTION</w:t>
      </w:r>
    </w:p>
    <w:p w14:paraId="695806A5" w14:textId="77777777" w:rsidR="00F40F99" w:rsidRPr="00626752" w:rsidRDefault="00F40F99" w:rsidP="00F40F99">
      <w:pPr>
        <w:spacing w:line="360" w:lineRule="auto"/>
        <w:jc w:val="center"/>
        <w:rPr>
          <w:rFonts w:ascii="Garamond" w:hAnsi="Garamond"/>
          <w:b/>
          <w:sz w:val="22"/>
          <w:szCs w:val="22"/>
        </w:rPr>
      </w:pPr>
    </w:p>
    <w:p w14:paraId="7103DE1A" w14:textId="77777777" w:rsidR="00F40F99" w:rsidRPr="00626752" w:rsidRDefault="00F40F99" w:rsidP="00F40F99">
      <w:pPr>
        <w:spacing w:line="360" w:lineRule="auto"/>
        <w:jc w:val="center"/>
        <w:rPr>
          <w:rFonts w:ascii="Garamond" w:hAnsi="Garamond"/>
          <w:b/>
          <w:color w:val="0070C0"/>
          <w:sz w:val="22"/>
          <w:szCs w:val="22"/>
        </w:rPr>
      </w:pPr>
      <w:r w:rsidRPr="00626752">
        <w:rPr>
          <w:rFonts w:ascii="Garamond" w:hAnsi="Garamond"/>
          <w:b/>
          <w:color w:val="0070C0"/>
          <w:sz w:val="22"/>
          <w:szCs w:val="22"/>
        </w:rPr>
        <w:t xml:space="preserve">Interest rates of operations by the Central Bank in the financial market </w:t>
      </w:r>
    </w:p>
    <w:p w14:paraId="3C6C7672" w14:textId="77777777" w:rsidR="00F40F99" w:rsidRPr="00626752" w:rsidRDefault="00F40F99" w:rsidP="00F40F99">
      <w:pPr>
        <w:spacing w:line="360" w:lineRule="auto"/>
        <w:jc w:val="center"/>
        <w:rPr>
          <w:rFonts w:ascii="Garamond" w:hAnsi="Garamond"/>
          <w:sz w:val="22"/>
          <w:szCs w:val="22"/>
        </w:rPr>
      </w:pPr>
    </w:p>
    <w:p w14:paraId="2808B594" w14:textId="77777777" w:rsidR="00F40F99" w:rsidRPr="00626752" w:rsidRDefault="00F40F99" w:rsidP="00F40F99">
      <w:pPr>
        <w:spacing w:line="360" w:lineRule="auto"/>
        <w:jc w:val="both"/>
        <w:rPr>
          <w:rFonts w:ascii="Garamond" w:hAnsi="Garamond"/>
          <w:sz w:val="22"/>
          <w:szCs w:val="22"/>
        </w:rPr>
      </w:pPr>
      <w:r w:rsidRPr="00626752">
        <w:rPr>
          <w:rFonts w:ascii="Garamond" w:hAnsi="Garamond"/>
          <w:sz w:val="22"/>
          <w:szCs w:val="22"/>
        </w:rPr>
        <w:t xml:space="preserve">By virtue of Article 20 (c) of the Republic of Armenia Law on the Central Bank, the Board of the Central Bank of the Republic of Armenia </w:t>
      </w:r>
      <w:r w:rsidRPr="00626752">
        <w:rPr>
          <w:rFonts w:ascii="Garamond" w:hAnsi="Garamond"/>
          <w:b/>
          <w:sz w:val="22"/>
          <w:szCs w:val="22"/>
        </w:rPr>
        <w:t>enacts:</w:t>
      </w:r>
    </w:p>
    <w:p w14:paraId="712AB126" w14:textId="77777777" w:rsidR="00F40F99" w:rsidRPr="00626752" w:rsidRDefault="00F40F99" w:rsidP="00F40F99">
      <w:pPr>
        <w:spacing w:line="360" w:lineRule="auto"/>
        <w:jc w:val="both"/>
        <w:rPr>
          <w:rFonts w:ascii="Garamond" w:hAnsi="Garamond"/>
          <w:sz w:val="22"/>
          <w:szCs w:val="22"/>
        </w:rPr>
      </w:pPr>
      <w:r w:rsidRPr="00626752">
        <w:rPr>
          <w:rFonts w:ascii="Garamond" w:hAnsi="Garamond"/>
          <w:sz w:val="22"/>
          <w:szCs w:val="22"/>
        </w:rPr>
        <w:t>1.</w:t>
      </w:r>
      <w:r w:rsidRPr="00626752">
        <w:rPr>
          <w:rFonts w:ascii="Garamond" w:hAnsi="Garamond"/>
          <w:sz w:val="22"/>
          <w:szCs w:val="22"/>
        </w:rPr>
        <w:tab/>
        <w:t>Leave the refinancing rate of the Central Bank of the Republic of Armenia unchanged, at 6.0%.</w:t>
      </w:r>
    </w:p>
    <w:p w14:paraId="0DDAFC76" w14:textId="77777777" w:rsidR="00F40F99" w:rsidRPr="00626752" w:rsidRDefault="00F40F99" w:rsidP="00F40F99">
      <w:pPr>
        <w:spacing w:line="360" w:lineRule="auto"/>
        <w:jc w:val="both"/>
        <w:rPr>
          <w:rFonts w:ascii="Garamond" w:hAnsi="Garamond"/>
          <w:sz w:val="22"/>
          <w:szCs w:val="22"/>
        </w:rPr>
      </w:pPr>
      <w:r w:rsidRPr="00626752">
        <w:rPr>
          <w:rFonts w:ascii="Garamond" w:hAnsi="Garamond"/>
          <w:sz w:val="22"/>
          <w:szCs w:val="22"/>
        </w:rPr>
        <w:t>2.</w:t>
      </w:r>
      <w:r w:rsidRPr="00626752">
        <w:rPr>
          <w:rFonts w:ascii="Garamond" w:hAnsi="Garamond"/>
          <w:sz w:val="22"/>
          <w:szCs w:val="22"/>
        </w:rPr>
        <w:tab/>
        <w:t>To the Financial Department of the Central Bank of the Republic of Armenia to carry out operations in the financial market of the Republic of Armenia, using the interest rates, as follows:</w:t>
      </w:r>
    </w:p>
    <w:p w14:paraId="251405DF" w14:textId="77777777" w:rsidR="00F40F99" w:rsidRPr="00626752" w:rsidRDefault="00F40F99" w:rsidP="00F40F99">
      <w:pPr>
        <w:spacing w:line="360" w:lineRule="auto"/>
        <w:jc w:val="both"/>
        <w:rPr>
          <w:rFonts w:ascii="Garamond" w:hAnsi="Garamond"/>
          <w:sz w:val="22"/>
          <w:szCs w:val="22"/>
        </w:rPr>
      </w:pPr>
      <w:r w:rsidRPr="00626752">
        <w:rPr>
          <w:rFonts w:ascii="Garamond" w:hAnsi="Garamond"/>
          <w:sz w:val="22"/>
          <w:szCs w:val="22"/>
        </w:rPr>
        <w:t>2.1</w:t>
      </w:r>
      <w:r w:rsidRPr="00626752">
        <w:rPr>
          <w:rFonts w:ascii="Garamond" w:hAnsi="Garamond"/>
          <w:sz w:val="22"/>
          <w:szCs w:val="22"/>
        </w:rPr>
        <w:tab/>
        <w:t>Lombard facility rate offered by the Central Bank to be 7.5%.</w:t>
      </w:r>
    </w:p>
    <w:p w14:paraId="0C320F09" w14:textId="77777777" w:rsidR="00F40F99" w:rsidRPr="00626752" w:rsidRDefault="00F40F99" w:rsidP="00F40F99">
      <w:pPr>
        <w:spacing w:line="360" w:lineRule="auto"/>
        <w:jc w:val="both"/>
        <w:rPr>
          <w:rFonts w:ascii="Garamond" w:hAnsi="Garamond"/>
          <w:sz w:val="22"/>
          <w:szCs w:val="22"/>
        </w:rPr>
      </w:pPr>
      <w:r w:rsidRPr="00626752">
        <w:rPr>
          <w:rFonts w:ascii="Garamond" w:hAnsi="Garamond"/>
          <w:sz w:val="22"/>
          <w:szCs w:val="22"/>
        </w:rPr>
        <w:t>2.2.</w:t>
      </w:r>
      <w:r w:rsidRPr="00626752">
        <w:rPr>
          <w:rFonts w:ascii="Garamond" w:hAnsi="Garamond"/>
          <w:sz w:val="22"/>
          <w:szCs w:val="22"/>
        </w:rPr>
        <w:tab/>
        <w:t>Deposit facility rate offered by the Central Bank to be 4.5%.</w:t>
      </w:r>
    </w:p>
    <w:p w14:paraId="777789A2" w14:textId="77777777" w:rsidR="00F40F99" w:rsidRPr="00626752" w:rsidRDefault="00F40F99" w:rsidP="00F40F99">
      <w:pPr>
        <w:spacing w:line="360" w:lineRule="auto"/>
        <w:jc w:val="both"/>
        <w:rPr>
          <w:rFonts w:ascii="Garamond" w:hAnsi="Garamond"/>
          <w:sz w:val="22"/>
          <w:szCs w:val="22"/>
        </w:rPr>
      </w:pPr>
      <w:r w:rsidRPr="00626752">
        <w:rPr>
          <w:rFonts w:ascii="Garamond" w:hAnsi="Garamond"/>
          <w:sz w:val="22"/>
          <w:szCs w:val="22"/>
        </w:rPr>
        <w:t>3.</w:t>
      </w:r>
      <w:r w:rsidRPr="00626752">
        <w:rPr>
          <w:rFonts w:ascii="Garamond" w:hAnsi="Garamond"/>
          <w:sz w:val="22"/>
          <w:szCs w:val="22"/>
        </w:rPr>
        <w:tab/>
        <w:t>This resolution shall take force on the day following the adoption thereof.</w:t>
      </w:r>
    </w:p>
    <w:p w14:paraId="3FE802FD" w14:textId="77777777" w:rsidR="00F40F99" w:rsidRPr="00626752" w:rsidRDefault="00F40F99" w:rsidP="00F40F99">
      <w:pPr>
        <w:spacing w:line="360" w:lineRule="auto"/>
        <w:jc w:val="both"/>
        <w:rPr>
          <w:rFonts w:ascii="Garamond" w:hAnsi="Garamond"/>
          <w:sz w:val="22"/>
          <w:szCs w:val="22"/>
        </w:rPr>
      </w:pPr>
    </w:p>
    <w:p w14:paraId="42C7768E" w14:textId="77777777" w:rsidR="00F40F99" w:rsidRPr="00626752" w:rsidRDefault="00F40F99" w:rsidP="00F40F99">
      <w:pPr>
        <w:spacing w:line="360" w:lineRule="auto"/>
        <w:jc w:val="both"/>
        <w:rPr>
          <w:rFonts w:ascii="Garamond" w:hAnsi="Garamond"/>
          <w:b/>
          <w:sz w:val="22"/>
          <w:szCs w:val="22"/>
        </w:rPr>
      </w:pPr>
      <w:r w:rsidRPr="00626752">
        <w:rPr>
          <w:rFonts w:ascii="Garamond" w:hAnsi="Garamond"/>
          <w:b/>
          <w:sz w:val="22"/>
          <w:szCs w:val="22"/>
        </w:rPr>
        <w:t>Arthur Javadyan,</w:t>
      </w:r>
    </w:p>
    <w:p w14:paraId="791C0CD5" w14:textId="77777777" w:rsidR="00F40F99" w:rsidRPr="00626752" w:rsidRDefault="00F40F99" w:rsidP="00F40F99">
      <w:pPr>
        <w:spacing w:line="360" w:lineRule="auto"/>
        <w:jc w:val="both"/>
        <w:rPr>
          <w:rFonts w:ascii="Garamond" w:hAnsi="Garamond"/>
          <w:b/>
          <w:sz w:val="22"/>
          <w:szCs w:val="22"/>
        </w:rPr>
      </w:pPr>
      <w:r w:rsidRPr="00626752">
        <w:rPr>
          <w:rFonts w:ascii="Garamond" w:hAnsi="Garamond"/>
          <w:b/>
          <w:sz w:val="22"/>
          <w:szCs w:val="22"/>
        </w:rPr>
        <w:t>Chairman of the CBA</w:t>
      </w:r>
    </w:p>
    <w:p w14:paraId="4425531F" w14:textId="77777777" w:rsidR="00872DDC" w:rsidRPr="00626752" w:rsidRDefault="00872DDC" w:rsidP="00F40F99">
      <w:pPr>
        <w:spacing w:line="360" w:lineRule="auto"/>
        <w:jc w:val="both"/>
        <w:rPr>
          <w:rFonts w:ascii="Garamond" w:hAnsi="Garamond"/>
          <w:b/>
          <w:sz w:val="18"/>
          <w:szCs w:val="22"/>
        </w:rPr>
      </w:pPr>
    </w:p>
    <w:p w14:paraId="66F29CF5" w14:textId="77777777" w:rsidR="00872DDC" w:rsidRPr="00626752" w:rsidRDefault="001F524F" w:rsidP="00F40F99">
      <w:pPr>
        <w:spacing w:line="360" w:lineRule="auto"/>
        <w:jc w:val="both"/>
        <w:rPr>
          <w:rFonts w:ascii="Garamond" w:hAnsi="Garamond"/>
          <w:sz w:val="22"/>
          <w:szCs w:val="22"/>
        </w:rPr>
      </w:pPr>
      <w:r>
        <w:rPr>
          <w:rFonts w:ascii="Garamond" w:hAnsi="Garamond"/>
          <w:b/>
          <w:sz w:val="18"/>
          <w:szCs w:val="22"/>
        </w:rPr>
        <w:t>N</w:t>
      </w:r>
      <w:r w:rsidR="00872DDC" w:rsidRPr="00626752">
        <w:rPr>
          <w:rFonts w:ascii="Garamond" w:hAnsi="Garamond"/>
          <w:b/>
          <w:sz w:val="18"/>
          <w:szCs w:val="22"/>
        </w:rPr>
        <w:t>ovember 14, 2017</w:t>
      </w:r>
    </w:p>
    <w:p w14:paraId="047C54E6" w14:textId="77777777" w:rsidR="00F40F99" w:rsidRPr="00626752" w:rsidRDefault="00F40F99" w:rsidP="00F40F99">
      <w:pPr>
        <w:spacing w:line="360" w:lineRule="auto"/>
        <w:jc w:val="both"/>
        <w:rPr>
          <w:rFonts w:ascii="Garamond" w:hAnsi="Garamond"/>
          <w:sz w:val="22"/>
          <w:szCs w:val="22"/>
        </w:rPr>
      </w:pPr>
    </w:p>
    <w:p w14:paraId="30D1B2A1" w14:textId="77777777" w:rsidR="00D21F21" w:rsidRDefault="00D21F21" w:rsidP="00F40F99">
      <w:pPr>
        <w:spacing w:line="360" w:lineRule="auto"/>
        <w:jc w:val="center"/>
        <w:rPr>
          <w:rFonts w:ascii="Garamond" w:hAnsi="Garamond"/>
          <w:b/>
          <w:color w:val="0070C0"/>
          <w:sz w:val="22"/>
          <w:szCs w:val="22"/>
        </w:rPr>
      </w:pPr>
    </w:p>
    <w:p w14:paraId="77BE915E" w14:textId="77777777" w:rsidR="00D21F21" w:rsidRDefault="00D21F21" w:rsidP="00F40F99">
      <w:pPr>
        <w:spacing w:line="360" w:lineRule="auto"/>
        <w:jc w:val="center"/>
        <w:rPr>
          <w:rFonts w:ascii="Garamond" w:hAnsi="Garamond"/>
          <w:b/>
          <w:color w:val="0070C0"/>
          <w:sz w:val="22"/>
          <w:szCs w:val="22"/>
        </w:rPr>
      </w:pPr>
    </w:p>
    <w:p w14:paraId="64DBBCE8" w14:textId="77777777" w:rsidR="00D21F21" w:rsidRDefault="00D21F21" w:rsidP="00F40F99">
      <w:pPr>
        <w:spacing w:line="360" w:lineRule="auto"/>
        <w:jc w:val="center"/>
        <w:rPr>
          <w:rFonts w:ascii="Garamond" w:hAnsi="Garamond"/>
          <w:b/>
          <w:color w:val="0070C0"/>
          <w:sz w:val="22"/>
          <w:szCs w:val="22"/>
        </w:rPr>
      </w:pPr>
    </w:p>
    <w:p w14:paraId="5CEAF090" w14:textId="77777777" w:rsidR="00D21F21" w:rsidRDefault="00D21F21" w:rsidP="00F40F99">
      <w:pPr>
        <w:spacing w:line="360" w:lineRule="auto"/>
        <w:jc w:val="center"/>
        <w:rPr>
          <w:rFonts w:ascii="Garamond" w:hAnsi="Garamond"/>
          <w:b/>
          <w:color w:val="0070C0"/>
          <w:sz w:val="22"/>
          <w:szCs w:val="22"/>
        </w:rPr>
      </w:pPr>
    </w:p>
    <w:p w14:paraId="3C1BADD0" w14:textId="77777777" w:rsidR="00D21F21" w:rsidRDefault="00D21F21" w:rsidP="00F40F99">
      <w:pPr>
        <w:spacing w:line="360" w:lineRule="auto"/>
        <w:jc w:val="center"/>
        <w:rPr>
          <w:rFonts w:ascii="Garamond" w:hAnsi="Garamond"/>
          <w:b/>
          <w:color w:val="0070C0"/>
          <w:sz w:val="22"/>
          <w:szCs w:val="22"/>
        </w:rPr>
      </w:pPr>
    </w:p>
    <w:p w14:paraId="0CE7D4D0" w14:textId="77777777" w:rsidR="00D21F21" w:rsidRDefault="00D21F21" w:rsidP="00F40F99">
      <w:pPr>
        <w:spacing w:line="360" w:lineRule="auto"/>
        <w:jc w:val="center"/>
        <w:rPr>
          <w:rFonts w:ascii="Garamond" w:hAnsi="Garamond"/>
          <w:b/>
          <w:color w:val="0070C0"/>
          <w:sz w:val="22"/>
          <w:szCs w:val="22"/>
        </w:rPr>
      </w:pPr>
    </w:p>
    <w:p w14:paraId="34DBF7A5" w14:textId="77777777" w:rsidR="00D21F21" w:rsidRDefault="00D21F21" w:rsidP="00F40F99">
      <w:pPr>
        <w:spacing w:line="360" w:lineRule="auto"/>
        <w:jc w:val="center"/>
        <w:rPr>
          <w:rFonts w:ascii="Garamond" w:hAnsi="Garamond"/>
          <w:b/>
          <w:color w:val="0070C0"/>
          <w:sz w:val="22"/>
          <w:szCs w:val="22"/>
        </w:rPr>
      </w:pPr>
    </w:p>
    <w:p w14:paraId="75B844BD" w14:textId="77777777" w:rsidR="00D21F21" w:rsidRDefault="00D21F21" w:rsidP="00F40F99">
      <w:pPr>
        <w:spacing w:line="360" w:lineRule="auto"/>
        <w:jc w:val="center"/>
        <w:rPr>
          <w:rFonts w:ascii="Garamond" w:hAnsi="Garamond"/>
          <w:b/>
          <w:color w:val="0070C0"/>
          <w:sz w:val="22"/>
          <w:szCs w:val="22"/>
        </w:rPr>
      </w:pPr>
    </w:p>
    <w:p w14:paraId="684E5C88" w14:textId="77777777" w:rsidR="00D21F21" w:rsidRDefault="00D21F21" w:rsidP="00F40F99">
      <w:pPr>
        <w:spacing w:line="360" w:lineRule="auto"/>
        <w:jc w:val="center"/>
        <w:rPr>
          <w:rFonts w:ascii="Garamond" w:hAnsi="Garamond"/>
          <w:b/>
          <w:color w:val="0070C0"/>
          <w:sz w:val="22"/>
          <w:szCs w:val="22"/>
        </w:rPr>
      </w:pPr>
    </w:p>
    <w:p w14:paraId="2140BEB3" w14:textId="77777777" w:rsidR="00D21F21" w:rsidRDefault="00D21F21" w:rsidP="00F40F99">
      <w:pPr>
        <w:spacing w:line="360" w:lineRule="auto"/>
        <w:jc w:val="center"/>
        <w:rPr>
          <w:rFonts w:ascii="Garamond" w:hAnsi="Garamond"/>
          <w:b/>
          <w:color w:val="0070C0"/>
          <w:sz w:val="22"/>
          <w:szCs w:val="22"/>
        </w:rPr>
      </w:pPr>
    </w:p>
    <w:p w14:paraId="4BE0A514" w14:textId="77777777" w:rsidR="00F40F99" w:rsidRPr="00626752" w:rsidRDefault="00F40F99" w:rsidP="00F40F99">
      <w:pPr>
        <w:spacing w:line="360" w:lineRule="auto"/>
        <w:jc w:val="center"/>
        <w:rPr>
          <w:rFonts w:ascii="Garamond" w:hAnsi="Garamond"/>
          <w:b/>
          <w:color w:val="0070C0"/>
          <w:sz w:val="22"/>
          <w:szCs w:val="22"/>
        </w:rPr>
      </w:pPr>
      <w:r w:rsidRPr="00626752">
        <w:rPr>
          <w:rFonts w:ascii="Garamond" w:hAnsi="Garamond"/>
          <w:b/>
          <w:color w:val="0070C0"/>
          <w:sz w:val="22"/>
          <w:szCs w:val="22"/>
        </w:rPr>
        <w:t>PRESS RELEASE</w:t>
      </w:r>
    </w:p>
    <w:p w14:paraId="0429D81F" w14:textId="77777777" w:rsidR="00F40F99" w:rsidRPr="00626752" w:rsidRDefault="00F40F99" w:rsidP="00F40F99">
      <w:pPr>
        <w:spacing w:line="360" w:lineRule="auto"/>
        <w:jc w:val="center"/>
        <w:rPr>
          <w:rFonts w:ascii="Garamond" w:hAnsi="Garamond"/>
          <w:b/>
          <w:sz w:val="22"/>
          <w:szCs w:val="22"/>
        </w:rPr>
      </w:pPr>
      <w:r w:rsidRPr="00626752">
        <w:rPr>
          <w:rFonts w:ascii="Garamond" w:hAnsi="Garamond"/>
          <w:b/>
          <w:color w:val="0070C0"/>
          <w:sz w:val="22"/>
          <w:szCs w:val="22"/>
        </w:rPr>
        <w:t>1</w:t>
      </w:r>
      <w:r w:rsidR="00872DDC" w:rsidRPr="00626752">
        <w:rPr>
          <w:rFonts w:ascii="Garamond" w:hAnsi="Garamond"/>
          <w:b/>
          <w:color w:val="0070C0"/>
          <w:sz w:val="22"/>
          <w:szCs w:val="22"/>
        </w:rPr>
        <w:t>4</w:t>
      </w:r>
      <w:r w:rsidRPr="00626752">
        <w:rPr>
          <w:rFonts w:ascii="Garamond" w:hAnsi="Garamond"/>
          <w:b/>
          <w:color w:val="0070C0"/>
          <w:sz w:val="22"/>
          <w:szCs w:val="22"/>
        </w:rPr>
        <w:t>.</w:t>
      </w:r>
      <w:r w:rsidR="00872DDC" w:rsidRPr="00626752">
        <w:rPr>
          <w:rFonts w:ascii="Garamond" w:hAnsi="Garamond"/>
          <w:b/>
          <w:color w:val="0070C0"/>
          <w:sz w:val="22"/>
          <w:szCs w:val="22"/>
        </w:rPr>
        <w:t>11</w:t>
      </w:r>
      <w:r w:rsidRPr="00626752">
        <w:rPr>
          <w:rFonts w:ascii="Garamond" w:hAnsi="Garamond"/>
          <w:b/>
          <w:color w:val="0070C0"/>
          <w:sz w:val="22"/>
          <w:szCs w:val="22"/>
        </w:rPr>
        <w:t>.2017</w:t>
      </w:r>
    </w:p>
    <w:p w14:paraId="5454C74C" w14:textId="77777777" w:rsidR="00F40F99" w:rsidRPr="00626752" w:rsidRDefault="00F40F99" w:rsidP="00F40F99">
      <w:pPr>
        <w:spacing w:line="360" w:lineRule="auto"/>
        <w:jc w:val="both"/>
        <w:rPr>
          <w:rFonts w:ascii="Garamond" w:hAnsi="Garamond"/>
          <w:sz w:val="22"/>
          <w:szCs w:val="22"/>
        </w:rPr>
      </w:pPr>
    </w:p>
    <w:p w14:paraId="536E84A0" w14:textId="77777777" w:rsidR="00872DDC" w:rsidRPr="00626752" w:rsidRDefault="00872DDC" w:rsidP="00872DDC">
      <w:pPr>
        <w:jc w:val="both"/>
        <w:rPr>
          <w:rFonts w:ascii="Garamond" w:hAnsi="Garamond"/>
          <w:sz w:val="22"/>
          <w:szCs w:val="22"/>
        </w:rPr>
      </w:pPr>
      <w:r w:rsidRPr="00626752">
        <w:rPr>
          <w:rFonts w:ascii="Garamond" w:hAnsi="Garamond"/>
          <w:sz w:val="22"/>
          <w:szCs w:val="22"/>
        </w:rPr>
        <w:t>At the November 14th of 2017 meeting the Board of the Central Bank of Armenia decided to leave the refinancing rate unchanged, at the 6.0% level.</w:t>
      </w:r>
    </w:p>
    <w:p w14:paraId="51E2DC0B" w14:textId="77777777" w:rsidR="00626752" w:rsidRDefault="00626752" w:rsidP="00872DDC">
      <w:pPr>
        <w:jc w:val="both"/>
        <w:rPr>
          <w:rFonts w:ascii="Garamond" w:hAnsi="Garamond"/>
          <w:sz w:val="22"/>
          <w:szCs w:val="22"/>
        </w:rPr>
      </w:pPr>
    </w:p>
    <w:p w14:paraId="07207DBF" w14:textId="77777777" w:rsidR="00872DDC" w:rsidRPr="00626752" w:rsidRDefault="00872DDC" w:rsidP="00872DDC">
      <w:pPr>
        <w:jc w:val="both"/>
        <w:rPr>
          <w:rFonts w:ascii="Garamond" w:hAnsi="Garamond"/>
          <w:sz w:val="22"/>
          <w:szCs w:val="22"/>
        </w:rPr>
      </w:pPr>
      <w:r w:rsidRPr="00626752">
        <w:rPr>
          <w:rFonts w:ascii="Garamond" w:hAnsi="Garamond"/>
          <w:sz w:val="22"/>
          <w:szCs w:val="22"/>
        </w:rPr>
        <w:t xml:space="preserve">There was 0.8% inflation in October of 2017 against that of 0.5% registered in the same month of the previous year, and the 12-month inflation rate amounted to 1.2% in the end of the month. Meanwhile, acceleration of the 12-month core inflation, observable in the last months, continues, from 0.7% in July to 2.4% in October. Headline inflation, the CBA Board estimates, remains low owing to slower-than-expected pace in price inflation on fruits and vegetables, the impact of which will, however, phase out in the upcoming months, and the inflation will be within the confidence band. </w:t>
      </w:r>
    </w:p>
    <w:p w14:paraId="0484C382" w14:textId="77777777" w:rsidR="00626752" w:rsidRDefault="00626752" w:rsidP="00872DDC">
      <w:pPr>
        <w:jc w:val="both"/>
        <w:rPr>
          <w:rFonts w:ascii="Garamond" w:hAnsi="Garamond"/>
          <w:sz w:val="22"/>
          <w:szCs w:val="22"/>
        </w:rPr>
      </w:pPr>
    </w:p>
    <w:p w14:paraId="744D11C3" w14:textId="77777777" w:rsidR="00872DDC" w:rsidRPr="00626752" w:rsidRDefault="00872DDC" w:rsidP="00872DDC">
      <w:pPr>
        <w:jc w:val="both"/>
        <w:rPr>
          <w:rFonts w:ascii="Garamond" w:hAnsi="Garamond"/>
          <w:sz w:val="22"/>
          <w:szCs w:val="22"/>
        </w:rPr>
      </w:pPr>
      <w:r w:rsidRPr="00626752">
        <w:rPr>
          <w:rFonts w:ascii="Garamond" w:hAnsi="Garamond"/>
          <w:sz w:val="22"/>
          <w:szCs w:val="22"/>
        </w:rPr>
        <w:t>In the external environment, the global economic growth outlook further followed a positive track</w:t>
      </w:r>
      <w:r w:rsidR="00626752">
        <w:rPr>
          <w:rFonts w:ascii="Garamond" w:hAnsi="Garamond"/>
          <w:sz w:val="22"/>
          <w:szCs w:val="22"/>
        </w:rPr>
        <w:t xml:space="preserve"> while </w:t>
      </w:r>
      <w:r w:rsidRPr="00626752">
        <w:rPr>
          <w:rFonts w:ascii="Garamond" w:hAnsi="Garamond"/>
          <w:sz w:val="22"/>
          <w:szCs w:val="22"/>
        </w:rPr>
        <w:t xml:space="preserve">inflationary patterns persisted in world commodity markets. In view of such developments, the CBA Board expects certain inflationary effects from the external sector, as external demand recovers. </w:t>
      </w:r>
    </w:p>
    <w:p w14:paraId="4BAF673E" w14:textId="77777777" w:rsidR="00626752" w:rsidRDefault="00626752" w:rsidP="00872DDC">
      <w:pPr>
        <w:jc w:val="both"/>
        <w:rPr>
          <w:rFonts w:ascii="Garamond" w:hAnsi="Garamond"/>
          <w:sz w:val="22"/>
          <w:szCs w:val="22"/>
        </w:rPr>
      </w:pPr>
    </w:p>
    <w:p w14:paraId="231883AD" w14:textId="77777777" w:rsidR="00872DDC" w:rsidRPr="00626752" w:rsidRDefault="00872DDC" w:rsidP="00872DDC">
      <w:pPr>
        <w:jc w:val="both"/>
        <w:rPr>
          <w:rFonts w:ascii="Garamond" w:hAnsi="Garamond"/>
          <w:sz w:val="22"/>
          <w:szCs w:val="22"/>
        </w:rPr>
      </w:pPr>
      <w:r w:rsidRPr="00626752">
        <w:rPr>
          <w:rFonts w:ascii="Garamond" w:hAnsi="Garamond"/>
          <w:sz w:val="22"/>
          <w:szCs w:val="22"/>
        </w:rPr>
        <w:t>The CBA Board notes that based on the results of the first nine months of 2017, compared to the same reference period last year, economic activity remained strong mainly due to high growth in services sector. Domestic demand continues recovering faster than expected, which is attributable to an implemented expansionary monetary policy and somewhat recovered growth in remittances from abroad. Strong growth in imports as well as the way core inflation behaves also points to the recovering domestic demand. In the meantime, inflation expectations of households are growing slightly faster, deriving from the rise in international prices in individual food product markets and supply-driven price increases.</w:t>
      </w:r>
    </w:p>
    <w:p w14:paraId="7E8048A1" w14:textId="77777777" w:rsidR="00626752" w:rsidRDefault="00626752" w:rsidP="00872DDC">
      <w:pPr>
        <w:jc w:val="both"/>
        <w:rPr>
          <w:rFonts w:ascii="Garamond" w:hAnsi="Garamond"/>
          <w:sz w:val="22"/>
          <w:szCs w:val="22"/>
        </w:rPr>
      </w:pPr>
    </w:p>
    <w:p w14:paraId="1A6F3EF4" w14:textId="77777777" w:rsidR="00872DDC" w:rsidRPr="00626752" w:rsidRDefault="00872DDC" w:rsidP="00872DDC">
      <w:pPr>
        <w:jc w:val="both"/>
        <w:rPr>
          <w:rFonts w:ascii="Garamond" w:hAnsi="Garamond"/>
          <w:sz w:val="22"/>
          <w:szCs w:val="22"/>
        </w:rPr>
      </w:pPr>
      <w:r w:rsidRPr="00626752">
        <w:rPr>
          <w:rFonts w:ascii="Garamond" w:hAnsi="Garamond"/>
          <w:sz w:val="22"/>
          <w:szCs w:val="22"/>
        </w:rPr>
        <w:t xml:space="preserve">Although certain expanding of the inflation environment and higher inflation expectations are possible, the CBA Board still finds it reasonable to keep monetary conditions expansionary. At the same time, the Board believes that in light of predicted developments </w:t>
      </w:r>
      <w:r w:rsidRPr="00626752">
        <w:rPr>
          <w:rFonts w:ascii="Garamond" w:hAnsi="Garamond"/>
          <w:b/>
          <w:sz w:val="22"/>
          <w:szCs w:val="22"/>
        </w:rPr>
        <w:t>a</w:t>
      </w:r>
      <w:r w:rsidRPr="00626752">
        <w:rPr>
          <w:rFonts w:ascii="Garamond" w:hAnsi="Garamond"/>
          <w:sz w:val="22"/>
          <w:szCs w:val="22"/>
        </w:rPr>
        <w:t xml:space="preserve"> </w:t>
      </w:r>
      <w:r w:rsidRPr="00626752">
        <w:rPr>
          <w:rFonts w:ascii="Garamond" w:hAnsi="Garamond"/>
          <w:b/>
          <w:sz w:val="22"/>
          <w:szCs w:val="22"/>
        </w:rPr>
        <w:t>gradual offsetting of</w:t>
      </w:r>
      <w:r w:rsidRPr="00626752">
        <w:rPr>
          <w:rFonts w:ascii="Garamond" w:hAnsi="Garamond"/>
          <w:sz w:val="22"/>
          <w:szCs w:val="22"/>
        </w:rPr>
        <w:t xml:space="preserve"> </w:t>
      </w:r>
      <w:r w:rsidRPr="00626752">
        <w:rPr>
          <w:rFonts w:ascii="Garamond" w:hAnsi="Garamond"/>
          <w:b/>
          <w:sz w:val="22"/>
          <w:szCs w:val="22"/>
        </w:rPr>
        <w:t>expansionary monetary conditions would be needed</w:t>
      </w:r>
      <w:r w:rsidRPr="00626752">
        <w:rPr>
          <w:rFonts w:ascii="Garamond" w:hAnsi="Garamond"/>
          <w:sz w:val="22"/>
          <w:szCs w:val="22"/>
        </w:rPr>
        <w:t xml:space="preserve"> in the near future to fulfil the inflation target in the medium run.</w:t>
      </w:r>
    </w:p>
    <w:p w14:paraId="38CED0DC" w14:textId="77777777" w:rsidR="00626752" w:rsidRDefault="00626752" w:rsidP="00872DDC">
      <w:pPr>
        <w:jc w:val="both"/>
        <w:rPr>
          <w:rFonts w:ascii="Garamond" w:hAnsi="Garamond"/>
          <w:sz w:val="22"/>
          <w:szCs w:val="22"/>
        </w:rPr>
      </w:pPr>
    </w:p>
    <w:p w14:paraId="712F66EE" w14:textId="77777777" w:rsidR="00872DDC" w:rsidRPr="00626752" w:rsidRDefault="00872DDC" w:rsidP="00872DDC">
      <w:pPr>
        <w:jc w:val="both"/>
        <w:rPr>
          <w:rFonts w:ascii="Garamond" w:hAnsi="Garamond"/>
          <w:sz w:val="22"/>
          <w:szCs w:val="22"/>
        </w:rPr>
      </w:pPr>
      <w:r w:rsidRPr="00626752">
        <w:rPr>
          <w:rFonts w:ascii="Garamond" w:hAnsi="Garamond"/>
          <w:sz w:val="22"/>
          <w:szCs w:val="22"/>
        </w:rPr>
        <w:t>Should there emerge risks to the economic growth outlook and inflation deviating from its recovery path, the Central Bank would react by adjusting its monetary policy directions accordingly, while fulfilling the inflation target in the medium run.</w:t>
      </w:r>
    </w:p>
    <w:p w14:paraId="428C9E97" w14:textId="77777777" w:rsidR="00626752" w:rsidRDefault="00626752" w:rsidP="00872DDC">
      <w:pPr>
        <w:jc w:val="both"/>
        <w:rPr>
          <w:rFonts w:ascii="Garamond" w:hAnsi="Garamond"/>
          <w:b/>
          <w:sz w:val="20"/>
        </w:rPr>
      </w:pPr>
    </w:p>
    <w:p w14:paraId="27ACD083" w14:textId="77777777" w:rsidR="00F40F99" w:rsidRPr="00626752" w:rsidRDefault="00F40F99" w:rsidP="00F40F99">
      <w:pPr>
        <w:spacing w:line="360" w:lineRule="auto"/>
        <w:jc w:val="both"/>
        <w:rPr>
          <w:rFonts w:ascii="Garamond" w:hAnsi="Garamond"/>
          <w:b/>
          <w:sz w:val="22"/>
          <w:szCs w:val="22"/>
        </w:rPr>
      </w:pPr>
      <w:r w:rsidRPr="00626752">
        <w:rPr>
          <w:rFonts w:ascii="Garamond" w:hAnsi="Garamond"/>
          <w:b/>
          <w:sz w:val="22"/>
          <w:szCs w:val="22"/>
        </w:rPr>
        <w:t>-------------------------------------------------------------------------------------------------------------------------------</w:t>
      </w:r>
    </w:p>
    <w:p w14:paraId="2BC7FA46" w14:textId="77777777" w:rsidR="00F40F99" w:rsidRPr="00626752" w:rsidRDefault="00F40F99" w:rsidP="00F40F99">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sz w:val="22"/>
          <w:szCs w:val="22"/>
        </w:rPr>
        <w:t>Press Service of the Central Bank of Armenia</w:t>
      </w:r>
    </w:p>
    <w:p w14:paraId="31D90A40" w14:textId="77777777" w:rsidR="00EE619D" w:rsidRDefault="00EE619D" w:rsidP="00EE619D">
      <w:pPr>
        <w:autoSpaceDE w:val="0"/>
        <w:autoSpaceDN w:val="0"/>
        <w:adjustRightInd w:val="0"/>
        <w:spacing w:after="120" w:line="360" w:lineRule="auto"/>
        <w:jc w:val="both"/>
        <w:rPr>
          <w:rFonts w:ascii="Garamond" w:hAnsi="Garamond"/>
          <w:b/>
          <w:color w:val="0070C0"/>
          <w:sz w:val="22"/>
          <w:szCs w:val="22"/>
        </w:rPr>
      </w:pPr>
    </w:p>
    <w:p w14:paraId="6026B03D" w14:textId="77777777" w:rsidR="00D21F21" w:rsidRDefault="00D21F21" w:rsidP="00EE619D">
      <w:pPr>
        <w:autoSpaceDE w:val="0"/>
        <w:autoSpaceDN w:val="0"/>
        <w:adjustRightInd w:val="0"/>
        <w:spacing w:after="120" w:line="360" w:lineRule="auto"/>
        <w:jc w:val="both"/>
        <w:rPr>
          <w:rFonts w:ascii="Garamond" w:hAnsi="Garamond"/>
          <w:b/>
          <w:color w:val="0070C0"/>
          <w:sz w:val="22"/>
          <w:szCs w:val="22"/>
        </w:rPr>
      </w:pPr>
    </w:p>
    <w:p w14:paraId="47440C45" w14:textId="77777777" w:rsidR="00D21F21" w:rsidRDefault="00D21F21" w:rsidP="00D21F21">
      <w:pPr>
        <w:pageBreakBefore/>
        <w:spacing w:line="300" w:lineRule="atLeast"/>
        <w:jc w:val="center"/>
        <w:rPr>
          <w:rFonts w:ascii="GHEA Grapalat" w:hAnsi="GHEA Grapalat" w:cs="Sylfaen"/>
          <w:b/>
          <w:bCs/>
          <w:color w:val="1F497D" w:themeColor="text2"/>
          <w:sz w:val="20"/>
          <w:szCs w:val="20"/>
        </w:rPr>
      </w:pPr>
      <w:r>
        <w:rPr>
          <w:rFonts w:ascii="GHEA Grapalat" w:hAnsi="GHEA Grapalat" w:cs="Sylfaen"/>
          <w:b/>
          <w:bCs/>
          <w:color w:val="1F497D" w:themeColor="text2"/>
          <w:sz w:val="20"/>
          <w:szCs w:val="20"/>
        </w:rPr>
        <w:lastRenderedPageBreak/>
        <w:t>MAIN MACROECONOMIC INDICATORS OF ARMENIA</w:t>
      </w:r>
    </w:p>
    <w:p w14:paraId="1897936D" w14:textId="77777777" w:rsidR="00D21F21" w:rsidRDefault="00D21F21" w:rsidP="00D21F21">
      <w:pPr>
        <w:spacing w:line="300" w:lineRule="atLeast"/>
        <w:jc w:val="center"/>
        <w:rPr>
          <w:rFonts w:ascii="GHEA Grapalat" w:hAnsi="GHEA Grapalat" w:cs="Sylfaen"/>
          <w:b/>
          <w:bCs/>
          <w:color w:val="1F497D" w:themeColor="text2"/>
          <w:sz w:val="20"/>
          <w:szCs w:val="20"/>
        </w:rPr>
      </w:pPr>
    </w:p>
    <w:tbl>
      <w:tblPr>
        <w:tblW w:w="10200" w:type="dxa"/>
        <w:tblInd w:w="28" w:type="dxa"/>
        <w:tblBorders>
          <w:top w:val="single" w:sz="6" w:space="0" w:color="auto"/>
          <w:left w:val="single" w:sz="6" w:space="0" w:color="auto"/>
          <w:bottom w:val="single" w:sz="6" w:space="0" w:color="auto"/>
          <w:right w:val="single" w:sz="6" w:space="0" w:color="auto"/>
          <w:insideH w:val="dashed" w:sz="4" w:space="0" w:color="auto"/>
          <w:insideV w:val="dashed" w:sz="4" w:space="0" w:color="auto"/>
        </w:tblBorders>
        <w:tblLayout w:type="fixed"/>
        <w:tblCellMar>
          <w:left w:w="28" w:type="dxa"/>
          <w:right w:w="28" w:type="dxa"/>
        </w:tblCellMar>
        <w:tblLook w:val="04A0" w:firstRow="1" w:lastRow="0" w:firstColumn="1" w:lastColumn="0" w:noHBand="0" w:noVBand="1"/>
      </w:tblPr>
      <w:tblGrid>
        <w:gridCol w:w="3541"/>
        <w:gridCol w:w="665"/>
        <w:gridCol w:w="665"/>
        <w:gridCol w:w="665"/>
        <w:gridCol w:w="666"/>
        <w:gridCol w:w="667"/>
        <w:gridCol w:w="666"/>
        <w:gridCol w:w="666"/>
        <w:gridCol w:w="666"/>
        <w:gridCol w:w="666"/>
        <w:gridCol w:w="667"/>
      </w:tblGrid>
      <w:tr w:rsidR="00D21F21" w14:paraId="59FC4A99" w14:textId="77777777" w:rsidTr="00260739">
        <w:trPr>
          <w:trHeight w:val="102"/>
        </w:trPr>
        <w:tc>
          <w:tcPr>
            <w:tcW w:w="3544" w:type="dxa"/>
            <w:vMerge w:val="restart"/>
            <w:tcBorders>
              <w:top w:val="single" w:sz="6" w:space="0" w:color="auto"/>
              <w:left w:val="single" w:sz="6" w:space="0" w:color="auto"/>
              <w:bottom w:val="single" w:sz="6" w:space="0" w:color="auto"/>
              <w:right w:val="dashed" w:sz="4" w:space="0" w:color="auto"/>
            </w:tcBorders>
            <w:noWrap/>
            <w:vAlign w:val="bottom"/>
            <w:hideMark/>
          </w:tcPr>
          <w:p w14:paraId="09FF86B5" w14:textId="77777777" w:rsidR="00D21F21" w:rsidRDefault="00D21F21" w:rsidP="00260739">
            <w:pPr>
              <w:rPr>
                <w:rFonts w:ascii="GHEA Grapalat" w:hAnsi="GHEA Grapalat"/>
                <w:b/>
                <w:bCs/>
                <w:color w:val="000000"/>
                <w:sz w:val="14"/>
                <w:szCs w:val="14"/>
              </w:rPr>
            </w:pPr>
            <w:r>
              <w:rPr>
                <w:rFonts w:ascii="Calibri" w:hAnsi="Calibri" w:cs="Calibri"/>
                <w:b/>
                <w:bCs/>
                <w:color w:val="000000"/>
                <w:sz w:val="14"/>
                <w:szCs w:val="14"/>
              </w:rPr>
              <w:t> </w:t>
            </w:r>
          </w:p>
          <w:p w14:paraId="2ADF7385" w14:textId="77777777" w:rsidR="00D21F21" w:rsidRDefault="00D21F21" w:rsidP="00260739">
            <w:pPr>
              <w:rPr>
                <w:rFonts w:ascii="GHEA Grapalat" w:hAnsi="GHEA Grapalat"/>
                <w:b/>
                <w:bCs/>
                <w:color w:val="000000"/>
                <w:sz w:val="14"/>
                <w:szCs w:val="14"/>
              </w:rPr>
            </w:pPr>
            <w:r>
              <w:rPr>
                <w:rFonts w:ascii="Calibri" w:hAnsi="Calibri" w:cs="Calibri"/>
                <w:b/>
                <w:bCs/>
                <w:color w:val="000000"/>
                <w:sz w:val="14"/>
                <w:szCs w:val="14"/>
              </w:rPr>
              <w:t> </w:t>
            </w:r>
          </w:p>
          <w:p w14:paraId="595F7DC5" w14:textId="77777777" w:rsidR="00D21F21" w:rsidRDefault="00D21F21" w:rsidP="00260739">
            <w:pPr>
              <w:rPr>
                <w:rFonts w:ascii="GHEA Grapalat" w:hAnsi="GHEA Grapalat"/>
                <w:b/>
                <w:bCs/>
                <w:color w:val="000000"/>
                <w:sz w:val="14"/>
                <w:szCs w:val="14"/>
              </w:rPr>
            </w:pPr>
            <w:r>
              <w:rPr>
                <w:rFonts w:ascii="Calibri" w:hAnsi="Calibri" w:cs="Calibri"/>
                <w:b/>
                <w:bCs/>
                <w:color w:val="000000"/>
                <w:sz w:val="14"/>
                <w:szCs w:val="14"/>
              </w:rPr>
              <w:t> </w:t>
            </w:r>
          </w:p>
        </w:tc>
        <w:tc>
          <w:tcPr>
            <w:tcW w:w="666" w:type="dxa"/>
            <w:tcBorders>
              <w:top w:val="single" w:sz="6" w:space="0" w:color="auto"/>
              <w:left w:val="dashed" w:sz="4" w:space="0" w:color="auto"/>
              <w:bottom w:val="dashed" w:sz="4" w:space="0" w:color="auto"/>
              <w:right w:val="dashed" w:sz="4" w:space="0" w:color="auto"/>
            </w:tcBorders>
            <w:noWrap/>
            <w:vAlign w:val="bottom"/>
            <w:hideMark/>
          </w:tcPr>
          <w:p w14:paraId="3F68E135" w14:textId="77777777" w:rsidR="00D21F21" w:rsidRDefault="00D21F21" w:rsidP="00260739">
            <w:pPr>
              <w:jc w:val="center"/>
              <w:rPr>
                <w:rFonts w:ascii="GHEA Grapalat" w:hAnsi="GHEA Grapalat"/>
                <w:b/>
                <w:bCs/>
                <w:color w:val="000000"/>
                <w:sz w:val="14"/>
                <w:szCs w:val="14"/>
              </w:rPr>
            </w:pPr>
            <w:r>
              <w:rPr>
                <w:rFonts w:ascii="GHEA Grapalat" w:hAnsi="GHEA Grapalat"/>
                <w:b/>
                <w:bCs/>
                <w:color w:val="000000"/>
                <w:sz w:val="14"/>
                <w:szCs w:val="14"/>
              </w:rPr>
              <w:t>2010</w:t>
            </w:r>
          </w:p>
        </w:tc>
        <w:tc>
          <w:tcPr>
            <w:tcW w:w="666" w:type="dxa"/>
            <w:tcBorders>
              <w:top w:val="single" w:sz="6" w:space="0" w:color="auto"/>
              <w:left w:val="dashed" w:sz="4" w:space="0" w:color="auto"/>
              <w:bottom w:val="dashed" w:sz="4" w:space="0" w:color="auto"/>
              <w:right w:val="dashed" w:sz="4" w:space="0" w:color="auto"/>
            </w:tcBorders>
            <w:noWrap/>
            <w:vAlign w:val="bottom"/>
            <w:hideMark/>
          </w:tcPr>
          <w:p w14:paraId="359484A6" w14:textId="77777777" w:rsidR="00D21F21" w:rsidRDefault="00D21F21" w:rsidP="00260739">
            <w:pPr>
              <w:jc w:val="center"/>
              <w:rPr>
                <w:rFonts w:ascii="GHEA Grapalat" w:hAnsi="GHEA Grapalat"/>
                <w:b/>
                <w:bCs/>
                <w:color w:val="000000"/>
                <w:sz w:val="14"/>
                <w:szCs w:val="14"/>
              </w:rPr>
            </w:pPr>
            <w:r>
              <w:rPr>
                <w:rFonts w:ascii="GHEA Grapalat" w:hAnsi="GHEA Grapalat"/>
                <w:b/>
                <w:bCs/>
                <w:color w:val="000000"/>
                <w:sz w:val="14"/>
                <w:szCs w:val="14"/>
              </w:rPr>
              <w:t>2011</w:t>
            </w:r>
          </w:p>
        </w:tc>
        <w:tc>
          <w:tcPr>
            <w:tcW w:w="666" w:type="dxa"/>
            <w:tcBorders>
              <w:top w:val="single" w:sz="6" w:space="0" w:color="auto"/>
              <w:left w:val="dashed" w:sz="4" w:space="0" w:color="auto"/>
              <w:bottom w:val="dashed" w:sz="4" w:space="0" w:color="auto"/>
              <w:right w:val="dashed" w:sz="4" w:space="0" w:color="auto"/>
            </w:tcBorders>
            <w:noWrap/>
            <w:vAlign w:val="bottom"/>
            <w:hideMark/>
          </w:tcPr>
          <w:p w14:paraId="1DB19858" w14:textId="77777777" w:rsidR="00D21F21" w:rsidRDefault="00D21F21" w:rsidP="00260739">
            <w:pPr>
              <w:jc w:val="center"/>
              <w:rPr>
                <w:rFonts w:ascii="GHEA Grapalat" w:hAnsi="GHEA Grapalat"/>
                <w:b/>
                <w:bCs/>
                <w:color w:val="000000"/>
                <w:sz w:val="14"/>
                <w:szCs w:val="14"/>
              </w:rPr>
            </w:pPr>
            <w:r>
              <w:rPr>
                <w:rFonts w:ascii="GHEA Grapalat" w:hAnsi="GHEA Grapalat"/>
                <w:b/>
                <w:bCs/>
                <w:color w:val="000000"/>
                <w:sz w:val="14"/>
                <w:szCs w:val="14"/>
              </w:rPr>
              <w:t>2012</w:t>
            </w:r>
          </w:p>
        </w:tc>
        <w:tc>
          <w:tcPr>
            <w:tcW w:w="666" w:type="dxa"/>
            <w:tcBorders>
              <w:top w:val="single" w:sz="6" w:space="0" w:color="auto"/>
              <w:left w:val="dashed" w:sz="4" w:space="0" w:color="auto"/>
              <w:bottom w:val="dashed" w:sz="4" w:space="0" w:color="auto"/>
              <w:right w:val="dashed" w:sz="4" w:space="0" w:color="auto"/>
            </w:tcBorders>
            <w:noWrap/>
            <w:vAlign w:val="bottom"/>
            <w:hideMark/>
          </w:tcPr>
          <w:p w14:paraId="412E18BF" w14:textId="77777777" w:rsidR="00D21F21" w:rsidRDefault="00D21F21" w:rsidP="00260739">
            <w:pPr>
              <w:jc w:val="center"/>
              <w:rPr>
                <w:rFonts w:ascii="GHEA Grapalat" w:hAnsi="GHEA Grapalat"/>
                <w:b/>
                <w:bCs/>
                <w:color w:val="000000"/>
                <w:sz w:val="14"/>
                <w:szCs w:val="14"/>
              </w:rPr>
            </w:pPr>
            <w:r>
              <w:rPr>
                <w:rFonts w:ascii="GHEA Grapalat" w:hAnsi="GHEA Grapalat"/>
                <w:b/>
                <w:bCs/>
                <w:color w:val="000000"/>
                <w:sz w:val="14"/>
                <w:szCs w:val="14"/>
              </w:rPr>
              <w:t>2013</w:t>
            </w:r>
          </w:p>
        </w:tc>
        <w:tc>
          <w:tcPr>
            <w:tcW w:w="667" w:type="dxa"/>
            <w:tcBorders>
              <w:top w:val="single" w:sz="6" w:space="0" w:color="auto"/>
              <w:left w:val="dashed" w:sz="4" w:space="0" w:color="auto"/>
              <w:bottom w:val="dashed" w:sz="4" w:space="0" w:color="auto"/>
              <w:right w:val="dashed" w:sz="4" w:space="0" w:color="auto"/>
            </w:tcBorders>
            <w:noWrap/>
            <w:vAlign w:val="bottom"/>
            <w:hideMark/>
          </w:tcPr>
          <w:p w14:paraId="20783ABE" w14:textId="77777777" w:rsidR="00D21F21" w:rsidRDefault="00D21F21" w:rsidP="00260739">
            <w:pPr>
              <w:jc w:val="center"/>
              <w:rPr>
                <w:rFonts w:ascii="GHEA Grapalat" w:hAnsi="GHEA Grapalat"/>
                <w:b/>
                <w:bCs/>
                <w:color w:val="000000"/>
                <w:sz w:val="14"/>
                <w:szCs w:val="14"/>
              </w:rPr>
            </w:pPr>
            <w:r>
              <w:rPr>
                <w:rFonts w:ascii="GHEA Grapalat" w:hAnsi="GHEA Grapalat"/>
                <w:b/>
                <w:bCs/>
                <w:color w:val="000000"/>
                <w:sz w:val="14"/>
                <w:szCs w:val="14"/>
              </w:rPr>
              <w:t>2014</w:t>
            </w:r>
          </w:p>
        </w:tc>
        <w:tc>
          <w:tcPr>
            <w:tcW w:w="666" w:type="dxa"/>
            <w:tcBorders>
              <w:top w:val="single" w:sz="6" w:space="0" w:color="auto"/>
              <w:left w:val="dashed" w:sz="4" w:space="0" w:color="auto"/>
              <w:bottom w:val="dashed" w:sz="4" w:space="0" w:color="auto"/>
              <w:right w:val="dashed" w:sz="4" w:space="0" w:color="auto"/>
            </w:tcBorders>
            <w:noWrap/>
            <w:vAlign w:val="bottom"/>
            <w:hideMark/>
          </w:tcPr>
          <w:p w14:paraId="3F725F51" w14:textId="77777777" w:rsidR="00D21F21" w:rsidRDefault="00D21F21" w:rsidP="00260739">
            <w:pPr>
              <w:jc w:val="center"/>
              <w:rPr>
                <w:rFonts w:ascii="GHEA Grapalat" w:hAnsi="GHEA Grapalat"/>
                <w:b/>
                <w:bCs/>
                <w:color w:val="000000"/>
                <w:sz w:val="14"/>
                <w:szCs w:val="14"/>
              </w:rPr>
            </w:pPr>
            <w:r>
              <w:rPr>
                <w:rFonts w:ascii="GHEA Grapalat" w:hAnsi="GHEA Grapalat"/>
                <w:b/>
                <w:bCs/>
                <w:color w:val="000000"/>
                <w:sz w:val="14"/>
                <w:szCs w:val="14"/>
              </w:rPr>
              <w:t>2015</w:t>
            </w:r>
          </w:p>
        </w:tc>
        <w:tc>
          <w:tcPr>
            <w:tcW w:w="666" w:type="dxa"/>
            <w:tcBorders>
              <w:top w:val="single" w:sz="6" w:space="0" w:color="auto"/>
              <w:left w:val="dashed" w:sz="4" w:space="0" w:color="auto"/>
              <w:bottom w:val="dashed" w:sz="4" w:space="0" w:color="auto"/>
              <w:right w:val="dashed" w:sz="4" w:space="0" w:color="auto"/>
            </w:tcBorders>
            <w:noWrap/>
            <w:vAlign w:val="bottom"/>
            <w:hideMark/>
          </w:tcPr>
          <w:p w14:paraId="21BF8D87" w14:textId="77777777" w:rsidR="00D21F21" w:rsidRDefault="00D21F21" w:rsidP="00260739">
            <w:pPr>
              <w:jc w:val="center"/>
              <w:rPr>
                <w:rFonts w:ascii="GHEA Grapalat" w:hAnsi="GHEA Grapalat"/>
                <w:b/>
                <w:bCs/>
                <w:color w:val="000000"/>
                <w:sz w:val="14"/>
                <w:szCs w:val="14"/>
              </w:rPr>
            </w:pPr>
            <w:r>
              <w:rPr>
                <w:rFonts w:ascii="GHEA Grapalat" w:hAnsi="GHEA Grapalat"/>
                <w:b/>
                <w:bCs/>
                <w:color w:val="000000"/>
                <w:sz w:val="14"/>
                <w:szCs w:val="14"/>
              </w:rPr>
              <w:t>2016</w:t>
            </w:r>
          </w:p>
        </w:tc>
        <w:tc>
          <w:tcPr>
            <w:tcW w:w="666" w:type="dxa"/>
            <w:tcBorders>
              <w:top w:val="single" w:sz="6"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4CA54B7C" w14:textId="77777777" w:rsidR="00D21F21" w:rsidRDefault="00D21F21" w:rsidP="00260739">
            <w:pPr>
              <w:jc w:val="center"/>
              <w:rPr>
                <w:rFonts w:ascii="GHEA Grapalat" w:hAnsi="GHEA Grapalat"/>
                <w:b/>
                <w:bCs/>
                <w:color w:val="000000"/>
                <w:sz w:val="14"/>
                <w:szCs w:val="14"/>
              </w:rPr>
            </w:pPr>
            <w:r>
              <w:rPr>
                <w:rFonts w:ascii="GHEA Grapalat" w:hAnsi="GHEA Grapalat"/>
                <w:b/>
                <w:bCs/>
                <w:color w:val="000000"/>
                <w:sz w:val="14"/>
                <w:szCs w:val="14"/>
              </w:rPr>
              <w:t>2017</w:t>
            </w:r>
          </w:p>
        </w:tc>
        <w:tc>
          <w:tcPr>
            <w:tcW w:w="666" w:type="dxa"/>
            <w:tcBorders>
              <w:top w:val="single" w:sz="6"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7C4DACE9" w14:textId="77777777" w:rsidR="00D21F21" w:rsidRDefault="00D21F21" w:rsidP="00260739">
            <w:pPr>
              <w:jc w:val="center"/>
              <w:rPr>
                <w:rFonts w:ascii="GHEA Grapalat" w:hAnsi="GHEA Grapalat"/>
                <w:b/>
                <w:bCs/>
                <w:sz w:val="14"/>
                <w:szCs w:val="14"/>
              </w:rPr>
            </w:pPr>
            <w:r>
              <w:rPr>
                <w:rFonts w:ascii="GHEA Grapalat" w:hAnsi="GHEA Grapalat"/>
                <w:b/>
                <w:bCs/>
                <w:sz w:val="14"/>
                <w:szCs w:val="14"/>
              </w:rPr>
              <w:t>2018</w:t>
            </w:r>
          </w:p>
        </w:tc>
        <w:tc>
          <w:tcPr>
            <w:tcW w:w="667" w:type="dxa"/>
            <w:tcBorders>
              <w:top w:val="single" w:sz="6" w:space="0" w:color="auto"/>
              <w:left w:val="dashed" w:sz="4" w:space="0" w:color="auto"/>
              <w:bottom w:val="dashed" w:sz="4" w:space="0" w:color="auto"/>
              <w:right w:val="single" w:sz="6" w:space="0" w:color="auto"/>
            </w:tcBorders>
            <w:shd w:val="clear" w:color="auto" w:fill="D9D9D9" w:themeFill="background1" w:themeFillShade="D9"/>
            <w:noWrap/>
            <w:vAlign w:val="bottom"/>
            <w:hideMark/>
          </w:tcPr>
          <w:p w14:paraId="4AEF50D1" w14:textId="77777777" w:rsidR="00D21F21" w:rsidRDefault="00D21F21" w:rsidP="00260739">
            <w:pPr>
              <w:jc w:val="center"/>
              <w:rPr>
                <w:rFonts w:ascii="GHEA Grapalat" w:hAnsi="GHEA Grapalat"/>
                <w:b/>
                <w:bCs/>
                <w:sz w:val="14"/>
                <w:szCs w:val="14"/>
              </w:rPr>
            </w:pPr>
            <w:r>
              <w:rPr>
                <w:rFonts w:ascii="GHEA Grapalat" w:hAnsi="GHEA Grapalat"/>
                <w:b/>
                <w:bCs/>
                <w:sz w:val="14"/>
                <w:szCs w:val="14"/>
              </w:rPr>
              <w:t>2019</w:t>
            </w:r>
          </w:p>
        </w:tc>
      </w:tr>
      <w:tr w:rsidR="00D21F21" w14:paraId="647D1F1B" w14:textId="77777777" w:rsidTr="00260739">
        <w:trPr>
          <w:cantSplit/>
          <w:trHeight w:val="772"/>
        </w:trPr>
        <w:tc>
          <w:tcPr>
            <w:tcW w:w="10206" w:type="dxa"/>
            <w:vMerge/>
            <w:tcBorders>
              <w:top w:val="single" w:sz="6" w:space="0" w:color="auto"/>
              <w:left w:val="single" w:sz="6" w:space="0" w:color="auto"/>
              <w:bottom w:val="single" w:sz="6" w:space="0" w:color="auto"/>
              <w:right w:val="dashed" w:sz="4" w:space="0" w:color="auto"/>
            </w:tcBorders>
            <w:vAlign w:val="center"/>
            <w:hideMark/>
          </w:tcPr>
          <w:p w14:paraId="3EC6C645" w14:textId="77777777" w:rsidR="00D21F21" w:rsidRDefault="00D21F21" w:rsidP="00260739">
            <w:pPr>
              <w:rPr>
                <w:rFonts w:ascii="GHEA Grapalat" w:hAnsi="GHEA Grapalat"/>
                <w:b/>
                <w:bCs/>
                <w:color w:val="000000"/>
                <w:sz w:val="14"/>
                <w:szCs w:val="14"/>
              </w:rPr>
            </w:pPr>
          </w:p>
        </w:tc>
        <w:tc>
          <w:tcPr>
            <w:tcW w:w="666" w:type="dxa"/>
            <w:tcBorders>
              <w:top w:val="dashed" w:sz="4" w:space="0" w:color="auto"/>
              <w:left w:val="dashed" w:sz="4" w:space="0" w:color="auto"/>
              <w:bottom w:val="single" w:sz="6" w:space="0" w:color="auto"/>
              <w:right w:val="dashed" w:sz="4" w:space="0" w:color="auto"/>
            </w:tcBorders>
            <w:noWrap/>
            <w:textDirection w:val="btLr"/>
            <w:vAlign w:val="center"/>
            <w:hideMark/>
          </w:tcPr>
          <w:p w14:paraId="6AB1141D" w14:textId="77777777" w:rsidR="00D21F21" w:rsidRDefault="00D21F21" w:rsidP="00260739">
            <w:pPr>
              <w:ind w:left="113" w:right="113"/>
              <w:rPr>
                <w:rFonts w:ascii="GHEA Grapalat" w:hAnsi="GHEA Grapalat"/>
                <w:b/>
                <w:bCs/>
                <w:color w:val="000000"/>
                <w:sz w:val="14"/>
                <w:szCs w:val="14"/>
              </w:rPr>
            </w:pPr>
            <w:r>
              <w:rPr>
                <w:rFonts w:ascii="GHEA Grapalat" w:hAnsi="GHEA Grapalat"/>
                <w:b/>
                <w:bCs/>
                <w:color w:val="000000"/>
                <w:sz w:val="14"/>
                <w:szCs w:val="14"/>
              </w:rPr>
              <w:t>actual</w:t>
            </w:r>
          </w:p>
        </w:tc>
        <w:tc>
          <w:tcPr>
            <w:tcW w:w="666" w:type="dxa"/>
            <w:tcBorders>
              <w:top w:val="dashed" w:sz="4" w:space="0" w:color="auto"/>
              <w:left w:val="dashed" w:sz="4" w:space="0" w:color="auto"/>
              <w:bottom w:val="single" w:sz="6" w:space="0" w:color="auto"/>
              <w:right w:val="dashed" w:sz="4" w:space="0" w:color="auto"/>
            </w:tcBorders>
            <w:noWrap/>
            <w:textDirection w:val="btLr"/>
            <w:vAlign w:val="center"/>
            <w:hideMark/>
          </w:tcPr>
          <w:p w14:paraId="265D8E94" w14:textId="77777777" w:rsidR="00D21F21" w:rsidRDefault="00D21F21" w:rsidP="00260739">
            <w:pPr>
              <w:ind w:left="113" w:right="113"/>
              <w:rPr>
                <w:rFonts w:ascii="GHEA Grapalat" w:hAnsi="GHEA Grapalat"/>
                <w:b/>
                <w:bCs/>
                <w:color w:val="000000"/>
                <w:sz w:val="14"/>
                <w:szCs w:val="14"/>
              </w:rPr>
            </w:pPr>
            <w:r>
              <w:rPr>
                <w:rFonts w:ascii="GHEA Grapalat" w:hAnsi="GHEA Grapalat"/>
                <w:b/>
                <w:bCs/>
                <w:color w:val="000000"/>
                <w:sz w:val="14"/>
                <w:szCs w:val="14"/>
              </w:rPr>
              <w:t>actual</w:t>
            </w:r>
          </w:p>
        </w:tc>
        <w:tc>
          <w:tcPr>
            <w:tcW w:w="666" w:type="dxa"/>
            <w:tcBorders>
              <w:top w:val="dashed" w:sz="4" w:space="0" w:color="auto"/>
              <w:left w:val="dashed" w:sz="4" w:space="0" w:color="auto"/>
              <w:bottom w:val="single" w:sz="6" w:space="0" w:color="auto"/>
              <w:right w:val="dashed" w:sz="4" w:space="0" w:color="auto"/>
            </w:tcBorders>
            <w:noWrap/>
            <w:textDirection w:val="btLr"/>
            <w:vAlign w:val="center"/>
            <w:hideMark/>
          </w:tcPr>
          <w:p w14:paraId="6E3388C6" w14:textId="77777777" w:rsidR="00D21F21" w:rsidRDefault="00D21F21" w:rsidP="00260739">
            <w:pPr>
              <w:ind w:left="113" w:right="113"/>
              <w:rPr>
                <w:rFonts w:ascii="GHEA Grapalat" w:hAnsi="GHEA Grapalat"/>
                <w:b/>
                <w:bCs/>
                <w:color w:val="000000"/>
                <w:sz w:val="14"/>
                <w:szCs w:val="14"/>
              </w:rPr>
            </w:pPr>
            <w:r>
              <w:rPr>
                <w:rFonts w:ascii="GHEA Grapalat" w:hAnsi="GHEA Grapalat"/>
                <w:b/>
                <w:bCs/>
                <w:color w:val="000000"/>
                <w:sz w:val="14"/>
                <w:szCs w:val="14"/>
              </w:rPr>
              <w:t>actual</w:t>
            </w:r>
          </w:p>
        </w:tc>
        <w:tc>
          <w:tcPr>
            <w:tcW w:w="666" w:type="dxa"/>
            <w:tcBorders>
              <w:top w:val="dashed" w:sz="4" w:space="0" w:color="auto"/>
              <w:left w:val="dashed" w:sz="4" w:space="0" w:color="auto"/>
              <w:bottom w:val="single" w:sz="6" w:space="0" w:color="auto"/>
              <w:right w:val="dashed" w:sz="4" w:space="0" w:color="auto"/>
            </w:tcBorders>
            <w:noWrap/>
            <w:textDirection w:val="btLr"/>
            <w:vAlign w:val="center"/>
            <w:hideMark/>
          </w:tcPr>
          <w:p w14:paraId="4A12F8EF" w14:textId="77777777" w:rsidR="00D21F21" w:rsidRDefault="00D21F21" w:rsidP="00260739">
            <w:pPr>
              <w:ind w:left="113" w:right="113"/>
              <w:rPr>
                <w:rFonts w:ascii="GHEA Grapalat" w:hAnsi="GHEA Grapalat"/>
                <w:b/>
                <w:bCs/>
                <w:color w:val="000000"/>
                <w:sz w:val="14"/>
                <w:szCs w:val="14"/>
              </w:rPr>
            </w:pPr>
            <w:r>
              <w:rPr>
                <w:rFonts w:ascii="GHEA Grapalat" w:hAnsi="GHEA Grapalat"/>
                <w:b/>
                <w:bCs/>
                <w:color w:val="000000"/>
                <w:sz w:val="14"/>
                <w:szCs w:val="14"/>
              </w:rPr>
              <w:t>actual</w:t>
            </w:r>
          </w:p>
        </w:tc>
        <w:tc>
          <w:tcPr>
            <w:tcW w:w="667" w:type="dxa"/>
            <w:tcBorders>
              <w:top w:val="dashed" w:sz="4" w:space="0" w:color="auto"/>
              <w:left w:val="dashed" w:sz="4" w:space="0" w:color="auto"/>
              <w:bottom w:val="single" w:sz="6" w:space="0" w:color="auto"/>
              <w:right w:val="dashed" w:sz="4" w:space="0" w:color="auto"/>
            </w:tcBorders>
            <w:noWrap/>
            <w:textDirection w:val="btLr"/>
            <w:vAlign w:val="center"/>
            <w:hideMark/>
          </w:tcPr>
          <w:p w14:paraId="54E4BCF8" w14:textId="77777777" w:rsidR="00D21F21" w:rsidRDefault="00D21F21" w:rsidP="00260739">
            <w:pPr>
              <w:ind w:left="113" w:right="113"/>
              <w:rPr>
                <w:rFonts w:ascii="GHEA Grapalat" w:hAnsi="GHEA Grapalat"/>
                <w:b/>
                <w:bCs/>
                <w:color w:val="000000"/>
                <w:sz w:val="14"/>
                <w:szCs w:val="14"/>
              </w:rPr>
            </w:pPr>
            <w:r>
              <w:rPr>
                <w:rFonts w:ascii="GHEA Grapalat" w:hAnsi="GHEA Grapalat"/>
                <w:b/>
                <w:bCs/>
                <w:color w:val="000000"/>
                <w:sz w:val="14"/>
                <w:szCs w:val="14"/>
              </w:rPr>
              <w:t>actual</w:t>
            </w:r>
          </w:p>
        </w:tc>
        <w:tc>
          <w:tcPr>
            <w:tcW w:w="666" w:type="dxa"/>
            <w:tcBorders>
              <w:top w:val="dashed" w:sz="4" w:space="0" w:color="auto"/>
              <w:left w:val="dashed" w:sz="4" w:space="0" w:color="auto"/>
              <w:bottom w:val="single" w:sz="6" w:space="0" w:color="auto"/>
              <w:right w:val="dashed" w:sz="4" w:space="0" w:color="auto"/>
            </w:tcBorders>
            <w:noWrap/>
            <w:textDirection w:val="btLr"/>
            <w:vAlign w:val="center"/>
            <w:hideMark/>
          </w:tcPr>
          <w:p w14:paraId="66324F42" w14:textId="77777777" w:rsidR="00D21F21" w:rsidRDefault="00D21F21" w:rsidP="00260739">
            <w:pPr>
              <w:ind w:left="113" w:right="113"/>
              <w:rPr>
                <w:rFonts w:ascii="GHEA Grapalat" w:hAnsi="GHEA Grapalat"/>
                <w:b/>
                <w:bCs/>
                <w:color w:val="000000"/>
                <w:sz w:val="14"/>
                <w:szCs w:val="14"/>
              </w:rPr>
            </w:pPr>
            <w:r>
              <w:rPr>
                <w:rFonts w:ascii="GHEA Grapalat" w:hAnsi="GHEA Grapalat"/>
                <w:b/>
                <w:bCs/>
                <w:color w:val="000000"/>
                <w:sz w:val="14"/>
                <w:szCs w:val="14"/>
              </w:rPr>
              <w:t>actual</w:t>
            </w:r>
          </w:p>
        </w:tc>
        <w:tc>
          <w:tcPr>
            <w:tcW w:w="666" w:type="dxa"/>
            <w:tcBorders>
              <w:top w:val="dashed" w:sz="4" w:space="0" w:color="auto"/>
              <w:left w:val="dashed" w:sz="4" w:space="0" w:color="auto"/>
              <w:bottom w:val="single" w:sz="6" w:space="0" w:color="auto"/>
              <w:right w:val="dashed" w:sz="4" w:space="0" w:color="auto"/>
            </w:tcBorders>
            <w:noWrap/>
            <w:textDirection w:val="btLr"/>
            <w:vAlign w:val="center"/>
            <w:hideMark/>
          </w:tcPr>
          <w:p w14:paraId="331776A9" w14:textId="77777777" w:rsidR="00D21F21" w:rsidRDefault="00D21F21" w:rsidP="00260739">
            <w:pPr>
              <w:ind w:left="113" w:right="113"/>
              <w:rPr>
                <w:rFonts w:ascii="GHEA Grapalat" w:hAnsi="GHEA Grapalat"/>
                <w:b/>
                <w:bCs/>
                <w:color w:val="000000"/>
                <w:sz w:val="14"/>
                <w:szCs w:val="14"/>
              </w:rPr>
            </w:pPr>
            <w:r>
              <w:rPr>
                <w:rFonts w:ascii="GHEA Grapalat" w:hAnsi="GHEA Grapalat"/>
                <w:b/>
                <w:bCs/>
                <w:color w:val="000000"/>
                <w:sz w:val="14"/>
                <w:szCs w:val="14"/>
              </w:rPr>
              <w:t>actual</w:t>
            </w:r>
          </w:p>
        </w:tc>
        <w:tc>
          <w:tcPr>
            <w:tcW w:w="666" w:type="dxa"/>
            <w:tcBorders>
              <w:top w:val="dashed" w:sz="4" w:space="0" w:color="auto"/>
              <w:left w:val="dashed" w:sz="4" w:space="0" w:color="auto"/>
              <w:bottom w:val="single" w:sz="6" w:space="0" w:color="auto"/>
              <w:right w:val="dashed" w:sz="4" w:space="0" w:color="auto"/>
            </w:tcBorders>
            <w:shd w:val="clear" w:color="auto" w:fill="D9D9D9" w:themeFill="background1" w:themeFillShade="D9"/>
            <w:textDirection w:val="btLr"/>
            <w:vAlign w:val="center"/>
            <w:hideMark/>
          </w:tcPr>
          <w:p w14:paraId="26300983" w14:textId="77777777" w:rsidR="00D21F21" w:rsidRDefault="00D21F21" w:rsidP="00260739">
            <w:pPr>
              <w:ind w:left="113" w:right="113"/>
              <w:rPr>
                <w:rFonts w:ascii="GHEA Grapalat" w:hAnsi="GHEA Grapalat"/>
                <w:b/>
                <w:bCs/>
                <w:color w:val="000000"/>
                <w:sz w:val="14"/>
                <w:szCs w:val="14"/>
              </w:rPr>
            </w:pPr>
            <w:r>
              <w:rPr>
                <w:rFonts w:ascii="GHEA Grapalat" w:hAnsi="GHEA Grapalat"/>
                <w:b/>
                <w:bCs/>
                <w:color w:val="000000"/>
                <w:sz w:val="14"/>
                <w:szCs w:val="14"/>
              </w:rPr>
              <w:t>estimate</w:t>
            </w:r>
          </w:p>
        </w:tc>
        <w:tc>
          <w:tcPr>
            <w:tcW w:w="666" w:type="dxa"/>
            <w:tcBorders>
              <w:top w:val="dashed" w:sz="4" w:space="0" w:color="auto"/>
              <w:left w:val="dashed" w:sz="4" w:space="0" w:color="auto"/>
              <w:bottom w:val="single" w:sz="6" w:space="0" w:color="auto"/>
              <w:right w:val="dashed" w:sz="4" w:space="0" w:color="auto"/>
            </w:tcBorders>
            <w:shd w:val="clear" w:color="auto" w:fill="D9D9D9" w:themeFill="background1" w:themeFillShade="D9"/>
            <w:textDirection w:val="btLr"/>
            <w:vAlign w:val="center"/>
            <w:hideMark/>
          </w:tcPr>
          <w:p w14:paraId="1BE9B172" w14:textId="77777777" w:rsidR="00D21F21" w:rsidRDefault="00D21F21" w:rsidP="00260739">
            <w:pPr>
              <w:ind w:left="113" w:right="113"/>
              <w:rPr>
                <w:rFonts w:ascii="GHEA Grapalat" w:hAnsi="GHEA Grapalat"/>
                <w:b/>
                <w:bCs/>
                <w:sz w:val="14"/>
                <w:szCs w:val="14"/>
              </w:rPr>
            </w:pPr>
            <w:r>
              <w:rPr>
                <w:rFonts w:ascii="GHEA Grapalat" w:hAnsi="GHEA Grapalat"/>
                <w:b/>
                <w:bCs/>
                <w:sz w:val="14"/>
                <w:szCs w:val="14"/>
              </w:rPr>
              <w:t>program</w:t>
            </w:r>
          </w:p>
        </w:tc>
        <w:tc>
          <w:tcPr>
            <w:tcW w:w="667" w:type="dxa"/>
            <w:tcBorders>
              <w:top w:val="dashed" w:sz="4" w:space="0" w:color="auto"/>
              <w:left w:val="dashed" w:sz="4" w:space="0" w:color="auto"/>
              <w:bottom w:val="single" w:sz="6" w:space="0" w:color="auto"/>
              <w:right w:val="single" w:sz="6" w:space="0" w:color="auto"/>
            </w:tcBorders>
            <w:shd w:val="clear" w:color="auto" w:fill="D9D9D9" w:themeFill="background1" w:themeFillShade="D9"/>
            <w:textDirection w:val="btLr"/>
            <w:vAlign w:val="center"/>
            <w:hideMark/>
          </w:tcPr>
          <w:p w14:paraId="6F49277F" w14:textId="77777777" w:rsidR="00D21F21" w:rsidRDefault="00D21F21" w:rsidP="00260739">
            <w:pPr>
              <w:ind w:left="113" w:right="113"/>
              <w:rPr>
                <w:rFonts w:ascii="GHEA Grapalat" w:hAnsi="GHEA Grapalat"/>
                <w:b/>
                <w:bCs/>
                <w:sz w:val="14"/>
                <w:szCs w:val="14"/>
              </w:rPr>
            </w:pPr>
            <w:r>
              <w:rPr>
                <w:rFonts w:ascii="GHEA Grapalat" w:hAnsi="GHEA Grapalat"/>
                <w:b/>
                <w:bCs/>
                <w:sz w:val="14"/>
                <w:szCs w:val="14"/>
              </w:rPr>
              <w:t>program</w:t>
            </w:r>
          </w:p>
        </w:tc>
      </w:tr>
      <w:tr w:rsidR="00D21F21" w14:paraId="5DB14893" w14:textId="77777777" w:rsidTr="00260739">
        <w:trPr>
          <w:trHeight w:val="20"/>
        </w:trPr>
        <w:tc>
          <w:tcPr>
            <w:tcW w:w="10206" w:type="dxa"/>
            <w:gridSpan w:val="11"/>
            <w:tcBorders>
              <w:top w:val="single" w:sz="6" w:space="0" w:color="auto"/>
              <w:left w:val="single" w:sz="6" w:space="0" w:color="auto"/>
              <w:bottom w:val="dashed" w:sz="4" w:space="0" w:color="auto"/>
              <w:right w:val="single" w:sz="6" w:space="0" w:color="auto"/>
            </w:tcBorders>
            <w:noWrap/>
            <w:vAlign w:val="bottom"/>
            <w:hideMark/>
          </w:tcPr>
          <w:p w14:paraId="2F1F4546" w14:textId="77777777" w:rsidR="00D21F21" w:rsidRDefault="00D21F21" w:rsidP="00260739">
            <w:pPr>
              <w:spacing w:before="38" w:after="38"/>
              <w:rPr>
                <w:rFonts w:ascii="GHEA Grapalat" w:hAnsi="GHEA Grapalat"/>
                <w:b/>
                <w:bCs/>
                <w:sz w:val="14"/>
                <w:szCs w:val="14"/>
              </w:rPr>
            </w:pPr>
            <w:r>
              <w:rPr>
                <w:rFonts w:ascii="GHEA Grapalat" w:hAnsi="GHEA Grapalat"/>
                <w:b/>
                <w:bCs/>
                <w:color w:val="000000"/>
                <w:sz w:val="14"/>
                <w:szCs w:val="14"/>
              </w:rPr>
              <w:t>Prices</w:t>
            </w:r>
            <w:r>
              <w:rPr>
                <w:rFonts w:ascii="Calibri" w:hAnsi="Calibri" w:cs="Calibri"/>
                <w:b/>
                <w:bCs/>
                <w:sz w:val="14"/>
                <w:szCs w:val="14"/>
              </w:rPr>
              <w:t> </w:t>
            </w:r>
          </w:p>
        </w:tc>
      </w:tr>
      <w:tr w:rsidR="00D21F21" w14:paraId="3896508F" w14:textId="77777777" w:rsidTr="00260739">
        <w:trPr>
          <w:trHeight w:val="20"/>
        </w:trPr>
        <w:tc>
          <w:tcPr>
            <w:tcW w:w="3544" w:type="dxa"/>
            <w:tcBorders>
              <w:top w:val="dashed" w:sz="4" w:space="0" w:color="auto"/>
              <w:left w:val="single" w:sz="6" w:space="0" w:color="auto"/>
              <w:bottom w:val="dashed" w:sz="4" w:space="0" w:color="auto"/>
              <w:right w:val="dashed" w:sz="4" w:space="0" w:color="auto"/>
            </w:tcBorders>
            <w:noWrap/>
            <w:vAlign w:val="bottom"/>
            <w:hideMark/>
          </w:tcPr>
          <w:p w14:paraId="753A0771"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 xml:space="preserve">Inflation </w:t>
            </w:r>
            <w:r>
              <w:rPr>
                <w:rFonts w:ascii="GHEA Grapalat" w:hAnsi="GHEA Grapalat"/>
                <w:i/>
                <w:color w:val="000000"/>
                <w:sz w:val="14"/>
                <w:szCs w:val="14"/>
              </w:rPr>
              <w:t>(y/y, end of period, %)</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4E3C644C"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9.4</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7DE0A753"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4.7</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2E8014B0"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3.2</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02A66F65"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5.6</w:t>
            </w:r>
          </w:p>
        </w:tc>
        <w:tc>
          <w:tcPr>
            <w:tcW w:w="667" w:type="dxa"/>
            <w:tcBorders>
              <w:top w:val="dashed" w:sz="4" w:space="0" w:color="auto"/>
              <w:left w:val="dashed" w:sz="4" w:space="0" w:color="auto"/>
              <w:bottom w:val="dashed" w:sz="4" w:space="0" w:color="auto"/>
              <w:right w:val="dashed" w:sz="4" w:space="0" w:color="auto"/>
            </w:tcBorders>
            <w:noWrap/>
            <w:vAlign w:val="bottom"/>
            <w:hideMark/>
          </w:tcPr>
          <w:p w14:paraId="460C25CC"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4.6</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5B12CE1D"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-0.1</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7B7A188E"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-1.1</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160D009E"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2.5</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0BDD58C9"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4.2</w:t>
            </w:r>
          </w:p>
        </w:tc>
        <w:tc>
          <w:tcPr>
            <w:tcW w:w="667" w:type="dxa"/>
            <w:tcBorders>
              <w:top w:val="dashed" w:sz="4" w:space="0" w:color="auto"/>
              <w:left w:val="dashed" w:sz="4" w:space="0" w:color="auto"/>
              <w:bottom w:val="dashed" w:sz="4" w:space="0" w:color="auto"/>
              <w:right w:val="single" w:sz="6" w:space="0" w:color="auto"/>
            </w:tcBorders>
            <w:shd w:val="clear" w:color="auto" w:fill="D9D9D9" w:themeFill="background1" w:themeFillShade="D9"/>
            <w:noWrap/>
            <w:vAlign w:val="bottom"/>
            <w:hideMark/>
          </w:tcPr>
          <w:p w14:paraId="45A3D104"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4.4</w:t>
            </w:r>
          </w:p>
        </w:tc>
      </w:tr>
      <w:tr w:rsidR="00D21F21" w14:paraId="719DC964" w14:textId="77777777" w:rsidTr="00260739">
        <w:trPr>
          <w:trHeight w:val="20"/>
        </w:trPr>
        <w:tc>
          <w:tcPr>
            <w:tcW w:w="3544" w:type="dxa"/>
            <w:tcBorders>
              <w:top w:val="dashed" w:sz="4" w:space="0" w:color="auto"/>
              <w:left w:val="single" w:sz="6" w:space="0" w:color="auto"/>
              <w:bottom w:val="dashed" w:sz="4" w:space="0" w:color="auto"/>
              <w:right w:val="dashed" w:sz="4" w:space="0" w:color="auto"/>
            </w:tcBorders>
            <w:noWrap/>
            <w:vAlign w:val="bottom"/>
            <w:hideMark/>
          </w:tcPr>
          <w:p w14:paraId="799D4A13"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 xml:space="preserve">Consumer price index </w:t>
            </w:r>
            <w:r>
              <w:rPr>
                <w:rFonts w:ascii="GHEA Grapalat" w:hAnsi="GHEA Grapalat"/>
                <w:i/>
                <w:color w:val="000000"/>
                <w:sz w:val="14"/>
                <w:szCs w:val="14"/>
              </w:rPr>
              <w:t>(y/y, average, %)</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222FA9B9"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8.2</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198EEA90"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7.7</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1AC94D50"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2.6</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37A7B5FA"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5.8</w:t>
            </w:r>
          </w:p>
        </w:tc>
        <w:tc>
          <w:tcPr>
            <w:tcW w:w="667" w:type="dxa"/>
            <w:tcBorders>
              <w:top w:val="dashed" w:sz="4" w:space="0" w:color="auto"/>
              <w:left w:val="dashed" w:sz="4" w:space="0" w:color="auto"/>
              <w:bottom w:val="dashed" w:sz="4" w:space="0" w:color="auto"/>
              <w:right w:val="dashed" w:sz="4" w:space="0" w:color="auto"/>
            </w:tcBorders>
            <w:noWrap/>
            <w:vAlign w:val="bottom"/>
            <w:hideMark/>
          </w:tcPr>
          <w:p w14:paraId="37FD0F56"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3.0</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02423614"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3.7</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41215CF4"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-1.4</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37F7E59E"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1.2</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3C30BB3C"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3.3</w:t>
            </w:r>
          </w:p>
        </w:tc>
        <w:tc>
          <w:tcPr>
            <w:tcW w:w="667" w:type="dxa"/>
            <w:tcBorders>
              <w:top w:val="dashed" w:sz="4" w:space="0" w:color="auto"/>
              <w:left w:val="dashed" w:sz="4" w:space="0" w:color="auto"/>
              <w:bottom w:val="dashed" w:sz="4" w:space="0" w:color="auto"/>
              <w:right w:val="single" w:sz="6" w:space="0" w:color="auto"/>
            </w:tcBorders>
            <w:shd w:val="clear" w:color="auto" w:fill="D9D9D9" w:themeFill="background1" w:themeFillShade="D9"/>
            <w:noWrap/>
            <w:vAlign w:val="bottom"/>
            <w:hideMark/>
          </w:tcPr>
          <w:p w14:paraId="348BC8A9"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4.3</w:t>
            </w:r>
          </w:p>
        </w:tc>
      </w:tr>
      <w:tr w:rsidR="00D21F21" w14:paraId="523C7231" w14:textId="77777777" w:rsidTr="00260739">
        <w:trPr>
          <w:trHeight w:val="20"/>
        </w:trPr>
        <w:tc>
          <w:tcPr>
            <w:tcW w:w="3544" w:type="dxa"/>
            <w:tcBorders>
              <w:top w:val="dashed" w:sz="4" w:space="0" w:color="auto"/>
              <w:left w:val="single" w:sz="6" w:space="0" w:color="auto"/>
              <w:bottom w:val="single" w:sz="6" w:space="0" w:color="auto"/>
              <w:right w:val="dashed" w:sz="4" w:space="0" w:color="auto"/>
            </w:tcBorders>
            <w:noWrap/>
            <w:vAlign w:val="bottom"/>
            <w:hideMark/>
          </w:tcPr>
          <w:p w14:paraId="4D4404E7"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 xml:space="preserve">Core inflation </w:t>
            </w:r>
            <w:r>
              <w:rPr>
                <w:rFonts w:ascii="GHEA Grapalat" w:hAnsi="GHEA Grapalat"/>
                <w:i/>
                <w:color w:val="000000"/>
                <w:sz w:val="14"/>
                <w:szCs w:val="14"/>
              </w:rPr>
              <w:t>(y/y, average, %)</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457CEA42"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7.5</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6433C5BC"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8.6</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31359C62"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5.3</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70BD2255"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5.8</w:t>
            </w:r>
          </w:p>
        </w:tc>
        <w:tc>
          <w:tcPr>
            <w:tcW w:w="667" w:type="dxa"/>
            <w:tcBorders>
              <w:top w:val="dashed" w:sz="4" w:space="0" w:color="auto"/>
              <w:left w:val="dashed" w:sz="4" w:space="0" w:color="auto"/>
              <w:bottom w:val="single" w:sz="6" w:space="0" w:color="auto"/>
              <w:right w:val="dashed" w:sz="4" w:space="0" w:color="auto"/>
            </w:tcBorders>
            <w:noWrap/>
            <w:vAlign w:val="bottom"/>
            <w:hideMark/>
          </w:tcPr>
          <w:p w14:paraId="22DB02B4"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1.9</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4703758D"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5.1</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6AC18AF8"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-2.0</w:t>
            </w:r>
          </w:p>
        </w:tc>
        <w:tc>
          <w:tcPr>
            <w:tcW w:w="666" w:type="dxa"/>
            <w:tcBorders>
              <w:top w:val="dashed" w:sz="4" w:space="0" w:color="auto"/>
              <w:left w:val="dashed" w:sz="4" w:space="0" w:color="auto"/>
              <w:bottom w:val="single" w:sz="6" w:space="0" w:color="auto"/>
              <w:right w:val="dashed" w:sz="4" w:space="0" w:color="auto"/>
            </w:tcBorders>
            <w:shd w:val="clear" w:color="auto" w:fill="D9D9D9" w:themeFill="background1" w:themeFillShade="D9"/>
            <w:noWrap/>
            <w:vAlign w:val="bottom"/>
            <w:hideMark/>
          </w:tcPr>
          <w:p w14:paraId="1DFD49C0"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0.7</w:t>
            </w:r>
          </w:p>
        </w:tc>
        <w:tc>
          <w:tcPr>
            <w:tcW w:w="666" w:type="dxa"/>
            <w:tcBorders>
              <w:top w:val="dashed" w:sz="4" w:space="0" w:color="auto"/>
              <w:left w:val="dashed" w:sz="4" w:space="0" w:color="auto"/>
              <w:bottom w:val="single" w:sz="6" w:space="0" w:color="auto"/>
              <w:right w:val="dashed" w:sz="4" w:space="0" w:color="auto"/>
            </w:tcBorders>
            <w:shd w:val="clear" w:color="auto" w:fill="D9D9D9" w:themeFill="background1" w:themeFillShade="D9"/>
            <w:noWrap/>
            <w:vAlign w:val="bottom"/>
            <w:hideMark/>
          </w:tcPr>
          <w:p w14:paraId="190315AE"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4.5</w:t>
            </w:r>
          </w:p>
        </w:tc>
        <w:tc>
          <w:tcPr>
            <w:tcW w:w="667" w:type="dxa"/>
            <w:tcBorders>
              <w:top w:val="dashed" w:sz="4" w:space="0" w:color="auto"/>
              <w:left w:val="dashed" w:sz="4" w:space="0" w:color="auto"/>
              <w:bottom w:val="single" w:sz="6" w:space="0" w:color="auto"/>
              <w:right w:val="single" w:sz="6" w:space="0" w:color="auto"/>
            </w:tcBorders>
            <w:shd w:val="clear" w:color="auto" w:fill="D9D9D9" w:themeFill="background1" w:themeFillShade="D9"/>
            <w:noWrap/>
            <w:vAlign w:val="bottom"/>
            <w:hideMark/>
          </w:tcPr>
          <w:p w14:paraId="26638044"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5.4</w:t>
            </w:r>
          </w:p>
        </w:tc>
      </w:tr>
      <w:tr w:rsidR="00D21F21" w14:paraId="2EF6848C" w14:textId="77777777" w:rsidTr="00260739">
        <w:trPr>
          <w:trHeight w:val="20"/>
        </w:trPr>
        <w:tc>
          <w:tcPr>
            <w:tcW w:w="10206" w:type="dxa"/>
            <w:gridSpan w:val="11"/>
            <w:tcBorders>
              <w:top w:val="single" w:sz="6" w:space="0" w:color="auto"/>
              <w:left w:val="single" w:sz="6" w:space="0" w:color="auto"/>
              <w:bottom w:val="dashed" w:sz="4" w:space="0" w:color="auto"/>
              <w:right w:val="single" w:sz="6" w:space="0" w:color="auto"/>
            </w:tcBorders>
            <w:noWrap/>
            <w:vAlign w:val="bottom"/>
            <w:hideMark/>
          </w:tcPr>
          <w:p w14:paraId="73F59232" w14:textId="77777777" w:rsidR="00D21F21" w:rsidRDefault="00D21F21" w:rsidP="00260739">
            <w:pPr>
              <w:spacing w:before="38" w:after="38"/>
              <w:rPr>
                <w:rFonts w:ascii="GHEA Grapalat" w:hAnsi="GHEA Grapalat"/>
                <w:b/>
                <w:bCs/>
                <w:sz w:val="14"/>
                <w:szCs w:val="14"/>
              </w:rPr>
            </w:pPr>
            <w:r>
              <w:rPr>
                <w:rFonts w:ascii="GHEA Grapalat" w:hAnsi="GHEA Grapalat"/>
                <w:b/>
                <w:bCs/>
                <w:color w:val="000000"/>
                <w:sz w:val="14"/>
                <w:szCs w:val="14"/>
              </w:rPr>
              <w:t>Gross product</w:t>
            </w:r>
          </w:p>
        </w:tc>
      </w:tr>
      <w:tr w:rsidR="00D21F21" w14:paraId="55E34497" w14:textId="77777777" w:rsidTr="00260739">
        <w:trPr>
          <w:trHeight w:val="20"/>
        </w:trPr>
        <w:tc>
          <w:tcPr>
            <w:tcW w:w="3544" w:type="dxa"/>
            <w:tcBorders>
              <w:top w:val="dashed" w:sz="4" w:space="0" w:color="auto"/>
              <w:left w:val="single" w:sz="6" w:space="0" w:color="auto"/>
              <w:bottom w:val="dashed" w:sz="4" w:space="0" w:color="auto"/>
              <w:right w:val="dashed" w:sz="4" w:space="0" w:color="auto"/>
            </w:tcBorders>
            <w:noWrap/>
            <w:vAlign w:val="bottom"/>
            <w:hideMark/>
          </w:tcPr>
          <w:p w14:paraId="4247B66B"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 xml:space="preserve">GDP </w:t>
            </w:r>
            <w:r>
              <w:rPr>
                <w:rFonts w:ascii="GHEA Grapalat" w:hAnsi="GHEA Grapalat"/>
                <w:i/>
                <w:color w:val="000000"/>
                <w:sz w:val="14"/>
                <w:szCs w:val="14"/>
              </w:rPr>
              <w:t>(billion Armenian dram)</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542DEC41"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3690.0</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00CD5B19"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4028.9</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612C8D9F"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4266.5</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0541E7CE"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4555.6</w:t>
            </w:r>
          </w:p>
        </w:tc>
        <w:tc>
          <w:tcPr>
            <w:tcW w:w="667" w:type="dxa"/>
            <w:tcBorders>
              <w:top w:val="dashed" w:sz="4" w:space="0" w:color="auto"/>
              <w:left w:val="dashed" w:sz="4" w:space="0" w:color="auto"/>
              <w:bottom w:val="dashed" w:sz="4" w:space="0" w:color="auto"/>
              <w:right w:val="dashed" w:sz="4" w:space="0" w:color="auto"/>
            </w:tcBorders>
            <w:noWrap/>
            <w:vAlign w:val="bottom"/>
            <w:hideMark/>
          </w:tcPr>
          <w:p w14:paraId="4C667D03"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4828.6</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12D6B841"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5043.6</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5267591F"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5079.7</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61D2ED5A"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5394.6</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73E86F88"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5784.3</w:t>
            </w:r>
          </w:p>
        </w:tc>
        <w:tc>
          <w:tcPr>
            <w:tcW w:w="667" w:type="dxa"/>
            <w:tcBorders>
              <w:top w:val="dashed" w:sz="4" w:space="0" w:color="auto"/>
              <w:left w:val="dashed" w:sz="4" w:space="0" w:color="auto"/>
              <w:bottom w:val="dashed" w:sz="4" w:space="0" w:color="auto"/>
              <w:right w:val="single" w:sz="6" w:space="0" w:color="auto"/>
            </w:tcBorders>
            <w:shd w:val="clear" w:color="auto" w:fill="D9D9D9" w:themeFill="background1" w:themeFillShade="D9"/>
            <w:noWrap/>
            <w:vAlign w:val="bottom"/>
            <w:hideMark/>
          </w:tcPr>
          <w:p w14:paraId="370BAC71" w14:textId="77777777" w:rsidR="00D21F21" w:rsidRDefault="00D21F21" w:rsidP="00260739">
            <w:pPr>
              <w:spacing w:before="38" w:after="38"/>
              <w:ind w:right="57"/>
              <w:jc w:val="right"/>
              <w:rPr>
                <w:rFonts w:ascii="GHEA Grapalat" w:hAnsi="GHEA Grapalat"/>
                <w:sz w:val="14"/>
                <w:szCs w:val="14"/>
              </w:rPr>
            </w:pPr>
            <w:r>
              <w:rPr>
                <w:rFonts w:ascii="GHEA Grapalat" w:hAnsi="GHEA Grapalat" w:cs="Calibri"/>
                <w:sz w:val="14"/>
                <w:szCs w:val="14"/>
              </w:rPr>
              <w:t>6268.5</w:t>
            </w:r>
          </w:p>
        </w:tc>
      </w:tr>
      <w:tr w:rsidR="00D21F21" w14:paraId="5E12AE93" w14:textId="77777777" w:rsidTr="00260739">
        <w:trPr>
          <w:trHeight w:val="20"/>
        </w:trPr>
        <w:tc>
          <w:tcPr>
            <w:tcW w:w="3544" w:type="dxa"/>
            <w:tcBorders>
              <w:top w:val="dashed" w:sz="4" w:space="0" w:color="auto"/>
              <w:left w:val="single" w:sz="6" w:space="0" w:color="auto"/>
              <w:bottom w:val="single" w:sz="6" w:space="0" w:color="auto"/>
              <w:right w:val="dashed" w:sz="4" w:space="0" w:color="auto"/>
            </w:tcBorders>
            <w:noWrap/>
            <w:vAlign w:val="bottom"/>
            <w:hideMark/>
          </w:tcPr>
          <w:p w14:paraId="0ACB3105"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 xml:space="preserve">GDP </w:t>
            </w:r>
            <w:r>
              <w:rPr>
                <w:rFonts w:ascii="GHEA Grapalat" w:hAnsi="GHEA Grapalat"/>
                <w:i/>
                <w:color w:val="000000"/>
                <w:sz w:val="14"/>
                <w:szCs w:val="14"/>
              </w:rPr>
              <w:t>(%, real growth)</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30245054"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2.2</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7C2A733D"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4.7</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0393EB5E"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7.2</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5CB92088"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3.3</w:t>
            </w:r>
          </w:p>
        </w:tc>
        <w:tc>
          <w:tcPr>
            <w:tcW w:w="667" w:type="dxa"/>
            <w:tcBorders>
              <w:top w:val="dashed" w:sz="4" w:space="0" w:color="auto"/>
              <w:left w:val="dashed" w:sz="4" w:space="0" w:color="auto"/>
              <w:bottom w:val="single" w:sz="6" w:space="0" w:color="auto"/>
              <w:right w:val="dashed" w:sz="4" w:space="0" w:color="auto"/>
            </w:tcBorders>
            <w:noWrap/>
            <w:vAlign w:val="bottom"/>
            <w:hideMark/>
          </w:tcPr>
          <w:p w14:paraId="4521E1C4"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3.6</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3FDEE64F"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3.2</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653630D3"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0.2</w:t>
            </w:r>
          </w:p>
        </w:tc>
        <w:tc>
          <w:tcPr>
            <w:tcW w:w="666" w:type="dxa"/>
            <w:tcBorders>
              <w:top w:val="dashed" w:sz="4" w:space="0" w:color="auto"/>
              <w:left w:val="dashed" w:sz="4" w:space="0" w:color="auto"/>
              <w:bottom w:val="single" w:sz="6" w:space="0" w:color="auto"/>
              <w:right w:val="dashed" w:sz="4" w:space="0" w:color="auto"/>
            </w:tcBorders>
            <w:shd w:val="clear" w:color="auto" w:fill="D9D9D9" w:themeFill="background1" w:themeFillShade="D9"/>
            <w:noWrap/>
            <w:vAlign w:val="bottom"/>
            <w:hideMark/>
          </w:tcPr>
          <w:p w14:paraId="6AFBFD78"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4.6</w:t>
            </w:r>
          </w:p>
        </w:tc>
        <w:tc>
          <w:tcPr>
            <w:tcW w:w="666" w:type="dxa"/>
            <w:tcBorders>
              <w:top w:val="dashed" w:sz="4" w:space="0" w:color="auto"/>
              <w:left w:val="dashed" w:sz="4" w:space="0" w:color="auto"/>
              <w:bottom w:val="single" w:sz="6" w:space="0" w:color="auto"/>
              <w:right w:val="dashed" w:sz="4" w:space="0" w:color="auto"/>
            </w:tcBorders>
            <w:shd w:val="clear" w:color="auto" w:fill="D9D9D9" w:themeFill="background1" w:themeFillShade="D9"/>
            <w:noWrap/>
            <w:vAlign w:val="bottom"/>
            <w:hideMark/>
          </w:tcPr>
          <w:p w14:paraId="6037D73B"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4.1</w:t>
            </w:r>
          </w:p>
        </w:tc>
        <w:tc>
          <w:tcPr>
            <w:tcW w:w="667" w:type="dxa"/>
            <w:tcBorders>
              <w:top w:val="dashed" w:sz="4" w:space="0" w:color="auto"/>
              <w:left w:val="dashed" w:sz="4" w:space="0" w:color="auto"/>
              <w:bottom w:val="single" w:sz="6" w:space="0" w:color="auto"/>
              <w:right w:val="single" w:sz="6" w:space="0" w:color="auto"/>
            </w:tcBorders>
            <w:shd w:val="clear" w:color="auto" w:fill="D9D9D9" w:themeFill="background1" w:themeFillShade="D9"/>
            <w:noWrap/>
            <w:vAlign w:val="bottom"/>
            <w:hideMark/>
          </w:tcPr>
          <w:p w14:paraId="5948EF56"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4.2</w:t>
            </w:r>
          </w:p>
        </w:tc>
      </w:tr>
      <w:tr w:rsidR="00D21F21" w14:paraId="216487DD" w14:textId="77777777" w:rsidTr="00260739">
        <w:trPr>
          <w:trHeight w:val="20"/>
        </w:trPr>
        <w:tc>
          <w:tcPr>
            <w:tcW w:w="10206" w:type="dxa"/>
            <w:gridSpan w:val="11"/>
            <w:tcBorders>
              <w:top w:val="single" w:sz="6" w:space="0" w:color="auto"/>
              <w:left w:val="single" w:sz="6" w:space="0" w:color="auto"/>
              <w:bottom w:val="dashed" w:sz="4" w:space="0" w:color="auto"/>
              <w:right w:val="single" w:sz="6" w:space="0" w:color="auto"/>
            </w:tcBorders>
            <w:noWrap/>
            <w:vAlign w:val="bottom"/>
            <w:hideMark/>
          </w:tcPr>
          <w:p w14:paraId="0DC032AB" w14:textId="77777777" w:rsidR="00D21F21" w:rsidRDefault="00D21F21" w:rsidP="00260739">
            <w:pPr>
              <w:spacing w:before="38" w:after="38"/>
              <w:rPr>
                <w:rFonts w:ascii="GHEA Grapalat" w:hAnsi="GHEA Grapalat"/>
                <w:b/>
                <w:bCs/>
                <w:sz w:val="14"/>
                <w:szCs w:val="14"/>
              </w:rPr>
            </w:pPr>
            <w:r>
              <w:rPr>
                <w:rFonts w:ascii="GHEA Grapalat" w:hAnsi="GHEA Grapalat"/>
                <w:b/>
                <w:bCs/>
                <w:color w:val="000000"/>
                <w:sz w:val="14"/>
                <w:szCs w:val="14"/>
              </w:rPr>
              <w:t>Supply</w:t>
            </w:r>
          </w:p>
        </w:tc>
      </w:tr>
      <w:tr w:rsidR="00D21F21" w14:paraId="66614649" w14:textId="77777777" w:rsidTr="00260739">
        <w:trPr>
          <w:trHeight w:val="20"/>
        </w:trPr>
        <w:tc>
          <w:tcPr>
            <w:tcW w:w="3544" w:type="dxa"/>
            <w:tcBorders>
              <w:top w:val="dashed" w:sz="4" w:space="0" w:color="auto"/>
              <w:left w:val="single" w:sz="6" w:space="0" w:color="auto"/>
              <w:bottom w:val="dashed" w:sz="4" w:space="0" w:color="auto"/>
              <w:right w:val="dashed" w:sz="4" w:space="0" w:color="auto"/>
            </w:tcBorders>
            <w:noWrap/>
            <w:vAlign w:val="bottom"/>
            <w:hideMark/>
          </w:tcPr>
          <w:p w14:paraId="28BCF68A"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 xml:space="preserve">Industry </w:t>
            </w:r>
            <w:r>
              <w:rPr>
                <w:rFonts w:ascii="GHEA Grapalat" w:hAnsi="GHEA Grapalat"/>
                <w:i/>
                <w:color w:val="000000"/>
                <w:sz w:val="14"/>
                <w:szCs w:val="14"/>
              </w:rPr>
              <w:t xml:space="preserve">(%,real growth) </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744ACA05"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9.2</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7435235D"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13.6</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359AA93C"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6.4</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095B45C8"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6.3</w:t>
            </w:r>
          </w:p>
        </w:tc>
        <w:tc>
          <w:tcPr>
            <w:tcW w:w="667" w:type="dxa"/>
            <w:tcBorders>
              <w:top w:val="dashed" w:sz="4" w:space="0" w:color="auto"/>
              <w:left w:val="dashed" w:sz="4" w:space="0" w:color="auto"/>
              <w:bottom w:val="dashed" w:sz="4" w:space="0" w:color="auto"/>
              <w:right w:val="dashed" w:sz="4" w:space="0" w:color="auto"/>
            </w:tcBorders>
            <w:noWrap/>
            <w:vAlign w:val="bottom"/>
            <w:hideMark/>
          </w:tcPr>
          <w:p w14:paraId="0D90BB1D"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-0.9</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0466F685"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6.2</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7D0BFB85"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5.1</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4FBD07CA"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7.5</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21E0AE92"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4.9</w:t>
            </w:r>
          </w:p>
        </w:tc>
        <w:tc>
          <w:tcPr>
            <w:tcW w:w="667" w:type="dxa"/>
            <w:tcBorders>
              <w:top w:val="dashed" w:sz="4" w:space="0" w:color="auto"/>
              <w:left w:val="dashed" w:sz="4" w:space="0" w:color="auto"/>
              <w:bottom w:val="dashed" w:sz="4" w:space="0" w:color="auto"/>
              <w:right w:val="single" w:sz="6" w:space="0" w:color="auto"/>
            </w:tcBorders>
            <w:shd w:val="clear" w:color="auto" w:fill="D9D9D9" w:themeFill="background1" w:themeFillShade="D9"/>
            <w:noWrap/>
            <w:vAlign w:val="bottom"/>
            <w:hideMark/>
          </w:tcPr>
          <w:p w14:paraId="4395D6E1"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6.6</w:t>
            </w:r>
          </w:p>
        </w:tc>
      </w:tr>
      <w:tr w:rsidR="00D21F21" w14:paraId="1155AE7B" w14:textId="77777777" w:rsidTr="00260739">
        <w:trPr>
          <w:trHeight w:val="20"/>
        </w:trPr>
        <w:tc>
          <w:tcPr>
            <w:tcW w:w="3544" w:type="dxa"/>
            <w:tcBorders>
              <w:top w:val="dashed" w:sz="4" w:space="0" w:color="auto"/>
              <w:left w:val="single" w:sz="6" w:space="0" w:color="auto"/>
              <w:bottom w:val="dashed" w:sz="4" w:space="0" w:color="auto"/>
              <w:right w:val="dashed" w:sz="4" w:space="0" w:color="auto"/>
            </w:tcBorders>
            <w:noWrap/>
            <w:vAlign w:val="bottom"/>
            <w:hideMark/>
          </w:tcPr>
          <w:p w14:paraId="3CD24279"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 xml:space="preserve">Agriculture </w:t>
            </w:r>
            <w:r>
              <w:rPr>
                <w:rFonts w:ascii="GHEA Grapalat" w:hAnsi="GHEA Grapalat"/>
                <w:i/>
                <w:color w:val="000000"/>
                <w:sz w:val="14"/>
                <w:szCs w:val="14"/>
              </w:rPr>
              <w:t>(%,real growth)</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694D01A2"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-16.0</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4A449059"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14.0</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436280C5"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9.5</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34F2E89F"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7.6</w:t>
            </w:r>
          </w:p>
        </w:tc>
        <w:tc>
          <w:tcPr>
            <w:tcW w:w="667" w:type="dxa"/>
            <w:tcBorders>
              <w:top w:val="dashed" w:sz="4" w:space="0" w:color="auto"/>
              <w:left w:val="dashed" w:sz="4" w:space="0" w:color="auto"/>
              <w:bottom w:val="dashed" w:sz="4" w:space="0" w:color="auto"/>
              <w:right w:val="dashed" w:sz="4" w:space="0" w:color="auto"/>
            </w:tcBorders>
            <w:noWrap/>
            <w:vAlign w:val="bottom"/>
            <w:hideMark/>
          </w:tcPr>
          <w:p w14:paraId="65D2FA8B"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6.1</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69E29E14"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13.2</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35D76193"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-5.8</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22C704FE"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-7.2</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48174DC7"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6.9</w:t>
            </w:r>
          </w:p>
        </w:tc>
        <w:tc>
          <w:tcPr>
            <w:tcW w:w="667" w:type="dxa"/>
            <w:tcBorders>
              <w:top w:val="dashed" w:sz="4" w:space="0" w:color="auto"/>
              <w:left w:val="dashed" w:sz="4" w:space="0" w:color="auto"/>
              <w:bottom w:val="dashed" w:sz="4" w:space="0" w:color="auto"/>
              <w:right w:val="single" w:sz="6" w:space="0" w:color="auto"/>
            </w:tcBorders>
            <w:shd w:val="clear" w:color="auto" w:fill="D9D9D9" w:themeFill="background1" w:themeFillShade="D9"/>
            <w:noWrap/>
            <w:vAlign w:val="bottom"/>
            <w:hideMark/>
          </w:tcPr>
          <w:p w14:paraId="410FAC66"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7.4</w:t>
            </w:r>
          </w:p>
        </w:tc>
      </w:tr>
      <w:tr w:rsidR="00D21F21" w14:paraId="3B5DBFE5" w14:textId="77777777" w:rsidTr="00260739">
        <w:trPr>
          <w:trHeight w:val="20"/>
        </w:trPr>
        <w:tc>
          <w:tcPr>
            <w:tcW w:w="3544" w:type="dxa"/>
            <w:tcBorders>
              <w:top w:val="dashed" w:sz="4" w:space="0" w:color="auto"/>
              <w:left w:val="single" w:sz="6" w:space="0" w:color="auto"/>
              <w:bottom w:val="dashed" w:sz="4" w:space="0" w:color="auto"/>
              <w:right w:val="dashed" w:sz="4" w:space="0" w:color="auto"/>
            </w:tcBorders>
            <w:noWrap/>
            <w:vAlign w:val="bottom"/>
            <w:hideMark/>
          </w:tcPr>
          <w:p w14:paraId="1F136DF7"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 xml:space="preserve">Construction </w:t>
            </w:r>
            <w:r>
              <w:rPr>
                <w:rFonts w:ascii="GHEA Grapalat" w:hAnsi="GHEA Grapalat"/>
                <w:i/>
                <w:color w:val="000000"/>
                <w:sz w:val="14"/>
                <w:szCs w:val="14"/>
              </w:rPr>
              <w:t>(%,real growth)</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476E68EF"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3.3</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71BC683F"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-12.2</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63F82767"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4.5</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420C97A0"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-7.4</w:t>
            </w:r>
          </w:p>
        </w:tc>
        <w:tc>
          <w:tcPr>
            <w:tcW w:w="667" w:type="dxa"/>
            <w:tcBorders>
              <w:top w:val="dashed" w:sz="4" w:space="0" w:color="auto"/>
              <w:left w:val="dashed" w:sz="4" w:space="0" w:color="auto"/>
              <w:bottom w:val="dashed" w:sz="4" w:space="0" w:color="auto"/>
              <w:right w:val="dashed" w:sz="4" w:space="0" w:color="auto"/>
            </w:tcBorders>
            <w:noWrap/>
            <w:vAlign w:val="bottom"/>
            <w:hideMark/>
          </w:tcPr>
          <w:p w14:paraId="78219C9A"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-4.5</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3C81CB16"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-3.1</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5A58F0AB"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-11.3</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2115BC9F"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-7.2</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59F1D3D6"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4.3</w:t>
            </w:r>
          </w:p>
        </w:tc>
        <w:tc>
          <w:tcPr>
            <w:tcW w:w="667" w:type="dxa"/>
            <w:tcBorders>
              <w:top w:val="dashed" w:sz="4" w:space="0" w:color="auto"/>
              <w:left w:val="dashed" w:sz="4" w:space="0" w:color="auto"/>
              <w:bottom w:val="dashed" w:sz="4" w:space="0" w:color="auto"/>
              <w:right w:val="single" w:sz="6" w:space="0" w:color="auto"/>
            </w:tcBorders>
            <w:shd w:val="clear" w:color="auto" w:fill="D9D9D9" w:themeFill="background1" w:themeFillShade="D9"/>
            <w:noWrap/>
            <w:vAlign w:val="bottom"/>
            <w:hideMark/>
          </w:tcPr>
          <w:p w14:paraId="2D589BCD"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3.4</w:t>
            </w:r>
          </w:p>
        </w:tc>
      </w:tr>
      <w:tr w:rsidR="00D21F21" w14:paraId="44142B2C" w14:textId="77777777" w:rsidTr="00260739">
        <w:trPr>
          <w:trHeight w:val="20"/>
        </w:trPr>
        <w:tc>
          <w:tcPr>
            <w:tcW w:w="3544" w:type="dxa"/>
            <w:tcBorders>
              <w:top w:val="dashed" w:sz="4" w:space="0" w:color="auto"/>
              <w:left w:val="single" w:sz="6" w:space="0" w:color="auto"/>
              <w:bottom w:val="dashed" w:sz="4" w:space="0" w:color="auto"/>
              <w:right w:val="dashed" w:sz="4" w:space="0" w:color="auto"/>
            </w:tcBorders>
            <w:noWrap/>
            <w:vAlign w:val="bottom"/>
            <w:hideMark/>
          </w:tcPr>
          <w:p w14:paraId="1697856B"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 xml:space="preserve">Services </w:t>
            </w:r>
            <w:r>
              <w:rPr>
                <w:rFonts w:ascii="GHEA Grapalat" w:hAnsi="GHEA Grapalat"/>
                <w:i/>
                <w:color w:val="000000"/>
                <w:sz w:val="14"/>
                <w:szCs w:val="14"/>
              </w:rPr>
              <w:t>(%,real growth)</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4DE60973"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4.1</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0D0567BB"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4.7</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23693A71"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6.3</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16F3BBCC"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3.1</w:t>
            </w:r>
          </w:p>
        </w:tc>
        <w:tc>
          <w:tcPr>
            <w:tcW w:w="667" w:type="dxa"/>
            <w:tcBorders>
              <w:top w:val="dashed" w:sz="4" w:space="0" w:color="auto"/>
              <w:left w:val="dashed" w:sz="4" w:space="0" w:color="auto"/>
              <w:bottom w:val="dashed" w:sz="4" w:space="0" w:color="auto"/>
              <w:right w:val="dashed" w:sz="4" w:space="0" w:color="auto"/>
            </w:tcBorders>
            <w:noWrap/>
            <w:vAlign w:val="bottom"/>
            <w:hideMark/>
          </w:tcPr>
          <w:p w14:paraId="1F78442C"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6.7</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63DC1543"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1.6</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0D289DE9"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4.1</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6A3E9CB4"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8.9</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7F0E93E8"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3.2</w:t>
            </w:r>
          </w:p>
        </w:tc>
        <w:tc>
          <w:tcPr>
            <w:tcW w:w="667" w:type="dxa"/>
            <w:tcBorders>
              <w:top w:val="dashed" w:sz="4" w:space="0" w:color="auto"/>
              <w:left w:val="dashed" w:sz="4" w:space="0" w:color="auto"/>
              <w:bottom w:val="dashed" w:sz="4" w:space="0" w:color="auto"/>
              <w:right w:val="single" w:sz="6" w:space="0" w:color="auto"/>
            </w:tcBorders>
            <w:shd w:val="clear" w:color="auto" w:fill="D9D9D9" w:themeFill="background1" w:themeFillShade="D9"/>
            <w:noWrap/>
            <w:vAlign w:val="bottom"/>
            <w:hideMark/>
          </w:tcPr>
          <w:p w14:paraId="6D4D2869"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2.4</w:t>
            </w:r>
          </w:p>
        </w:tc>
      </w:tr>
      <w:tr w:rsidR="00D21F21" w14:paraId="6BC13C82" w14:textId="77777777" w:rsidTr="00260739">
        <w:trPr>
          <w:trHeight w:val="20"/>
        </w:trPr>
        <w:tc>
          <w:tcPr>
            <w:tcW w:w="3544" w:type="dxa"/>
            <w:tcBorders>
              <w:top w:val="dashed" w:sz="4" w:space="0" w:color="auto"/>
              <w:left w:val="single" w:sz="6" w:space="0" w:color="auto"/>
              <w:bottom w:val="single" w:sz="6" w:space="0" w:color="auto"/>
              <w:right w:val="dashed" w:sz="4" w:space="0" w:color="auto"/>
            </w:tcBorders>
            <w:noWrap/>
            <w:vAlign w:val="bottom"/>
            <w:hideMark/>
          </w:tcPr>
          <w:p w14:paraId="54C90788"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 xml:space="preserve">Taxes, net </w:t>
            </w:r>
            <w:r>
              <w:rPr>
                <w:rFonts w:ascii="GHEA Grapalat" w:hAnsi="GHEA Grapalat"/>
                <w:i/>
                <w:color w:val="000000"/>
                <w:sz w:val="14"/>
                <w:szCs w:val="14"/>
              </w:rPr>
              <w:t>(%,real growth)</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3F32D05C"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13.4</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1B703F1A"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3.8</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3C318E94"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9.9</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54379E34"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3.6</w:t>
            </w:r>
          </w:p>
        </w:tc>
        <w:tc>
          <w:tcPr>
            <w:tcW w:w="667" w:type="dxa"/>
            <w:tcBorders>
              <w:top w:val="dashed" w:sz="4" w:space="0" w:color="auto"/>
              <w:left w:val="dashed" w:sz="4" w:space="0" w:color="auto"/>
              <w:bottom w:val="single" w:sz="6" w:space="0" w:color="auto"/>
              <w:right w:val="dashed" w:sz="4" w:space="0" w:color="auto"/>
            </w:tcBorders>
            <w:noWrap/>
            <w:vAlign w:val="bottom"/>
            <w:hideMark/>
          </w:tcPr>
          <w:p w14:paraId="74BD13F1"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1.8</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14B309B4"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-5.1</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3387E953"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-4.3</w:t>
            </w:r>
          </w:p>
        </w:tc>
        <w:tc>
          <w:tcPr>
            <w:tcW w:w="666" w:type="dxa"/>
            <w:tcBorders>
              <w:top w:val="dashed" w:sz="4" w:space="0" w:color="auto"/>
              <w:left w:val="dashed" w:sz="4" w:space="0" w:color="auto"/>
              <w:bottom w:val="single" w:sz="6" w:space="0" w:color="auto"/>
              <w:right w:val="dashed" w:sz="4" w:space="0" w:color="auto"/>
            </w:tcBorders>
            <w:shd w:val="clear" w:color="auto" w:fill="D9D9D9" w:themeFill="background1" w:themeFillShade="D9"/>
            <w:noWrap/>
            <w:vAlign w:val="bottom"/>
            <w:hideMark/>
          </w:tcPr>
          <w:p w14:paraId="000EF211"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6.7</w:t>
            </w:r>
          </w:p>
        </w:tc>
        <w:tc>
          <w:tcPr>
            <w:tcW w:w="666" w:type="dxa"/>
            <w:tcBorders>
              <w:top w:val="dashed" w:sz="4" w:space="0" w:color="auto"/>
              <w:left w:val="dashed" w:sz="4" w:space="0" w:color="auto"/>
              <w:bottom w:val="single" w:sz="6" w:space="0" w:color="auto"/>
              <w:right w:val="dashed" w:sz="4" w:space="0" w:color="auto"/>
            </w:tcBorders>
            <w:shd w:val="clear" w:color="auto" w:fill="D9D9D9" w:themeFill="background1" w:themeFillShade="D9"/>
            <w:noWrap/>
            <w:vAlign w:val="bottom"/>
            <w:hideMark/>
          </w:tcPr>
          <w:p w14:paraId="586932A4"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3.4</w:t>
            </w:r>
          </w:p>
        </w:tc>
        <w:tc>
          <w:tcPr>
            <w:tcW w:w="667" w:type="dxa"/>
            <w:tcBorders>
              <w:top w:val="dashed" w:sz="4" w:space="0" w:color="auto"/>
              <w:left w:val="dashed" w:sz="4" w:space="0" w:color="auto"/>
              <w:bottom w:val="single" w:sz="6" w:space="0" w:color="auto"/>
              <w:right w:val="single" w:sz="6" w:space="0" w:color="auto"/>
            </w:tcBorders>
            <w:shd w:val="clear" w:color="auto" w:fill="D9D9D9" w:themeFill="background1" w:themeFillShade="D9"/>
            <w:noWrap/>
            <w:vAlign w:val="bottom"/>
            <w:hideMark/>
          </w:tcPr>
          <w:p w14:paraId="56C8ADD2"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4.3</w:t>
            </w:r>
          </w:p>
        </w:tc>
      </w:tr>
      <w:tr w:rsidR="00D21F21" w14:paraId="4FC5BD91" w14:textId="77777777" w:rsidTr="00260739">
        <w:trPr>
          <w:trHeight w:val="20"/>
        </w:trPr>
        <w:tc>
          <w:tcPr>
            <w:tcW w:w="10206" w:type="dxa"/>
            <w:gridSpan w:val="11"/>
            <w:tcBorders>
              <w:top w:val="single" w:sz="6" w:space="0" w:color="auto"/>
              <w:left w:val="single" w:sz="6" w:space="0" w:color="auto"/>
              <w:bottom w:val="dashed" w:sz="4" w:space="0" w:color="auto"/>
              <w:right w:val="single" w:sz="6" w:space="0" w:color="auto"/>
            </w:tcBorders>
            <w:noWrap/>
            <w:vAlign w:val="bottom"/>
            <w:hideMark/>
          </w:tcPr>
          <w:p w14:paraId="6F3B44A7" w14:textId="77777777" w:rsidR="00D21F21" w:rsidRDefault="00D21F21" w:rsidP="00260739">
            <w:pPr>
              <w:spacing w:before="38" w:after="38"/>
              <w:rPr>
                <w:rFonts w:ascii="GHEA Grapalat" w:hAnsi="GHEA Grapalat"/>
                <w:b/>
                <w:bCs/>
                <w:sz w:val="14"/>
                <w:szCs w:val="14"/>
              </w:rPr>
            </w:pPr>
            <w:r>
              <w:rPr>
                <w:rFonts w:ascii="GHEA Grapalat" w:hAnsi="GHEA Grapalat"/>
                <w:b/>
                <w:bCs/>
                <w:color w:val="000000"/>
                <w:sz w:val="14"/>
                <w:szCs w:val="14"/>
              </w:rPr>
              <w:t>Demand</w:t>
            </w:r>
          </w:p>
        </w:tc>
      </w:tr>
      <w:tr w:rsidR="00D21F21" w14:paraId="5518D9B4" w14:textId="77777777" w:rsidTr="00260739">
        <w:trPr>
          <w:trHeight w:val="20"/>
        </w:trPr>
        <w:tc>
          <w:tcPr>
            <w:tcW w:w="3544" w:type="dxa"/>
            <w:tcBorders>
              <w:top w:val="dashed" w:sz="4" w:space="0" w:color="auto"/>
              <w:left w:val="single" w:sz="6" w:space="0" w:color="auto"/>
              <w:bottom w:val="dashed" w:sz="4" w:space="0" w:color="auto"/>
              <w:right w:val="dashed" w:sz="4" w:space="0" w:color="auto"/>
            </w:tcBorders>
            <w:noWrap/>
            <w:vAlign w:val="bottom"/>
            <w:hideMark/>
          </w:tcPr>
          <w:p w14:paraId="70064A1A" w14:textId="77777777" w:rsidR="00D21F21" w:rsidRDefault="00D21F21" w:rsidP="00260739">
            <w:pPr>
              <w:spacing w:before="38" w:after="38"/>
              <w:rPr>
                <w:rFonts w:ascii="GHEA Grapalat" w:hAnsi="GHEA Grapalat"/>
                <w:color w:val="000000"/>
                <w:sz w:val="14"/>
                <w:szCs w:val="14"/>
              </w:rPr>
            </w:pPr>
            <w:r>
              <w:rPr>
                <w:rFonts w:ascii="GHEA Grapalat" w:hAnsi="GHEA Grapalat"/>
                <w:b/>
                <w:bCs/>
                <w:color w:val="000000"/>
                <w:sz w:val="14"/>
                <w:szCs w:val="14"/>
              </w:rPr>
              <w:t xml:space="preserve">Consumption </w:t>
            </w:r>
            <w:r>
              <w:rPr>
                <w:rFonts w:ascii="GHEA Grapalat" w:hAnsi="GHEA Grapalat"/>
                <w:i/>
                <w:color w:val="000000"/>
                <w:sz w:val="14"/>
                <w:szCs w:val="14"/>
              </w:rPr>
              <w:t xml:space="preserve">(%,real growth) </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3C55ACE6"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3.9</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3DD6CB4C"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2.6</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7441F0FB"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7.7</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20C6CD3D"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1.9</w:t>
            </w:r>
          </w:p>
        </w:tc>
        <w:tc>
          <w:tcPr>
            <w:tcW w:w="667" w:type="dxa"/>
            <w:tcBorders>
              <w:top w:val="dashed" w:sz="4" w:space="0" w:color="auto"/>
              <w:left w:val="dashed" w:sz="4" w:space="0" w:color="auto"/>
              <w:bottom w:val="dashed" w:sz="4" w:space="0" w:color="auto"/>
              <w:right w:val="dashed" w:sz="4" w:space="0" w:color="auto"/>
            </w:tcBorders>
            <w:noWrap/>
            <w:vAlign w:val="bottom"/>
            <w:hideMark/>
          </w:tcPr>
          <w:p w14:paraId="05BC60F9"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1.3</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26E0F2B2"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-6.4</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1ECB6005"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-0.9</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7B2F72FC"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6.6</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665B1F36"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3.5</w:t>
            </w:r>
          </w:p>
        </w:tc>
        <w:tc>
          <w:tcPr>
            <w:tcW w:w="667" w:type="dxa"/>
            <w:tcBorders>
              <w:top w:val="dashed" w:sz="4" w:space="0" w:color="auto"/>
              <w:left w:val="dashed" w:sz="4" w:space="0" w:color="auto"/>
              <w:bottom w:val="dashed" w:sz="4" w:space="0" w:color="auto"/>
              <w:right w:val="single" w:sz="6" w:space="0" w:color="auto"/>
            </w:tcBorders>
            <w:shd w:val="clear" w:color="auto" w:fill="D9D9D9" w:themeFill="background1" w:themeFillShade="D9"/>
            <w:noWrap/>
            <w:vAlign w:val="bottom"/>
            <w:hideMark/>
          </w:tcPr>
          <w:p w14:paraId="50C94996"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2.8</w:t>
            </w:r>
          </w:p>
        </w:tc>
      </w:tr>
      <w:tr w:rsidR="00D21F21" w14:paraId="1C80CFA0" w14:textId="77777777" w:rsidTr="00260739">
        <w:trPr>
          <w:trHeight w:val="20"/>
        </w:trPr>
        <w:tc>
          <w:tcPr>
            <w:tcW w:w="3544" w:type="dxa"/>
            <w:tcBorders>
              <w:top w:val="dashed" w:sz="4" w:space="0" w:color="auto"/>
              <w:left w:val="single" w:sz="6" w:space="0" w:color="auto"/>
              <w:bottom w:val="dashed" w:sz="4" w:space="0" w:color="auto"/>
              <w:right w:val="dashed" w:sz="4" w:space="0" w:color="auto"/>
            </w:tcBorders>
            <w:noWrap/>
            <w:vAlign w:val="bottom"/>
            <w:hideMark/>
          </w:tcPr>
          <w:p w14:paraId="3564C2E8"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 xml:space="preserve">   Public consumption </w:t>
            </w:r>
            <w:r>
              <w:rPr>
                <w:rFonts w:ascii="GHEA Grapalat" w:hAnsi="GHEA Grapalat"/>
                <w:i/>
                <w:color w:val="000000"/>
                <w:sz w:val="14"/>
                <w:szCs w:val="14"/>
              </w:rPr>
              <w:t>(%,real growth)</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75960310"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3.9</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17007347"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1.9</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07532504"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-1.4</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1BBFC31A"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8.7</w:t>
            </w:r>
          </w:p>
        </w:tc>
        <w:tc>
          <w:tcPr>
            <w:tcW w:w="667" w:type="dxa"/>
            <w:tcBorders>
              <w:top w:val="dashed" w:sz="4" w:space="0" w:color="auto"/>
              <w:left w:val="dashed" w:sz="4" w:space="0" w:color="auto"/>
              <w:bottom w:val="dashed" w:sz="4" w:space="0" w:color="auto"/>
              <w:right w:val="dashed" w:sz="4" w:space="0" w:color="auto"/>
            </w:tcBorders>
            <w:noWrap/>
            <w:vAlign w:val="bottom"/>
            <w:hideMark/>
          </w:tcPr>
          <w:p w14:paraId="26AC7C36"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3.4</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4225ED32"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4.5</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44097F3D"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0.9</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3B632C77"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2.2</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66AD9AE2"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1.0</w:t>
            </w:r>
          </w:p>
        </w:tc>
        <w:tc>
          <w:tcPr>
            <w:tcW w:w="667" w:type="dxa"/>
            <w:tcBorders>
              <w:top w:val="dashed" w:sz="4" w:space="0" w:color="auto"/>
              <w:left w:val="dashed" w:sz="4" w:space="0" w:color="auto"/>
              <w:bottom w:val="dashed" w:sz="4" w:space="0" w:color="auto"/>
              <w:right w:val="single" w:sz="6" w:space="0" w:color="auto"/>
            </w:tcBorders>
            <w:shd w:val="clear" w:color="auto" w:fill="D9D9D9" w:themeFill="background1" w:themeFillShade="D9"/>
            <w:noWrap/>
            <w:vAlign w:val="bottom"/>
            <w:hideMark/>
          </w:tcPr>
          <w:p w14:paraId="2D1BBF26"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2.2</w:t>
            </w:r>
          </w:p>
        </w:tc>
      </w:tr>
      <w:tr w:rsidR="00D21F21" w14:paraId="79A83702" w14:textId="77777777" w:rsidTr="00260739">
        <w:trPr>
          <w:trHeight w:val="20"/>
        </w:trPr>
        <w:tc>
          <w:tcPr>
            <w:tcW w:w="3544" w:type="dxa"/>
            <w:tcBorders>
              <w:top w:val="dashed" w:sz="4" w:space="0" w:color="auto"/>
              <w:left w:val="single" w:sz="6" w:space="0" w:color="auto"/>
              <w:bottom w:val="dashed" w:sz="4" w:space="0" w:color="auto"/>
              <w:right w:val="dashed" w:sz="4" w:space="0" w:color="auto"/>
            </w:tcBorders>
            <w:noWrap/>
            <w:vAlign w:val="bottom"/>
            <w:hideMark/>
          </w:tcPr>
          <w:p w14:paraId="14A9F728"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 xml:space="preserve">   Private consumption </w:t>
            </w:r>
            <w:r>
              <w:rPr>
                <w:rFonts w:ascii="GHEA Grapalat" w:hAnsi="GHEA Grapalat"/>
                <w:i/>
                <w:color w:val="000000"/>
                <w:sz w:val="14"/>
                <w:szCs w:val="14"/>
              </w:rPr>
              <w:t>(%,real growth)</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577B7EB0"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3.9</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37B818E1"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2.7</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2C9F3BA4"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9.1</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73BFDC7D"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0.9</w:t>
            </w:r>
          </w:p>
        </w:tc>
        <w:tc>
          <w:tcPr>
            <w:tcW w:w="667" w:type="dxa"/>
            <w:tcBorders>
              <w:top w:val="dashed" w:sz="4" w:space="0" w:color="auto"/>
              <w:left w:val="dashed" w:sz="4" w:space="0" w:color="auto"/>
              <w:bottom w:val="dashed" w:sz="4" w:space="0" w:color="auto"/>
              <w:right w:val="dashed" w:sz="4" w:space="0" w:color="auto"/>
            </w:tcBorders>
            <w:noWrap/>
            <w:vAlign w:val="bottom"/>
            <w:hideMark/>
          </w:tcPr>
          <w:p w14:paraId="227AA66A"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0.6</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564F05DA"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-7.9</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30A051C4"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-1.2</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116D9051"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7.4</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33462B2C"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3.6</w:t>
            </w:r>
          </w:p>
        </w:tc>
        <w:tc>
          <w:tcPr>
            <w:tcW w:w="667" w:type="dxa"/>
            <w:tcBorders>
              <w:top w:val="dashed" w:sz="4" w:space="0" w:color="auto"/>
              <w:left w:val="dashed" w:sz="4" w:space="0" w:color="auto"/>
              <w:bottom w:val="dashed" w:sz="4" w:space="0" w:color="auto"/>
              <w:right w:val="single" w:sz="6" w:space="0" w:color="auto"/>
            </w:tcBorders>
            <w:shd w:val="clear" w:color="auto" w:fill="D9D9D9" w:themeFill="background1" w:themeFillShade="D9"/>
            <w:noWrap/>
            <w:vAlign w:val="bottom"/>
            <w:hideMark/>
          </w:tcPr>
          <w:p w14:paraId="25F31638"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2.9</w:t>
            </w:r>
          </w:p>
        </w:tc>
      </w:tr>
      <w:tr w:rsidR="00D21F21" w14:paraId="1721E119" w14:textId="77777777" w:rsidTr="00260739">
        <w:trPr>
          <w:trHeight w:val="20"/>
        </w:trPr>
        <w:tc>
          <w:tcPr>
            <w:tcW w:w="3544" w:type="dxa"/>
            <w:tcBorders>
              <w:top w:val="dashed" w:sz="4" w:space="0" w:color="auto"/>
              <w:left w:val="single" w:sz="6" w:space="0" w:color="auto"/>
              <w:bottom w:val="dashed" w:sz="4" w:space="0" w:color="auto"/>
              <w:right w:val="dashed" w:sz="4" w:space="0" w:color="auto"/>
            </w:tcBorders>
            <w:noWrap/>
            <w:vAlign w:val="bottom"/>
            <w:hideMark/>
          </w:tcPr>
          <w:p w14:paraId="455351AB" w14:textId="77777777" w:rsidR="00D21F21" w:rsidRDefault="00D21F21" w:rsidP="00260739">
            <w:pPr>
              <w:spacing w:before="38" w:after="38"/>
              <w:rPr>
                <w:rFonts w:ascii="GHEA Grapalat" w:hAnsi="GHEA Grapalat"/>
                <w:color w:val="000000"/>
                <w:sz w:val="14"/>
                <w:szCs w:val="14"/>
              </w:rPr>
            </w:pPr>
            <w:r>
              <w:rPr>
                <w:rFonts w:ascii="GHEA Grapalat" w:hAnsi="GHEA Grapalat"/>
                <w:b/>
                <w:bCs/>
                <w:color w:val="000000"/>
                <w:sz w:val="14"/>
                <w:szCs w:val="14"/>
              </w:rPr>
              <w:t xml:space="preserve">Gross investment </w:t>
            </w:r>
            <w:r>
              <w:rPr>
                <w:rFonts w:ascii="GHEA Grapalat" w:hAnsi="GHEA Grapalat"/>
                <w:i/>
                <w:color w:val="000000"/>
                <w:sz w:val="14"/>
                <w:szCs w:val="14"/>
              </w:rPr>
              <w:t xml:space="preserve">(%,real growth) </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2870F666"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0.5</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10A96267"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-5.2</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4D30B780"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0.5</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60FC782C"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-10.5</w:t>
            </w:r>
          </w:p>
        </w:tc>
        <w:tc>
          <w:tcPr>
            <w:tcW w:w="667" w:type="dxa"/>
            <w:tcBorders>
              <w:top w:val="dashed" w:sz="4" w:space="0" w:color="auto"/>
              <w:left w:val="dashed" w:sz="4" w:space="0" w:color="auto"/>
              <w:bottom w:val="dashed" w:sz="4" w:space="0" w:color="auto"/>
              <w:right w:val="dashed" w:sz="4" w:space="0" w:color="auto"/>
            </w:tcBorders>
            <w:noWrap/>
            <w:vAlign w:val="bottom"/>
            <w:hideMark/>
          </w:tcPr>
          <w:p w14:paraId="509B258C"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-2.6</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6AFC4579"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-1.2</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6B021616"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-8.7</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4A162FD2"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2.2</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50355F6F"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9.9</w:t>
            </w:r>
          </w:p>
        </w:tc>
        <w:tc>
          <w:tcPr>
            <w:tcW w:w="667" w:type="dxa"/>
            <w:tcBorders>
              <w:top w:val="dashed" w:sz="4" w:space="0" w:color="auto"/>
              <w:left w:val="dashed" w:sz="4" w:space="0" w:color="auto"/>
              <w:bottom w:val="dashed" w:sz="4" w:space="0" w:color="auto"/>
              <w:right w:val="single" w:sz="6" w:space="0" w:color="auto"/>
            </w:tcBorders>
            <w:shd w:val="clear" w:color="auto" w:fill="D9D9D9" w:themeFill="background1" w:themeFillShade="D9"/>
            <w:noWrap/>
            <w:vAlign w:val="bottom"/>
            <w:hideMark/>
          </w:tcPr>
          <w:p w14:paraId="2A9AFE7E"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7.1</w:t>
            </w:r>
          </w:p>
        </w:tc>
      </w:tr>
      <w:tr w:rsidR="00D21F21" w14:paraId="7A5E8C33" w14:textId="77777777" w:rsidTr="00260739">
        <w:trPr>
          <w:trHeight w:val="20"/>
        </w:trPr>
        <w:tc>
          <w:tcPr>
            <w:tcW w:w="3544" w:type="dxa"/>
            <w:tcBorders>
              <w:top w:val="dashed" w:sz="4" w:space="0" w:color="auto"/>
              <w:left w:val="single" w:sz="6" w:space="0" w:color="auto"/>
              <w:bottom w:val="dashed" w:sz="4" w:space="0" w:color="auto"/>
              <w:right w:val="dashed" w:sz="4" w:space="0" w:color="auto"/>
            </w:tcBorders>
            <w:noWrap/>
            <w:vAlign w:val="bottom"/>
            <w:hideMark/>
          </w:tcPr>
          <w:p w14:paraId="09C52DD7"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 xml:space="preserve">   Public investment </w:t>
            </w:r>
            <w:r>
              <w:rPr>
                <w:rFonts w:ascii="GHEA Grapalat" w:hAnsi="GHEA Grapalat"/>
                <w:i/>
                <w:color w:val="000000"/>
                <w:sz w:val="14"/>
                <w:szCs w:val="14"/>
              </w:rPr>
              <w:t xml:space="preserve">(%,real growth) </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6C7C3598"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-12.7</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7420F3AA"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-6.1</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2F30ACE1"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-22.4</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796511C5"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-13.8</w:t>
            </w:r>
          </w:p>
        </w:tc>
        <w:tc>
          <w:tcPr>
            <w:tcW w:w="667" w:type="dxa"/>
            <w:tcBorders>
              <w:top w:val="dashed" w:sz="4" w:space="0" w:color="auto"/>
              <w:left w:val="dashed" w:sz="4" w:space="0" w:color="auto"/>
              <w:bottom w:val="dashed" w:sz="4" w:space="0" w:color="auto"/>
              <w:right w:val="dashed" w:sz="4" w:space="0" w:color="auto"/>
            </w:tcBorders>
            <w:noWrap/>
            <w:vAlign w:val="bottom"/>
            <w:hideMark/>
          </w:tcPr>
          <w:p w14:paraId="3567B132"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9.3</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6605A41A"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13.6</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01756A97"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5.6</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1086E0F9"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-22.4</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21717A31"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31.5</w:t>
            </w:r>
          </w:p>
        </w:tc>
        <w:tc>
          <w:tcPr>
            <w:tcW w:w="667" w:type="dxa"/>
            <w:tcBorders>
              <w:top w:val="dashed" w:sz="4" w:space="0" w:color="auto"/>
              <w:left w:val="dashed" w:sz="4" w:space="0" w:color="auto"/>
              <w:bottom w:val="dashed" w:sz="4" w:space="0" w:color="auto"/>
              <w:right w:val="single" w:sz="6" w:space="0" w:color="auto"/>
            </w:tcBorders>
            <w:shd w:val="clear" w:color="auto" w:fill="D9D9D9" w:themeFill="background1" w:themeFillShade="D9"/>
            <w:noWrap/>
            <w:vAlign w:val="bottom"/>
            <w:hideMark/>
          </w:tcPr>
          <w:p w14:paraId="19695E97"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18.0</w:t>
            </w:r>
          </w:p>
        </w:tc>
      </w:tr>
      <w:tr w:rsidR="00D21F21" w14:paraId="2B6997AF" w14:textId="77777777" w:rsidTr="00260739">
        <w:trPr>
          <w:trHeight w:val="20"/>
        </w:trPr>
        <w:tc>
          <w:tcPr>
            <w:tcW w:w="3544" w:type="dxa"/>
            <w:tcBorders>
              <w:top w:val="dashed" w:sz="4" w:space="0" w:color="auto"/>
              <w:left w:val="single" w:sz="6" w:space="0" w:color="auto"/>
              <w:bottom w:val="dashed" w:sz="4" w:space="0" w:color="auto"/>
              <w:right w:val="dashed" w:sz="4" w:space="0" w:color="auto"/>
            </w:tcBorders>
            <w:noWrap/>
            <w:vAlign w:val="bottom"/>
            <w:hideMark/>
          </w:tcPr>
          <w:p w14:paraId="183571B6"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 xml:space="preserve">   Private investment </w:t>
            </w:r>
            <w:r>
              <w:rPr>
                <w:rFonts w:ascii="GHEA Grapalat" w:hAnsi="GHEA Grapalat"/>
                <w:i/>
                <w:color w:val="000000"/>
                <w:sz w:val="14"/>
                <w:szCs w:val="14"/>
              </w:rPr>
              <w:t>(%,real growth)</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555801A6"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2.6</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2C440F6D"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-5.1</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4A10A56F"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3.6</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7BA76F2F"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-10.0</w:t>
            </w:r>
          </w:p>
        </w:tc>
        <w:tc>
          <w:tcPr>
            <w:tcW w:w="667" w:type="dxa"/>
            <w:tcBorders>
              <w:top w:val="dashed" w:sz="4" w:space="0" w:color="auto"/>
              <w:left w:val="dashed" w:sz="4" w:space="0" w:color="auto"/>
              <w:bottom w:val="dashed" w:sz="4" w:space="0" w:color="auto"/>
              <w:right w:val="dashed" w:sz="4" w:space="0" w:color="auto"/>
            </w:tcBorders>
            <w:noWrap/>
            <w:vAlign w:val="bottom"/>
            <w:hideMark/>
          </w:tcPr>
          <w:p w14:paraId="61615270"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-4.4</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6DA46FF9"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-4.2</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586882C4"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-10.5</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3C6D74D7"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5.9</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4E283B90"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7.5</w:t>
            </w:r>
          </w:p>
        </w:tc>
        <w:tc>
          <w:tcPr>
            <w:tcW w:w="667" w:type="dxa"/>
            <w:tcBorders>
              <w:top w:val="dashed" w:sz="4" w:space="0" w:color="auto"/>
              <w:left w:val="dashed" w:sz="4" w:space="0" w:color="auto"/>
              <w:bottom w:val="dashed" w:sz="4" w:space="0" w:color="auto"/>
              <w:right w:val="single" w:sz="6" w:space="0" w:color="auto"/>
            </w:tcBorders>
            <w:shd w:val="clear" w:color="auto" w:fill="D9D9D9" w:themeFill="background1" w:themeFillShade="D9"/>
            <w:noWrap/>
            <w:vAlign w:val="bottom"/>
            <w:hideMark/>
          </w:tcPr>
          <w:p w14:paraId="7881ECE2"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4.9</w:t>
            </w:r>
          </w:p>
        </w:tc>
      </w:tr>
      <w:tr w:rsidR="00D21F21" w14:paraId="51DBABD3" w14:textId="77777777" w:rsidTr="00260739">
        <w:trPr>
          <w:trHeight w:val="20"/>
        </w:trPr>
        <w:tc>
          <w:tcPr>
            <w:tcW w:w="3544" w:type="dxa"/>
            <w:tcBorders>
              <w:top w:val="dashed" w:sz="4" w:space="0" w:color="auto"/>
              <w:left w:val="single" w:sz="6" w:space="0" w:color="auto"/>
              <w:bottom w:val="dashed" w:sz="4" w:space="0" w:color="auto"/>
              <w:right w:val="dashed" w:sz="4" w:space="0" w:color="auto"/>
            </w:tcBorders>
            <w:noWrap/>
            <w:vAlign w:val="bottom"/>
            <w:hideMark/>
          </w:tcPr>
          <w:p w14:paraId="0CECD88A" w14:textId="77777777" w:rsidR="00D21F21" w:rsidRDefault="00D21F21" w:rsidP="00260739">
            <w:pPr>
              <w:spacing w:before="38" w:after="38"/>
              <w:rPr>
                <w:rFonts w:ascii="GHEA Grapalat" w:hAnsi="GHEA Grapalat"/>
                <w:color w:val="000000"/>
                <w:sz w:val="14"/>
                <w:szCs w:val="14"/>
              </w:rPr>
            </w:pPr>
            <w:r>
              <w:rPr>
                <w:rFonts w:ascii="GHEA Grapalat" w:hAnsi="GHEA Grapalat"/>
                <w:b/>
                <w:bCs/>
                <w:color w:val="000000"/>
                <w:sz w:val="14"/>
                <w:szCs w:val="14"/>
              </w:rPr>
              <w:t xml:space="preserve">Export of goods and services </w:t>
            </w:r>
            <w:r>
              <w:rPr>
                <w:rFonts w:ascii="GHEA Grapalat" w:hAnsi="GHEA Grapalat"/>
                <w:i/>
                <w:color w:val="000000"/>
                <w:sz w:val="14"/>
                <w:szCs w:val="14"/>
              </w:rPr>
              <w:t>(%,real growth)</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753BCFF1"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20.4</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12A53808"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14.5</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67633889"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11.5</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647CD15C"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8.5</w:t>
            </w:r>
          </w:p>
        </w:tc>
        <w:tc>
          <w:tcPr>
            <w:tcW w:w="667" w:type="dxa"/>
            <w:tcBorders>
              <w:top w:val="dashed" w:sz="4" w:space="0" w:color="auto"/>
              <w:left w:val="dashed" w:sz="4" w:space="0" w:color="auto"/>
              <w:bottom w:val="dashed" w:sz="4" w:space="0" w:color="auto"/>
              <w:right w:val="dashed" w:sz="4" w:space="0" w:color="auto"/>
            </w:tcBorders>
            <w:noWrap/>
            <w:vAlign w:val="bottom"/>
            <w:hideMark/>
          </w:tcPr>
          <w:p w14:paraId="23789E59"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6.1</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655F93B2"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9.9</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1EB20BED"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13.5</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2F804B08"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8.4</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67CB33C4"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5.4</w:t>
            </w:r>
          </w:p>
        </w:tc>
        <w:tc>
          <w:tcPr>
            <w:tcW w:w="667" w:type="dxa"/>
            <w:tcBorders>
              <w:top w:val="dashed" w:sz="4" w:space="0" w:color="auto"/>
              <w:left w:val="dashed" w:sz="4" w:space="0" w:color="auto"/>
              <w:bottom w:val="dashed" w:sz="4" w:space="0" w:color="auto"/>
              <w:right w:val="single" w:sz="6" w:space="0" w:color="auto"/>
            </w:tcBorders>
            <w:shd w:val="clear" w:color="auto" w:fill="D9D9D9" w:themeFill="background1" w:themeFillShade="D9"/>
            <w:noWrap/>
            <w:vAlign w:val="bottom"/>
            <w:hideMark/>
          </w:tcPr>
          <w:p w14:paraId="798DD971"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4.1</w:t>
            </w:r>
          </w:p>
        </w:tc>
      </w:tr>
      <w:tr w:rsidR="00D21F21" w14:paraId="6E8F15D6" w14:textId="77777777" w:rsidTr="00260739">
        <w:trPr>
          <w:trHeight w:val="20"/>
        </w:trPr>
        <w:tc>
          <w:tcPr>
            <w:tcW w:w="3544" w:type="dxa"/>
            <w:tcBorders>
              <w:top w:val="dashed" w:sz="4" w:space="0" w:color="auto"/>
              <w:left w:val="single" w:sz="6" w:space="0" w:color="auto"/>
              <w:bottom w:val="single" w:sz="6" w:space="0" w:color="auto"/>
              <w:right w:val="dashed" w:sz="4" w:space="0" w:color="auto"/>
            </w:tcBorders>
            <w:noWrap/>
            <w:vAlign w:val="bottom"/>
            <w:hideMark/>
          </w:tcPr>
          <w:p w14:paraId="735BAD84" w14:textId="77777777" w:rsidR="00D21F21" w:rsidRDefault="00D21F21" w:rsidP="00260739">
            <w:pPr>
              <w:spacing w:before="38" w:after="38"/>
              <w:rPr>
                <w:rFonts w:ascii="GHEA Grapalat" w:hAnsi="GHEA Grapalat"/>
                <w:color w:val="000000"/>
                <w:sz w:val="14"/>
                <w:szCs w:val="14"/>
              </w:rPr>
            </w:pPr>
            <w:r>
              <w:rPr>
                <w:rFonts w:ascii="GHEA Grapalat" w:hAnsi="GHEA Grapalat"/>
                <w:b/>
                <w:bCs/>
                <w:color w:val="000000"/>
                <w:sz w:val="14"/>
                <w:szCs w:val="14"/>
              </w:rPr>
              <w:t xml:space="preserve">Import of goods and services </w:t>
            </w:r>
            <w:r>
              <w:rPr>
                <w:rFonts w:ascii="GHEA Grapalat" w:hAnsi="GHEA Grapalat"/>
                <w:i/>
                <w:color w:val="000000"/>
                <w:sz w:val="14"/>
                <w:szCs w:val="14"/>
              </w:rPr>
              <w:t>(%,real growth)</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1F1CA86D"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7.1</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297620A9"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-0.1</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33CFBCAD"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4.7</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4386050D"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5.5</w:t>
            </w:r>
          </w:p>
        </w:tc>
        <w:tc>
          <w:tcPr>
            <w:tcW w:w="667" w:type="dxa"/>
            <w:tcBorders>
              <w:top w:val="dashed" w:sz="4" w:space="0" w:color="auto"/>
              <w:left w:val="dashed" w:sz="4" w:space="0" w:color="auto"/>
              <w:bottom w:val="single" w:sz="6" w:space="0" w:color="auto"/>
              <w:right w:val="dashed" w:sz="4" w:space="0" w:color="auto"/>
            </w:tcBorders>
            <w:noWrap/>
            <w:vAlign w:val="bottom"/>
            <w:hideMark/>
          </w:tcPr>
          <w:p w14:paraId="077C9327"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4.2</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5125E0F6"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-5.6</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35341423"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3.5</w:t>
            </w:r>
          </w:p>
        </w:tc>
        <w:tc>
          <w:tcPr>
            <w:tcW w:w="666" w:type="dxa"/>
            <w:tcBorders>
              <w:top w:val="dashed" w:sz="4" w:space="0" w:color="auto"/>
              <w:left w:val="dashed" w:sz="4" w:space="0" w:color="auto"/>
              <w:bottom w:val="single" w:sz="6" w:space="0" w:color="auto"/>
              <w:right w:val="dashed" w:sz="4" w:space="0" w:color="auto"/>
            </w:tcBorders>
            <w:shd w:val="clear" w:color="auto" w:fill="D9D9D9" w:themeFill="background1" w:themeFillShade="D9"/>
            <w:noWrap/>
            <w:vAlign w:val="bottom"/>
            <w:hideMark/>
          </w:tcPr>
          <w:p w14:paraId="29F5433B"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13.7</w:t>
            </w:r>
          </w:p>
        </w:tc>
        <w:tc>
          <w:tcPr>
            <w:tcW w:w="666" w:type="dxa"/>
            <w:tcBorders>
              <w:top w:val="dashed" w:sz="4" w:space="0" w:color="auto"/>
              <w:left w:val="dashed" w:sz="4" w:space="0" w:color="auto"/>
              <w:bottom w:val="single" w:sz="6" w:space="0" w:color="auto"/>
              <w:right w:val="dashed" w:sz="4" w:space="0" w:color="auto"/>
            </w:tcBorders>
            <w:shd w:val="clear" w:color="auto" w:fill="D9D9D9" w:themeFill="background1" w:themeFillShade="D9"/>
            <w:noWrap/>
            <w:vAlign w:val="bottom"/>
            <w:hideMark/>
          </w:tcPr>
          <w:p w14:paraId="4120F0F8"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3.8</w:t>
            </w:r>
          </w:p>
        </w:tc>
        <w:tc>
          <w:tcPr>
            <w:tcW w:w="667" w:type="dxa"/>
            <w:tcBorders>
              <w:top w:val="dashed" w:sz="4" w:space="0" w:color="auto"/>
              <w:left w:val="dashed" w:sz="4" w:space="0" w:color="auto"/>
              <w:bottom w:val="single" w:sz="6" w:space="0" w:color="auto"/>
              <w:right w:val="single" w:sz="6" w:space="0" w:color="auto"/>
            </w:tcBorders>
            <w:shd w:val="clear" w:color="auto" w:fill="D9D9D9" w:themeFill="background1" w:themeFillShade="D9"/>
            <w:noWrap/>
            <w:vAlign w:val="bottom"/>
            <w:hideMark/>
          </w:tcPr>
          <w:p w14:paraId="27C93F53"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3.7</w:t>
            </w:r>
          </w:p>
        </w:tc>
      </w:tr>
      <w:tr w:rsidR="00D21F21" w14:paraId="44FA962A" w14:textId="77777777" w:rsidTr="00260739">
        <w:trPr>
          <w:trHeight w:val="20"/>
        </w:trPr>
        <w:tc>
          <w:tcPr>
            <w:tcW w:w="10206" w:type="dxa"/>
            <w:gridSpan w:val="11"/>
            <w:tcBorders>
              <w:top w:val="single" w:sz="6" w:space="0" w:color="auto"/>
              <w:left w:val="single" w:sz="6" w:space="0" w:color="auto"/>
              <w:bottom w:val="dashed" w:sz="4" w:space="0" w:color="auto"/>
              <w:right w:val="single" w:sz="6" w:space="0" w:color="auto"/>
            </w:tcBorders>
            <w:noWrap/>
            <w:vAlign w:val="bottom"/>
            <w:hideMark/>
          </w:tcPr>
          <w:p w14:paraId="0245A5E9" w14:textId="77777777" w:rsidR="00D21F21" w:rsidRDefault="00D21F21" w:rsidP="00260739">
            <w:pPr>
              <w:spacing w:before="38" w:after="38"/>
              <w:rPr>
                <w:rFonts w:ascii="GHEA Grapalat" w:hAnsi="GHEA Grapalat"/>
                <w:b/>
                <w:bCs/>
                <w:sz w:val="14"/>
                <w:szCs w:val="14"/>
              </w:rPr>
            </w:pPr>
            <w:r>
              <w:rPr>
                <w:rFonts w:ascii="GHEA Grapalat" w:hAnsi="GHEA Grapalat"/>
                <w:b/>
                <w:bCs/>
                <w:color w:val="000000"/>
                <w:sz w:val="14"/>
                <w:szCs w:val="14"/>
              </w:rPr>
              <w:t>External sector</w:t>
            </w:r>
          </w:p>
        </w:tc>
      </w:tr>
      <w:tr w:rsidR="00D21F21" w14:paraId="16B92054" w14:textId="77777777" w:rsidTr="00260739">
        <w:trPr>
          <w:trHeight w:val="20"/>
        </w:trPr>
        <w:tc>
          <w:tcPr>
            <w:tcW w:w="3544" w:type="dxa"/>
            <w:tcBorders>
              <w:top w:val="dashed" w:sz="4" w:space="0" w:color="auto"/>
              <w:left w:val="single" w:sz="6" w:space="0" w:color="auto"/>
              <w:bottom w:val="dashed" w:sz="4" w:space="0" w:color="auto"/>
              <w:right w:val="dashed" w:sz="4" w:space="0" w:color="auto"/>
            </w:tcBorders>
            <w:noWrap/>
            <w:vAlign w:val="bottom"/>
            <w:hideMark/>
          </w:tcPr>
          <w:p w14:paraId="5C5F9DC7"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 xml:space="preserve">Balance of trade </w:t>
            </w:r>
            <w:r>
              <w:rPr>
                <w:rFonts w:ascii="GHEA Grapalat" w:hAnsi="GHEA Grapalat"/>
                <w:i/>
                <w:color w:val="000000"/>
                <w:sz w:val="14"/>
                <w:szCs w:val="14"/>
              </w:rPr>
              <w:t>(million US dollar)</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5B34C7F0"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-2065.7</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12E72A91"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-2109.8</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4958B120"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-2111.9</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6A8FF828"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-2196.2</w:t>
            </w:r>
          </w:p>
        </w:tc>
        <w:tc>
          <w:tcPr>
            <w:tcW w:w="667" w:type="dxa"/>
            <w:tcBorders>
              <w:top w:val="dashed" w:sz="4" w:space="0" w:color="auto"/>
              <w:left w:val="dashed" w:sz="4" w:space="0" w:color="auto"/>
              <w:bottom w:val="dashed" w:sz="4" w:space="0" w:color="auto"/>
              <w:right w:val="dashed" w:sz="4" w:space="0" w:color="auto"/>
            </w:tcBorders>
            <w:noWrap/>
            <w:vAlign w:val="bottom"/>
            <w:hideMark/>
          </w:tcPr>
          <w:p w14:paraId="30300713"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-2055.4</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3D8C3700"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-1186.4</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4726BF56"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-944.4</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348712E5"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-1189.0</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3CECAE10"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-1245.7</w:t>
            </w:r>
          </w:p>
        </w:tc>
        <w:tc>
          <w:tcPr>
            <w:tcW w:w="667" w:type="dxa"/>
            <w:tcBorders>
              <w:top w:val="dashed" w:sz="4" w:space="0" w:color="auto"/>
              <w:left w:val="dashed" w:sz="4" w:space="0" w:color="auto"/>
              <w:bottom w:val="dashed" w:sz="4" w:space="0" w:color="auto"/>
              <w:right w:val="single" w:sz="6" w:space="0" w:color="auto"/>
            </w:tcBorders>
            <w:shd w:val="clear" w:color="auto" w:fill="D9D9D9" w:themeFill="background1" w:themeFillShade="D9"/>
            <w:noWrap/>
            <w:vAlign w:val="bottom"/>
            <w:hideMark/>
          </w:tcPr>
          <w:p w14:paraId="5EDE719B"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-1307.8</w:t>
            </w:r>
          </w:p>
        </w:tc>
      </w:tr>
      <w:tr w:rsidR="00D21F21" w14:paraId="2F9EA2D3" w14:textId="77777777" w:rsidTr="00260739">
        <w:trPr>
          <w:trHeight w:val="20"/>
        </w:trPr>
        <w:tc>
          <w:tcPr>
            <w:tcW w:w="3544" w:type="dxa"/>
            <w:tcBorders>
              <w:top w:val="dashed" w:sz="4" w:space="0" w:color="auto"/>
              <w:left w:val="single" w:sz="6" w:space="0" w:color="auto"/>
              <w:bottom w:val="dashed" w:sz="4" w:space="0" w:color="auto"/>
              <w:right w:val="dashed" w:sz="4" w:space="0" w:color="auto"/>
            </w:tcBorders>
            <w:noWrap/>
            <w:vAlign w:val="bottom"/>
            <w:hideMark/>
          </w:tcPr>
          <w:p w14:paraId="5719E1E6"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 xml:space="preserve">Balance of services </w:t>
            </w:r>
            <w:r>
              <w:rPr>
                <w:rFonts w:ascii="GHEA Grapalat" w:hAnsi="GHEA Grapalat"/>
                <w:i/>
                <w:color w:val="000000"/>
                <w:sz w:val="14"/>
                <w:szCs w:val="14"/>
              </w:rPr>
              <w:t>(million US dollar)</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16FC14EA"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-260.8</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5FBB1F1C"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-65.8</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28A567AA"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-101.6</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6C86AD36"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-124.3</w:t>
            </w:r>
          </w:p>
        </w:tc>
        <w:tc>
          <w:tcPr>
            <w:tcW w:w="667" w:type="dxa"/>
            <w:tcBorders>
              <w:top w:val="dashed" w:sz="4" w:space="0" w:color="auto"/>
              <w:left w:val="dashed" w:sz="4" w:space="0" w:color="auto"/>
              <w:bottom w:val="dashed" w:sz="4" w:space="0" w:color="auto"/>
              <w:right w:val="dashed" w:sz="4" w:space="0" w:color="auto"/>
            </w:tcBorders>
            <w:noWrap/>
            <w:vAlign w:val="bottom"/>
            <w:hideMark/>
          </w:tcPr>
          <w:p w14:paraId="05AFE343"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-113.0</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47AE3185"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-94.5</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00AE8D4B"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-71.4</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436F1EC8"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-73.6</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18FCC2C4"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-55.0</w:t>
            </w:r>
          </w:p>
        </w:tc>
        <w:tc>
          <w:tcPr>
            <w:tcW w:w="667" w:type="dxa"/>
            <w:tcBorders>
              <w:top w:val="dashed" w:sz="4" w:space="0" w:color="auto"/>
              <w:left w:val="dashed" w:sz="4" w:space="0" w:color="auto"/>
              <w:bottom w:val="dashed" w:sz="4" w:space="0" w:color="auto"/>
              <w:right w:val="single" w:sz="6" w:space="0" w:color="auto"/>
            </w:tcBorders>
            <w:shd w:val="clear" w:color="auto" w:fill="D9D9D9" w:themeFill="background1" w:themeFillShade="D9"/>
            <w:noWrap/>
            <w:vAlign w:val="bottom"/>
            <w:hideMark/>
          </w:tcPr>
          <w:p w14:paraId="33C88B8E"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-37.8</w:t>
            </w:r>
          </w:p>
        </w:tc>
      </w:tr>
      <w:tr w:rsidR="00D21F21" w14:paraId="03523AB9" w14:textId="77777777" w:rsidTr="00260739">
        <w:trPr>
          <w:trHeight w:val="20"/>
        </w:trPr>
        <w:tc>
          <w:tcPr>
            <w:tcW w:w="3544" w:type="dxa"/>
            <w:tcBorders>
              <w:top w:val="dashed" w:sz="4" w:space="0" w:color="auto"/>
              <w:left w:val="single" w:sz="6" w:space="0" w:color="auto"/>
              <w:bottom w:val="dashed" w:sz="4" w:space="0" w:color="auto"/>
              <w:right w:val="dashed" w:sz="4" w:space="0" w:color="auto"/>
            </w:tcBorders>
            <w:noWrap/>
            <w:vAlign w:val="bottom"/>
            <w:hideMark/>
          </w:tcPr>
          <w:p w14:paraId="73D94321"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 xml:space="preserve">Remittances </w:t>
            </w:r>
            <w:r>
              <w:rPr>
                <w:rFonts w:ascii="GHEA Grapalat" w:hAnsi="GHEA Grapalat"/>
                <w:i/>
                <w:color w:val="000000"/>
                <w:sz w:val="14"/>
                <w:szCs w:val="14"/>
              </w:rPr>
              <w:t>(million US dollar)</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70F137F4"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1421.9</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70FC8C4A"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1440.4</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239EEE71"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1539.8</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232E2CC2"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1755.1</w:t>
            </w:r>
          </w:p>
        </w:tc>
        <w:tc>
          <w:tcPr>
            <w:tcW w:w="667" w:type="dxa"/>
            <w:tcBorders>
              <w:top w:val="dashed" w:sz="4" w:space="0" w:color="auto"/>
              <w:left w:val="dashed" w:sz="4" w:space="0" w:color="auto"/>
              <w:bottom w:val="dashed" w:sz="4" w:space="0" w:color="auto"/>
              <w:right w:val="dashed" w:sz="4" w:space="0" w:color="auto"/>
            </w:tcBorders>
            <w:noWrap/>
            <w:vAlign w:val="bottom"/>
            <w:hideMark/>
          </w:tcPr>
          <w:p w14:paraId="3D77E1CC"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1616.1</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3B1E2859"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1082.4</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0EFEC4FD"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989.6</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5ED7CB8A"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1134.2</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17A85EBA"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1215.7</w:t>
            </w:r>
          </w:p>
        </w:tc>
        <w:tc>
          <w:tcPr>
            <w:tcW w:w="667" w:type="dxa"/>
            <w:tcBorders>
              <w:top w:val="dashed" w:sz="4" w:space="0" w:color="auto"/>
              <w:left w:val="dashed" w:sz="4" w:space="0" w:color="auto"/>
              <w:bottom w:val="dashed" w:sz="4" w:space="0" w:color="auto"/>
              <w:right w:val="single" w:sz="6" w:space="0" w:color="auto"/>
            </w:tcBorders>
            <w:shd w:val="clear" w:color="auto" w:fill="D9D9D9" w:themeFill="background1" w:themeFillShade="D9"/>
            <w:noWrap/>
            <w:vAlign w:val="bottom"/>
            <w:hideMark/>
          </w:tcPr>
          <w:p w14:paraId="3146C722"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1304.8</w:t>
            </w:r>
          </w:p>
        </w:tc>
      </w:tr>
      <w:tr w:rsidR="00D21F21" w14:paraId="0E8F826F" w14:textId="77777777" w:rsidTr="00260739">
        <w:trPr>
          <w:trHeight w:val="20"/>
        </w:trPr>
        <w:tc>
          <w:tcPr>
            <w:tcW w:w="3544" w:type="dxa"/>
            <w:tcBorders>
              <w:top w:val="dashed" w:sz="4" w:space="0" w:color="auto"/>
              <w:left w:val="single" w:sz="6" w:space="0" w:color="auto"/>
              <w:bottom w:val="dashed" w:sz="4" w:space="0" w:color="auto"/>
              <w:right w:val="dashed" w:sz="4" w:space="0" w:color="auto"/>
            </w:tcBorders>
            <w:noWrap/>
            <w:vAlign w:val="bottom"/>
            <w:hideMark/>
          </w:tcPr>
          <w:p w14:paraId="04A376BF"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 xml:space="preserve">Current account </w:t>
            </w:r>
            <w:r>
              <w:rPr>
                <w:rFonts w:ascii="GHEA Grapalat" w:hAnsi="GHEA Grapalat"/>
                <w:i/>
                <w:color w:val="000000"/>
                <w:sz w:val="14"/>
                <w:szCs w:val="14"/>
              </w:rPr>
              <w:t xml:space="preserve">(million US dollar) </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0E0F1EF6"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-1261.4</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752375DB"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-1058.9</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6C6D53D8"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-1057.9</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393682AD"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-812.9</w:t>
            </w:r>
          </w:p>
        </w:tc>
        <w:tc>
          <w:tcPr>
            <w:tcW w:w="667" w:type="dxa"/>
            <w:tcBorders>
              <w:top w:val="dashed" w:sz="4" w:space="0" w:color="auto"/>
              <w:left w:val="dashed" w:sz="4" w:space="0" w:color="auto"/>
              <w:bottom w:val="dashed" w:sz="4" w:space="0" w:color="auto"/>
              <w:right w:val="dashed" w:sz="4" w:space="0" w:color="auto"/>
            </w:tcBorders>
            <w:noWrap/>
            <w:vAlign w:val="bottom"/>
            <w:hideMark/>
          </w:tcPr>
          <w:p w14:paraId="7B3FEE67"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-883.1</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5EA9D12A"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-279.1</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33CA19E4"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-238.1</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6B500D4D"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-254.4</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791B3C21"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-375.4</w:t>
            </w:r>
          </w:p>
        </w:tc>
        <w:tc>
          <w:tcPr>
            <w:tcW w:w="667" w:type="dxa"/>
            <w:tcBorders>
              <w:top w:val="dashed" w:sz="4" w:space="0" w:color="auto"/>
              <w:left w:val="dashed" w:sz="4" w:space="0" w:color="auto"/>
              <w:bottom w:val="dashed" w:sz="4" w:space="0" w:color="auto"/>
              <w:right w:val="single" w:sz="6" w:space="0" w:color="auto"/>
            </w:tcBorders>
            <w:shd w:val="clear" w:color="auto" w:fill="D9D9D9" w:themeFill="background1" w:themeFillShade="D9"/>
            <w:noWrap/>
            <w:vAlign w:val="bottom"/>
            <w:hideMark/>
          </w:tcPr>
          <w:p w14:paraId="24DEB341"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-381.0</w:t>
            </w:r>
          </w:p>
        </w:tc>
      </w:tr>
      <w:tr w:rsidR="00D21F21" w14:paraId="24676C9F" w14:textId="77777777" w:rsidTr="00260739">
        <w:trPr>
          <w:trHeight w:val="20"/>
        </w:trPr>
        <w:tc>
          <w:tcPr>
            <w:tcW w:w="3544" w:type="dxa"/>
            <w:tcBorders>
              <w:top w:val="dashed" w:sz="4" w:space="0" w:color="auto"/>
              <w:left w:val="single" w:sz="6" w:space="0" w:color="auto"/>
              <w:bottom w:val="dashed" w:sz="4" w:space="0" w:color="auto"/>
              <w:right w:val="dashed" w:sz="4" w:space="0" w:color="auto"/>
            </w:tcBorders>
            <w:noWrap/>
            <w:vAlign w:val="bottom"/>
            <w:hideMark/>
          </w:tcPr>
          <w:p w14:paraId="328B8A2E"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 xml:space="preserve">Balance of trade </w:t>
            </w:r>
            <w:r>
              <w:rPr>
                <w:rFonts w:ascii="GHEA Grapalat" w:hAnsi="GHEA Grapalat"/>
                <w:i/>
                <w:color w:val="000000"/>
                <w:sz w:val="14"/>
                <w:szCs w:val="14"/>
              </w:rPr>
              <w:t xml:space="preserve">(share in GDP, %) </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2E40E6D8"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-22.1</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0AE4C809"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-20.8</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05DAB367"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-19.9</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32211763"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-19.7</w:t>
            </w:r>
          </w:p>
        </w:tc>
        <w:tc>
          <w:tcPr>
            <w:tcW w:w="667" w:type="dxa"/>
            <w:tcBorders>
              <w:top w:val="dashed" w:sz="4" w:space="0" w:color="auto"/>
              <w:left w:val="dashed" w:sz="4" w:space="0" w:color="auto"/>
              <w:bottom w:val="dashed" w:sz="4" w:space="0" w:color="auto"/>
              <w:right w:val="dashed" w:sz="4" w:space="0" w:color="auto"/>
            </w:tcBorders>
            <w:noWrap/>
            <w:vAlign w:val="bottom"/>
            <w:hideMark/>
          </w:tcPr>
          <w:p w14:paraId="3A8B07CF"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-17.8</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02B757AF"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-11.3</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4EAB92FD"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-8.9</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2732D984"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-10.7</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64CF731E"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-10.4</w:t>
            </w:r>
          </w:p>
        </w:tc>
        <w:tc>
          <w:tcPr>
            <w:tcW w:w="667" w:type="dxa"/>
            <w:tcBorders>
              <w:top w:val="dashed" w:sz="4" w:space="0" w:color="auto"/>
              <w:left w:val="dashed" w:sz="4" w:space="0" w:color="auto"/>
              <w:bottom w:val="dashed" w:sz="4" w:space="0" w:color="auto"/>
              <w:right w:val="single" w:sz="6" w:space="0" w:color="auto"/>
            </w:tcBorders>
            <w:shd w:val="clear" w:color="auto" w:fill="D9D9D9" w:themeFill="background1" w:themeFillShade="D9"/>
            <w:noWrap/>
            <w:vAlign w:val="bottom"/>
            <w:hideMark/>
          </w:tcPr>
          <w:p w14:paraId="058041C2"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-10.4</w:t>
            </w:r>
          </w:p>
        </w:tc>
      </w:tr>
      <w:tr w:rsidR="00D21F21" w14:paraId="4D24A8C9" w14:textId="77777777" w:rsidTr="00260739">
        <w:trPr>
          <w:trHeight w:val="20"/>
        </w:trPr>
        <w:tc>
          <w:tcPr>
            <w:tcW w:w="3544" w:type="dxa"/>
            <w:tcBorders>
              <w:top w:val="dashed" w:sz="4" w:space="0" w:color="auto"/>
              <w:left w:val="single" w:sz="6" w:space="0" w:color="auto"/>
              <w:bottom w:val="dashed" w:sz="4" w:space="0" w:color="auto"/>
              <w:right w:val="dashed" w:sz="4" w:space="0" w:color="auto"/>
            </w:tcBorders>
            <w:noWrap/>
            <w:vAlign w:val="bottom"/>
            <w:hideMark/>
          </w:tcPr>
          <w:p w14:paraId="2EBECBA1"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 xml:space="preserve">Balance of trade </w:t>
            </w:r>
            <w:r>
              <w:rPr>
                <w:rFonts w:ascii="GHEA Grapalat" w:hAnsi="GHEA Grapalat"/>
                <w:i/>
                <w:color w:val="000000"/>
                <w:sz w:val="14"/>
                <w:szCs w:val="14"/>
              </w:rPr>
              <w:t>(share in GDP, %)</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6896BE58"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-2.8</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7A113485"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-0.7</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0118CA81"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-1.0</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2F1D77D4"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-1.1</w:t>
            </w:r>
          </w:p>
        </w:tc>
        <w:tc>
          <w:tcPr>
            <w:tcW w:w="667" w:type="dxa"/>
            <w:tcBorders>
              <w:top w:val="dashed" w:sz="4" w:space="0" w:color="auto"/>
              <w:left w:val="dashed" w:sz="4" w:space="0" w:color="auto"/>
              <w:bottom w:val="dashed" w:sz="4" w:space="0" w:color="auto"/>
              <w:right w:val="dashed" w:sz="4" w:space="0" w:color="auto"/>
            </w:tcBorders>
            <w:noWrap/>
            <w:vAlign w:val="bottom"/>
            <w:hideMark/>
          </w:tcPr>
          <w:p w14:paraId="188AC601"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-1.0</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1EDAC601"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-0.9</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49EAE7F2"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-0.7</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53D10D5C"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-0.7</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15FA6DDF"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-0.5</w:t>
            </w:r>
          </w:p>
        </w:tc>
        <w:tc>
          <w:tcPr>
            <w:tcW w:w="667" w:type="dxa"/>
            <w:tcBorders>
              <w:top w:val="dashed" w:sz="4" w:space="0" w:color="auto"/>
              <w:left w:val="dashed" w:sz="4" w:space="0" w:color="auto"/>
              <w:bottom w:val="dashed" w:sz="4" w:space="0" w:color="auto"/>
              <w:right w:val="single" w:sz="6" w:space="0" w:color="auto"/>
            </w:tcBorders>
            <w:shd w:val="clear" w:color="auto" w:fill="D9D9D9" w:themeFill="background1" w:themeFillShade="D9"/>
            <w:noWrap/>
            <w:vAlign w:val="bottom"/>
            <w:hideMark/>
          </w:tcPr>
          <w:p w14:paraId="4355C99F"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-0.3</w:t>
            </w:r>
          </w:p>
        </w:tc>
      </w:tr>
      <w:tr w:rsidR="00D21F21" w14:paraId="3A9B41E1" w14:textId="77777777" w:rsidTr="00260739">
        <w:trPr>
          <w:trHeight w:val="20"/>
        </w:trPr>
        <w:tc>
          <w:tcPr>
            <w:tcW w:w="3544" w:type="dxa"/>
            <w:tcBorders>
              <w:top w:val="dashed" w:sz="4" w:space="0" w:color="auto"/>
              <w:left w:val="single" w:sz="6" w:space="0" w:color="auto"/>
              <w:bottom w:val="dashed" w:sz="4" w:space="0" w:color="auto"/>
              <w:right w:val="dashed" w:sz="4" w:space="0" w:color="auto"/>
            </w:tcBorders>
            <w:noWrap/>
            <w:vAlign w:val="bottom"/>
            <w:hideMark/>
          </w:tcPr>
          <w:p w14:paraId="126C0090"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 xml:space="preserve">Remittances </w:t>
            </w:r>
            <w:r>
              <w:rPr>
                <w:rFonts w:ascii="GHEA Grapalat" w:hAnsi="GHEA Grapalat"/>
                <w:i/>
                <w:color w:val="000000"/>
                <w:sz w:val="14"/>
                <w:szCs w:val="14"/>
              </w:rPr>
              <w:t xml:space="preserve">(share in GDP, %) </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545E4A1C"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15.2</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404DFE0C"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14.2</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0B17DF17"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14.6</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2DD628D5"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15.8</w:t>
            </w:r>
          </w:p>
        </w:tc>
        <w:tc>
          <w:tcPr>
            <w:tcW w:w="667" w:type="dxa"/>
            <w:tcBorders>
              <w:top w:val="dashed" w:sz="4" w:space="0" w:color="auto"/>
              <w:left w:val="dashed" w:sz="4" w:space="0" w:color="auto"/>
              <w:bottom w:val="dashed" w:sz="4" w:space="0" w:color="auto"/>
              <w:right w:val="dashed" w:sz="4" w:space="0" w:color="auto"/>
            </w:tcBorders>
            <w:noWrap/>
            <w:vAlign w:val="bottom"/>
            <w:hideMark/>
          </w:tcPr>
          <w:p w14:paraId="0BE9450E"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14.0</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0F0ADD1E"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10.3</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2ED16FC3"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9.3</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33B95798"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10.2</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68622E32"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10.2</w:t>
            </w:r>
          </w:p>
        </w:tc>
        <w:tc>
          <w:tcPr>
            <w:tcW w:w="667" w:type="dxa"/>
            <w:tcBorders>
              <w:top w:val="dashed" w:sz="4" w:space="0" w:color="auto"/>
              <w:left w:val="dashed" w:sz="4" w:space="0" w:color="auto"/>
              <w:bottom w:val="dashed" w:sz="4" w:space="0" w:color="auto"/>
              <w:right w:val="single" w:sz="6" w:space="0" w:color="auto"/>
            </w:tcBorders>
            <w:shd w:val="clear" w:color="auto" w:fill="D9D9D9" w:themeFill="background1" w:themeFillShade="D9"/>
            <w:noWrap/>
            <w:vAlign w:val="bottom"/>
            <w:hideMark/>
          </w:tcPr>
          <w:p w14:paraId="1993150D"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10.4</w:t>
            </w:r>
          </w:p>
        </w:tc>
      </w:tr>
      <w:tr w:rsidR="00D21F21" w14:paraId="76DB73C5" w14:textId="77777777" w:rsidTr="00260739">
        <w:trPr>
          <w:trHeight w:val="20"/>
        </w:trPr>
        <w:tc>
          <w:tcPr>
            <w:tcW w:w="3544" w:type="dxa"/>
            <w:tcBorders>
              <w:top w:val="dashed" w:sz="4" w:space="0" w:color="auto"/>
              <w:left w:val="single" w:sz="6" w:space="0" w:color="auto"/>
              <w:bottom w:val="single" w:sz="6" w:space="0" w:color="auto"/>
              <w:right w:val="dashed" w:sz="4" w:space="0" w:color="auto"/>
            </w:tcBorders>
            <w:noWrap/>
            <w:vAlign w:val="bottom"/>
            <w:hideMark/>
          </w:tcPr>
          <w:p w14:paraId="713B2A61"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 xml:space="preserve">Current account </w:t>
            </w:r>
            <w:r>
              <w:rPr>
                <w:rFonts w:ascii="GHEA Grapalat" w:hAnsi="GHEA Grapalat"/>
                <w:i/>
                <w:color w:val="000000"/>
                <w:sz w:val="14"/>
                <w:szCs w:val="14"/>
              </w:rPr>
              <w:t>(share in GDP, %)</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05D5BCAF"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-13.5</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73B43959"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-10.5</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6408F8E0"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-10.0</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474098CB"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-7.3</w:t>
            </w:r>
          </w:p>
        </w:tc>
        <w:tc>
          <w:tcPr>
            <w:tcW w:w="667" w:type="dxa"/>
            <w:tcBorders>
              <w:top w:val="dashed" w:sz="4" w:space="0" w:color="auto"/>
              <w:left w:val="dashed" w:sz="4" w:space="0" w:color="auto"/>
              <w:bottom w:val="single" w:sz="6" w:space="0" w:color="auto"/>
              <w:right w:val="dashed" w:sz="4" w:space="0" w:color="auto"/>
            </w:tcBorders>
            <w:noWrap/>
            <w:vAlign w:val="bottom"/>
            <w:hideMark/>
          </w:tcPr>
          <w:p w14:paraId="14328169"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-7.6</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709B4E91"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-2.7</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1121FE13"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-2.2</w:t>
            </w:r>
          </w:p>
        </w:tc>
        <w:tc>
          <w:tcPr>
            <w:tcW w:w="666" w:type="dxa"/>
            <w:tcBorders>
              <w:top w:val="dashed" w:sz="4" w:space="0" w:color="auto"/>
              <w:left w:val="dashed" w:sz="4" w:space="0" w:color="auto"/>
              <w:bottom w:val="single" w:sz="6" w:space="0" w:color="auto"/>
              <w:right w:val="dashed" w:sz="4" w:space="0" w:color="auto"/>
            </w:tcBorders>
            <w:shd w:val="clear" w:color="auto" w:fill="D9D9D9" w:themeFill="background1" w:themeFillShade="D9"/>
            <w:noWrap/>
            <w:vAlign w:val="bottom"/>
            <w:hideMark/>
          </w:tcPr>
          <w:p w14:paraId="601CD9DF"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-2.3</w:t>
            </w:r>
          </w:p>
        </w:tc>
        <w:tc>
          <w:tcPr>
            <w:tcW w:w="666" w:type="dxa"/>
            <w:tcBorders>
              <w:top w:val="dashed" w:sz="4" w:space="0" w:color="auto"/>
              <w:left w:val="dashed" w:sz="4" w:space="0" w:color="auto"/>
              <w:bottom w:val="single" w:sz="6" w:space="0" w:color="auto"/>
              <w:right w:val="dashed" w:sz="4" w:space="0" w:color="auto"/>
            </w:tcBorders>
            <w:shd w:val="clear" w:color="auto" w:fill="D9D9D9" w:themeFill="background1" w:themeFillShade="D9"/>
            <w:noWrap/>
            <w:vAlign w:val="bottom"/>
            <w:hideMark/>
          </w:tcPr>
          <w:p w14:paraId="4DDF17FA"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-3.1</w:t>
            </w:r>
          </w:p>
        </w:tc>
        <w:tc>
          <w:tcPr>
            <w:tcW w:w="667" w:type="dxa"/>
            <w:tcBorders>
              <w:top w:val="dashed" w:sz="4" w:space="0" w:color="auto"/>
              <w:left w:val="dashed" w:sz="4" w:space="0" w:color="auto"/>
              <w:bottom w:val="single" w:sz="6" w:space="0" w:color="auto"/>
              <w:right w:val="single" w:sz="6" w:space="0" w:color="auto"/>
            </w:tcBorders>
            <w:shd w:val="clear" w:color="auto" w:fill="D9D9D9" w:themeFill="background1" w:themeFillShade="D9"/>
            <w:noWrap/>
            <w:vAlign w:val="bottom"/>
            <w:hideMark/>
          </w:tcPr>
          <w:p w14:paraId="02A7B51B"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-3.0</w:t>
            </w:r>
          </w:p>
        </w:tc>
      </w:tr>
      <w:tr w:rsidR="00D21F21" w14:paraId="696A2E73" w14:textId="77777777" w:rsidTr="00260739">
        <w:trPr>
          <w:trHeight w:val="20"/>
        </w:trPr>
        <w:tc>
          <w:tcPr>
            <w:tcW w:w="10206" w:type="dxa"/>
            <w:gridSpan w:val="11"/>
            <w:tcBorders>
              <w:top w:val="single" w:sz="6" w:space="0" w:color="auto"/>
              <w:left w:val="single" w:sz="6" w:space="0" w:color="auto"/>
              <w:bottom w:val="dashed" w:sz="4" w:space="0" w:color="auto"/>
              <w:right w:val="single" w:sz="6" w:space="0" w:color="auto"/>
            </w:tcBorders>
            <w:noWrap/>
            <w:vAlign w:val="bottom"/>
            <w:hideMark/>
          </w:tcPr>
          <w:p w14:paraId="5BF537CA" w14:textId="77777777" w:rsidR="00D21F21" w:rsidRDefault="00D21F21" w:rsidP="00260739">
            <w:pPr>
              <w:spacing w:before="38" w:after="38"/>
              <w:rPr>
                <w:rFonts w:ascii="GHEA Grapalat" w:hAnsi="GHEA Grapalat"/>
                <w:b/>
                <w:bCs/>
                <w:sz w:val="14"/>
                <w:szCs w:val="14"/>
              </w:rPr>
            </w:pPr>
            <w:r>
              <w:rPr>
                <w:rFonts w:ascii="GHEA Grapalat" w:hAnsi="GHEA Grapalat"/>
                <w:b/>
                <w:bCs/>
                <w:color w:val="000000"/>
                <w:sz w:val="14"/>
                <w:szCs w:val="14"/>
              </w:rPr>
              <w:t>Public sector</w:t>
            </w:r>
          </w:p>
        </w:tc>
      </w:tr>
      <w:tr w:rsidR="00D21F21" w14:paraId="727B269E" w14:textId="77777777" w:rsidTr="00260739">
        <w:trPr>
          <w:trHeight w:val="20"/>
        </w:trPr>
        <w:tc>
          <w:tcPr>
            <w:tcW w:w="3544" w:type="dxa"/>
            <w:tcBorders>
              <w:top w:val="dashed" w:sz="4" w:space="0" w:color="auto"/>
              <w:left w:val="single" w:sz="6" w:space="0" w:color="auto"/>
              <w:bottom w:val="dashed" w:sz="4" w:space="0" w:color="auto"/>
              <w:right w:val="dashed" w:sz="4" w:space="0" w:color="auto"/>
            </w:tcBorders>
            <w:noWrap/>
            <w:vAlign w:val="bottom"/>
            <w:hideMark/>
          </w:tcPr>
          <w:p w14:paraId="2984EB76"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 xml:space="preserve">Revenues and grants </w:t>
            </w:r>
            <w:r>
              <w:rPr>
                <w:rFonts w:ascii="GHEA Grapalat" w:hAnsi="GHEA Grapalat"/>
                <w:i/>
                <w:color w:val="000000"/>
                <w:sz w:val="14"/>
                <w:szCs w:val="14"/>
              </w:rPr>
              <w:t>(billion Armenian dram)</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6B49E71B"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780.4</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0D33DD77"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880.9</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19C3CC04"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946.2</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07766842"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1071.4</w:t>
            </w:r>
          </w:p>
        </w:tc>
        <w:tc>
          <w:tcPr>
            <w:tcW w:w="667" w:type="dxa"/>
            <w:tcBorders>
              <w:top w:val="dashed" w:sz="4" w:space="0" w:color="auto"/>
              <w:left w:val="dashed" w:sz="4" w:space="0" w:color="auto"/>
              <w:bottom w:val="dashed" w:sz="4" w:space="0" w:color="auto"/>
              <w:right w:val="dashed" w:sz="4" w:space="0" w:color="auto"/>
            </w:tcBorders>
            <w:noWrap/>
            <w:vAlign w:val="bottom"/>
            <w:hideMark/>
          </w:tcPr>
          <w:p w14:paraId="648A654B"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1144.8</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2C5CECBA"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1167.7</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03F2666D"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1171.1</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055028AF"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1201.4</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6F35872E"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1307.3</w:t>
            </w:r>
          </w:p>
        </w:tc>
        <w:tc>
          <w:tcPr>
            <w:tcW w:w="667" w:type="dxa"/>
            <w:tcBorders>
              <w:top w:val="dashed" w:sz="4" w:space="0" w:color="auto"/>
              <w:left w:val="dashed" w:sz="4" w:space="0" w:color="auto"/>
              <w:bottom w:val="dashed" w:sz="4" w:space="0" w:color="auto"/>
              <w:right w:val="single" w:sz="6" w:space="0" w:color="auto"/>
            </w:tcBorders>
            <w:shd w:val="clear" w:color="auto" w:fill="D9D9D9" w:themeFill="background1" w:themeFillShade="D9"/>
            <w:noWrap/>
            <w:vAlign w:val="bottom"/>
            <w:hideMark/>
          </w:tcPr>
          <w:p w14:paraId="738FE618" w14:textId="77777777" w:rsidR="00D21F21" w:rsidRDefault="00D21F21" w:rsidP="00260739">
            <w:pPr>
              <w:spacing w:before="38" w:after="38"/>
              <w:ind w:right="57"/>
              <w:jc w:val="center"/>
              <w:rPr>
                <w:rFonts w:ascii="GHEA Grapalat" w:hAnsi="GHEA Grapalat"/>
                <w:sz w:val="14"/>
                <w:szCs w:val="14"/>
              </w:rPr>
            </w:pPr>
            <w:r>
              <w:rPr>
                <w:rFonts w:ascii="GHEA Grapalat" w:hAnsi="GHEA Grapalat"/>
                <w:sz w:val="14"/>
                <w:szCs w:val="14"/>
              </w:rPr>
              <w:t>-</w:t>
            </w:r>
          </w:p>
        </w:tc>
      </w:tr>
      <w:tr w:rsidR="00D21F21" w14:paraId="48980158" w14:textId="77777777" w:rsidTr="00260739">
        <w:trPr>
          <w:trHeight w:val="20"/>
        </w:trPr>
        <w:tc>
          <w:tcPr>
            <w:tcW w:w="3544" w:type="dxa"/>
            <w:tcBorders>
              <w:top w:val="dashed" w:sz="4" w:space="0" w:color="auto"/>
              <w:left w:val="single" w:sz="6" w:space="0" w:color="auto"/>
              <w:bottom w:val="dashed" w:sz="4" w:space="0" w:color="auto"/>
              <w:right w:val="dashed" w:sz="4" w:space="0" w:color="auto"/>
            </w:tcBorders>
            <w:noWrap/>
            <w:vAlign w:val="bottom"/>
            <w:hideMark/>
          </w:tcPr>
          <w:p w14:paraId="79857DFF"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 xml:space="preserve">Tax revenues </w:t>
            </w:r>
            <w:r>
              <w:rPr>
                <w:rFonts w:ascii="GHEA Grapalat" w:hAnsi="GHEA Grapalat"/>
                <w:i/>
                <w:color w:val="000000"/>
                <w:sz w:val="14"/>
                <w:szCs w:val="14"/>
              </w:rPr>
              <w:t>(billion Armenian dram)</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113F908F"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699.4</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4E99673C"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777.4</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6E1A45DB"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878.4</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00F6D354"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1000.9</w:t>
            </w:r>
          </w:p>
        </w:tc>
        <w:tc>
          <w:tcPr>
            <w:tcW w:w="667" w:type="dxa"/>
            <w:tcBorders>
              <w:top w:val="dashed" w:sz="4" w:space="0" w:color="auto"/>
              <w:left w:val="dashed" w:sz="4" w:space="0" w:color="auto"/>
              <w:bottom w:val="dashed" w:sz="4" w:space="0" w:color="auto"/>
              <w:right w:val="dashed" w:sz="4" w:space="0" w:color="auto"/>
            </w:tcBorders>
            <w:noWrap/>
            <w:vAlign w:val="bottom"/>
            <w:hideMark/>
          </w:tcPr>
          <w:p w14:paraId="1815FF3B"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1064.1</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1EED3960"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1067.9</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0DBEED09"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1079.7</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7098233C"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1146.7</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178C9665"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1247.9</w:t>
            </w:r>
          </w:p>
        </w:tc>
        <w:tc>
          <w:tcPr>
            <w:tcW w:w="667" w:type="dxa"/>
            <w:tcBorders>
              <w:top w:val="dashed" w:sz="4" w:space="0" w:color="auto"/>
              <w:left w:val="dashed" w:sz="4" w:space="0" w:color="auto"/>
              <w:bottom w:val="dashed" w:sz="4" w:space="0" w:color="auto"/>
              <w:right w:val="single" w:sz="6" w:space="0" w:color="auto"/>
            </w:tcBorders>
            <w:shd w:val="clear" w:color="auto" w:fill="D9D9D9" w:themeFill="background1" w:themeFillShade="D9"/>
            <w:noWrap/>
            <w:vAlign w:val="bottom"/>
            <w:hideMark/>
          </w:tcPr>
          <w:p w14:paraId="0772579E" w14:textId="77777777" w:rsidR="00D21F21" w:rsidRDefault="00D21F21" w:rsidP="00260739">
            <w:pPr>
              <w:spacing w:before="38" w:after="38"/>
              <w:ind w:right="57"/>
              <w:jc w:val="center"/>
              <w:rPr>
                <w:rFonts w:ascii="GHEA Grapalat" w:hAnsi="GHEA Grapalat"/>
                <w:sz w:val="14"/>
                <w:szCs w:val="14"/>
              </w:rPr>
            </w:pPr>
            <w:r>
              <w:rPr>
                <w:rFonts w:ascii="GHEA Grapalat" w:hAnsi="GHEA Grapalat"/>
                <w:sz w:val="14"/>
                <w:szCs w:val="14"/>
              </w:rPr>
              <w:t>-</w:t>
            </w:r>
          </w:p>
        </w:tc>
      </w:tr>
      <w:tr w:rsidR="00D21F21" w14:paraId="051025C7" w14:textId="77777777" w:rsidTr="00260739">
        <w:trPr>
          <w:trHeight w:val="20"/>
        </w:trPr>
        <w:tc>
          <w:tcPr>
            <w:tcW w:w="3544" w:type="dxa"/>
            <w:tcBorders>
              <w:top w:val="dashed" w:sz="4" w:space="0" w:color="auto"/>
              <w:left w:val="single" w:sz="6" w:space="0" w:color="auto"/>
              <w:bottom w:val="dashed" w:sz="4" w:space="0" w:color="auto"/>
              <w:right w:val="dashed" w:sz="4" w:space="0" w:color="auto"/>
            </w:tcBorders>
            <w:noWrap/>
            <w:vAlign w:val="bottom"/>
            <w:hideMark/>
          </w:tcPr>
          <w:p w14:paraId="0A78689C"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 xml:space="preserve">Expenditures </w:t>
            </w:r>
            <w:r>
              <w:rPr>
                <w:rFonts w:ascii="GHEA Grapalat" w:hAnsi="GHEA Grapalat"/>
                <w:i/>
                <w:color w:val="000000"/>
                <w:sz w:val="14"/>
                <w:szCs w:val="14"/>
              </w:rPr>
              <w:t>(billion Armenian dram)</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4851E1C4"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954.3</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084F05C8"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986.5</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5A9D7A82"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1006.1</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6671B78C"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1142.9</w:t>
            </w:r>
          </w:p>
        </w:tc>
        <w:tc>
          <w:tcPr>
            <w:tcW w:w="667" w:type="dxa"/>
            <w:tcBorders>
              <w:top w:val="dashed" w:sz="4" w:space="0" w:color="auto"/>
              <w:left w:val="dashed" w:sz="4" w:space="0" w:color="auto"/>
              <w:bottom w:val="dashed" w:sz="4" w:space="0" w:color="auto"/>
              <w:right w:val="dashed" w:sz="4" w:space="0" w:color="auto"/>
            </w:tcBorders>
            <w:noWrap/>
            <w:vAlign w:val="bottom"/>
            <w:hideMark/>
          </w:tcPr>
          <w:p w14:paraId="339B6C66"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1235.1</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6C9A462A"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1409.0</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7582B38A"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1449.1</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322E9FC2"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1381.9</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41B39B3C"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1464.2</w:t>
            </w:r>
          </w:p>
        </w:tc>
        <w:tc>
          <w:tcPr>
            <w:tcW w:w="667" w:type="dxa"/>
            <w:tcBorders>
              <w:top w:val="dashed" w:sz="4" w:space="0" w:color="auto"/>
              <w:left w:val="dashed" w:sz="4" w:space="0" w:color="auto"/>
              <w:bottom w:val="dashed" w:sz="4" w:space="0" w:color="auto"/>
              <w:right w:val="single" w:sz="6" w:space="0" w:color="auto"/>
            </w:tcBorders>
            <w:shd w:val="clear" w:color="auto" w:fill="D9D9D9" w:themeFill="background1" w:themeFillShade="D9"/>
            <w:noWrap/>
            <w:vAlign w:val="bottom"/>
            <w:hideMark/>
          </w:tcPr>
          <w:p w14:paraId="22572AC2" w14:textId="77777777" w:rsidR="00D21F21" w:rsidRDefault="00D21F21" w:rsidP="00260739">
            <w:pPr>
              <w:spacing w:before="38" w:after="38"/>
              <w:ind w:right="57"/>
              <w:jc w:val="center"/>
              <w:rPr>
                <w:rFonts w:ascii="GHEA Grapalat" w:hAnsi="GHEA Grapalat"/>
                <w:sz w:val="14"/>
                <w:szCs w:val="14"/>
              </w:rPr>
            </w:pPr>
            <w:r>
              <w:rPr>
                <w:rFonts w:ascii="GHEA Grapalat" w:hAnsi="GHEA Grapalat"/>
                <w:sz w:val="14"/>
                <w:szCs w:val="14"/>
              </w:rPr>
              <w:t>-</w:t>
            </w:r>
          </w:p>
        </w:tc>
      </w:tr>
      <w:tr w:rsidR="00D21F21" w14:paraId="2D7E6309" w14:textId="77777777" w:rsidTr="00260739">
        <w:trPr>
          <w:trHeight w:val="20"/>
        </w:trPr>
        <w:tc>
          <w:tcPr>
            <w:tcW w:w="3544" w:type="dxa"/>
            <w:tcBorders>
              <w:top w:val="dashed" w:sz="4" w:space="0" w:color="auto"/>
              <w:left w:val="single" w:sz="6" w:space="0" w:color="auto"/>
              <w:bottom w:val="dashed" w:sz="4" w:space="0" w:color="auto"/>
              <w:right w:val="dashed" w:sz="4" w:space="0" w:color="auto"/>
            </w:tcBorders>
            <w:noWrap/>
            <w:vAlign w:val="bottom"/>
            <w:hideMark/>
          </w:tcPr>
          <w:p w14:paraId="5785F9D7"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 xml:space="preserve">Deficit </w:t>
            </w:r>
            <w:r>
              <w:rPr>
                <w:rFonts w:ascii="GHEA Grapalat" w:hAnsi="GHEA Grapalat"/>
                <w:i/>
                <w:color w:val="000000"/>
                <w:sz w:val="14"/>
                <w:szCs w:val="14"/>
              </w:rPr>
              <w:t xml:space="preserve">(billion Armenian dram) </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49CE8FF0"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-173.9</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1474B412"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-105.6</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5C2CCDC3"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-59.9</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3DDE86A9"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-71.5</w:t>
            </w:r>
          </w:p>
        </w:tc>
        <w:tc>
          <w:tcPr>
            <w:tcW w:w="667" w:type="dxa"/>
            <w:tcBorders>
              <w:top w:val="dashed" w:sz="4" w:space="0" w:color="auto"/>
              <w:left w:val="dashed" w:sz="4" w:space="0" w:color="auto"/>
              <w:bottom w:val="dashed" w:sz="4" w:space="0" w:color="auto"/>
              <w:right w:val="dashed" w:sz="4" w:space="0" w:color="auto"/>
            </w:tcBorders>
            <w:noWrap/>
            <w:vAlign w:val="bottom"/>
            <w:hideMark/>
          </w:tcPr>
          <w:p w14:paraId="1CE0CC8D"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-90.3</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7713F7D0"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-241.3</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5416E86A"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-278.0</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0DDEFC1C"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-180.5</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3E7A6A3B"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-156.9</w:t>
            </w:r>
          </w:p>
        </w:tc>
        <w:tc>
          <w:tcPr>
            <w:tcW w:w="667" w:type="dxa"/>
            <w:tcBorders>
              <w:top w:val="dashed" w:sz="4" w:space="0" w:color="auto"/>
              <w:left w:val="dashed" w:sz="4" w:space="0" w:color="auto"/>
              <w:bottom w:val="dashed" w:sz="4" w:space="0" w:color="auto"/>
              <w:right w:val="single" w:sz="6" w:space="0" w:color="auto"/>
            </w:tcBorders>
            <w:shd w:val="clear" w:color="auto" w:fill="D9D9D9" w:themeFill="background1" w:themeFillShade="D9"/>
            <w:noWrap/>
            <w:vAlign w:val="bottom"/>
            <w:hideMark/>
          </w:tcPr>
          <w:p w14:paraId="794A2BC7" w14:textId="77777777" w:rsidR="00D21F21" w:rsidRDefault="00D21F21" w:rsidP="00260739">
            <w:pPr>
              <w:spacing w:before="38" w:after="38"/>
              <w:ind w:right="57"/>
              <w:jc w:val="center"/>
              <w:rPr>
                <w:rFonts w:ascii="GHEA Grapalat" w:hAnsi="GHEA Grapalat"/>
                <w:sz w:val="14"/>
                <w:szCs w:val="14"/>
              </w:rPr>
            </w:pPr>
            <w:r>
              <w:rPr>
                <w:rFonts w:ascii="GHEA Grapalat" w:hAnsi="GHEA Grapalat"/>
                <w:sz w:val="14"/>
                <w:szCs w:val="14"/>
              </w:rPr>
              <w:t>-</w:t>
            </w:r>
          </w:p>
        </w:tc>
      </w:tr>
      <w:tr w:rsidR="00D21F21" w14:paraId="0F58EC12" w14:textId="77777777" w:rsidTr="00260739">
        <w:trPr>
          <w:trHeight w:val="20"/>
        </w:trPr>
        <w:tc>
          <w:tcPr>
            <w:tcW w:w="3544" w:type="dxa"/>
            <w:tcBorders>
              <w:top w:val="dashed" w:sz="4" w:space="0" w:color="auto"/>
              <w:left w:val="single" w:sz="6" w:space="0" w:color="auto"/>
              <w:bottom w:val="dashed" w:sz="4" w:space="0" w:color="auto"/>
              <w:right w:val="dashed" w:sz="4" w:space="0" w:color="auto"/>
            </w:tcBorders>
            <w:noWrap/>
            <w:vAlign w:val="bottom"/>
            <w:hideMark/>
          </w:tcPr>
          <w:p w14:paraId="64AA1FEB"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 xml:space="preserve">Revenues and grants </w:t>
            </w:r>
            <w:r>
              <w:rPr>
                <w:rFonts w:ascii="GHEA Grapalat" w:hAnsi="GHEA Grapalat"/>
                <w:i/>
                <w:color w:val="000000"/>
                <w:sz w:val="14"/>
                <w:szCs w:val="14"/>
              </w:rPr>
              <w:t>(share in GDP, %)</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6D97576E"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22.6</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620207BA"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23.3</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02EF52A6"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22.2</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3242693F"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23.5</w:t>
            </w:r>
          </w:p>
        </w:tc>
        <w:tc>
          <w:tcPr>
            <w:tcW w:w="667" w:type="dxa"/>
            <w:tcBorders>
              <w:top w:val="dashed" w:sz="4" w:space="0" w:color="auto"/>
              <w:left w:val="dashed" w:sz="4" w:space="0" w:color="auto"/>
              <w:bottom w:val="dashed" w:sz="4" w:space="0" w:color="auto"/>
              <w:right w:val="dashed" w:sz="4" w:space="0" w:color="auto"/>
            </w:tcBorders>
            <w:noWrap/>
            <w:vAlign w:val="bottom"/>
            <w:hideMark/>
          </w:tcPr>
          <w:p w14:paraId="38CC5F8B"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23.7</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137A372F"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23.2</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52A3B7D3"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23.1</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6DD00ADE"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22.3</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613DD218"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22.6</w:t>
            </w:r>
          </w:p>
        </w:tc>
        <w:tc>
          <w:tcPr>
            <w:tcW w:w="667" w:type="dxa"/>
            <w:tcBorders>
              <w:top w:val="dashed" w:sz="4" w:space="0" w:color="auto"/>
              <w:left w:val="dashed" w:sz="4" w:space="0" w:color="auto"/>
              <w:bottom w:val="dashed" w:sz="4" w:space="0" w:color="auto"/>
              <w:right w:val="single" w:sz="6" w:space="0" w:color="auto"/>
            </w:tcBorders>
            <w:shd w:val="clear" w:color="auto" w:fill="D9D9D9" w:themeFill="background1" w:themeFillShade="D9"/>
            <w:noWrap/>
            <w:vAlign w:val="bottom"/>
            <w:hideMark/>
          </w:tcPr>
          <w:p w14:paraId="1BB1CED8" w14:textId="77777777" w:rsidR="00D21F21" w:rsidRDefault="00D21F21" w:rsidP="00260739">
            <w:pPr>
              <w:spacing w:before="38" w:after="38"/>
              <w:ind w:right="57"/>
              <w:jc w:val="center"/>
              <w:rPr>
                <w:rFonts w:ascii="GHEA Grapalat" w:hAnsi="GHEA Grapalat"/>
                <w:sz w:val="14"/>
                <w:szCs w:val="14"/>
              </w:rPr>
            </w:pPr>
            <w:r>
              <w:rPr>
                <w:rFonts w:ascii="GHEA Grapalat" w:hAnsi="GHEA Grapalat"/>
                <w:sz w:val="14"/>
                <w:szCs w:val="14"/>
              </w:rPr>
              <w:t>-</w:t>
            </w:r>
          </w:p>
        </w:tc>
      </w:tr>
      <w:tr w:rsidR="00D21F21" w14:paraId="042BB33D" w14:textId="77777777" w:rsidTr="00260739">
        <w:trPr>
          <w:trHeight w:val="20"/>
        </w:trPr>
        <w:tc>
          <w:tcPr>
            <w:tcW w:w="3544" w:type="dxa"/>
            <w:tcBorders>
              <w:top w:val="dashed" w:sz="4" w:space="0" w:color="auto"/>
              <w:left w:val="single" w:sz="6" w:space="0" w:color="auto"/>
              <w:bottom w:val="dashed" w:sz="4" w:space="0" w:color="auto"/>
              <w:right w:val="dashed" w:sz="4" w:space="0" w:color="auto"/>
            </w:tcBorders>
            <w:noWrap/>
            <w:vAlign w:val="bottom"/>
            <w:hideMark/>
          </w:tcPr>
          <w:p w14:paraId="61651979"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 xml:space="preserve">Tax revenues </w:t>
            </w:r>
            <w:r>
              <w:rPr>
                <w:rFonts w:ascii="GHEA Grapalat" w:hAnsi="GHEA Grapalat"/>
                <w:i/>
                <w:color w:val="000000"/>
                <w:sz w:val="14"/>
                <w:szCs w:val="14"/>
              </w:rPr>
              <w:t>(share in GDP, %)</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7E8F13DD"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20.2</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51FA0E7A"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20.6</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010A4EA4"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20.6</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0377A7C6"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22.0</w:t>
            </w:r>
          </w:p>
        </w:tc>
        <w:tc>
          <w:tcPr>
            <w:tcW w:w="667" w:type="dxa"/>
            <w:tcBorders>
              <w:top w:val="dashed" w:sz="4" w:space="0" w:color="auto"/>
              <w:left w:val="dashed" w:sz="4" w:space="0" w:color="auto"/>
              <w:bottom w:val="dashed" w:sz="4" w:space="0" w:color="auto"/>
              <w:right w:val="dashed" w:sz="4" w:space="0" w:color="auto"/>
            </w:tcBorders>
            <w:noWrap/>
            <w:vAlign w:val="bottom"/>
            <w:hideMark/>
          </w:tcPr>
          <w:p w14:paraId="206C0145"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22.0</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6A7964BA"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21.2</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4E1A1803"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21.3</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5A18048E"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21.3</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667390C7"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21.6</w:t>
            </w:r>
          </w:p>
        </w:tc>
        <w:tc>
          <w:tcPr>
            <w:tcW w:w="667" w:type="dxa"/>
            <w:tcBorders>
              <w:top w:val="dashed" w:sz="4" w:space="0" w:color="auto"/>
              <w:left w:val="dashed" w:sz="4" w:space="0" w:color="auto"/>
              <w:bottom w:val="dashed" w:sz="4" w:space="0" w:color="auto"/>
              <w:right w:val="single" w:sz="6" w:space="0" w:color="auto"/>
            </w:tcBorders>
            <w:shd w:val="clear" w:color="auto" w:fill="D9D9D9" w:themeFill="background1" w:themeFillShade="D9"/>
            <w:noWrap/>
            <w:vAlign w:val="bottom"/>
            <w:hideMark/>
          </w:tcPr>
          <w:p w14:paraId="7A861049" w14:textId="77777777" w:rsidR="00D21F21" w:rsidRDefault="00D21F21" w:rsidP="00260739">
            <w:pPr>
              <w:spacing w:before="38" w:after="38"/>
              <w:ind w:right="57"/>
              <w:jc w:val="center"/>
              <w:rPr>
                <w:rFonts w:ascii="GHEA Grapalat" w:hAnsi="GHEA Grapalat"/>
                <w:sz w:val="14"/>
                <w:szCs w:val="14"/>
              </w:rPr>
            </w:pPr>
            <w:r>
              <w:rPr>
                <w:rFonts w:ascii="GHEA Grapalat" w:hAnsi="GHEA Grapalat"/>
                <w:sz w:val="14"/>
                <w:szCs w:val="14"/>
              </w:rPr>
              <w:t>-</w:t>
            </w:r>
          </w:p>
        </w:tc>
      </w:tr>
      <w:tr w:rsidR="00D21F21" w14:paraId="4B67AEF3" w14:textId="77777777" w:rsidTr="00260739">
        <w:trPr>
          <w:trHeight w:val="20"/>
        </w:trPr>
        <w:tc>
          <w:tcPr>
            <w:tcW w:w="3544" w:type="dxa"/>
            <w:tcBorders>
              <w:top w:val="dashed" w:sz="4" w:space="0" w:color="auto"/>
              <w:left w:val="single" w:sz="6" w:space="0" w:color="auto"/>
              <w:bottom w:val="dashed" w:sz="4" w:space="0" w:color="auto"/>
              <w:right w:val="dashed" w:sz="4" w:space="0" w:color="auto"/>
            </w:tcBorders>
            <w:noWrap/>
            <w:vAlign w:val="bottom"/>
            <w:hideMark/>
          </w:tcPr>
          <w:p w14:paraId="1B87E23C"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 xml:space="preserve">Expenditures </w:t>
            </w:r>
            <w:r>
              <w:rPr>
                <w:rFonts w:ascii="GHEA Grapalat" w:hAnsi="GHEA Grapalat"/>
                <w:i/>
                <w:color w:val="000000"/>
                <w:sz w:val="14"/>
                <w:szCs w:val="14"/>
              </w:rPr>
              <w:t>(share in GDP, %)</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46FEDEAE"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27.6</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3AB18C9B"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26.1</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486BF684"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23.6</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70DD087B"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25.1</w:t>
            </w:r>
          </w:p>
        </w:tc>
        <w:tc>
          <w:tcPr>
            <w:tcW w:w="667" w:type="dxa"/>
            <w:tcBorders>
              <w:top w:val="dashed" w:sz="4" w:space="0" w:color="auto"/>
              <w:left w:val="dashed" w:sz="4" w:space="0" w:color="auto"/>
              <w:bottom w:val="dashed" w:sz="4" w:space="0" w:color="auto"/>
              <w:right w:val="dashed" w:sz="4" w:space="0" w:color="auto"/>
            </w:tcBorders>
            <w:noWrap/>
            <w:vAlign w:val="bottom"/>
            <w:hideMark/>
          </w:tcPr>
          <w:p w14:paraId="6A9B516A"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25.6</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638F3DBA"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28.0</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093FE9D5"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28.6</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73FA3B03"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25.6</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61B6C97D"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25.3</w:t>
            </w:r>
          </w:p>
        </w:tc>
        <w:tc>
          <w:tcPr>
            <w:tcW w:w="667" w:type="dxa"/>
            <w:tcBorders>
              <w:top w:val="dashed" w:sz="4" w:space="0" w:color="auto"/>
              <w:left w:val="dashed" w:sz="4" w:space="0" w:color="auto"/>
              <w:bottom w:val="dashed" w:sz="4" w:space="0" w:color="auto"/>
              <w:right w:val="single" w:sz="6" w:space="0" w:color="auto"/>
            </w:tcBorders>
            <w:shd w:val="clear" w:color="auto" w:fill="D9D9D9" w:themeFill="background1" w:themeFillShade="D9"/>
            <w:noWrap/>
            <w:vAlign w:val="bottom"/>
            <w:hideMark/>
          </w:tcPr>
          <w:p w14:paraId="3C5CB3BA" w14:textId="77777777" w:rsidR="00D21F21" w:rsidRDefault="00D21F21" w:rsidP="00260739">
            <w:pPr>
              <w:spacing w:before="38" w:after="38"/>
              <w:ind w:right="57"/>
              <w:jc w:val="center"/>
              <w:rPr>
                <w:rFonts w:ascii="GHEA Grapalat" w:hAnsi="GHEA Grapalat"/>
                <w:sz w:val="14"/>
                <w:szCs w:val="14"/>
              </w:rPr>
            </w:pPr>
            <w:r>
              <w:rPr>
                <w:rFonts w:ascii="GHEA Grapalat" w:hAnsi="GHEA Grapalat"/>
                <w:sz w:val="14"/>
                <w:szCs w:val="14"/>
              </w:rPr>
              <w:t>-</w:t>
            </w:r>
          </w:p>
        </w:tc>
      </w:tr>
      <w:tr w:rsidR="00D21F21" w14:paraId="24368D4C" w14:textId="77777777" w:rsidTr="00260739">
        <w:trPr>
          <w:trHeight w:val="20"/>
        </w:trPr>
        <w:tc>
          <w:tcPr>
            <w:tcW w:w="3544" w:type="dxa"/>
            <w:tcBorders>
              <w:top w:val="dashed" w:sz="4" w:space="0" w:color="auto"/>
              <w:left w:val="single" w:sz="6" w:space="0" w:color="auto"/>
              <w:bottom w:val="single" w:sz="6" w:space="0" w:color="auto"/>
              <w:right w:val="dashed" w:sz="4" w:space="0" w:color="auto"/>
            </w:tcBorders>
            <w:noWrap/>
            <w:vAlign w:val="bottom"/>
            <w:hideMark/>
          </w:tcPr>
          <w:p w14:paraId="63AF8BF3"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 xml:space="preserve">Deficit </w:t>
            </w:r>
            <w:r>
              <w:rPr>
                <w:rFonts w:ascii="GHEA Grapalat" w:hAnsi="GHEA Grapalat"/>
                <w:i/>
                <w:color w:val="000000"/>
                <w:sz w:val="14"/>
                <w:szCs w:val="14"/>
              </w:rPr>
              <w:t>(share in GDP, %)</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6098C3CA"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-5.0</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5F9C0668"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-2.8</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7FAE9E71"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-1.4</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69014D02"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-1.6</w:t>
            </w:r>
          </w:p>
        </w:tc>
        <w:tc>
          <w:tcPr>
            <w:tcW w:w="667" w:type="dxa"/>
            <w:tcBorders>
              <w:top w:val="dashed" w:sz="4" w:space="0" w:color="auto"/>
              <w:left w:val="dashed" w:sz="4" w:space="0" w:color="auto"/>
              <w:bottom w:val="single" w:sz="6" w:space="0" w:color="auto"/>
              <w:right w:val="dashed" w:sz="4" w:space="0" w:color="auto"/>
            </w:tcBorders>
            <w:noWrap/>
            <w:vAlign w:val="bottom"/>
            <w:hideMark/>
          </w:tcPr>
          <w:p w14:paraId="71F43E95"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-1.9</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4211D9CF"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-4.8</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41DDA175"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-5.5</w:t>
            </w:r>
          </w:p>
        </w:tc>
        <w:tc>
          <w:tcPr>
            <w:tcW w:w="666" w:type="dxa"/>
            <w:tcBorders>
              <w:top w:val="dashed" w:sz="4" w:space="0" w:color="auto"/>
              <w:left w:val="dashed" w:sz="4" w:space="0" w:color="auto"/>
              <w:bottom w:val="single" w:sz="6" w:space="0" w:color="auto"/>
              <w:right w:val="dashed" w:sz="4" w:space="0" w:color="auto"/>
            </w:tcBorders>
            <w:shd w:val="clear" w:color="auto" w:fill="D9D9D9" w:themeFill="background1" w:themeFillShade="D9"/>
            <w:noWrap/>
            <w:vAlign w:val="bottom"/>
            <w:hideMark/>
          </w:tcPr>
          <w:p w14:paraId="6E87D560"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-3.3</w:t>
            </w:r>
          </w:p>
        </w:tc>
        <w:tc>
          <w:tcPr>
            <w:tcW w:w="666" w:type="dxa"/>
            <w:tcBorders>
              <w:top w:val="dashed" w:sz="4" w:space="0" w:color="auto"/>
              <w:left w:val="dashed" w:sz="4" w:space="0" w:color="auto"/>
              <w:bottom w:val="single" w:sz="6" w:space="0" w:color="auto"/>
              <w:right w:val="dashed" w:sz="4" w:space="0" w:color="auto"/>
            </w:tcBorders>
            <w:shd w:val="clear" w:color="auto" w:fill="D9D9D9" w:themeFill="background1" w:themeFillShade="D9"/>
            <w:noWrap/>
            <w:vAlign w:val="bottom"/>
            <w:hideMark/>
          </w:tcPr>
          <w:p w14:paraId="6C11B5D7"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-2.7</w:t>
            </w:r>
          </w:p>
        </w:tc>
        <w:tc>
          <w:tcPr>
            <w:tcW w:w="667" w:type="dxa"/>
            <w:tcBorders>
              <w:top w:val="dashed" w:sz="4" w:space="0" w:color="auto"/>
              <w:left w:val="dashed" w:sz="4" w:space="0" w:color="auto"/>
              <w:bottom w:val="single" w:sz="6" w:space="0" w:color="auto"/>
              <w:right w:val="single" w:sz="6" w:space="0" w:color="auto"/>
            </w:tcBorders>
            <w:shd w:val="clear" w:color="auto" w:fill="D9D9D9" w:themeFill="background1" w:themeFillShade="D9"/>
            <w:noWrap/>
            <w:vAlign w:val="bottom"/>
            <w:hideMark/>
          </w:tcPr>
          <w:p w14:paraId="7E79DD95" w14:textId="77777777" w:rsidR="00D21F21" w:rsidRDefault="00D21F21" w:rsidP="00260739">
            <w:pPr>
              <w:spacing w:before="38" w:after="38"/>
              <w:ind w:right="57"/>
              <w:jc w:val="center"/>
              <w:rPr>
                <w:rFonts w:ascii="GHEA Grapalat" w:hAnsi="GHEA Grapalat"/>
                <w:sz w:val="14"/>
                <w:szCs w:val="14"/>
              </w:rPr>
            </w:pPr>
            <w:r>
              <w:rPr>
                <w:rFonts w:ascii="GHEA Grapalat" w:hAnsi="GHEA Grapalat"/>
                <w:sz w:val="14"/>
                <w:szCs w:val="14"/>
              </w:rPr>
              <w:t>-</w:t>
            </w:r>
          </w:p>
        </w:tc>
      </w:tr>
      <w:tr w:rsidR="00D21F21" w14:paraId="736F30E1" w14:textId="77777777" w:rsidTr="00260739">
        <w:trPr>
          <w:trHeight w:val="20"/>
        </w:trPr>
        <w:tc>
          <w:tcPr>
            <w:tcW w:w="10206" w:type="dxa"/>
            <w:gridSpan w:val="11"/>
            <w:tcBorders>
              <w:top w:val="single" w:sz="6" w:space="0" w:color="auto"/>
              <w:left w:val="single" w:sz="6" w:space="0" w:color="auto"/>
              <w:bottom w:val="dashed" w:sz="4" w:space="0" w:color="auto"/>
              <w:right w:val="single" w:sz="6" w:space="0" w:color="auto"/>
            </w:tcBorders>
            <w:noWrap/>
            <w:vAlign w:val="bottom"/>
            <w:hideMark/>
          </w:tcPr>
          <w:p w14:paraId="5BD7734D" w14:textId="77777777" w:rsidR="00D21F21" w:rsidRDefault="00D21F21" w:rsidP="00260739">
            <w:pPr>
              <w:spacing w:before="38" w:after="38"/>
              <w:rPr>
                <w:rFonts w:ascii="GHEA Grapalat" w:hAnsi="GHEA Grapalat"/>
                <w:b/>
                <w:bCs/>
                <w:sz w:val="14"/>
                <w:szCs w:val="14"/>
              </w:rPr>
            </w:pPr>
            <w:r>
              <w:rPr>
                <w:rFonts w:ascii="GHEA Grapalat" w:hAnsi="GHEA Grapalat"/>
                <w:b/>
                <w:bCs/>
                <w:color w:val="000000"/>
                <w:sz w:val="14"/>
                <w:szCs w:val="14"/>
              </w:rPr>
              <w:t>Monetary sector</w:t>
            </w:r>
          </w:p>
        </w:tc>
      </w:tr>
      <w:tr w:rsidR="00D21F21" w14:paraId="0FC53F91" w14:textId="77777777" w:rsidTr="00260739">
        <w:trPr>
          <w:trHeight w:val="20"/>
        </w:trPr>
        <w:tc>
          <w:tcPr>
            <w:tcW w:w="3544" w:type="dxa"/>
            <w:tcBorders>
              <w:top w:val="dashed" w:sz="4" w:space="0" w:color="auto"/>
              <w:left w:val="single" w:sz="6" w:space="0" w:color="auto"/>
              <w:bottom w:val="dashed" w:sz="4" w:space="0" w:color="auto"/>
              <w:right w:val="dashed" w:sz="4" w:space="0" w:color="auto"/>
            </w:tcBorders>
            <w:noWrap/>
            <w:vAlign w:val="bottom"/>
            <w:hideMark/>
          </w:tcPr>
          <w:p w14:paraId="0BB314C3"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lastRenderedPageBreak/>
              <w:t xml:space="preserve">Broad money </w:t>
            </w:r>
            <w:r>
              <w:rPr>
                <w:rFonts w:ascii="GHEA Grapalat" w:hAnsi="GHEA Grapalat"/>
                <w:i/>
                <w:color w:val="000000"/>
                <w:sz w:val="14"/>
                <w:szCs w:val="14"/>
              </w:rPr>
              <w:t xml:space="preserve">(y/y, end of period, %) </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70303B67"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11.8</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0563D1F6"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23.7</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617A8170"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19.5</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33C492EF"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14.8</w:t>
            </w:r>
          </w:p>
        </w:tc>
        <w:tc>
          <w:tcPr>
            <w:tcW w:w="667" w:type="dxa"/>
            <w:tcBorders>
              <w:top w:val="dashed" w:sz="4" w:space="0" w:color="auto"/>
              <w:left w:val="dashed" w:sz="4" w:space="0" w:color="auto"/>
              <w:bottom w:val="dashed" w:sz="4" w:space="0" w:color="auto"/>
              <w:right w:val="dashed" w:sz="4" w:space="0" w:color="auto"/>
            </w:tcBorders>
            <w:noWrap/>
            <w:vAlign w:val="bottom"/>
            <w:hideMark/>
          </w:tcPr>
          <w:p w14:paraId="1745AE39"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8.3</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67397A8D"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10.8</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231F55C1"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17.5</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0429A17D"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10.9</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4C24D9C1"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6.3</w:t>
            </w:r>
          </w:p>
        </w:tc>
        <w:tc>
          <w:tcPr>
            <w:tcW w:w="667" w:type="dxa"/>
            <w:tcBorders>
              <w:top w:val="dashed" w:sz="4" w:space="0" w:color="auto"/>
              <w:left w:val="dashed" w:sz="4" w:space="0" w:color="auto"/>
              <w:bottom w:val="dashed" w:sz="4" w:space="0" w:color="auto"/>
              <w:right w:val="single" w:sz="6" w:space="0" w:color="auto"/>
            </w:tcBorders>
            <w:shd w:val="clear" w:color="auto" w:fill="D9D9D9" w:themeFill="background1" w:themeFillShade="D9"/>
            <w:noWrap/>
            <w:vAlign w:val="bottom"/>
            <w:hideMark/>
          </w:tcPr>
          <w:p w14:paraId="3CC2946F" w14:textId="77777777" w:rsidR="00D21F21" w:rsidRDefault="00D21F21" w:rsidP="00260739">
            <w:pPr>
              <w:spacing w:before="38" w:after="38"/>
              <w:ind w:right="57"/>
              <w:jc w:val="center"/>
              <w:rPr>
                <w:rFonts w:ascii="GHEA Grapalat" w:hAnsi="GHEA Grapalat"/>
                <w:sz w:val="14"/>
                <w:szCs w:val="14"/>
              </w:rPr>
            </w:pPr>
            <w:r>
              <w:rPr>
                <w:rFonts w:ascii="GHEA Grapalat" w:hAnsi="GHEA Grapalat"/>
                <w:sz w:val="14"/>
                <w:szCs w:val="14"/>
              </w:rPr>
              <w:t>-</w:t>
            </w:r>
          </w:p>
        </w:tc>
      </w:tr>
      <w:tr w:rsidR="00D21F21" w14:paraId="737C9888" w14:textId="77777777" w:rsidTr="00260739">
        <w:trPr>
          <w:trHeight w:val="20"/>
        </w:trPr>
        <w:tc>
          <w:tcPr>
            <w:tcW w:w="3544" w:type="dxa"/>
            <w:tcBorders>
              <w:top w:val="dashed" w:sz="4" w:space="0" w:color="auto"/>
              <w:left w:val="single" w:sz="6" w:space="0" w:color="auto"/>
              <w:bottom w:val="dashed" w:sz="4" w:space="0" w:color="auto"/>
              <w:right w:val="dashed" w:sz="4" w:space="0" w:color="auto"/>
            </w:tcBorders>
            <w:noWrap/>
            <w:vAlign w:val="bottom"/>
            <w:hideMark/>
          </w:tcPr>
          <w:p w14:paraId="1D245DF7"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 xml:space="preserve">Dram broad money </w:t>
            </w:r>
            <w:r>
              <w:rPr>
                <w:rFonts w:ascii="GHEA Grapalat" w:hAnsi="GHEA Grapalat"/>
                <w:i/>
                <w:color w:val="000000"/>
                <w:sz w:val="14"/>
                <w:szCs w:val="14"/>
              </w:rPr>
              <w:t xml:space="preserve">(y/y, end of period, %) </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1735A0BA"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15.7</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7F63CACB"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26.4</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3267DC09"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11.9</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55711CB6"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14.9</w:t>
            </w:r>
          </w:p>
        </w:tc>
        <w:tc>
          <w:tcPr>
            <w:tcW w:w="667" w:type="dxa"/>
            <w:tcBorders>
              <w:top w:val="dashed" w:sz="4" w:space="0" w:color="auto"/>
              <w:left w:val="dashed" w:sz="4" w:space="0" w:color="auto"/>
              <w:bottom w:val="dashed" w:sz="4" w:space="0" w:color="auto"/>
              <w:right w:val="dashed" w:sz="4" w:space="0" w:color="auto"/>
            </w:tcBorders>
            <w:noWrap/>
            <w:vAlign w:val="bottom"/>
            <w:hideMark/>
          </w:tcPr>
          <w:p w14:paraId="6F674AFB"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-3.5</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68B4695B"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5.2</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6C3AB0BB"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24.8</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229AEC9F"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20.0</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2C745ED0"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10.7</w:t>
            </w:r>
          </w:p>
        </w:tc>
        <w:tc>
          <w:tcPr>
            <w:tcW w:w="667" w:type="dxa"/>
            <w:tcBorders>
              <w:top w:val="dashed" w:sz="4" w:space="0" w:color="auto"/>
              <w:left w:val="dashed" w:sz="4" w:space="0" w:color="auto"/>
              <w:bottom w:val="dashed" w:sz="4" w:space="0" w:color="auto"/>
              <w:right w:val="single" w:sz="6" w:space="0" w:color="auto"/>
            </w:tcBorders>
            <w:shd w:val="clear" w:color="auto" w:fill="D9D9D9" w:themeFill="background1" w:themeFillShade="D9"/>
            <w:noWrap/>
            <w:vAlign w:val="bottom"/>
            <w:hideMark/>
          </w:tcPr>
          <w:p w14:paraId="07661D3E" w14:textId="77777777" w:rsidR="00D21F21" w:rsidRDefault="00D21F21" w:rsidP="00260739">
            <w:pPr>
              <w:spacing w:before="38" w:after="38"/>
              <w:ind w:right="57"/>
              <w:jc w:val="center"/>
              <w:rPr>
                <w:rFonts w:ascii="GHEA Grapalat" w:hAnsi="GHEA Grapalat"/>
                <w:sz w:val="14"/>
                <w:szCs w:val="14"/>
              </w:rPr>
            </w:pPr>
            <w:r>
              <w:rPr>
                <w:rFonts w:ascii="GHEA Grapalat" w:hAnsi="GHEA Grapalat"/>
                <w:sz w:val="14"/>
                <w:szCs w:val="14"/>
              </w:rPr>
              <w:t>-</w:t>
            </w:r>
          </w:p>
        </w:tc>
      </w:tr>
      <w:tr w:rsidR="00D21F21" w14:paraId="50D2F894" w14:textId="77777777" w:rsidTr="00260739">
        <w:trPr>
          <w:trHeight w:val="20"/>
        </w:trPr>
        <w:tc>
          <w:tcPr>
            <w:tcW w:w="3544" w:type="dxa"/>
            <w:tcBorders>
              <w:top w:val="dashed" w:sz="4" w:space="0" w:color="auto"/>
              <w:left w:val="single" w:sz="6" w:space="0" w:color="auto"/>
              <w:bottom w:val="dashed" w:sz="4" w:space="0" w:color="auto"/>
              <w:right w:val="dashed" w:sz="4" w:space="0" w:color="auto"/>
            </w:tcBorders>
            <w:noWrap/>
            <w:vAlign w:val="bottom"/>
            <w:hideMark/>
          </w:tcPr>
          <w:p w14:paraId="0DF47E6A"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 xml:space="preserve">Loans to economy </w:t>
            </w:r>
            <w:r>
              <w:rPr>
                <w:rFonts w:ascii="GHEA Grapalat" w:hAnsi="GHEA Grapalat"/>
                <w:i/>
                <w:color w:val="000000"/>
                <w:sz w:val="14"/>
                <w:szCs w:val="14"/>
              </w:rPr>
              <w:t>(y/y, end of period, %)</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77A25649"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26.7</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29D52E0D"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35.3</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72546231"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27.6</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2A47D7DB"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12.9</w:t>
            </w:r>
          </w:p>
        </w:tc>
        <w:tc>
          <w:tcPr>
            <w:tcW w:w="667" w:type="dxa"/>
            <w:tcBorders>
              <w:top w:val="dashed" w:sz="4" w:space="0" w:color="auto"/>
              <w:left w:val="dashed" w:sz="4" w:space="0" w:color="auto"/>
              <w:bottom w:val="dashed" w:sz="4" w:space="0" w:color="auto"/>
              <w:right w:val="dashed" w:sz="4" w:space="0" w:color="auto"/>
            </w:tcBorders>
            <w:noWrap/>
            <w:vAlign w:val="bottom"/>
            <w:hideMark/>
          </w:tcPr>
          <w:p w14:paraId="2130AF52"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20.8</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63C2B08F"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-3.3</w:t>
            </w:r>
          </w:p>
        </w:tc>
        <w:tc>
          <w:tcPr>
            <w:tcW w:w="666" w:type="dxa"/>
            <w:tcBorders>
              <w:top w:val="dashed" w:sz="4" w:space="0" w:color="auto"/>
              <w:left w:val="dashed" w:sz="4" w:space="0" w:color="auto"/>
              <w:bottom w:val="dashed" w:sz="4" w:space="0" w:color="auto"/>
              <w:right w:val="dashed" w:sz="4" w:space="0" w:color="auto"/>
            </w:tcBorders>
            <w:noWrap/>
            <w:vAlign w:val="bottom"/>
            <w:hideMark/>
          </w:tcPr>
          <w:p w14:paraId="3EFC3AA3"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6.0</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6D624D23" w14:textId="77777777" w:rsidR="00D21F21" w:rsidRDefault="00D21F21" w:rsidP="00260739">
            <w:pPr>
              <w:spacing w:before="38" w:after="38"/>
              <w:ind w:right="57"/>
              <w:jc w:val="center"/>
              <w:rPr>
                <w:rFonts w:ascii="GHEA Grapalat" w:hAnsi="GHEA Grapalat"/>
                <w:sz w:val="14"/>
                <w:szCs w:val="14"/>
              </w:rPr>
            </w:pPr>
            <w:r>
              <w:rPr>
                <w:rFonts w:ascii="GHEA Grapalat" w:hAnsi="GHEA Grapalat"/>
                <w:sz w:val="14"/>
                <w:szCs w:val="14"/>
              </w:rPr>
              <w:t>-</w:t>
            </w:r>
          </w:p>
        </w:tc>
        <w:tc>
          <w:tcPr>
            <w:tcW w:w="666" w:type="dxa"/>
            <w:tcBorders>
              <w:top w:val="dashed" w:sz="4" w:space="0" w:color="auto"/>
              <w:left w:val="dashed" w:sz="4" w:space="0" w:color="auto"/>
              <w:bottom w:val="dashed" w:sz="4" w:space="0" w:color="auto"/>
              <w:right w:val="dashed" w:sz="4" w:space="0" w:color="auto"/>
            </w:tcBorders>
            <w:shd w:val="clear" w:color="auto" w:fill="D9D9D9" w:themeFill="background1" w:themeFillShade="D9"/>
            <w:noWrap/>
            <w:vAlign w:val="bottom"/>
            <w:hideMark/>
          </w:tcPr>
          <w:p w14:paraId="6F363451" w14:textId="77777777" w:rsidR="00D21F21" w:rsidRDefault="00D21F21" w:rsidP="00260739">
            <w:pPr>
              <w:spacing w:before="38" w:after="38"/>
              <w:ind w:right="57"/>
              <w:jc w:val="center"/>
              <w:rPr>
                <w:rFonts w:ascii="GHEA Grapalat" w:hAnsi="GHEA Grapalat"/>
                <w:sz w:val="14"/>
                <w:szCs w:val="14"/>
              </w:rPr>
            </w:pPr>
            <w:r>
              <w:rPr>
                <w:rFonts w:ascii="GHEA Grapalat" w:hAnsi="GHEA Grapalat"/>
                <w:sz w:val="14"/>
                <w:szCs w:val="14"/>
              </w:rPr>
              <w:t>-</w:t>
            </w:r>
          </w:p>
        </w:tc>
        <w:tc>
          <w:tcPr>
            <w:tcW w:w="667" w:type="dxa"/>
            <w:tcBorders>
              <w:top w:val="dashed" w:sz="4" w:space="0" w:color="auto"/>
              <w:left w:val="dashed" w:sz="4" w:space="0" w:color="auto"/>
              <w:bottom w:val="dashed" w:sz="4" w:space="0" w:color="auto"/>
              <w:right w:val="single" w:sz="6" w:space="0" w:color="auto"/>
            </w:tcBorders>
            <w:shd w:val="clear" w:color="auto" w:fill="D9D9D9" w:themeFill="background1" w:themeFillShade="D9"/>
            <w:noWrap/>
            <w:vAlign w:val="bottom"/>
            <w:hideMark/>
          </w:tcPr>
          <w:p w14:paraId="0D820A54" w14:textId="77777777" w:rsidR="00D21F21" w:rsidRDefault="00D21F21" w:rsidP="00260739">
            <w:pPr>
              <w:spacing w:before="38" w:after="38"/>
              <w:ind w:right="57"/>
              <w:jc w:val="center"/>
              <w:rPr>
                <w:rFonts w:ascii="GHEA Grapalat" w:hAnsi="GHEA Grapalat"/>
                <w:sz w:val="14"/>
                <w:szCs w:val="14"/>
              </w:rPr>
            </w:pPr>
            <w:r>
              <w:rPr>
                <w:rFonts w:ascii="GHEA Grapalat" w:hAnsi="GHEA Grapalat"/>
                <w:sz w:val="14"/>
                <w:szCs w:val="14"/>
              </w:rPr>
              <w:t>-</w:t>
            </w:r>
          </w:p>
        </w:tc>
      </w:tr>
      <w:tr w:rsidR="00D21F21" w14:paraId="1958BA73" w14:textId="77777777" w:rsidTr="00260739">
        <w:trPr>
          <w:trHeight w:val="20"/>
        </w:trPr>
        <w:tc>
          <w:tcPr>
            <w:tcW w:w="3544" w:type="dxa"/>
            <w:tcBorders>
              <w:top w:val="dashed" w:sz="4" w:space="0" w:color="auto"/>
              <w:left w:val="single" w:sz="6" w:space="0" w:color="auto"/>
              <w:bottom w:val="single" w:sz="6" w:space="0" w:color="auto"/>
              <w:right w:val="dashed" w:sz="4" w:space="0" w:color="auto"/>
            </w:tcBorders>
            <w:noWrap/>
            <w:vAlign w:val="bottom"/>
            <w:hideMark/>
          </w:tcPr>
          <w:p w14:paraId="48972B38" w14:textId="77777777" w:rsidR="00D21F21" w:rsidRDefault="00D21F21" w:rsidP="00260739">
            <w:pPr>
              <w:spacing w:before="38" w:after="38"/>
              <w:rPr>
                <w:rFonts w:ascii="GHEA Grapalat" w:hAnsi="GHEA Grapalat"/>
                <w:color w:val="000000"/>
                <w:sz w:val="14"/>
                <w:szCs w:val="14"/>
              </w:rPr>
            </w:pPr>
            <w:r>
              <w:rPr>
                <w:rFonts w:ascii="GHEA Grapalat" w:hAnsi="GHEA Grapalat"/>
                <w:color w:val="000000"/>
                <w:sz w:val="14"/>
                <w:szCs w:val="14"/>
              </w:rPr>
              <w:t>USD / AMD</w:t>
            </w:r>
            <w:r>
              <w:rPr>
                <w:rFonts w:ascii="GHEA Grapalat" w:hAnsi="GHEA Grapalat"/>
                <w:i/>
                <w:color w:val="000000"/>
                <w:sz w:val="14"/>
                <w:szCs w:val="14"/>
              </w:rPr>
              <w:t xml:space="preserve"> (Armenian dram for one US dollar) </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6A61DAEF"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373.7</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4718E9A0"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372.4</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21C7810F"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401.8</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7DAEDF6F"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409.6</w:t>
            </w:r>
          </w:p>
        </w:tc>
        <w:tc>
          <w:tcPr>
            <w:tcW w:w="667" w:type="dxa"/>
            <w:tcBorders>
              <w:top w:val="dashed" w:sz="4" w:space="0" w:color="auto"/>
              <w:left w:val="dashed" w:sz="4" w:space="0" w:color="auto"/>
              <w:bottom w:val="single" w:sz="6" w:space="0" w:color="auto"/>
              <w:right w:val="dashed" w:sz="4" w:space="0" w:color="auto"/>
            </w:tcBorders>
            <w:noWrap/>
            <w:vAlign w:val="bottom"/>
            <w:hideMark/>
          </w:tcPr>
          <w:p w14:paraId="38BE8E00"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415.9</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015A6667"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477.9</w:t>
            </w:r>
          </w:p>
        </w:tc>
        <w:tc>
          <w:tcPr>
            <w:tcW w:w="666" w:type="dxa"/>
            <w:tcBorders>
              <w:top w:val="dashed" w:sz="4" w:space="0" w:color="auto"/>
              <w:left w:val="dashed" w:sz="4" w:space="0" w:color="auto"/>
              <w:bottom w:val="single" w:sz="6" w:space="0" w:color="auto"/>
              <w:right w:val="dashed" w:sz="4" w:space="0" w:color="auto"/>
            </w:tcBorders>
            <w:noWrap/>
            <w:vAlign w:val="bottom"/>
            <w:hideMark/>
          </w:tcPr>
          <w:p w14:paraId="04172D14" w14:textId="77777777" w:rsidR="00D21F21" w:rsidRDefault="00D21F21" w:rsidP="00260739">
            <w:pPr>
              <w:spacing w:before="38" w:after="38"/>
              <w:ind w:right="57"/>
              <w:jc w:val="right"/>
              <w:rPr>
                <w:rFonts w:ascii="GHEA Grapalat" w:hAnsi="GHEA Grapalat"/>
                <w:sz w:val="14"/>
                <w:szCs w:val="14"/>
              </w:rPr>
            </w:pPr>
            <w:r>
              <w:rPr>
                <w:rFonts w:ascii="GHEA Grapalat" w:hAnsi="GHEA Grapalat"/>
                <w:sz w:val="14"/>
                <w:szCs w:val="14"/>
              </w:rPr>
              <w:t>480.5</w:t>
            </w:r>
          </w:p>
        </w:tc>
        <w:tc>
          <w:tcPr>
            <w:tcW w:w="666" w:type="dxa"/>
            <w:tcBorders>
              <w:top w:val="dashed" w:sz="4" w:space="0" w:color="auto"/>
              <w:left w:val="dashed" w:sz="4" w:space="0" w:color="auto"/>
              <w:bottom w:val="single" w:sz="6" w:space="0" w:color="auto"/>
              <w:right w:val="dashed" w:sz="4" w:space="0" w:color="auto"/>
            </w:tcBorders>
            <w:shd w:val="clear" w:color="auto" w:fill="D9D9D9" w:themeFill="background1" w:themeFillShade="D9"/>
            <w:noWrap/>
            <w:vAlign w:val="bottom"/>
            <w:hideMark/>
          </w:tcPr>
          <w:p w14:paraId="0828F977" w14:textId="77777777" w:rsidR="00D21F21" w:rsidRDefault="00D21F21" w:rsidP="00260739">
            <w:pPr>
              <w:spacing w:before="38" w:after="38"/>
              <w:ind w:right="57"/>
              <w:jc w:val="center"/>
              <w:rPr>
                <w:rFonts w:ascii="GHEA Grapalat" w:hAnsi="GHEA Grapalat"/>
                <w:sz w:val="14"/>
                <w:szCs w:val="14"/>
              </w:rPr>
            </w:pPr>
            <w:r>
              <w:rPr>
                <w:rFonts w:ascii="GHEA Grapalat" w:hAnsi="GHEA Grapalat"/>
                <w:sz w:val="14"/>
                <w:szCs w:val="14"/>
              </w:rPr>
              <w:t>-</w:t>
            </w:r>
          </w:p>
        </w:tc>
        <w:tc>
          <w:tcPr>
            <w:tcW w:w="666" w:type="dxa"/>
            <w:tcBorders>
              <w:top w:val="dashed" w:sz="4" w:space="0" w:color="auto"/>
              <w:left w:val="dashed" w:sz="4" w:space="0" w:color="auto"/>
              <w:bottom w:val="single" w:sz="6" w:space="0" w:color="auto"/>
              <w:right w:val="dashed" w:sz="4" w:space="0" w:color="auto"/>
            </w:tcBorders>
            <w:shd w:val="clear" w:color="auto" w:fill="D9D9D9" w:themeFill="background1" w:themeFillShade="D9"/>
            <w:noWrap/>
            <w:vAlign w:val="bottom"/>
            <w:hideMark/>
          </w:tcPr>
          <w:p w14:paraId="26F6F4C0" w14:textId="77777777" w:rsidR="00D21F21" w:rsidRDefault="00D21F21" w:rsidP="00260739">
            <w:pPr>
              <w:spacing w:before="38" w:after="38"/>
              <w:ind w:right="57"/>
              <w:jc w:val="center"/>
              <w:rPr>
                <w:rFonts w:ascii="GHEA Grapalat" w:hAnsi="GHEA Grapalat"/>
                <w:sz w:val="14"/>
                <w:szCs w:val="14"/>
              </w:rPr>
            </w:pPr>
            <w:r>
              <w:rPr>
                <w:rFonts w:ascii="GHEA Grapalat" w:hAnsi="GHEA Grapalat"/>
                <w:sz w:val="14"/>
                <w:szCs w:val="14"/>
              </w:rPr>
              <w:t>-</w:t>
            </w:r>
          </w:p>
        </w:tc>
        <w:tc>
          <w:tcPr>
            <w:tcW w:w="667" w:type="dxa"/>
            <w:tcBorders>
              <w:top w:val="dashed" w:sz="4" w:space="0" w:color="auto"/>
              <w:left w:val="dashed" w:sz="4" w:space="0" w:color="auto"/>
              <w:bottom w:val="single" w:sz="6" w:space="0" w:color="auto"/>
              <w:right w:val="single" w:sz="6" w:space="0" w:color="auto"/>
            </w:tcBorders>
            <w:shd w:val="clear" w:color="auto" w:fill="D9D9D9" w:themeFill="background1" w:themeFillShade="D9"/>
            <w:noWrap/>
            <w:vAlign w:val="bottom"/>
            <w:hideMark/>
          </w:tcPr>
          <w:p w14:paraId="6B182BE4" w14:textId="77777777" w:rsidR="00D21F21" w:rsidRDefault="00D21F21" w:rsidP="00260739">
            <w:pPr>
              <w:spacing w:before="38" w:after="38"/>
              <w:ind w:right="57"/>
              <w:jc w:val="center"/>
              <w:rPr>
                <w:rFonts w:ascii="GHEA Grapalat" w:hAnsi="GHEA Grapalat"/>
                <w:sz w:val="14"/>
                <w:szCs w:val="14"/>
              </w:rPr>
            </w:pPr>
            <w:r>
              <w:rPr>
                <w:rFonts w:ascii="GHEA Grapalat" w:hAnsi="GHEA Grapalat"/>
                <w:sz w:val="14"/>
                <w:szCs w:val="14"/>
              </w:rPr>
              <w:t>-</w:t>
            </w:r>
          </w:p>
        </w:tc>
      </w:tr>
    </w:tbl>
    <w:p w14:paraId="7BF5818D" w14:textId="77777777" w:rsidR="00D21F21" w:rsidRDefault="00D21F21" w:rsidP="00D21F21">
      <w:pPr>
        <w:pageBreakBefore/>
        <w:spacing w:line="300" w:lineRule="atLeast"/>
        <w:jc w:val="center"/>
        <w:rPr>
          <w:rFonts w:ascii="GHEA Grapalat" w:hAnsi="GHEA Grapalat" w:cs="Sylfaen"/>
          <w:b/>
          <w:bCs/>
          <w:color w:val="1F497D" w:themeColor="text2"/>
          <w:sz w:val="20"/>
          <w:szCs w:val="20"/>
        </w:rPr>
      </w:pPr>
      <w:r>
        <w:rPr>
          <w:rFonts w:ascii="GHEA Grapalat" w:hAnsi="GHEA Grapalat" w:cs="Sylfaen"/>
          <w:b/>
          <w:bCs/>
          <w:color w:val="1F497D" w:themeColor="text2"/>
          <w:sz w:val="20"/>
          <w:szCs w:val="20"/>
        </w:rPr>
        <w:lastRenderedPageBreak/>
        <w:t>CHARTS</w:t>
      </w:r>
    </w:p>
    <w:p w14:paraId="1477EBC5" w14:textId="77777777" w:rsidR="00D21F21" w:rsidRDefault="00D21F21" w:rsidP="00D21F21">
      <w:pPr>
        <w:jc w:val="center"/>
        <w:rPr>
          <w:rFonts w:ascii="GHEA Grapalat" w:hAnsi="GHEA Grapalat" w:cs="Sylfaen"/>
          <w:b/>
          <w:bCs/>
          <w:color w:val="1F497D" w:themeColor="text2"/>
          <w:sz w:val="16"/>
          <w:szCs w:val="20"/>
        </w:rPr>
      </w:pPr>
    </w:p>
    <w:tbl>
      <w:tblPr>
        <w:tblW w:w="6237" w:type="dxa"/>
        <w:tblInd w:w="108" w:type="dxa"/>
        <w:tblCellMar>
          <w:left w:w="28" w:type="dxa"/>
          <w:right w:w="28" w:type="dxa"/>
        </w:tblCellMar>
        <w:tblLook w:val="04A0" w:firstRow="1" w:lastRow="0" w:firstColumn="1" w:lastColumn="0" w:noHBand="0" w:noVBand="1"/>
      </w:tblPr>
      <w:tblGrid>
        <w:gridCol w:w="970"/>
        <w:gridCol w:w="4899"/>
        <w:gridCol w:w="368"/>
      </w:tblGrid>
      <w:tr w:rsidR="00D21F21" w14:paraId="6DF00636" w14:textId="77777777" w:rsidTr="00260739">
        <w:trPr>
          <w:trHeight w:val="20"/>
        </w:trPr>
        <w:tc>
          <w:tcPr>
            <w:tcW w:w="970" w:type="dxa"/>
            <w:noWrap/>
            <w:hideMark/>
          </w:tcPr>
          <w:p w14:paraId="579CAD9F"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Chart 1</w:t>
            </w:r>
          </w:p>
        </w:tc>
        <w:tc>
          <w:tcPr>
            <w:tcW w:w="4899" w:type="dxa"/>
            <w:vAlign w:val="bottom"/>
            <w:hideMark/>
          </w:tcPr>
          <w:p w14:paraId="30BD8A6C" w14:textId="77777777" w:rsidR="00D21F21" w:rsidRPr="0043638B" w:rsidRDefault="00E73EC9" w:rsidP="00260739">
            <w:pPr>
              <w:spacing w:before="26" w:after="26"/>
              <w:rPr>
                <w:rFonts w:ascii="GHEA Grapalat" w:hAnsi="GHEA Grapalat"/>
                <w:sz w:val="16"/>
                <w:szCs w:val="16"/>
              </w:rPr>
            </w:pPr>
            <w:r w:rsidRPr="0043638B">
              <w:rPr>
                <w:rFonts w:ascii="GHEA Grapalat" w:hAnsi="GHEA Grapalat" w:cs="Sylfaen"/>
                <w:bCs/>
                <w:sz w:val="16"/>
                <w:szCs w:val="16"/>
              </w:rPr>
              <w:t>Inflation (12-month) Forecast Probability Distribution Chart for 3-year horizon</w:t>
            </w:r>
          </w:p>
        </w:tc>
        <w:tc>
          <w:tcPr>
            <w:tcW w:w="368" w:type="dxa"/>
            <w:vAlign w:val="bottom"/>
            <w:hideMark/>
          </w:tcPr>
          <w:p w14:paraId="72742D05" w14:textId="77777777" w:rsidR="00D21F21" w:rsidRDefault="00D21F21" w:rsidP="00260739">
            <w:pPr>
              <w:spacing w:before="26" w:after="26"/>
              <w:jc w:val="right"/>
              <w:rPr>
                <w:rFonts w:ascii="GHEA Grapalat" w:hAnsi="GHEA Grapalat" w:cs="Sylfaen"/>
                <w:bCs/>
                <w:sz w:val="16"/>
                <w:szCs w:val="16"/>
              </w:rPr>
            </w:pPr>
            <w:r>
              <w:rPr>
                <w:rFonts w:ascii="GHEA Grapalat" w:hAnsi="GHEA Grapalat" w:cs="Sylfaen"/>
                <w:bCs/>
                <w:sz w:val="16"/>
                <w:szCs w:val="16"/>
              </w:rPr>
              <w:t>4</w:t>
            </w:r>
          </w:p>
        </w:tc>
      </w:tr>
      <w:tr w:rsidR="00D21F21" w14:paraId="051CFF0E" w14:textId="77777777" w:rsidTr="00260739">
        <w:trPr>
          <w:trHeight w:val="20"/>
        </w:trPr>
        <w:tc>
          <w:tcPr>
            <w:tcW w:w="970" w:type="dxa"/>
            <w:noWrap/>
            <w:hideMark/>
          </w:tcPr>
          <w:p w14:paraId="2C2B26F3"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Chart 2</w:t>
            </w:r>
          </w:p>
        </w:tc>
        <w:tc>
          <w:tcPr>
            <w:tcW w:w="4899" w:type="dxa"/>
            <w:vAlign w:val="center"/>
            <w:hideMark/>
          </w:tcPr>
          <w:p w14:paraId="0E821052" w14:textId="77777777" w:rsidR="00D21F21" w:rsidRPr="0043638B" w:rsidRDefault="00E73EC9" w:rsidP="00260739">
            <w:pPr>
              <w:spacing w:before="26" w:after="26"/>
              <w:rPr>
                <w:rFonts w:ascii="GHEA Grapalat" w:hAnsi="GHEA Grapalat"/>
                <w:sz w:val="16"/>
                <w:szCs w:val="16"/>
              </w:rPr>
            </w:pPr>
            <w:r w:rsidRPr="0043638B">
              <w:rPr>
                <w:rFonts w:ascii="GHEA Grapalat" w:hAnsi="GHEA Grapalat" w:cs="Sylfaen"/>
                <w:sz w:val="16"/>
                <w:szCs w:val="16"/>
              </w:rPr>
              <w:t xml:space="preserve">Real GDP Cumulative Projection Probability Distribution Chart for 3-year horizon  </w:t>
            </w:r>
          </w:p>
        </w:tc>
        <w:tc>
          <w:tcPr>
            <w:tcW w:w="368" w:type="dxa"/>
            <w:vAlign w:val="bottom"/>
            <w:hideMark/>
          </w:tcPr>
          <w:p w14:paraId="2EB8DDAD" w14:textId="77777777" w:rsidR="00D21F21" w:rsidRDefault="00D21F21" w:rsidP="00260739">
            <w:pPr>
              <w:spacing w:before="26" w:after="26"/>
              <w:jc w:val="right"/>
              <w:rPr>
                <w:rFonts w:ascii="GHEA Grapalat" w:hAnsi="GHEA Grapalat" w:cs="Sylfaen"/>
                <w:sz w:val="16"/>
                <w:szCs w:val="16"/>
              </w:rPr>
            </w:pPr>
            <w:r>
              <w:rPr>
                <w:rFonts w:ascii="GHEA Grapalat" w:hAnsi="GHEA Grapalat" w:cs="Sylfaen"/>
                <w:sz w:val="16"/>
                <w:szCs w:val="16"/>
              </w:rPr>
              <w:t>4</w:t>
            </w:r>
          </w:p>
        </w:tc>
      </w:tr>
      <w:tr w:rsidR="00D21F21" w14:paraId="0CE32979" w14:textId="77777777" w:rsidTr="00260739">
        <w:trPr>
          <w:trHeight w:val="20"/>
        </w:trPr>
        <w:tc>
          <w:tcPr>
            <w:tcW w:w="970" w:type="dxa"/>
            <w:noWrap/>
            <w:hideMark/>
          </w:tcPr>
          <w:p w14:paraId="44718152"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 xml:space="preserve">Chart 3 </w:t>
            </w:r>
          </w:p>
        </w:tc>
        <w:tc>
          <w:tcPr>
            <w:tcW w:w="4899" w:type="dxa"/>
            <w:noWrap/>
            <w:vAlign w:val="bottom"/>
            <w:hideMark/>
          </w:tcPr>
          <w:p w14:paraId="517AFA55" w14:textId="77777777" w:rsidR="00D21F21" w:rsidRPr="0043638B" w:rsidRDefault="00E73EC9" w:rsidP="00260739">
            <w:pPr>
              <w:spacing w:before="26" w:after="26"/>
              <w:rPr>
                <w:rFonts w:ascii="GHEA Grapalat" w:hAnsi="GHEA Grapalat" w:cs="Sylfaen"/>
                <w:sz w:val="16"/>
                <w:szCs w:val="16"/>
                <w:lang w:val="hy-AM"/>
              </w:rPr>
            </w:pPr>
            <w:r w:rsidRPr="0043638B">
              <w:rPr>
                <w:rFonts w:ascii="GHEA Grapalat" w:hAnsi="GHEA Grapalat" w:cs="Sylfaen"/>
                <w:bCs/>
                <w:sz w:val="16"/>
                <w:szCs w:val="16"/>
              </w:rPr>
              <w:t>Economic growths in trade partner countries</w:t>
            </w:r>
            <w:r w:rsidR="004C5641" w:rsidRPr="0043638B">
              <w:rPr>
                <w:rFonts w:ascii="GHEA Grapalat" w:hAnsi="GHEA Grapalat" w:cs="Sylfaen"/>
                <w:bCs/>
                <w:sz w:val="16"/>
                <w:szCs w:val="16"/>
              </w:rPr>
              <w:t>, (%)</w:t>
            </w:r>
          </w:p>
        </w:tc>
        <w:tc>
          <w:tcPr>
            <w:tcW w:w="368" w:type="dxa"/>
            <w:vAlign w:val="bottom"/>
            <w:hideMark/>
          </w:tcPr>
          <w:p w14:paraId="75E27D05" w14:textId="77777777" w:rsidR="00D21F21" w:rsidRDefault="00D21F21" w:rsidP="00260739">
            <w:pPr>
              <w:spacing w:before="26" w:after="26"/>
              <w:jc w:val="right"/>
              <w:rPr>
                <w:rFonts w:ascii="GHEA Grapalat" w:hAnsi="GHEA Grapalat" w:cs="Sylfaen"/>
                <w:sz w:val="16"/>
                <w:szCs w:val="16"/>
              </w:rPr>
            </w:pPr>
            <w:r>
              <w:rPr>
                <w:rFonts w:ascii="GHEA Grapalat" w:hAnsi="GHEA Grapalat" w:cs="Sylfaen"/>
                <w:sz w:val="16"/>
                <w:szCs w:val="16"/>
              </w:rPr>
              <w:t>5</w:t>
            </w:r>
          </w:p>
        </w:tc>
      </w:tr>
      <w:tr w:rsidR="00D21F21" w14:paraId="517B4233" w14:textId="77777777" w:rsidTr="00260739">
        <w:trPr>
          <w:trHeight w:val="20"/>
        </w:trPr>
        <w:tc>
          <w:tcPr>
            <w:tcW w:w="970" w:type="dxa"/>
            <w:noWrap/>
            <w:hideMark/>
          </w:tcPr>
          <w:p w14:paraId="01BAB5CB"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 xml:space="preserve">Chart 4 </w:t>
            </w:r>
          </w:p>
        </w:tc>
        <w:tc>
          <w:tcPr>
            <w:tcW w:w="4899" w:type="dxa"/>
            <w:noWrap/>
            <w:vAlign w:val="bottom"/>
            <w:hideMark/>
          </w:tcPr>
          <w:p w14:paraId="72DCCE03" w14:textId="77777777" w:rsidR="00D21F21" w:rsidRPr="0043638B" w:rsidRDefault="00E73EC9" w:rsidP="00260739">
            <w:pPr>
              <w:spacing w:before="26" w:after="26"/>
              <w:rPr>
                <w:rFonts w:ascii="GHEA Grapalat" w:hAnsi="GHEA Grapalat" w:cs="Sylfaen"/>
                <w:sz w:val="16"/>
                <w:szCs w:val="16"/>
                <w:lang w:val="hy-AM"/>
              </w:rPr>
            </w:pPr>
            <w:r w:rsidRPr="0043638B">
              <w:rPr>
                <w:rFonts w:ascii="GHEA Grapalat" w:hAnsi="GHEA Grapalat" w:cs="Sylfaen"/>
                <w:bCs/>
                <w:sz w:val="16"/>
                <w:szCs w:val="16"/>
              </w:rPr>
              <w:t>Inflation in trade partner countries</w:t>
            </w:r>
            <w:r w:rsidR="004C5641" w:rsidRPr="0043638B">
              <w:rPr>
                <w:rFonts w:ascii="GHEA Grapalat" w:hAnsi="GHEA Grapalat" w:cs="Sylfaen"/>
                <w:bCs/>
                <w:sz w:val="16"/>
                <w:szCs w:val="16"/>
              </w:rPr>
              <w:t>, (%)</w:t>
            </w:r>
            <w:r w:rsidRPr="0043638B">
              <w:rPr>
                <w:rFonts w:ascii="GHEA Grapalat" w:hAnsi="GHEA Grapalat" w:cs="Sylfaen"/>
                <w:bCs/>
                <w:sz w:val="16"/>
                <w:szCs w:val="16"/>
              </w:rPr>
              <w:t xml:space="preserve"> </w:t>
            </w:r>
          </w:p>
        </w:tc>
        <w:tc>
          <w:tcPr>
            <w:tcW w:w="368" w:type="dxa"/>
            <w:vAlign w:val="bottom"/>
            <w:hideMark/>
          </w:tcPr>
          <w:p w14:paraId="1BD83BCF" w14:textId="77777777" w:rsidR="00D21F21" w:rsidRDefault="00D21F21" w:rsidP="00260739">
            <w:pPr>
              <w:spacing w:before="26" w:after="26"/>
              <w:jc w:val="right"/>
              <w:rPr>
                <w:rFonts w:ascii="GHEA Grapalat" w:hAnsi="GHEA Grapalat" w:cs="Sylfaen"/>
                <w:sz w:val="16"/>
                <w:szCs w:val="16"/>
              </w:rPr>
            </w:pPr>
            <w:r>
              <w:rPr>
                <w:rFonts w:ascii="GHEA Grapalat" w:hAnsi="GHEA Grapalat" w:cs="Sylfaen"/>
                <w:sz w:val="16"/>
                <w:szCs w:val="16"/>
              </w:rPr>
              <w:t>6</w:t>
            </w:r>
          </w:p>
        </w:tc>
      </w:tr>
      <w:tr w:rsidR="00D21F21" w14:paraId="61602A0F" w14:textId="77777777" w:rsidTr="00260739">
        <w:trPr>
          <w:trHeight w:val="20"/>
        </w:trPr>
        <w:tc>
          <w:tcPr>
            <w:tcW w:w="970" w:type="dxa"/>
            <w:noWrap/>
            <w:hideMark/>
          </w:tcPr>
          <w:p w14:paraId="00A77BBE"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Chart 5</w:t>
            </w:r>
          </w:p>
        </w:tc>
        <w:tc>
          <w:tcPr>
            <w:tcW w:w="4899" w:type="dxa"/>
            <w:noWrap/>
            <w:vAlign w:val="bottom"/>
            <w:hideMark/>
          </w:tcPr>
          <w:p w14:paraId="3442DA00" w14:textId="77777777" w:rsidR="00D21F21" w:rsidRPr="0043638B" w:rsidRDefault="00E73EC9" w:rsidP="00260739">
            <w:pPr>
              <w:spacing w:before="26" w:after="26"/>
              <w:rPr>
                <w:rFonts w:ascii="GHEA Grapalat" w:hAnsi="GHEA Grapalat"/>
                <w:sz w:val="16"/>
                <w:szCs w:val="16"/>
              </w:rPr>
            </w:pPr>
            <w:r w:rsidRPr="0043638B">
              <w:rPr>
                <w:rFonts w:ascii="GHEA Grapalat" w:hAnsi="GHEA Grapalat" w:cs="Sylfaen"/>
                <w:bCs/>
                <w:sz w:val="16"/>
                <w:szCs w:val="16"/>
                <w:lang w:val="hy-AM"/>
              </w:rPr>
              <w:t>International prices for raw materials and food products</w:t>
            </w:r>
          </w:p>
        </w:tc>
        <w:tc>
          <w:tcPr>
            <w:tcW w:w="368" w:type="dxa"/>
            <w:vAlign w:val="bottom"/>
            <w:hideMark/>
          </w:tcPr>
          <w:p w14:paraId="03B211C3" w14:textId="77777777" w:rsidR="00D21F21" w:rsidRDefault="00D21F21" w:rsidP="00260739">
            <w:pPr>
              <w:spacing w:before="26" w:after="26"/>
              <w:jc w:val="right"/>
              <w:rPr>
                <w:rFonts w:ascii="GHEA Grapalat" w:hAnsi="GHEA Grapalat" w:cs="Sylfaen"/>
                <w:sz w:val="16"/>
                <w:szCs w:val="16"/>
              </w:rPr>
            </w:pPr>
            <w:r>
              <w:rPr>
                <w:rFonts w:ascii="GHEA Grapalat" w:hAnsi="GHEA Grapalat" w:cs="Sylfaen"/>
                <w:sz w:val="16"/>
                <w:szCs w:val="16"/>
              </w:rPr>
              <w:t>7</w:t>
            </w:r>
          </w:p>
        </w:tc>
      </w:tr>
      <w:tr w:rsidR="00D21F21" w14:paraId="46E162ED" w14:textId="77777777" w:rsidTr="00260739">
        <w:trPr>
          <w:trHeight w:val="20"/>
        </w:trPr>
        <w:tc>
          <w:tcPr>
            <w:tcW w:w="970" w:type="dxa"/>
            <w:noWrap/>
            <w:hideMark/>
          </w:tcPr>
          <w:p w14:paraId="413A7D32"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Chart 6</w:t>
            </w:r>
          </w:p>
        </w:tc>
        <w:tc>
          <w:tcPr>
            <w:tcW w:w="4899" w:type="dxa"/>
            <w:noWrap/>
            <w:vAlign w:val="bottom"/>
            <w:hideMark/>
          </w:tcPr>
          <w:p w14:paraId="7BE1ACFE" w14:textId="77777777" w:rsidR="00D21F21" w:rsidRPr="0043638B" w:rsidRDefault="00E73EC9" w:rsidP="00260739">
            <w:pPr>
              <w:spacing w:before="26" w:after="26"/>
              <w:rPr>
                <w:rFonts w:ascii="GHEA Grapalat" w:hAnsi="GHEA Grapalat" w:cs="Sylfaen"/>
                <w:sz w:val="16"/>
                <w:szCs w:val="16"/>
              </w:rPr>
            </w:pPr>
            <w:r w:rsidRPr="0043638B">
              <w:rPr>
                <w:rFonts w:ascii="GHEA Grapalat" w:hAnsi="GHEA Grapalat" w:cs="Sylfaen"/>
                <w:bCs/>
                <w:sz w:val="16"/>
                <w:szCs w:val="16"/>
                <w:lang w:val="hy-AM"/>
              </w:rPr>
              <w:t>International prices for butter</w:t>
            </w:r>
            <w:r w:rsidRPr="0043638B">
              <w:rPr>
                <w:rFonts w:ascii="GHEA Grapalat" w:hAnsi="GHEA Grapalat" w:cs="Sylfaen"/>
                <w:bCs/>
                <w:sz w:val="16"/>
                <w:szCs w:val="16"/>
              </w:rPr>
              <w:t xml:space="preserve"> </w:t>
            </w:r>
          </w:p>
        </w:tc>
        <w:tc>
          <w:tcPr>
            <w:tcW w:w="368" w:type="dxa"/>
            <w:vAlign w:val="bottom"/>
            <w:hideMark/>
          </w:tcPr>
          <w:p w14:paraId="1BB69791" w14:textId="77777777" w:rsidR="00D21F21" w:rsidRDefault="00D21F21" w:rsidP="00260739">
            <w:pPr>
              <w:spacing w:before="26" w:after="26"/>
              <w:jc w:val="right"/>
              <w:rPr>
                <w:rFonts w:ascii="GHEA Grapalat" w:hAnsi="GHEA Grapalat" w:cs="Sylfaen"/>
                <w:sz w:val="16"/>
                <w:szCs w:val="16"/>
              </w:rPr>
            </w:pPr>
            <w:r>
              <w:rPr>
                <w:rFonts w:ascii="GHEA Grapalat" w:hAnsi="GHEA Grapalat" w:cs="Sylfaen"/>
                <w:sz w:val="16"/>
                <w:szCs w:val="16"/>
              </w:rPr>
              <w:t>7</w:t>
            </w:r>
          </w:p>
        </w:tc>
      </w:tr>
      <w:tr w:rsidR="00D21F21" w14:paraId="6B311F78" w14:textId="77777777" w:rsidTr="00260739">
        <w:trPr>
          <w:trHeight w:val="20"/>
        </w:trPr>
        <w:tc>
          <w:tcPr>
            <w:tcW w:w="970" w:type="dxa"/>
            <w:noWrap/>
            <w:hideMark/>
          </w:tcPr>
          <w:p w14:paraId="4F9D025A"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Chart 7</w:t>
            </w:r>
          </w:p>
        </w:tc>
        <w:tc>
          <w:tcPr>
            <w:tcW w:w="4899" w:type="dxa"/>
            <w:noWrap/>
            <w:vAlign w:val="bottom"/>
            <w:hideMark/>
          </w:tcPr>
          <w:p w14:paraId="557011E2" w14:textId="77777777" w:rsidR="00D21F21" w:rsidRPr="0043638B" w:rsidRDefault="00E73EC9" w:rsidP="00260739">
            <w:pPr>
              <w:spacing w:before="26" w:after="26"/>
              <w:rPr>
                <w:rFonts w:ascii="GHEA Grapalat" w:hAnsi="GHEA Grapalat"/>
                <w:sz w:val="16"/>
                <w:szCs w:val="16"/>
              </w:rPr>
            </w:pPr>
            <w:r w:rsidRPr="0043638B">
              <w:rPr>
                <w:rFonts w:ascii="GHEA Grapalat" w:hAnsi="GHEA Grapalat" w:cs="Sylfaen"/>
                <w:bCs/>
                <w:sz w:val="16"/>
                <w:szCs w:val="16"/>
              </w:rPr>
              <w:t>World milk production</w:t>
            </w:r>
            <w:r w:rsidR="004C5641" w:rsidRPr="0043638B">
              <w:rPr>
                <w:rFonts w:ascii="GHEA Grapalat" w:hAnsi="GHEA Grapalat" w:cs="Sylfaen"/>
                <w:bCs/>
                <w:sz w:val="16"/>
                <w:szCs w:val="16"/>
              </w:rPr>
              <w:t xml:space="preserve">, </w:t>
            </w:r>
            <w:r w:rsidR="004C5641" w:rsidRPr="0043638B">
              <w:rPr>
                <w:rFonts w:ascii="GHEA Grapalat" w:hAnsi="GHEA Grapalat" w:cs="Sylfaen"/>
                <w:bCs/>
                <w:sz w:val="16"/>
                <w:szCs w:val="16"/>
                <w:lang w:val="hy-AM"/>
              </w:rPr>
              <w:t>(</w:t>
            </w:r>
            <w:r w:rsidR="004C5641" w:rsidRPr="0043638B">
              <w:rPr>
                <w:rFonts w:ascii="GHEA Grapalat" w:hAnsi="GHEA Grapalat" w:cs="Sylfaen"/>
                <w:bCs/>
                <w:sz w:val="16"/>
                <w:szCs w:val="16"/>
              </w:rPr>
              <w:t>y</w:t>
            </w:r>
            <w:r w:rsidR="004C5641" w:rsidRPr="0043638B">
              <w:rPr>
                <w:rFonts w:ascii="GHEA Grapalat" w:hAnsi="GHEA Grapalat" w:cs="Sylfaen"/>
                <w:bCs/>
                <w:sz w:val="16"/>
                <w:szCs w:val="16"/>
                <w:lang w:val="hy-AM"/>
              </w:rPr>
              <w:t>/</w:t>
            </w:r>
            <w:r w:rsidR="004C5641" w:rsidRPr="0043638B">
              <w:rPr>
                <w:rFonts w:ascii="GHEA Grapalat" w:hAnsi="GHEA Grapalat" w:cs="Sylfaen"/>
                <w:bCs/>
                <w:sz w:val="16"/>
                <w:szCs w:val="16"/>
              </w:rPr>
              <w:t>y</w:t>
            </w:r>
            <w:r w:rsidR="004C5641" w:rsidRPr="0043638B">
              <w:rPr>
                <w:rFonts w:ascii="GHEA Grapalat" w:hAnsi="GHEA Grapalat" w:cs="Sylfaen"/>
                <w:bCs/>
                <w:sz w:val="16"/>
                <w:szCs w:val="16"/>
                <w:lang w:val="hy-AM"/>
              </w:rPr>
              <w:t xml:space="preserve"> </w:t>
            </w:r>
            <w:r w:rsidR="004C5641" w:rsidRPr="0043638B">
              <w:rPr>
                <w:rFonts w:ascii="GHEA Grapalat" w:hAnsi="GHEA Grapalat" w:cs="Sylfaen"/>
                <w:bCs/>
                <w:sz w:val="16"/>
                <w:szCs w:val="16"/>
              </w:rPr>
              <w:t>change</w:t>
            </w:r>
            <w:r w:rsidR="004C5641" w:rsidRPr="0043638B">
              <w:rPr>
                <w:rFonts w:ascii="GHEA Grapalat" w:hAnsi="GHEA Grapalat" w:cs="Sylfaen"/>
                <w:bCs/>
                <w:sz w:val="16"/>
                <w:szCs w:val="16"/>
                <w:lang w:val="hy-AM"/>
              </w:rPr>
              <w:t>, %)</w:t>
            </w:r>
            <w:r w:rsidRPr="0043638B">
              <w:rPr>
                <w:rFonts w:ascii="GHEA Grapalat" w:hAnsi="GHEA Grapalat" w:cs="Sylfaen"/>
                <w:bCs/>
                <w:sz w:val="16"/>
                <w:szCs w:val="16"/>
              </w:rPr>
              <w:t xml:space="preserve"> </w:t>
            </w:r>
          </w:p>
        </w:tc>
        <w:tc>
          <w:tcPr>
            <w:tcW w:w="368" w:type="dxa"/>
            <w:vAlign w:val="bottom"/>
            <w:hideMark/>
          </w:tcPr>
          <w:p w14:paraId="476AE71D" w14:textId="77777777" w:rsidR="00D21F21" w:rsidRDefault="00D21F21" w:rsidP="00260739">
            <w:pPr>
              <w:spacing w:before="26" w:after="26"/>
              <w:jc w:val="right"/>
              <w:rPr>
                <w:rFonts w:ascii="GHEA Grapalat" w:hAnsi="GHEA Grapalat" w:cs="Sylfaen"/>
                <w:sz w:val="16"/>
                <w:szCs w:val="16"/>
              </w:rPr>
            </w:pPr>
            <w:r>
              <w:rPr>
                <w:rFonts w:ascii="GHEA Grapalat" w:hAnsi="GHEA Grapalat" w:cs="Sylfaen"/>
                <w:sz w:val="16"/>
                <w:szCs w:val="16"/>
              </w:rPr>
              <w:t>8</w:t>
            </w:r>
          </w:p>
        </w:tc>
      </w:tr>
      <w:tr w:rsidR="00D21F21" w14:paraId="58634C2F" w14:textId="77777777" w:rsidTr="00260739">
        <w:trPr>
          <w:trHeight w:val="20"/>
        </w:trPr>
        <w:tc>
          <w:tcPr>
            <w:tcW w:w="970" w:type="dxa"/>
            <w:noWrap/>
            <w:hideMark/>
          </w:tcPr>
          <w:p w14:paraId="569139ED"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Chart 8</w:t>
            </w:r>
          </w:p>
        </w:tc>
        <w:tc>
          <w:tcPr>
            <w:tcW w:w="4899" w:type="dxa"/>
            <w:vAlign w:val="bottom"/>
            <w:hideMark/>
          </w:tcPr>
          <w:p w14:paraId="1C681257" w14:textId="77777777" w:rsidR="00D21F21" w:rsidRPr="0043638B" w:rsidRDefault="00E73EC9" w:rsidP="00260739">
            <w:pPr>
              <w:spacing w:before="26" w:after="26"/>
              <w:rPr>
                <w:rFonts w:ascii="GHEA Grapalat" w:hAnsi="GHEA Grapalat"/>
                <w:sz w:val="16"/>
                <w:szCs w:val="16"/>
              </w:rPr>
            </w:pPr>
            <w:r w:rsidRPr="0043638B">
              <w:rPr>
                <w:rFonts w:ascii="GHEA Grapalat" w:hAnsi="GHEA Grapalat" w:cs="Sylfaen"/>
                <w:bCs/>
                <w:sz w:val="16"/>
                <w:szCs w:val="16"/>
              </w:rPr>
              <w:t xml:space="preserve">Inflation (12-month) Forecast Probability Distribution Chart for 3-year horizon </w:t>
            </w:r>
          </w:p>
        </w:tc>
        <w:tc>
          <w:tcPr>
            <w:tcW w:w="368" w:type="dxa"/>
            <w:vAlign w:val="bottom"/>
            <w:hideMark/>
          </w:tcPr>
          <w:p w14:paraId="5F9453E4" w14:textId="77777777" w:rsidR="00D21F21" w:rsidRDefault="00D21F21" w:rsidP="00260739">
            <w:pPr>
              <w:spacing w:before="26" w:after="26"/>
              <w:jc w:val="right"/>
              <w:rPr>
                <w:rFonts w:ascii="GHEA Grapalat" w:hAnsi="GHEA Grapalat" w:cs="Sylfaen"/>
                <w:bCs/>
                <w:sz w:val="16"/>
                <w:szCs w:val="16"/>
              </w:rPr>
            </w:pPr>
            <w:r>
              <w:rPr>
                <w:rFonts w:ascii="GHEA Grapalat" w:hAnsi="GHEA Grapalat" w:cs="Sylfaen"/>
                <w:bCs/>
                <w:sz w:val="16"/>
                <w:szCs w:val="16"/>
              </w:rPr>
              <w:t>9</w:t>
            </w:r>
          </w:p>
        </w:tc>
      </w:tr>
      <w:tr w:rsidR="00D21F21" w14:paraId="3F6CC052" w14:textId="77777777" w:rsidTr="00260739">
        <w:trPr>
          <w:trHeight w:val="20"/>
        </w:trPr>
        <w:tc>
          <w:tcPr>
            <w:tcW w:w="970" w:type="dxa"/>
            <w:noWrap/>
            <w:hideMark/>
          </w:tcPr>
          <w:p w14:paraId="746E98AA"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Chart 9</w:t>
            </w:r>
          </w:p>
        </w:tc>
        <w:tc>
          <w:tcPr>
            <w:tcW w:w="4899" w:type="dxa"/>
            <w:noWrap/>
            <w:vAlign w:val="bottom"/>
            <w:hideMark/>
          </w:tcPr>
          <w:p w14:paraId="51E399AF" w14:textId="77777777" w:rsidR="00D21F21" w:rsidRPr="0043638B" w:rsidRDefault="00E73EC9" w:rsidP="00260739">
            <w:pPr>
              <w:spacing w:before="26" w:after="26"/>
              <w:rPr>
                <w:rFonts w:ascii="GHEA Grapalat" w:hAnsi="GHEA Grapalat" w:cs="Sylfaen"/>
                <w:bCs/>
                <w:sz w:val="16"/>
                <w:szCs w:val="16"/>
              </w:rPr>
            </w:pPr>
            <w:r w:rsidRPr="0043638B">
              <w:rPr>
                <w:rFonts w:ascii="GHEA Grapalat" w:hAnsi="GHEA Grapalat" w:cs="Sylfaen"/>
                <w:bCs/>
                <w:sz w:val="16"/>
                <w:szCs w:val="16"/>
              </w:rPr>
              <w:t>Demand components contributing to the growth</w:t>
            </w:r>
            <w:r w:rsidR="004C5641" w:rsidRPr="0043638B">
              <w:rPr>
                <w:rFonts w:ascii="GHEA Grapalat" w:hAnsi="GHEA Grapalat" w:cs="Sylfaen"/>
                <w:bCs/>
                <w:sz w:val="16"/>
                <w:szCs w:val="16"/>
              </w:rPr>
              <w:t>, (percentage point)</w:t>
            </w:r>
          </w:p>
        </w:tc>
        <w:tc>
          <w:tcPr>
            <w:tcW w:w="368" w:type="dxa"/>
            <w:vAlign w:val="bottom"/>
            <w:hideMark/>
          </w:tcPr>
          <w:p w14:paraId="238BA605" w14:textId="77777777" w:rsidR="00D21F21" w:rsidRDefault="00D21F21" w:rsidP="00260739">
            <w:pPr>
              <w:spacing w:before="26" w:after="26"/>
              <w:jc w:val="right"/>
              <w:rPr>
                <w:rFonts w:ascii="GHEA Grapalat" w:hAnsi="GHEA Grapalat" w:cs="Sylfaen"/>
                <w:bCs/>
                <w:sz w:val="16"/>
                <w:szCs w:val="16"/>
              </w:rPr>
            </w:pPr>
            <w:r>
              <w:rPr>
                <w:rFonts w:ascii="GHEA Grapalat" w:hAnsi="GHEA Grapalat" w:cs="Sylfaen"/>
                <w:bCs/>
                <w:sz w:val="16"/>
                <w:szCs w:val="16"/>
              </w:rPr>
              <w:t>10</w:t>
            </w:r>
          </w:p>
        </w:tc>
      </w:tr>
      <w:tr w:rsidR="00D21F21" w14:paraId="2A985A22" w14:textId="77777777" w:rsidTr="00260739">
        <w:trPr>
          <w:trHeight w:val="20"/>
        </w:trPr>
        <w:tc>
          <w:tcPr>
            <w:tcW w:w="970" w:type="dxa"/>
            <w:noWrap/>
            <w:hideMark/>
          </w:tcPr>
          <w:p w14:paraId="4A1ACD99"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Chart 10</w:t>
            </w:r>
          </w:p>
        </w:tc>
        <w:tc>
          <w:tcPr>
            <w:tcW w:w="4899" w:type="dxa"/>
            <w:vAlign w:val="bottom"/>
            <w:hideMark/>
          </w:tcPr>
          <w:p w14:paraId="014E4F30" w14:textId="77777777" w:rsidR="00D21F21" w:rsidRPr="0043638B" w:rsidRDefault="00E73EC9" w:rsidP="00260739">
            <w:pPr>
              <w:spacing w:before="26" w:after="26"/>
              <w:rPr>
                <w:rFonts w:ascii="GHEA Grapalat" w:hAnsi="GHEA Grapalat" w:cs="Sylfaen"/>
                <w:bCs/>
                <w:sz w:val="16"/>
                <w:szCs w:val="16"/>
              </w:rPr>
            </w:pPr>
            <w:r w:rsidRPr="0043638B">
              <w:rPr>
                <w:rFonts w:ascii="GHEA Grapalat" w:hAnsi="GHEA Grapalat" w:cs="Sylfaen"/>
                <w:bCs/>
                <w:sz w:val="16"/>
                <w:szCs w:val="16"/>
              </w:rPr>
              <w:t>Changes in real export and import of goods and services in the medium term</w:t>
            </w:r>
            <w:r w:rsidR="004C5641" w:rsidRPr="0043638B">
              <w:rPr>
                <w:rFonts w:ascii="GHEA Grapalat" w:hAnsi="GHEA Grapalat" w:cs="Sylfaen"/>
                <w:bCs/>
                <w:sz w:val="16"/>
                <w:szCs w:val="16"/>
              </w:rPr>
              <w:t xml:space="preserve">, (%) </w:t>
            </w:r>
            <w:r w:rsidRPr="0043638B">
              <w:rPr>
                <w:rFonts w:ascii="GHEA Grapalat" w:hAnsi="GHEA Grapalat" w:cs="Sylfaen"/>
                <w:bCs/>
                <w:sz w:val="16"/>
                <w:szCs w:val="16"/>
              </w:rPr>
              <w:t xml:space="preserve"> </w:t>
            </w:r>
            <w:r w:rsidR="00D21F21" w:rsidRPr="0043638B">
              <w:rPr>
                <w:rFonts w:ascii="GHEA Grapalat" w:hAnsi="GHEA Grapalat" w:cs="Sylfaen"/>
                <w:bCs/>
                <w:sz w:val="16"/>
                <w:szCs w:val="16"/>
              </w:rPr>
              <w:t xml:space="preserve"> </w:t>
            </w:r>
          </w:p>
        </w:tc>
        <w:tc>
          <w:tcPr>
            <w:tcW w:w="368" w:type="dxa"/>
            <w:vAlign w:val="bottom"/>
            <w:hideMark/>
          </w:tcPr>
          <w:p w14:paraId="3440876E" w14:textId="77777777" w:rsidR="00D21F21" w:rsidRDefault="00D21F21" w:rsidP="00260739">
            <w:pPr>
              <w:spacing w:before="26" w:after="26"/>
              <w:jc w:val="right"/>
              <w:rPr>
                <w:rFonts w:ascii="GHEA Grapalat" w:hAnsi="GHEA Grapalat" w:cs="Sylfaen"/>
                <w:bCs/>
                <w:sz w:val="16"/>
                <w:szCs w:val="16"/>
              </w:rPr>
            </w:pPr>
            <w:r>
              <w:rPr>
                <w:rFonts w:ascii="GHEA Grapalat" w:hAnsi="GHEA Grapalat" w:cs="Sylfaen"/>
                <w:bCs/>
                <w:sz w:val="16"/>
                <w:szCs w:val="16"/>
              </w:rPr>
              <w:t>11</w:t>
            </w:r>
          </w:p>
        </w:tc>
      </w:tr>
      <w:tr w:rsidR="00D21F21" w14:paraId="5A250858" w14:textId="77777777" w:rsidTr="00260739">
        <w:trPr>
          <w:trHeight w:val="20"/>
        </w:trPr>
        <w:tc>
          <w:tcPr>
            <w:tcW w:w="970" w:type="dxa"/>
            <w:noWrap/>
            <w:hideMark/>
          </w:tcPr>
          <w:p w14:paraId="31C6A128"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Chart 11</w:t>
            </w:r>
          </w:p>
        </w:tc>
        <w:tc>
          <w:tcPr>
            <w:tcW w:w="4899" w:type="dxa"/>
            <w:noWrap/>
            <w:vAlign w:val="bottom"/>
            <w:hideMark/>
          </w:tcPr>
          <w:p w14:paraId="2C2152B6" w14:textId="77777777" w:rsidR="00D21F21" w:rsidRPr="0043638B" w:rsidRDefault="00E73EC9" w:rsidP="00260739">
            <w:pPr>
              <w:spacing w:before="26" w:after="26"/>
              <w:rPr>
                <w:rFonts w:ascii="GHEA Grapalat" w:hAnsi="GHEA Grapalat"/>
                <w:sz w:val="16"/>
                <w:szCs w:val="16"/>
              </w:rPr>
            </w:pPr>
            <w:r w:rsidRPr="0043638B">
              <w:rPr>
                <w:rFonts w:ascii="GHEA Grapalat" w:hAnsi="GHEA Grapalat" w:cs="Sylfaen"/>
                <w:bCs/>
                <w:sz w:val="16"/>
                <w:szCs w:val="16"/>
              </w:rPr>
              <w:t>Nominal wage growth, y/y</w:t>
            </w:r>
            <w:r w:rsidR="004C5641" w:rsidRPr="0043638B">
              <w:rPr>
                <w:rFonts w:ascii="GHEA Grapalat" w:hAnsi="GHEA Grapalat" w:cs="Sylfaen"/>
                <w:bCs/>
                <w:sz w:val="16"/>
                <w:szCs w:val="16"/>
              </w:rPr>
              <w:t>, (%)</w:t>
            </w:r>
          </w:p>
        </w:tc>
        <w:tc>
          <w:tcPr>
            <w:tcW w:w="368" w:type="dxa"/>
            <w:vAlign w:val="bottom"/>
            <w:hideMark/>
          </w:tcPr>
          <w:p w14:paraId="156EE3C7" w14:textId="77777777" w:rsidR="00D21F21" w:rsidRDefault="00D21F21" w:rsidP="00260739">
            <w:pPr>
              <w:spacing w:before="26" w:after="26"/>
              <w:jc w:val="right"/>
              <w:rPr>
                <w:rFonts w:ascii="GHEA Grapalat" w:hAnsi="GHEA Grapalat" w:cs="Sylfaen"/>
                <w:bCs/>
                <w:sz w:val="16"/>
                <w:szCs w:val="16"/>
              </w:rPr>
            </w:pPr>
            <w:r>
              <w:rPr>
                <w:rFonts w:ascii="GHEA Grapalat" w:hAnsi="GHEA Grapalat" w:cs="Sylfaen"/>
                <w:bCs/>
                <w:sz w:val="16"/>
                <w:szCs w:val="16"/>
              </w:rPr>
              <w:t>12</w:t>
            </w:r>
          </w:p>
        </w:tc>
      </w:tr>
      <w:tr w:rsidR="00D21F21" w14:paraId="448F1DFC" w14:textId="77777777" w:rsidTr="00260739">
        <w:trPr>
          <w:trHeight w:val="20"/>
        </w:trPr>
        <w:tc>
          <w:tcPr>
            <w:tcW w:w="970" w:type="dxa"/>
            <w:noWrap/>
            <w:hideMark/>
          </w:tcPr>
          <w:p w14:paraId="59BDFF42"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Chart 12</w:t>
            </w:r>
          </w:p>
        </w:tc>
        <w:tc>
          <w:tcPr>
            <w:tcW w:w="4899" w:type="dxa"/>
            <w:noWrap/>
            <w:vAlign w:val="bottom"/>
            <w:hideMark/>
          </w:tcPr>
          <w:p w14:paraId="68F65CB1" w14:textId="77777777" w:rsidR="00D21F21" w:rsidRPr="0043638B" w:rsidRDefault="00E73EC9" w:rsidP="00260739">
            <w:pPr>
              <w:spacing w:before="26" w:after="26"/>
              <w:rPr>
                <w:rFonts w:ascii="GHEA Grapalat" w:hAnsi="GHEA Grapalat" w:cs="Sylfaen"/>
                <w:bCs/>
                <w:sz w:val="16"/>
                <w:szCs w:val="16"/>
              </w:rPr>
            </w:pPr>
            <w:r w:rsidRPr="0043638B">
              <w:rPr>
                <w:rFonts w:ascii="GHEA Grapalat" w:hAnsi="GHEA Grapalat" w:cs="Sylfaen"/>
                <w:bCs/>
                <w:sz w:val="16"/>
                <w:szCs w:val="16"/>
              </w:rPr>
              <w:t>Unemployment rate</w:t>
            </w:r>
            <w:r w:rsidR="00353DFF" w:rsidRPr="0043638B">
              <w:rPr>
                <w:rFonts w:ascii="GHEA Grapalat" w:hAnsi="GHEA Grapalat" w:cs="Sylfaen"/>
                <w:bCs/>
                <w:sz w:val="16"/>
                <w:szCs w:val="16"/>
              </w:rPr>
              <w:t>, (%)</w:t>
            </w:r>
            <w:r w:rsidR="00033894" w:rsidRPr="0043638B">
              <w:rPr>
                <w:rFonts w:ascii="GHEA Grapalat" w:hAnsi="GHEA Grapalat" w:cs="Sylfaen"/>
                <w:bCs/>
                <w:sz w:val="16"/>
                <w:szCs w:val="16"/>
              </w:rPr>
              <w:t xml:space="preserve"> </w:t>
            </w:r>
          </w:p>
        </w:tc>
        <w:tc>
          <w:tcPr>
            <w:tcW w:w="368" w:type="dxa"/>
            <w:vAlign w:val="bottom"/>
            <w:hideMark/>
          </w:tcPr>
          <w:p w14:paraId="4E4EEAB6" w14:textId="77777777" w:rsidR="00D21F21" w:rsidRDefault="00D21F21" w:rsidP="00260739">
            <w:pPr>
              <w:spacing w:before="26" w:after="26"/>
              <w:jc w:val="right"/>
              <w:rPr>
                <w:rFonts w:ascii="GHEA Grapalat" w:hAnsi="GHEA Grapalat" w:cs="Sylfaen"/>
                <w:bCs/>
                <w:sz w:val="16"/>
                <w:szCs w:val="16"/>
              </w:rPr>
            </w:pPr>
            <w:r>
              <w:rPr>
                <w:rFonts w:ascii="GHEA Grapalat" w:hAnsi="GHEA Grapalat" w:cs="Sylfaen"/>
                <w:bCs/>
                <w:sz w:val="16"/>
                <w:szCs w:val="16"/>
              </w:rPr>
              <w:t>12</w:t>
            </w:r>
          </w:p>
        </w:tc>
      </w:tr>
      <w:tr w:rsidR="00D21F21" w14:paraId="01AC042A" w14:textId="77777777" w:rsidTr="00260739">
        <w:trPr>
          <w:trHeight w:val="20"/>
        </w:trPr>
        <w:tc>
          <w:tcPr>
            <w:tcW w:w="970" w:type="dxa"/>
            <w:noWrap/>
            <w:hideMark/>
          </w:tcPr>
          <w:p w14:paraId="417E2C88"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Chart 13</w:t>
            </w:r>
          </w:p>
        </w:tc>
        <w:tc>
          <w:tcPr>
            <w:tcW w:w="4899" w:type="dxa"/>
            <w:noWrap/>
            <w:vAlign w:val="bottom"/>
            <w:hideMark/>
          </w:tcPr>
          <w:p w14:paraId="207F2B09" w14:textId="77777777" w:rsidR="00D21F21" w:rsidRPr="0043638B" w:rsidRDefault="00033894" w:rsidP="00260739">
            <w:pPr>
              <w:spacing w:before="26" w:after="26"/>
              <w:rPr>
                <w:rFonts w:ascii="GHEA Grapalat" w:hAnsi="GHEA Grapalat" w:cs="Sylfaen"/>
                <w:bCs/>
                <w:sz w:val="16"/>
                <w:szCs w:val="16"/>
              </w:rPr>
            </w:pPr>
            <w:r w:rsidRPr="0043638B">
              <w:rPr>
                <w:rFonts w:ascii="GHEA Grapalat" w:hAnsi="GHEA Grapalat" w:cs="Sylfaen"/>
                <w:bCs/>
                <w:sz w:val="16"/>
                <w:szCs w:val="16"/>
              </w:rPr>
              <w:t xml:space="preserve">The </w:t>
            </w:r>
            <w:r w:rsidRPr="0043638B">
              <w:rPr>
                <w:rFonts w:ascii="GHEA Grapalat" w:hAnsi="GHEA Grapalat" w:cs="Sylfaen"/>
                <w:bCs/>
                <w:sz w:val="16"/>
                <w:szCs w:val="16"/>
                <w:lang w:val="hy-AM"/>
              </w:rPr>
              <w:t xml:space="preserve">US </w:t>
            </w:r>
            <w:r w:rsidRPr="0043638B">
              <w:rPr>
                <w:rFonts w:ascii="GHEA Grapalat" w:hAnsi="GHEA Grapalat" w:cs="Sylfaen"/>
                <w:bCs/>
                <w:sz w:val="16"/>
                <w:szCs w:val="16"/>
              </w:rPr>
              <w:t>e</w:t>
            </w:r>
            <w:r w:rsidRPr="0043638B">
              <w:rPr>
                <w:rFonts w:ascii="GHEA Grapalat" w:hAnsi="GHEA Grapalat" w:cs="Sylfaen"/>
                <w:bCs/>
                <w:sz w:val="16"/>
                <w:szCs w:val="16"/>
                <w:lang w:val="hy-AM"/>
              </w:rPr>
              <w:t xml:space="preserve">conomic </w:t>
            </w:r>
            <w:r w:rsidRPr="0043638B">
              <w:rPr>
                <w:rFonts w:ascii="GHEA Grapalat" w:hAnsi="GHEA Grapalat" w:cs="Sylfaen"/>
                <w:bCs/>
                <w:sz w:val="16"/>
                <w:szCs w:val="16"/>
              </w:rPr>
              <w:t>g</w:t>
            </w:r>
            <w:r w:rsidRPr="0043638B">
              <w:rPr>
                <w:rFonts w:ascii="GHEA Grapalat" w:hAnsi="GHEA Grapalat" w:cs="Sylfaen"/>
                <w:bCs/>
                <w:sz w:val="16"/>
                <w:szCs w:val="16"/>
                <w:lang w:val="hy-AM"/>
              </w:rPr>
              <w:t xml:space="preserve">rowth </w:t>
            </w:r>
            <w:r w:rsidRPr="0043638B">
              <w:rPr>
                <w:rFonts w:ascii="GHEA Grapalat" w:hAnsi="GHEA Grapalat" w:cs="Sylfaen"/>
                <w:bCs/>
                <w:sz w:val="16"/>
                <w:szCs w:val="16"/>
              </w:rPr>
              <w:t>forecasts</w:t>
            </w:r>
            <w:r w:rsidR="00353DFF" w:rsidRPr="0043638B">
              <w:rPr>
                <w:rFonts w:ascii="GHEA Grapalat" w:hAnsi="GHEA Grapalat" w:cs="Sylfaen"/>
                <w:bCs/>
                <w:sz w:val="16"/>
                <w:szCs w:val="16"/>
              </w:rPr>
              <w:t>, (%)</w:t>
            </w:r>
            <w:r w:rsidRPr="0043638B">
              <w:rPr>
                <w:rFonts w:ascii="GHEA Grapalat" w:hAnsi="GHEA Grapalat" w:cs="Sylfaen"/>
                <w:bCs/>
                <w:sz w:val="16"/>
                <w:szCs w:val="16"/>
              </w:rPr>
              <w:t xml:space="preserve"> </w:t>
            </w:r>
          </w:p>
        </w:tc>
        <w:tc>
          <w:tcPr>
            <w:tcW w:w="368" w:type="dxa"/>
            <w:vAlign w:val="bottom"/>
            <w:hideMark/>
          </w:tcPr>
          <w:p w14:paraId="49A2B2A3" w14:textId="77777777" w:rsidR="00D21F21" w:rsidRDefault="00D21F21" w:rsidP="00260739">
            <w:pPr>
              <w:spacing w:before="26" w:after="26"/>
              <w:jc w:val="right"/>
              <w:rPr>
                <w:rFonts w:ascii="GHEA Grapalat" w:hAnsi="GHEA Grapalat" w:cs="Sylfaen"/>
                <w:bCs/>
                <w:sz w:val="16"/>
                <w:szCs w:val="16"/>
              </w:rPr>
            </w:pPr>
            <w:r>
              <w:rPr>
                <w:rFonts w:ascii="GHEA Grapalat" w:hAnsi="GHEA Grapalat" w:cs="Sylfaen"/>
                <w:bCs/>
                <w:sz w:val="16"/>
                <w:szCs w:val="16"/>
              </w:rPr>
              <w:t>13</w:t>
            </w:r>
          </w:p>
        </w:tc>
      </w:tr>
      <w:tr w:rsidR="00D21F21" w14:paraId="4219BC85" w14:textId="77777777" w:rsidTr="00260739">
        <w:trPr>
          <w:trHeight w:val="20"/>
        </w:trPr>
        <w:tc>
          <w:tcPr>
            <w:tcW w:w="970" w:type="dxa"/>
            <w:noWrap/>
            <w:hideMark/>
          </w:tcPr>
          <w:p w14:paraId="3F2876C8"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Chart 14</w:t>
            </w:r>
          </w:p>
        </w:tc>
        <w:tc>
          <w:tcPr>
            <w:tcW w:w="4899" w:type="dxa"/>
            <w:noWrap/>
            <w:vAlign w:val="bottom"/>
            <w:hideMark/>
          </w:tcPr>
          <w:p w14:paraId="0E61A0FE" w14:textId="77777777" w:rsidR="00D21F21" w:rsidRPr="0043638B" w:rsidRDefault="00033894" w:rsidP="00033894">
            <w:pPr>
              <w:spacing w:before="26" w:after="26"/>
              <w:rPr>
                <w:rFonts w:ascii="GHEA Grapalat" w:hAnsi="GHEA Grapalat" w:cs="Sylfaen"/>
                <w:bCs/>
                <w:sz w:val="16"/>
                <w:szCs w:val="16"/>
              </w:rPr>
            </w:pPr>
            <w:r w:rsidRPr="0043638B">
              <w:rPr>
                <w:rFonts w:ascii="GHEA Grapalat" w:hAnsi="GHEA Grapalat" w:cs="Sylfaen"/>
                <w:bCs/>
                <w:sz w:val="16"/>
                <w:szCs w:val="16"/>
              </w:rPr>
              <w:t>The EU</w:t>
            </w:r>
            <w:r w:rsidRPr="0043638B">
              <w:rPr>
                <w:rFonts w:ascii="GHEA Grapalat" w:hAnsi="GHEA Grapalat" w:cs="Sylfaen"/>
                <w:bCs/>
                <w:sz w:val="16"/>
                <w:szCs w:val="16"/>
                <w:lang w:val="hy-AM"/>
              </w:rPr>
              <w:t xml:space="preserve"> </w:t>
            </w:r>
            <w:r w:rsidRPr="0043638B">
              <w:rPr>
                <w:rFonts w:ascii="GHEA Grapalat" w:hAnsi="GHEA Grapalat" w:cs="Sylfaen"/>
                <w:bCs/>
                <w:sz w:val="16"/>
                <w:szCs w:val="16"/>
              </w:rPr>
              <w:t>e</w:t>
            </w:r>
            <w:r w:rsidRPr="0043638B">
              <w:rPr>
                <w:rFonts w:ascii="GHEA Grapalat" w:hAnsi="GHEA Grapalat" w:cs="Sylfaen"/>
                <w:bCs/>
                <w:sz w:val="16"/>
                <w:szCs w:val="16"/>
                <w:lang w:val="hy-AM"/>
              </w:rPr>
              <w:t xml:space="preserve">conomic </w:t>
            </w:r>
            <w:r w:rsidRPr="0043638B">
              <w:rPr>
                <w:rFonts w:ascii="GHEA Grapalat" w:hAnsi="GHEA Grapalat" w:cs="Sylfaen"/>
                <w:bCs/>
                <w:sz w:val="16"/>
                <w:szCs w:val="16"/>
              </w:rPr>
              <w:t>g</w:t>
            </w:r>
            <w:r w:rsidRPr="0043638B">
              <w:rPr>
                <w:rFonts w:ascii="GHEA Grapalat" w:hAnsi="GHEA Grapalat" w:cs="Sylfaen"/>
                <w:bCs/>
                <w:sz w:val="16"/>
                <w:szCs w:val="16"/>
                <w:lang w:val="hy-AM"/>
              </w:rPr>
              <w:t xml:space="preserve">rowth </w:t>
            </w:r>
            <w:r w:rsidRPr="0043638B">
              <w:rPr>
                <w:rFonts w:ascii="GHEA Grapalat" w:hAnsi="GHEA Grapalat" w:cs="Sylfaen"/>
                <w:bCs/>
                <w:sz w:val="16"/>
                <w:szCs w:val="16"/>
              </w:rPr>
              <w:t>forecasts</w:t>
            </w:r>
            <w:r w:rsidR="00353DFF" w:rsidRPr="0043638B">
              <w:rPr>
                <w:rFonts w:ascii="GHEA Grapalat" w:hAnsi="GHEA Grapalat" w:cs="Sylfaen"/>
                <w:bCs/>
                <w:sz w:val="16"/>
                <w:szCs w:val="16"/>
              </w:rPr>
              <w:t>, (%)</w:t>
            </w:r>
          </w:p>
        </w:tc>
        <w:tc>
          <w:tcPr>
            <w:tcW w:w="368" w:type="dxa"/>
            <w:vAlign w:val="bottom"/>
            <w:hideMark/>
          </w:tcPr>
          <w:p w14:paraId="5269DB95" w14:textId="77777777" w:rsidR="00D21F21" w:rsidRDefault="00D21F21" w:rsidP="00260739">
            <w:pPr>
              <w:spacing w:before="26" w:after="26"/>
              <w:jc w:val="right"/>
              <w:rPr>
                <w:rFonts w:ascii="GHEA Grapalat" w:hAnsi="GHEA Grapalat" w:cs="Sylfaen"/>
                <w:bCs/>
                <w:sz w:val="16"/>
                <w:szCs w:val="16"/>
              </w:rPr>
            </w:pPr>
            <w:r>
              <w:rPr>
                <w:rFonts w:ascii="GHEA Grapalat" w:hAnsi="GHEA Grapalat" w:cs="Sylfaen"/>
                <w:bCs/>
                <w:sz w:val="16"/>
                <w:szCs w:val="16"/>
              </w:rPr>
              <w:t>13</w:t>
            </w:r>
          </w:p>
        </w:tc>
      </w:tr>
      <w:tr w:rsidR="00D21F21" w14:paraId="259D30E6" w14:textId="77777777" w:rsidTr="00260739">
        <w:trPr>
          <w:trHeight w:val="20"/>
        </w:trPr>
        <w:tc>
          <w:tcPr>
            <w:tcW w:w="970" w:type="dxa"/>
            <w:noWrap/>
            <w:hideMark/>
          </w:tcPr>
          <w:p w14:paraId="7062088A"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Chart 15</w:t>
            </w:r>
          </w:p>
        </w:tc>
        <w:tc>
          <w:tcPr>
            <w:tcW w:w="4899" w:type="dxa"/>
            <w:noWrap/>
            <w:vAlign w:val="bottom"/>
            <w:hideMark/>
          </w:tcPr>
          <w:p w14:paraId="7BEE883F" w14:textId="77777777" w:rsidR="00D21F21" w:rsidRPr="0043638B" w:rsidRDefault="00033894" w:rsidP="00033894">
            <w:pPr>
              <w:spacing w:before="26" w:after="26"/>
              <w:rPr>
                <w:rFonts w:ascii="GHEA Grapalat" w:hAnsi="GHEA Grapalat" w:cs="Sylfaen"/>
                <w:bCs/>
                <w:sz w:val="16"/>
                <w:szCs w:val="16"/>
              </w:rPr>
            </w:pPr>
            <w:r w:rsidRPr="0043638B">
              <w:rPr>
                <w:rFonts w:ascii="GHEA Grapalat" w:hAnsi="GHEA Grapalat" w:cs="Sylfaen"/>
                <w:bCs/>
                <w:sz w:val="16"/>
                <w:szCs w:val="16"/>
              </w:rPr>
              <w:t>The Russia e</w:t>
            </w:r>
            <w:r w:rsidRPr="0043638B">
              <w:rPr>
                <w:rFonts w:ascii="GHEA Grapalat" w:hAnsi="GHEA Grapalat" w:cs="Sylfaen"/>
                <w:bCs/>
                <w:sz w:val="16"/>
                <w:szCs w:val="16"/>
                <w:lang w:val="hy-AM"/>
              </w:rPr>
              <w:t xml:space="preserve">conomic </w:t>
            </w:r>
            <w:r w:rsidRPr="0043638B">
              <w:rPr>
                <w:rFonts w:ascii="GHEA Grapalat" w:hAnsi="GHEA Grapalat" w:cs="Sylfaen"/>
                <w:bCs/>
                <w:sz w:val="16"/>
                <w:szCs w:val="16"/>
              </w:rPr>
              <w:t>g</w:t>
            </w:r>
            <w:r w:rsidRPr="0043638B">
              <w:rPr>
                <w:rFonts w:ascii="GHEA Grapalat" w:hAnsi="GHEA Grapalat" w:cs="Sylfaen"/>
                <w:bCs/>
                <w:sz w:val="16"/>
                <w:szCs w:val="16"/>
                <w:lang w:val="hy-AM"/>
              </w:rPr>
              <w:t xml:space="preserve">rowth </w:t>
            </w:r>
            <w:r w:rsidRPr="0043638B">
              <w:rPr>
                <w:rFonts w:ascii="GHEA Grapalat" w:hAnsi="GHEA Grapalat" w:cs="Sylfaen"/>
                <w:bCs/>
                <w:sz w:val="16"/>
                <w:szCs w:val="16"/>
              </w:rPr>
              <w:t>forecasts</w:t>
            </w:r>
            <w:r w:rsidR="00353DFF" w:rsidRPr="0043638B">
              <w:rPr>
                <w:rFonts w:ascii="GHEA Grapalat" w:hAnsi="GHEA Grapalat" w:cs="Sylfaen"/>
                <w:bCs/>
                <w:sz w:val="16"/>
                <w:szCs w:val="16"/>
              </w:rPr>
              <w:t>, (%)</w:t>
            </w:r>
          </w:p>
        </w:tc>
        <w:tc>
          <w:tcPr>
            <w:tcW w:w="368" w:type="dxa"/>
            <w:vAlign w:val="bottom"/>
            <w:hideMark/>
          </w:tcPr>
          <w:p w14:paraId="08EDCB4E" w14:textId="77777777" w:rsidR="00D21F21" w:rsidRDefault="00D21F21" w:rsidP="00260739">
            <w:pPr>
              <w:spacing w:before="26" w:after="26"/>
              <w:jc w:val="right"/>
              <w:rPr>
                <w:rFonts w:ascii="GHEA Grapalat" w:hAnsi="GHEA Grapalat" w:cs="Sylfaen"/>
                <w:bCs/>
                <w:sz w:val="16"/>
                <w:szCs w:val="16"/>
              </w:rPr>
            </w:pPr>
            <w:r>
              <w:rPr>
                <w:rFonts w:ascii="GHEA Grapalat" w:hAnsi="GHEA Grapalat" w:cs="Sylfaen"/>
                <w:bCs/>
                <w:sz w:val="16"/>
                <w:szCs w:val="16"/>
              </w:rPr>
              <w:t>13</w:t>
            </w:r>
          </w:p>
        </w:tc>
      </w:tr>
      <w:tr w:rsidR="00D21F21" w14:paraId="2EBD93E2" w14:textId="77777777" w:rsidTr="00260739">
        <w:trPr>
          <w:trHeight w:val="20"/>
        </w:trPr>
        <w:tc>
          <w:tcPr>
            <w:tcW w:w="970" w:type="dxa"/>
            <w:noWrap/>
            <w:hideMark/>
          </w:tcPr>
          <w:p w14:paraId="1A69BEEC"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Chart 16</w:t>
            </w:r>
          </w:p>
        </w:tc>
        <w:tc>
          <w:tcPr>
            <w:tcW w:w="4899" w:type="dxa"/>
            <w:noWrap/>
            <w:vAlign w:val="bottom"/>
            <w:hideMark/>
          </w:tcPr>
          <w:p w14:paraId="65CE35A1" w14:textId="77777777" w:rsidR="00D21F21" w:rsidRPr="0043638B" w:rsidRDefault="00033894" w:rsidP="00260739">
            <w:pPr>
              <w:spacing w:before="26" w:after="26"/>
              <w:rPr>
                <w:rFonts w:ascii="GHEA Grapalat" w:hAnsi="GHEA Grapalat" w:cs="Sylfaen"/>
                <w:bCs/>
                <w:sz w:val="16"/>
                <w:szCs w:val="16"/>
              </w:rPr>
            </w:pPr>
            <w:r w:rsidRPr="0043638B">
              <w:rPr>
                <w:rFonts w:ascii="GHEA Grapalat" w:hAnsi="GHEA Grapalat" w:cs="Sylfaen"/>
                <w:bCs/>
                <w:sz w:val="16"/>
                <w:szCs w:val="16"/>
              </w:rPr>
              <w:t>International prices for food products</w:t>
            </w:r>
          </w:p>
        </w:tc>
        <w:tc>
          <w:tcPr>
            <w:tcW w:w="368" w:type="dxa"/>
            <w:vAlign w:val="bottom"/>
            <w:hideMark/>
          </w:tcPr>
          <w:p w14:paraId="32EC4FC9" w14:textId="77777777" w:rsidR="00D21F21" w:rsidRDefault="00D21F21" w:rsidP="00260739">
            <w:pPr>
              <w:spacing w:before="26" w:after="26"/>
              <w:jc w:val="right"/>
              <w:rPr>
                <w:rFonts w:ascii="GHEA Grapalat" w:hAnsi="GHEA Grapalat" w:cs="Sylfaen"/>
                <w:bCs/>
                <w:sz w:val="16"/>
                <w:szCs w:val="16"/>
              </w:rPr>
            </w:pPr>
            <w:r>
              <w:rPr>
                <w:rFonts w:ascii="GHEA Grapalat" w:hAnsi="GHEA Grapalat" w:cs="Sylfaen"/>
                <w:bCs/>
                <w:sz w:val="16"/>
                <w:szCs w:val="16"/>
              </w:rPr>
              <w:t>14</w:t>
            </w:r>
          </w:p>
        </w:tc>
      </w:tr>
      <w:tr w:rsidR="00D21F21" w14:paraId="59C5EB3A" w14:textId="77777777" w:rsidTr="00260739">
        <w:trPr>
          <w:trHeight w:val="20"/>
        </w:trPr>
        <w:tc>
          <w:tcPr>
            <w:tcW w:w="970" w:type="dxa"/>
            <w:noWrap/>
            <w:hideMark/>
          </w:tcPr>
          <w:p w14:paraId="39DF11FB"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Chart 17</w:t>
            </w:r>
          </w:p>
        </w:tc>
        <w:tc>
          <w:tcPr>
            <w:tcW w:w="4899" w:type="dxa"/>
            <w:noWrap/>
            <w:vAlign w:val="bottom"/>
            <w:hideMark/>
          </w:tcPr>
          <w:p w14:paraId="3DC18B99" w14:textId="77777777" w:rsidR="00D21F21" w:rsidRPr="0043638B" w:rsidRDefault="00033894" w:rsidP="00260739">
            <w:pPr>
              <w:spacing w:before="26" w:after="26"/>
              <w:rPr>
                <w:rFonts w:ascii="GHEA Grapalat" w:hAnsi="GHEA Grapalat" w:cs="Sylfaen"/>
                <w:bCs/>
                <w:sz w:val="16"/>
                <w:szCs w:val="16"/>
              </w:rPr>
            </w:pPr>
            <w:r w:rsidRPr="0043638B">
              <w:rPr>
                <w:rFonts w:ascii="GHEA Grapalat" w:hAnsi="GHEA Grapalat" w:cs="Sylfaen"/>
                <w:bCs/>
                <w:sz w:val="16"/>
                <w:szCs w:val="16"/>
              </w:rPr>
              <w:t xml:space="preserve">International prices for oil </w:t>
            </w:r>
          </w:p>
        </w:tc>
        <w:tc>
          <w:tcPr>
            <w:tcW w:w="368" w:type="dxa"/>
            <w:vAlign w:val="bottom"/>
            <w:hideMark/>
          </w:tcPr>
          <w:p w14:paraId="45153603" w14:textId="77777777" w:rsidR="00D21F21" w:rsidRDefault="00D21F21" w:rsidP="00260739">
            <w:pPr>
              <w:spacing w:before="26" w:after="26"/>
              <w:jc w:val="right"/>
              <w:rPr>
                <w:rFonts w:ascii="GHEA Grapalat" w:hAnsi="GHEA Grapalat" w:cs="Sylfaen"/>
                <w:bCs/>
                <w:sz w:val="16"/>
                <w:szCs w:val="16"/>
              </w:rPr>
            </w:pPr>
            <w:r>
              <w:rPr>
                <w:rFonts w:ascii="GHEA Grapalat" w:hAnsi="GHEA Grapalat" w:cs="Sylfaen"/>
                <w:bCs/>
                <w:sz w:val="16"/>
                <w:szCs w:val="16"/>
              </w:rPr>
              <w:t>14</w:t>
            </w:r>
          </w:p>
        </w:tc>
      </w:tr>
      <w:tr w:rsidR="00D21F21" w14:paraId="4BB23A7A" w14:textId="77777777" w:rsidTr="00260739">
        <w:trPr>
          <w:trHeight w:val="20"/>
        </w:trPr>
        <w:tc>
          <w:tcPr>
            <w:tcW w:w="970" w:type="dxa"/>
            <w:noWrap/>
            <w:hideMark/>
          </w:tcPr>
          <w:p w14:paraId="18DDFD9E"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Chart 18</w:t>
            </w:r>
          </w:p>
        </w:tc>
        <w:tc>
          <w:tcPr>
            <w:tcW w:w="4899" w:type="dxa"/>
            <w:noWrap/>
            <w:vAlign w:val="bottom"/>
            <w:hideMark/>
          </w:tcPr>
          <w:p w14:paraId="17575F4E" w14:textId="77777777" w:rsidR="00D21F21" w:rsidRPr="0043638B" w:rsidRDefault="00033894" w:rsidP="00260739">
            <w:pPr>
              <w:spacing w:before="26" w:after="26"/>
              <w:rPr>
                <w:rFonts w:ascii="GHEA Grapalat" w:hAnsi="GHEA Grapalat" w:cs="Sylfaen"/>
                <w:bCs/>
                <w:sz w:val="16"/>
                <w:szCs w:val="16"/>
              </w:rPr>
            </w:pPr>
            <w:r w:rsidRPr="0043638B">
              <w:rPr>
                <w:rFonts w:ascii="GHEA Grapalat" w:hAnsi="GHEA Grapalat" w:cs="Sylfaen"/>
                <w:bCs/>
                <w:sz w:val="16"/>
                <w:szCs w:val="16"/>
              </w:rPr>
              <w:t>International prices for copper</w:t>
            </w:r>
          </w:p>
        </w:tc>
        <w:tc>
          <w:tcPr>
            <w:tcW w:w="368" w:type="dxa"/>
            <w:vAlign w:val="bottom"/>
            <w:hideMark/>
          </w:tcPr>
          <w:p w14:paraId="0DF00310" w14:textId="77777777" w:rsidR="00D21F21" w:rsidRDefault="00D21F21" w:rsidP="00260739">
            <w:pPr>
              <w:spacing w:before="26" w:after="26"/>
              <w:jc w:val="right"/>
              <w:rPr>
                <w:rFonts w:ascii="GHEA Grapalat" w:hAnsi="GHEA Grapalat" w:cs="Sylfaen"/>
                <w:bCs/>
                <w:sz w:val="16"/>
                <w:szCs w:val="16"/>
              </w:rPr>
            </w:pPr>
            <w:r>
              <w:rPr>
                <w:rFonts w:ascii="GHEA Grapalat" w:hAnsi="GHEA Grapalat" w:cs="Sylfaen"/>
                <w:bCs/>
                <w:sz w:val="16"/>
                <w:szCs w:val="16"/>
              </w:rPr>
              <w:t>14</w:t>
            </w:r>
          </w:p>
        </w:tc>
      </w:tr>
      <w:tr w:rsidR="00D21F21" w14:paraId="41EDEB4C" w14:textId="77777777" w:rsidTr="00260739">
        <w:trPr>
          <w:trHeight w:val="20"/>
        </w:trPr>
        <w:tc>
          <w:tcPr>
            <w:tcW w:w="970" w:type="dxa"/>
            <w:noWrap/>
            <w:hideMark/>
          </w:tcPr>
          <w:p w14:paraId="0F7A46F8"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Chart 19</w:t>
            </w:r>
          </w:p>
        </w:tc>
        <w:tc>
          <w:tcPr>
            <w:tcW w:w="4899" w:type="dxa"/>
            <w:vAlign w:val="bottom"/>
            <w:hideMark/>
          </w:tcPr>
          <w:p w14:paraId="61015A1B" w14:textId="77777777" w:rsidR="00D21F21" w:rsidRPr="0043638B" w:rsidRDefault="00033894" w:rsidP="00260739">
            <w:pPr>
              <w:spacing w:before="26" w:after="26"/>
              <w:rPr>
                <w:rFonts w:ascii="GHEA Grapalat" w:hAnsi="GHEA Grapalat" w:cs="Sylfaen"/>
                <w:bCs/>
                <w:sz w:val="16"/>
                <w:szCs w:val="16"/>
              </w:rPr>
            </w:pPr>
            <w:r w:rsidRPr="0043638B">
              <w:rPr>
                <w:rFonts w:ascii="GHEA Grapalat" w:hAnsi="GHEA Grapalat" w:cs="Sylfaen"/>
                <w:sz w:val="16"/>
                <w:szCs w:val="16"/>
              </w:rPr>
              <w:t xml:space="preserve">Real GDP Cumulative Projection Probability Distribution Chart for 3-year horizon </w:t>
            </w:r>
          </w:p>
        </w:tc>
        <w:tc>
          <w:tcPr>
            <w:tcW w:w="368" w:type="dxa"/>
            <w:vAlign w:val="bottom"/>
            <w:hideMark/>
          </w:tcPr>
          <w:p w14:paraId="0BEA98A0" w14:textId="77777777" w:rsidR="00D21F21" w:rsidRDefault="00D21F21" w:rsidP="00260739">
            <w:pPr>
              <w:spacing w:before="26" w:after="26"/>
              <w:jc w:val="right"/>
              <w:rPr>
                <w:rFonts w:ascii="GHEA Grapalat" w:hAnsi="GHEA Grapalat" w:cs="Sylfaen"/>
                <w:bCs/>
                <w:sz w:val="16"/>
                <w:szCs w:val="16"/>
              </w:rPr>
            </w:pPr>
            <w:r>
              <w:rPr>
                <w:rFonts w:ascii="GHEA Grapalat" w:hAnsi="GHEA Grapalat" w:cs="Sylfaen"/>
                <w:bCs/>
                <w:sz w:val="16"/>
                <w:szCs w:val="16"/>
              </w:rPr>
              <w:t>14</w:t>
            </w:r>
          </w:p>
        </w:tc>
      </w:tr>
      <w:tr w:rsidR="00D21F21" w14:paraId="12EDA779" w14:textId="77777777" w:rsidTr="00260739">
        <w:trPr>
          <w:trHeight w:val="20"/>
        </w:trPr>
        <w:tc>
          <w:tcPr>
            <w:tcW w:w="970" w:type="dxa"/>
            <w:noWrap/>
            <w:hideMark/>
          </w:tcPr>
          <w:p w14:paraId="5F688CC9"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Chart 20</w:t>
            </w:r>
          </w:p>
        </w:tc>
        <w:tc>
          <w:tcPr>
            <w:tcW w:w="4899" w:type="dxa"/>
            <w:noWrap/>
            <w:vAlign w:val="bottom"/>
            <w:hideMark/>
          </w:tcPr>
          <w:p w14:paraId="48EDF47A" w14:textId="77777777" w:rsidR="00D21F21" w:rsidRPr="0043638B" w:rsidRDefault="00033894" w:rsidP="00033894">
            <w:pPr>
              <w:spacing w:before="26" w:after="26"/>
              <w:rPr>
                <w:rFonts w:ascii="GHEA Grapalat" w:hAnsi="GHEA Grapalat" w:cs="Sylfaen"/>
                <w:bCs/>
                <w:sz w:val="16"/>
                <w:szCs w:val="16"/>
              </w:rPr>
            </w:pPr>
            <w:r w:rsidRPr="0043638B">
              <w:rPr>
                <w:rFonts w:ascii="GHEA Grapalat" w:hAnsi="GHEA Grapalat" w:cs="Sylfaen"/>
                <w:sz w:val="16"/>
                <w:szCs w:val="16"/>
              </w:rPr>
              <w:t>Mid-term current account / GDP forecasts</w:t>
            </w:r>
            <w:r w:rsidR="00353DFF" w:rsidRPr="0043638B">
              <w:rPr>
                <w:rFonts w:ascii="GHEA Grapalat" w:hAnsi="GHEA Grapalat" w:cs="Sylfaen"/>
                <w:sz w:val="16"/>
                <w:szCs w:val="16"/>
              </w:rPr>
              <w:t>, (%)</w:t>
            </w:r>
          </w:p>
        </w:tc>
        <w:tc>
          <w:tcPr>
            <w:tcW w:w="368" w:type="dxa"/>
            <w:vAlign w:val="bottom"/>
            <w:hideMark/>
          </w:tcPr>
          <w:p w14:paraId="6BC8D704" w14:textId="77777777" w:rsidR="00D21F21" w:rsidRDefault="00D21F21" w:rsidP="00260739">
            <w:pPr>
              <w:spacing w:before="26" w:after="26"/>
              <w:jc w:val="right"/>
              <w:rPr>
                <w:rFonts w:ascii="GHEA Grapalat" w:hAnsi="GHEA Grapalat" w:cs="Sylfaen"/>
                <w:bCs/>
                <w:sz w:val="16"/>
                <w:szCs w:val="16"/>
              </w:rPr>
            </w:pPr>
            <w:r>
              <w:rPr>
                <w:rFonts w:ascii="GHEA Grapalat" w:hAnsi="GHEA Grapalat" w:cs="Sylfaen"/>
                <w:bCs/>
                <w:sz w:val="16"/>
                <w:szCs w:val="16"/>
              </w:rPr>
              <w:t>15</w:t>
            </w:r>
          </w:p>
        </w:tc>
      </w:tr>
      <w:tr w:rsidR="00D21F21" w14:paraId="55CCA330" w14:textId="77777777" w:rsidTr="00260739">
        <w:trPr>
          <w:trHeight w:val="20"/>
        </w:trPr>
        <w:tc>
          <w:tcPr>
            <w:tcW w:w="970" w:type="dxa"/>
            <w:noWrap/>
            <w:hideMark/>
          </w:tcPr>
          <w:p w14:paraId="423E798A"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Chart 21</w:t>
            </w:r>
          </w:p>
        </w:tc>
        <w:tc>
          <w:tcPr>
            <w:tcW w:w="4899" w:type="dxa"/>
            <w:noWrap/>
            <w:vAlign w:val="bottom"/>
            <w:hideMark/>
          </w:tcPr>
          <w:p w14:paraId="71C97FE4" w14:textId="77777777" w:rsidR="00D21F21" w:rsidRPr="0043638B" w:rsidRDefault="00033894" w:rsidP="00260739">
            <w:pPr>
              <w:spacing w:before="26" w:after="26"/>
              <w:rPr>
                <w:rFonts w:ascii="GHEA Grapalat" w:hAnsi="GHEA Grapalat" w:cs="Sylfaen"/>
                <w:bCs/>
                <w:sz w:val="16"/>
                <w:szCs w:val="16"/>
              </w:rPr>
            </w:pPr>
            <w:r w:rsidRPr="0043638B">
              <w:rPr>
                <w:rFonts w:ascii="GHEA Grapalat" w:hAnsi="GHEA Grapalat" w:cs="Sylfaen"/>
                <w:sz w:val="16"/>
                <w:szCs w:val="16"/>
              </w:rPr>
              <w:t>Fiscal impulse forecasts</w:t>
            </w:r>
            <w:r w:rsidR="00353DFF" w:rsidRPr="0043638B">
              <w:rPr>
                <w:rFonts w:ascii="GHEA Grapalat" w:hAnsi="GHEA Grapalat" w:cs="Sylfaen"/>
                <w:sz w:val="16"/>
                <w:szCs w:val="16"/>
              </w:rPr>
              <w:t>, (percentage point)</w:t>
            </w:r>
            <w:r w:rsidRPr="0043638B">
              <w:rPr>
                <w:rFonts w:ascii="GHEA Grapalat" w:hAnsi="GHEA Grapalat" w:cs="Sylfaen"/>
                <w:sz w:val="16"/>
                <w:szCs w:val="16"/>
              </w:rPr>
              <w:t xml:space="preserve"> </w:t>
            </w:r>
          </w:p>
        </w:tc>
        <w:tc>
          <w:tcPr>
            <w:tcW w:w="368" w:type="dxa"/>
            <w:vAlign w:val="bottom"/>
            <w:hideMark/>
          </w:tcPr>
          <w:p w14:paraId="5A3C4915" w14:textId="77777777" w:rsidR="00D21F21" w:rsidRDefault="00D21F21" w:rsidP="00260739">
            <w:pPr>
              <w:spacing w:before="26" w:after="26"/>
              <w:jc w:val="right"/>
              <w:rPr>
                <w:rFonts w:ascii="GHEA Grapalat" w:hAnsi="GHEA Grapalat" w:cs="Sylfaen"/>
                <w:bCs/>
                <w:sz w:val="16"/>
                <w:szCs w:val="16"/>
              </w:rPr>
            </w:pPr>
            <w:r>
              <w:rPr>
                <w:rFonts w:ascii="GHEA Grapalat" w:hAnsi="GHEA Grapalat" w:cs="Sylfaen"/>
                <w:bCs/>
                <w:sz w:val="16"/>
                <w:szCs w:val="16"/>
              </w:rPr>
              <w:t>15</w:t>
            </w:r>
          </w:p>
        </w:tc>
      </w:tr>
      <w:tr w:rsidR="00D21F21" w14:paraId="1E31AA1B" w14:textId="77777777" w:rsidTr="00260739">
        <w:trPr>
          <w:trHeight w:val="20"/>
        </w:trPr>
        <w:tc>
          <w:tcPr>
            <w:tcW w:w="970" w:type="dxa"/>
            <w:noWrap/>
            <w:hideMark/>
          </w:tcPr>
          <w:p w14:paraId="269D4C3E"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Chart 22</w:t>
            </w:r>
          </w:p>
        </w:tc>
        <w:tc>
          <w:tcPr>
            <w:tcW w:w="4899" w:type="dxa"/>
            <w:vAlign w:val="bottom"/>
            <w:hideMark/>
          </w:tcPr>
          <w:p w14:paraId="7B82BE43" w14:textId="77777777" w:rsidR="00D21F21" w:rsidRPr="0043638B" w:rsidRDefault="00033894" w:rsidP="00260739">
            <w:pPr>
              <w:spacing w:before="26" w:after="26"/>
              <w:rPr>
                <w:rFonts w:ascii="GHEA Grapalat" w:hAnsi="GHEA Grapalat" w:cs="Sylfaen"/>
                <w:bCs/>
                <w:sz w:val="16"/>
                <w:szCs w:val="16"/>
              </w:rPr>
            </w:pPr>
            <w:r w:rsidRPr="0043638B">
              <w:rPr>
                <w:rFonts w:ascii="GHEA Grapalat" w:hAnsi="GHEA Grapalat" w:cs="Sylfaen"/>
                <w:sz w:val="16"/>
                <w:szCs w:val="16"/>
                <w:lang w:val="hy-AM"/>
              </w:rPr>
              <w:t xml:space="preserve">Short-term inflation expectations </w:t>
            </w:r>
            <w:r w:rsidRPr="0043638B">
              <w:rPr>
                <w:rFonts w:ascii="GHEA Grapalat" w:hAnsi="GHEA Grapalat" w:cs="Sylfaen"/>
                <w:sz w:val="16"/>
                <w:szCs w:val="16"/>
              </w:rPr>
              <w:t xml:space="preserve">estimated </w:t>
            </w:r>
            <w:r w:rsidRPr="0043638B">
              <w:rPr>
                <w:rFonts w:ascii="GHEA Grapalat" w:hAnsi="GHEA Grapalat" w:cs="Sylfaen"/>
                <w:sz w:val="16"/>
                <w:szCs w:val="16"/>
                <w:lang w:val="hy-AM"/>
              </w:rPr>
              <w:t xml:space="preserve">by </w:t>
            </w:r>
            <w:r w:rsidRPr="0043638B">
              <w:rPr>
                <w:rFonts w:ascii="GHEA Grapalat" w:hAnsi="GHEA Grapalat" w:cs="Sylfaen"/>
                <w:sz w:val="16"/>
                <w:szCs w:val="16"/>
              </w:rPr>
              <w:t>Q</w:t>
            </w:r>
            <w:r w:rsidRPr="0043638B">
              <w:rPr>
                <w:rFonts w:ascii="GHEA Grapalat" w:hAnsi="GHEA Grapalat" w:cs="Sylfaen"/>
                <w:sz w:val="16"/>
                <w:szCs w:val="16"/>
                <w:lang w:val="hy-AM"/>
              </w:rPr>
              <w:t xml:space="preserve">uarterly </w:t>
            </w:r>
            <w:r w:rsidRPr="0043638B">
              <w:rPr>
                <w:rFonts w:ascii="GHEA Grapalat" w:hAnsi="GHEA Grapalat" w:cs="Sylfaen"/>
                <w:sz w:val="16"/>
                <w:szCs w:val="16"/>
              </w:rPr>
              <w:t>Projection M</w:t>
            </w:r>
            <w:r w:rsidRPr="0043638B">
              <w:rPr>
                <w:rFonts w:ascii="GHEA Grapalat" w:hAnsi="GHEA Grapalat" w:cs="Sylfaen"/>
                <w:sz w:val="16"/>
                <w:szCs w:val="16"/>
                <w:lang w:val="hy-AM"/>
              </w:rPr>
              <w:t>odel</w:t>
            </w:r>
            <w:r w:rsidR="00353DFF" w:rsidRPr="0043638B">
              <w:rPr>
                <w:rFonts w:ascii="GHEA Grapalat" w:hAnsi="GHEA Grapalat" w:cs="Sylfaen"/>
                <w:sz w:val="16"/>
                <w:szCs w:val="16"/>
              </w:rPr>
              <w:t>, (%)</w:t>
            </w:r>
            <w:r w:rsidRPr="0043638B">
              <w:rPr>
                <w:rFonts w:ascii="GHEA Grapalat" w:hAnsi="GHEA Grapalat" w:cs="Sylfaen"/>
                <w:sz w:val="16"/>
                <w:szCs w:val="16"/>
              </w:rPr>
              <w:t xml:space="preserve"> </w:t>
            </w:r>
          </w:p>
        </w:tc>
        <w:tc>
          <w:tcPr>
            <w:tcW w:w="368" w:type="dxa"/>
            <w:vAlign w:val="bottom"/>
            <w:hideMark/>
          </w:tcPr>
          <w:p w14:paraId="61CA0514" w14:textId="77777777" w:rsidR="00D21F21" w:rsidRDefault="00D21F21" w:rsidP="00260739">
            <w:pPr>
              <w:spacing w:before="26" w:after="26"/>
              <w:jc w:val="right"/>
              <w:rPr>
                <w:rFonts w:ascii="GHEA Grapalat" w:hAnsi="GHEA Grapalat" w:cs="Sylfaen"/>
                <w:bCs/>
                <w:sz w:val="16"/>
                <w:szCs w:val="16"/>
              </w:rPr>
            </w:pPr>
            <w:r>
              <w:rPr>
                <w:rFonts w:ascii="GHEA Grapalat" w:hAnsi="GHEA Grapalat" w:cs="Sylfaen"/>
                <w:bCs/>
                <w:sz w:val="16"/>
                <w:szCs w:val="16"/>
              </w:rPr>
              <w:t>15</w:t>
            </w:r>
          </w:p>
        </w:tc>
      </w:tr>
      <w:tr w:rsidR="00D21F21" w14:paraId="1B33EB9D" w14:textId="77777777" w:rsidTr="00260739">
        <w:trPr>
          <w:trHeight w:val="20"/>
        </w:trPr>
        <w:tc>
          <w:tcPr>
            <w:tcW w:w="970" w:type="dxa"/>
            <w:noWrap/>
            <w:hideMark/>
          </w:tcPr>
          <w:p w14:paraId="72579F7A"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Chart 23</w:t>
            </w:r>
          </w:p>
        </w:tc>
        <w:tc>
          <w:tcPr>
            <w:tcW w:w="4899" w:type="dxa"/>
            <w:noWrap/>
            <w:vAlign w:val="bottom"/>
            <w:hideMark/>
          </w:tcPr>
          <w:p w14:paraId="268E0B13" w14:textId="77777777" w:rsidR="00D21F21" w:rsidRPr="0043638B" w:rsidRDefault="00033894" w:rsidP="00260739">
            <w:pPr>
              <w:spacing w:before="26" w:after="26"/>
              <w:rPr>
                <w:rFonts w:ascii="GHEA Grapalat" w:hAnsi="GHEA Grapalat" w:cs="Sylfaen"/>
                <w:bCs/>
                <w:sz w:val="16"/>
                <w:szCs w:val="16"/>
              </w:rPr>
            </w:pPr>
            <w:proofErr w:type="spellStart"/>
            <w:r w:rsidRPr="0043638B">
              <w:rPr>
                <w:rFonts w:ascii="GHEA Grapalat" w:hAnsi="GHEA Grapalat" w:cs="Sylfaen"/>
                <w:bCs/>
                <w:sz w:val="16"/>
                <w:szCs w:val="16"/>
                <w:lang w:val="hy-AM"/>
              </w:rPr>
              <w:t>in</w:t>
            </w:r>
            <w:proofErr w:type="spellEnd"/>
            <w:r w:rsidRPr="0043638B">
              <w:rPr>
                <w:rFonts w:ascii="GHEA Grapalat" w:hAnsi="GHEA Grapalat" w:cs="Sylfaen"/>
                <w:bCs/>
                <w:sz w:val="16"/>
                <w:szCs w:val="16"/>
                <w:lang w:val="hy-AM"/>
              </w:rPr>
              <w:t xml:space="preserve"> </w:t>
            </w:r>
            <w:proofErr w:type="spellStart"/>
            <w:r w:rsidRPr="0043638B">
              <w:rPr>
                <w:rFonts w:ascii="GHEA Grapalat" w:hAnsi="GHEA Grapalat" w:cs="Sylfaen"/>
                <w:bCs/>
                <w:sz w:val="16"/>
                <w:szCs w:val="16"/>
                <w:lang w:val="hy-AM"/>
              </w:rPr>
              <w:t>the</w:t>
            </w:r>
            <w:proofErr w:type="spellEnd"/>
            <w:r w:rsidRPr="0043638B">
              <w:rPr>
                <w:rFonts w:ascii="GHEA Grapalat" w:hAnsi="GHEA Grapalat" w:cs="Sylfaen"/>
                <w:bCs/>
                <w:sz w:val="16"/>
                <w:szCs w:val="16"/>
                <w:lang w:val="hy-AM"/>
              </w:rPr>
              <w:t xml:space="preserve"> </w:t>
            </w:r>
            <w:proofErr w:type="spellStart"/>
            <w:r w:rsidRPr="0043638B">
              <w:rPr>
                <w:rFonts w:ascii="GHEA Grapalat" w:hAnsi="GHEA Grapalat" w:cs="Sylfaen"/>
                <w:bCs/>
                <w:sz w:val="16"/>
                <w:szCs w:val="16"/>
                <w:lang w:val="hy-AM"/>
              </w:rPr>
              <w:t>third</w:t>
            </w:r>
            <w:proofErr w:type="spellEnd"/>
            <w:r w:rsidRPr="0043638B">
              <w:rPr>
                <w:rFonts w:ascii="GHEA Grapalat" w:hAnsi="GHEA Grapalat" w:cs="Sylfaen"/>
                <w:bCs/>
                <w:sz w:val="16"/>
                <w:szCs w:val="16"/>
                <w:lang w:val="hy-AM"/>
              </w:rPr>
              <w:t xml:space="preserve"> </w:t>
            </w:r>
            <w:proofErr w:type="spellStart"/>
            <w:r w:rsidRPr="0043638B">
              <w:rPr>
                <w:rFonts w:ascii="GHEA Grapalat" w:hAnsi="GHEA Grapalat" w:cs="Sylfaen"/>
                <w:bCs/>
                <w:sz w:val="16"/>
                <w:szCs w:val="16"/>
                <w:lang w:val="hy-AM"/>
              </w:rPr>
              <w:t>quarter</w:t>
            </w:r>
            <w:proofErr w:type="spellEnd"/>
            <w:r w:rsidRPr="0043638B">
              <w:rPr>
                <w:rFonts w:ascii="GHEA Grapalat" w:hAnsi="GHEA Grapalat" w:cs="Sylfaen"/>
                <w:bCs/>
                <w:sz w:val="16"/>
                <w:szCs w:val="16"/>
                <w:lang w:val="hy-AM"/>
              </w:rPr>
              <w:t xml:space="preserve"> 2017</w:t>
            </w:r>
            <w:r w:rsidRPr="0043638B">
              <w:rPr>
                <w:rFonts w:ascii="GHEA Grapalat" w:hAnsi="GHEA Grapalat" w:cs="Sylfaen"/>
                <w:bCs/>
                <w:sz w:val="16"/>
                <w:szCs w:val="16"/>
              </w:rPr>
              <w:t xml:space="preserve"> </w:t>
            </w:r>
            <w:proofErr w:type="spellStart"/>
            <w:r w:rsidRPr="0043638B">
              <w:rPr>
                <w:rFonts w:ascii="GHEA Grapalat" w:hAnsi="GHEA Grapalat" w:cs="Sylfaen"/>
                <w:bCs/>
                <w:sz w:val="16"/>
                <w:szCs w:val="16"/>
              </w:rPr>
              <w:t>i</w:t>
            </w:r>
            <w:r w:rsidRPr="0043638B">
              <w:rPr>
                <w:rFonts w:ascii="GHEA Grapalat" w:hAnsi="GHEA Grapalat" w:cs="Sylfaen"/>
                <w:bCs/>
                <w:sz w:val="16"/>
                <w:szCs w:val="16"/>
                <w:lang w:val="hy-AM"/>
              </w:rPr>
              <w:t>nflation</w:t>
            </w:r>
            <w:proofErr w:type="spellEnd"/>
            <w:r w:rsidRPr="0043638B">
              <w:rPr>
                <w:rFonts w:ascii="GHEA Grapalat" w:hAnsi="GHEA Grapalat" w:cs="Sylfaen"/>
                <w:bCs/>
                <w:sz w:val="16"/>
                <w:szCs w:val="16"/>
                <w:lang w:val="hy-AM"/>
              </w:rPr>
              <w:t xml:space="preserve"> </w:t>
            </w:r>
            <w:proofErr w:type="spellStart"/>
            <w:r w:rsidRPr="0043638B">
              <w:rPr>
                <w:rFonts w:ascii="GHEA Grapalat" w:hAnsi="GHEA Grapalat" w:cs="Sylfaen"/>
                <w:bCs/>
                <w:sz w:val="16"/>
                <w:szCs w:val="16"/>
                <w:lang w:val="hy-AM"/>
              </w:rPr>
              <w:t>expectations</w:t>
            </w:r>
            <w:proofErr w:type="spellEnd"/>
            <w:r w:rsidRPr="0043638B">
              <w:rPr>
                <w:rFonts w:ascii="GHEA Grapalat" w:hAnsi="GHEA Grapalat" w:cs="Sylfaen"/>
                <w:bCs/>
                <w:sz w:val="16"/>
                <w:szCs w:val="16"/>
                <w:lang w:val="hy-AM"/>
              </w:rPr>
              <w:t xml:space="preserve"> </w:t>
            </w:r>
            <w:r w:rsidRPr="0043638B">
              <w:rPr>
                <w:rFonts w:ascii="GHEA Grapalat" w:hAnsi="GHEA Grapalat" w:cs="Sylfaen"/>
                <w:bCs/>
                <w:sz w:val="16"/>
                <w:szCs w:val="16"/>
              </w:rPr>
              <w:t xml:space="preserve">somewhat </w:t>
            </w:r>
            <w:r w:rsidRPr="0043638B">
              <w:rPr>
                <w:rFonts w:ascii="GHEA Grapalat" w:hAnsi="GHEA Grapalat" w:cs="Sylfaen"/>
                <w:bCs/>
                <w:sz w:val="16"/>
                <w:szCs w:val="16"/>
                <w:lang w:val="hy-AM"/>
              </w:rPr>
              <w:t>increased</w:t>
            </w:r>
            <w:r w:rsidRPr="0043638B">
              <w:rPr>
                <w:rFonts w:ascii="GHEA Grapalat" w:hAnsi="GHEA Grapalat" w:cs="Sylfaen"/>
                <w:bCs/>
                <w:sz w:val="16"/>
                <w:szCs w:val="16"/>
              </w:rPr>
              <w:t xml:space="preserve"> </w:t>
            </w:r>
          </w:p>
        </w:tc>
        <w:tc>
          <w:tcPr>
            <w:tcW w:w="368" w:type="dxa"/>
            <w:vAlign w:val="bottom"/>
            <w:hideMark/>
          </w:tcPr>
          <w:p w14:paraId="324BA634" w14:textId="77777777" w:rsidR="00D21F21" w:rsidRDefault="00D21F21" w:rsidP="00260739">
            <w:pPr>
              <w:spacing w:before="26" w:after="26"/>
              <w:jc w:val="right"/>
              <w:rPr>
                <w:rFonts w:ascii="GHEA Grapalat" w:hAnsi="GHEA Grapalat" w:cs="Sylfaen"/>
                <w:bCs/>
                <w:sz w:val="16"/>
                <w:szCs w:val="16"/>
              </w:rPr>
            </w:pPr>
            <w:r>
              <w:rPr>
                <w:rFonts w:ascii="GHEA Grapalat" w:hAnsi="GHEA Grapalat" w:cs="Sylfaen"/>
                <w:bCs/>
                <w:sz w:val="16"/>
                <w:szCs w:val="16"/>
              </w:rPr>
              <w:t>17</w:t>
            </w:r>
          </w:p>
        </w:tc>
      </w:tr>
      <w:tr w:rsidR="00D21F21" w14:paraId="0396CA51" w14:textId="77777777" w:rsidTr="00260739">
        <w:trPr>
          <w:trHeight w:val="20"/>
        </w:trPr>
        <w:tc>
          <w:tcPr>
            <w:tcW w:w="970" w:type="dxa"/>
            <w:noWrap/>
            <w:hideMark/>
          </w:tcPr>
          <w:p w14:paraId="31E2ADE4"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Chart 24</w:t>
            </w:r>
          </w:p>
        </w:tc>
        <w:tc>
          <w:tcPr>
            <w:tcW w:w="4899" w:type="dxa"/>
            <w:noWrap/>
            <w:vAlign w:val="bottom"/>
            <w:hideMark/>
          </w:tcPr>
          <w:p w14:paraId="6035E515" w14:textId="77777777" w:rsidR="00D21F21" w:rsidRPr="0043638B" w:rsidRDefault="00033894" w:rsidP="00260739">
            <w:pPr>
              <w:spacing w:before="26" w:after="26"/>
              <w:rPr>
                <w:rFonts w:ascii="GHEA Grapalat" w:hAnsi="GHEA Grapalat" w:cs="Sylfaen"/>
                <w:bCs/>
                <w:sz w:val="16"/>
                <w:szCs w:val="16"/>
              </w:rPr>
            </w:pPr>
            <w:r w:rsidRPr="0043638B">
              <w:rPr>
                <w:rFonts w:ascii="GHEA Grapalat" w:hAnsi="GHEA Grapalat" w:cs="Sylfaen"/>
                <w:bCs/>
                <w:sz w:val="16"/>
                <w:szCs w:val="16"/>
                <w:lang w:val="hy-AM"/>
              </w:rPr>
              <w:t>Average level of financial system</w:t>
            </w:r>
            <w:r w:rsidRPr="0043638B">
              <w:rPr>
                <w:rFonts w:ascii="GHEA Grapalat" w:hAnsi="GHEA Grapalat" w:cs="Sylfaen"/>
                <w:bCs/>
                <w:sz w:val="16"/>
                <w:szCs w:val="16"/>
              </w:rPr>
              <w:t>’s</w:t>
            </w:r>
            <w:r w:rsidRPr="0043638B">
              <w:rPr>
                <w:rFonts w:ascii="GHEA Grapalat" w:hAnsi="GHEA Grapalat" w:cs="Sylfaen"/>
                <w:bCs/>
                <w:sz w:val="16"/>
                <w:szCs w:val="16"/>
                <w:lang w:val="hy-AM"/>
              </w:rPr>
              <w:t xml:space="preserve"> inflation expectations</w:t>
            </w:r>
            <w:r w:rsidR="00971311" w:rsidRPr="0043638B">
              <w:rPr>
                <w:rFonts w:ascii="GHEA Grapalat" w:hAnsi="GHEA Grapalat" w:cs="Sylfaen"/>
                <w:bCs/>
                <w:sz w:val="16"/>
                <w:szCs w:val="16"/>
              </w:rPr>
              <w:t>, (%)</w:t>
            </w:r>
            <w:r w:rsidRPr="0043638B">
              <w:rPr>
                <w:rFonts w:ascii="GHEA Grapalat" w:hAnsi="GHEA Grapalat" w:cs="Sylfaen"/>
                <w:bCs/>
                <w:sz w:val="16"/>
                <w:szCs w:val="16"/>
              </w:rPr>
              <w:t xml:space="preserve"> </w:t>
            </w:r>
          </w:p>
        </w:tc>
        <w:tc>
          <w:tcPr>
            <w:tcW w:w="368" w:type="dxa"/>
            <w:vAlign w:val="bottom"/>
            <w:hideMark/>
          </w:tcPr>
          <w:p w14:paraId="0EA24DFE" w14:textId="77777777" w:rsidR="00D21F21" w:rsidRDefault="00D21F21" w:rsidP="00260739">
            <w:pPr>
              <w:spacing w:before="26" w:after="26"/>
              <w:jc w:val="right"/>
              <w:rPr>
                <w:rFonts w:ascii="GHEA Grapalat" w:hAnsi="GHEA Grapalat" w:cs="Sylfaen"/>
                <w:bCs/>
                <w:sz w:val="16"/>
                <w:szCs w:val="16"/>
              </w:rPr>
            </w:pPr>
            <w:r>
              <w:rPr>
                <w:rFonts w:ascii="GHEA Grapalat" w:hAnsi="GHEA Grapalat" w:cs="Sylfaen"/>
                <w:bCs/>
                <w:sz w:val="16"/>
                <w:szCs w:val="16"/>
              </w:rPr>
              <w:t>17</w:t>
            </w:r>
          </w:p>
        </w:tc>
      </w:tr>
      <w:tr w:rsidR="00D21F21" w14:paraId="5C0DED4F" w14:textId="77777777" w:rsidTr="00260739">
        <w:trPr>
          <w:trHeight w:val="20"/>
        </w:trPr>
        <w:tc>
          <w:tcPr>
            <w:tcW w:w="970" w:type="dxa"/>
            <w:noWrap/>
            <w:hideMark/>
          </w:tcPr>
          <w:p w14:paraId="4ADC2C03"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Chart 25</w:t>
            </w:r>
          </w:p>
        </w:tc>
        <w:tc>
          <w:tcPr>
            <w:tcW w:w="4899" w:type="dxa"/>
            <w:vAlign w:val="bottom"/>
            <w:hideMark/>
          </w:tcPr>
          <w:p w14:paraId="7B915DD5" w14:textId="77777777" w:rsidR="00D21F21" w:rsidRPr="0043638B" w:rsidRDefault="00033894" w:rsidP="00260739">
            <w:pPr>
              <w:spacing w:before="26" w:after="26"/>
              <w:rPr>
                <w:rFonts w:ascii="GHEA Grapalat" w:hAnsi="GHEA Grapalat" w:cs="Sylfaen"/>
                <w:bCs/>
                <w:sz w:val="16"/>
                <w:szCs w:val="16"/>
              </w:rPr>
            </w:pPr>
            <w:r w:rsidRPr="0043638B">
              <w:rPr>
                <w:rFonts w:ascii="GHEA Grapalat" w:hAnsi="GHEA Grapalat" w:cs="Sylfaen"/>
                <w:bCs/>
                <w:sz w:val="16"/>
                <w:szCs w:val="16"/>
                <w:lang w:val="hy-AM"/>
              </w:rPr>
              <w:t xml:space="preserve">Expectations </w:t>
            </w:r>
            <w:r w:rsidRPr="0043638B">
              <w:rPr>
                <w:rFonts w:ascii="GHEA Grapalat" w:hAnsi="GHEA Grapalat" w:cs="Sylfaen"/>
                <w:bCs/>
                <w:sz w:val="16"/>
                <w:szCs w:val="16"/>
              </w:rPr>
              <w:t xml:space="preserve">for </w:t>
            </w:r>
            <w:r w:rsidRPr="0043638B">
              <w:rPr>
                <w:rFonts w:ascii="GHEA Grapalat" w:hAnsi="GHEA Grapalat" w:cs="Sylfaen"/>
                <w:bCs/>
                <w:sz w:val="16"/>
                <w:szCs w:val="16"/>
                <w:lang w:val="hy-AM"/>
              </w:rPr>
              <w:t>interest rates on deposits attracted by the financial system</w:t>
            </w:r>
            <w:r w:rsidRPr="0043638B">
              <w:rPr>
                <w:rFonts w:ascii="GHEA Grapalat" w:hAnsi="GHEA Grapalat" w:cs="Sylfaen"/>
                <w:bCs/>
                <w:sz w:val="16"/>
                <w:szCs w:val="16"/>
              </w:rPr>
              <w:t>,</w:t>
            </w:r>
            <w:r w:rsidRPr="0043638B">
              <w:rPr>
                <w:rFonts w:ascii="GHEA Grapalat" w:hAnsi="GHEA Grapalat" w:cs="Sylfaen"/>
                <w:bCs/>
                <w:sz w:val="16"/>
                <w:szCs w:val="16"/>
                <w:lang w:val="hy-AM"/>
              </w:rPr>
              <w:t xml:space="preserve"> in one year horizon</w:t>
            </w:r>
            <w:r w:rsidR="0043638B" w:rsidRPr="0043638B">
              <w:rPr>
                <w:rFonts w:ascii="GHEA Grapalat" w:hAnsi="GHEA Grapalat" w:cs="Sylfaen"/>
                <w:bCs/>
                <w:sz w:val="16"/>
                <w:szCs w:val="16"/>
              </w:rPr>
              <w:t>, (%)</w:t>
            </w:r>
          </w:p>
        </w:tc>
        <w:tc>
          <w:tcPr>
            <w:tcW w:w="368" w:type="dxa"/>
            <w:vAlign w:val="bottom"/>
            <w:hideMark/>
          </w:tcPr>
          <w:p w14:paraId="12C9A00E" w14:textId="77777777" w:rsidR="00D21F21" w:rsidRDefault="00D21F21" w:rsidP="00260739">
            <w:pPr>
              <w:spacing w:before="26" w:after="26"/>
              <w:jc w:val="right"/>
              <w:rPr>
                <w:rFonts w:ascii="GHEA Grapalat" w:hAnsi="GHEA Grapalat" w:cs="Sylfaen"/>
                <w:bCs/>
                <w:sz w:val="16"/>
                <w:szCs w:val="16"/>
              </w:rPr>
            </w:pPr>
            <w:r>
              <w:rPr>
                <w:rFonts w:ascii="GHEA Grapalat" w:hAnsi="GHEA Grapalat" w:cs="Sylfaen"/>
                <w:bCs/>
                <w:sz w:val="16"/>
                <w:szCs w:val="16"/>
              </w:rPr>
              <w:t>18</w:t>
            </w:r>
          </w:p>
        </w:tc>
      </w:tr>
      <w:tr w:rsidR="00D21F21" w14:paraId="7E28C9F3" w14:textId="77777777" w:rsidTr="00260739">
        <w:trPr>
          <w:trHeight w:val="20"/>
        </w:trPr>
        <w:tc>
          <w:tcPr>
            <w:tcW w:w="970" w:type="dxa"/>
            <w:noWrap/>
            <w:hideMark/>
          </w:tcPr>
          <w:p w14:paraId="1D55E0B2"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Chart 26</w:t>
            </w:r>
          </w:p>
        </w:tc>
        <w:tc>
          <w:tcPr>
            <w:tcW w:w="4899" w:type="dxa"/>
            <w:vAlign w:val="bottom"/>
            <w:hideMark/>
          </w:tcPr>
          <w:p w14:paraId="0299BCD9" w14:textId="77777777" w:rsidR="00D21F21" w:rsidRPr="0043638B" w:rsidRDefault="00E705D0" w:rsidP="00260739">
            <w:pPr>
              <w:spacing w:before="26" w:after="26"/>
              <w:rPr>
                <w:rFonts w:ascii="GHEA Grapalat" w:hAnsi="GHEA Grapalat" w:cs="Sylfaen"/>
                <w:bCs/>
                <w:sz w:val="16"/>
                <w:szCs w:val="16"/>
              </w:rPr>
            </w:pPr>
            <w:r w:rsidRPr="0043638B">
              <w:rPr>
                <w:rFonts w:ascii="GHEA Grapalat" w:hAnsi="GHEA Grapalat" w:cs="Sylfaen"/>
                <w:bCs/>
                <w:sz w:val="16"/>
                <w:szCs w:val="16"/>
                <w:lang w:val="hy-AM"/>
              </w:rPr>
              <w:t xml:space="preserve">Expectations </w:t>
            </w:r>
            <w:r w:rsidRPr="0043638B">
              <w:rPr>
                <w:rFonts w:ascii="GHEA Grapalat" w:hAnsi="GHEA Grapalat" w:cs="Sylfaen"/>
                <w:bCs/>
                <w:sz w:val="16"/>
                <w:szCs w:val="16"/>
              </w:rPr>
              <w:t xml:space="preserve">for </w:t>
            </w:r>
            <w:r w:rsidRPr="0043638B">
              <w:rPr>
                <w:rFonts w:ascii="GHEA Grapalat" w:hAnsi="GHEA Grapalat" w:cs="Sylfaen"/>
                <w:bCs/>
                <w:sz w:val="16"/>
                <w:szCs w:val="16"/>
                <w:lang w:val="hy-AM"/>
              </w:rPr>
              <w:t xml:space="preserve">interest rates on </w:t>
            </w:r>
            <w:r w:rsidRPr="0043638B">
              <w:rPr>
                <w:rFonts w:ascii="GHEA Grapalat" w:hAnsi="GHEA Grapalat" w:cs="Sylfaen"/>
                <w:bCs/>
                <w:sz w:val="16"/>
                <w:szCs w:val="16"/>
              </w:rPr>
              <w:t>loans</w:t>
            </w:r>
            <w:r w:rsidRPr="0043638B">
              <w:rPr>
                <w:rFonts w:ascii="GHEA Grapalat" w:hAnsi="GHEA Grapalat" w:cs="Sylfaen"/>
                <w:bCs/>
                <w:sz w:val="16"/>
                <w:szCs w:val="16"/>
                <w:lang w:val="hy-AM"/>
              </w:rPr>
              <w:t xml:space="preserve"> </w:t>
            </w:r>
            <w:r w:rsidRPr="0043638B">
              <w:rPr>
                <w:rFonts w:ascii="GHEA Grapalat" w:hAnsi="GHEA Grapalat" w:cs="Sylfaen"/>
                <w:bCs/>
                <w:sz w:val="16"/>
                <w:szCs w:val="16"/>
              </w:rPr>
              <w:t>provided</w:t>
            </w:r>
            <w:r w:rsidRPr="0043638B">
              <w:rPr>
                <w:rFonts w:ascii="GHEA Grapalat" w:hAnsi="GHEA Grapalat" w:cs="Sylfaen"/>
                <w:bCs/>
                <w:sz w:val="16"/>
                <w:szCs w:val="16"/>
                <w:lang w:val="hy-AM"/>
              </w:rPr>
              <w:t xml:space="preserve"> by the financial system</w:t>
            </w:r>
            <w:r w:rsidRPr="0043638B">
              <w:rPr>
                <w:rFonts w:ascii="GHEA Grapalat" w:hAnsi="GHEA Grapalat" w:cs="Sylfaen"/>
                <w:bCs/>
                <w:sz w:val="16"/>
                <w:szCs w:val="16"/>
              </w:rPr>
              <w:t>,</w:t>
            </w:r>
            <w:r w:rsidRPr="0043638B">
              <w:rPr>
                <w:rFonts w:ascii="GHEA Grapalat" w:hAnsi="GHEA Grapalat" w:cs="Sylfaen"/>
                <w:bCs/>
                <w:sz w:val="16"/>
                <w:szCs w:val="16"/>
                <w:lang w:val="hy-AM"/>
              </w:rPr>
              <w:t xml:space="preserve"> in one year horizon</w:t>
            </w:r>
            <w:r w:rsidR="0043638B" w:rsidRPr="0043638B">
              <w:rPr>
                <w:rFonts w:ascii="GHEA Grapalat" w:hAnsi="GHEA Grapalat" w:cs="Sylfaen"/>
                <w:bCs/>
                <w:sz w:val="16"/>
                <w:szCs w:val="16"/>
              </w:rPr>
              <w:t xml:space="preserve">, (%) </w:t>
            </w:r>
            <w:r w:rsidRPr="0043638B">
              <w:rPr>
                <w:rFonts w:ascii="GHEA Grapalat" w:hAnsi="GHEA Grapalat" w:cs="Sylfaen"/>
                <w:bCs/>
                <w:sz w:val="16"/>
                <w:szCs w:val="16"/>
              </w:rPr>
              <w:t xml:space="preserve"> </w:t>
            </w:r>
          </w:p>
        </w:tc>
        <w:tc>
          <w:tcPr>
            <w:tcW w:w="368" w:type="dxa"/>
            <w:vAlign w:val="bottom"/>
            <w:hideMark/>
          </w:tcPr>
          <w:p w14:paraId="5EEE7C70" w14:textId="77777777" w:rsidR="00D21F21" w:rsidRDefault="00D21F21" w:rsidP="00260739">
            <w:pPr>
              <w:spacing w:before="26" w:after="26"/>
              <w:jc w:val="right"/>
              <w:rPr>
                <w:rFonts w:ascii="GHEA Grapalat" w:hAnsi="GHEA Grapalat" w:cs="Sylfaen"/>
                <w:bCs/>
                <w:sz w:val="16"/>
                <w:szCs w:val="16"/>
              </w:rPr>
            </w:pPr>
            <w:r>
              <w:rPr>
                <w:rFonts w:ascii="GHEA Grapalat" w:hAnsi="GHEA Grapalat" w:cs="Sylfaen"/>
                <w:bCs/>
                <w:sz w:val="16"/>
                <w:szCs w:val="16"/>
              </w:rPr>
              <w:t>18</w:t>
            </w:r>
          </w:p>
        </w:tc>
      </w:tr>
      <w:tr w:rsidR="00D21F21" w14:paraId="16E47D0E" w14:textId="77777777" w:rsidTr="00260739">
        <w:trPr>
          <w:trHeight w:val="20"/>
        </w:trPr>
        <w:tc>
          <w:tcPr>
            <w:tcW w:w="970" w:type="dxa"/>
            <w:noWrap/>
            <w:hideMark/>
          </w:tcPr>
          <w:p w14:paraId="7DD86A62"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Chart 27</w:t>
            </w:r>
          </w:p>
        </w:tc>
        <w:tc>
          <w:tcPr>
            <w:tcW w:w="4899" w:type="dxa"/>
            <w:vAlign w:val="bottom"/>
            <w:hideMark/>
          </w:tcPr>
          <w:p w14:paraId="72761C39" w14:textId="77777777" w:rsidR="00D21F21" w:rsidRPr="0043638B" w:rsidRDefault="00E705D0" w:rsidP="00260739">
            <w:pPr>
              <w:spacing w:before="26" w:after="26"/>
              <w:rPr>
                <w:rFonts w:ascii="GHEA Grapalat" w:hAnsi="GHEA Grapalat" w:cs="Sylfaen"/>
                <w:bCs/>
                <w:sz w:val="16"/>
                <w:szCs w:val="16"/>
              </w:rPr>
            </w:pPr>
            <w:r w:rsidRPr="0043638B">
              <w:rPr>
                <w:rFonts w:ascii="GHEA Grapalat" w:hAnsi="GHEA Grapalat" w:cs="Sylfaen"/>
                <w:bCs/>
                <w:sz w:val="16"/>
                <w:szCs w:val="16"/>
                <w:lang w:val="hy-AM"/>
              </w:rPr>
              <w:t xml:space="preserve">According to the </w:t>
            </w:r>
            <w:r w:rsidRPr="0043638B">
              <w:rPr>
                <w:rFonts w:ascii="GHEA Grapalat" w:hAnsi="GHEA Grapalat" w:cs="Sylfaen"/>
                <w:bCs/>
                <w:sz w:val="16"/>
                <w:szCs w:val="16"/>
              </w:rPr>
              <w:t xml:space="preserve">Central Bank </w:t>
            </w:r>
            <w:r w:rsidRPr="0043638B">
              <w:rPr>
                <w:rFonts w:ascii="GHEA Grapalat" w:hAnsi="GHEA Grapalat" w:cs="Sylfaen"/>
                <w:bCs/>
                <w:sz w:val="16"/>
                <w:szCs w:val="16"/>
                <w:lang w:val="hy-AM"/>
              </w:rPr>
              <w:t>forecasts, inflation will gradually appro</w:t>
            </w:r>
            <w:r w:rsidRPr="0043638B">
              <w:rPr>
                <w:rFonts w:ascii="GHEA Grapalat" w:hAnsi="GHEA Grapalat" w:cs="Sylfaen"/>
                <w:bCs/>
                <w:sz w:val="16"/>
                <w:szCs w:val="16"/>
              </w:rPr>
              <w:t xml:space="preserve">ach the </w:t>
            </w:r>
            <w:r w:rsidRPr="0043638B">
              <w:rPr>
                <w:rFonts w:ascii="GHEA Grapalat" w:hAnsi="GHEA Grapalat" w:cs="Sylfaen"/>
                <w:bCs/>
                <w:sz w:val="16"/>
                <w:szCs w:val="16"/>
                <w:lang w:val="hy-AM"/>
              </w:rPr>
              <w:t xml:space="preserve">4% </w:t>
            </w:r>
            <w:r w:rsidRPr="0043638B">
              <w:rPr>
                <w:rFonts w:ascii="GHEA Grapalat" w:hAnsi="GHEA Grapalat" w:cs="Sylfaen"/>
                <w:bCs/>
                <w:sz w:val="16"/>
                <w:szCs w:val="16"/>
              </w:rPr>
              <w:t xml:space="preserve">target </w:t>
            </w:r>
            <w:r w:rsidRPr="0043638B">
              <w:rPr>
                <w:rFonts w:ascii="GHEA Grapalat" w:hAnsi="GHEA Grapalat" w:cs="Sylfaen"/>
                <w:bCs/>
                <w:sz w:val="16"/>
                <w:szCs w:val="16"/>
                <w:lang w:val="hy-AM"/>
              </w:rPr>
              <w:t>in the forecast horizon</w:t>
            </w:r>
          </w:p>
        </w:tc>
        <w:tc>
          <w:tcPr>
            <w:tcW w:w="368" w:type="dxa"/>
            <w:vAlign w:val="bottom"/>
            <w:hideMark/>
          </w:tcPr>
          <w:p w14:paraId="3825A2D4" w14:textId="77777777" w:rsidR="00D21F21" w:rsidRDefault="00D21F21" w:rsidP="00260739">
            <w:pPr>
              <w:spacing w:before="26" w:after="26"/>
              <w:jc w:val="right"/>
              <w:rPr>
                <w:rFonts w:ascii="GHEA Grapalat" w:hAnsi="GHEA Grapalat" w:cs="Sylfaen"/>
                <w:bCs/>
                <w:sz w:val="16"/>
                <w:szCs w:val="16"/>
              </w:rPr>
            </w:pPr>
            <w:r>
              <w:rPr>
                <w:rFonts w:ascii="GHEA Grapalat" w:hAnsi="GHEA Grapalat" w:cs="Sylfaen"/>
                <w:bCs/>
                <w:sz w:val="16"/>
                <w:szCs w:val="16"/>
              </w:rPr>
              <w:t>21</w:t>
            </w:r>
          </w:p>
        </w:tc>
      </w:tr>
      <w:tr w:rsidR="00D21F21" w14:paraId="418A3328" w14:textId="77777777" w:rsidTr="00260739">
        <w:trPr>
          <w:trHeight w:val="20"/>
        </w:trPr>
        <w:tc>
          <w:tcPr>
            <w:tcW w:w="970" w:type="dxa"/>
            <w:noWrap/>
            <w:hideMark/>
          </w:tcPr>
          <w:p w14:paraId="569E33FD"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Chart 28</w:t>
            </w:r>
          </w:p>
        </w:tc>
        <w:tc>
          <w:tcPr>
            <w:tcW w:w="4899" w:type="dxa"/>
            <w:vAlign w:val="bottom"/>
            <w:hideMark/>
          </w:tcPr>
          <w:p w14:paraId="0E3D49B4" w14:textId="77777777" w:rsidR="00D21F21" w:rsidRPr="0043638B" w:rsidRDefault="00E705D0" w:rsidP="00260739">
            <w:pPr>
              <w:spacing w:before="26" w:after="26"/>
              <w:rPr>
                <w:rFonts w:ascii="GHEA Grapalat" w:hAnsi="GHEA Grapalat" w:cs="Sylfaen"/>
                <w:bCs/>
                <w:sz w:val="16"/>
                <w:szCs w:val="16"/>
              </w:rPr>
            </w:pPr>
            <w:r w:rsidRPr="0043638B">
              <w:rPr>
                <w:rFonts w:ascii="GHEA Grapalat" w:hAnsi="GHEA Grapalat" w:cs="Sylfaen"/>
                <w:bCs/>
                <w:sz w:val="16"/>
                <w:szCs w:val="16"/>
              </w:rPr>
              <w:t>Monthly b</w:t>
            </w:r>
            <w:r w:rsidRPr="0043638B">
              <w:rPr>
                <w:rFonts w:ascii="GHEA Grapalat" w:hAnsi="GHEA Grapalat" w:cs="Sylfaen"/>
                <w:bCs/>
                <w:sz w:val="16"/>
                <w:szCs w:val="16"/>
                <w:lang w:val="hy-AM"/>
              </w:rPr>
              <w:t xml:space="preserve">utter </w:t>
            </w:r>
            <w:r w:rsidRPr="0043638B">
              <w:rPr>
                <w:rFonts w:ascii="GHEA Grapalat" w:hAnsi="GHEA Grapalat" w:cs="Sylfaen"/>
                <w:bCs/>
                <w:sz w:val="16"/>
                <w:szCs w:val="16"/>
              </w:rPr>
              <w:t>p</w:t>
            </w:r>
            <w:r w:rsidRPr="0043638B">
              <w:rPr>
                <w:rFonts w:ascii="GHEA Grapalat" w:hAnsi="GHEA Grapalat" w:cs="Sylfaen"/>
                <w:bCs/>
                <w:sz w:val="16"/>
                <w:szCs w:val="16"/>
                <w:lang w:val="hy-AM"/>
              </w:rPr>
              <w:t xml:space="preserve">rice </w:t>
            </w:r>
            <w:r w:rsidRPr="0043638B">
              <w:rPr>
                <w:rFonts w:ascii="GHEA Grapalat" w:hAnsi="GHEA Grapalat" w:cs="Sylfaen"/>
                <w:bCs/>
                <w:sz w:val="16"/>
                <w:szCs w:val="16"/>
              </w:rPr>
              <w:t>g</w:t>
            </w:r>
            <w:r w:rsidRPr="0043638B">
              <w:rPr>
                <w:rFonts w:ascii="GHEA Grapalat" w:hAnsi="GHEA Grapalat" w:cs="Sylfaen"/>
                <w:bCs/>
                <w:sz w:val="16"/>
                <w:szCs w:val="16"/>
                <w:lang w:val="hy-AM"/>
              </w:rPr>
              <w:t>rowth</w:t>
            </w:r>
            <w:r w:rsidRPr="0043638B">
              <w:rPr>
                <w:rFonts w:ascii="GHEA Grapalat" w:hAnsi="GHEA Grapalat" w:cs="Sylfaen"/>
                <w:bCs/>
                <w:sz w:val="16"/>
                <w:szCs w:val="16"/>
              </w:rPr>
              <w:t xml:space="preserve"> index </w:t>
            </w:r>
          </w:p>
        </w:tc>
        <w:tc>
          <w:tcPr>
            <w:tcW w:w="368" w:type="dxa"/>
            <w:vAlign w:val="bottom"/>
            <w:hideMark/>
          </w:tcPr>
          <w:p w14:paraId="60413B3B" w14:textId="77777777" w:rsidR="00D21F21" w:rsidRDefault="00D21F21" w:rsidP="00260739">
            <w:pPr>
              <w:spacing w:before="26" w:after="26"/>
              <w:jc w:val="right"/>
              <w:rPr>
                <w:rFonts w:ascii="GHEA Grapalat" w:hAnsi="GHEA Grapalat" w:cs="Sylfaen"/>
                <w:bCs/>
                <w:sz w:val="16"/>
                <w:szCs w:val="16"/>
              </w:rPr>
            </w:pPr>
            <w:r>
              <w:rPr>
                <w:rFonts w:ascii="GHEA Grapalat" w:hAnsi="GHEA Grapalat" w:cs="Sylfaen"/>
                <w:bCs/>
                <w:sz w:val="16"/>
                <w:szCs w:val="16"/>
              </w:rPr>
              <w:t>22</w:t>
            </w:r>
          </w:p>
        </w:tc>
      </w:tr>
      <w:tr w:rsidR="00D21F21" w14:paraId="772BB2B3" w14:textId="77777777" w:rsidTr="00260739">
        <w:trPr>
          <w:trHeight w:val="20"/>
        </w:trPr>
        <w:tc>
          <w:tcPr>
            <w:tcW w:w="970" w:type="dxa"/>
            <w:noWrap/>
            <w:hideMark/>
          </w:tcPr>
          <w:p w14:paraId="6DD94E82"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Chart 29</w:t>
            </w:r>
          </w:p>
        </w:tc>
        <w:tc>
          <w:tcPr>
            <w:tcW w:w="4899" w:type="dxa"/>
            <w:noWrap/>
            <w:vAlign w:val="bottom"/>
            <w:hideMark/>
          </w:tcPr>
          <w:p w14:paraId="44A5CE48" w14:textId="77777777" w:rsidR="00D21F21" w:rsidRPr="0043638B" w:rsidRDefault="00E705D0" w:rsidP="00260739">
            <w:pPr>
              <w:spacing w:before="26" w:after="26"/>
              <w:rPr>
                <w:rFonts w:ascii="GHEA Grapalat" w:hAnsi="GHEA Grapalat" w:cs="Sylfaen"/>
                <w:bCs/>
                <w:sz w:val="16"/>
                <w:szCs w:val="16"/>
              </w:rPr>
            </w:pPr>
            <w:r w:rsidRPr="0043638B">
              <w:rPr>
                <w:rFonts w:ascii="GHEA Grapalat" w:hAnsi="GHEA Grapalat" w:cs="Sylfaen"/>
                <w:bCs/>
                <w:sz w:val="16"/>
                <w:szCs w:val="16"/>
              </w:rPr>
              <w:t xml:space="preserve">In the third quarter of </w:t>
            </w:r>
            <w:r w:rsidRPr="0043638B">
              <w:rPr>
                <w:rFonts w:ascii="GHEA Grapalat" w:hAnsi="GHEA Grapalat" w:cs="Sylfaen"/>
                <w:bCs/>
                <w:sz w:val="16"/>
                <w:szCs w:val="16"/>
                <w:lang w:val="hy-AM"/>
              </w:rPr>
              <w:t>201</w:t>
            </w:r>
            <w:r w:rsidRPr="0043638B">
              <w:rPr>
                <w:rFonts w:ascii="GHEA Grapalat" w:hAnsi="GHEA Grapalat" w:cs="Sylfaen"/>
                <w:bCs/>
                <w:sz w:val="16"/>
                <w:szCs w:val="16"/>
              </w:rPr>
              <w:t xml:space="preserve">7 the </w:t>
            </w:r>
            <w:r w:rsidRPr="0043638B">
              <w:rPr>
                <w:rFonts w:ascii="GHEA Grapalat" w:hAnsi="GHEA Grapalat" w:cs="Sylfaen"/>
                <w:bCs/>
                <w:sz w:val="16"/>
                <w:szCs w:val="16"/>
                <w:lang w:val="hy-AM"/>
              </w:rPr>
              <w:t>inflation</w:t>
            </w:r>
            <w:r w:rsidRPr="0043638B">
              <w:rPr>
                <w:rFonts w:ascii="GHEA Grapalat" w:hAnsi="GHEA Grapalat" w:cs="Sylfaen"/>
                <w:bCs/>
                <w:sz w:val="16"/>
                <w:szCs w:val="16"/>
              </w:rPr>
              <w:t xml:space="preserve"> </w:t>
            </w:r>
            <w:r w:rsidRPr="0043638B">
              <w:rPr>
                <w:rFonts w:ascii="GHEA Grapalat" w:hAnsi="GHEA Grapalat" w:cs="Sylfaen"/>
                <w:bCs/>
                <w:sz w:val="16"/>
                <w:szCs w:val="16"/>
                <w:lang w:val="hy-AM"/>
              </w:rPr>
              <w:t>environment remained unchanged</w:t>
            </w:r>
            <w:r w:rsidRPr="0043638B">
              <w:rPr>
                <w:rFonts w:ascii="GHEA Grapalat" w:hAnsi="GHEA Grapalat" w:cs="Sylfaen"/>
                <w:bCs/>
                <w:sz w:val="16"/>
                <w:szCs w:val="16"/>
              </w:rPr>
              <w:t xml:space="preserve"> </w:t>
            </w:r>
          </w:p>
        </w:tc>
        <w:tc>
          <w:tcPr>
            <w:tcW w:w="368" w:type="dxa"/>
            <w:vAlign w:val="bottom"/>
            <w:hideMark/>
          </w:tcPr>
          <w:p w14:paraId="27E78024" w14:textId="77777777" w:rsidR="00D21F21" w:rsidRDefault="00D21F21" w:rsidP="00260739">
            <w:pPr>
              <w:spacing w:before="26" w:after="26"/>
              <w:jc w:val="right"/>
              <w:rPr>
                <w:rFonts w:ascii="GHEA Grapalat" w:hAnsi="GHEA Grapalat" w:cs="Sylfaen"/>
                <w:bCs/>
                <w:sz w:val="16"/>
                <w:szCs w:val="16"/>
              </w:rPr>
            </w:pPr>
            <w:r>
              <w:rPr>
                <w:rFonts w:ascii="GHEA Grapalat" w:hAnsi="GHEA Grapalat" w:cs="Sylfaen"/>
                <w:bCs/>
                <w:sz w:val="16"/>
                <w:szCs w:val="16"/>
              </w:rPr>
              <w:t>23</w:t>
            </w:r>
          </w:p>
        </w:tc>
      </w:tr>
      <w:tr w:rsidR="00D21F21" w14:paraId="1599024D" w14:textId="77777777" w:rsidTr="00260739">
        <w:trPr>
          <w:trHeight w:val="20"/>
        </w:trPr>
        <w:tc>
          <w:tcPr>
            <w:tcW w:w="970" w:type="dxa"/>
            <w:noWrap/>
            <w:hideMark/>
          </w:tcPr>
          <w:p w14:paraId="6273841F"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Chart 30</w:t>
            </w:r>
          </w:p>
        </w:tc>
        <w:tc>
          <w:tcPr>
            <w:tcW w:w="4899" w:type="dxa"/>
            <w:vAlign w:val="bottom"/>
            <w:hideMark/>
          </w:tcPr>
          <w:p w14:paraId="04A08649" w14:textId="77777777" w:rsidR="00D21F21" w:rsidRPr="0043638B" w:rsidRDefault="00E705D0" w:rsidP="00260739">
            <w:pPr>
              <w:spacing w:before="26" w:after="26"/>
              <w:rPr>
                <w:rFonts w:ascii="GHEA Grapalat" w:hAnsi="GHEA Grapalat" w:cs="Sylfaen"/>
                <w:bCs/>
                <w:sz w:val="16"/>
                <w:szCs w:val="16"/>
              </w:rPr>
            </w:pPr>
            <w:r w:rsidRPr="0043638B">
              <w:rPr>
                <w:rFonts w:ascii="GHEA Grapalat" w:hAnsi="GHEA Grapalat" w:cs="Sylfaen"/>
                <w:bCs/>
                <w:sz w:val="16"/>
                <w:szCs w:val="16"/>
                <w:lang w:val="hy-AM"/>
              </w:rPr>
              <w:t xml:space="preserve">The rise in domestic pork prices has been </w:t>
            </w:r>
            <w:r w:rsidRPr="0043638B">
              <w:rPr>
                <w:rFonts w:ascii="GHEA Grapalat" w:hAnsi="GHEA Grapalat" w:cs="Sylfaen"/>
                <w:bCs/>
                <w:sz w:val="16"/>
                <w:szCs w:val="16"/>
              </w:rPr>
              <w:t xml:space="preserve">driven by </w:t>
            </w:r>
            <w:r w:rsidRPr="0043638B">
              <w:rPr>
                <w:rFonts w:ascii="GHEA Grapalat" w:hAnsi="GHEA Grapalat" w:cs="Sylfaen"/>
                <w:bCs/>
                <w:sz w:val="16"/>
                <w:szCs w:val="16"/>
                <w:lang w:val="hy-AM"/>
              </w:rPr>
              <w:t>in</w:t>
            </w:r>
            <w:r w:rsidRPr="0043638B">
              <w:rPr>
                <w:rFonts w:ascii="GHEA Grapalat" w:hAnsi="GHEA Grapalat" w:cs="Sylfaen"/>
                <w:bCs/>
                <w:sz w:val="16"/>
                <w:szCs w:val="16"/>
              </w:rPr>
              <w:t>creased</w:t>
            </w:r>
            <w:r w:rsidRPr="0043638B">
              <w:rPr>
                <w:rFonts w:ascii="GHEA Grapalat" w:hAnsi="GHEA Grapalat" w:cs="Sylfaen"/>
                <w:bCs/>
                <w:sz w:val="16"/>
                <w:szCs w:val="16"/>
                <w:lang w:val="hy-AM"/>
              </w:rPr>
              <w:t xml:space="preserve"> </w:t>
            </w:r>
            <w:r w:rsidRPr="0043638B">
              <w:rPr>
                <w:rFonts w:ascii="GHEA Grapalat" w:hAnsi="GHEA Grapalat" w:cs="Sylfaen"/>
                <w:bCs/>
                <w:sz w:val="16"/>
                <w:szCs w:val="16"/>
              </w:rPr>
              <w:t xml:space="preserve">international </w:t>
            </w:r>
            <w:r w:rsidRPr="0043638B">
              <w:rPr>
                <w:rFonts w:ascii="GHEA Grapalat" w:hAnsi="GHEA Grapalat" w:cs="Sylfaen"/>
                <w:bCs/>
                <w:sz w:val="16"/>
                <w:szCs w:val="16"/>
                <w:lang w:val="hy-AM"/>
              </w:rPr>
              <w:t>prices for pork in 2017</w:t>
            </w:r>
            <w:r w:rsidRPr="0043638B">
              <w:rPr>
                <w:rFonts w:ascii="GHEA Grapalat" w:hAnsi="GHEA Grapalat" w:cs="Sylfaen"/>
                <w:bCs/>
                <w:sz w:val="16"/>
                <w:szCs w:val="16"/>
              </w:rPr>
              <w:t xml:space="preserve"> </w:t>
            </w:r>
          </w:p>
        </w:tc>
        <w:tc>
          <w:tcPr>
            <w:tcW w:w="368" w:type="dxa"/>
            <w:vAlign w:val="bottom"/>
            <w:hideMark/>
          </w:tcPr>
          <w:p w14:paraId="1D4C5D03" w14:textId="77777777" w:rsidR="00D21F21" w:rsidRDefault="00D21F21" w:rsidP="00260739">
            <w:pPr>
              <w:spacing w:before="26" w:after="26"/>
              <w:jc w:val="right"/>
              <w:rPr>
                <w:rFonts w:ascii="GHEA Grapalat" w:hAnsi="GHEA Grapalat" w:cs="Sylfaen"/>
                <w:bCs/>
                <w:sz w:val="16"/>
                <w:szCs w:val="16"/>
              </w:rPr>
            </w:pPr>
            <w:r>
              <w:rPr>
                <w:rFonts w:ascii="GHEA Grapalat" w:hAnsi="GHEA Grapalat" w:cs="Sylfaen"/>
                <w:bCs/>
                <w:sz w:val="16"/>
                <w:szCs w:val="16"/>
              </w:rPr>
              <w:t>24</w:t>
            </w:r>
          </w:p>
        </w:tc>
      </w:tr>
      <w:tr w:rsidR="00D21F21" w14:paraId="16458D7A" w14:textId="77777777" w:rsidTr="00260739">
        <w:trPr>
          <w:trHeight w:val="20"/>
        </w:trPr>
        <w:tc>
          <w:tcPr>
            <w:tcW w:w="970" w:type="dxa"/>
            <w:noWrap/>
            <w:hideMark/>
          </w:tcPr>
          <w:p w14:paraId="29F9FF05"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Chart 31</w:t>
            </w:r>
          </w:p>
        </w:tc>
        <w:tc>
          <w:tcPr>
            <w:tcW w:w="4899" w:type="dxa"/>
            <w:vAlign w:val="bottom"/>
            <w:hideMark/>
          </w:tcPr>
          <w:p w14:paraId="76B91B62" w14:textId="77777777" w:rsidR="00D21F21" w:rsidRPr="0043638B" w:rsidRDefault="00E705D0" w:rsidP="00260739">
            <w:pPr>
              <w:spacing w:before="26" w:after="26"/>
              <w:rPr>
                <w:rFonts w:ascii="GHEA Grapalat" w:hAnsi="GHEA Grapalat" w:cs="Sylfaen"/>
                <w:bCs/>
                <w:sz w:val="16"/>
                <w:szCs w:val="16"/>
              </w:rPr>
            </w:pPr>
            <w:r w:rsidRPr="0043638B">
              <w:rPr>
                <w:rFonts w:ascii="GHEA Grapalat" w:hAnsi="GHEA Grapalat" w:cs="Sylfaen"/>
                <w:bCs/>
                <w:sz w:val="16"/>
                <w:szCs w:val="16"/>
                <w:lang w:val="hy-AM"/>
              </w:rPr>
              <w:t>The rise in beef prices has been largely driven by a sharp increase in the volume of export of cattle in the third quartery of 2017</w:t>
            </w:r>
            <w:r w:rsidRPr="0043638B">
              <w:rPr>
                <w:rFonts w:ascii="GHEA Grapalat" w:hAnsi="GHEA Grapalat" w:cs="Sylfaen"/>
                <w:bCs/>
                <w:sz w:val="16"/>
                <w:szCs w:val="16"/>
              </w:rPr>
              <w:t xml:space="preserve"> </w:t>
            </w:r>
          </w:p>
        </w:tc>
        <w:tc>
          <w:tcPr>
            <w:tcW w:w="368" w:type="dxa"/>
            <w:vAlign w:val="bottom"/>
            <w:hideMark/>
          </w:tcPr>
          <w:p w14:paraId="365C8420" w14:textId="77777777" w:rsidR="00D21F21" w:rsidRDefault="00D21F21" w:rsidP="00260739">
            <w:pPr>
              <w:spacing w:before="26" w:after="26"/>
              <w:jc w:val="right"/>
              <w:rPr>
                <w:rFonts w:ascii="GHEA Grapalat" w:hAnsi="GHEA Grapalat" w:cs="Sylfaen"/>
                <w:bCs/>
                <w:sz w:val="16"/>
                <w:szCs w:val="16"/>
              </w:rPr>
            </w:pPr>
            <w:r>
              <w:rPr>
                <w:rFonts w:ascii="GHEA Grapalat" w:hAnsi="GHEA Grapalat" w:cs="Sylfaen"/>
                <w:bCs/>
                <w:sz w:val="16"/>
                <w:szCs w:val="16"/>
              </w:rPr>
              <w:t>24</w:t>
            </w:r>
          </w:p>
        </w:tc>
      </w:tr>
      <w:tr w:rsidR="00D21F21" w14:paraId="3DBEDED0" w14:textId="77777777" w:rsidTr="00260739">
        <w:trPr>
          <w:trHeight w:val="20"/>
        </w:trPr>
        <w:tc>
          <w:tcPr>
            <w:tcW w:w="970" w:type="dxa"/>
            <w:noWrap/>
            <w:hideMark/>
          </w:tcPr>
          <w:p w14:paraId="05515099"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Chart 32</w:t>
            </w:r>
          </w:p>
        </w:tc>
        <w:tc>
          <w:tcPr>
            <w:tcW w:w="4899" w:type="dxa"/>
            <w:vAlign w:val="center"/>
            <w:hideMark/>
          </w:tcPr>
          <w:p w14:paraId="1B8DB7CE" w14:textId="77777777" w:rsidR="00D21F21" w:rsidRPr="0043638B" w:rsidRDefault="00E705D0" w:rsidP="00260739">
            <w:pPr>
              <w:spacing w:before="26" w:after="26"/>
              <w:rPr>
                <w:rFonts w:ascii="GHEA Grapalat" w:hAnsi="GHEA Grapalat" w:cs="Sylfaen"/>
                <w:bCs/>
                <w:sz w:val="16"/>
                <w:szCs w:val="16"/>
              </w:rPr>
            </w:pPr>
            <w:r w:rsidRPr="0043638B">
              <w:rPr>
                <w:rFonts w:ascii="GHEA Grapalat" w:hAnsi="GHEA Grapalat" w:cs="Sylfaen"/>
                <w:bCs/>
                <w:iCs/>
                <w:sz w:val="16"/>
                <w:szCs w:val="16"/>
                <w:lang w:val="hy-AM"/>
              </w:rPr>
              <w:t>Increased output in the group "meat product" has been mostly determined by grown export of small cattle</w:t>
            </w:r>
            <w:r w:rsidRPr="0043638B">
              <w:rPr>
                <w:rFonts w:ascii="GHEA Grapalat" w:hAnsi="GHEA Grapalat" w:cs="Sylfaen"/>
                <w:bCs/>
                <w:iCs/>
                <w:sz w:val="16"/>
                <w:szCs w:val="16"/>
              </w:rPr>
              <w:t xml:space="preserve"> </w:t>
            </w:r>
          </w:p>
        </w:tc>
        <w:tc>
          <w:tcPr>
            <w:tcW w:w="368" w:type="dxa"/>
            <w:vAlign w:val="bottom"/>
            <w:hideMark/>
          </w:tcPr>
          <w:p w14:paraId="26D1127C" w14:textId="77777777" w:rsidR="00D21F21" w:rsidRDefault="00D21F21" w:rsidP="00260739">
            <w:pPr>
              <w:spacing w:before="26" w:after="26"/>
              <w:jc w:val="right"/>
              <w:rPr>
                <w:rFonts w:ascii="GHEA Grapalat" w:hAnsi="GHEA Grapalat" w:cs="Sylfaen"/>
                <w:bCs/>
                <w:sz w:val="16"/>
                <w:szCs w:val="16"/>
              </w:rPr>
            </w:pPr>
            <w:r>
              <w:rPr>
                <w:rFonts w:ascii="GHEA Grapalat" w:hAnsi="GHEA Grapalat" w:cs="Sylfaen"/>
                <w:bCs/>
                <w:sz w:val="16"/>
                <w:szCs w:val="16"/>
              </w:rPr>
              <w:t>24</w:t>
            </w:r>
          </w:p>
        </w:tc>
      </w:tr>
      <w:tr w:rsidR="00D21F21" w14:paraId="329C109D" w14:textId="77777777" w:rsidTr="00260739">
        <w:trPr>
          <w:trHeight w:val="20"/>
        </w:trPr>
        <w:tc>
          <w:tcPr>
            <w:tcW w:w="970" w:type="dxa"/>
            <w:noWrap/>
            <w:hideMark/>
          </w:tcPr>
          <w:p w14:paraId="5E769B24"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Chart 33</w:t>
            </w:r>
          </w:p>
        </w:tc>
        <w:tc>
          <w:tcPr>
            <w:tcW w:w="4899" w:type="dxa"/>
            <w:noWrap/>
            <w:vAlign w:val="bottom"/>
            <w:hideMark/>
          </w:tcPr>
          <w:p w14:paraId="072A9C28" w14:textId="77777777" w:rsidR="00D21F21" w:rsidRPr="0043638B" w:rsidRDefault="00E705D0" w:rsidP="00260739">
            <w:pPr>
              <w:spacing w:before="26" w:after="26"/>
              <w:rPr>
                <w:rFonts w:ascii="GHEA Grapalat" w:hAnsi="GHEA Grapalat" w:cs="Sylfaen"/>
                <w:bCs/>
                <w:sz w:val="16"/>
                <w:szCs w:val="16"/>
              </w:rPr>
            </w:pPr>
            <w:r w:rsidRPr="0043638B">
              <w:rPr>
                <w:rFonts w:ascii="GHEA Grapalat" w:hAnsi="GHEA Grapalat" w:cs="Sylfaen"/>
                <w:bCs/>
                <w:sz w:val="16"/>
                <w:szCs w:val="16"/>
              </w:rPr>
              <w:t>In the third quarter of 2017 the growth of dollar prices of import of goods and services speeded up</w:t>
            </w:r>
            <w:r w:rsidR="0043638B" w:rsidRPr="0043638B">
              <w:rPr>
                <w:rFonts w:ascii="GHEA Grapalat" w:hAnsi="GHEA Grapalat" w:cs="Sylfaen"/>
                <w:bCs/>
                <w:sz w:val="16"/>
                <w:szCs w:val="16"/>
              </w:rPr>
              <w:t>, (y/y, %)</w:t>
            </w:r>
            <w:r w:rsidRPr="0043638B">
              <w:rPr>
                <w:rFonts w:ascii="GHEA Grapalat" w:hAnsi="GHEA Grapalat" w:cs="Sylfaen"/>
                <w:bCs/>
                <w:sz w:val="16"/>
                <w:szCs w:val="16"/>
              </w:rPr>
              <w:t xml:space="preserve"> </w:t>
            </w:r>
          </w:p>
        </w:tc>
        <w:tc>
          <w:tcPr>
            <w:tcW w:w="368" w:type="dxa"/>
            <w:vAlign w:val="bottom"/>
            <w:hideMark/>
          </w:tcPr>
          <w:p w14:paraId="08B5697A" w14:textId="77777777" w:rsidR="00D21F21" w:rsidRDefault="00D21F21" w:rsidP="00260739">
            <w:pPr>
              <w:spacing w:before="26" w:after="26"/>
              <w:jc w:val="right"/>
              <w:rPr>
                <w:rFonts w:ascii="GHEA Grapalat" w:hAnsi="GHEA Grapalat" w:cs="Sylfaen"/>
                <w:bCs/>
                <w:sz w:val="16"/>
                <w:szCs w:val="16"/>
              </w:rPr>
            </w:pPr>
            <w:r>
              <w:rPr>
                <w:rFonts w:ascii="GHEA Grapalat" w:hAnsi="GHEA Grapalat" w:cs="Sylfaen"/>
                <w:bCs/>
                <w:sz w:val="16"/>
                <w:szCs w:val="16"/>
              </w:rPr>
              <w:t>24</w:t>
            </w:r>
          </w:p>
        </w:tc>
      </w:tr>
      <w:tr w:rsidR="00D21F21" w14:paraId="4AC7718B" w14:textId="77777777" w:rsidTr="00260739">
        <w:trPr>
          <w:trHeight w:val="20"/>
        </w:trPr>
        <w:tc>
          <w:tcPr>
            <w:tcW w:w="970" w:type="dxa"/>
            <w:noWrap/>
            <w:hideMark/>
          </w:tcPr>
          <w:p w14:paraId="28361FB8"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Chart 34</w:t>
            </w:r>
          </w:p>
        </w:tc>
        <w:tc>
          <w:tcPr>
            <w:tcW w:w="4899" w:type="dxa"/>
            <w:vAlign w:val="bottom"/>
            <w:hideMark/>
          </w:tcPr>
          <w:p w14:paraId="3F6B90AA" w14:textId="77777777" w:rsidR="00D21F21" w:rsidRPr="0043638B" w:rsidRDefault="00E705D0" w:rsidP="00260739">
            <w:pPr>
              <w:spacing w:before="26" w:after="26"/>
              <w:rPr>
                <w:rFonts w:ascii="GHEA Grapalat" w:hAnsi="GHEA Grapalat" w:cs="Sylfaen"/>
                <w:bCs/>
                <w:sz w:val="16"/>
                <w:szCs w:val="16"/>
              </w:rPr>
            </w:pPr>
            <w:r w:rsidRPr="0043638B">
              <w:rPr>
                <w:rFonts w:ascii="GHEA Grapalat" w:hAnsi="GHEA Grapalat" w:cs="Sylfaen"/>
                <w:bCs/>
                <w:sz w:val="16"/>
                <w:szCs w:val="16"/>
              </w:rPr>
              <w:t>Private spending dynamics</w:t>
            </w:r>
            <w:r w:rsidR="0043638B" w:rsidRPr="0043638B">
              <w:rPr>
                <w:rFonts w:ascii="GHEA Grapalat" w:hAnsi="GHEA Grapalat" w:cs="Sylfaen"/>
                <w:bCs/>
                <w:sz w:val="16"/>
                <w:szCs w:val="16"/>
              </w:rPr>
              <w:t>, (y/y growth, %)</w:t>
            </w:r>
            <w:r w:rsidRPr="0043638B">
              <w:rPr>
                <w:rFonts w:ascii="GHEA Grapalat" w:hAnsi="GHEA Grapalat" w:cs="Sylfaen"/>
                <w:bCs/>
                <w:sz w:val="16"/>
                <w:szCs w:val="16"/>
              </w:rPr>
              <w:t xml:space="preserve"> </w:t>
            </w:r>
          </w:p>
        </w:tc>
        <w:tc>
          <w:tcPr>
            <w:tcW w:w="368" w:type="dxa"/>
            <w:vAlign w:val="bottom"/>
            <w:hideMark/>
          </w:tcPr>
          <w:p w14:paraId="1C9993CA" w14:textId="77777777" w:rsidR="00D21F21" w:rsidRDefault="00D21F21" w:rsidP="00260739">
            <w:pPr>
              <w:spacing w:before="26" w:after="26"/>
              <w:jc w:val="right"/>
              <w:rPr>
                <w:rFonts w:ascii="GHEA Grapalat" w:hAnsi="GHEA Grapalat" w:cs="Sylfaen"/>
                <w:bCs/>
                <w:sz w:val="16"/>
                <w:szCs w:val="16"/>
              </w:rPr>
            </w:pPr>
            <w:r>
              <w:rPr>
                <w:rFonts w:ascii="GHEA Grapalat" w:hAnsi="GHEA Grapalat" w:cs="Sylfaen"/>
                <w:bCs/>
                <w:sz w:val="16"/>
                <w:szCs w:val="16"/>
              </w:rPr>
              <w:t>25</w:t>
            </w:r>
          </w:p>
        </w:tc>
      </w:tr>
      <w:tr w:rsidR="00D21F21" w14:paraId="0A71A065" w14:textId="77777777" w:rsidTr="00260739">
        <w:trPr>
          <w:trHeight w:val="20"/>
        </w:trPr>
        <w:tc>
          <w:tcPr>
            <w:tcW w:w="970" w:type="dxa"/>
            <w:noWrap/>
            <w:hideMark/>
          </w:tcPr>
          <w:p w14:paraId="605BAE12" w14:textId="77777777" w:rsidR="00D21F21" w:rsidRDefault="00D21F21" w:rsidP="00260739">
            <w:pPr>
              <w:spacing w:before="20" w:after="20"/>
              <w:rPr>
                <w:rFonts w:ascii="GHEA Grapalat" w:hAnsi="GHEA Grapalat"/>
                <w:color w:val="000000"/>
                <w:sz w:val="16"/>
                <w:szCs w:val="16"/>
              </w:rPr>
            </w:pPr>
            <w:r>
              <w:rPr>
                <w:rFonts w:ascii="GHEA Grapalat" w:hAnsi="GHEA Grapalat"/>
                <w:color w:val="000000"/>
                <w:sz w:val="16"/>
                <w:szCs w:val="16"/>
              </w:rPr>
              <w:t>Chart 35</w:t>
            </w:r>
          </w:p>
        </w:tc>
        <w:tc>
          <w:tcPr>
            <w:tcW w:w="4899" w:type="dxa"/>
            <w:vAlign w:val="bottom"/>
            <w:hideMark/>
          </w:tcPr>
          <w:p w14:paraId="3831DACE" w14:textId="77777777" w:rsidR="00D21F21" w:rsidRPr="0043638B" w:rsidRDefault="00E705D0" w:rsidP="0043638B">
            <w:pPr>
              <w:rPr>
                <w:rFonts w:ascii="GHEA Grapalat" w:hAnsi="GHEA Grapalat" w:cs="Sylfaen"/>
                <w:bCs/>
                <w:sz w:val="16"/>
                <w:szCs w:val="16"/>
              </w:rPr>
            </w:pPr>
            <w:r w:rsidRPr="0043638B">
              <w:rPr>
                <w:rFonts w:ascii="GHEA Grapalat" w:hAnsi="GHEA Grapalat" w:cs="Sylfaen"/>
                <w:bCs/>
                <w:sz w:val="16"/>
                <w:szCs w:val="16"/>
              </w:rPr>
              <w:t xml:space="preserve">In the third quarter of 2017 the real decline in net exports somewhat </w:t>
            </w:r>
            <w:r w:rsidRPr="0043638B">
              <w:rPr>
                <w:rFonts w:ascii="GHEA Grapalat" w:hAnsi="GHEA Grapalat" w:cs="Sylfaen"/>
                <w:bCs/>
                <w:sz w:val="16"/>
                <w:szCs w:val="16"/>
              </w:rPr>
              <w:lastRenderedPageBreak/>
              <w:t>slowed down</w:t>
            </w:r>
            <w:r w:rsidR="0043638B" w:rsidRPr="0043638B">
              <w:rPr>
                <w:rFonts w:ascii="GHEA Grapalat" w:hAnsi="GHEA Grapalat" w:cs="Sylfaen"/>
                <w:bCs/>
                <w:sz w:val="16"/>
                <w:szCs w:val="16"/>
              </w:rPr>
              <w:t xml:space="preserve"> </w:t>
            </w:r>
            <w:r w:rsidRPr="0043638B">
              <w:rPr>
                <w:rFonts w:ascii="GHEA Grapalat" w:hAnsi="GHEA Grapalat" w:cs="Sylfaen"/>
                <w:bCs/>
                <w:i/>
                <w:sz w:val="16"/>
                <w:szCs w:val="16"/>
              </w:rPr>
              <w:t xml:space="preserve">(net real export (y/y, %), positive sign = improvement) </w:t>
            </w:r>
          </w:p>
        </w:tc>
        <w:tc>
          <w:tcPr>
            <w:tcW w:w="368" w:type="dxa"/>
            <w:vAlign w:val="bottom"/>
            <w:hideMark/>
          </w:tcPr>
          <w:p w14:paraId="6BA3EABF" w14:textId="77777777" w:rsidR="00D21F21" w:rsidRDefault="00D21F21" w:rsidP="00260739">
            <w:pPr>
              <w:spacing w:before="20" w:after="20"/>
              <w:jc w:val="right"/>
              <w:rPr>
                <w:rFonts w:ascii="GHEA Grapalat" w:hAnsi="GHEA Grapalat" w:cs="Sylfaen"/>
                <w:bCs/>
                <w:sz w:val="16"/>
                <w:szCs w:val="16"/>
              </w:rPr>
            </w:pPr>
            <w:r>
              <w:rPr>
                <w:rFonts w:ascii="GHEA Grapalat" w:hAnsi="GHEA Grapalat" w:cs="Sylfaen"/>
                <w:bCs/>
                <w:sz w:val="16"/>
                <w:szCs w:val="16"/>
              </w:rPr>
              <w:lastRenderedPageBreak/>
              <w:t>26</w:t>
            </w:r>
          </w:p>
        </w:tc>
      </w:tr>
      <w:tr w:rsidR="00D21F21" w14:paraId="1EBBD647" w14:textId="77777777" w:rsidTr="00260739">
        <w:trPr>
          <w:trHeight w:val="20"/>
        </w:trPr>
        <w:tc>
          <w:tcPr>
            <w:tcW w:w="970" w:type="dxa"/>
            <w:noWrap/>
            <w:hideMark/>
          </w:tcPr>
          <w:p w14:paraId="4422F1AC" w14:textId="77777777" w:rsidR="00D21F21" w:rsidRDefault="00D21F21" w:rsidP="00260739">
            <w:pPr>
              <w:spacing w:before="20" w:after="20"/>
              <w:rPr>
                <w:rFonts w:ascii="GHEA Grapalat" w:hAnsi="GHEA Grapalat"/>
                <w:color w:val="000000"/>
                <w:sz w:val="16"/>
                <w:szCs w:val="16"/>
              </w:rPr>
            </w:pPr>
            <w:r>
              <w:rPr>
                <w:rFonts w:ascii="GHEA Grapalat" w:hAnsi="GHEA Grapalat"/>
                <w:color w:val="000000"/>
                <w:sz w:val="16"/>
                <w:szCs w:val="16"/>
              </w:rPr>
              <w:t>Chart 36</w:t>
            </w:r>
          </w:p>
        </w:tc>
        <w:tc>
          <w:tcPr>
            <w:tcW w:w="4899" w:type="dxa"/>
            <w:noWrap/>
            <w:vAlign w:val="bottom"/>
            <w:hideMark/>
          </w:tcPr>
          <w:p w14:paraId="0B9E290E" w14:textId="77777777" w:rsidR="00D21F21" w:rsidRPr="0043638B" w:rsidRDefault="00E705D0" w:rsidP="00260739">
            <w:pPr>
              <w:spacing w:before="20" w:after="20"/>
              <w:rPr>
                <w:rFonts w:ascii="GHEA Grapalat" w:hAnsi="GHEA Grapalat" w:cs="Sylfaen"/>
                <w:bCs/>
                <w:sz w:val="16"/>
                <w:szCs w:val="16"/>
              </w:rPr>
            </w:pPr>
            <w:r w:rsidRPr="0043638B">
              <w:rPr>
                <w:rFonts w:ascii="GHEA Grapalat" w:hAnsi="GHEA Grapalat" w:cs="Sylfaen"/>
                <w:bCs/>
                <w:sz w:val="16"/>
                <w:szCs w:val="16"/>
              </w:rPr>
              <w:t xml:space="preserve">In the third quarter of 2017 the contractionary effect of fiscal policy owed to the contractionary effect of expenditures </w:t>
            </w:r>
          </w:p>
        </w:tc>
        <w:tc>
          <w:tcPr>
            <w:tcW w:w="368" w:type="dxa"/>
            <w:vAlign w:val="bottom"/>
            <w:hideMark/>
          </w:tcPr>
          <w:p w14:paraId="4D99C232" w14:textId="77777777" w:rsidR="00D21F21" w:rsidRDefault="00D21F21" w:rsidP="00260739">
            <w:pPr>
              <w:spacing w:before="20" w:after="20"/>
              <w:jc w:val="right"/>
              <w:rPr>
                <w:rFonts w:ascii="GHEA Grapalat" w:hAnsi="GHEA Grapalat" w:cs="Sylfaen"/>
                <w:bCs/>
                <w:sz w:val="16"/>
                <w:szCs w:val="16"/>
              </w:rPr>
            </w:pPr>
            <w:r>
              <w:rPr>
                <w:rFonts w:ascii="GHEA Grapalat" w:hAnsi="GHEA Grapalat" w:cs="Sylfaen"/>
                <w:bCs/>
                <w:sz w:val="16"/>
                <w:szCs w:val="16"/>
              </w:rPr>
              <w:t>26</w:t>
            </w:r>
          </w:p>
        </w:tc>
      </w:tr>
      <w:tr w:rsidR="00D21F21" w14:paraId="1B991C8D" w14:textId="77777777" w:rsidTr="00260739">
        <w:trPr>
          <w:trHeight w:val="20"/>
        </w:trPr>
        <w:tc>
          <w:tcPr>
            <w:tcW w:w="970" w:type="dxa"/>
            <w:noWrap/>
            <w:hideMark/>
          </w:tcPr>
          <w:p w14:paraId="27181AAA" w14:textId="77777777" w:rsidR="00D21F21" w:rsidRDefault="00D21F21" w:rsidP="00260739">
            <w:pPr>
              <w:spacing w:before="20" w:after="20"/>
              <w:rPr>
                <w:rFonts w:ascii="GHEA Grapalat" w:hAnsi="GHEA Grapalat"/>
                <w:color w:val="000000"/>
                <w:sz w:val="16"/>
                <w:szCs w:val="16"/>
              </w:rPr>
            </w:pPr>
            <w:r>
              <w:rPr>
                <w:rFonts w:ascii="GHEA Grapalat" w:hAnsi="GHEA Grapalat"/>
                <w:color w:val="000000"/>
                <w:sz w:val="16"/>
                <w:szCs w:val="16"/>
              </w:rPr>
              <w:t>Chart 37</w:t>
            </w:r>
          </w:p>
        </w:tc>
        <w:tc>
          <w:tcPr>
            <w:tcW w:w="4899" w:type="dxa"/>
            <w:vAlign w:val="bottom"/>
            <w:hideMark/>
          </w:tcPr>
          <w:p w14:paraId="62C3C06D" w14:textId="77777777" w:rsidR="00D21F21" w:rsidRPr="0043638B" w:rsidRDefault="00E705D0" w:rsidP="00260739">
            <w:pPr>
              <w:spacing w:before="20" w:after="20"/>
              <w:rPr>
                <w:rFonts w:ascii="GHEA Grapalat" w:hAnsi="GHEA Grapalat" w:cs="Sylfaen"/>
                <w:bCs/>
                <w:sz w:val="16"/>
                <w:szCs w:val="16"/>
              </w:rPr>
            </w:pPr>
            <w:r w:rsidRPr="0043638B">
              <w:rPr>
                <w:rFonts w:ascii="GHEA Grapalat" w:hAnsi="GHEA Grapalat"/>
                <w:bCs/>
                <w:iCs/>
                <w:sz w:val="16"/>
                <w:szCs w:val="16"/>
              </w:rPr>
              <w:t>Main consolidated budget indicators</w:t>
            </w:r>
            <w:r w:rsidRPr="0043638B">
              <w:rPr>
                <w:rFonts w:ascii="GHEA Grapalat" w:hAnsi="GHEA Grapalat"/>
                <w:bCs/>
                <w:i/>
                <w:iCs/>
                <w:sz w:val="16"/>
                <w:szCs w:val="16"/>
              </w:rPr>
              <w:t xml:space="preserve"> (billion AMD) </w:t>
            </w:r>
          </w:p>
        </w:tc>
        <w:tc>
          <w:tcPr>
            <w:tcW w:w="368" w:type="dxa"/>
            <w:vAlign w:val="bottom"/>
            <w:hideMark/>
          </w:tcPr>
          <w:p w14:paraId="0AB9F92E" w14:textId="77777777" w:rsidR="00D21F21" w:rsidRDefault="00D21F21" w:rsidP="00260739">
            <w:pPr>
              <w:spacing w:before="20" w:after="20"/>
              <w:jc w:val="right"/>
              <w:rPr>
                <w:rFonts w:ascii="GHEA Grapalat" w:hAnsi="GHEA Grapalat" w:cs="Sylfaen"/>
                <w:bCs/>
                <w:sz w:val="16"/>
                <w:szCs w:val="16"/>
              </w:rPr>
            </w:pPr>
            <w:r>
              <w:rPr>
                <w:rFonts w:ascii="GHEA Grapalat" w:hAnsi="GHEA Grapalat" w:cs="Sylfaen"/>
                <w:bCs/>
                <w:sz w:val="16"/>
                <w:szCs w:val="16"/>
              </w:rPr>
              <w:t>26</w:t>
            </w:r>
          </w:p>
        </w:tc>
      </w:tr>
      <w:tr w:rsidR="00D21F21" w14:paraId="4962D987" w14:textId="77777777" w:rsidTr="00260739">
        <w:trPr>
          <w:trHeight w:val="20"/>
        </w:trPr>
        <w:tc>
          <w:tcPr>
            <w:tcW w:w="970" w:type="dxa"/>
            <w:noWrap/>
            <w:hideMark/>
          </w:tcPr>
          <w:p w14:paraId="5BE90199" w14:textId="77777777" w:rsidR="00D21F21" w:rsidRDefault="00D21F21" w:rsidP="00260739">
            <w:pPr>
              <w:spacing w:before="20" w:after="20"/>
              <w:rPr>
                <w:rFonts w:ascii="GHEA Grapalat" w:hAnsi="GHEA Grapalat"/>
                <w:color w:val="000000"/>
                <w:sz w:val="16"/>
                <w:szCs w:val="16"/>
              </w:rPr>
            </w:pPr>
            <w:r>
              <w:rPr>
                <w:rFonts w:ascii="GHEA Grapalat" w:hAnsi="GHEA Grapalat"/>
                <w:color w:val="000000"/>
                <w:sz w:val="16"/>
                <w:szCs w:val="16"/>
              </w:rPr>
              <w:t>Chart 38</w:t>
            </w:r>
          </w:p>
        </w:tc>
        <w:tc>
          <w:tcPr>
            <w:tcW w:w="4899" w:type="dxa"/>
            <w:noWrap/>
            <w:vAlign w:val="bottom"/>
            <w:hideMark/>
          </w:tcPr>
          <w:p w14:paraId="14EF2326" w14:textId="77777777" w:rsidR="00D21F21" w:rsidRPr="0043638B" w:rsidRDefault="00E705D0" w:rsidP="00260739">
            <w:pPr>
              <w:spacing w:before="20" w:after="20"/>
              <w:rPr>
                <w:rFonts w:ascii="GHEA Grapalat" w:hAnsi="GHEA Grapalat" w:cs="Sylfaen"/>
                <w:bCs/>
                <w:sz w:val="16"/>
                <w:szCs w:val="16"/>
              </w:rPr>
            </w:pPr>
            <w:r w:rsidRPr="0043638B">
              <w:rPr>
                <w:rFonts w:ascii="GHEA Grapalat" w:hAnsi="GHEA Grapalat" w:cs="Sylfaen"/>
                <w:bCs/>
                <w:sz w:val="16"/>
                <w:szCs w:val="16"/>
              </w:rPr>
              <w:t>In the third quarter of 2017</w:t>
            </w:r>
            <w:r w:rsidRPr="0043638B">
              <w:rPr>
                <w:rFonts w:ascii="GHEA Grapalat" w:hAnsi="GHEA Grapalat"/>
                <w:bCs/>
                <w:iCs/>
                <w:sz w:val="16"/>
                <w:szCs w:val="16"/>
              </w:rPr>
              <w:t xml:space="preserve"> the deficit was financed mostly owing to domestic sources </w:t>
            </w:r>
            <w:r w:rsidRPr="0043638B">
              <w:rPr>
                <w:rFonts w:ascii="GHEA Grapalat" w:hAnsi="GHEA Grapalat"/>
                <w:bCs/>
                <w:i/>
                <w:iCs/>
                <w:sz w:val="16"/>
                <w:szCs w:val="16"/>
              </w:rPr>
              <w:t xml:space="preserve">(billion AMD) </w:t>
            </w:r>
          </w:p>
        </w:tc>
        <w:tc>
          <w:tcPr>
            <w:tcW w:w="368" w:type="dxa"/>
            <w:vAlign w:val="bottom"/>
            <w:hideMark/>
          </w:tcPr>
          <w:p w14:paraId="3524371B" w14:textId="77777777" w:rsidR="00D21F21" w:rsidRDefault="00D21F21" w:rsidP="00260739">
            <w:pPr>
              <w:spacing w:before="20" w:after="20"/>
              <w:jc w:val="right"/>
              <w:rPr>
                <w:rFonts w:ascii="GHEA Grapalat" w:hAnsi="GHEA Grapalat" w:cs="Sylfaen"/>
                <w:bCs/>
                <w:sz w:val="16"/>
                <w:szCs w:val="16"/>
              </w:rPr>
            </w:pPr>
            <w:r>
              <w:rPr>
                <w:rFonts w:ascii="GHEA Grapalat" w:hAnsi="GHEA Grapalat" w:cs="Sylfaen"/>
                <w:bCs/>
                <w:sz w:val="16"/>
                <w:szCs w:val="16"/>
              </w:rPr>
              <w:t>27</w:t>
            </w:r>
          </w:p>
        </w:tc>
      </w:tr>
      <w:tr w:rsidR="00D21F21" w14:paraId="548653E8" w14:textId="77777777" w:rsidTr="00260739">
        <w:trPr>
          <w:trHeight w:val="20"/>
        </w:trPr>
        <w:tc>
          <w:tcPr>
            <w:tcW w:w="970" w:type="dxa"/>
            <w:noWrap/>
            <w:hideMark/>
          </w:tcPr>
          <w:p w14:paraId="703FFE43" w14:textId="77777777" w:rsidR="00D21F21" w:rsidRDefault="00D21F21" w:rsidP="00260739">
            <w:pPr>
              <w:spacing w:before="20" w:after="20"/>
              <w:rPr>
                <w:rFonts w:ascii="GHEA Grapalat" w:hAnsi="GHEA Grapalat"/>
                <w:color w:val="000000"/>
                <w:sz w:val="16"/>
                <w:szCs w:val="16"/>
              </w:rPr>
            </w:pPr>
            <w:r>
              <w:rPr>
                <w:rFonts w:ascii="GHEA Grapalat" w:hAnsi="GHEA Grapalat"/>
                <w:color w:val="000000"/>
                <w:sz w:val="16"/>
                <w:szCs w:val="16"/>
              </w:rPr>
              <w:t>Chart 39</w:t>
            </w:r>
          </w:p>
        </w:tc>
        <w:tc>
          <w:tcPr>
            <w:tcW w:w="4899" w:type="dxa"/>
            <w:noWrap/>
            <w:vAlign w:val="bottom"/>
            <w:hideMark/>
          </w:tcPr>
          <w:p w14:paraId="620A3198" w14:textId="77777777" w:rsidR="00D21F21" w:rsidRPr="0043638B" w:rsidRDefault="00E705D0" w:rsidP="00260739">
            <w:pPr>
              <w:spacing w:before="20" w:after="20"/>
              <w:rPr>
                <w:rFonts w:ascii="GHEA Grapalat" w:hAnsi="GHEA Grapalat" w:cs="Sylfaen"/>
                <w:bCs/>
                <w:sz w:val="16"/>
                <w:szCs w:val="16"/>
              </w:rPr>
            </w:pPr>
            <w:r w:rsidRPr="0043638B">
              <w:rPr>
                <w:rFonts w:ascii="GHEA Grapalat" w:hAnsi="GHEA Grapalat" w:cs="Sylfaen"/>
                <w:bCs/>
                <w:sz w:val="16"/>
                <w:szCs w:val="16"/>
              </w:rPr>
              <w:t xml:space="preserve">GDP and economic sector dynamics </w:t>
            </w:r>
          </w:p>
        </w:tc>
        <w:tc>
          <w:tcPr>
            <w:tcW w:w="368" w:type="dxa"/>
            <w:vAlign w:val="bottom"/>
            <w:hideMark/>
          </w:tcPr>
          <w:p w14:paraId="3C1D8BBB" w14:textId="77777777" w:rsidR="00D21F21" w:rsidRDefault="00D21F21" w:rsidP="00260739">
            <w:pPr>
              <w:spacing w:before="20" w:after="20"/>
              <w:jc w:val="right"/>
              <w:rPr>
                <w:rFonts w:ascii="GHEA Grapalat" w:hAnsi="GHEA Grapalat" w:cs="Sylfaen"/>
                <w:bCs/>
                <w:sz w:val="16"/>
                <w:szCs w:val="16"/>
              </w:rPr>
            </w:pPr>
            <w:r>
              <w:rPr>
                <w:rFonts w:ascii="GHEA Grapalat" w:hAnsi="GHEA Grapalat" w:cs="Sylfaen"/>
                <w:bCs/>
                <w:sz w:val="16"/>
                <w:szCs w:val="16"/>
              </w:rPr>
              <w:t>27</w:t>
            </w:r>
          </w:p>
        </w:tc>
      </w:tr>
      <w:tr w:rsidR="00D21F21" w14:paraId="3CCF5BD8" w14:textId="77777777" w:rsidTr="00260739">
        <w:trPr>
          <w:trHeight w:val="20"/>
        </w:trPr>
        <w:tc>
          <w:tcPr>
            <w:tcW w:w="970" w:type="dxa"/>
            <w:noWrap/>
            <w:hideMark/>
          </w:tcPr>
          <w:p w14:paraId="404DD65B" w14:textId="77777777" w:rsidR="00D21F21" w:rsidRDefault="00D21F21" w:rsidP="00260739">
            <w:pPr>
              <w:spacing w:before="20" w:after="20"/>
              <w:rPr>
                <w:rFonts w:ascii="GHEA Grapalat" w:hAnsi="GHEA Grapalat"/>
                <w:color w:val="000000"/>
                <w:sz w:val="16"/>
                <w:szCs w:val="16"/>
              </w:rPr>
            </w:pPr>
            <w:r>
              <w:rPr>
                <w:rFonts w:ascii="GHEA Grapalat" w:hAnsi="GHEA Grapalat"/>
                <w:color w:val="000000"/>
                <w:sz w:val="16"/>
                <w:szCs w:val="16"/>
              </w:rPr>
              <w:t>Chart 40</w:t>
            </w:r>
          </w:p>
        </w:tc>
        <w:tc>
          <w:tcPr>
            <w:tcW w:w="4899" w:type="dxa"/>
            <w:noWrap/>
            <w:vAlign w:val="bottom"/>
            <w:hideMark/>
          </w:tcPr>
          <w:p w14:paraId="05252A31" w14:textId="77777777" w:rsidR="00D21F21" w:rsidRPr="0043638B" w:rsidRDefault="00E705D0" w:rsidP="00260739">
            <w:pPr>
              <w:spacing w:before="20" w:after="20"/>
              <w:rPr>
                <w:rFonts w:ascii="GHEA Grapalat" w:hAnsi="GHEA Grapalat" w:cs="Sylfaen"/>
                <w:bCs/>
                <w:sz w:val="16"/>
                <w:szCs w:val="16"/>
              </w:rPr>
            </w:pPr>
            <w:r w:rsidRPr="0043638B">
              <w:rPr>
                <w:rFonts w:ascii="GHEA Grapalat" w:hAnsi="GHEA Grapalat" w:cs="Sylfaen"/>
                <w:bCs/>
                <w:sz w:val="16"/>
                <w:szCs w:val="16"/>
              </w:rPr>
              <w:t>Average wage flows by sector</w:t>
            </w:r>
            <w:r w:rsidR="0043638B" w:rsidRPr="0043638B">
              <w:rPr>
                <w:rFonts w:ascii="GHEA Grapalat" w:hAnsi="GHEA Grapalat" w:cs="Sylfaen"/>
                <w:bCs/>
                <w:sz w:val="16"/>
                <w:szCs w:val="16"/>
              </w:rPr>
              <w:t>, y/y growth, (%)</w:t>
            </w:r>
            <w:r w:rsidRPr="0043638B">
              <w:rPr>
                <w:rFonts w:ascii="GHEA Grapalat" w:hAnsi="GHEA Grapalat" w:cs="Sylfaen"/>
                <w:bCs/>
                <w:sz w:val="16"/>
                <w:szCs w:val="16"/>
              </w:rPr>
              <w:t xml:space="preserve"> </w:t>
            </w:r>
          </w:p>
        </w:tc>
        <w:tc>
          <w:tcPr>
            <w:tcW w:w="368" w:type="dxa"/>
            <w:vAlign w:val="bottom"/>
            <w:hideMark/>
          </w:tcPr>
          <w:p w14:paraId="7DD05810" w14:textId="77777777" w:rsidR="00D21F21" w:rsidRDefault="00D21F21" w:rsidP="00260739">
            <w:pPr>
              <w:spacing w:before="20" w:after="20"/>
              <w:jc w:val="right"/>
              <w:rPr>
                <w:rFonts w:ascii="GHEA Grapalat" w:hAnsi="GHEA Grapalat" w:cs="Sylfaen"/>
                <w:bCs/>
                <w:sz w:val="16"/>
                <w:szCs w:val="16"/>
              </w:rPr>
            </w:pPr>
            <w:r>
              <w:rPr>
                <w:rFonts w:ascii="GHEA Grapalat" w:hAnsi="GHEA Grapalat" w:cs="Sylfaen"/>
                <w:bCs/>
                <w:sz w:val="16"/>
                <w:szCs w:val="16"/>
              </w:rPr>
              <w:t>27</w:t>
            </w:r>
          </w:p>
        </w:tc>
      </w:tr>
      <w:tr w:rsidR="00D21F21" w14:paraId="1D59A669" w14:textId="77777777" w:rsidTr="00260739">
        <w:trPr>
          <w:trHeight w:val="20"/>
        </w:trPr>
        <w:tc>
          <w:tcPr>
            <w:tcW w:w="970" w:type="dxa"/>
            <w:noWrap/>
            <w:hideMark/>
          </w:tcPr>
          <w:p w14:paraId="7A033506" w14:textId="77777777" w:rsidR="00D21F21" w:rsidRDefault="00D21F21" w:rsidP="00260739">
            <w:pPr>
              <w:spacing w:before="20" w:after="20"/>
              <w:rPr>
                <w:rFonts w:ascii="GHEA Grapalat" w:hAnsi="GHEA Grapalat"/>
                <w:color w:val="000000"/>
                <w:sz w:val="16"/>
                <w:szCs w:val="16"/>
              </w:rPr>
            </w:pPr>
            <w:r>
              <w:rPr>
                <w:rFonts w:ascii="GHEA Grapalat" w:hAnsi="GHEA Grapalat"/>
                <w:color w:val="000000"/>
                <w:sz w:val="16"/>
                <w:szCs w:val="16"/>
              </w:rPr>
              <w:t>Chart 41</w:t>
            </w:r>
          </w:p>
        </w:tc>
        <w:tc>
          <w:tcPr>
            <w:tcW w:w="4899" w:type="dxa"/>
            <w:noWrap/>
            <w:vAlign w:val="bottom"/>
            <w:hideMark/>
          </w:tcPr>
          <w:p w14:paraId="681612ED" w14:textId="77777777" w:rsidR="00D21F21" w:rsidRPr="0043638B" w:rsidRDefault="00E705D0" w:rsidP="00260739">
            <w:pPr>
              <w:spacing w:before="20" w:after="20"/>
              <w:rPr>
                <w:rFonts w:ascii="GHEA Grapalat" w:hAnsi="GHEA Grapalat" w:cs="Sylfaen"/>
                <w:bCs/>
                <w:sz w:val="16"/>
                <w:szCs w:val="16"/>
              </w:rPr>
            </w:pPr>
            <w:r w:rsidRPr="0043638B">
              <w:rPr>
                <w:rFonts w:ascii="GHEA Grapalat" w:hAnsi="GHEA Grapalat" w:cs="Sylfaen"/>
                <w:bCs/>
                <w:sz w:val="16"/>
                <w:szCs w:val="16"/>
              </w:rPr>
              <w:t>Unit labor costs</w:t>
            </w:r>
            <w:r w:rsidR="0043638B" w:rsidRPr="0043638B">
              <w:rPr>
                <w:rFonts w:ascii="GHEA Grapalat" w:hAnsi="GHEA Grapalat" w:cs="Sylfaen"/>
                <w:bCs/>
                <w:sz w:val="16"/>
                <w:szCs w:val="16"/>
              </w:rPr>
              <w:t>,</w:t>
            </w:r>
            <w:r w:rsidR="0043638B" w:rsidRPr="0043638B">
              <w:rPr>
                <w:rFonts w:ascii="GHEA Grapalat" w:hAnsi="GHEA Grapalat" w:cs="Sylfaen"/>
                <w:bCs/>
                <w:sz w:val="16"/>
                <w:szCs w:val="16"/>
                <w:lang w:val="hy-AM"/>
              </w:rPr>
              <w:t xml:space="preserve"> </w:t>
            </w:r>
            <w:r w:rsidR="0043638B" w:rsidRPr="0043638B">
              <w:rPr>
                <w:rFonts w:ascii="GHEA Grapalat" w:hAnsi="GHEA Grapalat" w:cs="Sylfaen"/>
                <w:bCs/>
                <w:sz w:val="16"/>
                <w:szCs w:val="16"/>
              </w:rPr>
              <w:t>y</w:t>
            </w:r>
            <w:r w:rsidR="0043638B" w:rsidRPr="0043638B">
              <w:rPr>
                <w:rFonts w:ascii="GHEA Grapalat" w:hAnsi="GHEA Grapalat" w:cs="Sylfaen"/>
                <w:bCs/>
                <w:sz w:val="16"/>
                <w:szCs w:val="16"/>
                <w:lang w:val="hy-AM"/>
              </w:rPr>
              <w:t>/</w:t>
            </w:r>
            <w:r w:rsidR="0043638B" w:rsidRPr="0043638B">
              <w:rPr>
                <w:rFonts w:ascii="GHEA Grapalat" w:hAnsi="GHEA Grapalat" w:cs="Sylfaen"/>
                <w:bCs/>
                <w:sz w:val="16"/>
                <w:szCs w:val="16"/>
              </w:rPr>
              <w:t>y growth, (%)</w:t>
            </w:r>
            <w:r w:rsidRPr="0043638B">
              <w:rPr>
                <w:rFonts w:ascii="GHEA Grapalat" w:hAnsi="GHEA Grapalat" w:cs="Sylfaen"/>
                <w:bCs/>
                <w:sz w:val="16"/>
                <w:szCs w:val="16"/>
              </w:rPr>
              <w:t xml:space="preserve"> </w:t>
            </w:r>
          </w:p>
        </w:tc>
        <w:tc>
          <w:tcPr>
            <w:tcW w:w="368" w:type="dxa"/>
            <w:vAlign w:val="bottom"/>
            <w:hideMark/>
          </w:tcPr>
          <w:p w14:paraId="31E0EFBB" w14:textId="77777777" w:rsidR="00D21F21" w:rsidRDefault="00D21F21" w:rsidP="00260739">
            <w:pPr>
              <w:spacing w:before="20" w:after="20"/>
              <w:jc w:val="right"/>
              <w:rPr>
                <w:rFonts w:ascii="GHEA Grapalat" w:hAnsi="GHEA Grapalat" w:cs="Sylfaen"/>
                <w:bCs/>
                <w:sz w:val="16"/>
                <w:szCs w:val="16"/>
              </w:rPr>
            </w:pPr>
            <w:r>
              <w:rPr>
                <w:rFonts w:ascii="GHEA Grapalat" w:hAnsi="GHEA Grapalat" w:cs="Sylfaen"/>
                <w:bCs/>
                <w:sz w:val="16"/>
                <w:szCs w:val="16"/>
              </w:rPr>
              <w:t>28</w:t>
            </w:r>
          </w:p>
        </w:tc>
      </w:tr>
      <w:tr w:rsidR="00D21F21" w14:paraId="33921C77" w14:textId="77777777" w:rsidTr="00260739">
        <w:trPr>
          <w:trHeight w:val="20"/>
        </w:trPr>
        <w:tc>
          <w:tcPr>
            <w:tcW w:w="970" w:type="dxa"/>
            <w:noWrap/>
            <w:hideMark/>
          </w:tcPr>
          <w:p w14:paraId="1351DCF1" w14:textId="77777777" w:rsidR="00D21F21" w:rsidRDefault="00D21F21" w:rsidP="00260739">
            <w:pPr>
              <w:spacing w:before="20" w:after="20"/>
              <w:rPr>
                <w:rFonts w:ascii="GHEA Grapalat" w:hAnsi="GHEA Grapalat"/>
                <w:color w:val="000000"/>
                <w:sz w:val="16"/>
                <w:szCs w:val="16"/>
              </w:rPr>
            </w:pPr>
            <w:r>
              <w:rPr>
                <w:rFonts w:ascii="GHEA Grapalat" w:hAnsi="GHEA Grapalat"/>
                <w:color w:val="000000"/>
                <w:sz w:val="16"/>
                <w:szCs w:val="16"/>
              </w:rPr>
              <w:t>Chart 42</w:t>
            </w:r>
          </w:p>
        </w:tc>
        <w:tc>
          <w:tcPr>
            <w:tcW w:w="4899" w:type="dxa"/>
            <w:vAlign w:val="bottom"/>
            <w:hideMark/>
          </w:tcPr>
          <w:p w14:paraId="4695D860" w14:textId="77777777" w:rsidR="00D21F21" w:rsidRPr="0043638B" w:rsidRDefault="00E705D0" w:rsidP="00260739">
            <w:pPr>
              <w:spacing w:before="20" w:after="20"/>
              <w:rPr>
                <w:rFonts w:ascii="GHEA Grapalat" w:hAnsi="GHEA Grapalat" w:cs="Sylfaen"/>
                <w:bCs/>
                <w:sz w:val="16"/>
                <w:szCs w:val="16"/>
              </w:rPr>
            </w:pPr>
            <w:r w:rsidRPr="0043638B">
              <w:rPr>
                <w:rFonts w:ascii="GHEA Grapalat" w:hAnsi="GHEA Grapalat"/>
                <w:bCs/>
                <w:sz w:val="16"/>
                <w:szCs w:val="16"/>
              </w:rPr>
              <w:t>In the third quarter of 2017 short-term interest rates declined</w:t>
            </w:r>
            <w:r w:rsidR="0043638B" w:rsidRPr="0043638B">
              <w:rPr>
                <w:rFonts w:ascii="GHEA Grapalat" w:hAnsi="GHEA Grapalat"/>
                <w:bCs/>
                <w:sz w:val="16"/>
                <w:szCs w:val="16"/>
              </w:rPr>
              <w:t>, (%)</w:t>
            </w:r>
            <w:r w:rsidRPr="0043638B">
              <w:rPr>
                <w:rFonts w:ascii="GHEA Grapalat" w:hAnsi="GHEA Grapalat"/>
                <w:bCs/>
                <w:sz w:val="16"/>
                <w:szCs w:val="16"/>
              </w:rPr>
              <w:t xml:space="preserve"> </w:t>
            </w:r>
          </w:p>
        </w:tc>
        <w:tc>
          <w:tcPr>
            <w:tcW w:w="368" w:type="dxa"/>
            <w:vAlign w:val="bottom"/>
            <w:hideMark/>
          </w:tcPr>
          <w:p w14:paraId="7D9AB802" w14:textId="77777777" w:rsidR="00D21F21" w:rsidRDefault="00D21F21" w:rsidP="00260739">
            <w:pPr>
              <w:spacing w:before="20" w:after="20"/>
              <w:jc w:val="right"/>
              <w:rPr>
                <w:rFonts w:ascii="GHEA Grapalat" w:hAnsi="GHEA Grapalat" w:cs="Sylfaen"/>
                <w:bCs/>
                <w:sz w:val="16"/>
                <w:szCs w:val="16"/>
              </w:rPr>
            </w:pPr>
            <w:r>
              <w:rPr>
                <w:rFonts w:ascii="GHEA Grapalat" w:hAnsi="GHEA Grapalat" w:cs="Sylfaen"/>
                <w:bCs/>
                <w:sz w:val="16"/>
                <w:szCs w:val="16"/>
              </w:rPr>
              <w:t>28</w:t>
            </w:r>
          </w:p>
        </w:tc>
      </w:tr>
      <w:tr w:rsidR="00D21F21" w14:paraId="05D9C6B7" w14:textId="77777777" w:rsidTr="00260739">
        <w:trPr>
          <w:trHeight w:val="20"/>
        </w:trPr>
        <w:tc>
          <w:tcPr>
            <w:tcW w:w="970" w:type="dxa"/>
            <w:noWrap/>
            <w:hideMark/>
          </w:tcPr>
          <w:p w14:paraId="075ABEE6" w14:textId="77777777" w:rsidR="00D21F21" w:rsidRDefault="00D21F21" w:rsidP="00260739">
            <w:pPr>
              <w:spacing w:before="20" w:after="20"/>
              <w:rPr>
                <w:rFonts w:ascii="GHEA Grapalat" w:hAnsi="GHEA Grapalat"/>
                <w:color w:val="000000"/>
                <w:sz w:val="16"/>
                <w:szCs w:val="16"/>
              </w:rPr>
            </w:pPr>
            <w:r>
              <w:rPr>
                <w:rFonts w:ascii="GHEA Grapalat" w:hAnsi="GHEA Grapalat"/>
                <w:color w:val="000000"/>
                <w:sz w:val="16"/>
                <w:szCs w:val="16"/>
              </w:rPr>
              <w:t>Chart 43</w:t>
            </w:r>
          </w:p>
        </w:tc>
        <w:tc>
          <w:tcPr>
            <w:tcW w:w="4899" w:type="dxa"/>
            <w:noWrap/>
            <w:vAlign w:val="bottom"/>
            <w:hideMark/>
          </w:tcPr>
          <w:p w14:paraId="3F5A43D6" w14:textId="77777777" w:rsidR="00D21F21" w:rsidRPr="0043638B" w:rsidRDefault="00E705D0" w:rsidP="00260739">
            <w:pPr>
              <w:spacing w:before="20" w:after="20"/>
              <w:rPr>
                <w:rFonts w:ascii="GHEA Grapalat" w:hAnsi="GHEA Grapalat" w:cs="Sylfaen"/>
                <w:bCs/>
                <w:sz w:val="16"/>
                <w:szCs w:val="16"/>
              </w:rPr>
            </w:pPr>
            <w:r w:rsidRPr="0043638B">
              <w:rPr>
                <w:rFonts w:ascii="GHEA Grapalat" w:hAnsi="GHEA Grapalat"/>
                <w:bCs/>
                <w:sz w:val="16"/>
                <w:szCs w:val="16"/>
              </w:rPr>
              <w:t xml:space="preserve">Liquidity injection and absorption through the Central Bank operations </w:t>
            </w:r>
            <w:r w:rsidRPr="0043638B">
              <w:rPr>
                <w:rFonts w:ascii="GHEA Grapalat" w:hAnsi="GHEA Grapalat"/>
                <w:bCs/>
                <w:i/>
                <w:sz w:val="16"/>
                <w:szCs w:val="16"/>
              </w:rPr>
              <w:t xml:space="preserve">(average monthly value, million AMD) </w:t>
            </w:r>
          </w:p>
        </w:tc>
        <w:tc>
          <w:tcPr>
            <w:tcW w:w="368" w:type="dxa"/>
            <w:vAlign w:val="bottom"/>
            <w:hideMark/>
          </w:tcPr>
          <w:p w14:paraId="04E9511F" w14:textId="77777777" w:rsidR="00D21F21" w:rsidRDefault="00D21F21" w:rsidP="00260739">
            <w:pPr>
              <w:spacing w:before="20" w:after="20"/>
              <w:jc w:val="right"/>
              <w:rPr>
                <w:rFonts w:ascii="GHEA Grapalat" w:hAnsi="GHEA Grapalat" w:cs="Sylfaen"/>
                <w:bCs/>
                <w:sz w:val="16"/>
                <w:szCs w:val="16"/>
              </w:rPr>
            </w:pPr>
            <w:r>
              <w:rPr>
                <w:rFonts w:ascii="GHEA Grapalat" w:hAnsi="GHEA Grapalat" w:cs="Sylfaen"/>
                <w:bCs/>
                <w:sz w:val="16"/>
                <w:szCs w:val="16"/>
              </w:rPr>
              <w:t>28</w:t>
            </w:r>
          </w:p>
        </w:tc>
      </w:tr>
      <w:tr w:rsidR="00D21F21" w14:paraId="29F8B8CC" w14:textId="77777777" w:rsidTr="00260739">
        <w:trPr>
          <w:trHeight w:val="20"/>
        </w:trPr>
        <w:tc>
          <w:tcPr>
            <w:tcW w:w="970" w:type="dxa"/>
            <w:noWrap/>
            <w:hideMark/>
          </w:tcPr>
          <w:p w14:paraId="0EA913A7" w14:textId="77777777" w:rsidR="00D21F21" w:rsidRDefault="00D21F21" w:rsidP="00260739">
            <w:pPr>
              <w:spacing w:before="20" w:after="20"/>
              <w:rPr>
                <w:rFonts w:ascii="GHEA Grapalat" w:hAnsi="GHEA Grapalat"/>
                <w:color w:val="000000"/>
                <w:sz w:val="16"/>
                <w:szCs w:val="16"/>
              </w:rPr>
            </w:pPr>
            <w:r>
              <w:rPr>
                <w:rFonts w:ascii="GHEA Grapalat" w:hAnsi="GHEA Grapalat"/>
                <w:color w:val="000000"/>
                <w:sz w:val="16"/>
                <w:szCs w:val="16"/>
              </w:rPr>
              <w:t>Chart 44</w:t>
            </w:r>
          </w:p>
        </w:tc>
        <w:tc>
          <w:tcPr>
            <w:tcW w:w="4899" w:type="dxa"/>
            <w:vAlign w:val="bottom"/>
            <w:hideMark/>
          </w:tcPr>
          <w:p w14:paraId="0763B7DA" w14:textId="77777777" w:rsidR="00D21F21" w:rsidRPr="0043638B" w:rsidRDefault="00315BD7" w:rsidP="00260739">
            <w:pPr>
              <w:spacing w:before="20" w:after="20"/>
              <w:rPr>
                <w:rFonts w:ascii="GHEA Grapalat" w:hAnsi="GHEA Grapalat" w:cs="Sylfaen"/>
                <w:bCs/>
                <w:sz w:val="16"/>
                <w:szCs w:val="16"/>
              </w:rPr>
            </w:pPr>
            <w:r w:rsidRPr="0043638B">
              <w:rPr>
                <w:rFonts w:ascii="GHEA Grapalat" w:hAnsi="GHEA Grapalat"/>
                <w:bCs/>
                <w:iCs/>
                <w:sz w:val="16"/>
                <w:szCs w:val="16"/>
                <w:lang w:val="hy-AM"/>
              </w:rPr>
              <w:t>The behavior of short-term interest rates in the third quarter</w:t>
            </w:r>
            <w:r w:rsidRPr="0043638B">
              <w:rPr>
                <w:rFonts w:ascii="GHEA Grapalat" w:hAnsi="GHEA Grapalat"/>
                <w:bCs/>
                <w:iCs/>
                <w:sz w:val="16"/>
                <w:szCs w:val="16"/>
              </w:rPr>
              <w:t xml:space="preserve"> of 2017 </w:t>
            </w:r>
          </w:p>
        </w:tc>
        <w:tc>
          <w:tcPr>
            <w:tcW w:w="368" w:type="dxa"/>
            <w:vAlign w:val="bottom"/>
            <w:hideMark/>
          </w:tcPr>
          <w:p w14:paraId="1790D2EE" w14:textId="77777777" w:rsidR="00D21F21" w:rsidRDefault="00D21F21" w:rsidP="00260739">
            <w:pPr>
              <w:spacing w:before="20" w:after="20"/>
              <w:jc w:val="right"/>
              <w:rPr>
                <w:rFonts w:ascii="GHEA Grapalat" w:hAnsi="GHEA Grapalat" w:cs="Sylfaen"/>
                <w:bCs/>
                <w:sz w:val="16"/>
                <w:szCs w:val="16"/>
              </w:rPr>
            </w:pPr>
            <w:r>
              <w:rPr>
                <w:rFonts w:ascii="GHEA Grapalat" w:hAnsi="GHEA Grapalat" w:cs="Sylfaen"/>
                <w:bCs/>
                <w:sz w:val="16"/>
                <w:szCs w:val="16"/>
              </w:rPr>
              <w:t>29</w:t>
            </w:r>
          </w:p>
        </w:tc>
      </w:tr>
      <w:tr w:rsidR="00D21F21" w14:paraId="394443A9" w14:textId="77777777" w:rsidTr="00260739">
        <w:trPr>
          <w:trHeight w:val="20"/>
        </w:trPr>
        <w:tc>
          <w:tcPr>
            <w:tcW w:w="970" w:type="dxa"/>
            <w:noWrap/>
            <w:hideMark/>
          </w:tcPr>
          <w:p w14:paraId="45D636C3" w14:textId="77777777" w:rsidR="00D21F21" w:rsidRDefault="00D21F21" w:rsidP="00260739">
            <w:pPr>
              <w:spacing w:before="20" w:after="20"/>
              <w:rPr>
                <w:rFonts w:ascii="GHEA Grapalat" w:hAnsi="GHEA Grapalat"/>
                <w:color w:val="000000"/>
                <w:sz w:val="16"/>
                <w:szCs w:val="16"/>
              </w:rPr>
            </w:pPr>
            <w:r>
              <w:rPr>
                <w:rFonts w:ascii="GHEA Grapalat" w:hAnsi="GHEA Grapalat"/>
                <w:color w:val="000000"/>
                <w:sz w:val="16"/>
                <w:szCs w:val="16"/>
              </w:rPr>
              <w:t>Chart 45</w:t>
            </w:r>
          </w:p>
        </w:tc>
        <w:tc>
          <w:tcPr>
            <w:tcW w:w="4899" w:type="dxa"/>
            <w:vAlign w:val="bottom"/>
            <w:hideMark/>
          </w:tcPr>
          <w:p w14:paraId="45FFA9B6" w14:textId="77777777" w:rsidR="00D21F21" w:rsidRPr="0043638B" w:rsidRDefault="00315BD7" w:rsidP="00260739">
            <w:pPr>
              <w:spacing w:before="20" w:after="20"/>
              <w:rPr>
                <w:rFonts w:ascii="GHEA Grapalat" w:hAnsi="GHEA Grapalat" w:cs="Sylfaen"/>
                <w:bCs/>
                <w:sz w:val="16"/>
                <w:szCs w:val="16"/>
              </w:rPr>
            </w:pPr>
            <w:r w:rsidRPr="0043638B">
              <w:rPr>
                <w:rFonts w:ascii="GHEA Grapalat" w:hAnsi="GHEA Grapalat"/>
                <w:bCs/>
                <w:iCs/>
                <w:sz w:val="16"/>
                <w:szCs w:val="16"/>
              </w:rPr>
              <w:t>In the third quarter of 201</w:t>
            </w:r>
            <w:r w:rsidRPr="0043638B">
              <w:rPr>
                <w:rFonts w:ascii="GHEA Grapalat" w:hAnsi="GHEA Grapalat"/>
                <w:bCs/>
                <w:iCs/>
                <w:sz w:val="16"/>
                <w:szCs w:val="16"/>
                <w:lang w:val="hy-AM"/>
              </w:rPr>
              <w:t>7</w:t>
            </w:r>
            <w:r w:rsidRPr="0043638B">
              <w:rPr>
                <w:rFonts w:ascii="GHEA Grapalat" w:hAnsi="GHEA Grapalat"/>
                <w:bCs/>
                <w:iCs/>
                <w:sz w:val="16"/>
                <w:szCs w:val="16"/>
              </w:rPr>
              <w:t xml:space="preserve"> yields in the government bond market dropped all along the curve </w:t>
            </w:r>
          </w:p>
        </w:tc>
        <w:tc>
          <w:tcPr>
            <w:tcW w:w="368" w:type="dxa"/>
            <w:vAlign w:val="bottom"/>
            <w:hideMark/>
          </w:tcPr>
          <w:p w14:paraId="7C1E80E8" w14:textId="77777777" w:rsidR="00D21F21" w:rsidRDefault="00D21F21" w:rsidP="00260739">
            <w:pPr>
              <w:spacing w:before="20" w:after="20"/>
              <w:jc w:val="right"/>
              <w:rPr>
                <w:rFonts w:ascii="GHEA Grapalat" w:hAnsi="GHEA Grapalat" w:cs="Sylfaen"/>
                <w:bCs/>
                <w:sz w:val="16"/>
                <w:szCs w:val="16"/>
              </w:rPr>
            </w:pPr>
            <w:r>
              <w:rPr>
                <w:rFonts w:ascii="GHEA Grapalat" w:hAnsi="GHEA Grapalat" w:cs="Sylfaen"/>
                <w:bCs/>
                <w:sz w:val="16"/>
                <w:szCs w:val="16"/>
              </w:rPr>
              <w:t>29</w:t>
            </w:r>
          </w:p>
        </w:tc>
      </w:tr>
      <w:tr w:rsidR="00D21F21" w14:paraId="7D34DAF2" w14:textId="77777777" w:rsidTr="00260739">
        <w:trPr>
          <w:trHeight w:val="20"/>
        </w:trPr>
        <w:tc>
          <w:tcPr>
            <w:tcW w:w="970" w:type="dxa"/>
            <w:noWrap/>
            <w:hideMark/>
          </w:tcPr>
          <w:p w14:paraId="0AE47C25" w14:textId="77777777" w:rsidR="00D21F21" w:rsidRDefault="00D21F21" w:rsidP="00260739">
            <w:pPr>
              <w:spacing w:before="20" w:after="20"/>
              <w:rPr>
                <w:rFonts w:ascii="GHEA Grapalat" w:hAnsi="GHEA Grapalat"/>
                <w:color w:val="000000"/>
                <w:sz w:val="16"/>
                <w:szCs w:val="16"/>
              </w:rPr>
            </w:pPr>
            <w:r>
              <w:rPr>
                <w:rFonts w:ascii="GHEA Grapalat" w:hAnsi="GHEA Grapalat"/>
                <w:color w:val="000000"/>
                <w:sz w:val="16"/>
                <w:szCs w:val="16"/>
              </w:rPr>
              <w:t>Chart 46</w:t>
            </w:r>
          </w:p>
        </w:tc>
        <w:tc>
          <w:tcPr>
            <w:tcW w:w="4899" w:type="dxa"/>
            <w:vAlign w:val="bottom"/>
            <w:hideMark/>
          </w:tcPr>
          <w:p w14:paraId="7A7B516F" w14:textId="77777777" w:rsidR="00D21F21" w:rsidRPr="0043638B" w:rsidRDefault="00315BD7" w:rsidP="00260739">
            <w:pPr>
              <w:spacing w:before="20" w:after="20"/>
              <w:rPr>
                <w:rFonts w:ascii="GHEA Grapalat" w:hAnsi="GHEA Grapalat" w:cs="Sylfaen"/>
                <w:bCs/>
                <w:sz w:val="16"/>
                <w:szCs w:val="16"/>
              </w:rPr>
            </w:pPr>
            <w:r w:rsidRPr="0043638B">
              <w:rPr>
                <w:rFonts w:ascii="GHEA Grapalat" w:hAnsi="GHEA Grapalat" w:cs="Sylfaen"/>
                <w:sz w:val="16"/>
                <w:szCs w:val="16"/>
              </w:rPr>
              <w:t>Interest rates on deposits of and loans to companies</w:t>
            </w:r>
          </w:p>
        </w:tc>
        <w:tc>
          <w:tcPr>
            <w:tcW w:w="368" w:type="dxa"/>
            <w:vAlign w:val="bottom"/>
            <w:hideMark/>
          </w:tcPr>
          <w:p w14:paraId="67EFFFCA" w14:textId="77777777" w:rsidR="00D21F21" w:rsidRDefault="00D21F21" w:rsidP="00260739">
            <w:pPr>
              <w:spacing w:before="20" w:after="20"/>
              <w:jc w:val="right"/>
              <w:rPr>
                <w:rFonts w:ascii="GHEA Grapalat" w:hAnsi="GHEA Grapalat" w:cs="Sylfaen"/>
                <w:bCs/>
                <w:sz w:val="16"/>
                <w:szCs w:val="16"/>
              </w:rPr>
            </w:pPr>
            <w:r>
              <w:rPr>
                <w:rFonts w:ascii="GHEA Grapalat" w:hAnsi="GHEA Grapalat" w:cs="Sylfaen"/>
                <w:bCs/>
                <w:sz w:val="16"/>
                <w:szCs w:val="16"/>
              </w:rPr>
              <w:t>29</w:t>
            </w:r>
          </w:p>
        </w:tc>
      </w:tr>
      <w:tr w:rsidR="00D21F21" w14:paraId="59844DDF" w14:textId="77777777" w:rsidTr="00260739">
        <w:trPr>
          <w:trHeight w:val="20"/>
        </w:trPr>
        <w:tc>
          <w:tcPr>
            <w:tcW w:w="970" w:type="dxa"/>
            <w:noWrap/>
            <w:hideMark/>
          </w:tcPr>
          <w:p w14:paraId="6FC06BB3" w14:textId="77777777" w:rsidR="00D21F21" w:rsidRDefault="00D21F21" w:rsidP="00260739">
            <w:pPr>
              <w:spacing w:before="20" w:after="20"/>
              <w:rPr>
                <w:rFonts w:ascii="GHEA Grapalat" w:hAnsi="GHEA Grapalat"/>
                <w:color w:val="000000"/>
                <w:sz w:val="16"/>
                <w:szCs w:val="16"/>
              </w:rPr>
            </w:pPr>
            <w:r>
              <w:rPr>
                <w:rFonts w:ascii="GHEA Grapalat" w:hAnsi="GHEA Grapalat"/>
                <w:color w:val="000000"/>
                <w:sz w:val="16"/>
                <w:szCs w:val="16"/>
              </w:rPr>
              <w:t>Chart 47</w:t>
            </w:r>
          </w:p>
        </w:tc>
        <w:tc>
          <w:tcPr>
            <w:tcW w:w="4899" w:type="dxa"/>
            <w:vAlign w:val="bottom"/>
            <w:hideMark/>
          </w:tcPr>
          <w:p w14:paraId="43F0A08C" w14:textId="77777777" w:rsidR="00D21F21" w:rsidRPr="0043638B" w:rsidRDefault="00315BD7" w:rsidP="00260739">
            <w:pPr>
              <w:spacing w:before="20" w:after="20"/>
              <w:rPr>
                <w:rFonts w:ascii="GHEA Grapalat" w:hAnsi="GHEA Grapalat" w:cs="Sylfaen"/>
                <w:bCs/>
                <w:sz w:val="16"/>
                <w:szCs w:val="16"/>
              </w:rPr>
            </w:pPr>
            <w:r w:rsidRPr="0043638B">
              <w:rPr>
                <w:rFonts w:ascii="GHEA Grapalat" w:hAnsi="GHEA Grapalat" w:cs="Sylfaen"/>
                <w:sz w:val="16"/>
                <w:szCs w:val="16"/>
              </w:rPr>
              <w:t xml:space="preserve">Interest rates on deposits of and loans to individuals </w:t>
            </w:r>
          </w:p>
        </w:tc>
        <w:tc>
          <w:tcPr>
            <w:tcW w:w="368" w:type="dxa"/>
            <w:vAlign w:val="bottom"/>
            <w:hideMark/>
          </w:tcPr>
          <w:p w14:paraId="014BF1B5" w14:textId="77777777" w:rsidR="00D21F21" w:rsidRDefault="00D21F21" w:rsidP="00260739">
            <w:pPr>
              <w:spacing w:before="20" w:after="20"/>
              <w:jc w:val="right"/>
              <w:rPr>
                <w:rFonts w:ascii="GHEA Grapalat" w:hAnsi="GHEA Grapalat" w:cs="Sylfaen"/>
                <w:bCs/>
                <w:sz w:val="16"/>
                <w:szCs w:val="16"/>
              </w:rPr>
            </w:pPr>
            <w:r>
              <w:rPr>
                <w:rFonts w:ascii="GHEA Grapalat" w:hAnsi="GHEA Grapalat" w:cs="Sylfaen"/>
                <w:bCs/>
                <w:sz w:val="16"/>
                <w:szCs w:val="16"/>
              </w:rPr>
              <w:t>29</w:t>
            </w:r>
          </w:p>
        </w:tc>
      </w:tr>
      <w:tr w:rsidR="00D21F21" w14:paraId="3525C7BC" w14:textId="77777777" w:rsidTr="00260739">
        <w:trPr>
          <w:trHeight w:val="20"/>
        </w:trPr>
        <w:tc>
          <w:tcPr>
            <w:tcW w:w="970" w:type="dxa"/>
            <w:noWrap/>
            <w:hideMark/>
          </w:tcPr>
          <w:p w14:paraId="43AC48CB" w14:textId="77777777" w:rsidR="00D21F21" w:rsidRDefault="00D21F21" w:rsidP="00260739">
            <w:pPr>
              <w:spacing w:before="20" w:after="20"/>
              <w:rPr>
                <w:rFonts w:ascii="GHEA Grapalat" w:hAnsi="GHEA Grapalat"/>
                <w:color w:val="000000"/>
                <w:sz w:val="16"/>
                <w:szCs w:val="16"/>
              </w:rPr>
            </w:pPr>
            <w:r>
              <w:rPr>
                <w:rFonts w:ascii="GHEA Grapalat" w:hAnsi="GHEA Grapalat"/>
                <w:color w:val="000000"/>
                <w:sz w:val="16"/>
                <w:szCs w:val="16"/>
              </w:rPr>
              <w:t>Chart 48</w:t>
            </w:r>
          </w:p>
        </w:tc>
        <w:tc>
          <w:tcPr>
            <w:tcW w:w="4899" w:type="dxa"/>
            <w:vAlign w:val="bottom"/>
            <w:hideMark/>
          </w:tcPr>
          <w:p w14:paraId="43715E73" w14:textId="77777777" w:rsidR="00D21F21" w:rsidRPr="0043638B" w:rsidRDefault="00315BD7" w:rsidP="00260739">
            <w:pPr>
              <w:spacing w:before="20" w:after="20"/>
              <w:rPr>
                <w:rFonts w:ascii="GHEA Grapalat" w:hAnsi="GHEA Grapalat" w:cs="Sylfaen"/>
                <w:bCs/>
                <w:sz w:val="16"/>
                <w:szCs w:val="16"/>
              </w:rPr>
            </w:pPr>
            <w:r w:rsidRPr="0043638B">
              <w:rPr>
                <w:rFonts w:ascii="GHEA Grapalat" w:hAnsi="GHEA Grapalat" w:cs="Sylfaen"/>
                <w:sz w:val="16"/>
                <w:szCs w:val="16"/>
              </w:rPr>
              <w:t xml:space="preserve">In the third quarter of </w:t>
            </w:r>
            <w:r w:rsidRPr="0043638B">
              <w:rPr>
                <w:rFonts w:ascii="GHEA Grapalat" w:hAnsi="GHEA Grapalat" w:cs="Sylfaen"/>
                <w:sz w:val="16"/>
                <w:szCs w:val="16"/>
                <w:lang w:val="hy-AM"/>
              </w:rPr>
              <w:t>201</w:t>
            </w:r>
            <w:r w:rsidRPr="0043638B">
              <w:rPr>
                <w:rFonts w:ascii="GHEA Grapalat" w:hAnsi="GHEA Grapalat" w:cs="Sylfaen"/>
                <w:sz w:val="16"/>
                <w:szCs w:val="16"/>
              </w:rPr>
              <w:t>7</w:t>
            </w:r>
            <w:r w:rsidRPr="0043638B">
              <w:rPr>
                <w:rFonts w:ascii="GHEA Grapalat" w:hAnsi="GHEA Grapalat" w:cs="Sylfaen"/>
                <w:sz w:val="16"/>
                <w:szCs w:val="16"/>
                <w:lang w:val="hy-AM"/>
              </w:rPr>
              <w:t xml:space="preserve"> </w:t>
            </w:r>
            <w:r w:rsidRPr="0043638B">
              <w:rPr>
                <w:rFonts w:ascii="GHEA Grapalat" w:hAnsi="GHEA Grapalat" w:cs="Sylfaen"/>
                <w:sz w:val="16"/>
                <w:szCs w:val="16"/>
              </w:rPr>
              <w:t xml:space="preserve">the dram deposits outgrew foreign currency deposits </w:t>
            </w:r>
            <w:r w:rsidRPr="0043638B">
              <w:rPr>
                <w:rFonts w:ascii="GHEA Grapalat" w:hAnsi="GHEA Grapalat" w:cs="Sylfaen"/>
                <w:bCs/>
                <w:i/>
                <w:sz w:val="16"/>
                <w:szCs w:val="16"/>
              </w:rPr>
              <w:t xml:space="preserve">(billion AMD) </w:t>
            </w:r>
          </w:p>
        </w:tc>
        <w:tc>
          <w:tcPr>
            <w:tcW w:w="368" w:type="dxa"/>
            <w:vAlign w:val="bottom"/>
            <w:hideMark/>
          </w:tcPr>
          <w:p w14:paraId="6F413F49" w14:textId="77777777" w:rsidR="00D21F21" w:rsidRDefault="00D21F21" w:rsidP="00260739">
            <w:pPr>
              <w:spacing w:before="20" w:after="20"/>
              <w:jc w:val="right"/>
              <w:rPr>
                <w:rFonts w:ascii="GHEA Grapalat" w:hAnsi="GHEA Grapalat" w:cs="Sylfaen"/>
                <w:bCs/>
                <w:sz w:val="16"/>
                <w:szCs w:val="16"/>
              </w:rPr>
            </w:pPr>
            <w:r>
              <w:rPr>
                <w:rFonts w:ascii="GHEA Grapalat" w:hAnsi="GHEA Grapalat" w:cs="Sylfaen"/>
                <w:bCs/>
                <w:sz w:val="16"/>
                <w:szCs w:val="16"/>
              </w:rPr>
              <w:t>30</w:t>
            </w:r>
          </w:p>
        </w:tc>
      </w:tr>
    </w:tbl>
    <w:p w14:paraId="056C46A6" w14:textId="77777777" w:rsidR="00D21F21" w:rsidRDefault="00D21F21" w:rsidP="00D21F21">
      <w:pPr>
        <w:spacing w:line="300" w:lineRule="atLeast"/>
        <w:jc w:val="center"/>
        <w:rPr>
          <w:rFonts w:ascii="GHEA Grapalat" w:hAnsi="GHEA Grapalat"/>
          <w:b/>
          <w:bCs/>
          <w:color w:val="1F497D" w:themeColor="text2"/>
          <w:sz w:val="20"/>
          <w:szCs w:val="20"/>
        </w:rPr>
      </w:pPr>
    </w:p>
    <w:p w14:paraId="25DF0F7F" w14:textId="77777777" w:rsidR="00D21F21" w:rsidRDefault="00D21F21" w:rsidP="00D21F21">
      <w:pPr>
        <w:spacing w:line="300" w:lineRule="atLeast"/>
        <w:jc w:val="center"/>
        <w:rPr>
          <w:rFonts w:ascii="GHEA Grapalat" w:hAnsi="GHEA Grapalat"/>
          <w:b/>
          <w:bCs/>
          <w:color w:val="1F497D" w:themeColor="text2"/>
          <w:sz w:val="20"/>
          <w:szCs w:val="20"/>
        </w:rPr>
      </w:pPr>
    </w:p>
    <w:p w14:paraId="79622FA9" w14:textId="77777777" w:rsidR="00D21F21" w:rsidRDefault="00D21F21" w:rsidP="00D21F21">
      <w:pPr>
        <w:spacing w:line="300" w:lineRule="atLeast"/>
        <w:jc w:val="center"/>
        <w:rPr>
          <w:rFonts w:ascii="GHEA Grapalat" w:hAnsi="GHEA Grapalat"/>
          <w:b/>
          <w:bCs/>
          <w:color w:val="1F497D" w:themeColor="text2"/>
          <w:sz w:val="20"/>
          <w:szCs w:val="20"/>
        </w:rPr>
      </w:pPr>
    </w:p>
    <w:p w14:paraId="46CB4CE5" w14:textId="77777777" w:rsidR="00D21F21" w:rsidRDefault="00D21F21" w:rsidP="00D21F21">
      <w:pPr>
        <w:spacing w:line="300" w:lineRule="atLeast"/>
        <w:jc w:val="center"/>
        <w:rPr>
          <w:rFonts w:ascii="GHEA Grapalat" w:hAnsi="GHEA Grapalat"/>
          <w:b/>
          <w:bCs/>
          <w:color w:val="1F497D" w:themeColor="text2"/>
          <w:sz w:val="20"/>
          <w:szCs w:val="20"/>
        </w:rPr>
      </w:pPr>
    </w:p>
    <w:p w14:paraId="0051D99E" w14:textId="77777777" w:rsidR="00D21F21" w:rsidRDefault="00D21F21" w:rsidP="00D21F21">
      <w:pPr>
        <w:spacing w:line="300" w:lineRule="atLeast"/>
        <w:jc w:val="center"/>
        <w:rPr>
          <w:rFonts w:ascii="GHEA Grapalat" w:hAnsi="GHEA Grapalat"/>
          <w:b/>
          <w:bCs/>
          <w:color w:val="1F497D" w:themeColor="text2"/>
          <w:sz w:val="20"/>
          <w:szCs w:val="20"/>
        </w:rPr>
      </w:pPr>
    </w:p>
    <w:p w14:paraId="5F162F81" w14:textId="77777777" w:rsidR="00D21F21" w:rsidRDefault="00D21F21" w:rsidP="00D21F21">
      <w:pPr>
        <w:spacing w:line="300" w:lineRule="atLeast"/>
        <w:jc w:val="center"/>
        <w:rPr>
          <w:rFonts w:ascii="GHEA Grapalat" w:hAnsi="GHEA Grapalat"/>
          <w:b/>
          <w:bCs/>
          <w:color w:val="1F497D" w:themeColor="text2"/>
          <w:sz w:val="20"/>
          <w:szCs w:val="20"/>
        </w:rPr>
      </w:pPr>
    </w:p>
    <w:p w14:paraId="71294F0A" w14:textId="77777777" w:rsidR="00D21F21" w:rsidRDefault="00D21F21" w:rsidP="00D21F21">
      <w:pPr>
        <w:spacing w:line="300" w:lineRule="atLeast"/>
        <w:jc w:val="center"/>
        <w:rPr>
          <w:rFonts w:ascii="GHEA Grapalat" w:hAnsi="GHEA Grapalat"/>
          <w:b/>
          <w:bCs/>
          <w:color w:val="1F497D" w:themeColor="text2"/>
          <w:sz w:val="20"/>
          <w:szCs w:val="20"/>
        </w:rPr>
      </w:pPr>
    </w:p>
    <w:p w14:paraId="58CA1F6D" w14:textId="77777777" w:rsidR="00D21F21" w:rsidRDefault="00D21F21" w:rsidP="00D21F21">
      <w:pPr>
        <w:spacing w:line="300" w:lineRule="atLeast"/>
        <w:jc w:val="center"/>
        <w:rPr>
          <w:rFonts w:ascii="GHEA Grapalat" w:hAnsi="GHEA Grapalat" w:cs="Sylfaen"/>
          <w:b/>
          <w:bCs/>
          <w:color w:val="1F497D" w:themeColor="text2"/>
          <w:sz w:val="20"/>
          <w:szCs w:val="20"/>
        </w:rPr>
      </w:pPr>
      <w:r>
        <w:rPr>
          <w:rFonts w:ascii="GHEA Grapalat" w:hAnsi="GHEA Grapalat" w:cs="Sylfaen"/>
          <w:b/>
          <w:bCs/>
          <w:color w:val="1F497D" w:themeColor="text2"/>
          <w:sz w:val="20"/>
          <w:szCs w:val="20"/>
        </w:rPr>
        <w:t>TABLES</w:t>
      </w:r>
    </w:p>
    <w:p w14:paraId="5D248EE8" w14:textId="77777777" w:rsidR="00D21F21" w:rsidRDefault="00D21F21" w:rsidP="00D21F21">
      <w:pPr>
        <w:spacing w:line="300" w:lineRule="atLeast"/>
        <w:jc w:val="center"/>
        <w:rPr>
          <w:rFonts w:ascii="GHEA Grapalat" w:hAnsi="GHEA Grapalat" w:cs="Sylfaen"/>
          <w:b/>
          <w:bCs/>
          <w:color w:val="1F497D" w:themeColor="text2"/>
          <w:sz w:val="20"/>
          <w:szCs w:val="20"/>
        </w:rPr>
      </w:pPr>
    </w:p>
    <w:tbl>
      <w:tblPr>
        <w:tblW w:w="6237" w:type="dxa"/>
        <w:tblInd w:w="108" w:type="dxa"/>
        <w:tblCellMar>
          <w:left w:w="28" w:type="dxa"/>
          <w:right w:w="28" w:type="dxa"/>
        </w:tblCellMar>
        <w:tblLook w:val="04A0" w:firstRow="1" w:lastRow="0" w:firstColumn="1" w:lastColumn="0" w:noHBand="0" w:noVBand="1"/>
      </w:tblPr>
      <w:tblGrid>
        <w:gridCol w:w="970"/>
        <w:gridCol w:w="4899"/>
        <w:gridCol w:w="368"/>
      </w:tblGrid>
      <w:tr w:rsidR="00D21F21" w14:paraId="31E07C5B" w14:textId="77777777" w:rsidTr="00260739">
        <w:trPr>
          <w:trHeight w:val="20"/>
        </w:trPr>
        <w:tc>
          <w:tcPr>
            <w:tcW w:w="970" w:type="dxa"/>
            <w:noWrap/>
            <w:hideMark/>
          </w:tcPr>
          <w:p w14:paraId="5E8B5337"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Table 1</w:t>
            </w:r>
          </w:p>
        </w:tc>
        <w:tc>
          <w:tcPr>
            <w:tcW w:w="4899" w:type="dxa"/>
            <w:vAlign w:val="bottom"/>
            <w:hideMark/>
          </w:tcPr>
          <w:p w14:paraId="22044544" w14:textId="77777777" w:rsidR="00D21F21" w:rsidRPr="0043638B" w:rsidRDefault="00E73EC9" w:rsidP="00260739">
            <w:pPr>
              <w:spacing w:before="26" w:after="26"/>
              <w:rPr>
                <w:rFonts w:ascii="GHEA Grapalat" w:hAnsi="GHEA Grapalat"/>
                <w:color w:val="000000"/>
                <w:sz w:val="16"/>
                <w:szCs w:val="16"/>
              </w:rPr>
            </w:pPr>
            <w:r w:rsidRPr="0043638B">
              <w:rPr>
                <w:rFonts w:ascii="GHEA Grapalat" w:eastAsia="Calibri" w:hAnsi="GHEA Grapalat"/>
                <w:iCs/>
                <w:sz w:val="16"/>
                <w:szCs w:val="16"/>
              </w:rPr>
              <w:t>Inflation interval forecast probability distribution</w:t>
            </w:r>
          </w:p>
        </w:tc>
        <w:tc>
          <w:tcPr>
            <w:tcW w:w="368" w:type="dxa"/>
            <w:vAlign w:val="bottom"/>
            <w:hideMark/>
          </w:tcPr>
          <w:p w14:paraId="18E204D7" w14:textId="77777777" w:rsidR="00D21F21" w:rsidRDefault="00D21F21" w:rsidP="00260739">
            <w:pPr>
              <w:spacing w:before="26" w:after="26"/>
              <w:jc w:val="right"/>
              <w:rPr>
                <w:rFonts w:ascii="GHEA Grapalat" w:hAnsi="GHEA Grapalat" w:cs="Sylfaen"/>
                <w:bCs/>
                <w:sz w:val="16"/>
                <w:szCs w:val="16"/>
              </w:rPr>
            </w:pPr>
            <w:r>
              <w:rPr>
                <w:rFonts w:ascii="GHEA Grapalat" w:hAnsi="GHEA Grapalat" w:cs="Sylfaen"/>
                <w:bCs/>
                <w:sz w:val="16"/>
                <w:szCs w:val="16"/>
              </w:rPr>
              <w:t>10</w:t>
            </w:r>
          </w:p>
        </w:tc>
      </w:tr>
      <w:tr w:rsidR="00D21F21" w14:paraId="455A5809" w14:textId="77777777" w:rsidTr="00260739">
        <w:trPr>
          <w:trHeight w:val="20"/>
        </w:trPr>
        <w:tc>
          <w:tcPr>
            <w:tcW w:w="970" w:type="dxa"/>
            <w:noWrap/>
            <w:hideMark/>
          </w:tcPr>
          <w:p w14:paraId="0C0F7725"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Table 2</w:t>
            </w:r>
          </w:p>
        </w:tc>
        <w:tc>
          <w:tcPr>
            <w:tcW w:w="4899" w:type="dxa"/>
            <w:vAlign w:val="center"/>
            <w:hideMark/>
          </w:tcPr>
          <w:p w14:paraId="485A6FE0" w14:textId="77777777" w:rsidR="00D21F21" w:rsidRPr="0043638B" w:rsidRDefault="00033894" w:rsidP="00260739">
            <w:pPr>
              <w:spacing w:before="26" w:after="26"/>
              <w:rPr>
                <w:rFonts w:ascii="GHEA Grapalat" w:hAnsi="GHEA Grapalat"/>
                <w:sz w:val="16"/>
                <w:szCs w:val="16"/>
              </w:rPr>
            </w:pPr>
            <w:r w:rsidRPr="0043638B">
              <w:rPr>
                <w:rFonts w:ascii="GHEA Grapalat" w:hAnsi="GHEA Grapalat" w:cs="Sylfaen"/>
                <w:sz w:val="16"/>
                <w:szCs w:val="16"/>
              </w:rPr>
              <w:t>Real GDP Growth (Cumulative) Projection Probability Distribution</w:t>
            </w:r>
          </w:p>
        </w:tc>
        <w:tc>
          <w:tcPr>
            <w:tcW w:w="368" w:type="dxa"/>
            <w:vAlign w:val="bottom"/>
            <w:hideMark/>
          </w:tcPr>
          <w:p w14:paraId="5082CF5F" w14:textId="77777777" w:rsidR="00D21F21" w:rsidRDefault="00D21F21" w:rsidP="00260739">
            <w:pPr>
              <w:spacing w:before="26" w:after="26"/>
              <w:jc w:val="right"/>
              <w:rPr>
                <w:rFonts w:ascii="GHEA Grapalat" w:hAnsi="GHEA Grapalat" w:cs="Sylfaen"/>
                <w:sz w:val="16"/>
                <w:szCs w:val="16"/>
              </w:rPr>
            </w:pPr>
            <w:r>
              <w:rPr>
                <w:rFonts w:ascii="GHEA Grapalat" w:hAnsi="GHEA Grapalat" w:cs="Sylfaen"/>
                <w:sz w:val="16"/>
                <w:szCs w:val="16"/>
              </w:rPr>
              <w:t>14</w:t>
            </w:r>
          </w:p>
        </w:tc>
      </w:tr>
      <w:tr w:rsidR="00D21F21" w14:paraId="6DF24B7F" w14:textId="77777777" w:rsidTr="00260739">
        <w:trPr>
          <w:trHeight w:val="20"/>
        </w:trPr>
        <w:tc>
          <w:tcPr>
            <w:tcW w:w="970" w:type="dxa"/>
            <w:noWrap/>
            <w:hideMark/>
          </w:tcPr>
          <w:p w14:paraId="35F03A05"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Table 3</w:t>
            </w:r>
          </w:p>
        </w:tc>
        <w:tc>
          <w:tcPr>
            <w:tcW w:w="4899" w:type="dxa"/>
            <w:noWrap/>
            <w:vAlign w:val="bottom"/>
            <w:hideMark/>
          </w:tcPr>
          <w:p w14:paraId="5BEEA91B" w14:textId="77777777" w:rsidR="00D21F21" w:rsidRPr="0043638B" w:rsidRDefault="00033894" w:rsidP="00260739">
            <w:pPr>
              <w:spacing w:before="26" w:after="26"/>
              <w:rPr>
                <w:rFonts w:ascii="GHEA Grapalat" w:hAnsi="GHEA Grapalat" w:cs="Sylfaen"/>
                <w:sz w:val="16"/>
                <w:szCs w:val="16"/>
                <w:lang w:val="hy-AM"/>
              </w:rPr>
            </w:pPr>
            <w:r w:rsidRPr="0043638B">
              <w:rPr>
                <w:rFonts w:ascii="GHEA Grapalat" w:hAnsi="GHEA Grapalat"/>
                <w:sz w:val="16"/>
                <w:szCs w:val="16"/>
              </w:rPr>
              <w:t>I</w:t>
            </w:r>
            <w:r w:rsidRPr="0043638B">
              <w:rPr>
                <w:rFonts w:ascii="GHEA Grapalat" w:hAnsi="GHEA Grapalat"/>
                <w:sz w:val="16"/>
                <w:szCs w:val="16"/>
                <w:lang w:val="hy-AM"/>
              </w:rPr>
              <w:t xml:space="preserve">mpact assessment of excise </w:t>
            </w:r>
            <w:r w:rsidRPr="0043638B">
              <w:rPr>
                <w:rFonts w:ascii="GHEA Grapalat" w:hAnsi="GHEA Grapalat"/>
                <w:sz w:val="16"/>
                <w:szCs w:val="16"/>
              </w:rPr>
              <w:t xml:space="preserve">duty </w:t>
            </w:r>
            <w:r w:rsidRPr="0043638B">
              <w:rPr>
                <w:rFonts w:ascii="GHEA Grapalat" w:hAnsi="GHEA Grapalat"/>
                <w:sz w:val="16"/>
                <w:szCs w:val="16"/>
                <w:lang w:val="hy-AM"/>
              </w:rPr>
              <w:t>rate change</w:t>
            </w:r>
            <w:r w:rsidRPr="0043638B">
              <w:rPr>
                <w:rFonts w:ascii="GHEA Grapalat" w:hAnsi="GHEA Grapalat"/>
                <w:sz w:val="16"/>
                <w:szCs w:val="16"/>
              </w:rPr>
              <w:t xml:space="preserve"> in 2018</w:t>
            </w:r>
          </w:p>
        </w:tc>
        <w:tc>
          <w:tcPr>
            <w:tcW w:w="368" w:type="dxa"/>
            <w:vAlign w:val="bottom"/>
            <w:hideMark/>
          </w:tcPr>
          <w:p w14:paraId="6DDA6219" w14:textId="77777777" w:rsidR="00D21F21" w:rsidRDefault="00D21F21" w:rsidP="00260739">
            <w:pPr>
              <w:spacing w:before="26" w:after="26"/>
              <w:jc w:val="right"/>
              <w:rPr>
                <w:rFonts w:ascii="GHEA Grapalat" w:hAnsi="GHEA Grapalat" w:cs="Sylfaen"/>
                <w:sz w:val="16"/>
                <w:szCs w:val="16"/>
              </w:rPr>
            </w:pPr>
            <w:r>
              <w:rPr>
                <w:rFonts w:ascii="GHEA Grapalat" w:hAnsi="GHEA Grapalat" w:cs="Sylfaen"/>
                <w:sz w:val="16"/>
                <w:szCs w:val="16"/>
              </w:rPr>
              <w:t>16</w:t>
            </w:r>
          </w:p>
        </w:tc>
      </w:tr>
      <w:tr w:rsidR="00D21F21" w14:paraId="38B3977F" w14:textId="77777777" w:rsidTr="00260739">
        <w:trPr>
          <w:trHeight w:val="20"/>
        </w:trPr>
        <w:tc>
          <w:tcPr>
            <w:tcW w:w="970" w:type="dxa"/>
            <w:noWrap/>
            <w:hideMark/>
          </w:tcPr>
          <w:p w14:paraId="03472F11"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Table 4</w:t>
            </w:r>
          </w:p>
        </w:tc>
        <w:tc>
          <w:tcPr>
            <w:tcW w:w="4899" w:type="dxa"/>
            <w:noWrap/>
            <w:vAlign w:val="bottom"/>
            <w:hideMark/>
          </w:tcPr>
          <w:p w14:paraId="5CE55041" w14:textId="77777777" w:rsidR="00D21F21" w:rsidRPr="0043638B" w:rsidRDefault="00E705D0" w:rsidP="00E705D0">
            <w:pPr>
              <w:spacing w:before="26" w:after="26"/>
              <w:rPr>
                <w:rFonts w:ascii="GHEA Grapalat" w:hAnsi="GHEA Grapalat" w:cs="Sylfaen"/>
                <w:sz w:val="16"/>
                <w:szCs w:val="16"/>
                <w:lang w:val="hy-AM"/>
              </w:rPr>
            </w:pPr>
            <w:r w:rsidRPr="0043638B">
              <w:rPr>
                <w:rFonts w:ascii="GHEA Grapalat" w:hAnsi="GHEA Grapalat" w:cs="Sylfaen"/>
                <w:sz w:val="16"/>
                <w:szCs w:val="16"/>
              </w:rPr>
              <w:t>Main judgments and assumptions</w:t>
            </w:r>
          </w:p>
        </w:tc>
        <w:tc>
          <w:tcPr>
            <w:tcW w:w="368" w:type="dxa"/>
            <w:vAlign w:val="bottom"/>
            <w:hideMark/>
          </w:tcPr>
          <w:p w14:paraId="6444A67B" w14:textId="77777777" w:rsidR="00D21F21" w:rsidRDefault="00D21F21" w:rsidP="00260739">
            <w:pPr>
              <w:spacing w:before="26" w:after="26"/>
              <w:jc w:val="right"/>
              <w:rPr>
                <w:rFonts w:ascii="GHEA Grapalat" w:hAnsi="GHEA Grapalat" w:cs="Sylfaen"/>
                <w:sz w:val="16"/>
                <w:szCs w:val="16"/>
              </w:rPr>
            </w:pPr>
            <w:r>
              <w:rPr>
                <w:rFonts w:ascii="GHEA Grapalat" w:hAnsi="GHEA Grapalat" w:cs="Sylfaen"/>
                <w:sz w:val="16"/>
                <w:szCs w:val="16"/>
              </w:rPr>
              <w:t>18</w:t>
            </w:r>
          </w:p>
        </w:tc>
      </w:tr>
      <w:tr w:rsidR="00D21F21" w14:paraId="266D0BF8" w14:textId="77777777" w:rsidTr="00260739">
        <w:trPr>
          <w:trHeight w:val="20"/>
        </w:trPr>
        <w:tc>
          <w:tcPr>
            <w:tcW w:w="970" w:type="dxa"/>
            <w:noWrap/>
            <w:hideMark/>
          </w:tcPr>
          <w:p w14:paraId="5CC7C2AB"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Table 5</w:t>
            </w:r>
          </w:p>
        </w:tc>
        <w:tc>
          <w:tcPr>
            <w:tcW w:w="4899" w:type="dxa"/>
            <w:noWrap/>
            <w:vAlign w:val="bottom"/>
            <w:hideMark/>
          </w:tcPr>
          <w:p w14:paraId="76840AA9" w14:textId="77777777" w:rsidR="00D21F21" w:rsidRPr="0043638B" w:rsidRDefault="00E705D0" w:rsidP="00260739">
            <w:pPr>
              <w:spacing w:before="26" w:after="26"/>
              <w:rPr>
                <w:rFonts w:ascii="GHEA Grapalat" w:hAnsi="GHEA Grapalat" w:cs="Sylfaen"/>
                <w:sz w:val="16"/>
                <w:szCs w:val="16"/>
                <w:lang w:val="hy-AM"/>
              </w:rPr>
            </w:pPr>
            <w:r w:rsidRPr="0043638B">
              <w:rPr>
                <w:rFonts w:ascii="GHEA Grapalat" w:hAnsi="GHEA Grapalat" w:cs="GHEA Grapalat"/>
                <w:sz w:val="16"/>
                <w:szCs w:val="16"/>
              </w:rPr>
              <w:t>Price inflation by commodity item as key contributors</w:t>
            </w:r>
          </w:p>
        </w:tc>
        <w:tc>
          <w:tcPr>
            <w:tcW w:w="368" w:type="dxa"/>
            <w:vAlign w:val="bottom"/>
            <w:hideMark/>
          </w:tcPr>
          <w:p w14:paraId="4299EEDA" w14:textId="77777777" w:rsidR="00D21F21" w:rsidRDefault="00D21F21" w:rsidP="00260739">
            <w:pPr>
              <w:spacing w:before="26" w:after="26"/>
              <w:jc w:val="right"/>
              <w:rPr>
                <w:rFonts w:ascii="GHEA Grapalat" w:hAnsi="GHEA Grapalat" w:cs="Sylfaen"/>
                <w:sz w:val="16"/>
                <w:szCs w:val="16"/>
              </w:rPr>
            </w:pPr>
            <w:r>
              <w:rPr>
                <w:rFonts w:ascii="GHEA Grapalat" w:hAnsi="GHEA Grapalat" w:cs="Sylfaen"/>
                <w:sz w:val="16"/>
                <w:szCs w:val="16"/>
              </w:rPr>
              <w:t>23</w:t>
            </w:r>
          </w:p>
        </w:tc>
      </w:tr>
      <w:tr w:rsidR="00D21F21" w14:paraId="6FEC0170" w14:textId="77777777" w:rsidTr="00260739">
        <w:trPr>
          <w:trHeight w:val="20"/>
        </w:trPr>
        <w:tc>
          <w:tcPr>
            <w:tcW w:w="970" w:type="dxa"/>
            <w:noWrap/>
            <w:hideMark/>
          </w:tcPr>
          <w:p w14:paraId="4070FCB7" w14:textId="77777777" w:rsidR="00D21F21" w:rsidRDefault="00D21F21" w:rsidP="00260739">
            <w:pPr>
              <w:spacing w:before="26" w:after="26"/>
              <w:rPr>
                <w:rFonts w:ascii="GHEA Grapalat" w:hAnsi="GHEA Grapalat"/>
                <w:color w:val="000000"/>
                <w:sz w:val="16"/>
                <w:szCs w:val="16"/>
              </w:rPr>
            </w:pPr>
            <w:r>
              <w:rPr>
                <w:rFonts w:ascii="GHEA Grapalat" w:hAnsi="GHEA Grapalat"/>
                <w:color w:val="000000"/>
                <w:sz w:val="16"/>
                <w:szCs w:val="16"/>
              </w:rPr>
              <w:t>Table 6</w:t>
            </w:r>
          </w:p>
        </w:tc>
        <w:tc>
          <w:tcPr>
            <w:tcW w:w="4899" w:type="dxa"/>
            <w:noWrap/>
            <w:vAlign w:val="bottom"/>
            <w:hideMark/>
          </w:tcPr>
          <w:p w14:paraId="499BC73B" w14:textId="77777777" w:rsidR="00D21F21" w:rsidRPr="0043638B" w:rsidRDefault="00315BD7" w:rsidP="00260739">
            <w:pPr>
              <w:spacing w:before="26" w:after="26"/>
              <w:rPr>
                <w:rFonts w:ascii="GHEA Grapalat" w:hAnsi="GHEA Grapalat"/>
                <w:color w:val="000000"/>
                <w:sz w:val="16"/>
                <w:szCs w:val="16"/>
              </w:rPr>
            </w:pPr>
            <w:proofErr w:type="spellStart"/>
            <w:r w:rsidRPr="0043638B">
              <w:rPr>
                <w:rFonts w:ascii="GHEA Grapalat" w:hAnsi="GHEA Grapalat" w:cs="Sylfaen"/>
                <w:sz w:val="16"/>
                <w:szCs w:val="16"/>
                <w:lang w:val="es-AR"/>
              </w:rPr>
              <w:t>Average</w:t>
            </w:r>
            <w:proofErr w:type="spellEnd"/>
            <w:r w:rsidRPr="0043638B">
              <w:rPr>
                <w:rFonts w:ascii="GHEA Grapalat" w:hAnsi="GHEA Grapalat" w:cs="Sylfaen"/>
                <w:sz w:val="16"/>
                <w:szCs w:val="16"/>
                <w:lang w:val="es-AR"/>
              </w:rPr>
              <w:t xml:space="preserve"> </w:t>
            </w:r>
            <w:proofErr w:type="spellStart"/>
            <w:r w:rsidRPr="0043638B">
              <w:rPr>
                <w:rFonts w:ascii="GHEA Grapalat" w:hAnsi="GHEA Grapalat" w:cs="Sylfaen"/>
                <w:sz w:val="16"/>
                <w:szCs w:val="16"/>
                <w:lang w:val="es-AR"/>
              </w:rPr>
              <w:t>quarterly</w:t>
            </w:r>
            <w:proofErr w:type="spellEnd"/>
            <w:r w:rsidRPr="0043638B">
              <w:rPr>
                <w:rFonts w:ascii="GHEA Grapalat" w:hAnsi="GHEA Grapalat" w:cs="Sylfaen"/>
                <w:sz w:val="16"/>
                <w:szCs w:val="16"/>
                <w:lang w:val="es-AR"/>
              </w:rPr>
              <w:t xml:space="preserve"> </w:t>
            </w:r>
            <w:proofErr w:type="spellStart"/>
            <w:r w:rsidRPr="0043638B">
              <w:rPr>
                <w:rFonts w:ascii="GHEA Grapalat" w:hAnsi="GHEA Grapalat" w:cs="Sylfaen"/>
                <w:sz w:val="16"/>
                <w:szCs w:val="16"/>
                <w:lang w:val="es-AR"/>
              </w:rPr>
              <w:t>interest</w:t>
            </w:r>
            <w:proofErr w:type="spellEnd"/>
            <w:r w:rsidRPr="0043638B">
              <w:rPr>
                <w:rFonts w:ascii="GHEA Grapalat" w:hAnsi="GHEA Grapalat" w:cs="Sylfaen"/>
                <w:sz w:val="16"/>
                <w:szCs w:val="16"/>
                <w:lang w:val="es-AR"/>
              </w:rPr>
              <w:t xml:space="preserve"> </w:t>
            </w:r>
            <w:proofErr w:type="spellStart"/>
            <w:r w:rsidRPr="0043638B">
              <w:rPr>
                <w:rFonts w:ascii="GHEA Grapalat" w:hAnsi="GHEA Grapalat" w:cs="Sylfaen"/>
                <w:sz w:val="16"/>
                <w:szCs w:val="16"/>
                <w:lang w:val="es-AR"/>
              </w:rPr>
              <w:t>rates</w:t>
            </w:r>
            <w:proofErr w:type="spellEnd"/>
            <w:r w:rsidRPr="0043638B">
              <w:rPr>
                <w:rFonts w:ascii="GHEA Grapalat" w:hAnsi="GHEA Grapalat" w:cs="Sylfaen"/>
                <w:sz w:val="16"/>
                <w:szCs w:val="16"/>
                <w:lang w:val="es-AR"/>
              </w:rPr>
              <w:t xml:space="preserve"> in </w:t>
            </w:r>
            <w:proofErr w:type="spellStart"/>
            <w:r w:rsidRPr="0043638B">
              <w:rPr>
                <w:rFonts w:ascii="GHEA Grapalat" w:hAnsi="GHEA Grapalat" w:cs="Sylfaen"/>
                <w:sz w:val="16"/>
                <w:szCs w:val="16"/>
                <w:lang w:val="es-AR"/>
              </w:rPr>
              <w:t>Armenia’s</w:t>
            </w:r>
            <w:proofErr w:type="spellEnd"/>
            <w:r w:rsidRPr="0043638B">
              <w:rPr>
                <w:rFonts w:ascii="GHEA Grapalat" w:hAnsi="GHEA Grapalat" w:cs="Sylfaen"/>
                <w:sz w:val="16"/>
                <w:szCs w:val="16"/>
                <w:lang w:val="es-AR"/>
              </w:rPr>
              <w:t xml:space="preserve"> </w:t>
            </w:r>
            <w:proofErr w:type="spellStart"/>
            <w:r w:rsidRPr="0043638B">
              <w:rPr>
                <w:rFonts w:ascii="GHEA Grapalat" w:hAnsi="GHEA Grapalat" w:cs="Sylfaen"/>
                <w:sz w:val="16"/>
                <w:szCs w:val="16"/>
                <w:lang w:val="es-AR"/>
              </w:rPr>
              <w:t>financial</w:t>
            </w:r>
            <w:proofErr w:type="spellEnd"/>
            <w:r w:rsidRPr="0043638B">
              <w:rPr>
                <w:rFonts w:ascii="GHEA Grapalat" w:hAnsi="GHEA Grapalat" w:cs="Sylfaen"/>
                <w:sz w:val="16"/>
                <w:szCs w:val="16"/>
                <w:lang w:val="es-AR"/>
              </w:rPr>
              <w:t xml:space="preserve"> </w:t>
            </w:r>
            <w:proofErr w:type="spellStart"/>
            <w:r w:rsidRPr="0043638B">
              <w:rPr>
                <w:rFonts w:ascii="GHEA Grapalat" w:hAnsi="GHEA Grapalat" w:cs="Sylfaen"/>
                <w:sz w:val="16"/>
                <w:szCs w:val="16"/>
                <w:lang w:val="es-AR"/>
              </w:rPr>
              <w:t>market</w:t>
            </w:r>
            <w:proofErr w:type="spellEnd"/>
          </w:p>
        </w:tc>
        <w:tc>
          <w:tcPr>
            <w:tcW w:w="368" w:type="dxa"/>
            <w:vAlign w:val="bottom"/>
            <w:hideMark/>
          </w:tcPr>
          <w:p w14:paraId="7836F899" w14:textId="77777777" w:rsidR="00D21F21" w:rsidRDefault="00D21F21" w:rsidP="00260739">
            <w:pPr>
              <w:spacing w:before="26" w:after="26"/>
              <w:jc w:val="right"/>
              <w:rPr>
                <w:rFonts w:ascii="GHEA Grapalat" w:hAnsi="GHEA Grapalat" w:cs="Sylfaen"/>
                <w:sz w:val="16"/>
                <w:szCs w:val="16"/>
              </w:rPr>
            </w:pPr>
            <w:r>
              <w:rPr>
                <w:rFonts w:ascii="GHEA Grapalat" w:hAnsi="GHEA Grapalat" w:cs="Sylfaen"/>
                <w:sz w:val="16"/>
                <w:szCs w:val="16"/>
              </w:rPr>
              <w:t>28</w:t>
            </w:r>
          </w:p>
        </w:tc>
      </w:tr>
    </w:tbl>
    <w:p w14:paraId="4C000944" w14:textId="77777777" w:rsidR="00D21F21" w:rsidRDefault="00D21F21" w:rsidP="00D21F21">
      <w:pPr>
        <w:autoSpaceDE w:val="0"/>
        <w:autoSpaceDN w:val="0"/>
        <w:adjustRightInd w:val="0"/>
        <w:spacing w:before="120" w:after="200" w:line="300" w:lineRule="atLeast"/>
        <w:ind w:firstLine="284"/>
        <w:jc w:val="right"/>
        <w:rPr>
          <w:rFonts w:ascii="GHEA Grapalat" w:hAnsi="GHEA Grapalat"/>
          <w:b/>
          <w:i/>
          <w:sz w:val="20"/>
          <w:szCs w:val="20"/>
        </w:rPr>
      </w:pPr>
    </w:p>
    <w:p w14:paraId="38705EFA" w14:textId="77777777" w:rsidR="00D21F21" w:rsidRDefault="00D21F21" w:rsidP="00D21F21"/>
    <w:p w14:paraId="49F87E87" w14:textId="77777777" w:rsidR="00D21F21" w:rsidRDefault="00D21F21" w:rsidP="00EE619D">
      <w:pPr>
        <w:autoSpaceDE w:val="0"/>
        <w:autoSpaceDN w:val="0"/>
        <w:adjustRightInd w:val="0"/>
        <w:spacing w:after="120" w:line="360" w:lineRule="auto"/>
        <w:jc w:val="both"/>
        <w:rPr>
          <w:rFonts w:ascii="Garamond" w:hAnsi="Garamond"/>
          <w:b/>
          <w:color w:val="0070C0"/>
          <w:sz w:val="22"/>
          <w:szCs w:val="22"/>
        </w:rPr>
      </w:pPr>
    </w:p>
    <w:p w14:paraId="5D1AD57C" w14:textId="77777777" w:rsidR="00D21F21" w:rsidRDefault="00D21F21" w:rsidP="00EE619D">
      <w:pPr>
        <w:autoSpaceDE w:val="0"/>
        <w:autoSpaceDN w:val="0"/>
        <w:adjustRightInd w:val="0"/>
        <w:spacing w:after="120" w:line="360" w:lineRule="auto"/>
        <w:jc w:val="both"/>
        <w:rPr>
          <w:rFonts w:ascii="Garamond" w:hAnsi="Garamond"/>
          <w:b/>
          <w:color w:val="0070C0"/>
          <w:sz w:val="22"/>
          <w:szCs w:val="22"/>
        </w:rPr>
      </w:pPr>
    </w:p>
    <w:p w14:paraId="697CEB15" w14:textId="77777777" w:rsidR="00D21F21" w:rsidRDefault="00D21F21" w:rsidP="00EE619D">
      <w:pPr>
        <w:autoSpaceDE w:val="0"/>
        <w:autoSpaceDN w:val="0"/>
        <w:adjustRightInd w:val="0"/>
        <w:spacing w:after="120" w:line="360" w:lineRule="auto"/>
        <w:jc w:val="both"/>
        <w:rPr>
          <w:rFonts w:ascii="Garamond" w:hAnsi="Garamond"/>
          <w:b/>
          <w:color w:val="0070C0"/>
          <w:sz w:val="22"/>
          <w:szCs w:val="22"/>
        </w:rPr>
      </w:pPr>
    </w:p>
    <w:p w14:paraId="78537A30" w14:textId="77777777" w:rsidR="00D21F21" w:rsidRDefault="00D21F21" w:rsidP="00EE619D">
      <w:pPr>
        <w:autoSpaceDE w:val="0"/>
        <w:autoSpaceDN w:val="0"/>
        <w:adjustRightInd w:val="0"/>
        <w:spacing w:after="120" w:line="360" w:lineRule="auto"/>
        <w:jc w:val="both"/>
        <w:rPr>
          <w:rFonts w:ascii="Garamond" w:hAnsi="Garamond"/>
          <w:b/>
          <w:color w:val="0070C0"/>
          <w:sz w:val="22"/>
          <w:szCs w:val="22"/>
        </w:rPr>
      </w:pPr>
    </w:p>
    <w:p w14:paraId="3583836A" w14:textId="77777777" w:rsidR="00D21F21" w:rsidRDefault="00D21F21" w:rsidP="00EE619D">
      <w:pPr>
        <w:autoSpaceDE w:val="0"/>
        <w:autoSpaceDN w:val="0"/>
        <w:adjustRightInd w:val="0"/>
        <w:spacing w:after="120" w:line="360" w:lineRule="auto"/>
        <w:jc w:val="both"/>
        <w:rPr>
          <w:rFonts w:ascii="Garamond" w:hAnsi="Garamond"/>
          <w:b/>
          <w:color w:val="0070C0"/>
          <w:sz w:val="22"/>
          <w:szCs w:val="22"/>
        </w:rPr>
      </w:pPr>
    </w:p>
    <w:p w14:paraId="11555CA4" w14:textId="77777777" w:rsidR="00D21F21" w:rsidRDefault="00D21F21" w:rsidP="00EE619D">
      <w:pPr>
        <w:autoSpaceDE w:val="0"/>
        <w:autoSpaceDN w:val="0"/>
        <w:adjustRightInd w:val="0"/>
        <w:spacing w:after="120" w:line="360" w:lineRule="auto"/>
        <w:jc w:val="both"/>
        <w:rPr>
          <w:rFonts w:ascii="Garamond" w:hAnsi="Garamond"/>
          <w:b/>
          <w:color w:val="0070C0"/>
          <w:sz w:val="22"/>
          <w:szCs w:val="22"/>
        </w:rPr>
      </w:pPr>
    </w:p>
    <w:p w14:paraId="12CFBEF8" w14:textId="77777777" w:rsidR="00D21F21" w:rsidRDefault="00D21F21" w:rsidP="00EE619D">
      <w:pPr>
        <w:autoSpaceDE w:val="0"/>
        <w:autoSpaceDN w:val="0"/>
        <w:adjustRightInd w:val="0"/>
        <w:spacing w:after="120" w:line="360" w:lineRule="auto"/>
        <w:jc w:val="both"/>
        <w:rPr>
          <w:rFonts w:ascii="Garamond" w:hAnsi="Garamond"/>
          <w:b/>
          <w:color w:val="0070C0"/>
          <w:sz w:val="22"/>
          <w:szCs w:val="22"/>
        </w:rPr>
      </w:pPr>
    </w:p>
    <w:p w14:paraId="46DDFD32" w14:textId="77777777" w:rsidR="00D21F21" w:rsidRDefault="00D21F21" w:rsidP="00EE619D">
      <w:pPr>
        <w:autoSpaceDE w:val="0"/>
        <w:autoSpaceDN w:val="0"/>
        <w:adjustRightInd w:val="0"/>
        <w:spacing w:after="120" w:line="360" w:lineRule="auto"/>
        <w:jc w:val="both"/>
        <w:rPr>
          <w:rFonts w:ascii="Garamond" w:hAnsi="Garamond"/>
          <w:b/>
          <w:color w:val="0070C0"/>
          <w:sz w:val="22"/>
          <w:szCs w:val="22"/>
        </w:rPr>
      </w:pPr>
    </w:p>
    <w:p w14:paraId="4D473D7B" w14:textId="77777777" w:rsidR="00D21F21" w:rsidRDefault="00D21F21" w:rsidP="00EE619D">
      <w:pPr>
        <w:autoSpaceDE w:val="0"/>
        <w:autoSpaceDN w:val="0"/>
        <w:adjustRightInd w:val="0"/>
        <w:spacing w:after="120" w:line="360" w:lineRule="auto"/>
        <w:jc w:val="both"/>
        <w:rPr>
          <w:rFonts w:ascii="Garamond" w:hAnsi="Garamond"/>
          <w:b/>
          <w:color w:val="0070C0"/>
          <w:sz w:val="22"/>
          <w:szCs w:val="22"/>
        </w:rPr>
      </w:pPr>
    </w:p>
    <w:p w14:paraId="410E7B1D" w14:textId="77777777" w:rsidR="00D21F21" w:rsidRDefault="00D21F21" w:rsidP="00EE619D">
      <w:pPr>
        <w:autoSpaceDE w:val="0"/>
        <w:autoSpaceDN w:val="0"/>
        <w:adjustRightInd w:val="0"/>
        <w:spacing w:after="120" w:line="360" w:lineRule="auto"/>
        <w:jc w:val="both"/>
        <w:rPr>
          <w:rFonts w:ascii="Garamond" w:hAnsi="Garamond"/>
          <w:b/>
          <w:color w:val="0070C0"/>
          <w:sz w:val="22"/>
          <w:szCs w:val="22"/>
        </w:rPr>
      </w:pPr>
    </w:p>
    <w:p w14:paraId="6395E2CC" w14:textId="77777777" w:rsidR="00D21F21" w:rsidRDefault="00D21F21" w:rsidP="00EE619D">
      <w:pPr>
        <w:autoSpaceDE w:val="0"/>
        <w:autoSpaceDN w:val="0"/>
        <w:adjustRightInd w:val="0"/>
        <w:spacing w:after="120" w:line="360" w:lineRule="auto"/>
        <w:jc w:val="both"/>
        <w:rPr>
          <w:rFonts w:ascii="Garamond" w:hAnsi="Garamond"/>
          <w:b/>
          <w:color w:val="0070C0"/>
          <w:sz w:val="22"/>
          <w:szCs w:val="22"/>
        </w:rPr>
      </w:pPr>
    </w:p>
    <w:p w14:paraId="082A8F18" w14:textId="77777777" w:rsidR="00D21F21" w:rsidRDefault="00D21F21" w:rsidP="00EE619D">
      <w:pPr>
        <w:autoSpaceDE w:val="0"/>
        <w:autoSpaceDN w:val="0"/>
        <w:adjustRightInd w:val="0"/>
        <w:spacing w:after="120" w:line="360" w:lineRule="auto"/>
        <w:jc w:val="both"/>
        <w:rPr>
          <w:rFonts w:ascii="Garamond" w:hAnsi="Garamond"/>
          <w:b/>
          <w:color w:val="0070C0"/>
          <w:sz w:val="22"/>
          <w:szCs w:val="22"/>
        </w:rPr>
      </w:pPr>
    </w:p>
    <w:p w14:paraId="63C03D2B" w14:textId="77777777" w:rsidR="00D21F21" w:rsidRPr="00626752" w:rsidRDefault="00D21F21" w:rsidP="00EE619D">
      <w:pPr>
        <w:autoSpaceDE w:val="0"/>
        <w:autoSpaceDN w:val="0"/>
        <w:adjustRightInd w:val="0"/>
        <w:spacing w:after="120" w:line="360" w:lineRule="auto"/>
        <w:jc w:val="both"/>
        <w:rPr>
          <w:rFonts w:ascii="Garamond" w:hAnsi="Garamond"/>
          <w:b/>
          <w:color w:val="0070C0"/>
          <w:sz w:val="22"/>
          <w:szCs w:val="22"/>
        </w:rPr>
      </w:pPr>
    </w:p>
    <w:sectPr w:rsidR="00D21F21" w:rsidRPr="006267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25D8D" w14:textId="77777777" w:rsidR="00947E4F" w:rsidRDefault="00947E4F" w:rsidP="00EE619D">
      <w:r>
        <w:separator/>
      </w:r>
    </w:p>
  </w:endnote>
  <w:endnote w:type="continuationSeparator" w:id="0">
    <w:p w14:paraId="04DF168A" w14:textId="77777777" w:rsidR="00947E4F" w:rsidRDefault="00947E4F" w:rsidP="00EE6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HEA Grapalat">
    <w:panose1 w:val="02000506050000020003"/>
    <w:charset w:val="00"/>
    <w:family w:val="modern"/>
    <w:notTrueType/>
    <w:pitch w:val="variable"/>
    <w:sig w:usb0="A00006AF" w:usb1="5000204B"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LatArm">
    <w:panose1 w:val="00000000000000000000"/>
    <w:charset w:val="00"/>
    <w:family w:val="auto"/>
    <w:pitch w:val="variable"/>
    <w:sig w:usb0="00000003" w:usb1="00000000" w:usb2="00000000" w:usb3="00000000" w:csb0="00000001" w:csb1="00000000"/>
  </w:font>
  <w:font w:name="Times Armeni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Armenian">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A7654" w14:textId="77777777" w:rsidR="00947E4F" w:rsidRDefault="00947E4F" w:rsidP="00EE619D">
      <w:r>
        <w:separator/>
      </w:r>
    </w:p>
  </w:footnote>
  <w:footnote w:type="continuationSeparator" w:id="0">
    <w:p w14:paraId="63BF492D" w14:textId="77777777" w:rsidR="00947E4F" w:rsidRDefault="00947E4F" w:rsidP="00EE619D">
      <w:r>
        <w:continuationSeparator/>
      </w:r>
    </w:p>
  </w:footnote>
  <w:footnote w:id="1">
    <w:p w14:paraId="58BA19B0" w14:textId="77777777" w:rsidR="00947E4F" w:rsidRPr="00D87D33" w:rsidRDefault="00947E4F" w:rsidP="00EE619D">
      <w:pPr>
        <w:pStyle w:val="FootnoteText"/>
        <w:jc w:val="both"/>
        <w:rPr>
          <w:rFonts w:ascii="Garamond" w:hAnsi="Garamond"/>
        </w:rPr>
      </w:pPr>
      <w:r w:rsidRPr="00D87D33">
        <w:rPr>
          <w:rStyle w:val="FootnoteReference"/>
          <w:rFonts w:ascii="Garamond" w:hAnsi="Garamond"/>
        </w:rPr>
        <w:t>1</w:t>
      </w:r>
      <w:r w:rsidRPr="00D87D33">
        <w:rPr>
          <w:rFonts w:ascii="Garamond" w:hAnsi="Garamond"/>
        </w:rPr>
        <w:t xml:space="preserve"> The primary general impact of the change in tax and customs duty rates in 2018 is estimated to be 1 pp, of which about 0.4 pp falls to the first quarter of 2018.</w:t>
      </w:r>
    </w:p>
  </w:footnote>
  <w:footnote w:id="2">
    <w:p w14:paraId="76784E66" w14:textId="77777777" w:rsidR="00947E4F" w:rsidRPr="00C61136" w:rsidRDefault="00947E4F" w:rsidP="00EE619D">
      <w:pPr>
        <w:pStyle w:val="FootnoteText"/>
        <w:jc w:val="both"/>
        <w:rPr>
          <w:rFonts w:ascii="Garamond" w:hAnsi="Garamond"/>
        </w:rPr>
      </w:pPr>
      <w:r w:rsidRPr="00C61136">
        <w:rPr>
          <w:rStyle w:val="FootnoteReference"/>
          <w:rFonts w:ascii="Garamond" w:hAnsi="Garamond"/>
        </w:rPr>
        <w:t>2</w:t>
      </w:r>
      <w:r w:rsidRPr="00C61136">
        <w:rPr>
          <w:rFonts w:ascii="Garamond" w:hAnsi="Garamond"/>
        </w:rPr>
        <w:t xml:space="preserve"> For a detailed account of economic growth forecasts, see the GDP projection probability distribution</w:t>
      </w:r>
      <w:r>
        <w:rPr>
          <w:rFonts w:ascii="Garamond" w:hAnsi="Garamond"/>
        </w:rPr>
        <w:t xml:space="preserve"> chart</w:t>
      </w:r>
      <w:r w:rsidRPr="00C61136">
        <w:rPr>
          <w:rFonts w:ascii="Garamond" w:hAnsi="Garamond"/>
        </w:rPr>
        <w:t>.</w:t>
      </w:r>
    </w:p>
  </w:footnote>
  <w:footnote w:id="3">
    <w:p w14:paraId="00649A9E" w14:textId="77777777" w:rsidR="00947E4F" w:rsidRPr="003747E1" w:rsidRDefault="00947E4F" w:rsidP="00EE619D">
      <w:pPr>
        <w:pStyle w:val="FootnoteText"/>
        <w:jc w:val="both"/>
        <w:rPr>
          <w:rFonts w:ascii="Garamond" w:hAnsi="Garamond"/>
        </w:rPr>
      </w:pPr>
      <w:r w:rsidRPr="003747E1">
        <w:rPr>
          <w:rStyle w:val="FootnoteReference"/>
          <w:rFonts w:ascii="Garamond" w:hAnsi="Garamond"/>
        </w:rPr>
        <w:t>3</w:t>
      </w:r>
      <w:r w:rsidRPr="003747E1">
        <w:rPr>
          <w:rFonts w:ascii="Garamond" w:hAnsi="Garamond"/>
        </w:rPr>
        <w:t xml:space="preserve"> The 2017 GDP is the Central Bank forecast.</w:t>
      </w:r>
    </w:p>
  </w:footnote>
  <w:footnote w:id="4">
    <w:p w14:paraId="2E8C40BE" w14:textId="77777777" w:rsidR="00947E4F" w:rsidRPr="00331DDB" w:rsidRDefault="00947E4F" w:rsidP="00EE619D">
      <w:pPr>
        <w:pStyle w:val="FootnoteText"/>
        <w:jc w:val="both"/>
        <w:rPr>
          <w:rFonts w:ascii="Garamond" w:hAnsi="Garamond"/>
        </w:rPr>
      </w:pPr>
      <w:r w:rsidRPr="00331DDB">
        <w:rPr>
          <w:rStyle w:val="FootnoteReference"/>
          <w:rFonts w:ascii="Garamond" w:hAnsi="Garamond"/>
        </w:rPr>
        <w:t>4</w:t>
      </w:r>
      <w:r w:rsidRPr="00331DDB">
        <w:rPr>
          <w:rFonts w:ascii="Garamond" w:hAnsi="Garamond"/>
        </w:rPr>
        <w:t xml:space="preserve"> The forecasts of fiscal policy in the forecast horizon are based on the main indicators of the “State Medium-Term Expenditure Framework of Armenia for 2018-2020”.</w:t>
      </w:r>
    </w:p>
  </w:footnote>
  <w:footnote w:id="5">
    <w:p w14:paraId="559C8C58" w14:textId="77777777" w:rsidR="00947E4F" w:rsidRPr="00331DDB" w:rsidRDefault="00947E4F" w:rsidP="00EE619D">
      <w:pPr>
        <w:pStyle w:val="FootnoteText"/>
        <w:jc w:val="both"/>
        <w:rPr>
          <w:rFonts w:ascii="Garamond" w:hAnsi="Garamond"/>
        </w:rPr>
      </w:pPr>
      <w:r w:rsidRPr="00331DDB">
        <w:rPr>
          <w:rStyle w:val="FootnoteReference"/>
          <w:rFonts w:ascii="Garamond" w:hAnsi="Garamond"/>
        </w:rPr>
        <w:t>5</w:t>
      </w:r>
      <w:r w:rsidRPr="00331DDB">
        <w:rPr>
          <w:rFonts w:ascii="Garamond" w:hAnsi="Garamond"/>
        </w:rPr>
        <w:t xml:space="preserve"> Based on the indicators of a draft law on the Republic of Armenia State Budget 2018.</w:t>
      </w:r>
    </w:p>
  </w:footnote>
  <w:footnote w:id="6">
    <w:p w14:paraId="71C0F398" w14:textId="77777777" w:rsidR="00947E4F" w:rsidRPr="00331DDB" w:rsidRDefault="00947E4F" w:rsidP="00EE619D">
      <w:pPr>
        <w:pStyle w:val="FootnoteText"/>
        <w:jc w:val="both"/>
        <w:rPr>
          <w:rFonts w:ascii="Garamond" w:hAnsi="Garamond"/>
        </w:rPr>
      </w:pPr>
      <w:r w:rsidRPr="00331DDB">
        <w:rPr>
          <w:rStyle w:val="FootnoteReference"/>
          <w:rFonts w:ascii="Garamond" w:hAnsi="Garamond"/>
        </w:rPr>
        <w:t>6</w:t>
      </w:r>
      <w:r w:rsidRPr="00331DDB">
        <w:rPr>
          <w:rFonts w:ascii="Garamond" w:hAnsi="Garamond"/>
        </w:rPr>
        <w:t xml:space="preserve"> Net lending provided has an extensive effect but net lending recovered, a restrictive effect. In 2018 and 2019, provision of net lending is envisaged while in 2019 recoveries</w:t>
      </w:r>
      <w:r>
        <w:rPr>
          <w:rFonts w:ascii="Garamond" w:hAnsi="Garamond"/>
        </w:rPr>
        <w:t xml:space="preserve"> </w:t>
      </w:r>
      <w:r w:rsidRPr="00331DDB">
        <w:rPr>
          <w:rFonts w:ascii="Garamond" w:hAnsi="Garamond"/>
        </w:rPr>
        <w:t xml:space="preserve">on net lending </w:t>
      </w:r>
      <w:r>
        <w:rPr>
          <w:rFonts w:ascii="Garamond" w:hAnsi="Garamond"/>
        </w:rPr>
        <w:t xml:space="preserve">are </w:t>
      </w:r>
      <w:r w:rsidRPr="00331DDB">
        <w:rPr>
          <w:rFonts w:ascii="Garamond" w:hAnsi="Garamond"/>
        </w:rPr>
        <w:t>anticipated.</w:t>
      </w:r>
    </w:p>
  </w:footnote>
  <w:footnote w:id="7">
    <w:p w14:paraId="124DF014" w14:textId="77777777" w:rsidR="00947E4F" w:rsidRPr="00331DDB" w:rsidRDefault="00947E4F" w:rsidP="00EE619D">
      <w:pPr>
        <w:pStyle w:val="FootnoteText"/>
        <w:jc w:val="both"/>
        <w:rPr>
          <w:rFonts w:ascii="Garamond" w:hAnsi="Garamond"/>
        </w:rPr>
      </w:pPr>
      <w:r w:rsidRPr="00331DDB">
        <w:rPr>
          <w:rStyle w:val="FootnoteReference"/>
          <w:rFonts w:ascii="Garamond" w:hAnsi="Garamond"/>
        </w:rPr>
        <w:t>7</w:t>
      </w:r>
      <w:r w:rsidRPr="00331DDB">
        <w:rPr>
          <w:rFonts w:ascii="Garamond" w:hAnsi="Garamond"/>
        </w:rPr>
        <w:t xml:space="preserve"> The labor market data for 2017-2020 are the Central Bank projections which are based on the second quarter of 2017 data and actual January-August 2017 figures. The growth indicators presented in this sub-section are relative to the same reference period last year, unless otherwise specified.</w:t>
      </w:r>
    </w:p>
  </w:footnote>
  <w:footnote w:id="8">
    <w:p w14:paraId="52FFEB6F" w14:textId="77777777" w:rsidR="00947E4F" w:rsidRPr="007877D2" w:rsidRDefault="00947E4F" w:rsidP="007877D2">
      <w:pPr>
        <w:pStyle w:val="FootnoteText"/>
        <w:jc w:val="both"/>
        <w:rPr>
          <w:rFonts w:ascii="Garamond" w:hAnsi="Garamond"/>
        </w:rPr>
      </w:pPr>
      <w:r w:rsidRPr="007877D2">
        <w:rPr>
          <w:rStyle w:val="FootnoteReference"/>
          <w:rFonts w:ascii="Garamond" w:hAnsi="Garamond"/>
        </w:rPr>
        <w:t>8</w:t>
      </w:r>
      <w:r w:rsidRPr="007877D2">
        <w:rPr>
          <w:rFonts w:ascii="Garamond" w:hAnsi="Garamond"/>
        </w:rPr>
        <w:t xml:space="preserve"> </w:t>
      </w:r>
      <w:r>
        <w:rPr>
          <w:rFonts w:ascii="Garamond" w:hAnsi="Garamond"/>
        </w:rPr>
        <w:t xml:space="preserve">The </w:t>
      </w:r>
      <w:r w:rsidRPr="007877D2">
        <w:rPr>
          <w:rFonts w:ascii="Garamond" w:hAnsi="Garamond"/>
        </w:rPr>
        <w:t xml:space="preserve">2017 forecast has not been revised </w:t>
      </w:r>
      <w:r>
        <w:rPr>
          <w:rFonts w:ascii="Garamond" w:hAnsi="Garamond"/>
        </w:rPr>
        <w:t xml:space="preserve">as, on the back of strong growth recorded in the third quarter, the National Statistics Service of Armenia had lowered the dollar value of the H1, 2017 </w:t>
      </w:r>
      <w:r w:rsidRPr="007877D2">
        <w:rPr>
          <w:rFonts w:ascii="Garamond" w:hAnsi="Garamond"/>
        </w:rPr>
        <w:t xml:space="preserve">imports </w:t>
      </w:r>
      <w:r>
        <w:rPr>
          <w:rFonts w:ascii="Garamond" w:hAnsi="Garamond"/>
        </w:rPr>
        <w:t xml:space="preserve">by nearly USD </w:t>
      </w:r>
      <w:r w:rsidRPr="007877D2">
        <w:rPr>
          <w:rFonts w:ascii="Garamond" w:hAnsi="Garamond"/>
        </w:rPr>
        <w:t xml:space="preserve">66 million (mainly for </w:t>
      </w:r>
      <w:r>
        <w:rPr>
          <w:rFonts w:ascii="Garamond" w:hAnsi="Garamond"/>
        </w:rPr>
        <w:t>items “</w:t>
      </w:r>
      <w:r w:rsidRPr="007877D2">
        <w:rPr>
          <w:rFonts w:ascii="Garamond" w:hAnsi="Garamond"/>
        </w:rPr>
        <w:t>Machinery</w:t>
      </w:r>
      <w:r>
        <w:rPr>
          <w:rFonts w:ascii="Garamond" w:hAnsi="Garamond"/>
        </w:rPr>
        <w:t xml:space="preserve"> and</w:t>
      </w:r>
      <w:r w:rsidRPr="007877D2">
        <w:rPr>
          <w:rFonts w:ascii="Garamond" w:hAnsi="Garamond"/>
        </w:rPr>
        <w:t xml:space="preserve"> </w:t>
      </w:r>
      <w:r>
        <w:rPr>
          <w:rFonts w:ascii="Garamond" w:hAnsi="Garamond"/>
        </w:rPr>
        <w:t>e</w:t>
      </w:r>
      <w:r w:rsidRPr="007877D2">
        <w:rPr>
          <w:rFonts w:ascii="Garamond" w:hAnsi="Garamond"/>
        </w:rPr>
        <w:t>quipment</w:t>
      </w:r>
      <w:r>
        <w:rPr>
          <w:rFonts w:ascii="Garamond" w:hAnsi="Garamond"/>
        </w:rPr>
        <w:t>”</w:t>
      </w:r>
      <w:r w:rsidRPr="007877D2">
        <w:rPr>
          <w:rFonts w:ascii="Garamond" w:hAnsi="Garamond"/>
        </w:rPr>
        <w:t xml:space="preserve"> </w:t>
      </w:r>
      <w:r>
        <w:rPr>
          <w:rFonts w:ascii="Garamond" w:hAnsi="Garamond"/>
        </w:rPr>
        <w:t>and “Non-p</w:t>
      </w:r>
      <w:r w:rsidRPr="007877D2">
        <w:rPr>
          <w:rFonts w:ascii="Garamond" w:hAnsi="Garamond"/>
        </w:rPr>
        <w:t xml:space="preserve">recious </w:t>
      </w:r>
      <w:r>
        <w:rPr>
          <w:rFonts w:ascii="Garamond" w:hAnsi="Garamond"/>
        </w:rPr>
        <w:t>m</w:t>
      </w:r>
      <w:r w:rsidRPr="007877D2">
        <w:rPr>
          <w:rFonts w:ascii="Garamond" w:hAnsi="Garamond"/>
        </w:rPr>
        <w:t xml:space="preserve">etals and </w:t>
      </w:r>
      <w:r>
        <w:rPr>
          <w:rFonts w:ascii="Garamond" w:hAnsi="Garamond"/>
        </w:rPr>
        <w:t xml:space="preserve">articles made </w:t>
      </w:r>
      <w:r w:rsidRPr="007877D2">
        <w:rPr>
          <w:rFonts w:ascii="Garamond" w:hAnsi="Garamond"/>
        </w:rPr>
        <w:t>the</w:t>
      </w:r>
      <w:r>
        <w:rPr>
          <w:rFonts w:ascii="Garamond" w:hAnsi="Garamond"/>
        </w:rPr>
        <w:t>reof</w:t>
      </w:r>
      <w:r w:rsidRPr="007877D2">
        <w:rPr>
          <w:rFonts w:ascii="Garamond" w:hAnsi="Garamond"/>
        </w:rPr>
        <w:t>")</w:t>
      </w:r>
      <w:r>
        <w:rPr>
          <w:rFonts w:ascii="Garamond" w:hAnsi="Garamond"/>
        </w:rPr>
        <w:t xml:space="preserve"> on the basis of data available as of October 20, 2017</w:t>
      </w:r>
      <w:r w:rsidRPr="007877D2">
        <w:rPr>
          <w:rFonts w:ascii="Garamond" w:hAnsi="Garamond"/>
        </w:rPr>
        <w:t>.</w:t>
      </w:r>
      <w:r>
        <w:rPr>
          <w:rFonts w:ascii="Garamond" w:hAnsi="Garamond"/>
        </w:rPr>
        <w:t xml:space="preserve"> </w:t>
      </w:r>
    </w:p>
  </w:footnote>
  <w:footnote w:id="9">
    <w:p w14:paraId="3EF7D5B2" w14:textId="77777777" w:rsidR="00947E4F" w:rsidRPr="00EC6A16" w:rsidRDefault="00947E4F" w:rsidP="00EC6A16">
      <w:pPr>
        <w:pStyle w:val="FootnoteText"/>
        <w:jc w:val="both"/>
        <w:rPr>
          <w:rFonts w:ascii="Garamond" w:hAnsi="Garamond"/>
        </w:rPr>
      </w:pPr>
      <w:r w:rsidRPr="00EC6A16">
        <w:rPr>
          <w:rStyle w:val="FootnoteReference"/>
          <w:rFonts w:ascii="Garamond" w:hAnsi="Garamond"/>
        </w:rPr>
        <w:t>9</w:t>
      </w:r>
      <w:r w:rsidRPr="00EC6A16">
        <w:rPr>
          <w:rFonts w:ascii="Garamond" w:hAnsi="Garamond"/>
        </w:rPr>
        <w:t xml:space="preserve"> The previous </w:t>
      </w:r>
      <w:r>
        <w:rPr>
          <w:rFonts w:ascii="Garamond" w:hAnsi="Garamond"/>
        </w:rPr>
        <w:t>estimation is</w:t>
      </w:r>
      <w:r w:rsidRPr="00EC6A16">
        <w:rPr>
          <w:rFonts w:ascii="Garamond" w:hAnsi="Garamond"/>
        </w:rPr>
        <w:t xml:space="preserve"> based on</w:t>
      </w:r>
      <w:r>
        <w:rPr>
          <w:rFonts w:ascii="Garamond" w:hAnsi="Garamond"/>
        </w:rPr>
        <w:t xml:space="preserve"> the 2018 indicators of </w:t>
      </w:r>
      <w:r w:rsidRPr="00331DDB">
        <w:rPr>
          <w:rFonts w:ascii="Garamond" w:hAnsi="Garamond"/>
        </w:rPr>
        <w:t>“State Medium-Term Expenditure Framework of Armenia for 2018-2020”</w:t>
      </w:r>
      <w:r>
        <w:rPr>
          <w:rFonts w:ascii="Garamond" w:hAnsi="Garamond"/>
        </w:rPr>
        <w:t xml:space="preserve"> </w:t>
      </w:r>
      <w:r w:rsidRPr="00EC6A16">
        <w:rPr>
          <w:rFonts w:ascii="Garamond" w:hAnsi="Garamond"/>
        </w:rPr>
        <w:t xml:space="preserve">and the current </w:t>
      </w:r>
      <w:r>
        <w:rPr>
          <w:rFonts w:ascii="Garamond" w:hAnsi="Garamond"/>
        </w:rPr>
        <w:t xml:space="preserve">estimation </w:t>
      </w:r>
      <w:r w:rsidRPr="00331DDB">
        <w:rPr>
          <w:rFonts w:ascii="Garamond" w:hAnsi="Garamond"/>
        </w:rPr>
        <w:t>on the indicators of a draft law on the Republic of Armenia State Budget 2018</w:t>
      </w:r>
      <w:r w:rsidRPr="00EC6A16">
        <w:rPr>
          <w:rFonts w:ascii="Garamond" w:hAnsi="Garamond"/>
        </w:rPr>
        <w:t>.</w:t>
      </w:r>
    </w:p>
  </w:footnote>
  <w:footnote w:id="10">
    <w:p w14:paraId="44CDD55F" w14:textId="77777777" w:rsidR="00947E4F" w:rsidRPr="00BD5B1C" w:rsidRDefault="00947E4F" w:rsidP="00BD5B1C">
      <w:pPr>
        <w:pStyle w:val="FootnoteText"/>
        <w:jc w:val="both"/>
        <w:rPr>
          <w:rFonts w:ascii="Garamond" w:hAnsi="Garamond"/>
        </w:rPr>
      </w:pPr>
      <w:r w:rsidRPr="00BD5B1C">
        <w:rPr>
          <w:rStyle w:val="FootnoteReference"/>
          <w:rFonts w:ascii="Garamond" w:hAnsi="Garamond"/>
        </w:rPr>
        <w:t>11</w:t>
      </w:r>
      <w:r w:rsidRPr="00BD5B1C">
        <w:rPr>
          <w:rFonts w:ascii="Garamond" w:hAnsi="Garamond"/>
        </w:rPr>
        <w:t xml:space="preserve"> According to the </w:t>
      </w:r>
      <w:r>
        <w:rPr>
          <w:rFonts w:ascii="Garamond" w:hAnsi="Garamond"/>
        </w:rPr>
        <w:t xml:space="preserve">current </w:t>
      </w:r>
      <w:r w:rsidRPr="00BD5B1C">
        <w:rPr>
          <w:rFonts w:ascii="Garamond" w:hAnsi="Garamond"/>
        </w:rPr>
        <w:t>customs classification of goods within the framework of the Eurasian Economic Union, the customs duty rates o</w:t>
      </w:r>
      <w:r>
        <w:rPr>
          <w:rFonts w:ascii="Garamond" w:hAnsi="Garamond"/>
        </w:rPr>
        <w:t>n</w:t>
      </w:r>
      <w:r w:rsidRPr="00BD5B1C">
        <w:rPr>
          <w:rFonts w:ascii="Garamond" w:hAnsi="Garamond"/>
        </w:rPr>
        <w:t xml:space="preserve"> </w:t>
      </w:r>
      <w:r>
        <w:rPr>
          <w:rFonts w:ascii="Garamond" w:hAnsi="Garamond"/>
        </w:rPr>
        <w:t>nearly</w:t>
      </w:r>
      <w:r w:rsidRPr="00BD5B1C">
        <w:rPr>
          <w:rFonts w:ascii="Garamond" w:hAnsi="Garamond"/>
        </w:rPr>
        <w:t xml:space="preserve"> 200 </w:t>
      </w:r>
      <w:r>
        <w:rPr>
          <w:rFonts w:ascii="Garamond" w:hAnsi="Garamond"/>
        </w:rPr>
        <w:t xml:space="preserve">goods </w:t>
      </w:r>
      <w:r w:rsidRPr="00BD5B1C">
        <w:rPr>
          <w:rFonts w:ascii="Garamond" w:hAnsi="Garamond"/>
        </w:rPr>
        <w:t>will increase</w:t>
      </w:r>
      <w:r>
        <w:rPr>
          <w:rFonts w:ascii="Garamond" w:hAnsi="Garamond"/>
        </w:rPr>
        <w:t xml:space="preserve"> in</w:t>
      </w:r>
      <w:r w:rsidRPr="00BD5B1C">
        <w:rPr>
          <w:rFonts w:ascii="Garamond" w:hAnsi="Garamond"/>
        </w:rPr>
        <w:t xml:space="preserve"> 2018, which will affect about 30 </w:t>
      </w:r>
      <w:r>
        <w:rPr>
          <w:rFonts w:ascii="Garamond" w:hAnsi="Garamond"/>
        </w:rPr>
        <w:t xml:space="preserve">item names </w:t>
      </w:r>
      <w:r w:rsidRPr="00BD5B1C">
        <w:rPr>
          <w:rFonts w:ascii="Garamond" w:hAnsi="Garamond"/>
        </w:rPr>
        <w:t>in the consum</w:t>
      </w:r>
      <w:r>
        <w:rPr>
          <w:rFonts w:ascii="Garamond" w:hAnsi="Garamond"/>
        </w:rPr>
        <w:t>ption</w:t>
      </w:r>
      <w:r w:rsidRPr="00BD5B1C">
        <w:rPr>
          <w:rFonts w:ascii="Garamond" w:hAnsi="Garamond"/>
        </w:rPr>
        <w:t xml:space="preserve"> basket</w:t>
      </w:r>
      <w:r>
        <w:rPr>
          <w:rFonts w:ascii="Garamond" w:hAnsi="Garamond"/>
        </w:rPr>
        <w:t xml:space="preserve"> in Armenia</w:t>
      </w:r>
      <w:r w:rsidRPr="00BD5B1C">
        <w:rPr>
          <w:rFonts w:ascii="Garamond" w:hAnsi="Garamond"/>
        </w:rPr>
        <w:t>.</w:t>
      </w:r>
    </w:p>
  </w:footnote>
  <w:footnote w:id="11">
    <w:p w14:paraId="277F70D5" w14:textId="77777777" w:rsidR="00947E4F" w:rsidRPr="00072E34" w:rsidRDefault="00947E4F" w:rsidP="00072E34">
      <w:pPr>
        <w:pStyle w:val="FootnoteText"/>
        <w:jc w:val="both"/>
        <w:rPr>
          <w:rFonts w:ascii="Garamond" w:hAnsi="Garamond"/>
        </w:rPr>
      </w:pPr>
      <w:r w:rsidRPr="00072E34">
        <w:rPr>
          <w:rStyle w:val="FootnoteReference"/>
          <w:rFonts w:ascii="Garamond" w:hAnsi="Garamond"/>
        </w:rPr>
        <w:t>12</w:t>
      </w:r>
      <w:r w:rsidRPr="00072E34">
        <w:rPr>
          <w:rFonts w:ascii="Garamond" w:hAnsi="Garamond"/>
        </w:rPr>
        <w:t xml:space="preserve"> The methods </w:t>
      </w:r>
      <w:r>
        <w:rPr>
          <w:rFonts w:ascii="Garamond" w:hAnsi="Garamond"/>
        </w:rPr>
        <w:t>that are used to figurate in</w:t>
      </w:r>
      <w:r w:rsidRPr="00072E34">
        <w:rPr>
          <w:rFonts w:ascii="Garamond" w:hAnsi="Garamond"/>
        </w:rPr>
        <w:t xml:space="preserve">flation expectations are purely </w:t>
      </w:r>
      <w:r>
        <w:rPr>
          <w:rFonts w:ascii="Garamond" w:hAnsi="Garamond"/>
        </w:rPr>
        <w:t xml:space="preserve">for </w:t>
      </w:r>
      <w:r w:rsidRPr="00072E34">
        <w:rPr>
          <w:rFonts w:ascii="Garamond" w:hAnsi="Garamond"/>
        </w:rPr>
        <w:t>statistical</w:t>
      </w:r>
      <w:r>
        <w:rPr>
          <w:rFonts w:ascii="Garamond" w:hAnsi="Garamond"/>
        </w:rPr>
        <w:t xml:space="preserve"> purposes</w:t>
      </w:r>
      <w:r w:rsidRPr="00072E34">
        <w:rPr>
          <w:rFonts w:ascii="Garamond" w:hAnsi="Garamond"/>
        </w:rPr>
        <w:t xml:space="preserve">, and the results may </w:t>
      </w:r>
      <w:r>
        <w:rPr>
          <w:rFonts w:ascii="Garamond" w:hAnsi="Garamond"/>
        </w:rPr>
        <w:t xml:space="preserve">vary </w:t>
      </w:r>
      <w:r w:rsidRPr="00072E34">
        <w:rPr>
          <w:rFonts w:ascii="Garamond" w:hAnsi="Garamond"/>
        </w:rPr>
        <w:t xml:space="preserve">materially </w:t>
      </w:r>
      <w:r>
        <w:rPr>
          <w:rFonts w:ascii="Garamond" w:hAnsi="Garamond"/>
        </w:rPr>
        <w:t xml:space="preserve">from </w:t>
      </w:r>
      <w:r w:rsidRPr="00072E34">
        <w:rPr>
          <w:rFonts w:ascii="Garamond" w:hAnsi="Garamond"/>
        </w:rPr>
        <w:t>method</w:t>
      </w:r>
      <w:r>
        <w:rPr>
          <w:rFonts w:ascii="Garamond" w:hAnsi="Garamond"/>
        </w:rPr>
        <w:t xml:space="preserve"> to method</w:t>
      </w:r>
      <w:r w:rsidRPr="00072E34">
        <w:rPr>
          <w:rFonts w:ascii="Garamond" w:hAnsi="Garamond"/>
        </w:rPr>
        <w:t>.</w:t>
      </w:r>
    </w:p>
  </w:footnote>
  <w:footnote w:id="12">
    <w:p w14:paraId="5F18749E" w14:textId="77777777" w:rsidR="00947E4F" w:rsidRPr="009F698D" w:rsidRDefault="00947E4F" w:rsidP="009F698D">
      <w:pPr>
        <w:pStyle w:val="FootnoteText"/>
        <w:jc w:val="both"/>
        <w:rPr>
          <w:rFonts w:ascii="Garamond" w:hAnsi="Garamond"/>
        </w:rPr>
      </w:pPr>
      <w:r w:rsidRPr="009F698D">
        <w:rPr>
          <w:rStyle w:val="FootnoteReference"/>
          <w:rFonts w:ascii="Garamond" w:hAnsi="Garamond"/>
        </w:rPr>
        <w:t>13</w:t>
      </w:r>
      <w:r w:rsidRPr="009F698D">
        <w:rPr>
          <w:rFonts w:ascii="Garamond" w:hAnsi="Garamond"/>
        </w:rPr>
        <w:t xml:space="preserve"> </w:t>
      </w:r>
      <w:r>
        <w:rPr>
          <w:rFonts w:ascii="Garamond" w:hAnsi="Garamond"/>
        </w:rPr>
        <w:t xml:space="preserve">The results of the </w:t>
      </w:r>
      <w:proofErr w:type="spellStart"/>
      <w:r>
        <w:rPr>
          <w:rFonts w:ascii="Garamond" w:hAnsi="Garamond"/>
        </w:rPr>
        <w:t>Am</w:t>
      </w:r>
      <w:r w:rsidRPr="009F698D">
        <w:rPr>
          <w:rFonts w:ascii="Garamond" w:hAnsi="Garamond"/>
        </w:rPr>
        <w:t>ulsar</w:t>
      </w:r>
      <w:proofErr w:type="spellEnd"/>
      <w:r w:rsidRPr="009F698D">
        <w:rPr>
          <w:rFonts w:ascii="Garamond" w:hAnsi="Garamond"/>
        </w:rPr>
        <w:t xml:space="preserve"> mine investment program not </w:t>
      </w:r>
      <w:r>
        <w:rPr>
          <w:rFonts w:ascii="Garamond" w:hAnsi="Garamond"/>
        </w:rPr>
        <w:t>considered</w:t>
      </w:r>
      <w:r w:rsidRPr="009F698D">
        <w:rPr>
          <w:rFonts w:ascii="Garamond" w:hAnsi="Garamond"/>
        </w:rPr>
        <w:t xml:space="preserve"> due to the lack of information on </w:t>
      </w:r>
      <w:r>
        <w:rPr>
          <w:rFonts w:ascii="Garamond" w:hAnsi="Garamond"/>
        </w:rPr>
        <w:t xml:space="preserve">the operations dates </w:t>
      </w:r>
      <w:r w:rsidRPr="009F698D">
        <w:rPr>
          <w:rFonts w:ascii="Garamond" w:hAnsi="Garamond"/>
        </w:rPr>
        <w:t>and extraction volumes.</w:t>
      </w:r>
    </w:p>
  </w:footnote>
  <w:footnote w:id="13">
    <w:p w14:paraId="483EB80D" w14:textId="77777777" w:rsidR="00947E4F" w:rsidRPr="00AF4555" w:rsidRDefault="00947E4F" w:rsidP="00AF4555">
      <w:pPr>
        <w:pStyle w:val="FootnoteText"/>
        <w:jc w:val="both"/>
        <w:rPr>
          <w:rFonts w:ascii="Garamond" w:hAnsi="Garamond"/>
        </w:rPr>
      </w:pPr>
      <w:r w:rsidRPr="00AF4555">
        <w:rPr>
          <w:rStyle w:val="FootnoteReference"/>
          <w:rFonts w:ascii="Garamond" w:hAnsi="Garamond"/>
        </w:rPr>
        <w:t>15</w:t>
      </w:r>
      <w:r w:rsidRPr="00AF4555">
        <w:rPr>
          <w:rFonts w:ascii="Garamond" w:hAnsi="Garamond"/>
        </w:rPr>
        <w:t xml:space="preserve"> </w:t>
      </w:r>
      <w:r>
        <w:rPr>
          <w:rFonts w:ascii="Garamond" w:hAnsi="Garamond"/>
        </w:rPr>
        <w:t>T</w:t>
      </w:r>
      <w:r w:rsidRPr="00AF4555">
        <w:rPr>
          <w:rFonts w:ascii="Garamond" w:hAnsi="Garamond"/>
        </w:rPr>
        <w:t>he</w:t>
      </w:r>
      <w:r>
        <w:rPr>
          <w:rFonts w:ascii="Garamond" w:hAnsi="Garamond"/>
        </w:rPr>
        <w:t>se</w:t>
      </w:r>
      <w:r w:rsidRPr="00AF4555">
        <w:rPr>
          <w:rFonts w:ascii="Garamond" w:hAnsi="Garamond"/>
        </w:rPr>
        <w:t xml:space="preserve"> positive </w:t>
      </w:r>
      <w:r>
        <w:rPr>
          <w:rFonts w:ascii="Garamond" w:hAnsi="Garamond"/>
        </w:rPr>
        <w:t xml:space="preserve">contributions to the </w:t>
      </w:r>
      <w:r w:rsidRPr="00AF4555">
        <w:rPr>
          <w:rFonts w:ascii="Garamond" w:hAnsi="Garamond"/>
        </w:rPr>
        <w:t>export</w:t>
      </w:r>
      <w:r>
        <w:rPr>
          <w:rFonts w:ascii="Garamond" w:hAnsi="Garamond"/>
        </w:rPr>
        <w:t xml:space="preserve"> notwithstanding</w:t>
      </w:r>
      <w:r w:rsidRPr="00AF4555">
        <w:rPr>
          <w:rFonts w:ascii="Garamond" w:hAnsi="Garamond"/>
        </w:rPr>
        <w:t xml:space="preserve">, net external demand </w:t>
      </w:r>
      <w:r>
        <w:rPr>
          <w:rFonts w:ascii="Garamond" w:hAnsi="Garamond"/>
        </w:rPr>
        <w:t xml:space="preserve">has </w:t>
      </w:r>
      <w:r w:rsidRPr="00AF4555">
        <w:rPr>
          <w:rFonts w:ascii="Garamond" w:hAnsi="Garamond"/>
        </w:rPr>
        <w:t xml:space="preserve">slowed </w:t>
      </w:r>
      <w:r>
        <w:rPr>
          <w:rFonts w:ascii="Garamond" w:hAnsi="Garamond"/>
        </w:rPr>
        <w:t xml:space="preserve">down </w:t>
      </w:r>
      <w:r w:rsidRPr="00AF4555">
        <w:rPr>
          <w:rFonts w:ascii="Garamond" w:hAnsi="Garamond"/>
        </w:rPr>
        <w:t xml:space="preserve">the </w:t>
      </w:r>
      <w:r>
        <w:rPr>
          <w:rFonts w:ascii="Garamond" w:hAnsi="Garamond"/>
        </w:rPr>
        <w:t xml:space="preserve">narrowing of the negative </w:t>
      </w:r>
      <w:r w:rsidRPr="00AF4555">
        <w:rPr>
          <w:rFonts w:ascii="Garamond" w:hAnsi="Garamond"/>
        </w:rPr>
        <w:t xml:space="preserve">GDP </w:t>
      </w:r>
      <w:r>
        <w:rPr>
          <w:rFonts w:ascii="Garamond" w:hAnsi="Garamond"/>
        </w:rPr>
        <w:t>gap</w:t>
      </w:r>
      <w:r w:rsidRPr="00AF4555">
        <w:rPr>
          <w:rFonts w:ascii="Garamond" w:hAnsi="Garamond"/>
        </w:rPr>
        <w:t xml:space="preserve"> </w:t>
      </w:r>
      <w:r>
        <w:rPr>
          <w:rFonts w:ascii="Garamond" w:hAnsi="Garamond"/>
        </w:rPr>
        <w:t>amid a robust growth of import in 2017</w:t>
      </w:r>
      <w:r w:rsidRPr="00AF4555">
        <w:rPr>
          <w:rFonts w:ascii="Garamond" w:hAnsi="Garamond"/>
        </w:rPr>
        <w:t>.</w:t>
      </w:r>
    </w:p>
  </w:footnote>
  <w:footnote w:id="14">
    <w:p w14:paraId="29279EB8" w14:textId="77777777" w:rsidR="00947E4F" w:rsidRPr="00B178C0" w:rsidRDefault="00947E4F" w:rsidP="004B4262">
      <w:pPr>
        <w:pStyle w:val="FootnoteText"/>
        <w:jc w:val="both"/>
        <w:rPr>
          <w:rFonts w:ascii="Garamond" w:hAnsi="Garamond"/>
        </w:rPr>
      </w:pPr>
      <w:r w:rsidRPr="00B178C0">
        <w:rPr>
          <w:rStyle w:val="FootnoteReference"/>
          <w:rFonts w:ascii="Garamond" w:hAnsi="Garamond"/>
        </w:rPr>
        <w:t>16</w:t>
      </w:r>
      <w:r w:rsidRPr="00B178C0">
        <w:rPr>
          <w:rFonts w:ascii="Garamond" w:hAnsi="Garamond"/>
        </w:rPr>
        <w:t xml:space="preserve"> </w:t>
      </w:r>
      <w:r w:rsidRPr="00B178C0">
        <w:rPr>
          <w:rFonts w:ascii="Garamond" w:hAnsi="Garamond"/>
          <w:lang w:val="pt-BR"/>
        </w:rPr>
        <w:t>Real export and import growth indicators are the Central Bank estimates</w:t>
      </w:r>
      <w:r w:rsidRPr="00B178C0">
        <w:rPr>
          <w:rFonts w:ascii="Garamond" w:hAnsi="Garamond"/>
          <w:color w:val="000000"/>
        </w:rPr>
        <w:t>.</w:t>
      </w:r>
    </w:p>
  </w:footnote>
  <w:footnote w:id="15">
    <w:p w14:paraId="7000C412" w14:textId="77777777" w:rsidR="00947E4F" w:rsidRPr="00B178C0" w:rsidRDefault="00947E4F" w:rsidP="00B178C0">
      <w:pPr>
        <w:pStyle w:val="FootnoteText"/>
        <w:jc w:val="both"/>
        <w:rPr>
          <w:rFonts w:ascii="Garamond" w:hAnsi="Garamond"/>
        </w:rPr>
      </w:pPr>
      <w:r w:rsidRPr="00B178C0">
        <w:rPr>
          <w:rStyle w:val="FootnoteReference"/>
          <w:rFonts w:ascii="Garamond" w:hAnsi="Garamond"/>
        </w:rPr>
        <w:t>17</w:t>
      </w:r>
      <w:r w:rsidRPr="00B178C0">
        <w:rPr>
          <w:rFonts w:ascii="Garamond" w:hAnsi="Garamond"/>
        </w:rPr>
        <w:t xml:space="preserve"> </w:t>
      </w:r>
      <w:r w:rsidRPr="00B178C0">
        <w:rPr>
          <w:rFonts w:ascii="Garamond" w:hAnsi="Garamond"/>
          <w:iCs/>
        </w:rPr>
        <w:t xml:space="preserve">The review of the fiscal sector was done using preliminary actual consolidated budget indicators (local budgets as an estimate) prepared on the basis of preliminary actual indicators of the </w:t>
      </w:r>
      <w:r>
        <w:rPr>
          <w:rFonts w:ascii="Garamond" w:hAnsi="Garamond"/>
          <w:iCs/>
        </w:rPr>
        <w:t>third</w:t>
      </w:r>
      <w:r w:rsidRPr="00B178C0">
        <w:rPr>
          <w:rFonts w:ascii="Garamond" w:hAnsi="Garamond"/>
          <w:iCs/>
        </w:rPr>
        <w:t xml:space="preserve"> quarter of 2017 (PIU funds included), excluding off-budgetary funds. The impact of revenues was calculated in respect of the nominal GDP indicator while the impact of expenditures, in respect of an estimated economic potential.</w:t>
      </w:r>
    </w:p>
  </w:footnote>
  <w:footnote w:id="16">
    <w:p w14:paraId="686ECE76" w14:textId="77777777" w:rsidR="00947E4F" w:rsidRPr="003C1471" w:rsidRDefault="00947E4F" w:rsidP="00B178C0">
      <w:pPr>
        <w:pStyle w:val="FootnoteText"/>
        <w:jc w:val="both"/>
        <w:rPr>
          <w:rFonts w:ascii="Garamond" w:hAnsi="Garamond"/>
        </w:rPr>
      </w:pPr>
      <w:r w:rsidRPr="003C1471">
        <w:rPr>
          <w:rStyle w:val="FootnoteReference"/>
          <w:rFonts w:ascii="Garamond" w:hAnsi="Garamond"/>
        </w:rPr>
        <w:t>18</w:t>
      </w:r>
      <w:r w:rsidRPr="003C1471">
        <w:rPr>
          <w:rFonts w:ascii="Garamond" w:hAnsi="Garamond"/>
        </w:rPr>
        <w:t xml:space="preserve"> The revenue projection was commensurate with quarterly adjusted budget plans. </w:t>
      </w:r>
    </w:p>
  </w:footnote>
  <w:footnote w:id="17">
    <w:p w14:paraId="7DF382AB" w14:textId="77777777" w:rsidR="00947E4F" w:rsidRPr="00F10ED8" w:rsidRDefault="00947E4F" w:rsidP="00F10ED8">
      <w:pPr>
        <w:pStyle w:val="FootnoteText"/>
        <w:jc w:val="both"/>
        <w:rPr>
          <w:rFonts w:ascii="Garamond" w:hAnsi="Garamond" w:cs="Calibri"/>
        </w:rPr>
      </w:pPr>
      <w:r w:rsidRPr="00F10ED8">
        <w:rPr>
          <w:rStyle w:val="FootnoteReference"/>
          <w:rFonts w:ascii="Garamond" w:hAnsi="Garamond"/>
        </w:rPr>
        <w:t>19</w:t>
      </w:r>
      <w:r w:rsidRPr="00F10ED8">
        <w:rPr>
          <w:rFonts w:ascii="Garamond" w:hAnsi="Garamond" w:cs="Calibri"/>
        </w:rPr>
        <w:t xml:space="preserve"> Repo transactions with 1-14-day maturities constituted 97% of interbank repo transactions in the third quarter of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F0630"/>
    <w:multiLevelType w:val="hybridMultilevel"/>
    <w:tmpl w:val="7CD44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12FA4"/>
    <w:multiLevelType w:val="hybridMultilevel"/>
    <w:tmpl w:val="C5F83BDE"/>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2" w15:restartNumberingAfterBreak="0">
    <w:nsid w:val="37C70900"/>
    <w:multiLevelType w:val="hybridMultilevel"/>
    <w:tmpl w:val="C8283D9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3" w15:restartNumberingAfterBreak="0">
    <w:nsid w:val="3A0B69ED"/>
    <w:multiLevelType w:val="hybridMultilevel"/>
    <w:tmpl w:val="D2EC366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4" w15:restartNumberingAfterBreak="0">
    <w:nsid w:val="407167E7"/>
    <w:multiLevelType w:val="hybridMultilevel"/>
    <w:tmpl w:val="29E6AF64"/>
    <w:lvl w:ilvl="0" w:tplc="38988830">
      <w:start w:val="13"/>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AC0FC4"/>
    <w:multiLevelType w:val="hybridMultilevel"/>
    <w:tmpl w:val="F45ABD2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7651"/>
    <w:rsid w:val="00010BFD"/>
    <w:rsid w:val="00011616"/>
    <w:rsid w:val="00012292"/>
    <w:rsid w:val="00012D6D"/>
    <w:rsid w:val="00012E6D"/>
    <w:rsid w:val="00033894"/>
    <w:rsid w:val="0004189E"/>
    <w:rsid w:val="00055AF4"/>
    <w:rsid w:val="00072E34"/>
    <w:rsid w:val="00076DC3"/>
    <w:rsid w:val="000A53F3"/>
    <w:rsid w:val="000A5C6B"/>
    <w:rsid w:val="000B2925"/>
    <w:rsid w:val="000C72B9"/>
    <w:rsid w:val="000D5A49"/>
    <w:rsid w:val="000E1F26"/>
    <w:rsid w:val="000E2CA7"/>
    <w:rsid w:val="000F7F64"/>
    <w:rsid w:val="00115D65"/>
    <w:rsid w:val="00124332"/>
    <w:rsid w:val="00130386"/>
    <w:rsid w:val="00131D86"/>
    <w:rsid w:val="00132E83"/>
    <w:rsid w:val="00135108"/>
    <w:rsid w:val="00136095"/>
    <w:rsid w:val="001501E0"/>
    <w:rsid w:val="00166AE0"/>
    <w:rsid w:val="001761F4"/>
    <w:rsid w:val="001765DE"/>
    <w:rsid w:val="001950CC"/>
    <w:rsid w:val="001A180F"/>
    <w:rsid w:val="001A33F8"/>
    <w:rsid w:val="001B2700"/>
    <w:rsid w:val="001D0B7E"/>
    <w:rsid w:val="001D4E73"/>
    <w:rsid w:val="001D5226"/>
    <w:rsid w:val="001D5FB4"/>
    <w:rsid w:val="001E301B"/>
    <w:rsid w:val="001F384B"/>
    <w:rsid w:val="001F524F"/>
    <w:rsid w:val="001F67CE"/>
    <w:rsid w:val="00204B5E"/>
    <w:rsid w:val="00212FD1"/>
    <w:rsid w:val="002254DB"/>
    <w:rsid w:val="00242DB9"/>
    <w:rsid w:val="00250973"/>
    <w:rsid w:val="00254051"/>
    <w:rsid w:val="00260739"/>
    <w:rsid w:val="00266CD8"/>
    <w:rsid w:val="002A0889"/>
    <w:rsid w:val="002A3A33"/>
    <w:rsid w:val="002B3C4F"/>
    <w:rsid w:val="002C086C"/>
    <w:rsid w:val="002E4BC0"/>
    <w:rsid w:val="00307627"/>
    <w:rsid w:val="00312FE7"/>
    <w:rsid w:val="00313C67"/>
    <w:rsid w:val="00315BD7"/>
    <w:rsid w:val="00317122"/>
    <w:rsid w:val="00331DDB"/>
    <w:rsid w:val="00332C46"/>
    <w:rsid w:val="00343A25"/>
    <w:rsid w:val="00350306"/>
    <w:rsid w:val="00353DFF"/>
    <w:rsid w:val="00356A47"/>
    <w:rsid w:val="00360173"/>
    <w:rsid w:val="0036083E"/>
    <w:rsid w:val="0036344E"/>
    <w:rsid w:val="00366543"/>
    <w:rsid w:val="00375699"/>
    <w:rsid w:val="00390F3E"/>
    <w:rsid w:val="003A0A1F"/>
    <w:rsid w:val="003A2DCC"/>
    <w:rsid w:val="003A369A"/>
    <w:rsid w:val="003A3A84"/>
    <w:rsid w:val="003A6BEB"/>
    <w:rsid w:val="003A741A"/>
    <w:rsid w:val="003B6FDA"/>
    <w:rsid w:val="003C1471"/>
    <w:rsid w:val="003E32BF"/>
    <w:rsid w:val="003F5450"/>
    <w:rsid w:val="003F7BD8"/>
    <w:rsid w:val="004246F6"/>
    <w:rsid w:val="0043638B"/>
    <w:rsid w:val="00443063"/>
    <w:rsid w:val="00464EBD"/>
    <w:rsid w:val="004712E9"/>
    <w:rsid w:val="00473C6C"/>
    <w:rsid w:val="0048286A"/>
    <w:rsid w:val="00491A52"/>
    <w:rsid w:val="00491B9C"/>
    <w:rsid w:val="00492E20"/>
    <w:rsid w:val="0049530B"/>
    <w:rsid w:val="004A45D1"/>
    <w:rsid w:val="004B330E"/>
    <w:rsid w:val="004B4262"/>
    <w:rsid w:val="004C5641"/>
    <w:rsid w:val="004C5E94"/>
    <w:rsid w:val="004C7FE0"/>
    <w:rsid w:val="004D4A0F"/>
    <w:rsid w:val="004E0889"/>
    <w:rsid w:val="004E6219"/>
    <w:rsid w:val="004F13D9"/>
    <w:rsid w:val="00500167"/>
    <w:rsid w:val="00510E69"/>
    <w:rsid w:val="00522F8F"/>
    <w:rsid w:val="00536A36"/>
    <w:rsid w:val="00540986"/>
    <w:rsid w:val="00543464"/>
    <w:rsid w:val="00545DBA"/>
    <w:rsid w:val="0055355B"/>
    <w:rsid w:val="00571689"/>
    <w:rsid w:val="00592760"/>
    <w:rsid w:val="005A3523"/>
    <w:rsid w:val="005B4859"/>
    <w:rsid w:val="005C122C"/>
    <w:rsid w:val="005C6536"/>
    <w:rsid w:val="005C689C"/>
    <w:rsid w:val="005D4071"/>
    <w:rsid w:val="005D6EF3"/>
    <w:rsid w:val="005E176B"/>
    <w:rsid w:val="005E3189"/>
    <w:rsid w:val="00612C30"/>
    <w:rsid w:val="00613557"/>
    <w:rsid w:val="00620DA0"/>
    <w:rsid w:val="00626752"/>
    <w:rsid w:val="00632D07"/>
    <w:rsid w:val="00634424"/>
    <w:rsid w:val="00635D29"/>
    <w:rsid w:val="006366B1"/>
    <w:rsid w:val="0063768C"/>
    <w:rsid w:val="00640EC9"/>
    <w:rsid w:val="00644C5D"/>
    <w:rsid w:val="00665458"/>
    <w:rsid w:val="006848CE"/>
    <w:rsid w:val="00695216"/>
    <w:rsid w:val="00696D1A"/>
    <w:rsid w:val="006B5C7F"/>
    <w:rsid w:val="006C6A27"/>
    <w:rsid w:val="006E31BD"/>
    <w:rsid w:val="006F41B0"/>
    <w:rsid w:val="00703FA4"/>
    <w:rsid w:val="007129AB"/>
    <w:rsid w:val="007241F1"/>
    <w:rsid w:val="0073509B"/>
    <w:rsid w:val="0074142E"/>
    <w:rsid w:val="00744899"/>
    <w:rsid w:val="007609A9"/>
    <w:rsid w:val="007634D1"/>
    <w:rsid w:val="00774197"/>
    <w:rsid w:val="007877D2"/>
    <w:rsid w:val="007908C9"/>
    <w:rsid w:val="0079789B"/>
    <w:rsid w:val="007A7ABB"/>
    <w:rsid w:val="007B7C08"/>
    <w:rsid w:val="007C2ACC"/>
    <w:rsid w:val="007D01C1"/>
    <w:rsid w:val="007D3AA3"/>
    <w:rsid w:val="007D6ECD"/>
    <w:rsid w:val="007E371D"/>
    <w:rsid w:val="007F6C6D"/>
    <w:rsid w:val="00805838"/>
    <w:rsid w:val="008106B8"/>
    <w:rsid w:val="00815906"/>
    <w:rsid w:val="00824EFA"/>
    <w:rsid w:val="008273D4"/>
    <w:rsid w:val="00827B52"/>
    <w:rsid w:val="00837F88"/>
    <w:rsid w:val="00845EE0"/>
    <w:rsid w:val="00853CC1"/>
    <w:rsid w:val="00862B97"/>
    <w:rsid w:val="00872DDC"/>
    <w:rsid w:val="0088496C"/>
    <w:rsid w:val="00894AA6"/>
    <w:rsid w:val="008B632C"/>
    <w:rsid w:val="008C1060"/>
    <w:rsid w:val="008E1E4F"/>
    <w:rsid w:val="008F3217"/>
    <w:rsid w:val="0090456D"/>
    <w:rsid w:val="0092736C"/>
    <w:rsid w:val="009318F7"/>
    <w:rsid w:val="009321C8"/>
    <w:rsid w:val="00933B63"/>
    <w:rsid w:val="00934823"/>
    <w:rsid w:val="00942E03"/>
    <w:rsid w:val="00943F4D"/>
    <w:rsid w:val="0094484A"/>
    <w:rsid w:val="00947E4F"/>
    <w:rsid w:val="00955528"/>
    <w:rsid w:val="00966C30"/>
    <w:rsid w:val="00971311"/>
    <w:rsid w:val="009A460A"/>
    <w:rsid w:val="009A5297"/>
    <w:rsid w:val="009D1D99"/>
    <w:rsid w:val="009E1B90"/>
    <w:rsid w:val="009E1E01"/>
    <w:rsid w:val="009E6F4B"/>
    <w:rsid w:val="009E75D5"/>
    <w:rsid w:val="009F698D"/>
    <w:rsid w:val="009F710C"/>
    <w:rsid w:val="00A249F2"/>
    <w:rsid w:val="00A374BA"/>
    <w:rsid w:val="00A4603B"/>
    <w:rsid w:val="00A46B1C"/>
    <w:rsid w:val="00A5263E"/>
    <w:rsid w:val="00A7058D"/>
    <w:rsid w:val="00A81B1A"/>
    <w:rsid w:val="00A902E0"/>
    <w:rsid w:val="00A926B6"/>
    <w:rsid w:val="00A940E4"/>
    <w:rsid w:val="00AA14B9"/>
    <w:rsid w:val="00AA16AD"/>
    <w:rsid w:val="00AA70CA"/>
    <w:rsid w:val="00AB5B81"/>
    <w:rsid w:val="00AC660B"/>
    <w:rsid w:val="00AE09C8"/>
    <w:rsid w:val="00AF4555"/>
    <w:rsid w:val="00B01B53"/>
    <w:rsid w:val="00B14F4F"/>
    <w:rsid w:val="00B178C0"/>
    <w:rsid w:val="00B20ADD"/>
    <w:rsid w:val="00B36A0F"/>
    <w:rsid w:val="00B43D6F"/>
    <w:rsid w:val="00B607BF"/>
    <w:rsid w:val="00B62E2B"/>
    <w:rsid w:val="00B67B97"/>
    <w:rsid w:val="00B72834"/>
    <w:rsid w:val="00BA117B"/>
    <w:rsid w:val="00BA2C88"/>
    <w:rsid w:val="00BB3812"/>
    <w:rsid w:val="00BB5C37"/>
    <w:rsid w:val="00BC374F"/>
    <w:rsid w:val="00BC7B0D"/>
    <w:rsid w:val="00BC7D84"/>
    <w:rsid w:val="00BD2D01"/>
    <w:rsid w:val="00BD5B1C"/>
    <w:rsid w:val="00BF261D"/>
    <w:rsid w:val="00BF4394"/>
    <w:rsid w:val="00C0520F"/>
    <w:rsid w:val="00C1309E"/>
    <w:rsid w:val="00C20830"/>
    <w:rsid w:val="00C52117"/>
    <w:rsid w:val="00C62873"/>
    <w:rsid w:val="00C65814"/>
    <w:rsid w:val="00C67AF4"/>
    <w:rsid w:val="00C81C79"/>
    <w:rsid w:val="00C8410C"/>
    <w:rsid w:val="00C95BEF"/>
    <w:rsid w:val="00CA4B4E"/>
    <w:rsid w:val="00CA70BE"/>
    <w:rsid w:val="00CC20C2"/>
    <w:rsid w:val="00CE7257"/>
    <w:rsid w:val="00CF08C9"/>
    <w:rsid w:val="00D0013B"/>
    <w:rsid w:val="00D14C7C"/>
    <w:rsid w:val="00D16B8C"/>
    <w:rsid w:val="00D16E1D"/>
    <w:rsid w:val="00D21F21"/>
    <w:rsid w:val="00D22DE7"/>
    <w:rsid w:val="00D250C5"/>
    <w:rsid w:val="00D3394E"/>
    <w:rsid w:val="00D42518"/>
    <w:rsid w:val="00D46A64"/>
    <w:rsid w:val="00D50DD3"/>
    <w:rsid w:val="00D81DFA"/>
    <w:rsid w:val="00D92ED6"/>
    <w:rsid w:val="00DA09A3"/>
    <w:rsid w:val="00DA0E4F"/>
    <w:rsid w:val="00DA46AC"/>
    <w:rsid w:val="00DA5925"/>
    <w:rsid w:val="00DA7005"/>
    <w:rsid w:val="00DA7BC5"/>
    <w:rsid w:val="00DB1437"/>
    <w:rsid w:val="00DB15C8"/>
    <w:rsid w:val="00DB32D0"/>
    <w:rsid w:val="00DB36E9"/>
    <w:rsid w:val="00DD6EF9"/>
    <w:rsid w:val="00DE27F9"/>
    <w:rsid w:val="00DE3A23"/>
    <w:rsid w:val="00DE4A0D"/>
    <w:rsid w:val="00DF16EE"/>
    <w:rsid w:val="00DF606B"/>
    <w:rsid w:val="00DF60F5"/>
    <w:rsid w:val="00E073FF"/>
    <w:rsid w:val="00E17834"/>
    <w:rsid w:val="00E227E8"/>
    <w:rsid w:val="00E228B8"/>
    <w:rsid w:val="00E26630"/>
    <w:rsid w:val="00E40394"/>
    <w:rsid w:val="00E40BA8"/>
    <w:rsid w:val="00E45D05"/>
    <w:rsid w:val="00E475A6"/>
    <w:rsid w:val="00E67005"/>
    <w:rsid w:val="00E705D0"/>
    <w:rsid w:val="00E716D6"/>
    <w:rsid w:val="00E73EC9"/>
    <w:rsid w:val="00E91D8D"/>
    <w:rsid w:val="00E97DD5"/>
    <w:rsid w:val="00EA6FA3"/>
    <w:rsid w:val="00EB5FCA"/>
    <w:rsid w:val="00EC623F"/>
    <w:rsid w:val="00EC6A16"/>
    <w:rsid w:val="00ED1126"/>
    <w:rsid w:val="00ED4268"/>
    <w:rsid w:val="00ED7F84"/>
    <w:rsid w:val="00EE00FC"/>
    <w:rsid w:val="00EE619D"/>
    <w:rsid w:val="00F10ED8"/>
    <w:rsid w:val="00F35B75"/>
    <w:rsid w:val="00F40F99"/>
    <w:rsid w:val="00F464AE"/>
    <w:rsid w:val="00F7005B"/>
    <w:rsid w:val="00F71D52"/>
    <w:rsid w:val="00F8317E"/>
    <w:rsid w:val="00F844C2"/>
    <w:rsid w:val="00F93A0F"/>
    <w:rsid w:val="00F97651"/>
    <w:rsid w:val="00FA0C20"/>
    <w:rsid w:val="00FB5BB0"/>
    <w:rsid w:val="00FB603D"/>
    <w:rsid w:val="00FC0769"/>
    <w:rsid w:val="00FC26C8"/>
    <w:rsid w:val="00FC67ED"/>
    <w:rsid w:val="00FD5EC1"/>
    <w:rsid w:val="00FE4EC4"/>
    <w:rsid w:val="00FF0E29"/>
    <w:rsid w:val="00FF4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9E35"/>
  <w15:docId w15:val="{09F43FFD-1B83-426B-9B76-C404E4A2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HEA Grapalat" w:eastAsiaTheme="minorHAnsi" w:hAnsi="GHEA Grapalat"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19D"/>
    <w:pPr>
      <w:spacing w:after="0" w:line="240" w:lineRule="auto"/>
    </w:pPr>
    <w:rPr>
      <w:rFonts w:ascii="Times LatArm" w:eastAsia="Times New Roman" w:hAnsi="Times LatArm" w:cs="Times New Roman"/>
      <w:sz w:val="24"/>
      <w:szCs w:val="24"/>
    </w:rPr>
  </w:style>
  <w:style w:type="paragraph" w:styleId="Heading1">
    <w:name w:val="heading 1"/>
    <w:basedOn w:val="Normal"/>
    <w:next w:val="Normal"/>
    <w:link w:val="Heading1Char"/>
    <w:qFormat/>
    <w:rsid w:val="00F40F99"/>
    <w:pPr>
      <w:keepNext/>
      <w:spacing w:line="360" w:lineRule="auto"/>
      <w:jc w:val="both"/>
      <w:outlineLvl w:val="0"/>
    </w:pPr>
    <w:rPr>
      <w:rFonts w:ascii="Times Armenian" w:hAnsi="Times Armenian"/>
      <w:b/>
      <w:color w:val="000000"/>
      <w:sz w:val="26"/>
      <w:szCs w:val="26"/>
      <w:u w:val="single"/>
      <w:lang w:val="hy-AM"/>
    </w:rPr>
  </w:style>
  <w:style w:type="paragraph" w:styleId="Heading2">
    <w:name w:val="heading 2"/>
    <w:basedOn w:val="Normal"/>
    <w:next w:val="Normal"/>
    <w:link w:val="Heading2Char"/>
    <w:qFormat/>
    <w:rsid w:val="00F40F99"/>
    <w:pPr>
      <w:keepNext/>
      <w:spacing w:line="360" w:lineRule="auto"/>
      <w:ind w:firstLine="540"/>
      <w:jc w:val="right"/>
      <w:outlineLvl w:val="1"/>
    </w:pPr>
    <w:rPr>
      <w:rFonts w:ascii="Times Armenian" w:hAnsi="Times Armenian" w:cs="Arial"/>
      <w:i/>
      <w:iCs/>
      <w:color w:val="000000"/>
      <w:szCs w:val="20"/>
      <w:lang w:val="hy-AM"/>
    </w:rPr>
  </w:style>
  <w:style w:type="paragraph" w:styleId="Heading7">
    <w:name w:val="heading 7"/>
    <w:basedOn w:val="Normal"/>
    <w:next w:val="Normal"/>
    <w:link w:val="Heading7Char"/>
    <w:qFormat/>
    <w:rsid w:val="00F40F99"/>
    <w:pPr>
      <w:keepNext/>
      <w:spacing w:line="360" w:lineRule="auto"/>
      <w:ind w:left="1701"/>
      <w:jc w:val="center"/>
      <w:outlineLvl w:val="6"/>
    </w:pPr>
    <w:rPr>
      <w:rFonts w:ascii="Arial Armenian" w:hAnsi="Arial Armenian"/>
      <w:b/>
      <w:spacing w:val="40"/>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ngtext">
    <w:name w:val="long_text"/>
    <w:rsid w:val="00EE619D"/>
  </w:style>
  <w:style w:type="paragraph" w:styleId="ListParagraph">
    <w:name w:val="List Paragraph"/>
    <w:basedOn w:val="Normal"/>
    <w:uiPriority w:val="34"/>
    <w:qFormat/>
    <w:rsid w:val="00EE619D"/>
    <w:pPr>
      <w:ind w:left="720"/>
      <w:contextualSpacing/>
    </w:pPr>
  </w:style>
  <w:style w:type="table" w:styleId="TableGrid">
    <w:name w:val="Table Grid"/>
    <w:basedOn w:val="TableNormal"/>
    <w:uiPriority w:val="39"/>
    <w:rsid w:val="00EE6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EE619D"/>
    <w:rPr>
      <w:sz w:val="20"/>
      <w:szCs w:val="20"/>
    </w:rPr>
  </w:style>
  <w:style w:type="character" w:customStyle="1" w:styleId="FootnoteTextChar">
    <w:name w:val="Footnote Text Char"/>
    <w:basedOn w:val="DefaultParagraphFont"/>
    <w:link w:val="FootnoteText"/>
    <w:uiPriority w:val="99"/>
    <w:rsid w:val="00EE619D"/>
    <w:rPr>
      <w:rFonts w:ascii="Times LatArm" w:eastAsia="Times New Roman" w:hAnsi="Times LatArm" w:cs="Times New Roman"/>
      <w:sz w:val="20"/>
      <w:szCs w:val="20"/>
    </w:rPr>
  </w:style>
  <w:style w:type="character" w:styleId="FootnoteReference">
    <w:name w:val="footnote reference"/>
    <w:basedOn w:val="DefaultParagraphFont"/>
    <w:uiPriority w:val="99"/>
    <w:unhideWhenUsed/>
    <w:rsid w:val="00EE619D"/>
    <w:rPr>
      <w:vertAlign w:val="superscript"/>
    </w:rPr>
  </w:style>
  <w:style w:type="character" w:customStyle="1" w:styleId="Heading1Char">
    <w:name w:val="Heading 1 Char"/>
    <w:basedOn w:val="DefaultParagraphFont"/>
    <w:link w:val="Heading1"/>
    <w:rsid w:val="00F40F99"/>
    <w:rPr>
      <w:rFonts w:ascii="Times Armenian" w:eastAsia="Times New Roman" w:hAnsi="Times Armenian" w:cs="Times New Roman"/>
      <w:b/>
      <w:color w:val="000000"/>
      <w:sz w:val="26"/>
      <w:szCs w:val="26"/>
      <w:u w:val="single"/>
      <w:lang w:val="hy-AM"/>
    </w:rPr>
  </w:style>
  <w:style w:type="character" w:customStyle="1" w:styleId="Heading2Char">
    <w:name w:val="Heading 2 Char"/>
    <w:basedOn w:val="DefaultParagraphFont"/>
    <w:link w:val="Heading2"/>
    <w:rsid w:val="00F40F99"/>
    <w:rPr>
      <w:rFonts w:ascii="Times Armenian" w:eastAsia="Times New Roman" w:hAnsi="Times Armenian" w:cs="Arial"/>
      <w:i/>
      <w:iCs/>
      <w:color w:val="000000"/>
      <w:sz w:val="24"/>
      <w:szCs w:val="20"/>
      <w:lang w:val="hy-AM"/>
    </w:rPr>
  </w:style>
  <w:style w:type="character" w:customStyle="1" w:styleId="Heading7Char">
    <w:name w:val="Heading 7 Char"/>
    <w:basedOn w:val="DefaultParagraphFont"/>
    <w:link w:val="Heading7"/>
    <w:rsid w:val="00F40F99"/>
    <w:rPr>
      <w:rFonts w:ascii="Arial Armenian" w:eastAsia="Times New Roman" w:hAnsi="Arial Armenian" w:cs="Times New Roman"/>
      <w:b/>
      <w:spacing w:val="40"/>
      <w:szCs w:val="23"/>
    </w:rPr>
  </w:style>
  <w:style w:type="character" w:customStyle="1" w:styleId="FootnoteTextChar2">
    <w:name w:val="Footnote Text Char2"/>
    <w:semiHidden/>
    <w:rsid w:val="00F40F99"/>
    <w:rPr>
      <w:rFonts w:ascii="Times Armenian" w:hAnsi="Times Armenian"/>
      <w:lang w:val="en-US" w:eastAsia="en-US" w:bidi="ar-SA"/>
    </w:rPr>
  </w:style>
  <w:style w:type="character" w:styleId="Hyperlink">
    <w:name w:val="Hyperlink"/>
    <w:rsid w:val="00F40F99"/>
    <w:rPr>
      <w:color w:val="0000FF"/>
      <w:u w:val="single"/>
    </w:rPr>
  </w:style>
  <w:style w:type="paragraph" w:styleId="Header">
    <w:name w:val="header"/>
    <w:basedOn w:val="Normal"/>
    <w:link w:val="HeaderChar"/>
    <w:uiPriority w:val="99"/>
    <w:unhideWhenUsed/>
    <w:rsid w:val="00F40F99"/>
    <w:pPr>
      <w:tabs>
        <w:tab w:val="center" w:pos="4680"/>
        <w:tab w:val="right" w:pos="9360"/>
      </w:tabs>
    </w:pPr>
  </w:style>
  <w:style w:type="character" w:customStyle="1" w:styleId="HeaderChar">
    <w:name w:val="Header Char"/>
    <w:basedOn w:val="DefaultParagraphFont"/>
    <w:link w:val="Header"/>
    <w:uiPriority w:val="99"/>
    <w:rsid w:val="00F40F99"/>
    <w:rPr>
      <w:rFonts w:ascii="Times LatArm" w:eastAsia="Times New Roman" w:hAnsi="Times LatArm" w:cs="Times New Roman"/>
      <w:sz w:val="24"/>
      <w:szCs w:val="24"/>
    </w:rPr>
  </w:style>
  <w:style w:type="paragraph" w:styleId="Footer">
    <w:name w:val="footer"/>
    <w:basedOn w:val="Normal"/>
    <w:link w:val="FooterChar"/>
    <w:uiPriority w:val="99"/>
    <w:unhideWhenUsed/>
    <w:rsid w:val="00F40F99"/>
    <w:pPr>
      <w:tabs>
        <w:tab w:val="center" w:pos="4680"/>
        <w:tab w:val="right" w:pos="9360"/>
      </w:tabs>
    </w:pPr>
  </w:style>
  <w:style w:type="character" w:customStyle="1" w:styleId="FooterChar">
    <w:name w:val="Footer Char"/>
    <w:basedOn w:val="DefaultParagraphFont"/>
    <w:link w:val="Footer"/>
    <w:uiPriority w:val="99"/>
    <w:rsid w:val="00F40F99"/>
    <w:rPr>
      <w:rFonts w:ascii="Times LatArm" w:eastAsia="Times New Roman" w:hAnsi="Times LatArm" w:cs="Times New Roman"/>
      <w:sz w:val="24"/>
      <w:szCs w:val="24"/>
    </w:rPr>
  </w:style>
  <w:style w:type="character" w:customStyle="1" w:styleId="apple-converted-space">
    <w:name w:val="apple-converted-space"/>
    <w:basedOn w:val="DefaultParagraphFont"/>
    <w:rsid w:val="00F40F99"/>
  </w:style>
  <w:style w:type="paragraph" w:styleId="BodyText">
    <w:name w:val="Body Text"/>
    <w:basedOn w:val="Normal"/>
    <w:link w:val="BodyTextChar"/>
    <w:uiPriority w:val="99"/>
    <w:unhideWhenUsed/>
    <w:rsid w:val="00F40F99"/>
    <w:pPr>
      <w:spacing w:after="120" w:line="276" w:lineRule="auto"/>
    </w:pPr>
    <w:rPr>
      <w:rFonts w:ascii="GHEA Grapalat" w:eastAsia="Calibri" w:hAnsi="GHEA Grapalat"/>
      <w:sz w:val="22"/>
      <w:szCs w:val="22"/>
    </w:rPr>
  </w:style>
  <w:style w:type="character" w:customStyle="1" w:styleId="BodyTextChar">
    <w:name w:val="Body Text Char"/>
    <w:basedOn w:val="DefaultParagraphFont"/>
    <w:link w:val="BodyText"/>
    <w:uiPriority w:val="99"/>
    <w:rsid w:val="00F40F99"/>
    <w:rPr>
      <w:rFonts w:eastAsia="Calibri" w:cs="Times New Roman"/>
    </w:rPr>
  </w:style>
  <w:style w:type="paragraph" w:styleId="BalloonText">
    <w:name w:val="Balloon Text"/>
    <w:basedOn w:val="Normal"/>
    <w:link w:val="BalloonTextChar"/>
    <w:uiPriority w:val="99"/>
    <w:semiHidden/>
    <w:unhideWhenUsed/>
    <w:rsid w:val="00F35B75"/>
    <w:rPr>
      <w:rFonts w:ascii="Tahoma" w:hAnsi="Tahoma" w:cs="Tahoma"/>
      <w:sz w:val="16"/>
      <w:szCs w:val="16"/>
    </w:rPr>
  </w:style>
  <w:style w:type="character" w:customStyle="1" w:styleId="BalloonTextChar">
    <w:name w:val="Balloon Text Char"/>
    <w:basedOn w:val="DefaultParagraphFont"/>
    <w:link w:val="BalloonText"/>
    <w:uiPriority w:val="99"/>
    <w:semiHidden/>
    <w:rsid w:val="00F35B75"/>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204B5E"/>
    <w:rPr>
      <w:sz w:val="16"/>
      <w:szCs w:val="16"/>
    </w:rPr>
  </w:style>
  <w:style w:type="paragraph" w:styleId="CommentText">
    <w:name w:val="annotation text"/>
    <w:basedOn w:val="Normal"/>
    <w:link w:val="CommentTextChar"/>
    <w:uiPriority w:val="99"/>
    <w:semiHidden/>
    <w:unhideWhenUsed/>
    <w:rsid w:val="00204B5E"/>
    <w:rPr>
      <w:sz w:val="20"/>
      <w:szCs w:val="20"/>
    </w:rPr>
  </w:style>
  <w:style w:type="character" w:customStyle="1" w:styleId="CommentTextChar">
    <w:name w:val="Comment Text Char"/>
    <w:basedOn w:val="DefaultParagraphFont"/>
    <w:link w:val="CommentText"/>
    <w:uiPriority w:val="99"/>
    <w:semiHidden/>
    <w:rsid w:val="00204B5E"/>
    <w:rPr>
      <w:rFonts w:ascii="Times LatArm" w:eastAsia="Times New Roman" w:hAnsi="Times LatArm" w:cs="Times New Roman"/>
      <w:sz w:val="20"/>
      <w:szCs w:val="20"/>
    </w:rPr>
  </w:style>
  <w:style w:type="paragraph" w:styleId="CommentSubject">
    <w:name w:val="annotation subject"/>
    <w:basedOn w:val="CommentText"/>
    <w:next w:val="CommentText"/>
    <w:link w:val="CommentSubjectChar"/>
    <w:uiPriority w:val="99"/>
    <w:semiHidden/>
    <w:unhideWhenUsed/>
    <w:rsid w:val="00204B5E"/>
    <w:rPr>
      <w:b/>
      <w:bCs/>
    </w:rPr>
  </w:style>
  <w:style w:type="character" w:customStyle="1" w:styleId="CommentSubjectChar">
    <w:name w:val="Comment Subject Char"/>
    <w:basedOn w:val="CommentTextChar"/>
    <w:link w:val="CommentSubject"/>
    <w:uiPriority w:val="99"/>
    <w:semiHidden/>
    <w:rsid w:val="00204B5E"/>
    <w:rPr>
      <w:rFonts w:ascii="Times LatArm" w:eastAsia="Times New Roman" w:hAnsi="Times LatArm"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D2859-F3B0-4945-860B-17392F49A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30</Pages>
  <Words>10324</Words>
  <Characters>58848</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Սուսաննա Քարտաշյան</cp:lastModifiedBy>
  <cp:revision>16</cp:revision>
  <dcterms:created xsi:type="dcterms:W3CDTF">2017-12-28T06:26:00Z</dcterms:created>
  <dcterms:modified xsi:type="dcterms:W3CDTF">2024-02-02T13:18:00Z</dcterms:modified>
</cp:coreProperties>
</file>