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87EF" w14:textId="77777777" w:rsidR="003D1442" w:rsidRDefault="003D1442" w:rsidP="00EE619D">
      <w:pPr>
        <w:autoSpaceDE w:val="0"/>
        <w:autoSpaceDN w:val="0"/>
        <w:adjustRightInd w:val="0"/>
        <w:spacing w:after="120" w:line="360" w:lineRule="auto"/>
        <w:jc w:val="both"/>
        <w:rPr>
          <w:rFonts w:ascii="Garamond" w:hAnsi="Garamond"/>
          <w:b/>
          <w:color w:val="0070C0"/>
          <w:sz w:val="22"/>
          <w:szCs w:val="22"/>
        </w:rPr>
      </w:pPr>
    </w:p>
    <w:p w14:paraId="711DA2C7"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1. EXECUTIVE SUMMARY</w:t>
      </w:r>
    </w:p>
    <w:p w14:paraId="18FAAD06"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According to the Q</w:t>
      </w:r>
      <w:r w:rsidR="00463534">
        <w:rPr>
          <w:rFonts w:ascii="Garamond" w:hAnsi="Garamond"/>
          <w:b/>
          <w:sz w:val="22"/>
          <w:szCs w:val="22"/>
        </w:rPr>
        <w:t>1</w:t>
      </w:r>
      <w:r w:rsidRPr="00626752">
        <w:rPr>
          <w:rFonts w:ascii="Garamond" w:hAnsi="Garamond"/>
          <w:b/>
          <w:sz w:val="22"/>
          <w:szCs w:val="22"/>
        </w:rPr>
        <w:t>, 201</w:t>
      </w:r>
      <w:r w:rsidR="00463534">
        <w:rPr>
          <w:rFonts w:ascii="Garamond" w:hAnsi="Garamond"/>
          <w:b/>
          <w:sz w:val="22"/>
          <w:szCs w:val="22"/>
        </w:rPr>
        <w:t>8</w:t>
      </w:r>
      <w:r w:rsidRPr="00626752">
        <w:rPr>
          <w:rFonts w:ascii="Garamond" w:hAnsi="Garamond"/>
          <w:b/>
          <w:sz w:val="22"/>
          <w:szCs w:val="22"/>
        </w:rPr>
        <w:t xml:space="preserve"> Monetary Policy Program of the Central Bank of Armenia (“the Central Bank”), inflation will </w:t>
      </w:r>
      <w:r w:rsidR="00463534">
        <w:rPr>
          <w:rFonts w:ascii="Garamond" w:hAnsi="Garamond"/>
          <w:b/>
          <w:sz w:val="22"/>
          <w:szCs w:val="22"/>
        </w:rPr>
        <w:t>somehow</w:t>
      </w:r>
      <w:r w:rsidRPr="00626752">
        <w:rPr>
          <w:rFonts w:ascii="Garamond" w:hAnsi="Garamond"/>
          <w:b/>
          <w:sz w:val="22"/>
          <w:szCs w:val="22"/>
        </w:rPr>
        <w:t xml:space="preserve"> expand</w:t>
      </w:r>
      <w:r w:rsidR="00463534">
        <w:rPr>
          <w:rFonts w:ascii="Garamond" w:hAnsi="Garamond"/>
          <w:b/>
          <w:sz w:val="22"/>
          <w:szCs w:val="22"/>
        </w:rPr>
        <w:t xml:space="preserve"> </w:t>
      </w:r>
      <w:r w:rsidRPr="00626752">
        <w:rPr>
          <w:rFonts w:ascii="Garamond" w:hAnsi="Garamond"/>
          <w:b/>
          <w:sz w:val="22"/>
          <w:szCs w:val="22"/>
        </w:rPr>
        <w:t>in the upcoming months</w:t>
      </w:r>
      <w:r w:rsidR="00463534">
        <w:rPr>
          <w:rFonts w:ascii="Garamond" w:hAnsi="Garamond"/>
          <w:b/>
          <w:sz w:val="22"/>
          <w:szCs w:val="22"/>
        </w:rPr>
        <w:t>, fluctuating within the confidence band</w:t>
      </w:r>
      <w:r w:rsidRPr="00626752">
        <w:rPr>
          <w:rFonts w:ascii="Garamond" w:hAnsi="Garamond"/>
          <w:b/>
          <w:sz w:val="22"/>
          <w:szCs w:val="22"/>
        </w:rPr>
        <w:t>; in the medium-term perspective it will stabilize around the 4% target.</w:t>
      </w:r>
    </w:p>
    <w:p w14:paraId="63CC750D"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Positive developments in the macroeconomic environment expected in the short run will largely </w:t>
      </w:r>
      <w:r w:rsidR="00463534">
        <w:rPr>
          <w:rFonts w:ascii="Garamond" w:hAnsi="Garamond"/>
          <w:sz w:val="22"/>
          <w:szCs w:val="22"/>
        </w:rPr>
        <w:t>facilitate</w:t>
      </w:r>
      <w:r w:rsidRPr="00626752">
        <w:rPr>
          <w:rFonts w:ascii="Garamond" w:hAnsi="Garamond"/>
          <w:sz w:val="22"/>
          <w:szCs w:val="22"/>
        </w:rPr>
        <w:t xml:space="preserve"> the </w:t>
      </w:r>
      <w:r w:rsidR="00463534">
        <w:rPr>
          <w:rFonts w:ascii="Garamond" w:hAnsi="Garamond"/>
          <w:sz w:val="22"/>
          <w:szCs w:val="22"/>
        </w:rPr>
        <w:t>fulfilment of t</w:t>
      </w:r>
      <w:r w:rsidRPr="00626752">
        <w:rPr>
          <w:rFonts w:ascii="Garamond" w:hAnsi="Garamond"/>
          <w:sz w:val="22"/>
          <w:szCs w:val="22"/>
        </w:rPr>
        <w:t xml:space="preserve">he 12-month inflation </w:t>
      </w:r>
      <w:r w:rsidR="00463534">
        <w:rPr>
          <w:rFonts w:ascii="Garamond" w:hAnsi="Garamond"/>
          <w:sz w:val="22"/>
          <w:szCs w:val="22"/>
        </w:rPr>
        <w:t>target</w:t>
      </w:r>
      <w:r w:rsidRPr="00626752">
        <w:rPr>
          <w:rFonts w:ascii="Garamond" w:hAnsi="Garamond"/>
          <w:sz w:val="22"/>
          <w:szCs w:val="22"/>
        </w:rPr>
        <w:t xml:space="preserve">, owing to still visible influence of expansionary monetary policy implemented by the Central Bank and relatively robust </w:t>
      </w:r>
      <w:r w:rsidR="00463534">
        <w:rPr>
          <w:rFonts w:ascii="Garamond" w:hAnsi="Garamond"/>
          <w:sz w:val="22"/>
          <w:szCs w:val="22"/>
        </w:rPr>
        <w:t xml:space="preserve">demand </w:t>
      </w:r>
      <w:r w:rsidRPr="00626752">
        <w:rPr>
          <w:rFonts w:ascii="Garamond" w:hAnsi="Garamond"/>
          <w:sz w:val="22"/>
          <w:szCs w:val="22"/>
        </w:rPr>
        <w:t>recovery expected both in the external an</w:t>
      </w:r>
      <w:r w:rsidR="00F31EEB">
        <w:rPr>
          <w:rFonts w:ascii="Garamond" w:hAnsi="Garamond"/>
          <w:sz w:val="22"/>
          <w:szCs w:val="22"/>
        </w:rPr>
        <w:t>d domestic economic environment.</w:t>
      </w:r>
      <w:r w:rsidRPr="00626752">
        <w:rPr>
          <w:rFonts w:ascii="Garamond" w:hAnsi="Garamond"/>
          <w:sz w:val="22"/>
          <w:szCs w:val="22"/>
        </w:rPr>
        <w:t xml:space="preserve"> </w:t>
      </w:r>
      <w:r w:rsidR="0008330C">
        <w:rPr>
          <w:rFonts w:ascii="Garamond" w:hAnsi="Garamond"/>
          <w:sz w:val="22"/>
          <w:szCs w:val="22"/>
        </w:rPr>
        <w:t>The Central Bank’s expansionary m</w:t>
      </w:r>
      <w:r w:rsidR="0008330C" w:rsidRPr="00F074C3">
        <w:rPr>
          <w:rFonts w:ascii="Garamond" w:hAnsi="Garamond"/>
          <w:sz w:val="22"/>
          <w:szCs w:val="22"/>
        </w:rPr>
        <w:t>onetary policy</w:t>
      </w:r>
      <w:r w:rsidR="0008330C">
        <w:rPr>
          <w:rFonts w:ascii="Garamond" w:hAnsi="Garamond"/>
          <w:sz w:val="22"/>
          <w:szCs w:val="22"/>
        </w:rPr>
        <w:t xml:space="preserve"> conducted i</w:t>
      </w:r>
      <w:r w:rsidR="00F074C3">
        <w:rPr>
          <w:rFonts w:ascii="Garamond" w:hAnsi="Garamond"/>
          <w:sz w:val="22"/>
          <w:szCs w:val="22"/>
        </w:rPr>
        <w:t xml:space="preserve">n </w:t>
      </w:r>
      <w:r w:rsidR="00F074C3" w:rsidRPr="00F074C3">
        <w:rPr>
          <w:rFonts w:ascii="Garamond" w:hAnsi="Garamond"/>
          <w:sz w:val="22"/>
          <w:szCs w:val="22"/>
        </w:rPr>
        <w:t>2017</w:t>
      </w:r>
      <w:r w:rsidR="0008330C">
        <w:rPr>
          <w:rFonts w:ascii="Garamond" w:hAnsi="Garamond"/>
          <w:sz w:val="22"/>
          <w:szCs w:val="22"/>
        </w:rPr>
        <w:t>,</w:t>
      </w:r>
      <w:r w:rsidR="00F074C3" w:rsidRPr="00F074C3">
        <w:rPr>
          <w:rFonts w:ascii="Garamond" w:hAnsi="Garamond"/>
          <w:sz w:val="22"/>
          <w:szCs w:val="22"/>
        </w:rPr>
        <w:t xml:space="preserve"> </w:t>
      </w:r>
      <w:r w:rsidR="0008330C">
        <w:rPr>
          <w:rFonts w:ascii="Garamond" w:hAnsi="Garamond"/>
          <w:sz w:val="22"/>
          <w:szCs w:val="22"/>
        </w:rPr>
        <w:t xml:space="preserve">aimed at facilitating the recovery of </w:t>
      </w:r>
      <w:r w:rsidRPr="00626752">
        <w:rPr>
          <w:rFonts w:ascii="Garamond" w:hAnsi="Garamond"/>
          <w:sz w:val="22"/>
          <w:szCs w:val="22"/>
        </w:rPr>
        <w:t>domestic demand and inflation</w:t>
      </w:r>
      <w:r w:rsidR="0008330C">
        <w:rPr>
          <w:rFonts w:ascii="Garamond" w:hAnsi="Garamond"/>
          <w:sz w:val="22"/>
          <w:szCs w:val="22"/>
        </w:rPr>
        <w:t xml:space="preserve">, will be also persisting over the first quarter of 2018 </w:t>
      </w:r>
      <w:r w:rsidR="00F074C3">
        <w:rPr>
          <w:rFonts w:ascii="Garamond" w:hAnsi="Garamond"/>
          <w:sz w:val="22"/>
          <w:szCs w:val="22"/>
        </w:rPr>
        <w:t>to</w:t>
      </w:r>
      <w:r w:rsidR="0008330C">
        <w:rPr>
          <w:rFonts w:ascii="Garamond" w:hAnsi="Garamond"/>
          <w:sz w:val="22"/>
          <w:szCs w:val="22"/>
        </w:rPr>
        <w:t xml:space="preserve"> enhance sustained recovery of domestic demand</w:t>
      </w:r>
      <w:r w:rsidRPr="00626752">
        <w:rPr>
          <w:rFonts w:ascii="Garamond" w:hAnsi="Garamond"/>
          <w:sz w:val="22"/>
          <w:szCs w:val="22"/>
        </w:rPr>
        <w:t xml:space="preserve">. </w:t>
      </w:r>
      <w:r w:rsidR="00E25E15" w:rsidRPr="00E25E15">
        <w:rPr>
          <w:rFonts w:ascii="Garamond" w:hAnsi="Garamond"/>
          <w:sz w:val="22"/>
          <w:szCs w:val="22"/>
        </w:rPr>
        <w:t xml:space="preserve">That is, </w:t>
      </w:r>
      <w:r w:rsidR="00E25E15">
        <w:rPr>
          <w:rFonts w:ascii="Garamond" w:hAnsi="Garamond"/>
          <w:sz w:val="22"/>
          <w:szCs w:val="22"/>
        </w:rPr>
        <w:t>i</w:t>
      </w:r>
      <w:r w:rsidR="00E25E15" w:rsidRPr="00E25E15">
        <w:rPr>
          <w:rFonts w:ascii="Garamond" w:hAnsi="Garamond"/>
          <w:sz w:val="22"/>
          <w:szCs w:val="22"/>
        </w:rPr>
        <w:t xml:space="preserve">n the </w:t>
      </w:r>
      <w:r w:rsidR="00E25E15">
        <w:rPr>
          <w:rFonts w:ascii="Garamond" w:hAnsi="Garamond"/>
          <w:sz w:val="22"/>
          <w:szCs w:val="22"/>
        </w:rPr>
        <w:t>last</w:t>
      </w:r>
      <w:r w:rsidR="00E25E15" w:rsidRPr="00E25E15">
        <w:rPr>
          <w:rFonts w:ascii="Garamond" w:hAnsi="Garamond"/>
          <w:sz w:val="22"/>
          <w:szCs w:val="22"/>
        </w:rPr>
        <w:t xml:space="preserve"> quarter</w:t>
      </w:r>
      <w:r w:rsidR="00E25E15">
        <w:rPr>
          <w:rFonts w:ascii="Garamond" w:hAnsi="Garamond"/>
          <w:sz w:val="22"/>
          <w:szCs w:val="22"/>
        </w:rPr>
        <w:t xml:space="preserve"> of 2017</w:t>
      </w:r>
      <w:r w:rsidR="00E25E15" w:rsidRPr="00E25E15">
        <w:rPr>
          <w:rFonts w:ascii="Garamond" w:hAnsi="Garamond"/>
          <w:sz w:val="22"/>
          <w:szCs w:val="22"/>
        </w:rPr>
        <w:t xml:space="preserve"> the C</w:t>
      </w:r>
      <w:r w:rsidR="00E25E15">
        <w:rPr>
          <w:rFonts w:ascii="Garamond" w:hAnsi="Garamond"/>
          <w:sz w:val="22"/>
          <w:szCs w:val="22"/>
        </w:rPr>
        <w:t xml:space="preserve">entral </w:t>
      </w:r>
      <w:r w:rsidR="00E25E15" w:rsidRPr="00E25E15">
        <w:rPr>
          <w:rFonts w:ascii="Garamond" w:hAnsi="Garamond"/>
          <w:sz w:val="22"/>
          <w:szCs w:val="22"/>
        </w:rPr>
        <w:t>B</w:t>
      </w:r>
      <w:r w:rsidR="00E25E15">
        <w:rPr>
          <w:rFonts w:ascii="Garamond" w:hAnsi="Garamond"/>
          <w:sz w:val="22"/>
          <w:szCs w:val="22"/>
        </w:rPr>
        <w:t>ank</w:t>
      </w:r>
      <w:r w:rsidR="00E25E15" w:rsidRPr="00E25E15">
        <w:rPr>
          <w:rFonts w:ascii="Garamond" w:hAnsi="Garamond"/>
          <w:sz w:val="22"/>
          <w:szCs w:val="22"/>
        </w:rPr>
        <w:t xml:space="preserve"> </w:t>
      </w:r>
      <w:r w:rsidR="008A380E">
        <w:rPr>
          <w:rFonts w:ascii="Garamond" w:hAnsi="Garamond"/>
          <w:sz w:val="22"/>
          <w:szCs w:val="22"/>
        </w:rPr>
        <w:t>estimated that</w:t>
      </w:r>
      <w:r w:rsidR="00E25E15" w:rsidRPr="00E25E15">
        <w:rPr>
          <w:rFonts w:ascii="Garamond" w:hAnsi="Garamond"/>
          <w:sz w:val="22"/>
          <w:szCs w:val="22"/>
        </w:rPr>
        <w:t xml:space="preserve"> short-term inflation expectations of the public </w:t>
      </w:r>
      <w:r w:rsidR="008A380E" w:rsidRPr="00E25E15">
        <w:rPr>
          <w:rFonts w:ascii="Garamond" w:hAnsi="Garamond"/>
          <w:sz w:val="22"/>
          <w:szCs w:val="22"/>
        </w:rPr>
        <w:t>w</w:t>
      </w:r>
      <w:r w:rsidR="008A380E">
        <w:rPr>
          <w:rFonts w:ascii="Garamond" w:hAnsi="Garamond"/>
          <w:sz w:val="22"/>
          <w:szCs w:val="22"/>
        </w:rPr>
        <w:t xml:space="preserve">ould </w:t>
      </w:r>
      <w:r w:rsidR="008A380E" w:rsidRPr="00E25E15">
        <w:rPr>
          <w:rFonts w:ascii="Garamond" w:hAnsi="Garamond"/>
          <w:sz w:val="22"/>
          <w:szCs w:val="22"/>
        </w:rPr>
        <w:t xml:space="preserve">somewhat soften </w:t>
      </w:r>
      <w:r w:rsidR="008A380E">
        <w:rPr>
          <w:rFonts w:ascii="Garamond" w:hAnsi="Garamond"/>
          <w:sz w:val="22"/>
          <w:szCs w:val="22"/>
        </w:rPr>
        <w:t xml:space="preserve">at the start of </w:t>
      </w:r>
      <w:r w:rsidR="00E25E15" w:rsidRPr="00E25E15">
        <w:rPr>
          <w:rFonts w:ascii="Garamond" w:hAnsi="Garamond"/>
          <w:sz w:val="22"/>
          <w:szCs w:val="22"/>
        </w:rPr>
        <w:t>2018 as they are mainly conditioned by supply factors. In the first quarter</w:t>
      </w:r>
      <w:r w:rsidR="008A380E">
        <w:rPr>
          <w:rFonts w:ascii="Garamond" w:hAnsi="Garamond"/>
          <w:sz w:val="22"/>
          <w:szCs w:val="22"/>
        </w:rPr>
        <w:t xml:space="preserve"> of 2018</w:t>
      </w:r>
      <w:r w:rsidR="00E25E15" w:rsidRPr="00E25E15">
        <w:rPr>
          <w:rFonts w:ascii="Garamond" w:hAnsi="Garamond"/>
          <w:sz w:val="22"/>
          <w:szCs w:val="22"/>
        </w:rPr>
        <w:t xml:space="preserve">, </w:t>
      </w:r>
      <w:r w:rsidR="008A380E">
        <w:rPr>
          <w:rFonts w:ascii="Garamond" w:hAnsi="Garamond"/>
          <w:sz w:val="22"/>
          <w:szCs w:val="22"/>
        </w:rPr>
        <w:t xml:space="preserve">as was expected, </w:t>
      </w:r>
      <w:r w:rsidR="00E25E15" w:rsidRPr="00E25E15">
        <w:rPr>
          <w:rFonts w:ascii="Garamond" w:hAnsi="Garamond"/>
          <w:sz w:val="22"/>
          <w:szCs w:val="22"/>
        </w:rPr>
        <w:t>additional inflation expectations mitigated, so there is no need for a faster policy response.</w:t>
      </w:r>
      <w:r w:rsidR="008A380E">
        <w:rPr>
          <w:rFonts w:ascii="Garamond" w:hAnsi="Garamond"/>
          <w:sz w:val="22"/>
          <w:szCs w:val="22"/>
        </w:rPr>
        <w:t xml:space="preserve"> </w:t>
      </w:r>
      <w:r w:rsidRPr="00626752">
        <w:rPr>
          <w:rFonts w:ascii="Garamond" w:hAnsi="Garamond"/>
          <w:sz w:val="22"/>
          <w:szCs w:val="22"/>
        </w:rPr>
        <w:t xml:space="preserve">However, </w:t>
      </w:r>
      <w:r w:rsidR="003F24E4">
        <w:rPr>
          <w:rFonts w:ascii="Garamond" w:hAnsi="Garamond"/>
          <w:sz w:val="22"/>
          <w:szCs w:val="22"/>
        </w:rPr>
        <w:t>in the light of predicted macroeconomic developments</w:t>
      </w:r>
      <w:r w:rsidR="003F24E4" w:rsidRPr="00626752">
        <w:rPr>
          <w:rFonts w:ascii="Garamond" w:hAnsi="Garamond"/>
          <w:b/>
          <w:sz w:val="22"/>
          <w:szCs w:val="22"/>
        </w:rPr>
        <w:t xml:space="preserve"> </w:t>
      </w:r>
      <w:r w:rsidRPr="00626752">
        <w:rPr>
          <w:rFonts w:ascii="Garamond" w:hAnsi="Garamond"/>
          <w:b/>
          <w:sz w:val="22"/>
          <w:szCs w:val="22"/>
        </w:rPr>
        <w:t>expansionary monetary conditions to phase out gradually will be needed</w:t>
      </w:r>
      <w:r w:rsidRPr="00626752">
        <w:rPr>
          <w:rFonts w:ascii="Garamond" w:hAnsi="Garamond"/>
          <w:sz w:val="22"/>
          <w:szCs w:val="22"/>
        </w:rPr>
        <w:t xml:space="preserve"> in the </w:t>
      </w:r>
      <w:r w:rsidR="008A380E">
        <w:rPr>
          <w:rFonts w:ascii="Garamond" w:hAnsi="Garamond"/>
          <w:sz w:val="22"/>
          <w:szCs w:val="22"/>
        </w:rPr>
        <w:t xml:space="preserve">medium run in </w:t>
      </w:r>
      <w:r w:rsidRPr="00626752">
        <w:rPr>
          <w:rFonts w:ascii="Garamond" w:hAnsi="Garamond"/>
          <w:sz w:val="22"/>
          <w:szCs w:val="22"/>
        </w:rPr>
        <w:t>fulfillment of the inflation target</w:t>
      </w:r>
      <w:r w:rsidR="008A380E">
        <w:rPr>
          <w:rFonts w:ascii="Garamond" w:hAnsi="Garamond"/>
          <w:sz w:val="22"/>
          <w:szCs w:val="22"/>
        </w:rPr>
        <w:t>.</w:t>
      </w:r>
      <w:r w:rsidR="003F24E4">
        <w:rPr>
          <w:rFonts w:ascii="Garamond" w:hAnsi="Garamond"/>
          <w:sz w:val="22"/>
          <w:szCs w:val="22"/>
        </w:rPr>
        <w:t xml:space="preserve"> </w:t>
      </w:r>
    </w:p>
    <w:p w14:paraId="35B36491" w14:textId="77777777" w:rsidR="00EE619D" w:rsidRDefault="00A30E98"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High e</w:t>
      </w:r>
      <w:r w:rsidR="00EE619D" w:rsidRPr="00626752">
        <w:rPr>
          <w:rFonts w:ascii="Garamond" w:hAnsi="Garamond"/>
          <w:b/>
          <w:sz w:val="22"/>
          <w:szCs w:val="22"/>
        </w:rPr>
        <w:t xml:space="preserve">conomic activity </w:t>
      </w:r>
      <w:r>
        <w:rPr>
          <w:rFonts w:ascii="Garamond" w:hAnsi="Garamond"/>
          <w:b/>
          <w:sz w:val="22"/>
          <w:szCs w:val="22"/>
        </w:rPr>
        <w:t>persisted over</w:t>
      </w:r>
      <w:r w:rsidR="00EE619D" w:rsidRPr="00626752">
        <w:rPr>
          <w:rFonts w:ascii="Garamond" w:hAnsi="Garamond"/>
          <w:b/>
          <w:sz w:val="22"/>
          <w:szCs w:val="22"/>
        </w:rPr>
        <w:t xml:space="preserve"> the </w:t>
      </w:r>
      <w:r w:rsidR="003F24E4">
        <w:rPr>
          <w:rFonts w:ascii="Garamond" w:hAnsi="Garamond"/>
          <w:b/>
          <w:sz w:val="22"/>
          <w:szCs w:val="22"/>
        </w:rPr>
        <w:t>fourth</w:t>
      </w:r>
      <w:r w:rsidR="00EE619D" w:rsidRPr="00626752">
        <w:rPr>
          <w:rFonts w:ascii="Garamond" w:hAnsi="Garamond"/>
          <w:b/>
          <w:sz w:val="22"/>
          <w:szCs w:val="22"/>
        </w:rPr>
        <w:t xml:space="preserve"> quarter of 2017</w:t>
      </w:r>
      <w:r>
        <w:rPr>
          <w:rFonts w:ascii="Garamond" w:hAnsi="Garamond"/>
          <w:b/>
          <w:sz w:val="22"/>
          <w:szCs w:val="22"/>
        </w:rPr>
        <w:t xml:space="preserve"> too</w:t>
      </w:r>
      <w:r w:rsidR="00EE619D" w:rsidRPr="00626752">
        <w:rPr>
          <w:rFonts w:ascii="Garamond" w:hAnsi="Garamond"/>
          <w:b/>
          <w:sz w:val="22"/>
          <w:szCs w:val="22"/>
        </w:rPr>
        <w:t xml:space="preserve">, </w:t>
      </w:r>
      <w:r>
        <w:rPr>
          <w:rFonts w:ascii="Garamond" w:hAnsi="Garamond"/>
          <w:b/>
          <w:sz w:val="22"/>
          <w:szCs w:val="22"/>
        </w:rPr>
        <w:t xml:space="preserve">and </w:t>
      </w:r>
      <w:r w:rsidR="00EE619D" w:rsidRPr="00626752">
        <w:rPr>
          <w:rFonts w:ascii="Garamond" w:hAnsi="Garamond"/>
          <w:b/>
          <w:sz w:val="22"/>
          <w:szCs w:val="22"/>
        </w:rPr>
        <w:t xml:space="preserve">the Central Bank </w:t>
      </w:r>
      <w:r w:rsidRPr="00A30E98">
        <w:rPr>
          <w:rFonts w:ascii="Garamond" w:hAnsi="Garamond"/>
          <w:b/>
          <w:sz w:val="22"/>
          <w:szCs w:val="22"/>
        </w:rPr>
        <w:t xml:space="preserve">estimates a higher rate of economic growth </w:t>
      </w:r>
      <w:r>
        <w:rPr>
          <w:rFonts w:ascii="Garamond" w:hAnsi="Garamond"/>
          <w:b/>
          <w:sz w:val="22"/>
          <w:szCs w:val="22"/>
        </w:rPr>
        <w:t>for</w:t>
      </w:r>
      <w:r w:rsidRPr="00A30E98">
        <w:rPr>
          <w:rFonts w:ascii="Garamond" w:hAnsi="Garamond"/>
          <w:b/>
          <w:sz w:val="22"/>
          <w:szCs w:val="22"/>
        </w:rPr>
        <w:t xml:space="preserve"> 2017 a</w:t>
      </w:r>
      <w:r>
        <w:rPr>
          <w:rFonts w:ascii="Garamond" w:hAnsi="Garamond"/>
          <w:b/>
          <w:sz w:val="22"/>
          <w:szCs w:val="22"/>
        </w:rPr>
        <w:t>gainst t</w:t>
      </w:r>
      <w:r w:rsidRPr="00A30E98">
        <w:rPr>
          <w:rFonts w:ascii="Garamond" w:hAnsi="Garamond"/>
          <w:b/>
          <w:sz w:val="22"/>
          <w:szCs w:val="22"/>
        </w:rPr>
        <w:t xml:space="preserve">he previous forecast. Compared to the previous forecast, a higher level of aggregate demand is also expected, </w:t>
      </w:r>
      <w:r w:rsidR="00DC3B98">
        <w:rPr>
          <w:rFonts w:ascii="Garamond" w:hAnsi="Garamond"/>
          <w:b/>
          <w:sz w:val="22"/>
          <w:szCs w:val="22"/>
        </w:rPr>
        <w:t xml:space="preserve">explained by </w:t>
      </w:r>
      <w:r w:rsidRPr="00A30E98">
        <w:rPr>
          <w:rFonts w:ascii="Garamond" w:hAnsi="Garamond"/>
          <w:b/>
          <w:sz w:val="22"/>
          <w:szCs w:val="22"/>
        </w:rPr>
        <w:t xml:space="preserve">both </w:t>
      </w:r>
      <w:r>
        <w:rPr>
          <w:rFonts w:ascii="Garamond" w:hAnsi="Garamond"/>
          <w:b/>
          <w:sz w:val="22"/>
          <w:szCs w:val="22"/>
        </w:rPr>
        <w:t xml:space="preserve">increased core inflation </w:t>
      </w:r>
      <w:r w:rsidRPr="00A30E98">
        <w:rPr>
          <w:rFonts w:ascii="Garamond" w:hAnsi="Garamond"/>
          <w:b/>
          <w:sz w:val="22"/>
          <w:szCs w:val="22"/>
        </w:rPr>
        <w:t xml:space="preserve">and high import growth. </w:t>
      </w:r>
      <w:r w:rsidR="00DC3B98">
        <w:rPr>
          <w:rFonts w:ascii="Garamond" w:hAnsi="Garamond"/>
          <w:b/>
          <w:sz w:val="22"/>
          <w:szCs w:val="22"/>
        </w:rPr>
        <w:t xml:space="preserve">The expectation is that </w:t>
      </w:r>
      <w:r w:rsidRPr="00A30E98">
        <w:rPr>
          <w:rFonts w:ascii="Garamond" w:hAnsi="Garamond"/>
          <w:b/>
          <w:sz w:val="22"/>
          <w:szCs w:val="22"/>
        </w:rPr>
        <w:t xml:space="preserve">temporary factors that </w:t>
      </w:r>
      <w:r w:rsidR="00560595">
        <w:rPr>
          <w:rFonts w:ascii="Garamond" w:hAnsi="Garamond"/>
          <w:b/>
          <w:sz w:val="22"/>
          <w:szCs w:val="22"/>
        </w:rPr>
        <w:t xml:space="preserve">determine </w:t>
      </w:r>
      <w:r w:rsidRPr="00A30E98">
        <w:rPr>
          <w:rFonts w:ascii="Garamond" w:hAnsi="Garamond"/>
          <w:b/>
          <w:sz w:val="22"/>
          <w:szCs w:val="22"/>
        </w:rPr>
        <w:t>accelerat</w:t>
      </w:r>
      <w:r w:rsidR="00560595">
        <w:rPr>
          <w:rFonts w:ascii="Garamond" w:hAnsi="Garamond"/>
          <w:b/>
          <w:sz w:val="22"/>
          <w:szCs w:val="22"/>
        </w:rPr>
        <w:t xml:space="preserve">ion of </w:t>
      </w:r>
      <w:r w:rsidRPr="00A30E98">
        <w:rPr>
          <w:rFonts w:ascii="Garamond" w:hAnsi="Garamond"/>
          <w:b/>
          <w:sz w:val="22"/>
          <w:szCs w:val="22"/>
        </w:rPr>
        <w:t xml:space="preserve">economic growth </w:t>
      </w:r>
      <w:r w:rsidR="00560595" w:rsidRPr="00A30E98">
        <w:rPr>
          <w:rFonts w:ascii="Garamond" w:hAnsi="Garamond"/>
          <w:b/>
          <w:sz w:val="22"/>
          <w:szCs w:val="22"/>
        </w:rPr>
        <w:t xml:space="preserve">in the forecast horizon </w:t>
      </w:r>
      <w:r w:rsidRPr="00A30E98">
        <w:rPr>
          <w:rFonts w:ascii="Garamond" w:hAnsi="Garamond"/>
          <w:b/>
          <w:sz w:val="22"/>
          <w:szCs w:val="22"/>
        </w:rPr>
        <w:t xml:space="preserve">will gradually </w:t>
      </w:r>
      <w:r w:rsidR="00560595">
        <w:rPr>
          <w:rFonts w:ascii="Garamond" w:hAnsi="Garamond"/>
          <w:b/>
          <w:sz w:val="22"/>
          <w:szCs w:val="22"/>
        </w:rPr>
        <w:t>eliminate</w:t>
      </w:r>
      <w:r w:rsidRPr="00A30E98">
        <w:rPr>
          <w:rFonts w:ascii="Garamond" w:hAnsi="Garamond"/>
          <w:b/>
          <w:sz w:val="22"/>
          <w:szCs w:val="22"/>
        </w:rPr>
        <w:t xml:space="preserve">, and it will </w:t>
      </w:r>
      <w:r w:rsidR="00560595">
        <w:rPr>
          <w:rFonts w:ascii="Garamond" w:hAnsi="Garamond"/>
          <w:b/>
          <w:sz w:val="22"/>
          <w:szCs w:val="22"/>
        </w:rPr>
        <w:t xml:space="preserve">hover around its </w:t>
      </w:r>
      <w:r w:rsidR="00560595" w:rsidRPr="00626752">
        <w:rPr>
          <w:rFonts w:ascii="Garamond" w:hAnsi="Garamond"/>
          <w:b/>
          <w:sz w:val="22"/>
          <w:szCs w:val="22"/>
        </w:rPr>
        <w:t>long-term equilibrium</w:t>
      </w:r>
      <w:r w:rsidR="00560595">
        <w:rPr>
          <w:rFonts w:ascii="Garamond" w:hAnsi="Garamond"/>
          <w:b/>
          <w:sz w:val="22"/>
          <w:szCs w:val="22"/>
        </w:rPr>
        <w:t>.</w:t>
      </w:r>
    </w:p>
    <w:tbl>
      <w:tblPr>
        <w:tblStyle w:val="TableGrid"/>
        <w:tblW w:w="0" w:type="auto"/>
        <w:tblLook w:val="04A0" w:firstRow="1" w:lastRow="0" w:firstColumn="1" w:lastColumn="0" w:noHBand="0" w:noVBand="1"/>
      </w:tblPr>
      <w:tblGrid>
        <w:gridCol w:w="9576"/>
      </w:tblGrid>
      <w:tr w:rsidR="00560595" w:rsidRPr="00E3294E" w14:paraId="197A6DAA" w14:textId="77777777" w:rsidTr="00560595">
        <w:tc>
          <w:tcPr>
            <w:tcW w:w="9576" w:type="dxa"/>
          </w:tcPr>
          <w:p w14:paraId="3E25D748" w14:textId="77777777" w:rsidR="00560595" w:rsidRPr="003D6368" w:rsidRDefault="00560595" w:rsidP="00560595">
            <w:pPr>
              <w:autoSpaceDE w:val="0"/>
              <w:autoSpaceDN w:val="0"/>
              <w:adjustRightInd w:val="0"/>
              <w:spacing w:after="120" w:line="360" w:lineRule="auto"/>
              <w:jc w:val="both"/>
              <w:rPr>
                <w:rFonts w:ascii="Garamond" w:hAnsi="Garamond"/>
                <w:color w:val="FF0000"/>
                <w:sz w:val="18"/>
                <w:szCs w:val="22"/>
              </w:rPr>
            </w:pPr>
            <w:r w:rsidRPr="003D6368">
              <w:rPr>
                <w:rFonts w:ascii="Garamond" w:hAnsi="Garamond"/>
                <w:b/>
                <w:color w:val="FF0000"/>
                <w:sz w:val="18"/>
                <w:szCs w:val="22"/>
              </w:rPr>
              <w:t xml:space="preserve">Footnote 1. </w:t>
            </w:r>
            <w:r w:rsidRPr="003D6368">
              <w:rPr>
                <w:rFonts w:ascii="Garamond" w:hAnsi="Garamond"/>
                <w:color w:val="FF0000"/>
                <w:sz w:val="18"/>
                <w:szCs w:val="22"/>
              </w:rPr>
              <w:t>The growth rate of each quarter is calculated as the cumulative growth rate for the last four quarters.</w:t>
            </w:r>
          </w:p>
          <w:p w14:paraId="4CC0BF5F" w14:textId="77777777" w:rsidR="003F6D4A" w:rsidRPr="003D6368" w:rsidRDefault="003F6D4A" w:rsidP="003F6D4A">
            <w:pPr>
              <w:autoSpaceDE w:val="0"/>
              <w:autoSpaceDN w:val="0"/>
              <w:adjustRightInd w:val="0"/>
              <w:spacing w:after="120" w:line="360" w:lineRule="auto"/>
              <w:jc w:val="both"/>
              <w:rPr>
                <w:rFonts w:ascii="Garamond" w:hAnsi="Garamond"/>
                <w:b/>
                <w:color w:val="FF0000"/>
                <w:sz w:val="18"/>
                <w:szCs w:val="18"/>
              </w:rPr>
            </w:pPr>
            <w:r w:rsidRPr="003D6368">
              <w:rPr>
                <w:rFonts w:ascii="Garamond" w:hAnsi="Garamond"/>
                <w:b/>
                <w:color w:val="FF0000"/>
                <w:sz w:val="18"/>
                <w:szCs w:val="18"/>
              </w:rPr>
              <w:t>Footnote 10.</w:t>
            </w:r>
            <w:r w:rsidRPr="003D6368">
              <w:rPr>
                <w:rFonts w:ascii="Garamond" w:hAnsi="Garamond"/>
                <w:color w:val="FF0000"/>
                <w:sz w:val="18"/>
                <w:szCs w:val="18"/>
              </w:rPr>
              <w:t xml:space="preserve"> </w:t>
            </w:r>
            <w:proofErr w:type="spellStart"/>
            <w:r w:rsidRPr="003D6368">
              <w:rPr>
                <w:rFonts w:ascii="Garamond" w:hAnsi="Garamond"/>
                <w:color w:val="FF0000"/>
                <w:sz w:val="18"/>
                <w:szCs w:val="18"/>
                <w:lang w:val="hy-AM"/>
              </w:rPr>
              <w:t>The</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growth</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rate</w:t>
            </w:r>
            <w:proofErr w:type="spellEnd"/>
            <w:r w:rsidRPr="003D6368">
              <w:rPr>
                <w:rFonts w:ascii="Garamond" w:hAnsi="Garamond"/>
                <w:color w:val="FF0000"/>
                <w:sz w:val="18"/>
                <w:szCs w:val="18"/>
                <w:lang w:val="hy-AM"/>
              </w:rPr>
              <w:t xml:space="preserve"> of </w:t>
            </w:r>
            <w:proofErr w:type="spellStart"/>
            <w:r w:rsidRPr="003D6368">
              <w:rPr>
                <w:rFonts w:ascii="Garamond" w:hAnsi="Garamond"/>
                <w:color w:val="FF0000"/>
                <w:sz w:val="18"/>
                <w:szCs w:val="18"/>
                <w:lang w:val="hy-AM"/>
              </w:rPr>
              <w:t>each</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quarter</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is</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calculated</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as</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the</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cumulative</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growth</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rate</w:t>
            </w:r>
            <w:proofErr w:type="spellEnd"/>
            <w:r w:rsidRPr="003D6368">
              <w:rPr>
                <w:rFonts w:ascii="Garamond" w:hAnsi="Garamond"/>
                <w:color w:val="FF0000"/>
                <w:sz w:val="18"/>
                <w:szCs w:val="18"/>
                <w:lang w:val="hy-AM"/>
              </w:rPr>
              <w:t xml:space="preserve"> of </w:t>
            </w:r>
            <w:proofErr w:type="spellStart"/>
            <w:r w:rsidRPr="003D6368">
              <w:rPr>
                <w:rFonts w:ascii="Garamond" w:hAnsi="Garamond"/>
                <w:color w:val="FF0000"/>
                <w:sz w:val="18"/>
                <w:szCs w:val="18"/>
                <w:lang w:val="hy-AM"/>
              </w:rPr>
              <w:t>the</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last</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four</w:t>
            </w:r>
            <w:proofErr w:type="spellEnd"/>
            <w:r w:rsidRPr="003D6368">
              <w:rPr>
                <w:rFonts w:ascii="Garamond" w:hAnsi="Garamond"/>
                <w:color w:val="FF0000"/>
                <w:sz w:val="18"/>
                <w:szCs w:val="18"/>
                <w:lang w:val="hy-AM"/>
              </w:rPr>
              <w:t xml:space="preserve"> </w:t>
            </w:r>
            <w:proofErr w:type="spellStart"/>
            <w:r w:rsidRPr="003D6368">
              <w:rPr>
                <w:rFonts w:ascii="Garamond" w:hAnsi="Garamond"/>
                <w:color w:val="FF0000"/>
                <w:sz w:val="18"/>
                <w:szCs w:val="18"/>
                <w:lang w:val="hy-AM"/>
              </w:rPr>
              <w:t>quarters</w:t>
            </w:r>
            <w:proofErr w:type="spellEnd"/>
            <w:r w:rsidRPr="003D6368">
              <w:rPr>
                <w:rFonts w:ascii="Garamond" w:hAnsi="Garamond"/>
                <w:color w:val="FF0000"/>
                <w:sz w:val="18"/>
                <w:szCs w:val="18"/>
                <w:lang w:val="hy-AM"/>
              </w:rPr>
              <w:t>.</w:t>
            </w:r>
          </w:p>
        </w:tc>
      </w:tr>
    </w:tbl>
    <w:p w14:paraId="08CDD78C" w14:textId="77777777" w:rsidR="00560595" w:rsidRPr="00626752" w:rsidRDefault="00560595" w:rsidP="00EE619D">
      <w:pPr>
        <w:autoSpaceDE w:val="0"/>
        <w:autoSpaceDN w:val="0"/>
        <w:adjustRightInd w:val="0"/>
        <w:spacing w:after="120" w:line="360" w:lineRule="auto"/>
        <w:jc w:val="both"/>
        <w:rPr>
          <w:rFonts w:ascii="Garamond" w:hAnsi="Garamond"/>
          <w:b/>
          <w:sz w:val="22"/>
          <w:szCs w:val="22"/>
        </w:rPr>
      </w:pPr>
    </w:p>
    <w:p w14:paraId="5BD2BF98"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In the short run</w:t>
      </w:r>
      <w:r w:rsidRPr="00626752">
        <w:rPr>
          <w:rFonts w:ascii="Garamond" w:hAnsi="Garamond"/>
          <w:sz w:val="22"/>
          <w:szCs w:val="22"/>
        </w:rPr>
        <w:t xml:space="preserve">, risks to inflation </w:t>
      </w:r>
      <w:r w:rsidR="00560595">
        <w:rPr>
          <w:rFonts w:ascii="Garamond" w:hAnsi="Garamond"/>
          <w:sz w:val="22"/>
          <w:szCs w:val="22"/>
        </w:rPr>
        <w:t xml:space="preserve">and economic growth are mainly dual-sided, and are determined by </w:t>
      </w:r>
      <w:r w:rsidR="00560595" w:rsidRPr="00560595">
        <w:rPr>
          <w:rFonts w:ascii="Garamond" w:hAnsi="Garamond"/>
          <w:sz w:val="22"/>
          <w:szCs w:val="22"/>
        </w:rPr>
        <w:t>possible developments in the agricultural sector.</w:t>
      </w:r>
      <w:r w:rsidR="00560595">
        <w:rPr>
          <w:rFonts w:ascii="Garamond" w:hAnsi="Garamond"/>
          <w:sz w:val="22"/>
          <w:szCs w:val="22"/>
        </w:rPr>
        <w:t xml:space="preserve"> </w:t>
      </w:r>
      <w:r w:rsidR="00F61EDD" w:rsidRPr="00626752">
        <w:rPr>
          <w:rFonts w:ascii="Garamond" w:hAnsi="Garamond"/>
          <w:b/>
          <w:sz w:val="22"/>
          <w:szCs w:val="22"/>
        </w:rPr>
        <w:t xml:space="preserve">In the </w:t>
      </w:r>
      <w:r w:rsidR="00F61EDD">
        <w:rPr>
          <w:rFonts w:ascii="Garamond" w:hAnsi="Garamond"/>
          <w:b/>
          <w:sz w:val="22"/>
          <w:szCs w:val="22"/>
        </w:rPr>
        <w:t>medium</w:t>
      </w:r>
      <w:r w:rsidR="00F61EDD" w:rsidRPr="00626752">
        <w:rPr>
          <w:rFonts w:ascii="Garamond" w:hAnsi="Garamond"/>
          <w:b/>
          <w:sz w:val="22"/>
          <w:szCs w:val="22"/>
        </w:rPr>
        <w:t xml:space="preserve"> run</w:t>
      </w:r>
      <w:r w:rsidR="00F61EDD" w:rsidRPr="00626752">
        <w:rPr>
          <w:rFonts w:ascii="Garamond" w:hAnsi="Garamond"/>
          <w:sz w:val="22"/>
          <w:szCs w:val="22"/>
        </w:rPr>
        <w:t xml:space="preserve">, risks to inflation </w:t>
      </w:r>
      <w:r w:rsidR="00F61EDD">
        <w:rPr>
          <w:rFonts w:ascii="Garamond" w:hAnsi="Garamond"/>
          <w:sz w:val="22"/>
          <w:szCs w:val="22"/>
        </w:rPr>
        <w:t>and economic growth are</w:t>
      </w:r>
      <w:r w:rsidR="00F61EDD" w:rsidRPr="00626752">
        <w:rPr>
          <w:rFonts w:ascii="Garamond" w:hAnsi="Garamond"/>
          <w:sz w:val="22"/>
          <w:szCs w:val="22"/>
        </w:rPr>
        <w:t xml:space="preserve"> </w:t>
      </w:r>
      <w:r w:rsidR="00F61EDD">
        <w:rPr>
          <w:rFonts w:ascii="Garamond" w:hAnsi="Garamond"/>
          <w:sz w:val="22"/>
          <w:szCs w:val="22"/>
        </w:rPr>
        <w:t xml:space="preserve">mostly upside – they </w:t>
      </w:r>
      <w:r w:rsidR="00F61EDD" w:rsidRPr="00F61EDD">
        <w:rPr>
          <w:rFonts w:ascii="Garamond" w:hAnsi="Garamond"/>
          <w:sz w:val="22"/>
          <w:szCs w:val="22"/>
        </w:rPr>
        <w:t xml:space="preserve">will be </w:t>
      </w:r>
      <w:r w:rsidR="00F61EDD">
        <w:rPr>
          <w:rFonts w:ascii="Garamond" w:hAnsi="Garamond"/>
          <w:sz w:val="22"/>
          <w:szCs w:val="22"/>
        </w:rPr>
        <w:t xml:space="preserve">attributable to quicker </w:t>
      </w:r>
      <w:r w:rsidR="00F61EDD" w:rsidRPr="00F61EDD">
        <w:rPr>
          <w:rFonts w:ascii="Garamond" w:hAnsi="Garamond"/>
          <w:sz w:val="22"/>
          <w:szCs w:val="22"/>
        </w:rPr>
        <w:t xml:space="preserve">recovery of external demand, </w:t>
      </w:r>
      <w:r w:rsidR="00F61EDD">
        <w:rPr>
          <w:rFonts w:ascii="Garamond" w:hAnsi="Garamond"/>
          <w:sz w:val="22"/>
          <w:szCs w:val="22"/>
        </w:rPr>
        <w:t xml:space="preserve">faster rising </w:t>
      </w:r>
      <w:r w:rsidR="00F61EDD" w:rsidRPr="00F61EDD">
        <w:rPr>
          <w:rFonts w:ascii="Garamond" w:hAnsi="Garamond"/>
          <w:sz w:val="22"/>
          <w:szCs w:val="22"/>
        </w:rPr>
        <w:t xml:space="preserve">prices in international </w:t>
      </w:r>
      <w:r w:rsidR="00F61EDD">
        <w:rPr>
          <w:rFonts w:ascii="Garamond" w:hAnsi="Garamond"/>
          <w:sz w:val="22"/>
          <w:szCs w:val="22"/>
        </w:rPr>
        <w:t xml:space="preserve">commodity and food product markets against previous forecasts, and a </w:t>
      </w:r>
      <w:r w:rsidR="00F61EDD" w:rsidRPr="00F61EDD">
        <w:rPr>
          <w:rFonts w:ascii="Garamond" w:hAnsi="Garamond"/>
          <w:sz w:val="22"/>
          <w:szCs w:val="22"/>
        </w:rPr>
        <w:t xml:space="preserve">longer-term nature </w:t>
      </w:r>
      <w:r w:rsidR="00F61EDD">
        <w:rPr>
          <w:rFonts w:ascii="Garamond" w:hAnsi="Garamond"/>
          <w:sz w:val="22"/>
          <w:szCs w:val="22"/>
        </w:rPr>
        <w:t xml:space="preserve">of domestic demand, consumption growth in particular. </w:t>
      </w:r>
    </w:p>
    <w:p w14:paraId="3F0D0ABA" w14:textId="77777777" w:rsidR="003D1442" w:rsidRDefault="003D1442" w:rsidP="00EE619D">
      <w:pPr>
        <w:autoSpaceDE w:val="0"/>
        <w:autoSpaceDN w:val="0"/>
        <w:adjustRightInd w:val="0"/>
        <w:spacing w:after="120" w:line="360" w:lineRule="auto"/>
        <w:jc w:val="both"/>
        <w:rPr>
          <w:rFonts w:ascii="Garamond" w:hAnsi="Garamond"/>
          <w:b/>
          <w:color w:val="0070C0"/>
          <w:sz w:val="22"/>
          <w:szCs w:val="22"/>
        </w:rPr>
      </w:pPr>
    </w:p>
    <w:p w14:paraId="7261599C" w14:textId="77777777" w:rsidR="003D1442" w:rsidRDefault="003D1442" w:rsidP="00EE619D">
      <w:pPr>
        <w:autoSpaceDE w:val="0"/>
        <w:autoSpaceDN w:val="0"/>
        <w:adjustRightInd w:val="0"/>
        <w:spacing w:after="120" w:line="360" w:lineRule="auto"/>
        <w:jc w:val="both"/>
        <w:rPr>
          <w:rFonts w:ascii="Garamond" w:hAnsi="Garamond"/>
          <w:b/>
          <w:color w:val="0070C0"/>
          <w:sz w:val="22"/>
          <w:szCs w:val="22"/>
        </w:rPr>
      </w:pPr>
    </w:p>
    <w:p w14:paraId="1BB79FEC"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lastRenderedPageBreak/>
        <w:t>2. FORECAST, FORECAST CHANGES AND RISKS</w:t>
      </w:r>
    </w:p>
    <w:p w14:paraId="6E7EEA16" w14:textId="77777777" w:rsidR="00EE619D" w:rsidRPr="00626752" w:rsidRDefault="00EE619D"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2.1. External environment</w:t>
      </w:r>
    </w:p>
    <w:p w14:paraId="15E74787"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 xml:space="preserve">The </w:t>
      </w:r>
      <w:r w:rsidR="00E76EEB">
        <w:rPr>
          <w:rFonts w:ascii="Garamond" w:hAnsi="Garamond"/>
          <w:b/>
          <w:sz w:val="22"/>
          <w:szCs w:val="22"/>
        </w:rPr>
        <w:t xml:space="preserve">2017 trend of </w:t>
      </w:r>
      <w:r w:rsidR="00E76EEB" w:rsidRPr="00E76EEB">
        <w:rPr>
          <w:rFonts w:ascii="Garamond" w:hAnsi="Garamond"/>
          <w:b/>
          <w:sz w:val="22"/>
          <w:szCs w:val="22"/>
        </w:rPr>
        <w:t>rapid global econom</w:t>
      </w:r>
      <w:r w:rsidR="00E76EEB">
        <w:rPr>
          <w:rFonts w:ascii="Garamond" w:hAnsi="Garamond"/>
          <w:b/>
          <w:sz w:val="22"/>
          <w:szCs w:val="22"/>
        </w:rPr>
        <w:t xml:space="preserve">ic growth </w:t>
      </w:r>
      <w:r w:rsidR="00E76EEB" w:rsidRPr="00E76EEB">
        <w:rPr>
          <w:rFonts w:ascii="Garamond" w:hAnsi="Garamond"/>
          <w:b/>
          <w:sz w:val="22"/>
          <w:szCs w:val="22"/>
        </w:rPr>
        <w:t xml:space="preserve">will continue in 2018. </w:t>
      </w:r>
      <w:r w:rsidR="00E76EEB">
        <w:rPr>
          <w:rFonts w:ascii="Garamond" w:hAnsi="Garamond"/>
          <w:b/>
          <w:sz w:val="22"/>
          <w:szCs w:val="22"/>
        </w:rPr>
        <w:t xml:space="preserve">Strong growth rates are expected to persist in economies of </w:t>
      </w:r>
      <w:r w:rsidR="00E76EEB" w:rsidRPr="00626752">
        <w:rPr>
          <w:rFonts w:ascii="Garamond" w:hAnsi="Garamond"/>
          <w:b/>
          <w:sz w:val="22"/>
          <w:szCs w:val="22"/>
        </w:rPr>
        <w:t xml:space="preserve">principal trade partners </w:t>
      </w:r>
      <w:r w:rsidR="00E76EEB">
        <w:rPr>
          <w:rFonts w:ascii="Garamond" w:hAnsi="Garamond"/>
          <w:b/>
          <w:sz w:val="22"/>
          <w:szCs w:val="22"/>
        </w:rPr>
        <w:t xml:space="preserve">to </w:t>
      </w:r>
      <w:r w:rsidR="00E76EEB" w:rsidRPr="00626752">
        <w:rPr>
          <w:rFonts w:ascii="Garamond" w:hAnsi="Garamond"/>
          <w:b/>
          <w:sz w:val="22"/>
          <w:szCs w:val="22"/>
        </w:rPr>
        <w:t>Armenia</w:t>
      </w:r>
      <w:r w:rsidR="00E76EEB" w:rsidRPr="00E76EEB">
        <w:rPr>
          <w:rFonts w:ascii="Garamond" w:hAnsi="Garamond"/>
          <w:b/>
          <w:sz w:val="22"/>
          <w:szCs w:val="22"/>
        </w:rPr>
        <w:t xml:space="preserve"> </w:t>
      </w:r>
      <w:r w:rsidR="00E76EEB">
        <w:rPr>
          <w:rFonts w:ascii="Garamond" w:hAnsi="Garamond"/>
          <w:b/>
          <w:sz w:val="22"/>
          <w:szCs w:val="22"/>
        </w:rPr>
        <w:t xml:space="preserve">– </w:t>
      </w:r>
      <w:r w:rsidR="00E76EEB" w:rsidRPr="00626752">
        <w:rPr>
          <w:rFonts w:ascii="Garamond" w:hAnsi="Garamond"/>
          <w:b/>
          <w:sz w:val="22"/>
          <w:szCs w:val="22"/>
        </w:rPr>
        <w:t>the USA</w:t>
      </w:r>
      <w:r w:rsidR="00E76EEB">
        <w:rPr>
          <w:rFonts w:ascii="Garamond" w:hAnsi="Garamond"/>
          <w:b/>
          <w:sz w:val="22"/>
          <w:szCs w:val="22"/>
        </w:rPr>
        <w:t xml:space="preserve"> and</w:t>
      </w:r>
      <w:r w:rsidR="00E76EEB" w:rsidRPr="00626752">
        <w:rPr>
          <w:rFonts w:ascii="Garamond" w:hAnsi="Garamond"/>
          <w:b/>
          <w:sz w:val="22"/>
          <w:szCs w:val="22"/>
        </w:rPr>
        <w:t xml:space="preserve"> Eurozone</w:t>
      </w:r>
      <w:r w:rsidR="00E76EEB" w:rsidRPr="00E76EEB">
        <w:rPr>
          <w:rFonts w:ascii="Garamond" w:hAnsi="Garamond"/>
          <w:b/>
          <w:sz w:val="22"/>
          <w:szCs w:val="22"/>
        </w:rPr>
        <w:t xml:space="preserve"> </w:t>
      </w:r>
      <w:r w:rsidR="00E76EEB">
        <w:rPr>
          <w:rFonts w:ascii="Garamond" w:hAnsi="Garamond"/>
          <w:b/>
          <w:sz w:val="22"/>
          <w:szCs w:val="22"/>
        </w:rPr>
        <w:t xml:space="preserve">in particular. </w:t>
      </w:r>
    </w:p>
    <w:p w14:paraId="64AFD17E" w14:textId="77777777" w:rsidR="00EE619D" w:rsidRPr="00626752" w:rsidRDefault="00E0653F"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In 2018, as the global demand recovers, mainly i</w:t>
      </w:r>
      <w:r w:rsidRPr="00E0653F">
        <w:rPr>
          <w:rFonts w:ascii="Garamond" w:hAnsi="Garamond"/>
          <w:b/>
          <w:sz w:val="22"/>
          <w:szCs w:val="22"/>
        </w:rPr>
        <w:t xml:space="preserve">nflationary </w:t>
      </w:r>
      <w:r>
        <w:rPr>
          <w:rFonts w:ascii="Garamond" w:hAnsi="Garamond"/>
          <w:b/>
          <w:sz w:val="22"/>
          <w:szCs w:val="22"/>
        </w:rPr>
        <w:t xml:space="preserve">patterns will be observable in commodity markets, </w:t>
      </w:r>
      <w:r w:rsidRPr="00E0653F">
        <w:rPr>
          <w:rFonts w:ascii="Garamond" w:hAnsi="Garamond"/>
          <w:b/>
          <w:sz w:val="22"/>
          <w:szCs w:val="22"/>
        </w:rPr>
        <w:t xml:space="preserve">while significant inflation developments in food </w:t>
      </w:r>
      <w:r>
        <w:rPr>
          <w:rFonts w:ascii="Garamond" w:hAnsi="Garamond"/>
          <w:b/>
          <w:sz w:val="22"/>
          <w:szCs w:val="22"/>
        </w:rPr>
        <w:t xml:space="preserve">products markets are not anticipated. </w:t>
      </w:r>
    </w:p>
    <w:p w14:paraId="4804CB9B"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Economic developments in the external sector:</w:t>
      </w:r>
      <w:r w:rsidRPr="00626752">
        <w:rPr>
          <w:rFonts w:ascii="Garamond" w:hAnsi="Garamond"/>
          <w:sz w:val="22"/>
          <w:szCs w:val="22"/>
        </w:rPr>
        <w:t xml:space="preserve"> According to preliminary estimates of the Bureau of Economic Analysis of the U.S. Department of Commerce, economic growth in the </w:t>
      </w:r>
      <w:r w:rsidRPr="00626752">
        <w:rPr>
          <w:rFonts w:ascii="Garamond" w:hAnsi="Garamond"/>
          <w:b/>
          <w:sz w:val="22"/>
          <w:szCs w:val="22"/>
        </w:rPr>
        <w:t>United States</w:t>
      </w:r>
      <w:r w:rsidRPr="00626752">
        <w:rPr>
          <w:rFonts w:ascii="Garamond" w:hAnsi="Garamond"/>
          <w:b/>
          <w:sz w:val="22"/>
          <w:szCs w:val="22"/>
          <w:lang w:val="hy-AM"/>
        </w:rPr>
        <w:t xml:space="preserve"> </w:t>
      </w:r>
      <w:r w:rsidR="00506EA5">
        <w:rPr>
          <w:rFonts w:ascii="Garamond" w:hAnsi="Garamond"/>
          <w:sz w:val="22"/>
          <w:szCs w:val="22"/>
        </w:rPr>
        <w:t>in the fourth</w:t>
      </w:r>
      <w:r w:rsidRPr="00626752">
        <w:rPr>
          <w:rFonts w:ascii="Garamond" w:hAnsi="Garamond"/>
          <w:sz w:val="22"/>
          <w:szCs w:val="22"/>
        </w:rPr>
        <w:t xml:space="preserve"> quarter of 2017 was 2.</w:t>
      </w:r>
      <w:r w:rsidR="00506EA5">
        <w:rPr>
          <w:rFonts w:ascii="Garamond" w:hAnsi="Garamond"/>
          <w:sz w:val="22"/>
          <w:szCs w:val="22"/>
        </w:rPr>
        <w:t>5</w:t>
      </w:r>
      <w:r w:rsidRPr="00626752">
        <w:rPr>
          <w:rFonts w:ascii="Garamond" w:hAnsi="Garamond"/>
          <w:sz w:val="22"/>
          <w:szCs w:val="22"/>
        </w:rPr>
        <w:t>% y/y</w:t>
      </w:r>
      <w:r w:rsidR="00506EA5">
        <w:rPr>
          <w:rFonts w:ascii="Garamond" w:hAnsi="Garamond"/>
          <w:sz w:val="22"/>
          <w:szCs w:val="22"/>
        </w:rPr>
        <w:t>, with</w:t>
      </w:r>
      <w:r w:rsidRPr="00626752">
        <w:rPr>
          <w:rFonts w:ascii="Garamond" w:hAnsi="Garamond"/>
          <w:sz w:val="22"/>
          <w:szCs w:val="22"/>
        </w:rPr>
        <w:t xml:space="preserve"> average economic growth projected at 2.2</w:t>
      </w:r>
      <w:r w:rsidR="00506EA5">
        <w:rPr>
          <w:rFonts w:ascii="Garamond" w:hAnsi="Garamond"/>
          <w:sz w:val="22"/>
          <w:szCs w:val="22"/>
        </w:rPr>
        <w:t>5</w:t>
      </w:r>
      <w:r w:rsidRPr="00626752">
        <w:rPr>
          <w:rFonts w:ascii="Garamond" w:hAnsi="Garamond"/>
          <w:sz w:val="22"/>
          <w:szCs w:val="22"/>
        </w:rPr>
        <w:t>% for 2017</w:t>
      </w:r>
      <w:r w:rsidR="00506EA5">
        <w:rPr>
          <w:rFonts w:ascii="Garamond" w:hAnsi="Garamond"/>
          <w:sz w:val="22"/>
          <w:szCs w:val="22"/>
        </w:rPr>
        <w:t xml:space="preserve">; it is predicted to reach 2.4% for 2018 owing to </w:t>
      </w:r>
      <w:r w:rsidR="00506EA5" w:rsidRPr="00506EA5">
        <w:rPr>
          <w:rFonts w:ascii="Garamond" w:hAnsi="Garamond"/>
          <w:sz w:val="22"/>
          <w:szCs w:val="22"/>
        </w:rPr>
        <w:t>the increase in the volume of investments</w:t>
      </w:r>
      <w:r w:rsidR="00506EA5">
        <w:rPr>
          <w:rFonts w:ascii="Garamond" w:hAnsi="Garamond"/>
          <w:sz w:val="22"/>
          <w:szCs w:val="22"/>
        </w:rPr>
        <w:t xml:space="preserve"> anticipated</w:t>
      </w:r>
      <w:r w:rsidR="00506EA5" w:rsidRPr="00506EA5">
        <w:rPr>
          <w:rFonts w:ascii="Garamond" w:hAnsi="Garamond"/>
          <w:sz w:val="22"/>
          <w:szCs w:val="22"/>
        </w:rPr>
        <w:t xml:space="preserve"> in the short-term </w:t>
      </w:r>
      <w:r w:rsidR="00506EA5">
        <w:rPr>
          <w:rFonts w:ascii="Garamond" w:hAnsi="Garamond"/>
          <w:sz w:val="22"/>
          <w:szCs w:val="22"/>
        </w:rPr>
        <w:t xml:space="preserve">perspective as part of implementation of </w:t>
      </w:r>
      <w:r w:rsidR="00506EA5" w:rsidRPr="00506EA5">
        <w:rPr>
          <w:rFonts w:ascii="Garamond" w:hAnsi="Garamond"/>
          <w:sz w:val="22"/>
          <w:szCs w:val="22"/>
        </w:rPr>
        <w:t>the US Pres</w:t>
      </w:r>
      <w:r w:rsidR="00506EA5">
        <w:rPr>
          <w:rFonts w:ascii="Garamond" w:hAnsi="Garamond"/>
          <w:sz w:val="22"/>
          <w:szCs w:val="22"/>
        </w:rPr>
        <w:t>ident’</w:t>
      </w:r>
      <w:r w:rsidR="00506EA5" w:rsidRPr="00506EA5">
        <w:rPr>
          <w:rFonts w:ascii="Garamond" w:hAnsi="Garamond"/>
          <w:sz w:val="22"/>
          <w:szCs w:val="22"/>
        </w:rPr>
        <w:t>s tax reduction program.</w:t>
      </w:r>
      <w:r w:rsidR="00506EA5">
        <w:rPr>
          <w:rFonts w:ascii="Garamond" w:hAnsi="Garamond"/>
          <w:sz w:val="22"/>
          <w:szCs w:val="22"/>
        </w:rPr>
        <w:t xml:space="preserve"> </w:t>
      </w:r>
      <w:r w:rsidR="008D51E4" w:rsidRPr="00506EA5">
        <w:rPr>
          <w:rFonts w:ascii="Garamond" w:hAnsi="Garamond"/>
          <w:sz w:val="22"/>
          <w:szCs w:val="22"/>
        </w:rPr>
        <w:t xml:space="preserve">The main factor contributing to the economic growth in the fourth quarter </w:t>
      </w:r>
      <w:r w:rsidR="008D51E4">
        <w:rPr>
          <w:rFonts w:ascii="Garamond" w:hAnsi="Garamond"/>
          <w:sz w:val="22"/>
          <w:szCs w:val="22"/>
        </w:rPr>
        <w:t xml:space="preserve">of 2017 included increased private consumption and more </w:t>
      </w:r>
      <w:r w:rsidR="008D51E4" w:rsidRPr="00506EA5">
        <w:rPr>
          <w:rFonts w:ascii="Garamond" w:hAnsi="Garamond"/>
          <w:sz w:val="22"/>
          <w:szCs w:val="22"/>
        </w:rPr>
        <w:t xml:space="preserve">public </w:t>
      </w:r>
      <w:r w:rsidR="008D51E4">
        <w:rPr>
          <w:rFonts w:ascii="Garamond" w:hAnsi="Garamond"/>
          <w:sz w:val="22"/>
          <w:szCs w:val="22"/>
        </w:rPr>
        <w:t>expenditures spen</w:t>
      </w:r>
      <w:r w:rsidR="00806C2B">
        <w:rPr>
          <w:rFonts w:ascii="Garamond" w:hAnsi="Garamond"/>
          <w:sz w:val="22"/>
          <w:szCs w:val="22"/>
        </w:rPr>
        <w:t>ding for</w:t>
      </w:r>
      <w:r w:rsidR="008D51E4">
        <w:rPr>
          <w:rFonts w:ascii="Garamond" w:hAnsi="Garamond"/>
          <w:sz w:val="22"/>
          <w:szCs w:val="22"/>
        </w:rPr>
        <w:t xml:space="preserve"> </w:t>
      </w:r>
      <w:r w:rsidR="008D51E4" w:rsidRPr="00506EA5">
        <w:rPr>
          <w:rFonts w:ascii="Garamond" w:hAnsi="Garamond"/>
          <w:sz w:val="22"/>
          <w:szCs w:val="22"/>
        </w:rPr>
        <w:t xml:space="preserve">reconstruction efforts </w:t>
      </w:r>
      <w:r w:rsidR="008D51E4">
        <w:rPr>
          <w:rFonts w:ascii="Garamond" w:hAnsi="Garamond"/>
          <w:sz w:val="22"/>
          <w:szCs w:val="22"/>
        </w:rPr>
        <w:t>in the aftermath of storms in previous quarters</w:t>
      </w:r>
      <w:r w:rsidR="00506EA5" w:rsidRPr="00506EA5">
        <w:rPr>
          <w:rFonts w:ascii="Garamond" w:hAnsi="Garamond"/>
          <w:sz w:val="22"/>
          <w:szCs w:val="22"/>
        </w:rPr>
        <w:t xml:space="preserve">. </w:t>
      </w:r>
      <w:r w:rsidR="008D51E4" w:rsidRPr="00506EA5">
        <w:rPr>
          <w:rFonts w:ascii="Garamond" w:hAnsi="Garamond"/>
          <w:sz w:val="22"/>
          <w:szCs w:val="22"/>
        </w:rPr>
        <w:t>In the fourth quarter</w:t>
      </w:r>
      <w:r w:rsidR="008D51E4">
        <w:rPr>
          <w:rFonts w:ascii="Garamond" w:hAnsi="Garamond"/>
          <w:sz w:val="22"/>
          <w:szCs w:val="22"/>
        </w:rPr>
        <w:t xml:space="preserve"> of 2017 the u</w:t>
      </w:r>
      <w:r w:rsidR="00506EA5" w:rsidRPr="00506EA5">
        <w:rPr>
          <w:rFonts w:ascii="Garamond" w:hAnsi="Garamond"/>
          <w:sz w:val="22"/>
          <w:szCs w:val="22"/>
        </w:rPr>
        <w:t xml:space="preserve">nemployment rate slightly decreased </w:t>
      </w:r>
      <w:r w:rsidR="008D51E4">
        <w:rPr>
          <w:rFonts w:ascii="Garamond" w:hAnsi="Garamond"/>
          <w:sz w:val="22"/>
          <w:szCs w:val="22"/>
        </w:rPr>
        <w:t>to</w:t>
      </w:r>
      <w:r w:rsidR="00506EA5" w:rsidRPr="00506EA5">
        <w:rPr>
          <w:rFonts w:ascii="Garamond" w:hAnsi="Garamond"/>
          <w:sz w:val="22"/>
          <w:szCs w:val="22"/>
        </w:rPr>
        <w:t xml:space="preserve"> 4.1%.</w:t>
      </w:r>
      <w:r w:rsidR="008D51E4">
        <w:rPr>
          <w:rFonts w:ascii="Garamond" w:hAnsi="Garamond"/>
          <w:sz w:val="22"/>
          <w:szCs w:val="22"/>
        </w:rPr>
        <w:t xml:space="preserve"> </w:t>
      </w:r>
    </w:p>
    <w:p w14:paraId="7B03C44F"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According to preliminary estimates provided by the Eurostat, economic growth in the</w:t>
      </w:r>
      <w:r w:rsidRPr="00626752">
        <w:rPr>
          <w:rFonts w:ascii="Garamond" w:hAnsi="Garamond"/>
          <w:sz w:val="22"/>
          <w:szCs w:val="22"/>
          <w:lang w:val="hy-AM"/>
        </w:rPr>
        <w:t xml:space="preserve"> </w:t>
      </w:r>
      <w:r w:rsidRPr="00626752">
        <w:rPr>
          <w:rFonts w:ascii="Garamond" w:hAnsi="Garamond"/>
          <w:b/>
          <w:sz w:val="22"/>
          <w:szCs w:val="22"/>
        </w:rPr>
        <w:t>Eurozone</w:t>
      </w:r>
      <w:r w:rsidRPr="00626752">
        <w:rPr>
          <w:rFonts w:ascii="Garamond" w:hAnsi="Garamond"/>
          <w:b/>
          <w:sz w:val="22"/>
          <w:szCs w:val="22"/>
          <w:lang w:val="hy-AM"/>
        </w:rPr>
        <w:t xml:space="preserve"> </w:t>
      </w:r>
      <w:r w:rsidRPr="00626752">
        <w:rPr>
          <w:rFonts w:ascii="Garamond" w:hAnsi="Garamond"/>
          <w:sz w:val="22"/>
          <w:szCs w:val="22"/>
        </w:rPr>
        <w:t xml:space="preserve">in the </w:t>
      </w:r>
      <w:r w:rsidR="008F7E04">
        <w:rPr>
          <w:rFonts w:ascii="Garamond" w:hAnsi="Garamond"/>
          <w:sz w:val="22"/>
          <w:szCs w:val="22"/>
        </w:rPr>
        <w:t>fourth</w:t>
      </w:r>
      <w:r w:rsidRPr="00626752">
        <w:rPr>
          <w:rFonts w:ascii="Garamond" w:hAnsi="Garamond"/>
          <w:sz w:val="22"/>
          <w:szCs w:val="22"/>
        </w:rPr>
        <w:t xml:space="preserve"> quarter of 2017</w:t>
      </w:r>
      <w:r w:rsidRPr="00626752">
        <w:rPr>
          <w:rFonts w:ascii="Garamond" w:hAnsi="Garamond"/>
          <w:sz w:val="22"/>
          <w:szCs w:val="22"/>
          <w:lang w:val="hy-AM"/>
        </w:rPr>
        <w:t xml:space="preserve"> </w:t>
      </w:r>
      <w:r w:rsidR="00C06522">
        <w:rPr>
          <w:rFonts w:ascii="Garamond" w:hAnsi="Garamond"/>
          <w:sz w:val="22"/>
          <w:szCs w:val="22"/>
        </w:rPr>
        <w:t xml:space="preserve">amounted to </w:t>
      </w:r>
      <w:r w:rsidRPr="00626752">
        <w:rPr>
          <w:rFonts w:ascii="Garamond" w:hAnsi="Garamond"/>
          <w:sz w:val="22"/>
          <w:szCs w:val="22"/>
        </w:rPr>
        <w:t>2.</w:t>
      </w:r>
      <w:r w:rsidR="008F7E04">
        <w:rPr>
          <w:rFonts w:ascii="Garamond" w:hAnsi="Garamond"/>
          <w:sz w:val="22"/>
          <w:szCs w:val="22"/>
        </w:rPr>
        <w:t>7</w:t>
      </w:r>
      <w:r w:rsidRPr="00626752">
        <w:rPr>
          <w:rFonts w:ascii="Garamond" w:hAnsi="Garamond"/>
          <w:sz w:val="22"/>
          <w:szCs w:val="22"/>
        </w:rPr>
        <w:t>% y/y</w:t>
      </w:r>
      <w:r w:rsidR="00533644">
        <w:rPr>
          <w:rFonts w:ascii="Garamond" w:hAnsi="Garamond"/>
          <w:sz w:val="22"/>
          <w:szCs w:val="22"/>
        </w:rPr>
        <w:t xml:space="preserve"> and 2.5% for the </w:t>
      </w:r>
      <w:r w:rsidR="00C06522">
        <w:rPr>
          <w:rFonts w:ascii="Garamond" w:hAnsi="Garamond"/>
          <w:sz w:val="22"/>
          <w:szCs w:val="22"/>
        </w:rPr>
        <w:t xml:space="preserve">year’s growth, </w:t>
      </w:r>
      <w:r w:rsidRPr="00626752">
        <w:rPr>
          <w:rFonts w:ascii="Garamond" w:hAnsi="Garamond"/>
          <w:sz w:val="22"/>
          <w:szCs w:val="22"/>
        </w:rPr>
        <w:t>owing to improve</w:t>
      </w:r>
      <w:r w:rsidR="00C06522">
        <w:rPr>
          <w:rFonts w:ascii="Garamond" w:hAnsi="Garamond"/>
          <w:sz w:val="22"/>
          <w:szCs w:val="22"/>
        </w:rPr>
        <w:t xml:space="preserve">d </w:t>
      </w:r>
      <w:r w:rsidRPr="00626752">
        <w:rPr>
          <w:rFonts w:ascii="Garamond" w:hAnsi="Garamond"/>
          <w:sz w:val="22"/>
          <w:szCs w:val="22"/>
        </w:rPr>
        <w:t xml:space="preserve">growth </w:t>
      </w:r>
      <w:r w:rsidR="00C06522">
        <w:rPr>
          <w:rFonts w:ascii="Garamond" w:hAnsi="Garamond"/>
          <w:sz w:val="22"/>
          <w:szCs w:val="22"/>
        </w:rPr>
        <w:t xml:space="preserve">recorded </w:t>
      </w:r>
      <w:r w:rsidRPr="00626752">
        <w:rPr>
          <w:rFonts w:ascii="Garamond" w:hAnsi="Garamond"/>
          <w:sz w:val="22"/>
          <w:szCs w:val="22"/>
        </w:rPr>
        <w:t xml:space="preserve">in </w:t>
      </w:r>
      <w:r w:rsidR="00C06522">
        <w:rPr>
          <w:rFonts w:ascii="Garamond" w:hAnsi="Garamond"/>
          <w:sz w:val="22"/>
          <w:szCs w:val="22"/>
        </w:rPr>
        <w:t>major</w:t>
      </w:r>
      <w:r w:rsidRPr="00626752">
        <w:rPr>
          <w:rFonts w:ascii="Garamond" w:hAnsi="Garamond"/>
          <w:sz w:val="22"/>
          <w:szCs w:val="22"/>
        </w:rPr>
        <w:t xml:space="preserve"> member states. </w:t>
      </w:r>
      <w:r w:rsidR="00ED2E1C">
        <w:rPr>
          <w:rFonts w:ascii="Garamond" w:hAnsi="Garamond"/>
          <w:sz w:val="22"/>
          <w:szCs w:val="22"/>
        </w:rPr>
        <w:t>N</w:t>
      </w:r>
      <w:r w:rsidR="00ED2E1C" w:rsidRPr="00ED2E1C">
        <w:rPr>
          <w:rFonts w:ascii="Garamond" w:hAnsi="Garamond"/>
          <w:sz w:val="22"/>
          <w:szCs w:val="22"/>
        </w:rPr>
        <w:t xml:space="preserve">ote that average economic growth </w:t>
      </w:r>
      <w:r w:rsidR="00ED2E1C">
        <w:rPr>
          <w:rFonts w:ascii="Garamond" w:hAnsi="Garamond"/>
          <w:sz w:val="22"/>
          <w:szCs w:val="22"/>
        </w:rPr>
        <w:t xml:space="preserve">in the Eurozone in 2018 is projected </w:t>
      </w:r>
      <w:r w:rsidR="00ED2E1C" w:rsidRPr="00ED2E1C">
        <w:rPr>
          <w:rFonts w:ascii="Garamond" w:hAnsi="Garamond"/>
          <w:sz w:val="22"/>
          <w:szCs w:val="22"/>
        </w:rPr>
        <w:t xml:space="preserve">2.4%, which will continue to </w:t>
      </w:r>
      <w:r w:rsidR="00ED2E1C">
        <w:rPr>
          <w:rFonts w:ascii="Garamond" w:hAnsi="Garamond"/>
          <w:sz w:val="22"/>
          <w:szCs w:val="22"/>
        </w:rPr>
        <w:t>be driven by expansionary monetary</w:t>
      </w:r>
      <w:r w:rsidR="00ED2E1C" w:rsidRPr="00ED2E1C">
        <w:rPr>
          <w:rFonts w:ascii="Garamond" w:hAnsi="Garamond"/>
          <w:sz w:val="22"/>
          <w:szCs w:val="22"/>
        </w:rPr>
        <w:t xml:space="preserve"> policy, recover</w:t>
      </w:r>
      <w:r w:rsidR="00ED2E1C">
        <w:rPr>
          <w:rFonts w:ascii="Garamond" w:hAnsi="Garamond"/>
          <w:sz w:val="22"/>
          <w:szCs w:val="22"/>
        </w:rPr>
        <w:t>ing</w:t>
      </w:r>
      <w:r w:rsidR="00ED2E1C" w:rsidRPr="00ED2E1C">
        <w:rPr>
          <w:rFonts w:ascii="Garamond" w:hAnsi="Garamond"/>
          <w:sz w:val="22"/>
          <w:szCs w:val="22"/>
        </w:rPr>
        <w:t xml:space="preserve"> global economy, as well as favorable </w:t>
      </w:r>
      <w:r w:rsidR="00ED2E1C">
        <w:rPr>
          <w:rFonts w:ascii="Garamond" w:hAnsi="Garamond"/>
          <w:sz w:val="22"/>
          <w:szCs w:val="22"/>
        </w:rPr>
        <w:t xml:space="preserve">conditions in the </w:t>
      </w:r>
      <w:r w:rsidR="00ED2E1C" w:rsidRPr="00ED2E1C">
        <w:rPr>
          <w:rFonts w:ascii="Garamond" w:hAnsi="Garamond"/>
          <w:sz w:val="22"/>
          <w:szCs w:val="22"/>
        </w:rPr>
        <w:t xml:space="preserve">labor market where </w:t>
      </w:r>
      <w:r w:rsidR="00ED2E1C">
        <w:rPr>
          <w:rFonts w:ascii="Garamond" w:hAnsi="Garamond"/>
          <w:sz w:val="22"/>
          <w:szCs w:val="22"/>
        </w:rPr>
        <w:t xml:space="preserve">the </w:t>
      </w:r>
      <w:r w:rsidR="00ED2E1C" w:rsidRPr="00ED2E1C">
        <w:rPr>
          <w:rFonts w:ascii="Garamond" w:hAnsi="Garamond"/>
          <w:sz w:val="22"/>
          <w:szCs w:val="22"/>
        </w:rPr>
        <w:t>unemployment rate has dropped</w:t>
      </w:r>
      <w:r w:rsidR="00ED2E1C">
        <w:rPr>
          <w:rFonts w:ascii="Garamond" w:hAnsi="Garamond"/>
          <w:sz w:val="22"/>
          <w:szCs w:val="22"/>
        </w:rPr>
        <w:t xml:space="preserve">; in </w:t>
      </w:r>
      <w:r w:rsidR="00ED2E1C" w:rsidRPr="00ED2E1C">
        <w:rPr>
          <w:rFonts w:ascii="Garamond" w:hAnsi="Garamond"/>
          <w:sz w:val="22"/>
          <w:szCs w:val="22"/>
        </w:rPr>
        <w:t xml:space="preserve">December </w:t>
      </w:r>
      <w:r w:rsidR="00ED2E1C">
        <w:rPr>
          <w:rFonts w:ascii="Garamond" w:hAnsi="Garamond"/>
          <w:sz w:val="22"/>
          <w:szCs w:val="22"/>
        </w:rPr>
        <w:t xml:space="preserve">of 2017 it amounted to </w:t>
      </w:r>
      <w:r w:rsidR="00ED2E1C" w:rsidRPr="00ED2E1C">
        <w:rPr>
          <w:rFonts w:ascii="Garamond" w:hAnsi="Garamond"/>
          <w:sz w:val="22"/>
          <w:szCs w:val="22"/>
        </w:rPr>
        <w:t>8.7%.</w:t>
      </w:r>
      <w:r w:rsidR="00ED2E1C">
        <w:rPr>
          <w:rFonts w:ascii="Garamond" w:hAnsi="Garamond"/>
          <w:sz w:val="22"/>
          <w:szCs w:val="22"/>
        </w:rPr>
        <w:t xml:space="preserve"> </w:t>
      </w:r>
    </w:p>
    <w:p w14:paraId="5A8F0415"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According to preliminary estimates </w:t>
      </w:r>
      <w:r w:rsidR="007B1049">
        <w:rPr>
          <w:rFonts w:ascii="Garamond" w:hAnsi="Garamond"/>
          <w:sz w:val="22"/>
          <w:szCs w:val="22"/>
        </w:rPr>
        <w:t>provided by</w:t>
      </w:r>
      <w:r w:rsidRPr="00626752">
        <w:rPr>
          <w:rFonts w:ascii="Garamond" w:hAnsi="Garamond"/>
          <w:sz w:val="22"/>
          <w:szCs w:val="22"/>
        </w:rPr>
        <w:t xml:space="preserve"> State Statistics Service of the</w:t>
      </w:r>
      <w:r w:rsidRPr="00626752">
        <w:rPr>
          <w:rFonts w:ascii="Garamond" w:hAnsi="Garamond"/>
          <w:b/>
          <w:sz w:val="22"/>
          <w:szCs w:val="22"/>
        </w:rPr>
        <w:t xml:space="preserve"> Russian Federation</w:t>
      </w:r>
      <w:r w:rsidRPr="00626752">
        <w:rPr>
          <w:rFonts w:ascii="Garamond" w:hAnsi="Garamond"/>
          <w:sz w:val="22"/>
          <w:szCs w:val="22"/>
        </w:rPr>
        <w:t xml:space="preserve">, economic growth in the </w:t>
      </w:r>
      <w:r w:rsidR="007B1049">
        <w:rPr>
          <w:rFonts w:ascii="Garamond" w:hAnsi="Garamond"/>
          <w:sz w:val="22"/>
          <w:szCs w:val="22"/>
        </w:rPr>
        <w:t>fourth</w:t>
      </w:r>
      <w:r w:rsidRPr="00626752">
        <w:rPr>
          <w:rFonts w:ascii="Garamond" w:hAnsi="Garamond"/>
          <w:sz w:val="22"/>
          <w:szCs w:val="22"/>
        </w:rPr>
        <w:t xml:space="preserve"> quarter was 1.</w:t>
      </w:r>
      <w:r w:rsidR="007B1049">
        <w:rPr>
          <w:rFonts w:ascii="Garamond" w:hAnsi="Garamond"/>
          <w:sz w:val="22"/>
          <w:szCs w:val="22"/>
        </w:rPr>
        <w:t>5</w:t>
      </w:r>
      <w:r w:rsidRPr="00626752">
        <w:rPr>
          <w:rFonts w:ascii="Garamond" w:hAnsi="Garamond"/>
          <w:sz w:val="22"/>
          <w:szCs w:val="22"/>
        </w:rPr>
        <w:t>% y/y</w:t>
      </w:r>
      <w:r w:rsidR="00CE3BB4">
        <w:rPr>
          <w:rFonts w:ascii="Garamond" w:hAnsi="Garamond"/>
          <w:sz w:val="22"/>
          <w:szCs w:val="22"/>
        </w:rPr>
        <w:t>; it</w:t>
      </w:r>
      <w:r w:rsidR="007B1049">
        <w:rPr>
          <w:rFonts w:ascii="Garamond" w:hAnsi="Garamond"/>
          <w:sz w:val="22"/>
          <w:szCs w:val="22"/>
        </w:rPr>
        <w:t xml:space="preserve"> somewhat decelerat</w:t>
      </w:r>
      <w:r w:rsidR="00CE3BB4">
        <w:rPr>
          <w:rFonts w:ascii="Garamond" w:hAnsi="Garamond"/>
          <w:sz w:val="22"/>
          <w:szCs w:val="22"/>
        </w:rPr>
        <w:t>ed</w:t>
      </w:r>
      <w:r w:rsidR="007B1049">
        <w:rPr>
          <w:rFonts w:ascii="Garamond" w:hAnsi="Garamond"/>
          <w:sz w:val="22"/>
          <w:szCs w:val="22"/>
        </w:rPr>
        <w:t xml:space="preserve"> from the previous quarter’s </w:t>
      </w:r>
      <w:r w:rsidR="00CE3BB4">
        <w:rPr>
          <w:rFonts w:ascii="Garamond" w:hAnsi="Garamond"/>
          <w:sz w:val="22"/>
          <w:szCs w:val="22"/>
        </w:rPr>
        <w:t xml:space="preserve">respective indicator of 1.8% and averaged 1.5% for 2017. The </w:t>
      </w:r>
      <w:r w:rsidR="00CE3BB4" w:rsidRPr="00CE3BB4">
        <w:rPr>
          <w:rFonts w:ascii="Garamond" w:hAnsi="Garamond"/>
          <w:sz w:val="22"/>
          <w:szCs w:val="22"/>
        </w:rPr>
        <w:t xml:space="preserve">2018 economic growth is forecast </w:t>
      </w:r>
      <w:r w:rsidR="00CE3BB4">
        <w:rPr>
          <w:rFonts w:ascii="Garamond" w:hAnsi="Garamond"/>
          <w:sz w:val="22"/>
          <w:szCs w:val="22"/>
        </w:rPr>
        <w:t xml:space="preserve">to reach </w:t>
      </w:r>
      <w:r w:rsidR="00CE3BB4" w:rsidRPr="00CE3BB4">
        <w:rPr>
          <w:rFonts w:ascii="Garamond" w:hAnsi="Garamond"/>
          <w:sz w:val="22"/>
          <w:szCs w:val="22"/>
        </w:rPr>
        <w:t xml:space="preserve">1.9%, which will </w:t>
      </w:r>
      <w:r w:rsidR="009D03A7">
        <w:rPr>
          <w:rFonts w:ascii="Garamond" w:hAnsi="Garamond"/>
          <w:sz w:val="22"/>
          <w:szCs w:val="22"/>
        </w:rPr>
        <w:t xml:space="preserve">further </w:t>
      </w:r>
      <w:r w:rsidR="00CE3BB4">
        <w:rPr>
          <w:rFonts w:ascii="Garamond" w:hAnsi="Garamond"/>
          <w:sz w:val="22"/>
          <w:szCs w:val="22"/>
        </w:rPr>
        <w:t xml:space="preserve">be </w:t>
      </w:r>
      <w:r w:rsidR="009D03A7">
        <w:rPr>
          <w:rFonts w:ascii="Garamond" w:hAnsi="Garamond"/>
          <w:sz w:val="22"/>
          <w:szCs w:val="22"/>
        </w:rPr>
        <w:t xml:space="preserve">driven </w:t>
      </w:r>
      <w:r w:rsidR="00CE3BB4">
        <w:rPr>
          <w:rFonts w:ascii="Garamond" w:hAnsi="Garamond"/>
          <w:sz w:val="22"/>
          <w:szCs w:val="22"/>
        </w:rPr>
        <w:t xml:space="preserve">by </w:t>
      </w:r>
      <w:r w:rsidR="00CE3BB4" w:rsidRPr="00CE3BB4">
        <w:rPr>
          <w:rFonts w:ascii="Garamond" w:hAnsi="Garamond"/>
          <w:sz w:val="22"/>
          <w:szCs w:val="22"/>
        </w:rPr>
        <w:t>recover</w:t>
      </w:r>
      <w:r w:rsidR="00CE3BB4">
        <w:rPr>
          <w:rFonts w:ascii="Garamond" w:hAnsi="Garamond"/>
          <w:sz w:val="22"/>
          <w:szCs w:val="22"/>
        </w:rPr>
        <w:t>ing</w:t>
      </w:r>
      <w:r w:rsidR="00CE3BB4" w:rsidRPr="00CE3BB4">
        <w:rPr>
          <w:rFonts w:ascii="Garamond" w:hAnsi="Garamond"/>
          <w:sz w:val="22"/>
          <w:szCs w:val="22"/>
        </w:rPr>
        <w:t xml:space="preserve"> domestic demand </w:t>
      </w:r>
      <w:r w:rsidR="00CE3BB4">
        <w:rPr>
          <w:rFonts w:ascii="Garamond" w:hAnsi="Garamond"/>
          <w:sz w:val="22"/>
          <w:szCs w:val="22"/>
        </w:rPr>
        <w:t xml:space="preserve">as a result of </w:t>
      </w:r>
      <w:r w:rsidR="00CE3BB4" w:rsidRPr="00CE3BB4">
        <w:rPr>
          <w:rFonts w:ascii="Garamond" w:hAnsi="Garamond"/>
          <w:sz w:val="22"/>
          <w:szCs w:val="22"/>
        </w:rPr>
        <w:t xml:space="preserve">monetary policy </w:t>
      </w:r>
      <w:r w:rsidR="009D03A7">
        <w:rPr>
          <w:rFonts w:ascii="Garamond" w:hAnsi="Garamond"/>
          <w:sz w:val="22"/>
          <w:szCs w:val="22"/>
        </w:rPr>
        <w:t>which remains moderately tight</w:t>
      </w:r>
      <w:r w:rsidR="009D03A7">
        <w:rPr>
          <w:rStyle w:val="FootnoteReference"/>
          <w:rFonts w:ascii="Garamond" w:hAnsi="Garamond"/>
          <w:sz w:val="22"/>
          <w:szCs w:val="22"/>
        </w:rPr>
        <w:footnoteReference w:customMarkFollows="1" w:id="1"/>
        <w:t>2</w:t>
      </w:r>
      <w:r w:rsidR="009D03A7">
        <w:rPr>
          <w:rFonts w:ascii="Garamond" w:hAnsi="Garamond"/>
          <w:sz w:val="22"/>
          <w:szCs w:val="22"/>
        </w:rPr>
        <w:t xml:space="preserve">. </w:t>
      </w:r>
      <w:r w:rsidR="009D03A7" w:rsidRPr="009D03A7">
        <w:rPr>
          <w:rFonts w:ascii="Garamond" w:hAnsi="Garamond"/>
          <w:sz w:val="22"/>
          <w:szCs w:val="22"/>
        </w:rPr>
        <w:t xml:space="preserve">Under such conditions of economic activity, </w:t>
      </w:r>
      <w:r w:rsidR="009D03A7">
        <w:rPr>
          <w:rFonts w:ascii="Garamond" w:hAnsi="Garamond"/>
          <w:sz w:val="22"/>
          <w:szCs w:val="22"/>
        </w:rPr>
        <w:t>the</w:t>
      </w:r>
      <w:r w:rsidR="009D03A7" w:rsidRPr="009D03A7">
        <w:rPr>
          <w:rFonts w:ascii="Garamond" w:hAnsi="Garamond"/>
          <w:sz w:val="22"/>
          <w:szCs w:val="22"/>
        </w:rPr>
        <w:t xml:space="preserve"> unemployment </w:t>
      </w:r>
      <w:r w:rsidR="009D03A7">
        <w:rPr>
          <w:rFonts w:ascii="Garamond" w:hAnsi="Garamond"/>
          <w:sz w:val="22"/>
          <w:szCs w:val="22"/>
        </w:rPr>
        <w:t xml:space="preserve">rate </w:t>
      </w:r>
      <w:r w:rsidR="00071D45">
        <w:rPr>
          <w:rFonts w:ascii="Garamond" w:hAnsi="Garamond"/>
          <w:sz w:val="22"/>
          <w:szCs w:val="22"/>
        </w:rPr>
        <w:t xml:space="preserve">remained </w:t>
      </w:r>
      <w:r w:rsidR="009D03A7">
        <w:rPr>
          <w:rFonts w:ascii="Garamond" w:hAnsi="Garamond"/>
          <w:sz w:val="22"/>
          <w:szCs w:val="22"/>
        </w:rPr>
        <w:t>not very high in the fourth</w:t>
      </w:r>
      <w:r w:rsidR="00071D45">
        <w:rPr>
          <w:rFonts w:ascii="Garamond" w:hAnsi="Garamond"/>
          <w:sz w:val="22"/>
          <w:szCs w:val="22"/>
        </w:rPr>
        <w:t xml:space="preserve"> quarter of 2017</w:t>
      </w:r>
      <w:r w:rsidR="009D03A7" w:rsidRPr="009D03A7">
        <w:rPr>
          <w:rFonts w:ascii="Garamond" w:hAnsi="Garamond"/>
          <w:sz w:val="22"/>
          <w:szCs w:val="22"/>
        </w:rPr>
        <w:t>.</w:t>
      </w:r>
    </w:p>
    <w:p w14:paraId="3B9C7D5C" w14:textId="77777777" w:rsidR="003B4B24"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Price and financial developments in the external sector:</w:t>
      </w:r>
      <w:r w:rsidRPr="00626752">
        <w:rPr>
          <w:rFonts w:ascii="Garamond" w:hAnsi="Garamond"/>
          <w:sz w:val="22"/>
          <w:szCs w:val="22"/>
        </w:rPr>
        <w:t xml:space="preserve"> </w:t>
      </w:r>
      <w:r w:rsidR="003B4B24" w:rsidRPr="003B4B24">
        <w:rPr>
          <w:rFonts w:ascii="Garamond" w:hAnsi="Garamond"/>
          <w:sz w:val="22"/>
          <w:szCs w:val="22"/>
        </w:rPr>
        <w:t>In the fourth quarter</w:t>
      </w:r>
      <w:r w:rsidR="003B4B24">
        <w:rPr>
          <w:rFonts w:ascii="Garamond" w:hAnsi="Garamond"/>
          <w:sz w:val="22"/>
          <w:szCs w:val="22"/>
        </w:rPr>
        <w:t xml:space="preserve"> of 2017 external f</w:t>
      </w:r>
      <w:r w:rsidR="003B4B24" w:rsidRPr="003B4B24">
        <w:rPr>
          <w:rFonts w:ascii="Garamond" w:hAnsi="Garamond"/>
          <w:sz w:val="22"/>
          <w:szCs w:val="22"/>
        </w:rPr>
        <w:t xml:space="preserve">actors </w:t>
      </w:r>
      <w:r w:rsidR="003B4B24">
        <w:rPr>
          <w:rFonts w:ascii="Garamond" w:hAnsi="Garamond"/>
          <w:sz w:val="22"/>
          <w:szCs w:val="22"/>
        </w:rPr>
        <w:t xml:space="preserve">unfolded </w:t>
      </w:r>
      <w:r w:rsidR="003B4B24" w:rsidRPr="003B4B24">
        <w:rPr>
          <w:rFonts w:ascii="Garamond" w:hAnsi="Garamond"/>
          <w:sz w:val="22"/>
          <w:szCs w:val="22"/>
        </w:rPr>
        <w:t xml:space="preserve">mostly in line with the previous forecast, with </w:t>
      </w:r>
      <w:r w:rsidR="003B4B24">
        <w:rPr>
          <w:rFonts w:ascii="Garamond" w:hAnsi="Garamond"/>
          <w:sz w:val="22"/>
          <w:szCs w:val="22"/>
        </w:rPr>
        <w:t xml:space="preserve">the only </w:t>
      </w:r>
      <w:r w:rsidR="003B4B24" w:rsidRPr="003B4B24">
        <w:rPr>
          <w:rFonts w:ascii="Garamond" w:hAnsi="Garamond"/>
          <w:sz w:val="22"/>
          <w:szCs w:val="22"/>
        </w:rPr>
        <w:t xml:space="preserve">exception of </w:t>
      </w:r>
      <w:r w:rsidR="003B4B24">
        <w:rPr>
          <w:rFonts w:ascii="Garamond" w:hAnsi="Garamond"/>
          <w:sz w:val="22"/>
          <w:szCs w:val="22"/>
        </w:rPr>
        <w:t>prices of commodities, as</w:t>
      </w:r>
      <w:r w:rsidR="003B4B24" w:rsidRPr="003B4B24">
        <w:rPr>
          <w:rFonts w:ascii="Garamond" w:hAnsi="Garamond"/>
          <w:sz w:val="22"/>
          <w:szCs w:val="22"/>
        </w:rPr>
        <w:t xml:space="preserve"> their current and projected levels </w:t>
      </w:r>
      <w:r w:rsidR="003B4B24">
        <w:rPr>
          <w:rFonts w:ascii="Garamond" w:hAnsi="Garamond"/>
          <w:sz w:val="22"/>
          <w:szCs w:val="22"/>
        </w:rPr>
        <w:t xml:space="preserve">have </w:t>
      </w:r>
      <w:r w:rsidR="003B4B24" w:rsidRPr="003B4B24">
        <w:rPr>
          <w:rFonts w:ascii="Garamond" w:hAnsi="Garamond"/>
          <w:sz w:val="22"/>
          <w:szCs w:val="22"/>
        </w:rPr>
        <w:t>increased.</w:t>
      </w:r>
      <w:r w:rsidR="003B4B24">
        <w:rPr>
          <w:rFonts w:ascii="Garamond" w:hAnsi="Garamond"/>
          <w:sz w:val="22"/>
          <w:szCs w:val="22"/>
        </w:rPr>
        <w:t xml:space="preserve"> </w:t>
      </w:r>
    </w:p>
    <w:p w14:paraId="7D820331"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lastRenderedPageBreak/>
        <w:t xml:space="preserve">In the United States in the </w:t>
      </w:r>
      <w:r w:rsidR="003B4B24">
        <w:rPr>
          <w:rFonts w:ascii="Garamond" w:hAnsi="Garamond"/>
          <w:sz w:val="22"/>
          <w:szCs w:val="22"/>
        </w:rPr>
        <w:t>fourth</w:t>
      </w:r>
      <w:r w:rsidRPr="00626752">
        <w:rPr>
          <w:rFonts w:ascii="Garamond" w:hAnsi="Garamond"/>
          <w:sz w:val="22"/>
          <w:szCs w:val="22"/>
        </w:rPr>
        <w:t xml:space="preserve"> quarter of 2017, compared to the previous quarter, the average quarterly inflation has </w:t>
      </w:r>
      <w:r w:rsidR="003B4B24">
        <w:rPr>
          <w:rFonts w:ascii="Garamond" w:hAnsi="Garamond"/>
          <w:sz w:val="22"/>
          <w:szCs w:val="22"/>
        </w:rPr>
        <w:t>accelerated t</w:t>
      </w:r>
      <w:r w:rsidRPr="00626752">
        <w:rPr>
          <w:rFonts w:ascii="Garamond" w:hAnsi="Garamond"/>
          <w:sz w:val="22"/>
          <w:szCs w:val="22"/>
        </w:rPr>
        <w:t xml:space="preserve">o </w:t>
      </w:r>
      <w:r w:rsidR="003B4B24">
        <w:rPr>
          <w:rFonts w:ascii="Garamond" w:hAnsi="Garamond"/>
          <w:sz w:val="22"/>
          <w:szCs w:val="22"/>
        </w:rPr>
        <w:t>2</w:t>
      </w:r>
      <w:r w:rsidRPr="00626752">
        <w:rPr>
          <w:rFonts w:ascii="Garamond" w:hAnsi="Garamond"/>
          <w:sz w:val="22"/>
          <w:szCs w:val="22"/>
        </w:rPr>
        <w:t>.</w:t>
      </w:r>
      <w:r w:rsidR="003B4B24">
        <w:rPr>
          <w:rFonts w:ascii="Garamond" w:hAnsi="Garamond"/>
          <w:sz w:val="22"/>
          <w:szCs w:val="22"/>
        </w:rPr>
        <w:t>1</w:t>
      </w:r>
      <w:r w:rsidRPr="00626752">
        <w:rPr>
          <w:rFonts w:ascii="Garamond" w:hAnsi="Garamond"/>
          <w:sz w:val="22"/>
          <w:szCs w:val="22"/>
        </w:rPr>
        <w:t>%</w:t>
      </w:r>
      <w:r w:rsidR="005A6FF7">
        <w:rPr>
          <w:rFonts w:ascii="Garamond" w:hAnsi="Garamond"/>
          <w:sz w:val="22"/>
          <w:szCs w:val="22"/>
        </w:rPr>
        <w:t xml:space="preserve">, and it ran slightly above </w:t>
      </w:r>
      <w:r w:rsidRPr="00626752">
        <w:rPr>
          <w:rFonts w:ascii="Garamond" w:hAnsi="Garamond"/>
          <w:sz w:val="22"/>
          <w:szCs w:val="22"/>
        </w:rPr>
        <w:t xml:space="preserve">its long-term target. </w:t>
      </w:r>
      <w:r w:rsidR="00801BFF">
        <w:rPr>
          <w:rFonts w:ascii="Garamond" w:hAnsi="Garamond"/>
          <w:sz w:val="22"/>
          <w:szCs w:val="22"/>
        </w:rPr>
        <w:t xml:space="preserve">In view of such </w:t>
      </w:r>
      <w:r w:rsidRPr="00626752">
        <w:rPr>
          <w:rFonts w:ascii="Garamond" w:hAnsi="Garamond"/>
          <w:sz w:val="22"/>
          <w:szCs w:val="22"/>
        </w:rPr>
        <w:t>econom</w:t>
      </w:r>
      <w:r w:rsidR="00801BFF">
        <w:rPr>
          <w:rFonts w:ascii="Garamond" w:hAnsi="Garamond"/>
          <w:sz w:val="22"/>
          <w:szCs w:val="22"/>
        </w:rPr>
        <w:t>ic</w:t>
      </w:r>
      <w:r w:rsidRPr="00626752">
        <w:rPr>
          <w:rFonts w:ascii="Garamond" w:hAnsi="Garamond"/>
          <w:sz w:val="22"/>
          <w:szCs w:val="22"/>
        </w:rPr>
        <w:t xml:space="preserve"> and price</w:t>
      </w:r>
      <w:r w:rsidR="00801BFF">
        <w:rPr>
          <w:rFonts w:ascii="Garamond" w:hAnsi="Garamond"/>
          <w:sz w:val="22"/>
          <w:szCs w:val="22"/>
        </w:rPr>
        <w:t xml:space="preserve"> development</w:t>
      </w:r>
      <w:r w:rsidRPr="00626752">
        <w:rPr>
          <w:rFonts w:ascii="Garamond" w:hAnsi="Garamond"/>
          <w:sz w:val="22"/>
          <w:szCs w:val="22"/>
        </w:rPr>
        <w:t>s</w:t>
      </w:r>
      <w:r w:rsidR="00801BFF">
        <w:rPr>
          <w:rFonts w:ascii="Garamond" w:hAnsi="Garamond"/>
          <w:sz w:val="22"/>
          <w:szCs w:val="22"/>
        </w:rPr>
        <w:t>,</w:t>
      </w:r>
      <w:r w:rsidRPr="00626752">
        <w:rPr>
          <w:rFonts w:ascii="Garamond" w:hAnsi="Garamond"/>
          <w:sz w:val="22"/>
          <w:szCs w:val="22"/>
        </w:rPr>
        <w:t xml:space="preserve"> the US Federal Reserve System </w:t>
      </w:r>
      <w:r w:rsidR="00801BFF">
        <w:rPr>
          <w:rFonts w:ascii="Garamond" w:hAnsi="Garamond"/>
          <w:sz w:val="22"/>
          <w:szCs w:val="22"/>
        </w:rPr>
        <w:t>rose the</w:t>
      </w:r>
      <w:r w:rsidRPr="00626752">
        <w:rPr>
          <w:rFonts w:ascii="Garamond" w:hAnsi="Garamond"/>
          <w:sz w:val="22"/>
          <w:szCs w:val="22"/>
        </w:rPr>
        <w:t xml:space="preserve"> policy rate </w:t>
      </w:r>
      <w:r w:rsidR="00801BFF">
        <w:rPr>
          <w:rFonts w:ascii="Garamond" w:hAnsi="Garamond"/>
          <w:sz w:val="22"/>
          <w:szCs w:val="22"/>
        </w:rPr>
        <w:t xml:space="preserve">by 0.25 pp in the fourth quarter, as was expected, </w:t>
      </w:r>
      <w:r w:rsidRPr="00626752">
        <w:rPr>
          <w:rFonts w:ascii="Garamond" w:hAnsi="Garamond"/>
          <w:sz w:val="22"/>
          <w:szCs w:val="22"/>
        </w:rPr>
        <w:t>in the range of 1</w:t>
      </w:r>
      <w:r w:rsidR="00801BFF">
        <w:rPr>
          <w:rFonts w:ascii="Garamond" w:hAnsi="Garamond"/>
          <w:sz w:val="22"/>
          <w:szCs w:val="22"/>
        </w:rPr>
        <w:t>.25 to 1.</w:t>
      </w:r>
      <w:r w:rsidRPr="00626752">
        <w:rPr>
          <w:rFonts w:ascii="Garamond" w:hAnsi="Garamond"/>
          <w:sz w:val="22"/>
          <w:szCs w:val="22"/>
        </w:rPr>
        <w:t>5%</w:t>
      </w:r>
      <w:r w:rsidR="00801BFF">
        <w:rPr>
          <w:rFonts w:ascii="Garamond" w:hAnsi="Garamond"/>
          <w:sz w:val="22"/>
          <w:szCs w:val="22"/>
        </w:rPr>
        <w:t>.</w:t>
      </w:r>
      <w:r w:rsidRPr="00626752">
        <w:rPr>
          <w:rFonts w:ascii="Garamond" w:hAnsi="Garamond"/>
          <w:sz w:val="22"/>
          <w:szCs w:val="22"/>
        </w:rPr>
        <w:t xml:space="preserve"> </w:t>
      </w:r>
      <w:r w:rsidR="0024318B">
        <w:rPr>
          <w:rFonts w:ascii="Garamond" w:hAnsi="Garamond"/>
          <w:sz w:val="22"/>
          <w:szCs w:val="22"/>
        </w:rPr>
        <w:t>T</w:t>
      </w:r>
      <w:r w:rsidR="00801BFF" w:rsidRPr="00801BFF">
        <w:rPr>
          <w:rFonts w:ascii="Garamond" w:hAnsi="Garamond"/>
          <w:sz w:val="22"/>
          <w:szCs w:val="22"/>
        </w:rPr>
        <w:t>he US inflation</w:t>
      </w:r>
      <w:r w:rsidR="0024318B">
        <w:rPr>
          <w:rFonts w:ascii="Garamond" w:hAnsi="Garamond"/>
          <w:sz w:val="22"/>
          <w:szCs w:val="22"/>
        </w:rPr>
        <w:t>, predictions suggest,</w:t>
      </w:r>
      <w:r w:rsidR="00801BFF" w:rsidRPr="00801BFF">
        <w:rPr>
          <w:rFonts w:ascii="Garamond" w:hAnsi="Garamond"/>
          <w:sz w:val="22"/>
          <w:szCs w:val="22"/>
        </w:rPr>
        <w:t xml:space="preserve"> </w:t>
      </w:r>
      <w:r w:rsidR="0024318B">
        <w:rPr>
          <w:rFonts w:ascii="Garamond" w:hAnsi="Garamond"/>
          <w:sz w:val="22"/>
          <w:szCs w:val="22"/>
        </w:rPr>
        <w:t xml:space="preserve">will be around its target over </w:t>
      </w:r>
      <w:r w:rsidR="00801BFF" w:rsidRPr="00801BFF">
        <w:rPr>
          <w:rFonts w:ascii="Garamond" w:hAnsi="Garamond"/>
          <w:sz w:val="22"/>
          <w:szCs w:val="22"/>
        </w:rPr>
        <w:t>2018</w:t>
      </w:r>
      <w:r w:rsidR="0024318B">
        <w:rPr>
          <w:rFonts w:ascii="Garamond" w:hAnsi="Garamond"/>
          <w:sz w:val="22"/>
          <w:szCs w:val="22"/>
        </w:rPr>
        <w:t xml:space="preserve">, in which case, taking into account </w:t>
      </w:r>
      <w:r w:rsidR="00801BFF" w:rsidRPr="00801BFF">
        <w:rPr>
          <w:rFonts w:ascii="Garamond" w:hAnsi="Garamond"/>
          <w:sz w:val="22"/>
          <w:szCs w:val="22"/>
        </w:rPr>
        <w:t>the economic developments described above</w:t>
      </w:r>
      <w:r w:rsidR="0024318B">
        <w:rPr>
          <w:rFonts w:ascii="Garamond" w:hAnsi="Garamond"/>
          <w:sz w:val="22"/>
          <w:szCs w:val="22"/>
        </w:rPr>
        <w:t>,</w:t>
      </w:r>
      <w:r w:rsidR="00801BFF" w:rsidRPr="00801BFF">
        <w:rPr>
          <w:rFonts w:ascii="Garamond" w:hAnsi="Garamond"/>
          <w:sz w:val="22"/>
          <w:szCs w:val="22"/>
        </w:rPr>
        <w:t xml:space="preserve"> </w:t>
      </w:r>
      <w:r w:rsidR="0024318B" w:rsidRPr="00626752">
        <w:rPr>
          <w:rFonts w:ascii="Garamond" w:hAnsi="Garamond"/>
          <w:sz w:val="22"/>
          <w:szCs w:val="22"/>
        </w:rPr>
        <w:t xml:space="preserve">the FRS will </w:t>
      </w:r>
      <w:r w:rsidR="0024318B">
        <w:rPr>
          <w:rFonts w:ascii="Garamond" w:hAnsi="Garamond"/>
          <w:sz w:val="22"/>
          <w:szCs w:val="22"/>
        </w:rPr>
        <w:t xml:space="preserve">further </w:t>
      </w:r>
      <w:r w:rsidR="0024318B" w:rsidRPr="00626752">
        <w:rPr>
          <w:rFonts w:ascii="Garamond" w:hAnsi="Garamond"/>
          <w:sz w:val="22"/>
          <w:szCs w:val="22"/>
        </w:rPr>
        <w:t>pursue a gradually tightening monetary policy.</w:t>
      </w:r>
      <w:r w:rsidR="0024318B">
        <w:rPr>
          <w:rFonts w:ascii="Garamond" w:hAnsi="Garamond"/>
          <w:sz w:val="22"/>
          <w:szCs w:val="22"/>
        </w:rPr>
        <w:t xml:space="preserve"> </w:t>
      </w:r>
      <w:r w:rsidR="007877D5" w:rsidRPr="007877D5">
        <w:rPr>
          <w:rFonts w:ascii="Garamond" w:hAnsi="Garamond"/>
          <w:sz w:val="22"/>
          <w:szCs w:val="22"/>
        </w:rPr>
        <w:t xml:space="preserve">The latter has already </w:t>
      </w:r>
      <w:r w:rsidR="007877D5">
        <w:rPr>
          <w:rFonts w:ascii="Garamond" w:hAnsi="Garamond"/>
          <w:sz w:val="22"/>
          <w:szCs w:val="22"/>
        </w:rPr>
        <w:t xml:space="preserve">affected </w:t>
      </w:r>
      <w:r w:rsidR="007877D5" w:rsidRPr="007877D5">
        <w:rPr>
          <w:rFonts w:ascii="Garamond" w:hAnsi="Garamond"/>
          <w:sz w:val="22"/>
          <w:szCs w:val="22"/>
        </w:rPr>
        <w:t>long-term interest rates o</w:t>
      </w:r>
      <w:r w:rsidR="007877D5">
        <w:rPr>
          <w:rFonts w:ascii="Garamond" w:hAnsi="Garamond"/>
          <w:sz w:val="22"/>
          <w:szCs w:val="22"/>
        </w:rPr>
        <w:t>f</w:t>
      </w:r>
      <w:r w:rsidR="007877D5" w:rsidRPr="007877D5">
        <w:rPr>
          <w:rFonts w:ascii="Garamond" w:hAnsi="Garamond"/>
          <w:sz w:val="22"/>
          <w:szCs w:val="22"/>
        </w:rPr>
        <w:t xml:space="preserve"> US Treasury bonds, which </w:t>
      </w:r>
      <w:r w:rsidR="007877D5">
        <w:rPr>
          <w:rFonts w:ascii="Garamond" w:hAnsi="Garamond"/>
          <w:sz w:val="22"/>
          <w:szCs w:val="22"/>
        </w:rPr>
        <w:t xml:space="preserve">constitutes </w:t>
      </w:r>
      <w:r w:rsidR="007877D5" w:rsidRPr="007877D5">
        <w:rPr>
          <w:rFonts w:ascii="Garamond" w:hAnsi="Garamond"/>
          <w:sz w:val="22"/>
          <w:szCs w:val="22"/>
        </w:rPr>
        <w:t xml:space="preserve">the risk </w:t>
      </w:r>
      <w:r w:rsidR="007877D5">
        <w:rPr>
          <w:rFonts w:ascii="Garamond" w:hAnsi="Garamond"/>
          <w:sz w:val="22"/>
          <w:szCs w:val="22"/>
        </w:rPr>
        <w:t>to</w:t>
      </w:r>
      <w:r w:rsidR="007877D5" w:rsidRPr="007877D5">
        <w:rPr>
          <w:rFonts w:ascii="Garamond" w:hAnsi="Garamond"/>
          <w:sz w:val="22"/>
          <w:szCs w:val="22"/>
        </w:rPr>
        <w:t xml:space="preserve"> capital outflow</w:t>
      </w:r>
      <w:r w:rsidR="007877D5">
        <w:rPr>
          <w:rFonts w:ascii="Garamond" w:hAnsi="Garamond"/>
          <w:sz w:val="22"/>
          <w:szCs w:val="22"/>
        </w:rPr>
        <w:t>s</w:t>
      </w:r>
      <w:r w:rsidR="007877D5" w:rsidRPr="007877D5">
        <w:rPr>
          <w:rFonts w:ascii="Garamond" w:hAnsi="Garamond"/>
          <w:sz w:val="22"/>
          <w:szCs w:val="22"/>
        </w:rPr>
        <w:t xml:space="preserve"> from emerging economies and </w:t>
      </w:r>
      <w:r w:rsidR="007877D5">
        <w:rPr>
          <w:rFonts w:ascii="Garamond" w:hAnsi="Garamond"/>
          <w:sz w:val="22"/>
          <w:szCs w:val="22"/>
        </w:rPr>
        <w:t xml:space="preserve">subsequent volatilities in the </w:t>
      </w:r>
      <w:r w:rsidR="007877D5" w:rsidRPr="007877D5">
        <w:rPr>
          <w:rFonts w:ascii="Garamond" w:hAnsi="Garamond"/>
          <w:sz w:val="22"/>
          <w:szCs w:val="22"/>
        </w:rPr>
        <w:t>financial markets</w:t>
      </w:r>
      <w:r w:rsidR="00801BFF" w:rsidRPr="00626752">
        <w:rPr>
          <w:rFonts w:ascii="Garamond" w:hAnsi="Garamond"/>
          <w:sz w:val="22"/>
          <w:szCs w:val="22"/>
        </w:rPr>
        <w:t>.</w:t>
      </w:r>
    </w:p>
    <w:p w14:paraId="7FC167A8"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average quarterly inflation in the Eurozone in the </w:t>
      </w:r>
      <w:r w:rsidR="007877D5">
        <w:rPr>
          <w:rFonts w:ascii="Garamond" w:hAnsi="Garamond"/>
          <w:sz w:val="22"/>
          <w:szCs w:val="22"/>
        </w:rPr>
        <w:t>fourth quarter of 2017 was 1.4</w:t>
      </w:r>
      <w:r w:rsidRPr="00626752">
        <w:rPr>
          <w:rFonts w:ascii="Garamond" w:hAnsi="Garamond"/>
          <w:sz w:val="22"/>
          <w:szCs w:val="22"/>
        </w:rPr>
        <w:t xml:space="preserve">%, still running below its target. It is expected to reach its target only in the medium run. In the short-term perspective, </w:t>
      </w:r>
      <w:r w:rsidR="007877D5">
        <w:rPr>
          <w:rFonts w:ascii="Garamond" w:hAnsi="Garamond"/>
          <w:sz w:val="22"/>
          <w:szCs w:val="22"/>
        </w:rPr>
        <w:t xml:space="preserve">appreciated exchange rate as well as </w:t>
      </w:r>
      <w:r w:rsidR="00710622">
        <w:rPr>
          <w:rFonts w:ascii="Garamond" w:hAnsi="Garamond"/>
          <w:sz w:val="22"/>
          <w:szCs w:val="22"/>
        </w:rPr>
        <w:t>reduced i</w:t>
      </w:r>
      <w:r w:rsidR="007877D5">
        <w:rPr>
          <w:rFonts w:ascii="Garamond" w:hAnsi="Garamond"/>
          <w:sz w:val="22"/>
          <w:szCs w:val="22"/>
        </w:rPr>
        <w:t xml:space="preserve">nflationary expectations will </w:t>
      </w:r>
      <w:r w:rsidR="00710622">
        <w:rPr>
          <w:rFonts w:ascii="Garamond" w:hAnsi="Garamond"/>
          <w:sz w:val="22"/>
          <w:szCs w:val="22"/>
        </w:rPr>
        <w:t xml:space="preserve">keep inflation low. </w:t>
      </w:r>
      <w:r w:rsidRPr="00626752">
        <w:rPr>
          <w:rFonts w:ascii="Garamond" w:hAnsi="Garamond"/>
          <w:sz w:val="22"/>
          <w:szCs w:val="22"/>
        </w:rPr>
        <w:t xml:space="preserve">Under these conditions, the European Central Bank will </w:t>
      </w:r>
      <w:r w:rsidR="00710622">
        <w:rPr>
          <w:rFonts w:ascii="Garamond" w:hAnsi="Garamond"/>
          <w:sz w:val="22"/>
          <w:szCs w:val="22"/>
        </w:rPr>
        <w:t>further</w:t>
      </w:r>
      <w:r w:rsidRPr="00626752">
        <w:rPr>
          <w:rFonts w:ascii="Garamond" w:hAnsi="Garamond"/>
          <w:sz w:val="22"/>
          <w:szCs w:val="22"/>
        </w:rPr>
        <w:t xml:space="preserve"> </w:t>
      </w:r>
      <w:r w:rsidR="00710622">
        <w:rPr>
          <w:rFonts w:ascii="Garamond" w:hAnsi="Garamond"/>
          <w:sz w:val="22"/>
          <w:szCs w:val="22"/>
        </w:rPr>
        <w:t>conduct</w:t>
      </w:r>
      <w:r w:rsidRPr="00626752">
        <w:rPr>
          <w:rFonts w:ascii="Garamond" w:hAnsi="Garamond"/>
          <w:sz w:val="22"/>
          <w:szCs w:val="22"/>
        </w:rPr>
        <w:t xml:space="preserve"> a low interest rate policy, while the asset purchases program will c</w:t>
      </w:r>
      <w:r w:rsidR="00710622">
        <w:rPr>
          <w:rFonts w:ascii="Garamond" w:hAnsi="Garamond"/>
          <w:sz w:val="22"/>
          <w:szCs w:val="22"/>
        </w:rPr>
        <w:t>ontinue up until the end of 2018</w:t>
      </w:r>
      <w:r w:rsidRPr="00626752">
        <w:rPr>
          <w:rFonts w:ascii="Garamond" w:hAnsi="Garamond"/>
          <w:sz w:val="22"/>
          <w:szCs w:val="22"/>
        </w:rPr>
        <w:t xml:space="preserve">, </w:t>
      </w:r>
      <w:r w:rsidR="00710622">
        <w:rPr>
          <w:rFonts w:ascii="Garamond" w:hAnsi="Garamond"/>
          <w:sz w:val="22"/>
          <w:szCs w:val="22"/>
        </w:rPr>
        <w:t xml:space="preserve">with </w:t>
      </w:r>
      <w:r w:rsidRPr="00626752">
        <w:rPr>
          <w:rFonts w:ascii="Garamond" w:hAnsi="Garamond"/>
          <w:sz w:val="22"/>
          <w:szCs w:val="22"/>
        </w:rPr>
        <w:t xml:space="preserve">EUR </w:t>
      </w:r>
      <w:r w:rsidR="00710622">
        <w:rPr>
          <w:rFonts w:ascii="Garamond" w:hAnsi="Garamond"/>
          <w:sz w:val="22"/>
          <w:szCs w:val="22"/>
        </w:rPr>
        <w:t>3</w:t>
      </w:r>
      <w:r w:rsidRPr="00626752">
        <w:rPr>
          <w:rFonts w:ascii="Garamond" w:hAnsi="Garamond"/>
          <w:sz w:val="22"/>
          <w:szCs w:val="22"/>
        </w:rPr>
        <w:t>0 billion a month</w:t>
      </w:r>
      <w:r w:rsidR="00710622">
        <w:rPr>
          <w:rFonts w:ascii="Garamond" w:hAnsi="Garamond"/>
          <w:sz w:val="22"/>
          <w:szCs w:val="22"/>
        </w:rPr>
        <w:t xml:space="preserve"> instead of EUR 60 billion previously</w:t>
      </w:r>
      <w:r w:rsidRPr="00626752">
        <w:rPr>
          <w:rFonts w:ascii="Garamond" w:hAnsi="Garamond"/>
          <w:sz w:val="22"/>
          <w:szCs w:val="22"/>
        </w:rPr>
        <w:t>.</w:t>
      </w:r>
    </w:p>
    <w:p w14:paraId="39B297C9" w14:textId="08E29310"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average quarterly inflation in the </w:t>
      </w:r>
      <w:r w:rsidRPr="00626752">
        <w:rPr>
          <w:rFonts w:ascii="Garamond" w:hAnsi="Garamond"/>
          <w:b/>
          <w:sz w:val="22"/>
          <w:szCs w:val="22"/>
        </w:rPr>
        <w:t>Russian Federation</w:t>
      </w:r>
      <w:r w:rsidR="001B7F81">
        <w:rPr>
          <w:rFonts w:ascii="Garamond" w:hAnsi="Garamond"/>
          <w:sz w:val="22"/>
          <w:szCs w:val="22"/>
        </w:rPr>
        <w:t xml:space="preserve"> continued a declining path: </w:t>
      </w:r>
      <w:r w:rsidRPr="00626752">
        <w:rPr>
          <w:rFonts w:ascii="Garamond" w:hAnsi="Garamond"/>
          <w:sz w:val="22"/>
          <w:szCs w:val="22"/>
        </w:rPr>
        <w:t xml:space="preserve">in the </w:t>
      </w:r>
      <w:r w:rsidR="001B7F81">
        <w:rPr>
          <w:rFonts w:ascii="Garamond" w:hAnsi="Garamond"/>
          <w:sz w:val="22"/>
          <w:szCs w:val="22"/>
        </w:rPr>
        <w:t>fourth</w:t>
      </w:r>
      <w:r w:rsidRPr="00626752">
        <w:rPr>
          <w:rFonts w:ascii="Garamond" w:hAnsi="Garamond"/>
          <w:sz w:val="22"/>
          <w:szCs w:val="22"/>
        </w:rPr>
        <w:t xml:space="preserve"> quarter of 2017 it </w:t>
      </w:r>
      <w:r w:rsidR="001B7F81">
        <w:rPr>
          <w:rFonts w:ascii="Garamond" w:hAnsi="Garamond"/>
          <w:sz w:val="22"/>
          <w:szCs w:val="22"/>
        </w:rPr>
        <w:t xml:space="preserve">was 2.5%, still </w:t>
      </w:r>
      <w:r w:rsidRPr="00626752">
        <w:rPr>
          <w:rFonts w:ascii="Garamond" w:hAnsi="Garamond"/>
          <w:sz w:val="22"/>
          <w:szCs w:val="22"/>
        </w:rPr>
        <w:t xml:space="preserve">below its target </w:t>
      </w:r>
      <w:r w:rsidR="001B7F81">
        <w:rPr>
          <w:rFonts w:ascii="Garamond" w:hAnsi="Garamond"/>
          <w:sz w:val="22"/>
          <w:szCs w:val="22"/>
        </w:rPr>
        <w:t xml:space="preserve">of </w:t>
      </w:r>
      <w:r w:rsidRPr="00626752">
        <w:rPr>
          <w:rFonts w:ascii="Garamond" w:hAnsi="Garamond"/>
          <w:sz w:val="22"/>
          <w:szCs w:val="22"/>
        </w:rPr>
        <w:t>4%. The decline in se</w:t>
      </w:r>
      <w:r w:rsidR="00E160F4">
        <w:rPr>
          <w:rFonts w:ascii="Garamond" w:hAnsi="Garamond"/>
          <w:sz w:val="22"/>
          <w:szCs w:val="22"/>
        </w:rPr>
        <w:t xml:space="preserve">asonal prices of agricultural goods </w:t>
      </w:r>
      <w:r w:rsidR="002D15EE">
        <w:rPr>
          <w:rFonts w:ascii="Garamond" w:hAnsi="Garamond"/>
          <w:sz w:val="22"/>
          <w:szCs w:val="22"/>
        </w:rPr>
        <w:t>has been the main</w:t>
      </w:r>
      <w:r w:rsidRPr="00626752">
        <w:rPr>
          <w:rFonts w:ascii="Garamond" w:hAnsi="Garamond"/>
          <w:sz w:val="22"/>
          <w:szCs w:val="22"/>
        </w:rPr>
        <w:t xml:space="preserve"> contribut</w:t>
      </w:r>
      <w:r w:rsidR="002D15EE">
        <w:rPr>
          <w:rFonts w:ascii="Garamond" w:hAnsi="Garamond"/>
          <w:sz w:val="22"/>
          <w:szCs w:val="22"/>
        </w:rPr>
        <w:t xml:space="preserve">ion to the decrease in </w:t>
      </w:r>
      <w:r w:rsidRPr="00626752">
        <w:rPr>
          <w:rFonts w:ascii="Garamond" w:hAnsi="Garamond"/>
          <w:sz w:val="22"/>
          <w:szCs w:val="22"/>
        </w:rPr>
        <w:t xml:space="preserve">inflation. In the </w:t>
      </w:r>
      <w:r w:rsidR="002D15EE">
        <w:rPr>
          <w:rFonts w:ascii="Garamond" w:hAnsi="Garamond"/>
          <w:sz w:val="22"/>
          <w:szCs w:val="22"/>
        </w:rPr>
        <w:t>fourth</w:t>
      </w:r>
      <w:r w:rsidRPr="00626752">
        <w:rPr>
          <w:rFonts w:ascii="Garamond" w:hAnsi="Garamond"/>
          <w:sz w:val="22"/>
          <w:szCs w:val="22"/>
        </w:rPr>
        <w:t xml:space="preserve"> quarter of 2017, therefore, the Central Bank of Russia lowered the policy rate by 0.</w:t>
      </w:r>
      <w:r w:rsidR="002D15EE">
        <w:rPr>
          <w:rFonts w:ascii="Garamond" w:hAnsi="Garamond"/>
          <w:sz w:val="22"/>
          <w:szCs w:val="22"/>
        </w:rPr>
        <w:t>7</w:t>
      </w:r>
      <w:r w:rsidRPr="00626752">
        <w:rPr>
          <w:rFonts w:ascii="Garamond" w:hAnsi="Garamond"/>
          <w:sz w:val="22"/>
          <w:szCs w:val="22"/>
        </w:rPr>
        <w:t xml:space="preserve">5 pp to </w:t>
      </w:r>
      <w:r w:rsidR="002D15EE">
        <w:rPr>
          <w:rFonts w:ascii="Garamond" w:hAnsi="Garamond"/>
          <w:sz w:val="22"/>
          <w:szCs w:val="22"/>
        </w:rPr>
        <w:t>7.75%.</w:t>
      </w:r>
      <w:r w:rsidRPr="00626752">
        <w:rPr>
          <w:rFonts w:ascii="Garamond" w:hAnsi="Garamond"/>
          <w:sz w:val="22"/>
          <w:szCs w:val="22"/>
        </w:rPr>
        <w:t xml:space="preserve"> </w:t>
      </w:r>
      <w:r w:rsidR="002D15EE">
        <w:rPr>
          <w:rFonts w:ascii="Garamond" w:hAnsi="Garamond"/>
          <w:sz w:val="22"/>
          <w:szCs w:val="22"/>
        </w:rPr>
        <w:t>Although inflation is below the target, i</w:t>
      </w:r>
      <w:r w:rsidRPr="00626752">
        <w:rPr>
          <w:rFonts w:ascii="Garamond" w:hAnsi="Garamond"/>
          <w:sz w:val="22"/>
          <w:szCs w:val="22"/>
        </w:rPr>
        <w:t xml:space="preserve">t is expected that the CBR will </w:t>
      </w:r>
      <w:r w:rsidR="002D15EE">
        <w:rPr>
          <w:rFonts w:ascii="Garamond" w:hAnsi="Garamond"/>
          <w:sz w:val="22"/>
          <w:szCs w:val="22"/>
        </w:rPr>
        <w:t xml:space="preserve">nevertheless </w:t>
      </w:r>
      <w:r w:rsidRPr="00626752">
        <w:rPr>
          <w:rFonts w:ascii="Garamond" w:hAnsi="Garamond"/>
          <w:sz w:val="22"/>
          <w:szCs w:val="22"/>
        </w:rPr>
        <w:t>pursue a</w:t>
      </w:r>
      <w:r w:rsidR="002D15EE">
        <w:rPr>
          <w:rFonts w:ascii="Garamond" w:hAnsi="Garamond"/>
          <w:sz w:val="22"/>
          <w:szCs w:val="22"/>
        </w:rPr>
        <w:t xml:space="preserve"> moderately </w:t>
      </w:r>
      <w:r w:rsidR="008A2A2D">
        <w:rPr>
          <w:rFonts w:ascii="Garamond" w:hAnsi="Garamond"/>
          <w:sz w:val="22"/>
          <w:szCs w:val="22"/>
        </w:rPr>
        <w:t>tight</w:t>
      </w:r>
      <w:r w:rsidR="008A2A2D" w:rsidRPr="00626752">
        <w:rPr>
          <w:rFonts w:ascii="Garamond" w:hAnsi="Garamond"/>
          <w:sz w:val="22"/>
          <w:szCs w:val="22"/>
        </w:rPr>
        <w:t xml:space="preserve"> </w:t>
      </w:r>
      <w:r w:rsidRPr="00626752">
        <w:rPr>
          <w:rFonts w:ascii="Garamond" w:hAnsi="Garamond"/>
          <w:sz w:val="22"/>
          <w:szCs w:val="22"/>
        </w:rPr>
        <w:t>policy</w:t>
      </w:r>
      <w:r w:rsidR="002D15EE">
        <w:rPr>
          <w:rFonts w:ascii="Garamond" w:hAnsi="Garamond"/>
          <w:sz w:val="22"/>
          <w:szCs w:val="22"/>
        </w:rPr>
        <w:t xml:space="preserve"> aimed at reducing inflation expectations and anchoring the inflation around the target. </w:t>
      </w:r>
    </w:p>
    <w:p w14:paraId="1375C853" w14:textId="77777777" w:rsidR="00A03652" w:rsidRDefault="00A0365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Depreciation of the US dollar continued i</w:t>
      </w:r>
      <w:r w:rsidR="00EE619D" w:rsidRPr="00626752">
        <w:rPr>
          <w:rFonts w:ascii="Garamond" w:hAnsi="Garamond"/>
          <w:sz w:val="22"/>
          <w:szCs w:val="22"/>
        </w:rPr>
        <w:t xml:space="preserve">n the </w:t>
      </w:r>
      <w:r w:rsidR="00AF7B80">
        <w:rPr>
          <w:rFonts w:ascii="Garamond" w:hAnsi="Garamond"/>
          <w:sz w:val="22"/>
          <w:szCs w:val="22"/>
        </w:rPr>
        <w:t>fourth</w:t>
      </w:r>
      <w:r w:rsidR="00EE619D" w:rsidRPr="00626752">
        <w:rPr>
          <w:rFonts w:ascii="Garamond" w:hAnsi="Garamond"/>
          <w:sz w:val="22"/>
          <w:szCs w:val="22"/>
        </w:rPr>
        <w:t xml:space="preserve"> quarter of 2017</w:t>
      </w:r>
      <w:r>
        <w:rPr>
          <w:rFonts w:ascii="Garamond" w:hAnsi="Garamond"/>
          <w:sz w:val="22"/>
          <w:szCs w:val="22"/>
        </w:rPr>
        <w:t>.</w:t>
      </w:r>
      <w:r w:rsidR="00AF7B80">
        <w:rPr>
          <w:rFonts w:ascii="Garamond" w:hAnsi="Garamond"/>
          <w:sz w:val="22"/>
          <w:szCs w:val="22"/>
        </w:rPr>
        <w:t xml:space="preserve"> Specifically, </w:t>
      </w:r>
      <w:r w:rsidR="00AF7B80" w:rsidRPr="00AF7B80">
        <w:rPr>
          <w:rFonts w:ascii="Garamond" w:hAnsi="Garamond"/>
          <w:sz w:val="22"/>
          <w:szCs w:val="22"/>
        </w:rPr>
        <w:t>in the fourth quarter</w:t>
      </w:r>
      <w:r>
        <w:rPr>
          <w:rFonts w:ascii="Garamond" w:hAnsi="Garamond"/>
          <w:sz w:val="22"/>
          <w:szCs w:val="22"/>
        </w:rPr>
        <w:t>,</w:t>
      </w:r>
      <w:r w:rsidR="00EE619D" w:rsidRPr="00626752">
        <w:rPr>
          <w:rFonts w:ascii="Garamond" w:hAnsi="Garamond"/>
          <w:sz w:val="22"/>
          <w:szCs w:val="22"/>
        </w:rPr>
        <w:t xml:space="preserve"> the euro </w:t>
      </w:r>
      <w:r>
        <w:rPr>
          <w:rFonts w:ascii="Garamond" w:hAnsi="Garamond"/>
          <w:sz w:val="22"/>
          <w:szCs w:val="22"/>
        </w:rPr>
        <w:t xml:space="preserve">exchange rate </w:t>
      </w:r>
      <w:r w:rsidR="00AF7B80">
        <w:rPr>
          <w:rFonts w:ascii="Garamond" w:hAnsi="Garamond"/>
          <w:sz w:val="22"/>
          <w:szCs w:val="22"/>
        </w:rPr>
        <w:t>versus</w:t>
      </w:r>
      <w:r w:rsidR="00EE619D" w:rsidRPr="00626752">
        <w:rPr>
          <w:rFonts w:ascii="Garamond" w:hAnsi="Garamond"/>
          <w:sz w:val="22"/>
          <w:szCs w:val="22"/>
        </w:rPr>
        <w:t xml:space="preserve"> the US dollar</w:t>
      </w:r>
      <w:r w:rsidR="00AF7B80">
        <w:rPr>
          <w:rFonts w:ascii="Garamond" w:hAnsi="Garamond"/>
          <w:sz w:val="22"/>
          <w:szCs w:val="22"/>
        </w:rPr>
        <w:t xml:space="preserve"> </w:t>
      </w:r>
      <w:r>
        <w:rPr>
          <w:rFonts w:ascii="Garamond" w:hAnsi="Garamond"/>
          <w:sz w:val="22"/>
          <w:szCs w:val="22"/>
        </w:rPr>
        <w:t xml:space="preserve">appreciated </w:t>
      </w:r>
      <w:r w:rsidR="00AF7B80">
        <w:rPr>
          <w:rFonts w:ascii="Garamond" w:hAnsi="Garamond"/>
          <w:sz w:val="22"/>
          <w:szCs w:val="22"/>
        </w:rPr>
        <w:t xml:space="preserve">by 9% </w:t>
      </w:r>
      <w:r>
        <w:rPr>
          <w:rFonts w:ascii="Garamond" w:hAnsi="Garamond"/>
          <w:sz w:val="22"/>
          <w:szCs w:val="22"/>
        </w:rPr>
        <w:t xml:space="preserve">y/y </w:t>
      </w:r>
      <w:r w:rsidR="00AF7B80">
        <w:rPr>
          <w:rFonts w:ascii="Garamond" w:hAnsi="Garamond"/>
          <w:sz w:val="22"/>
          <w:szCs w:val="22"/>
        </w:rPr>
        <w:t xml:space="preserve">to </w:t>
      </w:r>
      <w:r w:rsidR="00EE619D" w:rsidRPr="00626752">
        <w:rPr>
          <w:rFonts w:ascii="Garamond" w:hAnsi="Garamond"/>
          <w:sz w:val="22"/>
          <w:szCs w:val="22"/>
        </w:rPr>
        <w:t>1.1</w:t>
      </w:r>
      <w:r w:rsidR="00AF7B80">
        <w:rPr>
          <w:rFonts w:ascii="Garamond" w:hAnsi="Garamond"/>
          <w:sz w:val="22"/>
          <w:szCs w:val="22"/>
        </w:rPr>
        <w:t>8</w:t>
      </w:r>
      <w:r w:rsidR="00EE619D" w:rsidRPr="00626752">
        <w:rPr>
          <w:rFonts w:ascii="Garamond" w:hAnsi="Garamond"/>
          <w:sz w:val="22"/>
          <w:szCs w:val="22"/>
        </w:rPr>
        <w:t xml:space="preserve"> dollars per euro. </w:t>
      </w:r>
      <w:r>
        <w:rPr>
          <w:rFonts w:ascii="Garamond" w:hAnsi="Garamond"/>
          <w:sz w:val="22"/>
          <w:szCs w:val="22"/>
        </w:rPr>
        <w:t xml:space="preserve">Such </w:t>
      </w:r>
      <w:r w:rsidR="00EE619D" w:rsidRPr="00626752">
        <w:rPr>
          <w:rFonts w:ascii="Garamond" w:hAnsi="Garamond"/>
          <w:sz w:val="22"/>
          <w:szCs w:val="22"/>
        </w:rPr>
        <w:t xml:space="preserve">tendency of the exchange rate reflects economic growth </w:t>
      </w:r>
      <w:r>
        <w:rPr>
          <w:rFonts w:ascii="Garamond" w:hAnsi="Garamond"/>
          <w:sz w:val="22"/>
          <w:szCs w:val="22"/>
        </w:rPr>
        <w:t xml:space="preserve">developments </w:t>
      </w:r>
      <w:r w:rsidR="00EE619D" w:rsidRPr="00626752">
        <w:rPr>
          <w:rFonts w:ascii="Garamond" w:hAnsi="Garamond"/>
          <w:sz w:val="22"/>
          <w:szCs w:val="22"/>
        </w:rPr>
        <w:t xml:space="preserve">in the Eurozone, </w:t>
      </w:r>
      <w:r w:rsidRPr="00A03652">
        <w:rPr>
          <w:rFonts w:ascii="Garamond" w:hAnsi="Garamond"/>
          <w:sz w:val="22"/>
          <w:szCs w:val="22"/>
        </w:rPr>
        <w:t xml:space="preserve">as well as expectations about the future monetary policy </w:t>
      </w:r>
      <w:r>
        <w:rPr>
          <w:rFonts w:ascii="Garamond" w:hAnsi="Garamond"/>
          <w:sz w:val="22"/>
          <w:szCs w:val="22"/>
        </w:rPr>
        <w:t>in both the USA and Eurozone. I</w:t>
      </w:r>
      <w:r w:rsidRPr="00626752">
        <w:rPr>
          <w:rFonts w:ascii="Garamond" w:hAnsi="Garamond"/>
          <w:sz w:val="22"/>
          <w:szCs w:val="22"/>
        </w:rPr>
        <w:t xml:space="preserve">n the </w:t>
      </w:r>
      <w:r>
        <w:rPr>
          <w:rFonts w:ascii="Garamond" w:hAnsi="Garamond"/>
          <w:sz w:val="22"/>
          <w:szCs w:val="22"/>
        </w:rPr>
        <w:t>fourth</w:t>
      </w:r>
      <w:r w:rsidRPr="00626752">
        <w:rPr>
          <w:rFonts w:ascii="Garamond" w:hAnsi="Garamond"/>
          <w:sz w:val="22"/>
          <w:szCs w:val="22"/>
        </w:rPr>
        <w:t xml:space="preserve"> quarter of 2017</w:t>
      </w:r>
      <w:r>
        <w:rPr>
          <w:rFonts w:ascii="Garamond" w:hAnsi="Garamond"/>
          <w:sz w:val="22"/>
          <w:szCs w:val="22"/>
        </w:rPr>
        <w:t xml:space="preserve"> t</w:t>
      </w:r>
      <w:r w:rsidR="00EE619D" w:rsidRPr="00626752">
        <w:rPr>
          <w:rFonts w:ascii="Garamond" w:hAnsi="Garamond"/>
          <w:sz w:val="22"/>
          <w:szCs w:val="22"/>
        </w:rPr>
        <w:t>he Russian ruble</w:t>
      </w:r>
      <w:r>
        <w:rPr>
          <w:rFonts w:ascii="Garamond" w:hAnsi="Garamond"/>
          <w:sz w:val="22"/>
          <w:szCs w:val="22"/>
        </w:rPr>
        <w:t xml:space="preserve"> ap</w:t>
      </w:r>
      <w:r w:rsidR="00EE619D" w:rsidRPr="00626752">
        <w:rPr>
          <w:rFonts w:ascii="Garamond" w:hAnsi="Garamond"/>
          <w:sz w:val="22"/>
          <w:szCs w:val="22"/>
        </w:rPr>
        <w:t xml:space="preserve">preciated by </w:t>
      </w:r>
      <w:r>
        <w:rPr>
          <w:rFonts w:ascii="Garamond" w:hAnsi="Garamond"/>
          <w:sz w:val="22"/>
          <w:szCs w:val="22"/>
        </w:rPr>
        <w:t>7</w:t>
      </w:r>
      <w:r w:rsidR="00EE619D" w:rsidRPr="00626752">
        <w:rPr>
          <w:rFonts w:ascii="Garamond" w:hAnsi="Garamond"/>
          <w:sz w:val="22"/>
          <w:szCs w:val="22"/>
        </w:rPr>
        <w:t>.</w:t>
      </w:r>
      <w:r>
        <w:rPr>
          <w:rFonts w:ascii="Garamond" w:hAnsi="Garamond"/>
          <w:sz w:val="22"/>
          <w:szCs w:val="22"/>
        </w:rPr>
        <w:t>8</w:t>
      </w:r>
      <w:r w:rsidR="00EE619D" w:rsidRPr="00626752">
        <w:rPr>
          <w:rFonts w:ascii="Garamond" w:hAnsi="Garamond"/>
          <w:sz w:val="22"/>
          <w:szCs w:val="22"/>
        </w:rPr>
        <w:t xml:space="preserve">% </w:t>
      </w:r>
      <w:r>
        <w:rPr>
          <w:rFonts w:ascii="Garamond" w:hAnsi="Garamond"/>
          <w:sz w:val="22"/>
          <w:szCs w:val="22"/>
        </w:rPr>
        <w:t xml:space="preserve">y/y to an </w:t>
      </w:r>
      <w:r w:rsidR="00EE619D" w:rsidRPr="00626752">
        <w:rPr>
          <w:rFonts w:ascii="Garamond" w:hAnsi="Garamond"/>
          <w:sz w:val="22"/>
          <w:szCs w:val="22"/>
        </w:rPr>
        <w:t>average RUB 5</w:t>
      </w:r>
      <w:r>
        <w:rPr>
          <w:rFonts w:ascii="Garamond" w:hAnsi="Garamond"/>
          <w:sz w:val="22"/>
          <w:szCs w:val="22"/>
        </w:rPr>
        <w:t>8.4</w:t>
      </w:r>
      <w:r w:rsidR="00EE619D" w:rsidRPr="00626752">
        <w:rPr>
          <w:rFonts w:ascii="Garamond" w:hAnsi="Garamond"/>
          <w:sz w:val="22"/>
          <w:szCs w:val="22"/>
        </w:rPr>
        <w:t xml:space="preserve"> per dollar. The ruble</w:t>
      </w:r>
      <w:r>
        <w:rPr>
          <w:rFonts w:ascii="Garamond" w:hAnsi="Garamond"/>
          <w:sz w:val="22"/>
          <w:szCs w:val="22"/>
        </w:rPr>
        <w:t>’s</w:t>
      </w:r>
      <w:r w:rsidR="00EE619D" w:rsidRPr="00626752">
        <w:rPr>
          <w:rFonts w:ascii="Garamond" w:hAnsi="Garamond"/>
          <w:sz w:val="22"/>
          <w:szCs w:val="22"/>
        </w:rPr>
        <w:t xml:space="preserve"> </w:t>
      </w:r>
      <w:r>
        <w:rPr>
          <w:rFonts w:ascii="Garamond" w:hAnsi="Garamond"/>
          <w:sz w:val="22"/>
          <w:szCs w:val="22"/>
        </w:rPr>
        <w:t>app</w:t>
      </w:r>
      <w:r w:rsidR="00EE619D" w:rsidRPr="00626752">
        <w:rPr>
          <w:rFonts w:ascii="Garamond" w:hAnsi="Garamond"/>
          <w:sz w:val="22"/>
          <w:szCs w:val="22"/>
        </w:rPr>
        <w:t xml:space="preserve">reciation was mainly </w:t>
      </w:r>
      <w:r>
        <w:rPr>
          <w:rFonts w:ascii="Garamond" w:hAnsi="Garamond"/>
          <w:sz w:val="22"/>
          <w:szCs w:val="22"/>
        </w:rPr>
        <w:t xml:space="preserve">determined by the rise in international oil prices. </w:t>
      </w:r>
      <w:r w:rsidR="00035CE5">
        <w:rPr>
          <w:rFonts w:ascii="Garamond" w:hAnsi="Garamond"/>
          <w:sz w:val="22"/>
          <w:szCs w:val="22"/>
        </w:rPr>
        <w:t xml:space="preserve">As </w:t>
      </w:r>
      <w:r w:rsidR="00035CE5" w:rsidRPr="00A03652">
        <w:rPr>
          <w:rFonts w:ascii="Garamond" w:hAnsi="Garamond"/>
          <w:sz w:val="22"/>
          <w:szCs w:val="22"/>
        </w:rPr>
        <w:t xml:space="preserve">the dollar depreciation accelerated </w:t>
      </w:r>
      <w:r w:rsidR="00035CE5">
        <w:rPr>
          <w:rFonts w:ascii="Garamond" w:hAnsi="Garamond"/>
          <w:sz w:val="22"/>
          <w:szCs w:val="22"/>
        </w:rPr>
        <w:t>i</w:t>
      </w:r>
      <w:r w:rsidRPr="00A03652">
        <w:rPr>
          <w:rFonts w:ascii="Garamond" w:hAnsi="Garamond"/>
          <w:sz w:val="22"/>
          <w:szCs w:val="22"/>
        </w:rPr>
        <w:t>n the first quarter</w:t>
      </w:r>
      <w:r>
        <w:rPr>
          <w:rFonts w:ascii="Garamond" w:hAnsi="Garamond"/>
          <w:sz w:val="22"/>
          <w:szCs w:val="22"/>
        </w:rPr>
        <w:t xml:space="preserve"> of 2018</w:t>
      </w:r>
      <w:r w:rsidRPr="00A03652">
        <w:rPr>
          <w:rFonts w:ascii="Garamond" w:hAnsi="Garamond"/>
          <w:sz w:val="22"/>
          <w:szCs w:val="22"/>
        </w:rPr>
        <w:t xml:space="preserve">, the euro and ruble </w:t>
      </w:r>
      <w:r w:rsidR="00035CE5">
        <w:rPr>
          <w:rFonts w:ascii="Garamond" w:hAnsi="Garamond"/>
          <w:sz w:val="22"/>
          <w:szCs w:val="22"/>
        </w:rPr>
        <w:t xml:space="preserve">are predicted to </w:t>
      </w:r>
      <w:r w:rsidRPr="00A03652">
        <w:rPr>
          <w:rFonts w:ascii="Garamond" w:hAnsi="Garamond"/>
          <w:sz w:val="22"/>
          <w:szCs w:val="22"/>
        </w:rPr>
        <w:t xml:space="preserve">remain appreciated </w:t>
      </w:r>
      <w:r w:rsidR="00035CE5">
        <w:rPr>
          <w:rFonts w:ascii="Garamond" w:hAnsi="Garamond"/>
          <w:sz w:val="22"/>
          <w:szCs w:val="22"/>
        </w:rPr>
        <w:t xml:space="preserve">against the dollar </w:t>
      </w:r>
      <w:r w:rsidRPr="00A03652">
        <w:rPr>
          <w:rFonts w:ascii="Garamond" w:hAnsi="Garamond"/>
          <w:sz w:val="22"/>
          <w:szCs w:val="22"/>
        </w:rPr>
        <w:t>in the short run.</w:t>
      </w:r>
    </w:p>
    <w:p w14:paraId="2892C483" w14:textId="094018F5"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r</w:t>
      </w:r>
      <w:r w:rsidR="000B2CE6">
        <w:rPr>
          <w:rFonts w:ascii="Garamond" w:hAnsi="Garamond"/>
          <w:sz w:val="22"/>
          <w:szCs w:val="22"/>
        </w:rPr>
        <w:t>ise in</w:t>
      </w:r>
      <w:r w:rsidR="00B53794">
        <w:rPr>
          <w:rFonts w:ascii="Garamond" w:hAnsi="Garamond"/>
          <w:sz w:val="22"/>
          <w:szCs w:val="22"/>
        </w:rPr>
        <w:t xml:space="preserve"> prices in </w:t>
      </w:r>
      <w:r w:rsidR="003D2B35">
        <w:rPr>
          <w:rFonts w:ascii="Garamond" w:hAnsi="Garamond"/>
          <w:sz w:val="22"/>
          <w:szCs w:val="22"/>
        </w:rPr>
        <w:t xml:space="preserve">commodity markets, </w:t>
      </w:r>
      <w:r w:rsidR="003D2B35" w:rsidRPr="00626752">
        <w:rPr>
          <w:rFonts w:ascii="Garamond" w:hAnsi="Garamond"/>
          <w:sz w:val="22"/>
          <w:szCs w:val="22"/>
        </w:rPr>
        <w:t>a trend observable since the third quarter of 2017, continue</w:t>
      </w:r>
      <w:r w:rsidR="003D2B35">
        <w:rPr>
          <w:rFonts w:ascii="Garamond" w:hAnsi="Garamond"/>
          <w:sz w:val="22"/>
          <w:szCs w:val="22"/>
        </w:rPr>
        <w:t>d</w:t>
      </w:r>
      <w:r w:rsidR="003D2B35" w:rsidRPr="00626752">
        <w:rPr>
          <w:rFonts w:ascii="Garamond" w:hAnsi="Garamond"/>
          <w:sz w:val="22"/>
          <w:szCs w:val="22"/>
        </w:rPr>
        <w:t xml:space="preserve"> </w:t>
      </w:r>
      <w:r w:rsidR="003D2B35">
        <w:rPr>
          <w:rFonts w:ascii="Garamond" w:hAnsi="Garamond"/>
          <w:sz w:val="22"/>
          <w:szCs w:val="22"/>
        </w:rPr>
        <w:t xml:space="preserve">during </w:t>
      </w:r>
      <w:r w:rsidR="003D2B35" w:rsidRPr="00626752">
        <w:rPr>
          <w:rFonts w:ascii="Garamond" w:hAnsi="Garamond"/>
          <w:sz w:val="22"/>
          <w:szCs w:val="22"/>
        </w:rPr>
        <w:t xml:space="preserve">the </w:t>
      </w:r>
      <w:r w:rsidR="003D2B35">
        <w:rPr>
          <w:rFonts w:ascii="Garamond" w:hAnsi="Garamond"/>
          <w:sz w:val="22"/>
          <w:szCs w:val="22"/>
        </w:rPr>
        <w:t xml:space="preserve">fourth quarter. The expectation </w:t>
      </w:r>
      <w:r w:rsidR="002C108E">
        <w:rPr>
          <w:rFonts w:ascii="Garamond" w:hAnsi="Garamond"/>
          <w:sz w:val="22"/>
          <w:szCs w:val="22"/>
        </w:rPr>
        <w:t xml:space="preserve">for the forecast horizon </w:t>
      </w:r>
      <w:r w:rsidR="003D2B35">
        <w:rPr>
          <w:rFonts w:ascii="Garamond" w:hAnsi="Garamond"/>
          <w:sz w:val="22"/>
          <w:szCs w:val="22"/>
        </w:rPr>
        <w:t xml:space="preserve">is that both </w:t>
      </w:r>
      <w:r w:rsidR="005C4351" w:rsidRPr="00626752">
        <w:rPr>
          <w:rFonts w:ascii="Garamond" w:hAnsi="Garamond"/>
          <w:sz w:val="22"/>
          <w:szCs w:val="22"/>
        </w:rPr>
        <w:t xml:space="preserve">oil </w:t>
      </w:r>
      <w:r w:rsidRPr="00626752">
        <w:rPr>
          <w:rFonts w:ascii="Garamond" w:hAnsi="Garamond"/>
          <w:sz w:val="22"/>
          <w:szCs w:val="22"/>
        </w:rPr>
        <w:t xml:space="preserve">and </w:t>
      </w:r>
      <w:r w:rsidR="005C4351" w:rsidRPr="00626752">
        <w:rPr>
          <w:rFonts w:ascii="Garamond" w:hAnsi="Garamond"/>
          <w:sz w:val="22"/>
          <w:szCs w:val="22"/>
        </w:rPr>
        <w:t xml:space="preserve">copper </w:t>
      </w:r>
      <w:r w:rsidRPr="00626752">
        <w:rPr>
          <w:rFonts w:ascii="Garamond" w:hAnsi="Garamond"/>
          <w:sz w:val="22"/>
          <w:szCs w:val="22"/>
        </w:rPr>
        <w:t>prices</w:t>
      </w:r>
      <w:r w:rsidR="003D2B35">
        <w:rPr>
          <w:rFonts w:ascii="Garamond" w:hAnsi="Garamond"/>
          <w:sz w:val="22"/>
          <w:szCs w:val="22"/>
        </w:rPr>
        <w:t xml:space="preserve"> </w:t>
      </w:r>
      <w:r w:rsidRPr="00626752">
        <w:rPr>
          <w:rFonts w:ascii="Garamond" w:hAnsi="Garamond"/>
          <w:sz w:val="22"/>
          <w:szCs w:val="22"/>
        </w:rPr>
        <w:t xml:space="preserve">will </w:t>
      </w:r>
      <w:r w:rsidR="0099686E">
        <w:rPr>
          <w:rFonts w:ascii="Garamond" w:hAnsi="Garamond"/>
          <w:sz w:val="22"/>
          <w:szCs w:val="22"/>
        </w:rPr>
        <w:t xml:space="preserve">remain elevated. Specifically, the rise in </w:t>
      </w:r>
      <w:r w:rsidRPr="00626752">
        <w:rPr>
          <w:rFonts w:ascii="Garamond" w:hAnsi="Garamond"/>
          <w:sz w:val="22"/>
          <w:szCs w:val="22"/>
        </w:rPr>
        <w:t xml:space="preserve">international </w:t>
      </w:r>
      <w:r w:rsidR="0099686E">
        <w:rPr>
          <w:rFonts w:ascii="Garamond" w:hAnsi="Garamond"/>
          <w:sz w:val="22"/>
          <w:szCs w:val="22"/>
        </w:rPr>
        <w:t>oil</w:t>
      </w:r>
      <w:r w:rsidRPr="00626752">
        <w:rPr>
          <w:rFonts w:ascii="Garamond" w:hAnsi="Garamond"/>
          <w:sz w:val="22"/>
          <w:szCs w:val="22"/>
        </w:rPr>
        <w:t xml:space="preserve"> prices </w:t>
      </w:r>
      <w:r w:rsidR="0099686E">
        <w:rPr>
          <w:rFonts w:ascii="Garamond" w:hAnsi="Garamond"/>
          <w:sz w:val="22"/>
          <w:szCs w:val="22"/>
        </w:rPr>
        <w:t>occurred in</w:t>
      </w:r>
      <w:r w:rsidRPr="00626752">
        <w:rPr>
          <w:rFonts w:ascii="Garamond" w:hAnsi="Garamond"/>
          <w:sz w:val="22"/>
          <w:szCs w:val="22"/>
        </w:rPr>
        <w:t xml:space="preserve"> the </w:t>
      </w:r>
      <w:r w:rsidR="0099686E">
        <w:rPr>
          <w:rFonts w:ascii="Garamond" w:hAnsi="Garamond"/>
          <w:sz w:val="22"/>
          <w:szCs w:val="22"/>
        </w:rPr>
        <w:t xml:space="preserve">third and </w:t>
      </w:r>
      <w:r w:rsidRPr="00626752">
        <w:rPr>
          <w:rFonts w:ascii="Garamond" w:hAnsi="Garamond"/>
          <w:sz w:val="22"/>
          <w:szCs w:val="22"/>
        </w:rPr>
        <w:t>fourth quarter</w:t>
      </w:r>
      <w:r w:rsidR="0099686E">
        <w:rPr>
          <w:rFonts w:ascii="Garamond" w:hAnsi="Garamond"/>
          <w:sz w:val="22"/>
          <w:szCs w:val="22"/>
        </w:rPr>
        <w:t>s</w:t>
      </w:r>
      <w:r w:rsidRPr="00626752">
        <w:rPr>
          <w:rFonts w:ascii="Garamond" w:hAnsi="Garamond"/>
          <w:sz w:val="22"/>
          <w:szCs w:val="22"/>
        </w:rPr>
        <w:t xml:space="preserve"> </w:t>
      </w:r>
      <w:r w:rsidR="0099686E">
        <w:rPr>
          <w:rFonts w:ascii="Garamond" w:hAnsi="Garamond"/>
          <w:sz w:val="22"/>
          <w:szCs w:val="22"/>
        </w:rPr>
        <w:t>of 2017 will</w:t>
      </w:r>
      <w:r w:rsidR="0099686E" w:rsidRPr="0099686E">
        <w:rPr>
          <w:rFonts w:ascii="Garamond" w:hAnsi="Garamond"/>
          <w:sz w:val="22"/>
          <w:szCs w:val="22"/>
        </w:rPr>
        <w:t>, according to forecasts, will continue in the short</w:t>
      </w:r>
      <w:r w:rsidR="0099686E">
        <w:rPr>
          <w:rFonts w:ascii="Garamond" w:hAnsi="Garamond"/>
          <w:sz w:val="22"/>
          <w:szCs w:val="22"/>
        </w:rPr>
        <w:t xml:space="preserve"> run as well</w:t>
      </w:r>
      <w:r w:rsidR="0099686E" w:rsidRPr="0099686E">
        <w:rPr>
          <w:rFonts w:ascii="Garamond" w:hAnsi="Garamond"/>
          <w:sz w:val="22"/>
          <w:szCs w:val="22"/>
        </w:rPr>
        <w:t xml:space="preserve">, </w:t>
      </w:r>
      <w:r w:rsidR="0099686E">
        <w:rPr>
          <w:rFonts w:ascii="Garamond" w:hAnsi="Garamond"/>
          <w:sz w:val="22"/>
          <w:szCs w:val="22"/>
        </w:rPr>
        <w:t xml:space="preserve">explained </w:t>
      </w:r>
      <w:r w:rsidR="0099686E" w:rsidRPr="0099686E">
        <w:rPr>
          <w:rFonts w:ascii="Garamond" w:hAnsi="Garamond"/>
          <w:sz w:val="22"/>
          <w:szCs w:val="22"/>
        </w:rPr>
        <w:t xml:space="preserve">by the prolongation of the OPEC + </w:t>
      </w:r>
      <w:r w:rsidR="0099686E">
        <w:rPr>
          <w:rFonts w:ascii="Garamond" w:hAnsi="Garamond"/>
          <w:sz w:val="22"/>
          <w:szCs w:val="22"/>
        </w:rPr>
        <w:t xml:space="preserve">deal on </w:t>
      </w:r>
      <w:r w:rsidR="0099686E" w:rsidRPr="0099686E">
        <w:rPr>
          <w:rFonts w:ascii="Garamond" w:hAnsi="Garamond"/>
          <w:sz w:val="22"/>
          <w:szCs w:val="22"/>
        </w:rPr>
        <w:t>the reduction of oil production</w:t>
      </w:r>
      <w:r w:rsidR="0099686E">
        <w:rPr>
          <w:rFonts w:ascii="Garamond" w:hAnsi="Garamond"/>
          <w:sz w:val="22"/>
          <w:szCs w:val="22"/>
        </w:rPr>
        <w:t xml:space="preserve"> and in </w:t>
      </w:r>
      <w:r w:rsidR="0099686E" w:rsidRPr="0099686E">
        <w:rPr>
          <w:rFonts w:ascii="Garamond" w:hAnsi="Garamond"/>
          <w:sz w:val="22"/>
          <w:szCs w:val="22"/>
        </w:rPr>
        <w:t>expectation</w:t>
      </w:r>
      <w:r w:rsidR="0099686E">
        <w:rPr>
          <w:rFonts w:ascii="Garamond" w:hAnsi="Garamond"/>
          <w:sz w:val="22"/>
          <w:szCs w:val="22"/>
        </w:rPr>
        <w:t xml:space="preserve"> of supply </w:t>
      </w:r>
      <w:r w:rsidR="0099686E" w:rsidRPr="0099686E">
        <w:rPr>
          <w:rFonts w:ascii="Garamond" w:hAnsi="Garamond"/>
          <w:sz w:val="22"/>
          <w:szCs w:val="22"/>
        </w:rPr>
        <w:t xml:space="preserve">reduction </w:t>
      </w:r>
      <w:r w:rsidR="0099686E">
        <w:rPr>
          <w:rFonts w:ascii="Garamond" w:hAnsi="Garamond"/>
          <w:sz w:val="22"/>
          <w:szCs w:val="22"/>
        </w:rPr>
        <w:t xml:space="preserve">on the back of political situation in Iran. </w:t>
      </w:r>
      <w:r w:rsidR="00E3738D">
        <w:rPr>
          <w:rFonts w:ascii="Garamond" w:hAnsi="Garamond"/>
          <w:sz w:val="22"/>
          <w:szCs w:val="22"/>
        </w:rPr>
        <w:t>The rise in international copper prices in the fourth quarter of 2018 was driven by an increase in China’</w:t>
      </w:r>
      <w:r w:rsidR="0099686E" w:rsidRPr="0099686E">
        <w:rPr>
          <w:rFonts w:ascii="Garamond" w:hAnsi="Garamond"/>
          <w:sz w:val="22"/>
          <w:szCs w:val="22"/>
        </w:rPr>
        <w:t>s demand for copper</w:t>
      </w:r>
      <w:r w:rsidR="00E3738D">
        <w:rPr>
          <w:rFonts w:ascii="Garamond" w:hAnsi="Garamond"/>
          <w:sz w:val="22"/>
          <w:szCs w:val="22"/>
        </w:rPr>
        <w:t xml:space="preserve">, </w:t>
      </w:r>
      <w:r w:rsidR="004A3ACF">
        <w:rPr>
          <w:rFonts w:ascii="Garamond" w:hAnsi="Garamond"/>
          <w:sz w:val="22"/>
          <w:szCs w:val="22"/>
        </w:rPr>
        <w:t>as well as by</w:t>
      </w:r>
      <w:r w:rsidR="0099686E" w:rsidRPr="0099686E">
        <w:rPr>
          <w:rFonts w:ascii="Garamond" w:hAnsi="Garamond"/>
          <w:sz w:val="22"/>
          <w:szCs w:val="22"/>
        </w:rPr>
        <w:t xml:space="preserve"> suspension of major copper mining operations in China </w:t>
      </w:r>
      <w:r w:rsidR="0099686E" w:rsidRPr="0099686E">
        <w:rPr>
          <w:rFonts w:ascii="Garamond" w:hAnsi="Garamond"/>
          <w:sz w:val="22"/>
          <w:szCs w:val="22"/>
        </w:rPr>
        <w:lastRenderedPageBreak/>
        <w:t>for environmental considerations. In the medium-term, a slight decline in prices from current high levels is expected.</w:t>
      </w:r>
      <w:r w:rsidR="006B09B3">
        <w:rPr>
          <w:rFonts w:ascii="Garamond" w:hAnsi="Garamond"/>
          <w:sz w:val="22"/>
          <w:szCs w:val="22"/>
        </w:rPr>
        <w:t xml:space="preserve"> </w:t>
      </w:r>
    </w:p>
    <w:p w14:paraId="21899D73" w14:textId="77777777" w:rsidR="00EE619D" w:rsidRPr="00626752" w:rsidRDefault="00EE619D" w:rsidP="00E3294E">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sz w:val="22"/>
          <w:szCs w:val="22"/>
        </w:rPr>
        <w:t>In the world food product markets</w:t>
      </w:r>
      <w:r w:rsidR="006B09B3">
        <w:rPr>
          <w:rFonts w:ascii="Garamond" w:hAnsi="Garamond"/>
          <w:sz w:val="22"/>
          <w:szCs w:val="22"/>
        </w:rPr>
        <w:t xml:space="preserve"> in the fourth quarter of 2017</w:t>
      </w:r>
      <w:r w:rsidRPr="00626752">
        <w:rPr>
          <w:rFonts w:ascii="Garamond" w:hAnsi="Garamond"/>
          <w:sz w:val="22"/>
          <w:szCs w:val="22"/>
        </w:rPr>
        <w:t xml:space="preserve">, </w:t>
      </w:r>
      <w:r w:rsidR="006B09B3">
        <w:rPr>
          <w:rFonts w:ascii="Garamond" w:hAnsi="Garamond"/>
          <w:sz w:val="22"/>
          <w:szCs w:val="22"/>
        </w:rPr>
        <w:t xml:space="preserve">the price growth rates decelerated. </w:t>
      </w:r>
      <w:r w:rsidRPr="00626752">
        <w:rPr>
          <w:rFonts w:ascii="Garamond" w:hAnsi="Garamond"/>
          <w:sz w:val="22"/>
          <w:szCs w:val="22"/>
        </w:rPr>
        <w:t xml:space="preserve">In particular, the </w:t>
      </w:r>
      <w:r w:rsidR="006B09B3">
        <w:rPr>
          <w:rFonts w:ascii="Garamond" w:hAnsi="Garamond"/>
          <w:sz w:val="22"/>
          <w:szCs w:val="22"/>
        </w:rPr>
        <w:t>decrease</w:t>
      </w:r>
      <w:r w:rsidRPr="00626752">
        <w:rPr>
          <w:rFonts w:ascii="Garamond" w:hAnsi="Garamond"/>
          <w:sz w:val="22"/>
          <w:szCs w:val="22"/>
        </w:rPr>
        <w:t xml:space="preserve"> in prices for </w:t>
      </w:r>
      <w:r w:rsidR="006B09B3">
        <w:rPr>
          <w:rFonts w:ascii="Garamond" w:hAnsi="Garamond"/>
          <w:sz w:val="22"/>
          <w:szCs w:val="22"/>
        </w:rPr>
        <w:t xml:space="preserve">sugar, vegetable oil and </w:t>
      </w:r>
      <w:r w:rsidRPr="00626752">
        <w:rPr>
          <w:rFonts w:ascii="Garamond" w:hAnsi="Garamond"/>
          <w:sz w:val="22"/>
          <w:szCs w:val="22"/>
        </w:rPr>
        <w:t xml:space="preserve">dairy products has </w:t>
      </w:r>
      <w:r w:rsidR="006B09B3">
        <w:rPr>
          <w:rFonts w:ascii="Garamond" w:hAnsi="Garamond"/>
          <w:sz w:val="22"/>
          <w:szCs w:val="22"/>
        </w:rPr>
        <w:t xml:space="preserve">resulted in slower growing </w:t>
      </w:r>
      <w:r w:rsidRPr="00626752">
        <w:rPr>
          <w:rFonts w:ascii="Garamond" w:hAnsi="Garamond"/>
          <w:sz w:val="22"/>
          <w:szCs w:val="22"/>
        </w:rPr>
        <w:t>food prices</w:t>
      </w:r>
      <w:r w:rsidR="006B09B3">
        <w:rPr>
          <w:rFonts w:ascii="Garamond" w:hAnsi="Garamond"/>
          <w:sz w:val="22"/>
          <w:szCs w:val="22"/>
        </w:rPr>
        <w:t xml:space="preserve">. </w:t>
      </w:r>
      <w:r w:rsidR="006B09B3" w:rsidRPr="006B09B3">
        <w:rPr>
          <w:rFonts w:ascii="Garamond" w:hAnsi="Garamond"/>
          <w:sz w:val="22"/>
          <w:szCs w:val="22"/>
        </w:rPr>
        <w:t xml:space="preserve">In the first half of </w:t>
      </w:r>
      <w:r w:rsidR="006B09B3">
        <w:rPr>
          <w:rFonts w:ascii="Garamond" w:hAnsi="Garamond"/>
          <w:sz w:val="22"/>
          <w:szCs w:val="22"/>
        </w:rPr>
        <w:t>2018</w:t>
      </w:r>
      <w:r w:rsidR="006B09B3" w:rsidRPr="006B09B3">
        <w:rPr>
          <w:rFonts w:ascii="Garamond" w:hAnsi="Garamond"/>
          <w:sz w:val="22"/>
          <w:szCs w:val="22"/>
        </w:rPr>
        <w:t xml:space="preserve"> </w:t>
      </w:r>
      <w:r w:rsidR="006B09B3">
        <w:rPr>
          <w:rFonts w:ascii="Garamond" w:hAnsi="Garamond"/>
          <w:sz w:val="22"/>
          <w:szCs w:val="22"/>
        </w:rPr>
        <w:t xml:space="preserve">however, </w:t>
      </w:r>
      <w:r w:rsidR="006B09B3" w:rsidRPr="006B09B3">
        <w:rPr>
          <w:rFonts w:ascii="Garamond" w:hAnsi="Garamond"/>
          <w:sz w:val="22"/>
          <w:szCs w:val="22"/>
        </w:rPr>
        <w:t xml:space="preserve">international </w:t>
      </w:r>
      <w:r w:rsidR="006B09B3">
        <w:rPr>
          <w:rFonts w:ascii="Garamond" w:hAnsi="Garamond"/>
          <w:sz w:val="22"/>
          <w:szCs w:val="22"/>
        </w:rPr>
        <w:t xml:space="preserve">prices are expected to </w:t>
      </w:r>
      <w:r w:rsidR="006B09B3" w:rsidRPr="006B09B3">
        <w:rPr>
          <w:rFonts w:ascii="Garamond" w:hAnsi="Garamond"/>
          <w:sz w:val="22"/>
          <w:szCs w:val="22"/>
        </w:rPr>
        <w:t>stabiliz</w:t>
      </w:r>
      <w:r w:rsidR="006B09B3">
        <w:rPr>
          <w:rFonts w:ascii="Garamond" w:hAnsi="Garamond"/>
          <w:sz w:val="22"/>
          <w:szCs w:val="22"/>
        </w:rPr>
        <w:t>e at current levels.</w:t>
      </w:r>
      <w:r w:rsidR="00E3294E" w:rsidRPr="00626752">
        <w:rPr>
          <w:rFonts w:ascii="Garamond" w:hAnsi="Garamond"/>
          <w:b/>
          <w:color w:val="0070C0"/>
          <w:sz w:val="22"/>
          <w:szCs w:val="22"/>
        </w:rPr>
        <w:t xml:space="preserve"> </w:t>
      </w:r>
    </w:p>
    <w:p w14:paraId="3769FFAC"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bCs/>
          <w:iCs/>
          <w:color w:val="0070C0"/>
          <w:sz w:val="22"/>
          <w:szCs w:val="22"/>
        </w:rPr>
        <w:t>2.2. Forecasts</w:t>
      </w:r>
      <w:r w:rsidRPr="00626752">
        <w:rPr>
          <w:rFonts w:ascii="Garamond" w:hAnsi="Garamond"/>
          <w:sz w:val="22"/>
          <w:szCs w:val="22"/>
        </w:rPr>
        <w:t xml:space="preserve"> </w:t>
      </w:r>
    </w:p>
    <w:p w14:paraId="78823A7B"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bCs/>
          <w:iCs/>
          <w:color w:val="0070C0"/>
          <w:sz w:val="22"/>
          <w:szCs w:val="22"/>
        </w:rPr>
        <w:t>2.2.1. Inflation and monetary policy</w:t>
      </w:r>
      <w:r w:rsidRPr="00626752">
        <w:rPr>
          <w:rFonts w:ascii="Garamond" w:hAnsi="Garamond"/>
          <w:sz w:val="22"/>
          <w:szCs w:val="22"/>
        </w:rPr>
        <w:t xml:space="preserve"> </w:t>
      </w:r>
    </w:p>
    <w:p w14:paraId="370A6816" w14:textId="77777777" w:rsidR="00EE619D" w:rsidRPr="00626752" w:rsidRDefault="003B18EA" w:rsidP="00EE619D">
      <w:pPr>
        <w:autoSpaceDE w:val="0"/>
        <w:autoSpaceDN w:val="0"/>
        <w:adjustRightInd w:val="0"/>
        <w:spacing w:after="120" w:line="360" w:lineRule="auto"/>
        <w:jc w:val="both"/>
        <w:rPr>
          <w:rFonts w:ascii="Garamond" w:hAnsi="Garamond"/>
          <w:sz w:val="22"/>
          <w:szCs w:val="22"/>
        </w:rPr>
      </w:pPr>
      <w:r>
        <w:rPr>
          <w:rFonts w:ascii="Garamond" w:hAnsi="Garamond"/>
          <w:b/>
          <w:sz w:val="22"/>
          <w:szCs w:val="22"/>
        </w:rPr>
        <w:t>Given</w:t>
      </w:r>
      <w:r w:rsidR="00E3294E">
        <w:rPr>
          <w:rFonts w:ascii="Garamond" w:hAnsi="Garamond"/>
          <w:b/>
          <w:sz w:val="22"/>
          <w:szCs w:val="22"/>
        </w:rPr>
        <w:t xml:space="preserve"> the current monetary policy conditions, i</w:t>
      </w:r>
      <w:r w:rsidR="00EE619D" w:rsidRPr="00626752">
        <w:rPr>
          <w:rFonts w:ascii="Garamond" w:hAnsi="Garamond"/>
          <w:b/>
          <w:sz w:val="22"/>
          <w:szCs w:val="22"/>
        </w:rPr>
        <w:t xml:space="preserve">nflation will continue </w:t>
      </w:r>
      <w:r w:rsidR="00E3294E">
        <w:rPr>
          <w:rFonts w:ascii="Garamond" w:hAnsi="Garamond"/>
          <w:b/>
          <w:sz w:val="22"/>
          <w:szCs w:val="22"/>
        </w:rPr>
        <w:t xml:space="preserve">expanding in 2018, staying within </w:t>
      </w:r>
      <w:r w:rsidR="00EE619D" w:rsidRPr="00626752">
        <w:rPr>
          <w:rFonts w:ascii="Garamond" w:hAnsi="Garamond"/>
          <w:b/>
          <w:sz w:val="22"/>
          <w:szCs w:val="22"/>
        </w:rPr>
        <w:t>the confidence band</w:t>
      </w:r>
      <w:r w:rsidR="00E3294E">
        <w:rPr>
          <w:rFonts w:ascii="Garamond" w:hAnsi="Garamond"/>
          <w:b/>
          <w:sz w:val="22"/>
          <w:szCs w:val="22"/>
        </w:rPr>
        <w:t xml:space="preserve"> and stabilizing around the target afterwards. </w:t>
      </w:r>
    </w:p>
    <w:p w14:paraId="2547E0F2" w14:textId="3C5C677A" w:rsidR="00EE619D" w:rsidRPr="00626752" w:rsidRDefault="00E3294E" w:rsidP="00EE619D">
      <w:pPr>
        <w:autoSpaceDE w:val="0"/>
        <w:autoSpaceDN w:val="0"/>
        <w:adjustRightInd w:val="0"/>
        <w:spacing w:after="120" w:line="360" w:lineRule="auto"/>
        <w:jc w:val="both"/>
        <w:rPr>
          <w:rFonts w:ascii="Garamond" w:hAnsi="Garamond"/>
          <w:sz w:val="22"/>
          <w:szCs w:val="22"/>
        </w:rPr>
      </w:pPr>
      <w:r w:rsidRPr="00E3294E">
        <w:rPr>
          <w:rFonts w:ascii="Garamond" w:hAnsi="Garamond"/>
          <w:sz w:val="22"/>
          <w:szCs w:val="22"/>
        </w:rPr>
        <w:t>In the fourth quarter</w:t>
      </w:r>
      <w:r>
        <w:rPr>
          <w:rFonts w:ascii="Garamond" w:hAnsi="Garamond"/>
          <w:sz w:val="22"/>
          <w:szCs w:val="22"/>
        </w:rPr>
        <w:t xml:space="preserve"> of 2017, core inflation rate increased notably as </w:t>
      </w:r>
      <w:r w:rsidRPr="00E3294E">
        <w:rPr>
          <w:rFonts w:ascii="Garamond" w:hAnsi="Garamond"/>
          <w:sz w:val="22"/>
          <w:szCs w:val="22"/>
        </w:rPr>
        <w:t xml:space="preserve">demand </w:t>
      </w:r>
      <w:r>
        <w:rPr>
          <w:rFonts w:ascii="Garamond" w:hAnsi="Garamond"/>
          <w:sz w:val="22"/>
          <w:szCs w:val="22"/>
        </w:rPr>
        <w:t xml:space="preserve">accelerated and </w:t>
      </w:r>
      <w:r w:rsidR="007E77B6">
        <w:rPr>
          <w:rFonts w:ascii="Garamond" w:hAnsi="Garamond"/>
          <w:sz w:val="22"/>
          <w:szCs w:val="22"/>
        </w:rPr>
        <w:t>inflation spilled over from international commodity markets. However,</w:t>
      </w:r>
      <w:r w:rsidR="007E77B6" w:rsidRPr="007E77B6">
        <w:rPr>
          <w:rFonts w:ascii="Garamond" w:hAnsi="Garamond"/>
          <w:sz w:val="22"/>
          <w:szCs w:val="22"/>
        </w:rPr>
        <w:t xml:space="preserve"> </w:t>
      </w:r>
      <w:r w:rsidR="007E77B6" w:rsidRPr="00E3294E">
        <w:rPr>
          <w:rFonts w:ascii="Garamond" w:hAnsi="Garamond"/>
          <w:sz w:val="22"/>
          <w:szCs w:val="22"/>
        </w:rPr>
        <w:t xml:space="preserve">with </w:t>
      </w:r>
      <w:r w:rsidR="007E77B6">
        <w:rPr>
          <w:rFonts w:ascii="Garamond" w:hAnsi="Garamond"/>
          <w:sz w:val="22"/>
          <w:szCs w:val="22"/>
        </w:rPr>
        <w:t xml:space="preserve">still </w:t>
      </w:r>
      <w:r w:rsidR="007E77B6" w:rsidRPr="00E3294E">
        <w:rPr>
          <w:rFonts w:ascii="Garamond" w:hAnsi="Garamond"/>
          <w:sz w:val="22"/>
          <w:szCs w:val="22"/>
        </w:rPr>
        <w:t>low</w:t>
      </w:r>
      <w:r w:rsidR="007E77B6">
        <w:rPr>
          <w:rFonts w:ascii="Garamond" w:hAnsi="Garamond"/>
          <w:sz w:val="22"/>
          <w:szCs w:val="22"/>
        </w:rPr>
        <w:t xml:space="preserve"> </w:t>
      </w:r>
      <w:r w:rsidR="007E77B6" w:rsidRPr="00E3294E">
        <w:rPr>
          <w:rFonts w:ascii="Garamond" w:hAnsi="Garamond"/>
          <w:sz w:val="22"/>
          <w:szCs w:val="22"/>
        </w:rPr>
        <w:t>prices for seasonal agricultural products and regulated services</w:t>
      </w:r>
      <w:r w:rsidR="007E77B6">
        <w:rPr>
          <w:rFonts w:ascii="Garamond" w:hAnsi="Garamond"/>
          <w:sz w:val="22"/>
          <w:szCs w:val="22"/>
        </w:rPr>
        <w:t xml:space="preserve">, headline inflation remains lower. </w:t>
      </w:r>
      <w:r w:rsidR="0074684B">
        <w:rPr>
          <w:rFonts w:ascii="Garamond" w:hAnsi="Garamond"/>
          <w:sz w:val="22"/>
          <w:szCs w:val="22"/>
        </w:rPr>
        <w:t xml:space="preserve">Based on the January 2018 data, </w:t>
      </w:r>
      <w:r w:rsidR="001E2E32">
        <w:rPr>
          <w:rFonts w:ascii="Garamond" w:hAnsi="Garamond"/>
          <w:sz w:val="22"/>
          <w:szCs w:val="22"/>
        </w:rPr>
        <w:t xml:space="preserve">both direct and indirect </w:t>
      </w:r>
      <w:r w:rsidR="0074684B">
        <w:rPr>
          <w:rFonts w:ascii="Garamond" w:hAnsi="Garamond"/>
          <w:sz w:val="22"/>
          <w:szCs w:val="22"/>
        </w:rPr>
        <w:t xml:space="preserve">impact of the </w:t>
      </w:r>
      <w:r w:rsidR="007E77B6" w:rsidRPr="00626752">
        <w:rPr>
          <w:rFonts w:ascii="Garamond" w:hAnsi="Garamond"/>
          <w:sz w:val="22"/>
          <w:szCs w:val="22"/>
        </w:rPr>
        <w:t>change</w:t>
      </w:r>
      <w:r w:rsidR="001E2E32">
        <w:rPr>
          <w:rFonts w:ascii="Garamond" w:hAnsi="Garamond"/>
          <w:sz w:val="22"/>
          <w:szCs w:val="22"/>
        </w:rPr>
        <w:t xml:space="preserve"> </w:t>
      </w:r>
      <w:r w:rsidR="007E77B6" w:rsidRPr="00626752">
        <w:rPr>
          <w:rFonts w:ascii="Garamond" w:hAnsi="Garamond"/>
          <w:sz w:val="22"/>
          <w:szCs w:val="22"/>
        </w:rPr>
        <w:t xml:space="preserve">in the customs duty and excise tax rates on certain goods </w:t>
      </w:r>
      <w:r w:rsidR="0074684B">
        <w:rPr>
          <w:rFonts w:ascii="Garamond" w:hAnsi="Garamond"/>
          <w:sz w:val="22"/>
          <w:szCs w:val="22"/>
        </w:rPr>
        <w:t>has been in line with the forecast</w:t>
      </w:r>
      <w:r w:rsidR="0074684B">
        <w:rPr>
          <w:rStyle w:val="FootnoteReference"/>
          <w:rFonts w:ascii="Garamond" w:hAnsi="Garamond"/>
          <w:sz w:val="22"/>
          <w:szCs w:val="22"/>
        </w:rPr>
        <w:footnoteReference w:customMarkFollows="1" w:id="2"/>
        <w:t>3</w:t>
      </w:r>
      <w:r w:rsidR="0074684B">
        <w:rPr>
          <w:rFonts w:ascii="Garamond" w:hAnsi="Garamond"/>
          <w:sz w:val="22"/>
          <w:szCs w:val="22"/>
        </w:rPr>
        <w:t xml:space="preserve">. </w:t>
      </w:r>
      <w:r w:rsidR="0074684B" w:rsidRPr="00626752">
        <w:rPr>
          <w:rFonts w:ascii="Garamond" w:hAnsi="Garamond"/>
          <w:sz w:val="22"/>
          <w:szCs w:val="22"/>
        </w:rPr>
        <w:t xml:space="preserve">On the other hand, the deflationary effect </w:t>
      </w:r>
      <w:r w:rsidR="00AF0A95">
        <w:rPr>
          <w:rFonts w:ascii="Garamond" w:hAnsi="Garamond"/>
          <w:sz w:val="22"/>
          <w:szCs w:val="22"/>
        </w:rPr>
        <w:t xml:space="preserve">resulted from </w:t>
      </w:r>
      <w:r w:rsidR="0074684B" w:rsidRPr="00626752">
        <w:rPr>
          <w:rFonts w:ascii="Garamond" w:hAnsi="Garamond"/>
          <w:sz w:val="22"/>
          <w:szCs w:val="22"/>
        </w:rPr>
        <w:t xml:space="preserve">reduced tariffs for regulated services, particularly electricity and gas, </w:t>
      </w:r>
      <w:r w:rsidR="00AF0A95">
        <w:rPr>
          <w:rFonts w:ascii="Garamond" w:hAnsi="Garamond"/>
          <w:sz w:val="22"/>
          <w:szCs w:val="22"/>
        </w:rPr>
        <w:t xml:space="preserve">in early 2017 </w:t>
      </w:r>
      <w:r w:rsidR="0074684B" w:rsidRPr="00626752">
        <w:rPr>
          <w:rFonts w:ascii="Garamond" w:hAnsi="Garamond"/>
          <w:sz w:val="22"/>
          <w:szCs w:val="22"/>
        </w:rPr>
        <w:t xml:space="preserve">will eliminate </w:t>
      </w:r>
      <w:r w:rsidR="00AF0A95">
        <w:rPr>
          <w:rFonts w:ascii="Garamond" w:hAnsi="Garamond"/>
          <w:sz w:val="22"/>
          <w:szCs w:val="22"/>
        </w:rPr>
        <w:t>over the first quarter of</w:t>
      </w:r>
      <w:r w:rsidR="0074684B" w:rsidRPr="00626752">
        <w:rPr>
          <w:rFonts w:ascii="Garamond" w:hAnsi="Garamond"/>
          <w:sz w:val="22"/>
          <w:szCs w:val="22"/>
        </w:rPr>
        <w:t xml:space="preserve"> 2018, which will </w:t>
      </w:r>
      <w:r w:rsidR="00AF0A95">
        <w:rPr>
          <w:rFonts w:ascii="Garamond" w:hAnsi="Garamond"/>
          <w:sz w:val="22"/>
          <w:szCs w:val="22"/>
        </w:rPr>
        <w:t xml:space="preserve">positively influence the 12-month inflation rate. </w:t>
      </w:r>
    </w:p>
    <w:p w14:paraId="518D6C4B" w14:textId="1C8414F1" w:rsidR="00EE619D" w:rsidRDefault="0072503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On the back of expansionary m</w:t>
      </w:r>
      <w:r w:rsidR="00EE619D" w:rsidRPr="00626752">
        <w:rPr>
          <w:rFonts w:ascii="Garamond" w:hAnsi="Garamond"/>
          <w:sz w:val="22"/>
          <w:szCs w:val="22"/>
        </w:rPr>
        <w:t>onetary environment</w:t>
      </w:r>
      <w:r w:rsidR="00AF0A95">
        <w:rPr>
          <w:rFonts w:ascii="Garamond" w:hAnsi="Garamond"/>
          <w:sz w:val="22"/>
          <w:szCs w:val="22"/>
        </w:rPr>
        <w:t xml:space="preserve">, </w:t>
      </w:r>
      <w:r>
        <w:rPr>
          <w:rFonts w:ascii="Garamond" w:hAnsi="Garamond"/>
          <w:sz w:val="22"/>
          <w:szCs w:val="22"/>
        </w:rPr>
        <w:t xml:space="preserve">robust lending to the economy and growing </w:t>
      </w:r>
      <w:r w:rsidR="00AF0A95" w:rsidRPr="00626752">
        <w:rPr>
          <w:rFonts w:ascii="Garamond" w:hAnsi="Garamond"/>
          <w:sz w:val="22"/>
          <w:szCs w:val="22"/>
        </w:rPr>
        <w:t>private remittances from abroad</w:t>
      </w:r>
      <w:r>
        <w:rPr>
          <w:rFonts w:ascii="Garamond" w:hAnsi="Garamond"/>
          <w:sz w:val="22"/>
          <w:szCs w:val="22"/>
        </w:rPr>
        <w:t>,</w:t>
      </w:r>
      <w:r w:rsidR="00AF0A95">
        <w:rPr>
          <w:rFonts w:ascii="Garamond" w:hAnsi="Garamond"/>
          <w:sz w:val="22"/>
          <w:szCs w:val="22"/>
        </w:rPr>
        <w:t xml:space="preserve"> </w:t>
      </w:r>
      <w:r w:rsidR="00EE619D" w:rsidRPr="00626752">
        <w:rPr>
          <w:rFonts w:ascii="Garamond" w:hAnsi="Garamond"/>
          <w:sz w:val="22"/>
          <w:szCs w:val="22"/>
        </w:rPr>
        <w:t>stead</w:t>
      </w:r>
      <w:r>
        <w:rPr>
          <w:rFonts w:ascii="Garamond" w:hAnsi="Garamond"/>
          <w:sz w:val="22"/>
          <w:szCs w:val="22"/>
        </w:rPr>
        <w:t xml:space="preserve">ily recovering </w:t>
      </w:r>
      <w:r w:rsidR="00EE619D" w:rsidRPr="00626752">
        <w:rPr>
          <w:rFonts w:ascii="Garamond" w:hAnsi="Garamond"/>
          <w:sz w:val="22"/>
          <w:szCs w:val="22"/>
        </w:rPr>
        <w:t>domestic demand</w:t>
      </w:r>
      <w:r>
        <w:rPr>
          <w:rFonts w:ascii="Garamond" w:hAnsi="Garamond"/>
          <w:sz w:val="22"/>
          <w:szCs w:val="22"/>
        </w:rPr>
        <w:t>,</w:t>
      </w:r>
      <w:r w:rsidR="00EE619D" w:rsidRPr="00626752">
        <w:rPr>
          <w:rFonts w:ascii="Garamond" w:hAnsi="Garamond"/>
          <w:sz w:val="22"/>
          <w:szCs w:val="22"/>
        </w:rPr>
        <w:t xml:space="preserve"> </w:t>
      </w:r>
      <w:r>
        <w:rPr>
          <w:rFonts w:ascii="Garamond" w:hAnsi="Garamond"/>
          <w:sz w:val="22"/>
          <w:szCs w:val="22"/>
        </w:rPr>
        <w:t xml:space="preserve">so </w:t>
      </w:r>
      <w:r w:rsidR="00EE619D" w:rsidRPr="00626752">
        <w:rPr>
          <w:rFonts w:ascii="Garamond" w:hAnsi="Garamond"/>
          <w:sz w:val="22"/>
          <w:szCs w:val="22"/>
        </w:rPr>
        <w:t>observ</w:t>
      </w:r>
      <w:r>
        <w:rPr>
          <w:rFonts w:ascii="Garamond" w:hAnsi="Garamond"/>
          <w:sz w:val="22"/>
          <w:szCs w:val="22"/>
        </w:rPr>
        <w:t xml:space="preserve">able </w:t>
      </w:r>
      <w:r w:rsidR="00EE619D" w:rsidRPr="00626752">
        <w:rPr>
          <w:rFonts w:ascii="Garamond" w:hAnsi="Garamond"/>
          <w:sz w:val="22"/>
          <w:szCs w:val="22"/>
        </w:rPr>
        <w:t>since the beginning of the year</w:t>
      </w:r>
      <w:r>
        <w:rPr>
          <w:rFonts w:ascii="Garamond" w:hAnsi="Garamond"/>
          <w:sz w:val="22"/>
          <w:szCs w:val="22"/>
        </w:rPr>
        <w:t xml:space="preserve">, reported sharp growth rates at the end of the year. As a result, the GDP gap is estimated to be </w:t>
      </w:r>
      <w:r w:rsidRPr="00725034">
        <w:rPr>
          <w:rFonts w:ascii="Garamond" w:hAnsi="Garamond"/>
          <w:sz w:val="22"/>
          <w:szCs w:val="22"/>
        </w:rPr>
        <w:t>considerably positive in the fourth quarter of 2017, which will s</w:t>
      </w:r>
      <w:r w:rsidR="00DC4209">
        <w:rPr>
          <w:rFonts w:ascii="Garamond" w:hAnsi="Garamond"/>
          <w:sz w:val="22"/>
          <w:szCs w:val="22"/>
        </w:rPr>
        <w:t>omewhat</w:t>
      </w:r>
      <w:r w:rsidRPr="00725034">
        <w:rPr>
          <w:rFonts w:ascii="Garamond" w:hAnsi="Garamond"/>
          <w:sz w:val="22"/>
          <w:szCs w:val="22"/>
        </w:rPr>
        <w:t xml:space="preserve"> </w:t>
      </w:r>
      <w:r w:rsidR="00E010A9">
        <w:rPr>
          <w:rFonts w:ascii="Garamond" w:hAnsi="Garamond"/>
          <w:sz w:val="22"/>
          <w:szCs w:val="22"/>
        </w:rPr>
        <w:t>shrink</w:t>
      </w:r>
      <w:r w:rsidRPr="00725034">
        <w:rPr>
          <w:rFonts w:ascii="Garamond" w:hAnsi="Garamond"/>
          <w:sz w:val="22"/>
          <w:szCs w:val="22"/>
        </w:rPr>
        <w:t xml:space="preserve"> </w:t>
      </w:r>
      <w:r w:rsidR="00DC4209">
        <w:rPr>
          <w:rFonts w:ascii="Garamond" w:hAnsi="Garamond"/>
          <w:sz w:val="22"/>
          <w:szCs w:val="22"/>
        </w:rPr>
        <w:t xml:space="preserve">over </w:t>
      </w:r>
      <w:r w:rsidRPr="00725034">
        <w:rPr>
          <w:rFonts w:ascii="Garamond" w:hAnsi="Garamond"/>
          <w:sz w:val="22"/>
          <w:szCs w:val="22"/>
        </w:rPr>
        <w:t>the first half of 2018</w:t>
      </w:r>
      <w:r w:rsidR="00E010A9">
        <w:rPr>
          <w:rFonts w:ascii="Garamond" w:hAnsi="Garamond"/>
          <w:sz w:val="22"/>
          <w:szCs w:val="22"/>
        </w:rPr>
        <w:t xml:space="preserve"> however</w:t>
      </w:r>
      <w:r w:rsidRPr="00725034">
        <w:rPr>
          <w:rFonts w:ascii="Garamond" w:hAnsi="Garamond"/>
          <w:sz w:val="22"/>
          <w:szCs w:val="22"/>
        </w:rPr>
        <w:t>.</w:t>
      </w:r>
      <w:r>
        <w:rPr>
          <w:rFonts w:ascii="Garamond" w:hAnsi="Garamond"/>
          <w:sz w:val="22"/>
          <w:szCs w:val="22"/>
        </w:rPr>
        <w:t xml:space="preserve"> </w:t>
      </w:r>
      <w:r w:rsidR="00DC4209">
        <w:rPr>
          <w:rFonts w:ascii="Garamond" w:hAnsi="Garamond"/>
          <w:sz w:val="22"/>
          <w:szCs w:val="22"/>
        </w:rPr>
        <w:t xml:space="preserve">With a positive GDP gap, </w:t>
      </w:r>
      <w:r w:rsidR="00B14F11">
        <w:rPr>
          <w:rFonts w:ascii="Garamond" w:hAnsi="Garamond"/>
          <w:sz w:val="22"/>
          <w:szCs w:val="22"/>
        </w:rPr>
        <w:t xml:space="preserve">an expected </w:t>
      </w:r>
      <w:r w:rsidR="00DC4209">
        <w:rPr>
          <w:rFonts w:ascii="Garamond" w:hAnsi="Garamond"/>
          <w:sz w:val="22"/>
          <w:szCs w:val="22"/>
        </w:rPr>
        <w:t xml:space="preserve">aggregate demand growth </w:t>
      </w:r>
      <w:r w:rsidR="00DC4209" w:rsidRPr="00DC4209">
        <w:rPr>
          <w:rFonts w:ascii="Garamond" w:hAnsi="Garamond"/>
          <w:sz w:val="22"/>
          <w:szCs w:val="22"/>
        </w:rPr>
        <w:t xml:space="preserve">and </w:t>
      </w:r>
      <w:r w:rsidR="00DC4209">
        <w:rPr>
          <w:rFonts w:ascii="Garamond" w:hAnsi="Garamond"/>
          <w:sz w:val="22"/>
          <w:szCs w:val="22"/>
        </w:rPr>
        <w:t xml:space="preserve">expansionary </w:t>
      </w:r>
      <w:r w:rsidR="00DC4209" w:rsidRPr="00DC4209">
        <w:rPr>
          <w:rFonts w:ascii="Garamond" w:hAnsi="Garamond"/>
          <w:sz w:val="22"/>
          <w:szCs w:val="22"/>
        </w:rPr>
        <w:t>fiscal policy</w:t>
      </w:r>
      <w:r w:rsidR="00B14F11">
        <w:rPr>
          <w:rFonts w:ascii="Garamond" w:hAnsi="Garamond"/>
          <w:sz w:val="22"/>
          <w:szCs w:val="22"/>
        </w:rPr>
        <w:t xml:space="preserve"> in 2018</w:t>
      </w:r>
      <w:r w:rsidR="00DC4209">
        <w:rPr>
          <w:rFonts w:ascii="Garamond" w:hAnsi="Garamond"/>
          <w:sz w:val="22"/>
          <w:szCs w:val="22"/>
        </w:rPr>
        <w:t>,</w:t>
      </w:r>
      <w:r w:rsidR="00DC4209" w:rsidRPr="00DC4209">
        <w:rPr>
          <w:rFonts w:ascii="Garamond" w:hAnsi="Garamond"/>
          <w:sz w:val="22"/>
          <w:szCs w:val="22"/>
        </w:rPr>
        <w:t xml:space="preserve"> </w:t>
      </w:r>
      <w:r w:rsidR="00727121">
        <w:rPr>
          <w:rFonts w:ascii="Garamond" w:hAnsi="Garamond"/>
          <w:sz w:val="22"/>
          <w:szCs w:val="22"/>
        </w:rPr>
        <w:t xml:space="preserve">reduction of </w:t>
      </w:r>
      <w:r w:rsidR="00B14F11">
        <w:rPr>
          <w:rFonts w:ascii="Garamond" w:hAnsi="Garamond"/>
          <w:sz w:val="22"/>
          <w:szCs w:val="22"/>
        </w:rPr>
        <w:t xml:space="preserve">the extent of </w:t>
      </w:r>
      <w:r w:rsidR="00DC4209">
        <w:rPr>
          <w:rFonts w:ascii="Garamond" w:hAnsi="Garamond"/>
          <w:sz w:val="22"/>
          <w:szCs w:val="22"/>
        </w:rPr>
        <w:t>expansionary monetary poli</w:t>
      </w:r>
      <w:r w:rsidR="00B14F11">
        <w:rPr>
          <w:rFonts w:ascii="Garamond" w:hAnsi="Garamond"/>
          <w:sz w:val="22"/>
          <w:szCs w:val="22"/>
        </w:rPr>
        <w:t>c</w:t>
      </w:r>
      <w:r w:rsidR="00DC4209">
        <w:rPr>
          <w:rFonts w:ascii="Garamond" w:hAnsi="Garamond"/>
          <w:sz w:val="22"/>
          <w:szCs w:val="22"/>
        </w:rPr>
        <w:t xml:space="preserve">y will </w:t>
      </w:r>
      <w:r w:rsidR="00727121">
        <w:rPr>
          <w:rFonts w:ascii="Garamond" w:hAnsi="Garamond"/>
          <w:sz w:val="22"/>
          <w:szCs w:val="22"/>
        </w:rPr>
        <w:t xml:space="preserve">gradually </w:t>
      </w:r>
      <w:r w:rsidR="00B14F11">
        <w:rPr>
          <w:rFonts w:ascii="Garamond" w:hAnsi="Garamond"/>
          <w:sz w:val="22"/>
          <w:szCs w:val="22"/>
        </w:rPr>
        <w:t>be needed,</w:t>
      </w:r>
      <w:r w:rsidR="00DC4209" w:rsidRPr="00DC4209">
        <w:rPr>
          <w:rFonts w:ascii="Garamond" w:hAnsi="Garamond"/>
          <w:sz w:val="22"/>
          <w:szCs w:val="22"/>
        </w:rPr>
        <w:t xml:space="preserve"> under which the GDP gap will </w:t>
      </w:r>
      <w:r w:rsidR="00B14F11">
        <w:rPr>
          <w:rFonts w:ascii="Garamond" w:hAnsi="Garamond"/>
          <w:sz w:val="22"/>
          <w:szCs w:val="22"/>
        </w:rPr>
        <w:t>eliminate in the mid</w:t>
      </w:r>
      <w:r w:rsidR="00DC4209" w:rsidRPr="00DC4209">
        <w:rPr>
          <w:rFonts w:ascii="Garamond" w:hAnsi="Garamond"/>
          <w:sz w:val="22"/>
          <w:szCs w:val="22"/>
        </w:rPr>
        <w:t xml:space="preserve">-term, stabilizing inflation </w:t>
      </w:r>
      <w:r w:rsidR="00B14F11">
        <w:rPr>
          <w:rFonts w:ascii="Garamond" w:hAnsi="Garamond"/>
          <w:sz w:val="22"/>
          <w:szCs w:val="22"/>
        </w:rPr>
        <w:t xml:space="preserve">around </w:t>
      </w:r>
      <w:r w:rsidR="00DC4209" w:rsidRPr="00DC4209">
        <w:rPr>
          <w:rFonts w:ascii="Garamond" w:hAnsi="Garamond"/>
          <w:sz w:val="22"/>
          <w:szCs w:val="22"/>
        </w:rPr>
        <w:t>the target</w:t>
      </w:r>
      <w:r w:rsidR="00B14F11">
        <w:rPr>
          <w:rFonts w:ascii="Garamond" w:hAnsi="Garamond"/>
          <w:sz w:val="22"/>
          <w:szCs w:val="22"/>
        </w:rPr>
        <w:t>. I</w:t>
      </w:r>
      <w:r w:rsidR="00B14F11" w:rsidRPr="00B14F11">
        <w:rPr>
          <w:rFonts w:ascii="Garamond" w:hAnsi="Garamond"/>
          <w:sz w:val="22"/>
          <w:szCs w:val="22"/>
        </w:rPr>
        <w:t>n the fourth quarter</w:t>
      </w:r>
      <w:r w:rsidR="00B14F11">
        <w:rPr>
          <w:rFonts w:ascii="Garamond" w:hAnsi="Garamond"/>
          <w:sz w:val="22"/>
          <w:szCs w:val="22"/>
        </w:rPr>
        <w:t xml:space="preserve"> of 2017 th</w:t>
      </w:r>
      <w:r w:rsidR="00B14F11" w:rsidRPr="00B14F11">
        <w:rPr>
          <w:rFonts w:ascii="Garamond" w:hAnsi="Garamond"/>
          <w:sz w:val="22"/>
          <w:szCs w:val="22"/>
        </w:rPr>
        <w:t>e C</w:t>
      </w:r>
      <w:r w:rsidR="00B14F11">
        <w:rPr>
          <w:rFonts w:ascii="Garamond" w:hAnsi="Garamond"/>
          <w:sz w:val="22"/>
          <w:szCs w:val="22"/>
        </w:rPr>
        <w:t xml:space="preserve">entral </w:t>
      </w:r>
      <w:r w:rsidR="00B14F11" w:rsidRPr="00B14F11">
        <w:rPr>
          <w:rFonts w:ascii="Garamond" w:hAnsi="Garamond"/>
          <w:sz w:val="22"/>
          <w:szCs w:val="22"/>
        </w:rPr>
        <w:t>B</w:t>
      </w:r>
      <w:r w:rsidR="00B14F11">
        <w:rPr>
          <w:rFonts w:ascii="Garamond" w:hAnsi="Garamond"/>
          <w:sz w:val="22"/>
          <w:szCs w:val="22"/>
        </w:rPr>
        <w:t>ank</w:t>
      </w:r>
      <w:r w:rsidR="00B14F11" w:rsidRPr="00B14F11">
        <w:rPr>
          <w:rFonts w:ascii="Garamond" w:hAnsi="Garamond"/>
          <w:sz w:val="22"/>
          <w:szCs w:val="22"/>
        </w:rPr>
        <w:t xml:space="preserve"> </w:t>
      </w:r>
      <w:r w:rsidR="00EF63CF">
        <w:rPr>
          <w:rFonts w:ascii="Garamond" w:hAnsi="Garamond"/>
          <w:sz w:val="22"/>
          <w:szCs w:val="22"/>
        </w:rPr>
        <w:t xml:space="preserve">considered that </w:t>
      </w:r>
      <w:r w:rsidR="00B14F11" w:rsidRPr="00B14F11">
        <w:rPr>
          <w:rFonts w:ascii="Garamond" w:hAnsi="Garamond"/>
          <w:sz w:val="22"/>
          <w:szCs w:val="22"/>
        </w:rPr>
        <w:t xml:space="preserve">short-term inflation expectations of the </w:t>
      </w:r>
      <w:r w:rsidR="00EF63CF">
        <w:rPr>
          <w:rFonts w:ascii="Garamond" w:hAnsi="Garamond"/>
          <w:sz w:val="22"/>
          <w:szCs w:val="22"/>
        </w:rPr>
        <w:t xml:space="preserve">households would </w:t>
      </w:r>
      <w:r w:rsidR="00EF63CF" w:rsidRPr="00B14F11">
        <w:rPr>
          <w:rFonts w:ascii="Garamond" w:hAnsi="Garamond"/>
          <w:sz w:val="22"/>
          <w:szCs w:val="22"/>
        </w:rPr>
        <w:t xml:space="preserve">somewhat soften </w:t>
      </w:r>
      <w:r w:rsidR="00EF63CF">
        <w:rPr>
          <w:rFonts w:ascii="Garamond" w:hAnsi="Garamond"/>
          <w:sz w:val="22"/>
          <w:szCs w:val="22"/>
        </w:rPr>
        <w:t xml:space="preserve">in early 2018 as these were </w:t>
      </w:r>
      <w:r w:rsidR="00B14F11" w:rsidRPr="00B14F11">
        <w:rPr>
          <w:rFonts w:ascii="Garamond" w:hAnsi="Garamond"/>
          <w:sz w:val="22"/>
          <w:szCs w:val="22"/>
        </w:rPr>
        <w:t xml:space="preserve">mainly conditioned by supply factors. As expected, </w:t>
      </w:r>
      <w:r w:rsidR="00EF63CF" w:rsidRPr="00B14F11">
        <w:rPr>
          <w:rFonts w:ascii="Garamond" w:hAnsi="Garamond"/>
          <w:sz w:val="22"/>
          <w:szCs w:val="22"/>
        </w:rPr>
        <w:t>additional inflation expectations</w:t>
      </w:r>
      <w:r w:rsidR="00EF63CF">
        <w:rPr>
          <w:rFonts w:ascii="Garamond" w:hAnsi="Garamond"/>
          <w:sz w:val="22"/>
          <w:szCs w:val="22"/>
        </w:rPr>
        <w:t xml:space="preserve"> mitigated i</w:t>
      </w:r>
      <w:r w:rsidR="00B14F11" w:rsidRPr="00B14F11">
        <w:rPr>
          <w:rFonts w:ascii="Garamond" w:hAnsi="Garamond"/>
          <w:sz w:val="22"/>
          <w:szCs w:val="22"/>
        </w:rPr>
        <w:t>n the first quarter</w:t>
      </w:r>
      <w:r w:rsidR="00EF63CF">
        <w:rPr>
          <w:rFonts w:ascii="Garamond" w:hAnsi="Garamond"/>
          <w:sz w:val="22"/>
          <w:szCs w:val="22"/>
        </w:rPr>
        <w:t xml:space="preserve"> of 2018</w:t>
      </w:r>
      <w:r w:rsidR="00B14F11" w:rsidRPr="00B14F11">
        <w:rPr>
          <w:rFonts w:ascii="Garamond" w:hAnsi="Garamond"/>
          <w:sz w:val="22"/>
          <w:szCs w:val="22"/>
        </w:rPr>
        <w:t xml:space="preserve">, so </w:t>
      </w:r>
      <w:r w:rsidR="00EF63CF">
        <w:rPr>
          <w:rFonts w:ascii="Garamond" w:hAnsi="Garamond"/>
          <w:sz w:val="22"/>
          <w:szCs w:val="22"/>
        </w:rPr>
        <w:t>a</w:t>
      </w:r>
      <w:r w:rsidR="00B14F11" w:rsidRPr="00B14F11">
        <w:rPr>
          <w:rFonts w:ascii="Garamond" w:hAnsi="Garamond"/>
          <w:sz w:val="22"/>
          <w:szCs w:val="22"/>
        </w:rPr>
        <w:t xml:space="preserve"> faster policy response</w:t>
      </w:r>
      <w:r w:rsidR="00EF63CF">
        <w:rPr>
          <w:rFonts w:ascii="Garamond" w:hAnsi="Garamond"/>
          <w:sz w:val="22"/>
          <w:szCs w:val="22"/>
        </w:rPr>
        <w:t xml:space="preserve"> is </w:t>
      </w:r>
      <w:r w:rsidR="00727121">
        <w:rPr>
          <w:rFonts w:ascii="Garamond" w:hAnsi="Garamond"/>
          <w:sz w:val="22"/>
          <w:szCs w:val="22"/>
        </w:rPr>
        <w:t>still unnecessary</w:t>
      </w:r>
      <w:r w:rsidR="00B14F11" w:rsidRPr="00B14F11">
        <w:rPr>
          <w:rFonts w:ascii="Garamond" w:hAnsi="Garamond"/>
          <w:sz w:val="22"/>
          <w:szCs w:val="22"/>
        </w:rPr>
        <w:t>.</w:t>
      </w:r>
      <w:r w:rsidR="00EF63CF">
        <w:rPr>
          <w:rFonts w:ascii="Garamond" w:hAnsi="Garamond"/>
          <w:sz w:val="22"/>
          <w:szCs w:val="22"/>
        </w:rPr>
        <w:t xml:space="preserve"> </w:t>
      </w:r>
    </w:p>
    <w:p w14:paraId="398064EB" w14:textId="77777777" w:rsidR="00EF63CF" w:rsidRPr="00626752" w:rsidRDefault="00EF63CF" w:rsidP="00EE619D">
      <w:pPr>
        <w:autoSpaceDE w:val="0"/>
        <w:autoSpaceDN w:val="0"/>
        <w:adjustRightInd w:val="0"/>
        <w:spacing w:after="120" w:line="360" w:lineRule="auto"/>
        <w:jc w:val="both"/>
        <w:rPr>
          <w:rFonts w:ascii="Garamond" w:hAnsi="Garamond"/>
          <w:sz w:val="22"/>
          <w:szCs w:val="22"/>
        </w:rPr>
      </w:pPr>
      <w:r w:rsidRPr="00EF63CF">
        <w:rPr>
          <w:rFonts w:ascii="Garamond" w:hAnsi="Garamond"/>
          <w:sz w:val="22"/>
          <w:szCs w:val="22"/>
        </w:rPr>
        <w:t>Nevertheless, demand</w:t>
      </w:r>
      <w:r>
        <w:rPr>
          <w:rFonts w:ascii="Garamond" w:hAnsi="Garamond"/>
          <w:sz w:val="22"/>
          <w:szCs w:val="22"/>
        </w:rPr>
        <w:t>-</w:t>
      </w:r>
      <w:r w:rsidRPr="00EF63CF">
        <w:rPr>
          <w:rFonts w:ascii="Garamond" w:hAnsi="Garamond"/>
          <w:sz w:val="22"/>
          <w:szCs w:val="22"/>
        </w:rPr>
        <w:t xml:space="preserve"> and inflation</w:t>
      </w:r>
      <w:r>
        <w:rPr>
          <w:rFonts w:ascii="Garamond" w:hAnsi="Garamond"/>
          <w:sz w:val="22"/>
          <w:szCs w:val="22"/>
        </w:rPr>
        <w:t>-related</w:t>
      </w:r>
      <w:r w:rsidRPr="00EF63CF">
        <w:rPr>
          <w:rFonts w:ascii="Garamond" w:hAnsi="Garamond"/>
          <w:sz w:val="22"/>
          <w:szCs w:val="22"/>
        </w:rPr>
        <w:t xml:space="preserve"> risk</w:t>
      </w:r>
      <w:r>
        <w:rPr>
          <w:rFonts w:ascii="Garamond" w:hAnsi="Garamond"/>
          <w:sz w:val="22"/>
          <w:szCs w:val="22"/>
        </w:rPr>
        <w:t>s are</w:t>
      </w:r>
      <w:r w:rsidRPr="00EF63CF">
        <w:rPr>
          <w:rFonts w:ascii="Garamond" w:hAnsi="Garamond"/>
          <w:sz w:val="22"/>
          <w:szCs w:val="22"/>
        </w:rPr>
        <w:t xml:space="preserve"> </w:t>
      </w:r>
      <w:r>
        <w:rPr>
          <w:rFonts w:ascii="Garamond" w:hAnsi="Garamond"/>
          <w:sz w:val="22"/>
          <w:szCs w:val="22"/>
        </w:rPr>
        <w:t xml:space="preserve">projected </w:t>
      </w:r>
      <w:r w:rsidRPr="00EF63CF">
        <w:rPr>
          <w:rFonts w:ascii="Garamond" w:hAnsi="Garamond"/>
          <w:sz w:val="22"/>
          <w:szCs w:val="22"/>
        </w:rPr>
        <w:t>up</w:t>
      </w:r>
      <w:r>
        <w:rPr>
          <w:rFonts w:ascii="Garamond" w:hAnsi="Garamond"/>
          <w:sz w:val="22"/>
          <w:szCs w:val="22"/>
        </w:rPr>
        <w:t>side</w:t>
      </w:r>
      <w:r w:rsidR="00860787">
        <w:rPr>
          <w:rFonts w:ascii="Garamond" w:hAnsi="Garamond"/>
          <w:sz w:val="22"/>
          <w:szCs w:val="22"/>
        </w:rPr>
        <w:t xml:space="preserve">, and if such risks materialize, the </w:t>
      </w:r>
      <w:r w:rsidRPr="00EF63CF">
        <w:rPr>
          <w:rFonts w:ascii="Garamond" w:hAnsi="Garamond"/>
          <w:sz w:val="22"/>
          <w:szCs w:val="22"/>
        </w:rPr>
        <w:t xml:space="preserve">Central Bank will </w:t>
      </w:r>
      <w:r w:rsidR="00860787">
        <w:rPr>
          <w:rFonts w:ascii="Garamond" w:hAnsi="Garamond"/>
          <w:sz w:val="22"/>
          <w:szCs w:val="22"/>
        </w:rPr>
        <w:t xml:space="preserve">react by adjusting </w:t>
      </w:r>
      <w:r w:rsidRPr="00EF63CF">
        <w:rPr>
          <w:rFonts w:ascii="Garamond" w:hAnsi="Garamond"/>
          <w:sz w:val="22"/>
          <w:szCs w:val="22"/>
        </w:rPr>
        <w:t>the monetary conditions</w:t>
      </w:r>
      <w:r w:rsidR="00860787">
        <w:rPr>
          <w:rFonts w:ascii="Garamond" w:hAnsi="Garamond"/>
          <w:sz w:val="22"/>
          <w:szCs w:val="22"/>
        </w:rPr>
        <w:t xml:space="preserve"> accordingly</w:t>
      </w:r>
      <w:r w:rsidRPr="00EF63CF">
        <w:rPr>
          <w:rFonts w:ascii="Garamond" w:hAnsi="Garamond"/>
          <w:sz w:val="22"/>
          <w:szCs w:val="22"/>
        </w:rPr>
        <w:t>.</w:t>
      </w:r>
    </w:p>
    <w:p w14:paraId="0DAC65E3" w14:textId="77777777" w:rsidR="00860787" w:rsidRDefault="00860787" w:rsidP="00EE619D">
      <w:pPr>
        <w:autoSpaceDE w:val="0"/>
        <w:autoSpaceDN w:val="0"/>
        <w:adjustRightInd w:val="0"/>
        <w:spacing w:after="120" w:line="360" w:lineRule="auto"/>
        <w:jc w:val="both"/>
        <w:rPr>
          <w:rFonts w:ascii="Garamond" w:hAnsi="Garamond"/>
          <w:b/>
          <w:bCs/>
          <w:iCs/>
          <w:color w:val="0070C0"/>
          <w:sz w:val="22"/>
          <w:szCs w:val="22"/>
        </w:rPr>
      </w:pPr>
    </w:p>
    <w:p w14:paraId="29CD7920" w14:textId="77777777" w:rsidR="00EE619D" w:rsidRPr="00626752" w:rsidRDefault="00EE619D" w:rsidP="00EE619D">
      <w:pPr>
        <w:autoSpaceDE w:val="0"/>
        <w:autoSpaceDN w:val="0"/>
        <w:adjustRightInd w:val="0"/>
        <w:spacing w:after="120" w:line="360" w:lineRule="auto"/>
        <w:jc w:val="both"/>
        <w:rPr>
          <w:rFonts w:ascii="Garamond" w:hAnsi="Garamond"/>
          <w:b/>
          <w:bCs/>
          <w:iCs/>
          <w:color w:val="0070C0"/>
          <w:sz w:val="22"/>
          <w:szCs w:val="22"/>
        </w:rPr>
      </w:pPr>
      <w:r w:rsidRPr="00626752">
        <w:rPr>
          <w:rFonts w:ascii="Garamond" w:hAnsi="Garamond"/>
          <w:b/>
          <w:bCs/>
          <w:iCs/>
          <w:color w:val="0070C0"/>
          <w:sz w:val="22"/>
          <w:szCs w:val="22"/>
        </w:rPr>
        <w:lastRenderedPageBreak/>
        <w:t>2.2.2. Economic activity</w:t>
      </w:r>
      <w:r w:rsidR="00860787">
        <w:rPr>
          <w:rStyle w:val="FootnoteReference"/>
          <w:rFonts w:ascii="Garamond" w:hAnsi="Garamond"/>
          <w:b/>
          <w:bCs/>
          <w:iCs/>
          <w:color w:val="0070C0"/>
          <w:sz w:val="22"/>
          <w:szCs w:val="22"/>
        </w:rPr>
        <w:footnoteReference w:customMarkFollows="1" w:id="3"/>
        <w:t>4</w:t>
      </w:r>
    </w:p>
    <w:p w14:paraId="4AAC9B4A"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Aggregate demand:</w:t>
      </w:r>
      <w:r w:rsidRPr="00626752">
        <w:rPr>
          <w:rFonts w:ascii="Garamond" w:hAnsi="Garamond"/>
          <w:sz w:val="22"/>
          <w:szCs w:val="22"/>
        </w:rPr>
        <w:t xml:space="preserve"> Continu</w:t>
      </w:r>
      <w:r w:rsidR="00860787">
        <w:rPr>
          <w:rFonts w:ascii="Garamond" w:hAnsi="Garamond"/>
          <w:sz w:val="22"/>
          <w:szCs w:val="22"/>
        </w:rPr>
        <w:t xml:space="preserve">ed </w:t>
      </w:r>
      <w:r w:rsidRPr="00626752">
        <w:rPr>
          <w:rFonts w:ascii="Garamond" w:hAnsi="Garamond"/>
          <w:sz w:val="22"/>
          <w:szCs w:val="22"/>
        </w:rPr>
        <w:t>expansion</w:t>
      </w:r>
      <w:r w:rsidR="00860787">
        <w:rPr>
          <w:rFonts w:ascii="Garamond" w:hAnsi="Garamond"/>
          <w:sz w:val="22"/>
          <w:szCs w:val="22"/>
        </w:rPr>
        <w:t>ary monetary policy implementation</w:t>
      </w:r>
      <w:r w:rsidRPr="00626752">
        <w:rPr>
          <w:rFonts w:ascii="Garamond" w:hAnsi="Garamond"/>
          <w:sz w:val="22"/>
          <w:szCs w:val="22"/>
        </w:rPr>
        <w:t xml:space="preserve"> by the Central Bank</w:t>
      </w:r>
      <w:r w:rsidR="009F6F95">
        <w:rPr>
          <w:rFonts w:ascii="Garamond" w:hAnsi="Garamond"/>
          <w:sz w:val="22"/>
          <w:szCs w:val="22"/>
        </w:rPr>
        <w:t xml:space="preserve"> and </w:t>
      </w:r>
      <w:r w:rsidR="00860787">
        <w:rPr>
          <w:rFonts w:ascii="Garamond" w:hAnsi="Garamond"/>
          <w:sz w:val="22"/>
          <w:szCs w:val="22"/>
        </w:rPr>
        <w:t xml:space="preserve">growth of lending to the economy </w:t>
      </w:r>
      <w:r w:rsidR="009F6F95">
        <w:rPr>
          <w:rFonts w:ascii="Garamond" w:hAnsi="Garamond"/>
          <w:sz w:val="22"/>
          <w:szCs w:val="22"/>
        </w:rPr>
        <w:t>as well as</w:t>
      </w:r>
      <w:r w:rsidR="00860787">
        <w:rPr>
          <w:rFonts w:ascii="Garamond" w:hAnsi="Garamond"/>
          <w:sz w:val="22"/>
          <w:szCs w:val="22"/>
        </w:rPr>
        <w:t xml:space="preserve"> </w:t>
      </w:r>
      <w:r w:rsidR="009F6F95">
        <w:rPr>
          <w:rFonts w:ascii="Garamond" w:hAnsi="Garamond"/>
          <w:sz w:val="22"/>
          <w:szCs w:val="22"/>
        </w:rPr>
        <w:t xml:space="preserve">recovering external demand and </w:t>
      </w:r>
      <w:r w:rsidRPr="00626752">
        <w:rPr>
          <w:rFonts w:ascii="Garamond" w:hAnsi="Garamond"/>
          <w:sz w:val="22"/>
          <w:szCs w:val="22"/>
        </w:rPr>
        <w:t xml:space="preserve">private remittances from Russia are the main factors </w:t>
      </w:r>
      <w:r w:rsidR="009F6F95">
        <w:rPr>
          <w:rFonts w:ascii="Garamond" w:hAnsi="Garamond"/>
          <w:sz w:val="22"/>
          <w:szCs w:val="22"/>
        </w:rPr>
        <w:t>that determine</w:t>
      </w:r>
      <w:r w:rsidR="003B18EA">
        <w:rPr>
          <w:rFonts w:ascii="Garamond" w:hAnsi="Garamond"/>
          <w:sz w:val="22"/>
          <w:szCs w:val="22"/>
        </w:rPr>
        <w:t>d the</w:t>
      </w:r>
      <w:r w:rsidR="009F6F95">
        <w:rPr>
          <w:rFonts w:ascii="Garamond" w:hAnsi="Garamond"/>
          <w:sz w:val="22"/>
          <w:szCs w:val="22"/>
        </w:rPr>
        <w:t xml:space="preserve"> strong growth of </w:t>
      </w:r>
      <w:r w:rsidRPr="00626752">
        <w:rPr>
          <w:rFonts w:ascii="Garamond" w:hAnsi="Garamond"/>
          <w:sz w:val="22"/>
          <w:szCs w:val="22"/>
        </w:rPr>
        <w:t>domestic demand in 2017</w:t>
      </w:r>
      <w:r w:rsidR="009F6F95">
        <w:rPr>
          <w:rFonts w:ascii="Garamond" w:hAnsi="Garamond"/>
          <w:sz w:val="22"/>
          <w:szCs w:val="22"/>
        </w:rPr>
        <w:t xml:space="preserve">, </w:t>
      </w:r>
      <w:r w:rsidR="00281E1F">
        <w:rPr>
          <w:rFonts w:ascii="Garamond" w:hAnsi="Garamond"/>
          <w:sz w:val="22"/>
          <w:szCs w:val="22"/>
        </w:rPr>
        <w:t xml:space="preserve">in </w:t>
      </w:r>
      <w:r w:rsidR="009F6F95" w:rsidRPr="009F6F95">
        <w:rPr>
          <w:rFonts w:ascii="Garamond" w:hAnsi="Garamond"/>
          <w:sz w:val="22"/>
          <w:szCs w:val="22"/>
        </w:rPr>
        <w:t xml:space="preserve">which </w:t>
      </w:r>
      <w:r w:rsidR="00281E1F">
        <w:rPr>
          <w:rFonts w:ascii="Garamond" w:hAnsi="Garamond"/>
          <w:sz w:val="22"/>
          <w:szCs w:val="22"/>
        </w:rPr>
        <w:t xml:space="preserve">case </w:t>
      </w:r>
      <w:r w:rsidR="009F6F95" w:rsidRPr="009F6F95">
        <w:rPr>
          <w:rFonts w:ascii="Garamond" w:hAnsi="Garamond"/>
          <w:sz w:val="22"/>
          <w:szCs w:val="22"/>
        </w:rPr>
        <w:t>high economic growth is estimated for 2017.</w:t>
      </w:r>
      <w:r w:rsidRPr="00626752">
        <w:rPr>
          <w:rFonts w:ascii="Garamond" w:hAnsi="Garamond"/>
          <w:sz w:val="22"/>
          <w:szCs w:val="22"/>
        </w:rPr>
        <w:t xml:space="preserve"> </w:t>
      </w:r>
    </w:p>
    <w:p w14:paraId="5ACE377A" w14:textId="77777777" w:rsidR="00EE619D"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light of the aforementioned developments, economic growth in 2017 is expected in the range of </w:t>
      </w:r>
      <w:r w:rsidR="00281E1F" w:rsidRPr="00281E1F">
        <w:rPr>
          <w:rFonts w:ascii="Garamond" w:hAnsi="Garamond"/>
          <w:b/>
          <w:sz w:val="22"/>
          <w:szCs w:val="22"/>
        </w:rPr>
        <w:t>7</w:t>
      </w:r>
      <w:r w:rsidRPr="00281E1F">
        <w:rPr>
          <w:rFonts w:ascii="Garamond" w:hAnsi="Garamond"/>
          <w:b/>
          <w:sz w:val="22"/>
          <w:szCs w:val="22"/>
        </w:rPr>
        <w:t>.</w:t>
      </w:r>
      <w:r w:rsidR="00281E1F" w:rsidRPr="00281E1F">
        <w:rPr>
          <w:rFonts w:ascii="Garamond" w:hAnsi="Garamond"/>
          <w:b/>
          <w:sz w:val="22"/>
          <w:szCs w:val="22"/>
        </w:rPr>
        <w:t>2</w:t>
      </w:r>
      <w:r w:rsidRPr="00281E1F">
        <w:rPr>
          <w:rFonts w:ascii="Garamond" w:hAnsi="Garamond"/>
          <w:b/>
          <w:sz w:val="22"/>
          <w:szCs w:val="22"/>
        </w:rPr>
        <w:t>-</w:t>
      </w:r>
      <w:r w:rsidR="00281E1F" w:rsidRPr="00281E1F">
        <w:rPr>
          <w:rFonts w:ascii="Garamond" w:hAnsi="Garamond"/>
          <w:b/>
          <w:sz w:val="22"/>
          <w:szCs w:val="22"/>
        </w:rPr>
        <w:t>7</w:t>
      </w:r>
      <w:r w:rsidRPr="00281E1F">
        <w:rPr>
          <w:rFonts w:ascii="Garamond" w:hAnsi="Garamond"/>
          <w:b/>
          <w:sz w:val="22"/>
          <w:szCs w:val="22"/>
        </w:rPr>
        <w:t>.</w:t>
      </w:r>
      <w:r w:rsidR="00281E1F" w:rsidRPr="00281E1F">
        <w:rPr>
          <w:rFonts w:ascii="Garamond" w:hAnsi="Garamond"/>
          <w:b/>
          <w:sz w:val="22"/>
          <w:szCs w:val="22"/>
        </w:rPr>
        <w:t>4</w:t>
      </w:r>
      <w:r w:rsidRPr="00281E1F">
        <w:rPr>
          <w:rFonts w:ascii="Garamond" w:hAnsi="Garamond"/>
          <w:b/>
          <w:sz w:val="22"/>
          <w:szCs w:val="22"/>
        </w:rPr>
        <w:t>%</w:t>
      </w:r>
      <w:r w:rsidRPr="00626752">
        <w:rPr>
          <w:rFonts w:ascii="Garamond" w:hAnsi="Garamond"/>
          <w:sz w:val="22"/>
          <w:szCs w:val="22"/>
        </w:rPr>
        <w:t xml:space="preserve"> which will be driven mainly by </w:t>
      </w:r>
      <w:r w:rsidR="00281E1F">
        <w:rPr>
          <w:rFonts w:ascii="Garamond" w:hAnsi="Garamond"/>
          <w:sz w:val="22"/>
          <w:szCs w:val="22"/>
        </w:rPr>
        <w:t>10</w:t>
      </w:r>
      <w:r w:rsidRPr="00626752">
        <w:rPr>
          <w:rFonts w:ascii="Garamond" w:hAnsi="Garamond"/>
          <w:sz w:val="22"/>
          <w:szCs w:val="22"/>
        </w:rPr>
        <w:t>.</w:t>
      </w:r>
      <w:r w:rsidR="00281E1F">
        <w:rPr>
          <w:rFonts w:ascii="Garamond" w:hAnsi="Garamond"/>
          <w:sz w:val="22"/>
          <w:szCs w:val="22"/>
        </w:rPr>
        <w:t>2</w:t>
      </w:r>
      <w:r w:rsidRPr="00626752">
        <w:rPr>
          <w:rFonts w:ascii="Garamond" w:hAnsi="Garamond"/>
          <w:sz w:val="22"/>
          <w:szCs w:val="22"/>
        </w:rPr>
        <w:t xml:space="preserve">% growth in private consumption and </w:t>
      </w:r>
      <w:r w:rsidR="00281E1F">
        <w:rPr>
          <w:rFonts w:ascii="Garamond" w:hAnsi="Garamond"/>
          <w:sz w:val="22"/>
          <w:szCs w:val="22"/>
        </w:rPr>
        <w:t>13</w:t>
      </w:r>
      <w:r w:rsidRPr="00626752">
        <w:rPr>
          <w:rFonts w:ascii="Garamond" w:hAnsi="Garamond"/>
          <w:sz w:val="22"/>
          <w:szCs w:val="22"/>
        </w:rPr>
        <w:t>.</w:t>
      </w:r>
      <w:r w:rsidR="00281E1F">
        <w:rPr>
          <w:rFonts w:ascii="Garamond" w:hAnsi="Garamond"/>
          <w:sz w:val="22"/>
          <w:szCs w:val="22"/>
        </w:rPr>
        <w:t>4</w:t>
      </w:r>
      <w:r w:rsidRPr="00626752">
        <w:rPr>
          <w:rFonts w:ascii="Garamond" w:hAnsi="Garamond"/>
          <w:sz w:val="22"/>
          <w:szCs w:val="22"/>
        </w:rPr>
        <w:t xml:space="preserve">% </w:t>
      </w:r>
      <w:r w:rsidR="004F284A">
        <w:rPr>
          <w:rFonts w:ascii="Garamond" w:hAnsi="Garamond"/>
          <w:sz w:val="22"/>
          <w:szCs w:val="22"/>
        </w:rPr>
        <w:t>growth</w:t>
      </w:r>
      <w:r w:rsidRPr="00626752">
        <w:rPr>
          <w:rFonts w:ascii="Garamond" w:hAnsi="Garamond"/>
          <w:sz w:val="22"/>
          <w:szCs w:val="22"/>
        </w:rPr>
        <w:t xml:space="preserve"> in investment.</w:t>
      </w:r>
      <w:r w:rsidR="00281E1F">
        <w:rPr>
          <w:rFonts w:ascii="Garamond" w:hAnsi="Garamond"/>
          <w:sz w:val="22"/>
          <w:szCs w:val="22"/>
        </w:rPr>
        <w:t xml:space="preserve"> </w:t>
      </w:r>
      <w:r w:rsidR="00281E1F" w:rsidRPr="00626752">
        <w:rPr>
          <w:rFonts w:ascii="Garamond" w:hAnsi="Garamond"/>
          <w:sz w:val="22"/>
          <w:szCs w:val="22"/>
        </w:rPr>
        <w:t>Nonetheless, net exports will have a negative impact on economic growth</w:t>
      </w:r>
      <w:r w:rsidR="00281E1F">
        <w:rPr>
          <w:rFonts w:ascii="Garamond" w:hAnsi="Garamond"/>
          <w:sz w:val="22"/>
          <w:szCs w:val="22"/>
        </w:rPr>
        <w:t>. Public</w:t>
      </w:r>
      <w:r w:rsidR="00281E1F" w:rsidRPr="00281E1F">
        <w:rPr>
          <w:rFonts w:ascii="Garamond" w:hAnsi="Garamond"/>
          <w:sz w:val="22"/>
          <w:szCs w:val="22"/>
        </w:rPr>
        <w:t xml:space="preserve"> spending will have a</w:t>
      </w:r>
      <w:r w:rsidR="00281E1F">
        <w:rPr>
          <w:rFonts w:ascii="Garamond" w:hAnsi="Garamond"/>
          <w:sz w:val="22"/>
          <w:szCs w:val="22"/>
        </w:rPr>
        <w:t xml:space="preserve"> </w:t>
      </w:r>
      <w:r w:rsidR="00281E1F" w:rsidRPr="00281E1F">
        <w:rPr>
          <w:rFonts w:ascii="Garamond" w:hAnsi="Garamond"/>
          <w:sz w:val="22"/>
          <w:szCs w:val="22"/>
        </w:rPr>
        <w:t>0.7 p</w:t>
      </w:r>
      <w:r w:rsidR="00281E1F">
        <w:rPr>
          <w:rFonts w:ascii="Garamond" w:hAnsi="Garamond"/>
          <w:sz w:val="22"/>
          <w:szCs w:val="22"/>
        </w:rPr>
        <w:t>p</w:t>
      </w:r>
      <w:r w:rsidR="00281E1F" w:rsidRPr="00281E1F">
        <w:rPr>
          <w:rFonts w:ascii="Garamond" w:hAnsi="Garamond"/>
          <w:sz w:val="22"/>
          <w:szCs w:val="22"/>
        </w:rPr>
        <w:t xml:space="preserve"> positive impact on economic growth.</w:t>
      </w:r>
    </w:p>
    <w:p w14:paraId="34333C1B" w14:textId="77777777" w:rsidR="00281E1F" w:rsidRDefault="00281E1F"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An expansionary fiscal policy expected in 2018, a lagged impact of expansionary monetary policy carried out in 2017, as well as </w:t>
      </w:r>
      <w:r w:rsidR="001065FE">
        <w:rPr>
          <w:rFonts w:ascii="Garamond" w:hAnsi="Garamond"/>
          <w:sz w:val="22"/>
          <w:szCs w:val="22"/>
        </w:rPr>
        <w:t xml:space="preserve">favorable developments in external sector </w:t>
      </w:r>
      <w:r w:rsidRPr="00626752">
        <w:rPr>
          <w:rFonts w:ascii="Garamond" w:hAnsi="Garamond"/>
          <w:sz w:val="22"/>
          <w:szCs w:val="22"/>
        </w:rPr>
        <w:t>will continue</w:t>
      </w:r>
      <w:r w:rsidR="001065FE">
        <w:rPr>
          <w:rFonts w:ascii="Garamond" w:hAnsi="Garamond"/>
          <w:sz w:val="22"/>
          <w:szCs w:val="22"/>
        </w:rPr>
        <w:t xml:space="preserve"> to contribute positively to the aggregate demand</w:t>
      </w:r>
      <w:r w:rsidRPr="00626752">
        <w:rPr>
          <w:rFonts w:ascii="Garamond" w:hAnsi="Garamond"/>
          <w:sz w:val="22"/>
          <w:szCs w:val="22"/>
        </w:rPr>
        <w:t xml:space="preserve">, under which circumstance the economic growth </w:t>
      </w:r>
      <w:r w:rsidR="001065FE">
        <w:rPr>
          <w:rFonts w:ascii="Garamond" w:hAnsi="Garamond"/>
          <w:sz w:val="22"/>
          <w:szCs w:val="22"/>
        </w:rPr>
        <w:t xml:space="preserve">is predicted in the range of </w:t>
      </w:r>
      <w:r w:rsidR="001065FE" w:rsidRPr="001065FE">
        <w:rPr>
          <w:rFonts w:ascii="Garamond" w:hAnsi="Garamond"/>
          <w:b/>
          <w:sz w:val="22"/>
          <w:szCs w:val="22"/>
        </w:rPr>
        <w:t>4</w:t>
      </w:r>
      <w:r w:rsidRPr="001065FE">
        <w:rPr>
          <w:rFonts w:ascii="Garamond" w:hAnsi="Garamond"/>
          <w:b/>
          <w:sz w:val="22"/>
          <w:szCs w:val="22"/>
        </w:rPr>
        <w:t>.</w:t>
      </w:r>
      <w:r w:rsidR="001065FE" w:rsidRPr="001065FE">
        <w:rPr>
          <w:rFonts w:ascii="Garamond" w:hAnsi="Garamond"/>
          <w:b/>
          <w:sz w:val="22"/>
          <w:szCs w:val="22"/>
        </w:rPr>
        <w:t>7</w:t>
      </w:r>
      <w:r w:rsidRPr="001065FE">
        <w:rPr>
          <w:rFonts w:ascii="Garamond" w:hAnsi="Garamond"/>
          <w:b/>
          <w:sz w:val="22"/>
          <w:szCs w:val="22"/>
        </w:rPr>
        <w:t>-</w:t>
      </w:r>
      <w:r w:rsidR="001065FE" w:rsidRPr="001065FE">
        <w:rPr>
          <w:rFonts w:ascii="Garamond" w:hAnsi="Garamond"/>
          <w:b/>
          <w:sz w:val="22"/>
          <w:szCs w:val="22"/>
        </w:rPr>
        <w:t>5</w:t>
      </w:r>
      <w:r w:rsidRPr="001065FE">
        <w:rPr>
          <w:rFonts w:ascii="Garamond" w:hAnsi="Garamond"/>
          <w:b/>
          <w:sz w:val="22"/>
          <w:szCs w:val="22"/>
        </w:rPr>
        <w:t>.</w:t>
      </w:r>
      <w:r w:rsidR="001065FE" w:rsidRPr="001065FE">
        <w:rPr>
          <w:rFonts w:ascii="Garamond" w:hAnsi="Garamond"/>
          <w:b/>
          <w:sz w:val="22"/>
          <w:szCs w:val="22"/>
        </w:rPr>
        <w:t>8</w:t>
      </w:r>
      <w:r w:rsidRPr="001065FE">
        <w:rPr>
          <w:rFonts w:ascii="Garamond" w:hAnsi="Garamond"/>
          <w:b/>
          <w:sz w:val="22"/>
          <w:szCs w:val="22"/>
        </w:rPr>
        <w:t>%</w:t>
      </w:r>
      <w:r w:rsidR="001065FE">
        <w:rPr>
          <w:rFonts w:ascii="Garamond" w:hAnsi="Garamond"/>
          <w:sz w:val="22"/>
          <w:szCs w:val="22"/>
        </w:rPr>
        <w:t xml:space="preserve"> in 2018</w:t>
      </w:r>
      <w:r w:rsidRPr="00626752">
        <w:rPr>
          <w:rFonts w:ascii="Garamond" w:hAnsi="Garamond"/>
          <w:sz w:val="22"/>
          <w:szCs w:val="22"/>
        </w:rPr>
        <w:t>.</w:t>
      </w:r>
      <w:r w:rsidR="001065FE">
        <w:rPr>
          <w:rFonts w:ascii="Garamond" w:hAnsi="Garamond"/>
          <w:sz w:val="22"/>
          <w:szCs w:val="22"/>
        </w:rPr>
        <w:t xml:space="preserve"> The e</w:t>
      </w:r>
      <w:r w:rsidR="001065FE" w:rsidRPr="001065FE">
        <w:rPr>
          <w:rFonts w:ascii="Garamond" w:hAnsi="Garamond"/>
          <w:sz w:val="22"/>
          <w:szCs w:val="22"/>
        </w:rPr>
        <w:t xml:space="preserve">conomic growth will largely depend on </w:t>
      </w:r>
      <w:r w:rsidR="001065FE">
        <w:rPr>
          <w:rFonts w:ascii="Garamond" w:hAnsi="Garamond"/>
          <w:sz w:val="22"/>
          <w:szCs w:val="22"/>
        </w:rPr>
        <w:t xml:space="preserve">robust private spending and </w:t>
      </w:r>
      <w:r w:rsidR="001065FE" w:rsidRPr="001065FE">
        <w:rPr>
          <w:rFonts w:ascii="Garamond" w:hAnsi="Garamond"/>
          <w:sz w:val="22"/>
          <w:szCs w:val="22"/>
        </w:rPr>
        <w:t>export growth.</w:t>
      </w:r>
    </w:p>
    <w:p w14:paraId="2C95AA28" w14:textId="1224163A" w:rsidR="001065FE" w:rsidRPr="00626752" w:rsidRDefault="001065F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Pr="001065FE">
        <w:rPr>
          <w:rFonts w:ascii="Garamond" w:hAnsi="Garamond"/>
          <w:sz w:val="22"/>
          <w:szCs w:val="22"/>
        </w:rPr>
        <w:t xml:space="preserve">n the medium </w:t>
      </w:r>
      <w:r w:rsidR="00600EDF">
        <w:rPr>
          <w:rFonts w:ascii="Garamond" w:hAnsi="Garamond"/>
          <w:sz w:val="22"/>
          <w:szCs w:val="22"/>
        </w:rPr>
        <w:t>run</w:t>
      </w:r>
      <w:r>
        <w:rPr>
          <w:rFonts w:ascii="Garamond" w:hAnsi="Garamond"/>
          <w:sz w:val="22"/>
          <w:szCs w:val="22"/>
        </w:rPr>
        <w:t xml:space="preserve">, </w:t>
      </w:r>
      <w:r w:rsidRPr="001065FE">
        <w:rPr>
          <w:rFonts w:ascii="Garamond" w:hAnsi="Garamond"/>
          <w:sz w:val="22"/>
          <w:szCs w:val="22"/>
        </w:rPr>
        <w:t xml:space="preserve">economic growth developments are largely determined by the potential of the economy. </w:t>
      </w:r>
      <w:r>
        <w:rPr>
          <w:rFonts w:ascii="Garamond" w:hAnsi="Garamond"/>
          <w:sz w:val="22"/>
          <w:szCs w:val="22"/>
        </w:rPr>
        <w:t>T</w:t>
      </w:r>
      <w:r w:rsidRPr="001065FE">
        <w:rPr>
          <w:rFonts w:ascii="Garamond" w:hAnsi="Garamond"/>
          <w:sz w:val="22"/>
          <w:szCs w:val="22"/>
        </w:rPr>
        <w:t xml:space="preserve">he economic growth is estimated </w:t>
      </w:r>
      <w:r>
        <w:rPr>
          <w:rFonts w:ascii="Garamond" w:hAnsi="Garamond"/>
          <w:sz w:val="22"/>
          <w:szCs w:val="22"/>
        </w:rPr>
        <w:t xml:space="preserve">in the range of </w:t>
      </w:r>
      <w:r w:rsidRPr="001065FE">
        <w:rPr>
          <w:rFonts w:ascii="Garamond" w:hAnsi="Garamond"/>
          <w:b/>
          <w:sz w:val="22"/>
          <w:szCs w:val="22"/>
        </w:rPr>
        <w:t>4.5-5.9%</w:t>
      </w:r>
      <w:r>
        <w:rPr>
          <w:rFonts w:ascii="Garamond" w:hAnsi="Garamond"/>
          <w:sz w:val="22"/>
          <w:szCs w:val="22"/>
        </w:rPr>
        <w:t xml:space="preserve"> in 2019</w:t>
      </w:r>
      <w:r w:rsidRPr="001065FE">
        <w:rPr>
          <w:rFonts w:ascii="Garamond" w:hAnsi="Garamond"/>
          <w:sz w:val="22"/>
          <w:szCs w:val="22"/>
        </w:rPr>
        <w:t xml:space="preserve">, and </w:t>
      </w:r>
      <w:r w:rsidRPr="001065FE">
        <w:rPr>
          <w:rFonts w:ascii="Garamond" w:hAnsi="Garamond"/>
          <w:b/>
          <w:sz w:val="22"/>
          <w:szCs w:val="22"/>
        </w:rPr>
        <w:t>4.4-6.0%</w:t>
      </w:r>
      <w:r>
        <w:rPr>
          <w:rFonts w:ascii="Garamond" w:hAnsi="Garamond"/>
          <w:sz w:val="22"/>
          <w:szCs w:val="22"/>
        </w:rPr>
        <w:t xml:space="preserve"> in </w:t>
      </w:r>
      <w:r w:rsidRPr="001065FE">
        <w:rPr>
          <w:rFonts w:ascii="Garamond" w:hAnsi="Garamond"/>
          <w:sz w:val="22"/>
          <w:szCs w:val="22"/>
        </w:rPr>
        <w:t>2020.</w:t>
      </w:r>
      <w:r w:rsidR="00600EDF">
        <w:rPr>
          <w:rFonts w:ascii="Garamond" w:hAnsi="Garamond"/>
          <w:sz w:val="22"/>
          <w:szCs w:val="22"/>
        </w:rPr>
        <w:t xml:space="preserve"> Such </w:t>
      </w:r>
      <w:r w:rsidR="00600EDF" w:rsidRPr="00626752">
        <w:rPr>
          <w:rFonts w:ascii="Garamond" w:hAnsi="Garamond"/>
          <w:sz w:val="22"/>
          <w:szCs w:val="22"/>
        </w:rPr>
        <w:t>medium-term economic growth</w:t>
      </w:r>
      <w:r w:rsidR="00600EDF">
        <w:rPr>
          <w:rFonts w:ascii="Garamond" w:hAnsi="Garamond"/>
          <w:sz w:val="22"/>
          <w:szCs w:val="22"/>
        </w:rPr>
        <w:t xml:space="preserve"> will depend</w:t>
      </w:r>
      <w:r w:rsidR="00600EDF" w:rsidRPr="00626752">
        <w:rPr>
          <w:rFonts w:ascii="Garamond" w:hAnsi="Garamond"/>
          <w:sz w:val="22"/>
          <w:szCs w:val="22"/>
        </w:rPr>
        <w:t xml:space="preserve"> </w:t>
      </w:r>
      <w:r w:rsidR="00600EDF">
        <w:rPr>
          <w:rFonts w:ascii="Garamond" w:hAnsi="Garamond"/>
          <w:sz w:val="22"/>
          <w:szCs w:val="22"/>
        </w:rPr>
        <w:t xml:space="preserve">not only on the implementation of investment projects, but also </w:t>
      </w:r>
      <w:r w:rsidR="00600EDF" w:rsidRPr="00626752">
        <w:rPr>
          <w:rFonts w:ascii="Garamond" w:hAnsi="Garamond"/>
          <w:sz w:val="22"/>
          <w:szCs w:val="22"/>
        </w:rPr>
        <w:t>on the pace of structural reforms by the Government</w:t>
      </w:r>
      <w:r w:rsidR="00600EDF">
        <w:rPr>
          <w:rFonts w:ascii="Garamond" w:hAnsi="Garamond"/>
          <w:sz w:val="22"/>
          <w:szCs w:val="22"/>
        </w:rPr>
        <w:t xml:space="preserve"> as well as</w:t>
      </w:r>
      <w:r w:rsidR="002878B8">
        <w:rPr>
          <w:rFonts w:ascii="Garamond" w:hAnsi="Garamond"/>
          <w:sz w:val="22"/>
          <w:szCs w:val="22"/>
        </w:rPr>
        <w:t xml:space="preserve"> expected potential</w:t>
      </w:r>
      <w:r w:rsidR="00600EDF">
        <w:rPr>
          <w:rFonts w:ascii="Garamond" w:hAnsi="Garamond"/>
          <w:sz w:val="22"/>
          <w:szCs w:val="22"/>
        </w:rPr>
        <w:t xml:space="preserve"> </w:t>
      </w:r>
      <w:r w:rsidR="00600EDF" w:rsidRPr="00626752">
        <w:rPr>
          <w:rFonts w:ascii="Garamond" w:hAnsi="Garamond"/>
          <w:sz w:val="22"/>
          <w:szCs w:val="22"/>
        </w:rPr>
        <w:t>economic growth in trade partner countries to Armenia.</w:t>
      </w:r>
    </w:p>
    <w:p w14:paraId="04AD8BEA" w14:textId="77777777" w:rsidR="000D42F3"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 xml:space="preserve">External demand: </w:t>
      </w:r>
      <w:r w:rsidR="009D06A5">
        <w:rPr>
          <w:rFonts w:ascii="Garamond" w:hAnsi="Garamond"/>
          <w:sz w:val="22"/>
          <w:szCs w:val="22"/>
        </w:rPr>
        <w:t>I</w:t>
      </w:r>
      <w:r w:rsidR="009D06A5" w:rsidRPr="009D06A5">
        <w:rPr>
          <w:rFonts w:ascii="Garamond" w:hAnsi="Garamond"/>
          <w:sz w:val="22"/>
          <w:szCs w:val="22"/>
        </w:rPr>
        <w:t>n</w:t>
      </w:r>
      <w:r w:rsidR="009D06A5">
        <w:rPr>
          <w:rFonts w:ascii="Garamond" w:hAnsi="Garamond"/>
          <w:sz w:val="22"/>
          <w:szCs w:val="22"/>
        </w:rPr>
        <w:t>creased in</w:t>
      </w:r>
      <w:r w:rsidR="009D06A5" w:rsidRPr="009D06A5">
        <w:rPr>
          <w:rFonts w:ascii="Garamond" w:hAnsi="Garamond"/>
          <w:sz w:val="22"/>
          <w:szCs w:val="22"/>
        </w:rPr>
        <w:t xml:space="preserve">come </w:t>
      </w:r>
      <w:r w:rsidR="009D06A5">
        <w:rPr>
          <w:rFonts w:ascii="Garamond" w:hAnsi="Garamond"/>
          <w:sz w:val="22"/>
          <w:szCs w:val="22"/>
        </w:rPr>
        <w:t xml:space="preserve">in </w:t>
      </w:r>
      <w:r w:rsidR="009D06A5" w:rsidRPr="009D06A5">
        <w:rPr>
          <w:rFonts w:ascii="Garamond" w:hAnsi="Garamond"/>
          <w:sz w:val="22"/>
          <w:szCs w:val="22"/>
        </w:rPr>
        <w:t>partner countries</w:t>
      </w:r>
      <w:r w:rsidR="000D42F3">
        <w:rPr>
          <w:rFonts w:ascii="Garamond" w:hAnsi="Garamond"/>
          <w:sz w:val="22"/>
          <w:szCs w:val="22"/>
        </w:rPr>
        <w:t>, the growth in</w:t>
      </w:r>
      <w:r w:rsidR="009D06A5" w:rsidRPr="009D06A5">
        <w:rPr>
          <w:rFonts w:ascii="Garamond" w:hAnsi="Garamond"/>
          <w:sz w:val="22"/>
          <w:szCs w:val="22"/>
        </w:rPr>
        <w:t xml:space="preserve"> tourism, as well as the Government</w:t>
      </w:r>
      <w:r w:rsidR="000D42F3">
        <w:rPr>
          <w:rFonts w:ascii="Garamond" w:hAnsi="Garamond"/>
          <w:sz w:val="22"/>
          <w:szCs w:val="22"/>
        </w:rPr>
        <w:t xml:space="preserve">-led </w:t>
      </w:r>
      <w:r w:rsidR="009D06A5" w:rsidRPr="009D06A5">
        <w:rPr>
          <w:rFonts w:ascii="Garamond" w:hAnsi="Garamond"/>
          <w:sz w:val="22"/>
          <w:szCs w:val="22"/>
        </w:rPr>
        <w:t>export promotion</w:t>
      </w:r>
      <w:r w:rsidR="000D42F3">
        <w:rPr>
          <w:rFonts w:ascii="Garamond" w:hAnsi="Garamond"/>
          <w:sz w:val="22"/>
          <w:szCs w:val="22"/>
        </w:rPr>
        <w:t xml:space="preserve"> policy all contributed to t</w:t>
      </w:r>
      <w:r w:rsidR="009D06A5" w:rsidRPr="009D06A5">
        <w:rPr>
          <w:rFonts w:ascii="Garamond" w:hAnsi="Garamond"/>
          <w:sz w:val="22"/>
          <w:szCs w:val="22"/>
        </w:rPr>
        <w:t xml:space="preserve">he economic growth </w:t>
      </w:r>
      <w:r w:rsidR="000D42F3">
        <w:rPr>
          <w:rFonts w:ascii="Garamond" w:hAnsi="Garamond"/>
          <w:sz w:val="22"/>
          <w:szCs w:val="22"/>
        </w:rPr>
        <w:t xml:space="preserve">in 2017. </w:t>
      </w:r>
      <w:r w:rsidR="009D06A5" w:rsidRPr="009D06A5">
        <w:rPr>
          <w:rFonts w:ascii="Garamond" w:hAnsi="Garamond"/>
          <w:sz w:val="22"/>
          <w:szCs w:val="22"/>
        </w:rPr>
        <w:t xml:space="preserve">However, </w:t>
      </w:r>
      <w:r w:rsidR="000D42F3">
        <w:rPr>
          <w:rFonts w:ascii="Garamond" w:hAnsi="Garamond"/>
          <w:sz w:val="22"/>
          <w:szCs w:val="22"/>
        </w:rPr>
        <w:t xml:space="preserve">contribution of </w:t>
      </w:r>
      <w:r w:rsidR="009D06A5" w:rsidRPr="009D06A5">
        <w:rPr>
          <w:rFonts w:ascii="Garamond" w:hAnsi="Garamond"/>
          <w:sz w:val="22"/>
          <w:szCs w:val="22"/>
        </w:rPr>
        <w:t xml:space="preserve">net export </w:t>
      </w:r>
      <w:r w:rsidR="000D42F3">
        <w:rPr>
          <w:rFonts w:ascii="Garamond" w:hAnsi="Garamond"/>
          <w:sz w:val="22"/>
          <w:szCs w:val="22"/>
        </w:rPr>
        <w:t xml:space="preserve">to </w:t>
      </w:r>
      <w:r w:rsidR="009D06A5" w:rsidRPr="009D06A5">
        <w:rPr>
          <w:rFonts w:ascii="Garamond" w:hAnsi="Garamond"/>
          <w:sz w:val="22"/>
          <w:szCs w:val="22"/>
        </w:rPr>
        <w:t xml:space="preserve">economic growth is </w:t>
      </w:r>
      <w:r w:rsidR="000D42F3">
        <w:rPr>
          <w:rFonts w:ascii="Garamond" w:hAnsi="Garamond"/>
          <w:sz w:val="22"/>
          <w:szCs w:val="22"/>
        </w:rPr>
        <w:t xml:space="preserve">estimated </w:t>
      </w:r>
      <w:r w:rsidR="009D06A5" w:rsidRPr="009D06A5">
        <w:rPr>
          <w:rFonts w:ascii="Garamond" w:hAnsi="Garamond"/>
          <w:sz w:val="22"/>
          <w:szCs w:val="22"/>
        </w:rPr>
        <w:t xml:space="preserve">negative </w:t>
      </w:r>
      <w:r w:rsidR="000D42F3">
        <w:rPr>
          <w:rFonts w:ascii="Garamond" w:hAnsi="Garamond"/>
          <w:sz w:val="22"/>
          <w:szCs w:val="22"/>
        </w:rPr>
        <w:t>since</w:t>
      </w:r>
      <w:r w:rsidR="009D06A5" w:rsidRPr="009D06A5">
        <w:rPr>
          <w:rFonts w:ascii="Garamond" w:hAnsi="Garamond"/>
          <w:sz w:val="22"/>
          <w:szCs w:val="22"/>
        </w:rPr>
        <w:t xml:space="preserve"> </w:t>
      </w:r>
      <w:r w:rsidR="000D42F3">
        <w:rPr>
          <w:rFonts w:ascii="Garamond" w:hAnsi="Garamond"/>
          <w:sz w:val="22"/>
          <w:szCs w:val="22"/>
        </w:rPr>
        <w:t xml:space="preserve">the </w:t>
      </w:r>
      <w:r w:rsidR="009D06A5" w:rsidRPr="009D06A5">
        <w:rPr>
          <w:rFonts w:ascii="Garamond" w:hAnsi="Garamond"/>
          <w:sz w:val="22"/>
          <w:szCs w:val="22"/>
        </w:rPr>
        <w:t xml:space="preserve">growth in consumption and investment in the domestic economy has been </w:t>
      </w:r>
      <w:r w:rsidR="000D42F3">
        <w:rPr>
          <w:rFonts w:ascii="Garamond" w:hAnsi="Garamond"/>
          <w:sz w:val="22"/>
          <w:szCs w:val="22"/>
        </w:rPr>
        <w:t xml:space="preserve">concurrent with </w:t>
      </w:r>
      <w:r w:rsidR="009D06A5" w:rsidRPr="009D06A5">
        <w:rPr>
          <w:rFonts w:ascii="Garamond" w:hAnsi="Garamond"/>
          <w:sz w:val="22"/>
          <w:szCs w:val="22"/>
        </w:rPr>
        <w:t>a significant increase in import</w:t>
      </w:r>
      <w:r w:rsidR="000D42F3">
        <w:rPr>
          <w:rFonts w:ascii="Garamond" w:hAnsi="Garamond"/>
          <w:sz w:val="22"/>
          <w:szCs w:val="22"/>
        </w:rPr>
        <w:t xml:space="preserve"> volumes</w:t>
      </w:r>
      <w:r w:rsidR="009D06A5" w:rsidRPr="009D06A5">
        <w:rPr>
          <w:rFonts w:ascii="Garamond" w:hAnsi="Garamond"/>
          <w:sz w:val="22"/>
          <w:szCs w:val="22"/>
        </w:rPr>
        <w:t>.</w:t>
      </w:r>
      <w:r w:rsidR="000D42F3">
        <w:rPr>
          <w:rFonts w:ascii="Garamond" w:hAnsi="Garamond"/>
          <w:sz w:val="22"/>
          <w:szCs w:val="22"/>
        </w:rPr>
        <w:t xml:space="preserve"> </w:t>
      </w:r>
    </w:p>
    <w:p w14:paraId="10DD3926" w14:textId="77777777" w:rsidR="000D42F3" w:rsidRDefault="000D42F3"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previous year’s negative contribution of net export to real GDP will </w:t>
      </w:r>
      <w:r w:rsidR="00120B61">
        <w:rPr>
          <w:rFonts w:ascii="Garamond" w:hAnsi="Garamond"/>
          <w:sz w:val="22"/>
          <w:szCs w:val="22"/>
        </w:rPr>
        <w:t>phase out to some extent</w:t>
      </w:r>
      <w:r>
        <w:rPr>
          <w:rFonts w:ascii="Garamond" w:hAnsi="Garamond"/>
          <w:sz w:val="22"/>
          <w:szCs w:val="22"/>
        </w:rPr>
        <w:t xml:space="preserve"> </w:t>
      </w:r>
      <w:r w:rsidRPr="00626752">
        <w:rPr>
          <w:rFonts w:ascii="Garamond" w:hAnsi="Garamond"/>
          <w:sz w:val="22"/>
          <w:szCs w:val="22"/>
        </w:rPr>
        <w:t>during 2018</w:t>
      </w:r>
      <w:r w:rsidR="00A640EA">
        <w:rPr>
          <w:rFonts w:ascii="Garamond" w:hAnsi="Garamond"/>
          <w:sz w:val="22"/>
          <w:szCs w:val="22"/>
        </w:rPr>
        <w:t xml:space="preserve">, </w:t>
      </w:r>
      <w:r w:rsidR="00A640EA" w:rsidRPr="00A640EA">
        <w:rPr>
          <w:rFonts w:ascii="Garamond" w:hAnsi="Garamond"/>
          <w:sz w:val="22"/>
          <w:szCs w:val="22"/>
        </w:rPr>
        <w:t xml:space="preserve">as was </w:t>
      </w:r>
      <w:r w:rsidR="00A640EA">
        <w:rPr>
          <w:rFonts w:ascii="Garamond" w:hAnsi="Garamond"/>
          <w:sz w:val="22"/>
          <w:szCs w:val="22"/>
        </w:rPr>
        <w:t>estimated</w:t>
      </w:r>
      <w:r w:rsidR="00A640EA" w:rsidRPr="00A640EA">
        <w:rPr>
          <w:rFonts w:ascii="Garamond" w:hAnsi="Garamond"/>
          <w:sz w:val="22"/>
          <w:szCs w:val="22"/>
        </w:rPr>
        <w:t xml:space="preserve"> in the previous quarter.</w:t>
      </w:r>
      <w:r w:rsidRPr="00626752">
        <w:rPr>
          <w:rFonts w:ascii="Garamond" w:hAnsi="Garamond"/>
          <w:sz w:val="22"/>
          <w:szCs w:val="22"/>
        </w:rPr>
        <w:t xml:space="preserve"> </w:t>
      </w:r>
      <w:r w:rsidR="006909DE">
        <w:rPr>
          <w:rFonts w:ascii="Garamond" w:hAnsi="Garamond"/>
          <w:sz w:val="22"/>
          <w:szCs w:val="22"/>
        </w:rPr>
        <w:t>The r</w:t>
      </w:r>
      <w:r w:rsidR="006909DE" w:rsidRPr="006909DE">
        <w:rPr>
          <w:rFonts w:ascii="Garamond" w:hAnsi="Garamond"/>
          <w:sz w:val="22"/>
          <w:szCs w:val="22"/>
        </w:rPr>
        <w:t xml:space="preserve">eal growth of import of goods and services is </w:t>
      </w:r>
      <w:r w:rsidR="006909DE">
        <w:rPr>
          <w:rFonts w:ascii="Garamond" w:hAnsi="Garamond"/>
          <w:sz w:val="22"/>
          <w:szCs w:val="22"/>
        </w:rPr>
        <w:t xml:space="preserve">forecast in </w:t>
      </w:r>
      <w:r w:rsidR="006909DE" w:rsidRPr="00BD6307">
        <w:rPr>
          <w:rFonts w:ascii="Garamond" w:hAnsi="Garamond"/>
          <w:sz w:val="22"/>
          <w:szCs w:val="22"/>
        </w:rPr>
        <w:t>the range of 6.0-8.0%. The real growth of export of goods and services has been revised upside</w:t>
      </w:r>
      <w:r w:rsidR="00BD6307" w:rsidRPr="00BD6307">
        <w:rPr>
          <w:rFonts w:ascii="Garamond" w:hAnsi="Garamond"/>
          <w:sz w:val="22"/>
          <w:szCs w:val="22"/>
        </w:rPr>
        <w:t xml:space="preserve"> thanks to </w:t>
      </w:r>
      <w:r w:rsidR="006909DE" w:rsidRPr="00BD6307">
        <w:rPr>
          <w:rFonts w:ascii="Garamond" w:hAnsi="Garamond"/>
          <w:sz w:val="22"/>
          <w:szCs w:val="22"/>
        </w:rPr>
        <w:t xml:space="preserve">positive developments in </w:t>
      </w:r>
      <w:r w:rsidR="00BD6307">
        <w:rPr>
          <w:rFonts w:ascii="Garamond" w:hAnsi="Garamond"/>
          <w:sz w:val="22"/>
          <w:szCs w:val="22"/>
        </w:rPr>
        <w:t xml:space="preserve">global </w:t>
      </w:r>
      <w:r w:rsidR="006909DE" w:rsidRPr="00BD6307">
        <w:rPr>
          <w:rFonts w:ascii="Garamond" w:hAnsi="Garamond"/>
          <w:sz w:val="22"/>
          <w:szCs w:val="22"/>
        </w:rPr>
        <w:t xml:space="preserve">economic growth, </w:t>
      </w:r>
      <w:r w:rsidR="00BD6307">
        <w:rPr>
          <w:rFonts w:ascii="Garamond" w:hAnsi="Garamond"/>
          <w:sz w:val="22"/>
          <w:szCs w:val="22"/>
        </w:rPr>
        <w:t xml:space="preserve">in which case the real growth of </w:t>
      </w:r>
      <w:r w:rsidR="006909DE" w:rsidRPr="00BD6307">
        <w:rPr>
          <w:rFonts w:ascii="Garamond" w:hAnsi="Garamond"/>
          <w:sz w:val="22"/>
          <w:szCs w:val="22"/>
        </w:rPr>
        <w:t xml:space="preserve">export of goods and services </w:t>
      </w:r>
      <w:r w:rsidR="00BD6307">
        <w:rPr>
          <w:rFonts w:ascii="Garamond" w:hAnsi="Garamond"/>
          <w:sz w:val="22"/>
          <w:szCs w:val="22"/>
        </w:rPr>
        <w:t>in</w:t>
      </w:r>
      <w:r w:rsidR="006909DE" w:rsidRPr="006909DE">
        <w:rPr>
          <w:rFonts w:ascii="Garamond" w:hAnsi="Garamond"/>
          <w:sz w:val="22"/>
          <w:szCs w:val="22"/>
        </w:rPr>
        <w:t xml:space="preserve"> 2018 will be in the range </w:t>
      </w:r>
      <w:r w:rsidR="00BD6307">
        <w:rPr>
          <w:rFonts w:ascii="Garamond" w:hAnsi="Garamond"/>
          <w:sz w:val="22"/>
          <w:szCs w:val="22"/>
        </w:rPr>
        <w:t xml:space="preserve">of </w:t>
      </w:r>
      <w:r w:rsidR="006909DE" w:rsidRPr="006909DE">
        <w:rPr>
          <w:rFonts w:ascii="Garamond" w:hAnsi="Garamond"/>
          <w:sz w:val="22"/>
          <w:szCs w:val="22"/>
        </w:rPr>
        <w:t>9.0-11.0%.</w:t>
      </w:r>
      <w:r w:rsidR="00BD6307">
        <w:rPr>
          <w:rFonts w:ascii="Garamond" w:hAnsi="Garamond"/>
          <w:sz w:val="22"/>
          <w:szCs w:val="22"/>
        </w:rPr>
        <w:t xml:space="preserve"> </w:t>
      </w:r>
      <w:r w:rsidRPr="00626752">
        <w:rPr>
          <w:rFonts w:ascii="Garamond" w:hAnsi="Garamond"/>
          <w:sz w:val="22"/>
          <w:szCs w:val="22"/>
        </w:rPr>
        <w:t xml:space="preserve">Growth of money transfers </w:t>
      </w:r>
      <w:r w:rsidR="00DD2190">
        <w:rPr>
          <w:rFonts w:ascii="Garamond" w:hAnsi="Garamond"/>
          <w:sz w:val="22"/>
          <w:szCs w:val="22"/>
        </w:rPr>
        <w:t xml:space="preserve">has also been revised upside to be </w:t>
      </w:r>
      <w:r w:rsidRPr="00626752">
        <w:rPr>
          <w:rFonts w:ascii="Garamond" w:hAnsi="Garamond"/>
          <w:sz w:val="22"/>
          <w:szCs w:val="22"/>
        </w:rPr>
        <w:t xml:space="preserve">commensurate with </w:t>
      </w:r>
      <w:r>
        <w:rPr>
          <w:rFonts w:ascii="Garamond" w:hAnsi="Garamond"/>
          <w:sz w:val="22"/>
          <w:szCs w:val="22"/>
        </w:rPr>
        <w:t xml:space="preserve">the scenario of </w:t>
      </w:r>
      <w:r w:rsidR="00DD2190">
        <w:rPr>
          <w:rFonts w:ascii="Garamond" w:hAnsi="Garamond"/>
          <w:sz w:val="22"/>
          <w:szCs w:val="22"/>
        </w:rPr>
        <w:t xml:space="preserve">the ruble appreciation </w:t>
      </w:r>
      <w:r w:rsidRPr="00626752">
        <w:rPr>
          <w:rFonts w:ascii="Garamond" w:hAnsi="Garamond"/>
          <w:sz w:val="22"/>
          <w:szCs w:val="22"/>
        </w:rPr>
        <w:t xml:space="preserve">and </w:t>
      </w:r>
      <w:r w:rsidR="00BE10FA">
        <w:rPr>
          <w:rFonts w:ascii="Garamond" w:hAnsi="Garamond"/>
          <w:sz w:val="22"/>
          <w:szCs w:val="22"/>
        </w:rPr>
        <w:t>estimated economic growth in Russia;</w:t>
      </w:r>
      <w:r>
        <w:rPr>
          <w:rFonts w:ascii="Garamond" w:hAnsi="Garamond"/>
          <w:sz w:val="22"/>
          <w:szCs w:val="22"/>
        </w:rPr>
        <w:t xml:space="preserve"> in </w:t>
      </w:r>
      <w:r w:rsidR="00BE10FA">
        <w:rPr>
          <w:rFonts w:ascii="Garamond" w:hAnsi="Garamond"/>
          <w:sz w:val="22"/>
          <w:szCs w:val="22"/>
        </w:rPr>
        <w:t>this case,</w:t>
      </w:r>
      <w:r>
        <w:rPr>
          <w:rFonts w:ascii="Garamond" w:hAnsi="Garamond"/>
          <w:sz w:val="22"/>
          <w:szCs w:val="22"/>
        </w:rPr>
        <w:t xml:space="preserve"> </w:t>
      </w:r>
      <w:r w:rsidRPr="00626752">
        <w:rPr>
          <w:rFonts w:ascii="Garamond" w:hAnsi="Garamond"/>
          <w:sz w:val="22"/>
          <w:szCs w:val="22"/>
        </w:rPr>
        <w:t xml:space="preserve">net growth </w:t>
      </w:r>
      <w:r>
        <w:rPr>
          <w:rFonts w:ascii="Garamond" w:hAnsi="Garamond"/>
          <w:sz w:val="22"/>
          <w:szCs w:val="22"/>
        </w:rPr>
        <w:t xml:space="preserve">will be anticipated </w:t>
      </w:r>
      <w:r w:rsidR="00BE10FA">
        <w:rPr>
          <w:rFonts w:ascii="Garamond" w:hAnsi="Garamond"/>
          <w:sz w:val="22"/>
          <w:szCs w:val="22"/>
        </w:rPr>
        <w:t>between 7.0-9</w:t>
      </w:r>
      <w:r w:rsidRPr="00626752">
        <w:rPr>
          <w:rFonts w:ascii="Garamond" w:hAnsi="Garamond"/>
          <w:sz w:val="22"/>
          <w:szCs w:val="22"/>
        </w:rPr>
        <w:t xml:space="preserve">.0%. As a result, the current account will </w:t>
      </w:r>
      <w:r w:rsidR="00CB5322">
        <w:rPr>
          <w:rFonts w:ascii="Garamond" w:hAnsi="Garamond"/>
          <w:sz w:val="22"/>
          <w:szCs w:val="22"/>
        </w:rPr>
        <w:t>remain at the</w:t>
      </w:r>
      <w:r w:rsidRPr="00626752">
        <w:rPr>
          <w:rFonts w:ascii="Garamond" w:hAnsi="Garamond"/>
          <w:sz w:val="22"/>
          <w:szCs w:val="22"/>
        </w:rPr>
        <w:t xml:space="preserve"> medium-term equilibrium of 3%.</w:t>
      </w:r>
    </w:p>
    <w:p w14:paraId="11E60F92" w14:textId="77777777" w:rsidR="00CB7189"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lastRenderedPageBreak/>
        <w:t>Fiscal policy:</w:t>
      </w:r>
      <w:r w:rsidRPr="00626752">
        <w:rPr>
          <w:rFonts w:ascii="Garamond" w:hAnsi="Garamond"/>
          <w:sz w:val="22"/>
          <w:szCs w:val="22"/>
        </w:rPr>
        <w:t xml:space="preserve"> </w:t>
      </w:r>
      <w:r w:rsidR="00CB5322">
        <w:rPr>
          <w:rFonts w:ascii="Garamond" w:hAnsi="Garamond"/>
          <w:sz w:val="22"/>
          <w:szCs w:val="22"/>
        </w:rPr>
        <w:t>A</w:t>
      </w:r>
      <w:r w:rsidR="00CB5322" w:rsidRPr="00CB5322">
        <w:rPr>
          <w:rFonts w:ascii="Garamond" w:hAnsi="Garamond"/>
          <w:sz w:val="22"/>
          <w:szCs w:val="22"/>
        </w:rPr>
        <w:t xml:space="preserve">ctual developments in the fiscal sector </w:t>
      </w:r>
      <w:r w:rsidR="00CB5322">
        <w:rPr>
          <w:rFonts w:ascii="Garamond" w:hAnsi="Garamond"/>
          <w:sz w:val="22"/>
          <w:szCs w:val="22"/>
        </w:rPr>
        <w:t xml:space="preserve">in 2017 </w:t>
      </w:r>
      <w:r w:rsidR="00CB5322" w:rsidRPr="00CB5322">
        <w:rPr>
          <w:rFonts w:ascii="Garamond" w:hAnsi="Garamond"/>
          <w:sz w:val="22"/>
          <w:szCs w:val="22"/>
        </w:rPr>
        <w:t>are in line with the C</w:t>
      </w:r>
      <w:r w:rsidR="00CB5322">
        <w:rPr>
          <w:rFonts w:ascii="Garamond" w:hAnsi="Garamond"/>
          <w:sz w:val="22"/>
          <w:szCs w:val="22"/>
        </w:rPr>
        <w:t xml:space="preserve">entral </w:t>
      </w:r>
      <w:r w:rsidR="00CB5322" w:rsidRPr="00CB5322">
        <w:rPr>
          <w:rFonts w:ascii="Garamond" w:hAnsi="Garamond"/>
          <w:sz w:val="22"/>
          <w:szCs w:val="22"/>
        </w:rPr>
        <w:t>B</w:t>
      </w:r>
      <w:r w:rsidR="00CB5322">
        <w:rPr>
          <w:rFonts w:ascii="Garamond" w:hAnsi="Garamond"/>
          <w:sz w:val="22"/>
          <w:szCs w:val="22"/>
        </w:rPr>
        <w:t xml:space="preserve">ank </w:t>
      </w:r>
      <w:r w:rsidR="00CB5322" w:rsidRPr="00CB5322">
        <w:rPr>
          <w:rFonts w:ascii="Garamond" w:hAnsi="Garamond"/>
          <w:sz w:val="22"/>
          <w:szCs w:val="22"/>
        </w:rPr>
        <w:t xml:space="preserve">forecasts </w:t>
      </w:r>
      <w:r w:rsidR="00CB5322">
        <w:rPr>
          <w:rFonts w:ascii="Garamond" w:hAnsi="Garamond"/>
          <w:sz w:val="22"/>
          <w:szCs w:val="22"/>
        </w:rPr>
        <w:t xml:space="preserve">outlined in the </w:t>
      </w:r>
      <w:r w:rsidR="00CB5322" w:rsidRPr="00CB5322">
        <w:rPr>
          <w:rFonts w:ascii="Garamond" w:hAnsi="Garamond"/>
          <w:sz w:val="22"/>
          <w:szCs w:val="22"/>
        </w:rPr>
        <w:t xml:space="preserve">Monetary Policy Program for the fourth quarter. </w:t>
      </w:r>
      <w:r w:rsidR="00CB5322">
        <w:rPr>
          <w:rFonts w:ascii="Garamond" w:hAnsi="Garamond"/>
          <w:sz w:val="22"/>
          <w:szCs w:val="22"/>
        </w:rPr>
        <w:t xml:space="preserve">By the annual results, the </w:t>
      </w:r>
      <w:r w:rsidR="00CB5322" w:rsidRPr="00CB5322">
        <w:rPr>
          <w:rFonts w:ascii="Garamond" w:hAnsi="Garamond"/>
          <w:sz w:val="22"/>
          <w:szCs w:val="22"/>
        </w:rPr>
        <w:t>fiscal policy</w:t>
      </w:r>
      <w:r w:rsidR="00CB5322">
        <w:rPr>
          <w:rFonts w:ascii="Garamond" w:hAnsi="Garamond"/>
          <w:sz w:val="22"/>
          <w:szCs w:val="22"/>
        </w:rPr>
        <w:t xml:space="preserve">’s impact was </w:t>
      </w:r>
      <w:r w:rsidR="00CB5322" w:rsidRPr="00CB5322">
        <w:rPr>
          <w:rFonts w:ascii="Garamond" w:hAnsi="Garamond"/>
          <w:sz w:val="22"/>
          <w:szCs w:val="22"/>
        </w:rPr>
        <w:t>3.0 p</w:t>
      </w:r>
      <w:r w:rsidR="00CB5322">
        <w:rPr>
          <w:rFonts w:ascii="Garamond" w:hAnsi="Garamond"/>
          <w:sz w:val="22"/>
          <w:szCs w:val="22"/>
        </w:rPr>
        <w:t>p</w:t>
      </w:r>
      <w:r w:rsidR="00CB5322">
        <w:rPr>
          <w:rStyle w:val="FootnoteReference"/>
          <w:rFonts w:ascii="Garamond" w:hAnsi="Garamond"/>
          <w:sz w:val="22"/>
          <w:szCs w:val="22"/>
        </w:rPr>
        <w:footnoteReference w:customMarkFollows="1" w:id="4"/>
        <w:t>5</w:t>
      </w:r>
      <w:r w:rsidR="00CB7189">
        <w:rPr>
          <w:rFonts w:ascii="Garamond" w:hAnsi="Garamond"/>
          <w:sz w:val="22"/>
          <w:szCs w:val="22"/>
        </w:rPr>
        <w:t xml:space="preserve"> contractionary,</w:t>
      </w:r>
      <w:r w:rsidR="00CB5322">
        <w:rPr>
          <w:rFonts w:ascii="Garamond" w:hAnsi="Garamond"/>
          <w:sz w:val="22"/>
          <w:szCs w:val="22"/>
        </w:rPr>
        <w:t xml:space="preserve"> as projected, </w:t>
      </w:r>
      <w:r w:rsidR="00CB7189">
        <w:rPr>
          <w:rFonts w:ascii="Garamond" w:hAnsi="Garamond"/>
          <w:sz w:val="22"/>
          <w:szCs w:val="22"/>
        </w:rPr>
        <w:t xml:space="preserve">determined by a contractionary impact of expenditures. </w:t>
      </w:r>
    </w:p>
    <w:p w14:paraId="0EA820E0" w14:textId="405ABEFD" w:rsidR="00062B75" w:rsidRDefault="00CB7189" w:rsidP="00EE619D">
      <w:pPr>
        <w:autoSpaceDE w:val="0"/>
        <w:autoSpaceDN w:val="0"/>
        <w:adjustRightInd w:val="0"/>
        <w:spacing w:after="120" w:line="360" w:lineRule="auto"/>
        <w:jc w:val="both"/>
        <w:rPr>
          <w:rFonts w:ascii="Garamond" w:hAnsi="Garamond"/>
          <w:sz w:val="22"/>
          <w:szCs w:val="22"/>
        </w:rPr>
      </w:pPr>
      <w:r w:rsidRPr="00CB7189">
        <w:rPr>
          <w:rFonts w:ascii="Garamond" w:hAnsi="Garamond"/>
          <w:sz w:val="22"/>
          <w:szCs w:val="22"/>
        </w:rPr>
        <w:t>Based on the R</w:t>
      </w:r>
      <w:r>
        <w:rPr>
          <w:rFonts w:ascii="Garamond" w:hAnsi="Garamond"/>
          <w:sz w:val="22"/>
          <w:szCs w:val="22"/>
        </w:rPr>
        <w:t xml:space="preserve">epublic of Armenia </w:t>
      </w:r>
      <w:r w:rsidRPr="00CB7189">
        <w:rPr>
          <w:rFonts w:ascii="Garamond" w:hAnsi="Garamond"/>
          <w:sz w:val="22"/>
          <w:szCs w:val="22"/>
        </w:rPr>
        <w:t xml:space="preserve">State Budget 2018 </w:t>
      </w:r>
      <w:r w:rsidR="007E61AF">
        <w:rPr>
          <w:rFonts w:ascii="Garamond" w:hAnsi="Garamond"/>
          <w:sz w:val="22"/>
          <w:szCs w:val="22"/>
        </w:rPr>
        <w:t xml:space="preserve">indicators </w:t>
      </w:r>
      <w:r w:rsidRPr="00CB7189">
        <w:rPr>
          <w:rFonts w:ascii="Garamond" w:hAnsi="Garamond"/>
          <w:sz w:val="22"/>
          <w:szCs w:val="22"/>
        </w:rPr>
        <w:t xml:space="preserve">and the </w:t>
      </w:r>
      <w:r>
        <w:rPr>
          <w:rFonts w:ascii="Garamond" w:hAnsi="Garamond"/>
          <w:sz w:val="22"/>
          <w:szCs w:val="22"/>
        </w:rPr>
        <w:t xml:space="preserve">Central Bank </w:t>
      </w:r>
      <w:r w:rsidRPr="00CB7189">
        <w:rPr>
          <w:rFonts w:ascii="Garamond" w:hAnsi="Garamond"/>
          <w:sz w:val="22"/>
          <w:szCs w:val="22"/>
        </w:rPr>
        <w:t xml:space="preserve">forecasts of the GDP, </w:t>
      </w:r>
      <w:r w:rsidR="007E61AF">
        <w:rPr>
          <w:rFonts w:ascii="Garamond" w:hAnsi="Garamond"/>
          <w:sz w:val="22"/>
          <w:szCs w:val="22"/>
        </w:rPr>
        <w:t xml:space="preserve">in 2018, relative to </w:t>
      </w:r>
      <w:r w:rsidRPr="00CB7189">
        <w:rPr>
          <w:rFonts w:ascii="Garamond" w:hAnsi="Garamond"/>
          <w:sz w:val="22"/>
          <w:szCs w:val="22"/>
        </w:rPr>
        <w:t>2017</w:t>
      </w:r>
      <w:r w:rsidR="007E61AF">
        <w:rPr>
          <w:rStyle w:val="FootnoteReference"/>
          <w:rFonts w:ascii="Garamond" w:hAnsi="Garamond"/>
          <w:sz w:val="22"/>
          <w:szCs w:val="22"/>
        </w:rPr>
        <w:footnoteReference w:customMarkFollows="1" w:id="5"/>
        <w:t>6</w:t>
      </w:r>
      <w:r w:rsidRPr="00CB7189">
        <w:rPr>
          <w:rFonts w:ascii="Garamond" w:hAnsi="Garamond"/>
          <w:sz w:val="22"/>
          <w:szCs w:val="22"/>
        </w:rPr>
        <w:t xml:space="preserve">, </w:t>
      </w:r>
      <w:r w:rsidR="007E61AF">
        <w:rPr>
          <w:rFonts w:ascii="Garamond" w:hAnsi="Garamond"/>
          <w:sz w:val="22"/>
          <w:szCs w:val="22"/>
        </w:rPr>
        <w:t>the Revenue-to-GDP ratio is expected to increase by 0.1 pp and the Expenditures-to-</w:t>
      </w:r>
      <w:r w:rsidRPr="00CB7189">
        <w:rPr>
          <w:rFonts w:ascii="Garamond" w:hAnsi="Garamond"/>
          <w:sz w:val="22"/>
          <w:szCs w:val="22"/>
        </w:rPr>
        <w:t xml:space="preserve">GDP </w:t>
      </w:r>
      <w:r w:rsidR="007E61AF">
        <w:rPr>
          <w:rFonts w:ascii="Garamond" w:hAnsi="Garamond"/>
          <w:sz w:val="22"/>
          <w:szCs w:val="22"/>
        </w:rPr>
        <w:t xml:space="preserve">ratio to decrease by </w:t>
      </w:r>
      <w:r w:rsidRPr="00CB7189">
        <w:rPr>
          <w:rFonts w:ascii="Garamond" w:hAnsi="Garamond"/>
          <w:sz w:val="22"/>
          <w:szCs w:val="22"/>
        </w:rPr>
        <w:t>2.1 p</w:t>
      </w:r>
      <w:r w:rsidR="007E61AF">
        <w:rPr>
          <w:rFonts w:ascii="Garamond" w:hAnsi="Garamond"/>
          <w:sz w:val="22"/>
          <w:szCs w:val="22"/>
        </w:rPr>
        <w:t xml:space="preserve">p., </w:t>
      </w:r>
      <w:r w:rsidR="00062B75" w:rsidRPr="00062B75">
        <w:rPr>
          <w:rFonts w:ascii="Garamond" w:hAnsi="Garamond"/>
          <w:sz w:val="22"/>
          <w:szCs w:val="22"/>
        </w:rPr>
        <w:t>It should be noted that the reduction of the shadow economy and tax reform</w:t>
      </w:r>
      <w:r w:rsidR="00062B75">
        <w:rPr>
          <w:rFonts w:ascii="Garamond" w:hAnsi="Garamond"/>
          <w:sz w:val="22"/>
          <w:szCs w:val="22"/>
        </w:rPr>
        <w:t>s</w:t>
      </w:r>
      <w:r w:rsidR="00062B75" w:rsidRPr="00062B75">
        <w:rPr>
          <w:rFonts w:ascii="Garamond" w:hAnsi="Garamond"/>
          <w:sz w:val="22"/>
          <w:szCs w:val="22"/>
        </w:rPr>
        <w:t xml:space="preserve"> in 2018 will neutralize each other by maintaining the same level of taxes / GDP as in 2017.</w:t>
      </w:r>
    </w:p>
    <w:p w14:paraId="2F49310B" w14:textId="77777777" w:rsidR="003B2697" w:rsidRDefault="00E56598"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There is expectation that i</w:t>
      </w:r>
      <w:r w:rsidR="00B77A00">
        <w:rPr>
          <w:rFonts w:ascii="Garamond" w:hAnsi="Garamond"/>
          <w:sz w:val="22"/>
          <w:szCs w:val="22"/>
        </w:rPr>
        <w:t>n 2018</w:t>
      </w:r>
      <w:r w:rsidR="00B77A00">
        <w:rPr>
          <w:rStyle w:val="FootnoteReference"/>
          <w:rFonts w:ascii="Garamond" w:hAnsi="Garamond"/>
          <w:sz w:val="22"/>
          <w:szCs w:val="22"/>
        </w:rPr>
        <w:footnoteReference w:customMarkFollows="1" w:id="6"/>
        <w:t>7</w:t>
      </w:r>
      <w:r>
        <w:rPr>
          <w:rFonts w:ascii="Garamond" w:hAnsi="Garamond"/>
          <w:sz w:val="22"/>
          <w:szCs w:val="22"/>
        </w:rPr>
        <w:t xml:space="preserve">, </w:t>
      </w:r>
      <w:r w:rsidR="00B77A00">
        <w:rPr>
          <w:rFonts w:ascii="Garamond" w:hAnsi="Garamond"/>
          <w:sz w:val="22"/>
          <w:szCs w:val="22"/>
        </w:rPr>
        <w:t xml:space="preserve">relative to </w:t>
      </w:r>
      <w:r w:rsidR="00B77A00" w:rsidRPr="00CB7189">
        <w:rPr>
          <w:rFonts w:ascii="Garamond" w:hAnsi="Garamond"/>
          <w:sz w:val="22"/>
          <w:szCs w:val="22"/>
        </w:rPr>
        <w:t>2017</w:t>
      </w:r>
      <w:r w:rsidR="00B77A00">
        <w:rPr>
          <w:rFonts w:ascii="Garamond" w:hAnsi="Garamond"/>
          <w:sz w:val="22"/>
          <w:szCs w:val="22"/>
        </w:rPr>
        <w:t xml:space="preserve">, </w:t>
      </w:r>
      <w:r w:rsidR="003F6D4A">
        <w:rPr>
          <w:rFonts w:ascii="Garamond" w:hAnsi="Garamond"/>
          <w:sz w:val="22"/>
          <w:szCs w:val="22"/>
        </w:rPr>
        <w:t>the d</w:t>
      </w:r>
      <w:r>
        <w:rPr>
          <w:rFonts w:ascii="Garamond" w:hAnsi="Garamond"/>
          <w:sz w:val="22"/>
          <w:szCs w:val="22"/>
        </w:rPr>
        <w:t xml:space="preserve">eficit-to-GDP ratio will drop by 2.2 pp to 2.6%. The deficit reduction notwithstanding, the </w:t>
      </w:r>
      <w:r w:rsidRPr="00E56598">
        <w:rPr>
          <w:rFonts w:ascii="Garamond" w:hAnsi="Garamond"/>
          <w:sz w:val="22"/>
          <w:szCs w:val="22"/>
        </w:rPr>
        <w:t xml:space="preserve">2018 </w:t>
      </w:r>
      <w:r>
        <w:rPr>
          <w:rFonts w:ascii="Garamond" w:hAnsi="Garamond"/>
          <w:sz w:val="22"/>
          <w:szCs w:val="22"/>
        </w:rPr>
        <w:t>fiscal policy’s impact on aggregate demand will amount to 0.9 pp expansionary, in comparison with 2017, which is totally due to an expansionary impact of expenditures and of net lending</w:t>
      </w:r>
      <w:r>
        <w:rPr>
          <w:rStyle w:val="FootnoteReference"/>
          <w:rFonts w:ascii="Garamond" w:hAnsi="Garamond"/>
          <w:sz w:val="22"/>
          <w:szCs w:val="22"/>
        </w:rPr>
        <w:footnoteReference w:customMarkFollows="1" w:id="7"/>
        <w:t>8</w:t>
      </w:r>
      <w:r>
        <w:rPr>
          <w:rFonts w:ascii="Garamond" w:hAnsi="Garamond"/>
          <w:sz w:val="22"/>
          <w:szCs w:val="22"/>
        </w:rPr>
        <w:t>.</w:t>
      </w:r>
      <w:r w:rsidRPr="00E56598">
        <w:rPr>
          <w:rFonts w:ascii="Garamond" w:hAnsi="Garamond"/>
          <w:sz w:val="22"/>
          <w:szCs w:val="22"/>
        </w:rPr>
        <w:t xml:space="preserve"> </w:t>
      </w:r>
      <w:r w:rsidR="003B2697">
        <w:rPr>
          <w:rFonts w:ascii="Garamond" w:hAnsi="Garamond"/>
          <w:sz w:val="22"/>
          <w:szCs w:val="22"/>
        </w:rPr>
        <w:t xml:space="preserve">The </w:t>
      </w:r>
      <w:r w:rsidRPr="00E56598">
        <w:rPr>
          <w:rFonts w:ascii="Garamond" w:hAnsi="Garamond"/>
          <w:sz w:val="22"/>
          <w:szCs w:val="22"/>
        </w:rPr>
        <w:t>expan</w:t>
      </w:r>
      <w:r w:rsidR="003B2697">
        <w:rPr>
          <w:rFonts w:ascii="Garamond" w:hAnsi="Garamond"/>
          <w:sz w:val="22"/>
          <w:szCs w:val="22"/>
        </w:rPr>
        <w:t xml:space="preserve">sionary </w:t>
      </w:r>
      <w:r w:rsidRPr="00E56598">
        <w:rPr>
          <w:rFonts w:ascii="Garamond" w:hAnsi="Garamond"/>
          <w:sz w:val="22"/>
          <w:szCs w:val="22"/>
        </w:rPr>
        <w:t xml:space="preserve">effects will be </w:t>
      </w:r>
      <w:r w:rsidR="003B2697">
        <w:rPr>
          <w:rFonts w:ascii="Garamond" w:hAnsi="Garamond"/>
          <w:sz w:val="22"/>
          <w:szCs w:val="22"/>
        </w:rPr>
        <w:t xml:space="preserve">observable in </w:t>
      </w:r>
      <w:r w:rsidRPr="00E56598">
        <w:rPr>
          <w:rFonts w:ascii="Garamond" w:hAnsi="Garamond"/>
          <w:sz w:val="22"/>
          <w:szCs w:val="22"/>
        </w:rPr>
        <w:t>the first three quarters of the year.</w:t>
      </w:r>
      <w:r w:rsidR="00F254B6">
        <w:rPr>
          <w:rFonts w:ascii="Garamond" w:hAnsi="Garamond"/>
          <w:sz w:val="22"/>
          <w:szCs w:val="22"/>
        </w:rPr>
        <w:t xml:space="preserve"> </w:t>
      </w:r>
    </w:p>
    <w:p w14:paraId="18C43B03" w14:textId="46DCE935" w:rsidR="00062B75" w:rsidRDefault="00062B75" w:rsidP="00EE619D">
      <w:pPr>
        <w:autoSpaceDE w:val="0"/>
        <w:autoSpaceDN w:val="0"/>
        <w:adjustRightInd w:val="0"/>
        <w:spacing w:after="120" w:line="360" w:lineRule="auto"/>
        <w:jc w:val="both"/>
        <w:rPr>
          <w:rFonts w:ascii="Garamond" w:hAnsi="Garamond"/>
          <w:sz w:val="22"/>
          <w:szCs w:val="22"/>
        </w:rPr>
      </w:pPr>
      <w:r w:rsidRPr="00062B75">
        <w:rPr>
          <w:rFonts w:ascii="Garamond" w:hAnsi="Garamond"/>
          <w:sz w:val="22"/>
          <w:szCs w:val="22"/>
        </w:rPr>
        <w:t>2019-2020 the impact of fiscal policy in the CB forecasts was not observed</w:t>
      </w:r>
      <w:r>
        <w:rPr>
          <w:rFonts w:ascii="Garamond" w:hAnsi="Garamond"/>
          <w:sz w:val="22"/>
          <w:szCs w:val="22"/>
        </w:rPr>
        <w:t>.</w:t>
      </w:r>
    </w:p>
    <w:p w14:paraId="25EB3203" w14:textId="77777777" w:rsidR="00EE619D" w:rsidRPr="00626752"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 xml:space="preserve">Labor market: </w:t>
      </w:r>
      <w:r w:rsidR="00E31B2F" w:rsidRPr="00E31B2F">
        <w:rPr>
          <w:rFonts w:ascii="Garamond" w:hAnsi="Garamond"/>
          <w:sz w:val="22"/>
          <w:szCs w:val="22"/>
        </w:rPr>
        <w:t xml:space="preserve">In 2018 </w:t>
      </w:r>
      <w:r w:rsidR="00E31B2F">
        <w:rPr>
          <w:rFonts w:ascii="Garamond" w:hAnsi="Garamond"/>
          <w:sz w:val="22"/>
          <w:szCs w:val="22"/>
        </w:rPr>
        <w:t>the private sector’</w:t>
      </w:r>
      <w:r w:rsidR="00E31B2F" w:rsidRPr="00E31B2F">
        <w:rPr>
          <w:rFonts w:ascii="Garamond" w:hAnsi="Garamond"/>
          <w:sz w:val="22"/>
          <w:szCs w:val="22"/>
        </w:rPr>
        <w:t>s nominal wage</w:t>
      </w:r>
      <w:r w:rsidR="00E31B2F">
        <w:rPr>
          <w:rStyle w:val="FootnoteReference"/>
          <w:rFonts w:ascii="Garamond" w:hAnsi="Garamond"/>
          <w:sz w:val="22"/>
          <w:szCs w:val="22"/>
        </w:rPr>
        <w:footnoteReference w:customMarkFollows="1" w:id="8"/>
        <w:t>9</w:t>
      </w:r>
      <w:r w:rsidR="00E31B2F">
        <w:rPr>
          <w:rFonts w:ascii="Garamond" w:hAnsi="Garamond"/>
          <w:sz w:val="22"/>
          <w:szCs w:val="22"/>
        </w:rPr>
        <w:t xml:space="preserve"> growth rate will accelerate to </w:t>
      </w:r>
      <w:r w:rsidR="00E31B2F" w:rsidRPr="00E31B2F">
        <w:rPr>
          <w:rFonts w:ascii="Garamond" w:hAnsi="Garamond"/>
          <w:sz w:val="22"/>
          <w:szCs w:val="22"/>
        </w:rPr>
        <w:t xml:space="preserve">about 6.0%. In the medium term, the </w:t>
      </w:r>
      <w:r w:rsidR="00E31B2F">
        <w:rPr>
          <w:rFonts w:ascii="Garamond" w:hAnsi="Garamond"/>
          <w:sz w:val="22"/>
          <w:szCs w:val="22"/>
        </w:rPr>
        <w:t>growth of</w:t>
      </w:r>
      <w:r w:rsidR="00E31B2F" w:rsidRPr="00E31B2F">
        <w:rPr>
          <w:rFonts w:ascii="Garamond" w:hAnsi="Garamond"/>
          <w:sz w:val="22"/>
          <w:szCs w:val="22"/>
        </w:rPr>
        <w:t xml:space="preserve"> nominal wage in the private sector will be consistent with </w:t>
      </w:r>
      <w:r w:rsidR="00E31B2F">
        <w:rPr>
          <w:rFonts w:ascii="Garamond" w:hAnsi="Garamond"/>
          <w:sz w:val="22"/>
          <w:szCs w:val="22"/>
        </w:rPr>
        <w:t>fundamental e</w:t>
      </w:r>
      <w:r w:rsidR="00E31B2F" w:rsidRPr="00E31B2F">
        <w:rPr>
          <w:rFonts w:ascii="Garamond" w:hAnsi="Garamond"/>
          <w:sz w:val="22"/>
          <w:szCs w:val="22"/>
        </w:rPr>
        <w:t>conomic growth and inflation</w:t>
      </w:r>
      <w:r w:rsidR="00E31B2F">
        <w:rPr>
          <w:rFonts w:ascii="Garamond" w:hAnsi="Garamond"/>
          <w:sz w:val="22"/>
          <w:szCs w:val="22"/>
        </w:rPr>
        <w:t xml:space="preserve"> developments. The </w:t>
      </w:r>
      <w:r w:rsidR="00E87583">
        <w:rPr>
          <w:rFonts w:ascii="Garamond" w:hAnsi="Garamond"/>
          <w:sz w:val="22"/>
          <w:szCs w:val="22"/>
        </w:rPr>
        <w:t xml:space="preserve">wage </w:t>
      </w:r>
      <w:r w:rsidR="00E31B2F">
        <w:rPr>
          <w:rFonts w:ascii="Garamond" w:hAnsi="Garamond"/>
          <w:sz w:val="22"/>
          <w:szCs w:val="22"/>
        </w:rPr>
        <w:t xml:space="preserve">growth is forecast to reach </w:t>
      </w:r>
      <w:r w:rsidR="00E31B2F" w:rsidRPr="00E31B2F">
        <w:rPr>
          <w:rFonts w:ascii="Garamond" w:hAnsi="Garamond"/>
          <w:sz w:val="22"/>
          <w:szCs w:val="22"/>
        </w:rPr>
        <w:t>6.4%</w:t>
      </w:r>
      <w:r w:rsidR="00E31B2F">
        <w:rPr>
          <w:rFonts w:ascii="Garamond" w:hAnsi="Garamond"/>
          <w:sz w:val="22"/>
          <w:szCs w:val="22"/>
        </w:rPr>
        <w:t xml:space="preserve"> 2019 and nearly</w:t>
      </w:r>
      <w:r w:rsidR="00E31B2F" w:rsidRPr="00E31B2F">
        <w:rPr>
          <w:rFonts w:ascii="Garamond" w:hAnsi="Garamond"/>
          <w:sz w:val="22"/>
          <w:szCs w:val="22"/>
        </w:rPr>
        <w:t xml:space="preserve"> 7.0%</w:t>
      </w:r>
      <w:r w:rsidR="00E31B2F">
        <w:rPr>
          <w:rFonts w:ascii="Garamond" w:hAnsi="Garamond"/>
          <w:sz w:val="22"/>
          <w:szCs w:val="22"/>
        </w:rPr>
        <w:t xml:space="preserve"> in</w:t>
      </w:r>
      <w:r w:rsidR="00E31B2F" w:rsidRPr="00E31B2F">
        <w:rPr>
          <w:rFonts w:ascii="Garamond" w:hAnsi="Garamond"/>
          <w:sz w:val="22"/>
          <w:szCs w:val="22"/>
        </w:rPr>
        <w:t xml:space="preserve"> 2020.</w:t>
      </w:r>
      <w:r w:rsidR="00E31B2F">
        <w:rPr>
          <w:rFonts w:ascii="Garamond" w:hAnsi="Garamond"/>
          <w:sz w:val="22"/>
          <w:szCs w:val="22"/>
        </w:rPr>
        <w:t xml:space="preserve"> </w:t>
      </w:r>
    </w:p>
    <w:p w14:paraId="4AEA6DB6" w14:textId="77777777" w:rsidR="00EE619D" w:rsidRDefault="00EE619D"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event of such economic growth developments and Government-led investment promotion policy and structural reforms, the rate of unemployment is expected to </w:t>
      </w:r>
      <w:r w:rsidR="00E87583">
        <w:rPr>
          <w:rFonts w:ascii="Garamond" w:hAnsi="Garamond"/>
          <w:sz w:val="22"/>
          <w:szCs w:val="22"/>
        </w:rPr>
        <w:t>amount to 1</w:t>
      </w:r>
      <w:r w:rsidRPr="00626752">
        <w:rPr>
          <w:rFonts w:ascii="Garamond" w:hAnsi="Garamond"/>
          <w:sz w:val="22"/>
          <w:szCs w:val="22"/>
        </w:rPr>
        <w:t>7.</w:t>
      </w:r>
      <w:r w:rsidR="00E87583">
        <w:rPr>
          <w:rFonts w:ascii="Garamond" w:hAnsi="Garamond"/>
          <w:sz w:val="22"/>
          <w:szCs w:val="22"/>
        </w:rPr>
        <w:t>0</w:t>
      </w:r>
      <w:r w:rsidRPr="00626752">
        <w:rPr>
          <w:rFonts w:ascii="Garamond" w:hAnsi="Garamond"/>
          <w:sz w:val="22"/>
          <w:szCs w:val="22"/>
        </w:rPr>
        <w:t>% in 201</w:t>
      </w:r>
      <w:r w:rsidR="00E87583">
        <w:rPr>
          <w:rFonts w:ascii="Garamond" w:hAnsi="Garamond"/>
          <w:sz w:val="22"/>
          <w:szCs w:val="22"/>
        </w:rPr>
        <w:t>8</w:t>
      </w:r>
      <w:r w:rsidRPr="00626752">
        <w:rPr>
          <w:rFonts w:ascii="Garamond" w:hAnsi="Garamond"/>
          <w:sz w:val="22"/>
          <w:szCs w:val="22"/>
        </w:rPr>
        <w:t>, which will gradually decline by 0.3-0.5% annually to reach its mid-term equilibrium at the end of the forecast horizon.</w:t>
      </w:r>
    </w:p>
    <w:p w14:paraId="1E7FCA0B" w14:textId="77777777" w:rsidR="00E87583" w:rsidRPr="00626752" w:rsidRDefault="00E87583" w:rsidP="00EE619D">
      <w:pPr>
        <w:autoSpaceDE w:val="0"/>
        <w:autoSpaceDN w:val="0"/>
        <w:adjustRightInd w:val="0"/>
        <w:spacing w:after="120" w:line="360" w:lineRule="auto"/>
        <w:jc w:val="both"/>
        <w:rPr>
          <w:rFonts w:ascii="Garamond" w:hAnsi="Garamond"/>
          <w:sz w:val="22"/>
          <w:szCs w:val="22"/>
        </w:rPr>
      </w:pPr>
      <w:r w:rsidRPr="00E87583">
        <w:rPr>
          <w:rFonts w:ascii="Garamond" w:hAnsi="Garamond"/>
          <w:sz w:val="22"/>
          <w:szCs w:val="22"/>
        </w:rPr>
        <w:t>In the m</w:t>
      </w:r>
      <w:r>
        <w:rPr>
          <w:rFonts w:ascii="Garamond" w:hAnsi="Garamond"/>
          <w:sz w:val="22"/>
          <w:szCs w:val="22"/>
        </w:rPr>
        <w:t>edium run</w:t>
      </w:r>
      <w:r w:rsidRPr="00E87583">
        <w:rPr>
          <w:rFonts w:ascii="Garamond" w:hAnsi="Garamond"/>
          <w:sz w:val="22"/>
          <w:szCs w:val="22"/>
        </w:rPr>
        <w:t xml:space="preserve">, </w:t>
      </w:r>
      <w:r>
        <w:rPr>
          <w:rFonts w:ascii="Garamond" w:hAnsi="Garamond"/>
          <w:sz w:val="22"/>
          <w:szCs w:val="22"/>
        </w:rPr>
        <w:t xml:space="preserve">companies’ unit labor costs will grow faster to reach </w:t>
      </w:r>
      <w:r w:rsidRPr="00E87583">
        <w:rPr>
          <w:rFonts w:ascii="Garamond" w:hAnsi="Garamond"/>
          <w:sz w:val="22"/>
          <w:szCs w:val="22"/>
        </w:rPr>
        <w:t xml:space="preserve">3% </w:t>
      </w:r>
      <w:r>
        <w:rPr>
          <w:rFonts w:ascii="Garamond" w:hAnsi="Garamond"/>
          <w:sz w:val="22"/>
          <w:szCs w:val="22"/>
        </w:rPr>
        <w:t xml:space="preserve">y/y </w:t>
      </w:r>
      <w:r w:rsidRPr="00E87583">
        <w:rPr>
          <w:rFonts w:ascii="Garamond" w:hAnsi="Garamond"/>
          <w:sz w:val="22"/>
          <w:szCs w:val="22"/>
        </w:rPr>
        <w:t>at the end of the forecast horizon.</w:t>
      </w:r>
    </w:p>
    <w:p w14:paraId="2776C331" w14:textId="77777777" w:rsidR="00EE619D" w:rsidRPr="00626752" w:rsidRDefault="00EE619D" w:rsidP="00EE619D">
      <w:pPr>
        <w:autoSpaceDE w:val="0"/>
        <w:autoSpaceDN w:val="0"/>
        <w:adjustRightInd w:val="0"/>
        <w:spacing w:after="120" w:line="360" w:lineRule="auto"/>
        <w:jc w:val="both"/>
        <w:rPr>
          <w:rFonts w:ascii="Garamond" w:hAnsi="Garamond"/>
          <w:b/>
          <w:bCs/>
          <w:iCs/>
          <w:color w:val="0070C0"/>
          <w:sz w:val="22"/>
          <w:szCs w:val="22"/>
        </w:rPr>
      </w:pPr>
      <w:r w:rsidRPr="00626752">
        <w:rPr>
          <w:rFonts w:ascii="Garamond" w:hAnsi="Garamond"/>
          <w:b/>
          <w:bCs/>
          <w:iCs/>
          <w:color w:val="0070C0"/>
          <w:sz w:val="22"/>
          <w:szCs w:val="22"/>
        </w:rPr>
        <w:t>2.2.3. Comparison with the previous forecast</w:t>
      </w:r>
    </w:p>
    <w:p w14:paraId="122AF550" w14:textId="77777777" w:rsidR="00EE619D" w:rsidRPr="00626752" w:rsidRDefault="00EE619D" w:rsidP="00EE619D">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T</w:t>
      </w:r>
      <w:r w:rsidR="00E87583">
        <w:rPr>
          <w:rFonts w:ascii="Garamond" w:hAnsi="Garamond"/>
          <w:b/>
          <w:sz w:val="22"/>
          <w:szCs w:val="22"/>
        </w:rPr>
        <w:t xml:space="preserve">rade partners’ medium-term </w:t>
      </w:r>
      <w:r w:rsidRPr="00626752">
        <w:rPr>
          <w:rFonts w:ascii="Garamond" w:hAnsi="Garamond"/>
          <w:b/>
          <w:sz w:val="22"/>
          <w:szCs w:val="22"/>
        </w:rPr>
        <w:t xml:space="preserve">economic growth </w:t>
      </w:r>
      <w:r w:rsidR="00E87583">
        <w:rPr>
          <w:rFonts w:ascii="Garamond" w:hAnsi="Garamond"/>
          <w:b/>
          <w:sz w:val="22"/>
          <w:szCs w:val="22"/>
        </w:rPr>
        <w:t xml:space="preserve">indicators </w:t>
      </w:r>
      <w:r w:rsidRPr="00626752">
        <w:rPr>
          <w:rFonts w:ascii="Garamond" w:hAnsi="Garamond"/>
          <w:b/>
          <w:sz w:val="22"/>
          <w:szCs w:val="22"/>
        </w:rPr>
        <w:t xml:space="preserve">have been </w:t>
      </w:r>
      <w:r w:rsidR="00E87583">
        <w:rPr>
          <w:rFonts w:ascii="Garamond" w:hAnsi="Garamond"/>
          <w:b/>
          <w:sz w:val="22"/>
          <w:szCs w:val="22"/>
        </w:rPr>
        <w:t xml:space="preserve">adjusted </w:t>
      </w:r>
      <w:r w:rsidRPr="00626752">
        <w:rPr>
          <w:rFonts w:ascii="Garamond" w:hAnsi="Garamond"/>
          <w:b/>
          <w:sz w:val="22"/>
          <w:szCs w:val="22"/>
        </w:rPr>
        <w:t xml:space="preserve">upward </w:t>
      </w:r>
      <w:r w:rsidR="00E87583">
        <w:rPr>
          <w:rFonts w:ascii="Garamond" w:hAnsi="Garamond"/>
          <w:b/>
          <w:sz w:val="22"/>
          <w:szCs w:val="22"/>
        </w:rPr>
        <w:t xml:space="preserve">against </w:t>
      </w:r>
      <w:r w:rsidRPr="00626752">
        <w:rPr>
          <w:rFonts w:ascii="Garamond" w:hAnsi="Garamond"/>
          <w:b/>
          <w:sz w:val="22"/>
          <w:szCs w:val="22"/>
        </w:rPr>
        <w:t xml:space="preserve">the previous forecast. </w:t>
      </w:r>
    </w:p>
    <w:p w14:paraId="1511AE9E" w14:textId="77777777" w:rsidR="00500167" w:rsidRPr="00626752" w:rsidRDefault="00E87583"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A slightly</w:t>
      </w:r>
      <w:r w:rsidR="00B67B97" w:rsidRPr="00626752">
        <w:rPr>
          <w:rFonts w:ascii="Garamond" w:hAnsi="Garamond"/>
          <w:sz w:val="22"/>
          <w:szCs w:val="22"/>
        </w:rPr>
        <w:t xml:space="preserve"> upward </w:t>
      </w:r>
      <w:r>
        <w:rPr>
          <w:rFonts w:ascii="Garamond" w:hAnsi="Garamond"/>
          <w:sz w:val="22"/>
          <w:szCs w:val="22"/>
        </w:rPr>
        <w:t>adjustment in</w:t>
      </w:r>
      <w:r w:rsidR="00B67B97" w:rsidRPr="00626752">
        <w:rPr>
          <w:rFonts w:ascii="Garamond" w:hAnsi="Garamond"/>
          <w:sz w:val="22"/>
          <w:szCs w:val="22"/>
        </w:rPr>
        <w:t xml:space="preserve"> </w:t>
      </w:r>
      <w:r>
        <w:rPr>
          <w:rFonts w:ascii="Garamond" w:hAnsi="Garamond"/>
          <w:sz w:val="22"/>
          <w:szCs w:val="22"/>
        </w:rPr>
        <w:t xml:space="preserve">the US </w:t>
      </w:r>
      <w:r w:rsidR="00B67B97" w:rsidRPr="00626752">
        <w:rPr>
          <w:rFonts w:ascii="Garamond" w:hAnsi="Garamond"/>
          <w:sz w:val="22"/>
          <w:szCs w:val="22"/>
        </w:rPr>
        <w:t xml:space="preserve">economic growth forecasts </w:t>
      </w:r>
      <w:r>
        <w:rPr>
          <w:rFonts w:ascii="Garamond" w:hAnsi="Garamond"/>
          <w:sz w:val="22"/>
          <w:szCs w:val="22"/>
        </w:rPr>
        <w:t xml:space="preserve">has been made in anticipation of increased investment in the short run. </w:t>
      </w:r>
      <w:r w:rsidR="00272DD8" w:rsidRPr="00626752">
        <w:rPr>
          <w:rFonts w:ascii="Garamond" w:hAnsi="Garamond"/>
          <w:sz w:val="22"/>
          <w:szCs w:val="22"/>
        </w:rPr>
        <w:t xml:space="preserve">The 2018 upward revision of economic growth forecasts in Eurozone has been driven by </w:t>
      </w:r>
      <w:r w:rsidR="00272DD8">
        <w:rPr>
          <w:rFonts w:ascii="Garamond" w:hAnsi="Garamond"/>
          <w:sz w:val="22"/>
          <w:szCs w:val="22"/>
        </w:rPr>
        <w:t xml:space="preserve">continued consumption growth. The 2018 economic growth forecasts for </w:t>
      </w:r>
      <w:r w:rsidR="00500167" w:rsidRPr="00626752">
        <w:rPr>
          <w:rFonts w:ascii="Garamond" w:hAnsi="Garamond"/>
          <w:sz w:val="22"/>
          <w:szCs w:val="22"/>
        </w:rPr>
        <w:t xml:space="preserve">Russia </w:t>
      </w:r>
      <w:r w:rsidR="00272DD8">
        <w:rPr>
          <w:rFonts w:ascii="Garamond" w:hAnsi="Garamond"/>
          <w:sz w:val="22"/>
          <w:szCs w:val="22"/>
        </w:rPr>
        <w:t>have been revised slightly downside compared to the</w:t>
      </w:r>
      <w:r w:rsidR="00500167" w:rsidRPr="00626752">
        <w:rPr>
          <w:rFonts w:ascii="Garamond" w:hAnsi="Garamond"/>
          <w:sz w:val="22"/>
          <w:szCs w:val="22"/>
        </w:rPr>
        <w:t xml:space="preserve"> previous forecasts, largely </w:t>
      </w:r>
      <w:r w:rsidR="00272DD8" w:rsidRPr="00272DD8">
        <w:rPr>
          <w:rFonts w:ascii="Garamond" w:hAnsi="Garamond"/>
          <w:sz w:val="22"/>
          <w:szCs w:val="22"/>
        </w:rPr>
        <w:t xml:space="preserve">due to the slowdown in industry growth in the short </w:t>
      </w:r>
      <w:r w:rsidR="00272DD8">
        <w:rPr>
          <w:rFonts w:ascii="Garamond" w:hAnsi="Garamond"/>
          <w:sz w:val="22"/>
          <w:szCs w:val="22"/>
        </w:rPr>
        <w:t>run</w:t>
      </w:r>
      <w:r w:rsidR="00272DD8" w:rsidRPr="00272DD8">
        <w:rPr>
          <w:rFonts w:ascii="Garamond" w:hAnsi="Garamond"/>
          <w:sz w:val="22"/>
          <w:szCs w:val="22"/>
        </w:rPr>
        <w:t xml:space="preserve">. </w:t>
      </w:r>
      <w:r w:rsidR="00272DD8">
        <w:rPr>
          <w:rFonts w:ascii="Garamond" w:hAnsi="Garamond"/>
          <w:sz w:val="22"/>
          <w:szCs w:val="22"/>
        </w:rPr>
        <w:t>In the medium-</w:t>
      </w:r>
      <w:r w:rsidR="00272DD8" w:rsidRPr="00272DD8">
        <w:rPr>
          <w:rFonts w:ascii="Garamond" w:hAnsi="Garamond"/>
          <w:sz w:val="22"/>
          <w:szCs w:val="22"/>
        </w:rPr>
        <w:t>term</w:t>
      </w:r>
      <w:r w:rsidR="00272DD8">
        <w:rPr>
          <w:rFonts w:ascii="Garamond" w:hAnsi="Garamond"/>
          <w:sz w:val="22"/>
          <w:szCs w:val="22"/>
        </w:rPr>
        <w:t xml:space="preserve"> perspective, however</w:t>
      </w:r>
      <w:r w:rsidR="00272DD8" w:rsidRPr="00272DD8">
        <w:rPr>
          <w:rFonts w:ascii="Garamond" w:hAnsi="Garamond"/>
          <w:sz w:val="22"/>
          <w:szCs w:val="22"/>
        </w:rPr>
        <w:t xml:space="preserve">, </w:t>
      </w:r>
      <w:r w:rsidR="00317ECB">
        <w:rPr>
          <w:rFonts w:ascii="Garamond" w:hAnsi="Garamond"/>
          <w:sz w:val="22"/>
          <w:szCs w:val="22"/>
        </w:rPr>
        <w:t xml:space="preserve">because of </w:t>
      </w:r>
      <w:r w:rsidR="00317ECB" w:rsidRPr="00272DD8">
        <w:rPr>
          <w:rFonts w:ascii="Garamond" w:hAnsi="Garamond"/>
          <w:sz w:val="22"/>
          <w:szCs w:val="22"/>
        </w:rPr>
        <w:t>higher oil price forecasts</w:t>
      </w:r>
      <w:r w:rsidR="00317ECB">
        <w:rPr>
          <w:rFonts w:ascii="Garamond" w:hAnsi="Garamond"/>
          <w:sz w:val="22"/>
          <w:szCs w:val="22"/>
        </w:rPr>
        <w:t>,</w:t>
      </w:r>
      <w:r w:rsidR="00317ECB" w:rsidRPr="00272DD8">
        <w:rPr>
          <w:rFonts w:ascii="Garamond" w:hAnsi="Garamond"/>
          <w:sz w:val="22"/>
          <w:szCs w:val="22"/>
        </w:rPr>
        <w:t xml:space="preserve"> </w:t>
      </w:r>
      <w:r w:rsidR="00272DD8" w:rsidRPr="00272DD8">
        <w:rPr>
          <w:rFonts w:ascii="Garamond" w:hAnsi="Garamond"/>
          <w:sz w:val="22"/>
          <w:szCs w:val="22"/>
        </w:rPr>
        <w:t>economic growth will be higher in comparison with the previous one</w:t>
      </w:r>
      <w:r w:rsidR="00500167" w:rsidRPr="00626752">
        <w:rPr>
          <w:rFonts w:ascii="Garamond" w:hAnsi="Garamond"/>
          <w:sz w:val="22"/>
          <w:szCs w:val="22"/>
        </w:rPr>
        <w:t xml:space="preserve">. </w:t>
      </w:r>
    </w:p>
    <w:p w14:paraId="6264B1D9" w14:textId="77777777" w:rsidR="003B6FDA" w:rsidRPr="00626752" w:rsidRDefault="00520816"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I</w:t>
      </w:r>
      <w:r w:rsidRPr="00626752">
        <w:rPr>
          <w:rFonts w:ascii="Garamond" w:hAnsi="Garamond"/>
          <w:b/>
          <w:sz w:val="22"/>
          <w:szCs w:val="22"/>
        </w:rPr>
        <w:t xml:space="preserve">n </w:t>
      </w:r>
      <w:r>
        <w:rPr>
          <w:rFonts w:ascii="Garamond" w:hAnsi="Garamond"/>
          <w:b/>
          <w:sz w:val="22"/>
          <w:szCs w:val="22"/>
        </w:rPr>
        <w:t xml:space="preserve">the world’s </w:t>
      </w:r>
      <w:r w:rsidRPr="00626752">
        <w:rPr>
          <w:rFonts w:ascii="Garamond" w:hAnsi="Garamond"/>
          <w:b/>
          <w:sz w:val="22"/>
          <w:szCs w:val="22"/>
        </w:rPr>
        <w:t>commodity markets</w:t>
      </w:r>
      <w:r w:rsidR="00811961">
        <w:rPr>
          <w:rFonts w:ascii="Garamond" w:hAnsi="Garamond"/>
          <w:b/>
          <w:sz w:val="22"/>
          <w:szCs w:val="22"/>
        </w:rPr>
        <w:t>,</w:t>
      </w:r>
      <w:r>
        <w:rPr>
          <w:rFonts w:ascii="Garamond" w:hAnsi="Garamond"/>
          <w:b/>
          <w:sz w:val="22"/>
          <w:szCs w:val="22"/>
        </w:rPr>
        <w:t xml:space="preserve"> i</w:t>
      </w:r>
      <w:r w:rsidR="003B6FDA" w:rsidRPr="00626752">
        <w:rPr>
          <w:rFonts w:ascii="Garamond" w:hAnsi="Garamond"/>
          <w:b/>
          <w:sz w:val="22"/>
          <w:szCs w:val="22"/>
        </w:rPr>
        <w:t xml:space="preserve">nflationary </w:t>
      </w:r>
      <w:r>
        <w:rPr>
          <w:rFonts w:ascii="Garamond" w:hAnsi="Garamond"/>
          <w:b/>
          <w:sz w:val="22"/>
          <w:szCs w:val="22"/>
        </w:rPr>
        <w:t>pattern</w:t>
      </w:r>
      <w:r w:rsidR="003B6FDA" w:rsidRPr="00626752">
        <w:rPr>
          <w:rFonts w:ascii="Garamond" w:hAnsi="Garamond"/>
          <w:b/>
          <w:sz w:val="22"/>
          <w:szCs w:val="22"/>
        </w:rPr>
        <w:t>s are mo</w:t>
      </w:r>
      <w:r>
        <w:rPr>
          <w:rFonts w:ascii="Garamond" w:hAnsi="Garamond"/>
          <w:b/>
          <w:sz w:val="22"/>
          <w:szCs w:val="22"/>
        </w:rPr>
        <w:t>st</w:t>
      </w:r>
      <w:r w:rsidR="003B6FDA" w:rsidRPr="00626752">
        <w:rPr>
          <w:rFonts w:ascii="Garamond" w:hAnsi="Garamond"/>
          <w:b/>
          <w:sz w:val="22"/>
          <w:szCs w:val="22"/>
        </w:rPr>
        <w:t xml:space="preserve"> likely</w:t>
      </w:r>
      <w:r>
        <w:rPr>
          <w:rFonts w:ascii="Garamond" w:hAnsi="Garamond"/>
          <w:b/>
          <w:sz w:val="22"/>
          <w:szCs w:val="22"/>
        </w:rPr>
        <w:t>,</w:t>
      </w:r>
      <w:r w:rsidR="003B6FDA" w:rsidRPr="00626752">
        <w:rPr>
          <w:rFonts w:ascii="Garamond" w:hAnsi="Garamond"/>
          <w:b/>
          <w:sz w:val="22"/>
          <w:szCs w:val="22"/>
        </w:rPr>
        <w:t xml:space="preserve"> </w:t>
      </w:r>
      <w:r w:rsidR="00811961">
        <w:rPr>
          <w:rFonts w:ascii="Garamond" w:hAnsi="Garamond"/>
          <w:b/>
          <w:sz w:val="22"/>
          <w:szCs w:val="22"/>
        </w:rPr>
        <w:t xml:space="preserve">as compared to </w:t>
      </w:r>
      <w:r w:rsidR="003B6FDA" w:rsidRPr="00626752">
        <w:rPr>
          <w:rFonts w:ascii="Garamond" w:hAnsi="Garamond"/>
          <w:b/>
          <w:sz w:val="22"/>
          <w:szCs w:val="22"/>
        </w:rPr>
        <w:t>previous forecasts</w:t>
      </w:r>
      <w:r>
        <w:rPr>
          <w:rFonts w:ascii="Garamond" w:hAnsi="Garamond"/>
          <w:b/>
          <w:sz w:val="22"/>
          <w:szCs w:val="22"/>
        </w:rPr>
        <w:t xml:space="preserve">; in food product markets in </w:t>
      </w:r>
      <w:r w:rsidRPr="00520816">
        <w:rPr>
          <w:rFonts w:ascii="Garamond" w:hAnsi="Garamond"/>
          <w:b/>
          <w:sz w:val="22"/>
          <w:szCs w:val="22"/>
        </w:rPr>
        <w:t>the forecast horizon</w:t>
      </w:r>
      <w:r>
        <w:rPr>
          <w:rFonts w:ascii="Garamond" w:hAnsi="Garamond"/>
          <w:b/>
          <w:sz w:val="22"/>
          <w:szCs w:val="22"/>
        </w:rPr>
        <w:t xml:space="preserve">, </w:t>
      </w:r>
      <w:r w:rsidRPr="00520816">
        <w:rPr>
          <w:rFonts w:ascii="Garamond" w:hAnsi="Garamond"/>
          <w:b/>
          <w:sz w:val="22"/>
          <w:szCs w:val="22"/>
        </w:rPr>
        <w:t xml:space="preserve">prices will </w:t>
      </w:r>
      <w:r>
        <w:rPr>
          <w:rFonts w:ascii="Garamond" w:hAnsi="Garamond"/>
          <w:b/>
          <w:sz w:val="22"/>
          <w:szCs w:val="22"/>
        </w:rPr>
        <w:t xml:space="preserve">shape </w:t>
      </w:r>
      <w:r w:rsidRPr="00520816">
        <w:rPr>
          <w:rFonts w:ascii="Garamond" w:hAnsi="Garamond"/>
          <w:b/>
          <w:sz w:val="22"/>
          <w:szCs w:val="22"/>
        </w:rPr>
        <w:t xml:space="preserve">at lower levels than </w:t>
      </w:r>
      <w:r>
        <w:rPr>
          <w:rFonts w:ascii="Garamond" w:hAnsi="Garamond"/>
          <w:b/>
          <w:sz w:val="22"/>
          <w:szCs w:val="22"/>
        </w:rPr>
        <w:t xml:space="preserve">forecasted </w:t>
      </w:r>
      <w:r w:rsidRPr="00520816">
        <w:rPr>
          <w:rFonts w:ascii="Garamond" w:hAnsi="Garamond"/>
          <w:b/>
          <w:sz w:val="22"/>
          <w:szCs w:val="22"/>
        </w:rPr>
        <w:t>previous</w:t>
      </w:r>
      <w:r>
        <w:rPr>
          <w:rFonts w:ascii="Garamond" w:hAnsi="Garamond"/>
          <w:b/>
          <w:sz w:val="22"/>
          <w:szCs w:val="22"/>
        </w:rPr>
        <w:t>ly</w:t>
      </w:r>
      <w:r w:rsidR="003B6FDA" w:rsidRPr="00626752">
        <w:rPr>
          <w:rFonts w:ascii="Garamond" w:hAnsi="Garamond"/>
          <w:b/>
          <w:sz w:val="22"/>
          <w:szCs w:val="22"/>
        </w:rPr>
        <w:t>.</w:t>
      </w:r>
    </w:p>
    <w:p w14:paraId="4C07B27D" w14:textId="77777777" w:rsidR="00500167" w:rsidRPr="00626752" w:rsidRDefault="005A3523"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Particularly, in the </w:t>
      </w:r>
      <w:r w:rsidR="000B2CE6">
        <w:rPr>
          <w:rFonts w:ascii="Garamond" w:hAnsi="Garamond"/>
          <w:sz w:val="22"/>
          <w:szCs w:val="22"/>
        </w:rPr>
        <w:t xml:space="preserve">world’s </w:t>
      </w:r>
      <w:r w:rsidRPr="00626752">
        <w:rPr>
          <w:rFonts w:ascii="Garamond" w:hAnsi="Garamond"/>
          <w:sz w:val="22"/>
          <w:szCs w:val="22"/>
        </w:rPr>
        <w:t xml:space="preserve">food </w:t>
      </w:r>
      <w:r w:rsidR="000B2CE6">
        <w:rPr>
          <w:rFonts w:ascii="Garamond" w:hAnsi="Garamond"/>
          <w:sz w:val="22"/>
          <w:szCs w:val="22"/>
        </w:rPr>
        <w:t xml:space="preserve">product </w:t>
      </w:r>
      <w:r w:rsidRPr="00626752">
        <w:rPr>
          <w:rFonts w:ascii="Garamond" w:hAnsi="Garamond"/>
          <w:sz w:val="22"/>
          <w:szCs w:val="22"/>
        </w:rPr>
        <w:t>market</w:t>
      </w:r>
      <w:r w:rsidR="000B2CE6">
        <w:rPr>
          <w:rFonts w:ascii="Garamond" w:hAnsi="Garamond"/>
          <w:sz w:val="22"/>
          <w:szCs w:val="22"/>
        </w:rPr>
        <w:t>s</w:t>
      </w:r>
      <w:r w:rsidRPr="00626752">
        <w:rPr>
          <w:rFonts w:ascii="Garamond" w:hAnsi="Garamond"/>
          <w:sz w:val="22"/>
          <w:szCs w:val="22"/>
        </w:rPr>
        <w:t xml:space="preserve">, </w:t>
      </w:r>
      <w:r w:rsidR="000B2CE6" w:rsidRPr="000B2CE6">
        <w:rPr>
          <w:rFonts w:ascii="Garamond" w:hAnsi="Garamond"/>
          <w:sz w:val="22"/>
          <w:szCs w:val="22"/>
        </w:rPr>
        <w:t xml:space="preserve">prices are expected </w:t>
      </w:r>
      <w:r w:rsidR="004928D0">
        <w:rPr>
          <w:rFonts w:ascii="Garamond" w:hAnsi="Garamond"/>
          <w:sz w:val="22"/>
          <w:szCs w:val="22"/>
        </w:rPr>
        <w:t xml:space="preserve">to shape at lower levels in comparison with the previous program as the </w:t>
      </w:r>
      <w:r w:rsidR="000B2CE6" w:rsidRPr="000B2CE6">
        <w:rPr>
          <w:rFonts w:ascii="Garamond" w:hAnsi="Garamond"/>
          <w:sz w:val="22"/>
          <w:szCs w:val="22"/>
        </w:rPr>
        <w:t>2017 actual indicator</w:t>
      </w:r>
      <w:r w:rsidR="004928D0">
        <w:rPr>
          <w:rFonts w:ascii="Garamond" w:hAnsi="Garamond"/>
          <w:sz w:val="22"/>
          <w:szCs w:val="22"/>
        </w:rPr>
        <w:t xml:space="preserve"> was lower-than-predicted. Nevertheless, the price </w:t>
      </w:r>
      <w:r w:rsidR="000B2CE6" w:rsidRPr="000B2CE6">
        <w:rPr>
          <w:rFonts w:ascii="Garamond" w:hAnsi="Garamond"/>
          <w:sz w:val="22"/>
          <w:szCs w:val="22"/>
        </w:rPr>
        <w:t xml:space="preserve">growth rate will accelerate in the forecast horizon, </w:t>
      </w:r>
      <w:r w:rsidR="004928D0">
        <w:rPr>
          <w:rFonts w:ascii="Garamond" w:hAnsi="Garamond"/>
          <w:sz w:val="22"/>
          <w:szCs w:val="22"/>
        </w:rPr>
        <w:t xml:space="preserve">yet </w:t>
      </w:r>
      <w:r w:rsidR="000B2CE6" w:rsidRPr="000B2CE6">
        <w:rPr>
          <w:rFonts w:ascii="Garamond" w:hAnsi="Garamond"/>
          <w:sz w:val="22"/>
          <w:szCs w:val="22"/>
        </w:rPr>
        <w:t>the</w:t>
      </w:r>
      <w:r w:rsidR="004928D0">
        <w:rPr>
          <w:rFonts w:ascii="Garamond" w:hAnsi="Garamond"/>
          <w:sz w:val="22"/>
          <w:szCs w:val="22"/>
        </w:rPr>
        <w:t xml:space="preserve">ir overall level </w:t>
      </w:r>
      <w:r w:rsidR="000B2CE6" w:rsidRPr="000B2CE6">
        <w:rPr>
          <w:rFonts w:ascii="Garamond" w:hAnsi="Garamond"/>
          <w:sz w:val="22"/>
          <w:szCs w:val="22"/>
        </w:rPr>
        <w:t xml:space="preserve">will be </w:t>
      </w:r>
      <w:r w:rsidR="004928D0">
        <w:rPr>
          <w:rFonts w:ascii="Garamond" w:hAnsi="Garamond"/>
          <w:sz w:val="22"/>
          <w:szCs w:val="22"/>
        </w:rPr>
        <w:t xml:space="preserve">below the previous forecast. </w:t>
      </w:r>
    </w:p>
    <w:p w14:paraId="5E574B63" w14:textId="77777777" w:rsidR="004928D0" w:rsidRDefault="004928D0"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Relative to previous forecasts, oil prices will rest on somewhat a higher level </w:t>
      </w:r>
      <w:r>
        <w:rPr>
          <w:rFonts w:ascii="Garamond" w:hAnsi="Garamond"/>
          <w:sz w:val="22"/>
          <w:szCs w:val="22"/>
        </w:rPr>
        <w:t>because of an extended</w:t>
      </w:r>
      <w:r w:rsidR="000B2CE6" w:rsidRPr="0099686E">
        <w:rPr>
          <w:rFonts w:ascii="Garamond" w:hAnsi="Garamond"/>
          <w:sz w:val="22"/>
          <w:szCs w:val="22"/>
        </w:rPr>
        <w:t xml:space="preserve"> OPEC + </w:t>
      </w:r>
      <w:r w:rsidR="000B2CE6">
        <w:rPr>
          <w:rFonts w:ascii="Garamond" w:hAnsi="Garamond"/>
          <w:sz w:val="22"/>
          <w:szCs w:val="22"/>
        </w:rPr>
        <w:t xml:space="preserve">deal on </w:t>
      </w:r>
      <w:r w:rsidR="000B2CE6" w:rsidRPr="0099686E">
        <w:rPr>
          <w:rFonts w:ascii="Garamond" w:hAnsi="Garamond"/>
          <w:sz w:val="22"/>
          <w:szCs w:val="22"/>
        </w:rPr>
        <w:t>the reduction of oil production</w:t>
      </w:r>
      <w:r>
        <w:rPr>
          <w:rFonts w:ascii="Garamond" w:hAnsi="Garamond"/>
          <w:sz w:val="22"/>
          <w:szCs w:val="22"/>
        </w:rPr>
        <w:t>,</w:t>
      </w:r>
      <w:r w:rsidR="000B2CE6">
        <w:rPr>
          <w:rFonts w:ascii="Garamond" w:hAnsi="Garamond"/>
          <w:sz w:val="22"/>
          <w:szCs w:val="22"/>
        </w:rPr>
        <w:t xml:space="preserve"> </w:t>
      </w:r>
      <w:r w:rsidRPr="00626752">
        <w:rPr>
          <w:rFonts w:ascii="Garamond" w:hAnsi="Garamond"/>
          <w:sz w:val="22"/>
          <w:szCs w:val="22"/>
        </w:rPr>
        <w:t>expected reduction in supply volumes by Ira</w:t>
      </w:r>
      <w:r>
        <w:rPr>
          <w:rFonts w:ascii="Garamond" w:hAnsi="Garamond"/>
          <w:sz w:val="22"/>
          <w:szCs w:val="22"/>
        </w:rPr>
        <w:t xml:space="preserve">n and a recovering global demand for oil. </w:t>
      </w:r>
    </w:p>
    <w:p w14:paraId="55F3F6F8" w14:textId="77777777" w:rsidR="009E6F4B" w:rsidRPr="00626752" w:rsidRDefault="009E6F4B"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Compared to the previous forecast, </w:t>
      </w:r>
      <w:r w:rsidR="00785B36">
        <w:rPr>
          <w:rFonts w:ascii="Garamond" w:hAnsi="Garamond"/>
          <w:sz w:val="22"/>
          <w:szCs w:val="22"/>
        </w:rPr>
        <w:t xml:space="preserve">international </w:t>
      </w:r>
      <w:r w:rsidRPr="00626752">
        <w:rPr>
          <w:rFonts w:ascii="Garamond" w:hAnsi="Garamond"/>
          <w:sz w:val="22"/>
          <w:szCs w:val="22"/>
        </w:rPr>
        <w:t xml:space="preserve">copper prices will </w:t>
      </w:r>
      <w:r w:rsidR="00785B36">
        <w:rPr>
          <w:rFonts w:ascii="Garamond" w:hAnsi="Garamond"/>
          <w:sz w:val="22"/>
          <w:szCs w:val="22"/>
        </w:rPr>
        <w:t xml:space="preserve">shape </w:t>
      </w:r>
      <w:r w:rsidRPr="00626752">
        <w:rPr>
          <w:rFonts w:ascii="Garamond" w:hAnsi="Garamond"/>
          <w:sz w:val="22"/>
          <w:szCs w:val="22"/>
        </w:rPr>
        <w:t>higher level</w:t>
      </w:r>
      <w:r w:rsidR="00785B36">
        <w:rPr>
          <w:rFonts w:ascii="Garamond" w:hAnsi="Garamond"/>
          <w:sz w:val="22"/>
          <w:szCs w:val="22"/>
        </w:rPr>
        <w:t>s</w:t>
      </w:r>
      <w:r w:rsidRPr="00626752">
        <w:rPr>
          <w:rFonts w:ascii="Garamond" w:hAnsi="Garamond"/>
          <w:sz w:val="22"/>
          <w:szCs w:val="22"/>
        </w:rPr>
        <w:t>, d</w:t>
      </w:r>
      <w:r w:rsidR="00785B36">
        <w:rPr>
          <w:rFonts w:ascii="Garamond" w:hAnsi="Garamond"/>
          <w:sz w:val="22"/>
          <w:szCs w:val="22"/>
        </w:rPr>
        <w:t xml:space="preserve">etermined </w:t>
      </w:r>
      <w:r w:rsidRPr="00626752">
        <w:rPr>
          <w:rFonts w:ascii="Garamond" w:hAnsi="Garamond"/>
          <w:sz w:val="22"/>
          <w:szCs w:val="22"/>
        </w:rPr>
        <w:t xml:space="preserve">by the actual high indicator reported in the </w:t>
      </w:r>
      <w:r w:rsidR="00785B36">
        <w:rPr>
          <w:rFonts w:ascii="Garamond" w:hAnsi="Garamond"/>
          <w:sz w:val="22"/>
          <w:szCs w:val="22"/>
        </w:rPr>
        <w:t>fourth</w:t>
      </w:r>
      <w:r w:rsidRPr="00626752">
        <w:rPr>
          <w:rFonts w:ascii="Garamond" w:hAnsi="Garamond"/>
          <w:sz w:val="22"/>
          <w:szCs w:val="22"/>
        </w:rPr>
        <w:t xml:space="preserve"> quarter, which was attributable to somewhat limited supply </w:t>
      </w:r>
      <w:r w:rsidR="00785B36">
        <w:rPr>
          <w:rFonts w:ascii="Garamond" w:hAnsi="Garamond"/>
          <w:sz w:val="22"/>
          <w:szCs w:val="22"/>
        </w:rPr>
        <w:t>volumes by China</w:t>
      </w:r>
      <w:r w:rsidRPr="00626752">
        <w:rPr>
          <w:rFonts w:ascii="Garamond" w:hAnsi="Garamond"/>
          <w:sz w:val="22"/>
          <w:szCs w:val="22"/>
        </w:rPr>
        <w:t>.</w:t>
      </w:r>
    </w:p>
    <w:p w14:paraId="0B56786A" w14:textId="2B4F10E2" w:rsidR="00C71404" w:rsidRDefault="00C71404" w:rsidP="00EE619D">
      <w:pPr>
        <w:autoSpaceDE w:val="0"/>
        <w:autoSpaceDN w:val="0"/>
        <w:adjustRightInd w:val="0"/>
        <w:spacing w:after="120" w:line="360" w:lineRule="auto"/>
        <w:jc w:val="both"/>
        <w:rPr>
          <w:rFonts w:ascii="Times New Roman" w:hAnsi="Times New Roman"/>
          <w:b/>
          <w:sz w:val="22"/>
          <w:szCs w:val="22"/>
          <w:lang w:val="hy-AM"/>
        </w:rPr>
      </w:pPr>
      <w:r>
        <w:rPr>
          <w:rFonts w:ascii="Garamond" w:hAnsi="Garamond"/>
          <w:b/>
          <w:sz w:val="22"/>
          <w:szCs w:val="22"/>
        </w:rPr>
        <w:t xml:space="preserve">Armenia’s </w:t>
      </w:r>
      <w:r w:rsidRPr="00C71404">
        <w:rPr>
          <w:rFonts w:ascii="Garamond" w:hAnsi="Garamond"/>
          <w:b/>
          <w:sz w:val="22"/>
          <w:szCs w:val="22"/>
        </w:rPr>
        <w:t>economic growth rate</w:t>
      </w:r>
      <w:r>
        <w:rPr>
          <w:rFonts w:ascii="Garamond" w:hAnsi="Garamond"/>
          <w:b/>
          <w:sz w:val="22"/>
          <w:szCs w:val="22"/>
        </w:rPr>
        <w:t xml:space="preserve"> </w:t>
      </w:r>
      <w:r w:rsidRPr="00C71404">
        <w:rPr>
          <w:rFonts w:ascii="Garamond" w:hAnsi="Garamond"/>
          <w:b/>
          <w:sz w:val="22"/>
          <w:szCs w:val="22"/>
        </w:rPr>
        <w:t>has been revised up</w:t>
      </w:r>
      <w:r>
        <w:rPr>
          <w:rFonts w:ascii="Garamond" w:hAnsi="Garamond"/>
          <w:b/>
          <w:sz w:val="22"/>
          <w:szCs w:val="22"/>
        </w:rPr>
        <w:t>side</w:t>
      </w:r>
      <w:r w:rsidRPr="00C71404">
        <w:rPr>
          <w:rFonts w:ascii="Garamond" w:hAnsi="Garamond"/>
          <w:b/>
          <w:sz w:val="22"/>
          <w:szCs w:val="22"/>
        </w:rPr>
        <w:t xml:space="preserve"> </w:t>
      </w:r>
      <w:r>
        <w:rPr>
          <w:rFonts w:ascii="Garamond" w:hAnsi="Garamond"/>
          <w:b/>
          <w:sz w:val="22"/>
          <w:szCs w:val="22"/>
        </w:rPr>
        <w:t>against</w:t>
      </w:r>
      <w:r w:rsidRPr="00C71404">
        <w:rPr>
          <w:rFonts w:ascii="Garamond" w:hAnsi="Garamond"/>
          <w:b/>
          <w:sz w:val="22"/>
          <w:szCs w:val="22"/>
        </w:rPr>
        <w:t xml:space="preserve"> previous forecasts</w:t>
      </w:r>
      <w:r>
        <w:rPr>
          <w:rFonts w:ascii="Garamond" w:hAnsi="Garamond"/>
          <w:b/>
          <w:sz w:val="22"/>
          <w:szCs w:val="22"/>
        </w:rPr>
        <w:t>,</w:t>
      </w:r>
      <w:r w:rsidRPr="00C71404">
        <w:rPr>
          <w:rFonts w:ascii="Garamond" w:hAnsi="Garamond"/>
          <w:b/>
          <w:sz w:val="22"/>
          <w:szCs w:val="22"/>
        </w:rPr>
        <w:t xml:space="preserve"> </w:t>
      </w:r>
      <w:r w:rsidR="009216C0">
        <w:rPr>
          <w:rFonts w:ascii="Garamond" w:hAnsi="Garamond"/>
          <w:b/>
          <w:sz w:val="22"/>
          <w:szCs w:val="22"/>
        </w:rPr>
        <w:t>both</w:t>
      </w:r>
      <w:r w:rsidR="00E53D04">
        <w:rPr>
          <w:rFonts w:ascii="Garamond" w:hAnsi="Garamond"/>
          <w:b/>
          <w:sz w:val="22"/>
          <w:szCs w:val="22"/>
        </w:rPr>
        <w:t xml:space="preserve"> </w:t>
      </w:r>
      <w:r w:rsidRPr="00C71404">
        <w:rPr>
          <w:rFonts w:ascii="Garamond" w:hAnsi="Garamond"/>
          <w:b/>
          <w:sz w:val="22"/>
          <w:szCs w:val="22"/>
        </w:rPr>
        <w:t xml:space="preserve">in 2017 </w:t>
      </w:r>
      <w:r w:rsidR="009216C0">
        <w:rPr>
          <w:rFonts w:ascii="Garamond" w:hAnsi="Garamond"/>
          <w:b/>
          <w:sz w:val="22"/>
          <w:szCs w:val="22"/>
        </w:rPr>
        <w:t>and</w:t>
      </w:r>
      <w:r w:rsidR="009216C0" w:rsidRPr="00C71404">
        <w:rPr>
          <w:rFonts w:ascii="Garamond" w:hAnsi="Garamond"/>
          <w:b/>
          <w:sz w:val="22"/>
          <w:szCs w:val="22"/>
        </w:rPr>
        <w:t xml:space="preserve"> </w:t>
      </w:r>
      <w:r w:rsidRPr="00C71404">
        <w:rPr>
          <w:rFonts w:ascii="Garamond" w:hAnsi="Garamond"/>
          <w:b/>
          <w:sz w:val="22"/>
          <w:szCs w:val="22"/>
        </w:rPr>
        <w:t>along the forecast horizon.</w:t>
      </w:r>
    </w:p>
    <w:p w14:paraId="0F5638B4" w14:textId="77777777" w:rsidR="00D03763" w:rsidRDefault="00C7140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Higher-than-</w:t>
      </w:r>
      <w:r w:rsidRPr="00C71404">
        <w:rPr>
          <w:rFonts w:ascii="Garamond" w:hAnsi="Garamond"/>
          <w:sz w:val="22"/>
          <w:szCs w:val="22"/>
        </w:rPr>
        <w:t>expected economic activity in 2017</w:t>
      </w:r>
      <w:r>
        <w:rPr>
          <w:rFonts w:ascii="Garamond" w:hAnsi="Garamond"/>
          <w:sz w:val="22"/>
          <w:szCs w:val="22"/>
        </w:rPr>
        <w:t xml:space="preserve"> has prompted an upside revision of growth expectations for all sectors of the domestic economy. T</w:t>
      </w:r>
      <w:r w:rsidRPr="00C71404">
        <w:rPr>
          <w:rFonts w:ascii="Garamond" w:hAnsi="Garamond"/>
          <w:sz w:val="22"/>
          <w:szCs w:val="22"/>
        </w:rPr>
        <w:t xml:space="preserve">he </w:t>
      </w:r>
      <w:r w:rsidR="00D03763">
        <w:rPr>
          <w:rFonts w:ascii="Garamond" w:hAnsi="Garamond"/>
          <w:sz w:val="22"/>
          <w:szCs w:val="22"/>
        </w:rPr>
        <w:t xml:space="preserve">2017 </w:t>
      </w:r>
      <w:r w:rsidRPr="00C71404">
        <w:rPr>
          <w:rFonts w:ascii="Garamond" w:hAnsi="Garamond"/>
          <w:sz w:val="22"/>
          <w:szCs w:val="22"/>
        </w:rPr>
        <w:t>economic growth</w:t>
      </w:r>
      <w:r>
        <w:rPr>
          <w:rFonts w:ascii="Garamond" w:hAnsi="Garamond"/>
          <w:sz w:val="22"/>
          <w:szCs w:val="22"/>
        </w:rPr>
        <w:t xml:space="preserve">, however, </w:t>
      </w:r>
      <w:r w:rsidR="00D03763">
        <w:rPr>
          <w:rFonts w:ascii="Garamond" w:hAnsi="Garamond"/>
          <w:sz w:val="22"/>
          <w:szCs w:val="22"/>
        </w:rPr>
        <w:t xml:space="preserve">has been mostly due to </w:t>
      </w:r>
      <w:r w:rsidRPr="00C71404">
        <w:rPr>
          <w:rFonts w:ascii="Garamond" w:hAnsi="Garamond"/>
          <w:sz w:val="22"/>
          <w:szCs w:val="22"/>
        </w:rPr>
        <w:t>industr</w:t>
      </w:r>
      <w:r w:rsidR="00D03763">
        <w:rPr>
          <w:rFonts w:ascii="Garamond" w:hAnsi="Garamond"/>
          <w:sz w:val="22"/>
          <w:szCs w:val="22"/>
        </w:rPr>
        <w:t>y and services sectors, with the</w:t>
      </w:r>
      <w:r w:rsidRPr="00C71404">
        <w:rPr>
          <w:rFonts w:ascii="Garamond" w:hAnsi="Garamond"/>
          <w:sz w:val="22"/>
          <w:szCs w:val="22"/>
        </w:rPr>
        <w:t>i</w:t>
      </w:r>
      <w:r w:rsidR="00D03763">
        <w:rPr>
          <w:rFonts w:ascii="Garamond" w:hAnsi="Garamond"/>
          <w:sz w:val="22"/>
          <w:szCs w:val="22"/>
        </w:rPr>
        <w:t>r g</w:t>
      </w:r>
      <w:r w:rsidRPr="00C71404">
        <w:rPr>
          <w:rFonts w:ascii="Garamond" w:hAnsi="Garamond"/>
          <w:sz w:val="22"/>
          <w:szCs w:val="22"/>
        </w:rPr>
        <w:t xml:space="preserve">rowth </w:t>
      </w:r>
      <w:r w:rsidR="00D03763">
        <w:rPr>
          <w:rFonts w:ascii="Garamond" w:hAnsi="Garamond"/>
          <w:sz w:val="22"/>
          <w:szCs w:val="22"/>
        </w:rPr>
        <w:t xml:space="preserve">indicators </w:t>
      </w:r>
      <w:r w:rsidRPr="00C71404">
        <w:rPr>
          <w:rFonts w:ascii="Garamond" w:hAnsi="Garamond"/>
          <w:sz w:val="22"/>
          <w:szCs w:val="22"/>
        </w:rPr>
        <w:t xml:space="preserve">driven by </w:t>
      </w:r>
      <w:r w:rsidR="00D03763">
        <w:rPr>
          <w:rFonts w:ascii="Garamond" w:hAnsi="Garamond"/>
          <w:sz w:val="22"/>
          <w:szCs w:val="22"/>
        </w:rPr>
        <w:t>more favorable developments in both domestic and external demand. Whereas a</w:t>
      </w:r>
      <w:r w:rsidRPr="00C71404">
        <w:rPr>
          <w:rFonts w:ascii="Garamond" w:hAnsi="Garamond"/>
          <w:sz w:val="22"/>
          <w:szCs w:val="22"/>
        </w:rPr>
        <w:t xml:space="preserve">griculture and construction sectors had </w:t>
      </w:r>
      <w:r w:rsidR="00D03763">
        <w:rPr>
          <w:rFonts w:ascii="Garamond" w:hAnsi="Garamond"/>
          <w:sz w:val="22"/>
          <w:szCs w:val="22"/>
        </w:rPr>
        <w:t xml:space="preserve">negative and some positive contributions, respectively. </w:t>
      </w:r>
    </w:p>
    <w:p w14:paraId="79C9FBB9" w14:textId="77777777" w:rsidR="00D03763" w:rsidRDefault="00D03763"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A</w:t>
      </w:r>
      <w:r w:rsidRPr="00D03763">
        <w:rPr>
          <w:rFonts w:ascii="Garamond" w:hAnsi="Garamond"/>
          <w:sz w:val="22"/>
          <w:szCs w:val="22"/>
        </w:rPr>
        <w:t xml:space="preserve">ctual and expected higher growth rates in industry are </w:t>
      </w:r>
      <w:r>
        <w:rPr>
          <w:rFonts w:ascii="Garamond" w:hAnsi="Garamond"/>
          <w:sz w:val="22"/>
          <w:szCs w:val="22"/>
        </w:rPr>
        <w:t xml:space="preserve">determined by </w:t>
      </w:r>
      <w:r w:rsidRPr="00D03763">
        <w:rPr>
          <w:rFonts w:ascii="Garamond" w:hAnsi="Garamond"/>
          <w:sz w:val="22"/>
          <w:szCs w:val="22"/>
        </w:rPr>
        <w:t>higher</w:t>
      </w:r>
      <w:r w:rsidR="00AD3792">
        <w:rPr>
          <w:rFonts w:ascii="Garamond" w:hAnsi="Garamond"/>
          <w:sz w:val="22"/>
          <w:szCs w:val="22"/>
        </w:rPr>
        <w:t xml:space="preserve">-than-expected </w:t>
      </w:r>
      <w:r w:rsidRPr="00D03763">
        <w:rPr>
          <w:rFonts w:ascii="Garamond" w:hAnsi="Garamond"/>
          <w:sz w:val="22"/>
          <w:szCs w:val="22"/>
        </w:rPr>
        <w:t>growth</w:t>
      </w:r>
      <w:r w:rsidR="00AD3792">
        <w:rPr>
          <w:rFonts w:ascii="Garamond" w:hAnsi="Garamond"/>
          <w:sz w:val="22"/>
          <w:szCs w:val="22"/>
        </w:rPr>
        <w:t xml:space="preserve"> rates</w:t>
      </w:r>
      <w:r w:rsidRPr="00D03763">
        <w:rPr>
          <w:rFonts w:ascii="Garamond" w:hAnsi="Garamond"/>
          <w:sz w:val="22"/>
          <w:szCs w:val="22"/>
        </w:rPr>
        <w:t xml:space="preserve"> in</w:t>
      </w:r>
      <w:r>
        <w:rPr>
          <w:rFonts w:ascii="Garamond" w:hAnsi="Garamond"/>
          <w:sz w:val="22"/>
          <w:szCs w:val="22"/>
        </w:rPr>
        <w:t xml:space="preserve"> </w:t>
      </w:r>
      <w:r w:rsidR="00AD3792">
        <w:rPr>
          <w:rFonts w:ascii="Garamond" w:hAnsi="Garamond"/>
          <w:sz w:val="22"/>
          <w:szCs w:val="22"/>
        </w:rPr>
        <w:t xml:space="preserve">the economies of </w:t>
      </w:r>
      <w:r>
        <w:rPr>
          <w:rFonts w:ascii="Garamond" w:hAnsi="Garamond"/>
          <w:sz w:val="22"/>
          <w:szCs w:val="22"/>
        </w:rPr>
        <w:t>Armenia’</w:t>
      </w:r>
      <w:r w:rsidRPr="00D03763">
        <w:rPr>
          <w:rFonts w:ascii="Garamond" w:hAnsi="Garamond"/>
          <w:sz w:val="22"/>
          <w:szCs w:val="22"/>
        </w:rPr>
        <w:t>s trad</w:t>
      </w:r>
      <w:r>
        <w:rPr>
          <w:rFonts w:ascii="Garamond" w:hAnsi="Garamond"/>
          <w:sz w:val="22"/>
          <w:szCs w:val="22"/>
        </w:rPr>
        <w:t>e</w:t>
      </w:r>
      <w:r w:rsidRPr="00D03763">
        <w:rPr>
          <w:rFonts w:ascii="Garamond" w:hAnsi="Garamond"/>
          <w:sz w:val="22"/>
          <w:szCs w:val="22"/>
        </w:rPr>
        <w:t xml:space="preserve"> partner countries</w:t>
      </w:r>
      <w:r w:rsidR="00AD3792">
        <w:rPr>
          <w:rFonts w:ascii="Garamond" w:hAnsi="Garamond"/>
          <w:sz w:val="22"/>
          <w:szCs w:val="22"/>
        </w:rPr>
        <w:t>,</w:t>
      </w:r>
      <w:r w:rsidRPr="00D03763">
        <w:rPr>
          <w:rFonts w:ascii="Garamond" w:hAnsi="Garamond"/>
          <w:sz w:val="22"/>
          <w:szCs w:val="22"/>
        </w:rPr>
        <w:t xml:space="preserve"> as well as high metal</w:t>
      </w:r>
      <w:r w:rsidR="00AD3792">
        <w:rPr>
          <w:rFonts w:ascii="Garamond" w:hAnsi="Garamond"/>
          <w:sz w:val="22"/>
          <w:szCs w:val="22"/>
        </w:rPr>
        <w:t>s</w:t>
      </w:r>
      <w:r w:rsidRPr="00D03763">
        <w:rPr>
          <w:rFonts w:ascii="Garamond" w:hAnsi="Garamond"/>
          <w:sz w:val="22"/>
          <w:szCs w:val="22"/>
        </w:rPr>
        <w:t xml:space="preserve"> prices in international markets.</w:t>
      </w:r>
    </w:p>
    <w:p w14:paraId="54CADA19" w14:textId="134778BC" w:rsidR="00954CC5" w:rsidRDefault="009216C0"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Both actual and projected higher growth rates in services sector are</w:t>
      </w:r>
      <w:r w:rsidR="00E53D04">
        <w:rPr>
          <w:rFonts w:ascii="Garamond" w:hAnsi="Garamond"/>
          <w:sz w:val="22"/>
          <w:szCs w:val="22"/>
        </w:rPr>
        <w:t xml:space="preserve"> </w:t>
      </w:r>
      <w:r w:rsidR="005D2BEC">
        <w:rPr>
          <w:rFonts w:ascii="Garamond" w:hAnsi="Garamond"/>
          <w:sz w:val="22"/>
          <w:szCs w:val="22"/>
        </w:rPr>
        <w:t xml:space="preserve">reflecting </w:t>
      </w:r>
      <w:r w:rsidR="00D92ED6" w:rsidRPr="00626752">
        <w:rPr>
          <w:rFonts w:ascii="Garamond" w:hAnsi="Garamond"/>
          <w:sz w:val="22"/>
          <w:szCs w:val="22"/>
        </w:rPr>
        <w:t xml:space="preserve">an upside revision of growth in private sector spending as well as </w:t>
      </w:r>
      <w:r w:rsidR="005D2BEC">
        <w:rPr>
          <w:rFonts w:ascii="Garamond" w:hAnsi="Garamond"/>
          <w:sz w:val="22"/>
          <w:szCs w:val="22"/>
        </w:rPr>
        <w:t>more favorable developments i</w:t>
      </w:r>
      <w:r w:rsidR="00D92ED6" w:rsidRPr="00626752">
        <w:rPr>
          <w:rFonts w:ascii="Garamond" w:hAnsi="Garamond"/>
          <w:sz w:val="22"/>
          <w:szCs w:val="22"/>
        </w:rPr>
        <w:t>n the tourism industry</w:t>
      </w:r>
      <w:r w:rsidR="005D2BEC">
        <w:rPr>
          <w:rFonts w:ascii="Garamond" w:hAnsi="Garamond"/>
          <w:sz w:val="22"/>
          <w:szCs w:val="22"/>
        </w:rPr>
        <w:t xml:space="preserve">. </w:t>
      </w:r>
    </w:p>
    <w:p w14:paraId="051DCE86" w14:textId="77777777" w:rsidR="00E713AF" w:rsidRDefault="00954CC5"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anticipation is that </w:t>
      </w:r>
      <w:r w:rsidRPr="00954CC5">
        <w:rPr>
          <w:rFonts w:ascii="Garamond" w:hAnsi="Garamond"/>
          <w:sz w:val="22"/>
          <w:szCs w:val="22"/>
        </w:rPr>
        <w:t>high growth</w:t>
      </w:r>
      <w:r>
        <w:rPr>
          <w:rFonts w:ascii="Garamond" w:hAnsi="Garamond"/>
          <w:sz w:val="22"/>
          <w:szCs w:val="22"/>
        </w:rPr>
        <w:t>s</w:t>
      </w:r>
      <w:r w:rsidRPr="00954CC5">
        <w:rPr>
          <w:rFonts w:ascii="Garamond" w:hAnsi="Garamond"/>
          <w:sz w:val="22"/>
          <w:szCs w:val="22"/>
        </w:rPr>
        <w:t xml:space="preserve"> in industry and services will </w:t>
      </w:r>
      <w:r>
        <w:rPr>
          <w:rFonts w:ascii="Garamond" w:hAnsi="Garamond"/>
          <w:sz w:val="22"/>
          <w:szCs w:val="22"/>
        </w:rPr>
        <w:t>decrease to a certain extent</w:t>
      </w:r>
      <w:r w:rsidRPr="00954CC5">
        <w:rPr>
          <w:rFonts w:ascii="Garamond" w:hAnsi="Garamond"/>
          <w:sz w:val="22"/>
          <w:szCs w:val="22"/>
        </w:rPr>
        <w:t xml:space="preserve"> in 2018 but will</w:t>
      </w:r>
      <w:r>
        <w:rPr>
          <w:rFonts w:ascii="Garamond" w:hAnsi="Garamond"/>
          <w:sz w:val="22"/>
          <w:szCs w:val="22"/>
        </w:rPr>
        <w:t xml:space="preserve"> nevertheless</w:t>
      </w:r>
      <w:r w:rsidRPr="00954CC5">
        <w:rPr>
          <w:rFonts w:ascii="Garamond" w:hAnsi="Garamond"/>
          <w:sz w:val="22"/>
          <w:szCs w:val="22"/>
        </w:rPr>
        <w:t xml:space="preserve"> </w:t>
      </w:r>
      <w:r>
        <w:rPr>
          <w:rFonts w:ascii="Garamond" w:hAnsi="Garamond"/>
          <w:sz w:val="22"/>
          <w:szCs w:val="22"/>
        </w:rPr>
        <w:t>persist at high levels in the forecast</w:t>
      </w:r>
      <w:r w:rsidRPr="00954CC5">
        <w:rPr>
          <w:rFonts w:ascii="Garamond" w:hAnsi="Garamond"/>
          <w:sz w:val="22"/>
          <w:szCs w:val="22"/>
        </w:rPr>
        <w:t xml:space="preserve"> horizon. As a result, the economic growth of 2018-2020 will </w:t>
      </w:r>
      <w:r w:rsidRPr="00954CC5">
        <w:rPr>
          <w:rFonts w:ascii="Garamond" w:hAnsi="Garamond"/>
          <w:sz w:val="22"/>
          <w:szCs w:val="22"/>
        </w:rPr>
        <w:lastRenderedPageBreak/>
        <w:t xml:space="preserve">be higher </w:t>
      </w:r>
      <w:r w:rsidR="0035481F">
        <w:rPr>
          <w:rFonts w:ascii="Garamond" w:hAnsi="Garamond"/>
          <w:sz w:val="22"/>
          <w:szCs w:val="22"/>
        </w:rPr>
        <w:t xml:space="preserve">compared to </w:t>
      </w:r>
      <w:r w:rsidRPr="00954CC5">
        <w:rPr>
          <w:rFonts w:ascii="Garamond" w:hAnsi="Garamond"/>
          <w:sz w:val="22"/>
          <w:szCs w:val="22"/>
        </w:rPr>
        <w:t xml:space="preserve">previous </w:t>
      </w:r>
      <w:r w:rsidR="0035481F">
        <w:rPr>
          <w:rFonts w:ascii="Garamond" w:hAnsi="Garamond"/>
          <w:sz w:val="22"/>
          <w:szCs w:val="22"/>
        </w:rPr>
        <w:t>forecasts</w:t>
      </w:r>
      <w:r w:rsidRPr="00954CC5">
        <w:rPr>
          <w:rFonts w:ascii="Garamond" w:hAnsi="Garamond"/>
          <w:sz w:val="22"/>
          <w:szCs w:val="22"/>
        </w:rPr>
        <w:t>, and at the end of the forecast horizon it will be close to its potential.</w:t>
      </w:r>
      <w:r w:rsidR="0035481F">
        <w:rPr>
          <w:rFonts w:ascii="Garamond" w:hAnsi="Garamond"/>
          <w:sz w:val="22"/>
          <w:szCs w:val="22"/>
        </w:rPr>
        <w:t xml:space="preserve"> </w:t>
      </w:r>
    </w:p>
    <w:p w14:paraId="63888B32" w14:textId="77777777" w:rsidR="00BE69EE" w:rsidRDefault="00E713AF"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2018 the current account deficit-to-GDP ratio </w:t>
      </w:r>
      <w:r>
        <w:rPr>
          <w:rFonts w:ascii="Garamond" w:hAnsi="Garamond"/>
          <w:sz w:val="22"/>
          <w:szCs w:val="22"/>
        </w:rPr>
        <w:t xml:space="preserve">will be in line with </w:t>
      </w:r>
      <w:r w:rsidRPr="00626752">
        <w:rPr>
          <w:rFonts w:ascii="Garamond" w:hAnsi="Garamond"/>
          <w:sz w:val="22"/>
          <w:szCs w:val="22"/>
        </w:rPr>
        <w:t>previous forecasts</w:t>
      </w:r>
      <w:r>
        <w:rPr>
          <w:rFonts w:ascii="Garamond" w:hAnsi="Garamond"/>
          <w:sz w:val="22"/>
          <w:szCs w:val="22"/>
        </w:rPr>
        <w:t>.</w:t>
      </w:r>
      <w:r w:rsidRPr="00626752">
        <w:rPr>
          <w:rFonts w:ascii="Garamond" w:hAnsi="Garamond"/>
          <w:sz w:val="22"/>
          <w:szCs w:val="22"/>
        </w:rPr>
        <w:t xml:space="preserve"> </w:t>
      </w:r>
      <w:r>
        <w:rPr>
          <w:rFonts w:ascii="Garamond" w:hAnsi="Garamond"/>
          <w:sz w:val="22"/>
          <w:szCs w:val="22"/>
        </w:rPr>
        <w:t>In the medium</w:t>
      </w:r>
      <w:r w:rsidR="004D5BD5">
        <w:rPr>
          <w:rFonts w:ascii="Garamond" w:hAnsi="Garamond"/>
          <w:sz w:val="22"/>
          <w:szCs w:val="22"/>
        </w:rPr>
        <w:t xml:space="preserve"> run too</w:t>
      </w:r>
      <w:r w:rsidRPr="00E713AF">
        <w:rPr>
          <w:rFonts w:ascii="Garamond" w:hAnsi="Garamond"/>
          <w:sz w:val="22"/>
          <w:szCs w:val="22"/>
        </w:rPr>
        <w:t>, th</w:t>
      </w:r>
      <w:r w:rsidR="004D5BD5">
        <w:rPr>
          <w:rFonts w:ascii="Garamond" w:hAnsi="Garamond"/>
          <w:sz w:val="22"/>
          <w:szCs w:val="22"/>
        </w:rPr>
        <w:t xml:space="preserve">e forecasts of this </w:t>
      </w:r>
      <w:r w:rsidRPr="00E713AF">
        <w:rPr>
          <w:rFonts w:ascii="Garamond" w:hAnsi="Garamond"/>
          <w:sz w:val="22"/>
          <w:szCs w:val="22"/>
        </w:rPr>
        <w:t xml:space="preserve">indicator will be </w:t>
      </w:r>
      <w:r w:rsidR="004D5BD5">
        <w:rPr>
          <w:rFonts w:ascii="Garamond" w:hAnsi="Garamond"/>
          <w:sz w:val="22"/>
          <w:szCs w:val="22"/>
        </w:rPr>
        <w:t xml:space="preserve">commensurate with </w:t>
      </w:r>
      <w:r w:rsidRPr="00E713AF">
        <w:rPr>
          <w:rFonts w:ascii="Garamond" w:hAnsi="Garamond"/>
          <w:sz w:val="22"/>
          <w:szCs w:val="22"/>
        </w:rPr>
        <w:t>the previous program</w:t>
      </w:r>
      <w:r w:rsidR="004D5BD5">
        <w:rPr>
          <w:rFonts w:ascii="Garamond" w:hAnsi="Garamond"/>
          <w:sz w:val="22"/>
          <w:szCs w:val="22"/>
        </w:rPr>
        <w:t xml:space="preserve">. </w:t>
      </w:r>
    </w:p>
    <w:p w14:paraId="0850F6ED" w14:textId="77777777" w:rsidR="00015947" w:rsidRDefault="00BE69EE" w:rsidP="00EE619D">
      <w:pPr>
        <w:autoSpaceDE w:val="0"/>
        <w:autoSpaceDN w:val="0"/>
        <w:adjustRightInd w:val="0"/>
        <w:spacing w:after="120" w:line="360" w:lineRule="auto"/>
        <w:jc w:val="both"/>
        <w:rPr>
          <w:rFonts w:ascii="Garamond" w:hAnsi="Garamond"/>
          <w:sz w:val="22"/>
          <w:szCs w:val="22"/>
        </w:rPr>
      </w:pPr>
      <w:r w:rsidRPr="00015947">
        <w:rPr>
          <w:rFonts w:ascii="Garamond" w:hAnsi="Garamond"/>
          <w:b/>
          <w:sz w:val="22"/>
          <w:szCs w:val="22"/>
        </w:rPr>
        <w:t>Compared to the previous forecast, the 2018 fiscal sector impact assessment did not change; it will be 0.9 pp expansionary against 2017.</w:t>
      </w:r>
      <w:r>
        <w:rPr>
          <w:rFonts w:ascii="Garamond" w:hAnsi="Garamond"/>
          <w:sz w:val="22"/>
          <w:szCs w:val="22"/>
        </w:rPr>
        <w:t xml:space="preserve"> </w:t>
      </w:r>
    </w:p>
    <w:p w14:paraId="251D9BF2" w14:textId="77777777" w:rsidR="00015947" w:rsidRDefault="00F51CC3"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According to the current forecast, a</w:t>
      </w:r>
      <w:r w:rsidR="00015947">
        <w:rPr>
          <w:rFonts w:ascii="Garamond" w:hAnsi="Garamond"/>
          <w:b/>
          <w:sz w:val="22"/>
          <w:szCs w:val="22"/>
        </w:rPr>
        <w:t>l</w:t>
      </w:r>
      <w:r w:rsidR="00015947" w:rsidRPr="00015947">
        <w:rPr>
          <w:rFonts w:ascii="Garamond" w:hAnsi="Garamond"/>
          <w:b/>
          <w:sz w:val="22"/>
          <w:szCs w:val="22"/>
        </w:rPr>
        <w:t xml:space="preserve">though </w:t>
      </w:r>
      <w:r w:rsidR="00015947">
        <w:rPr>
          <w:rFonts w:ascii="Garamond" w:hAnsi="Garamond"/>
          <w:b/>
          <w:sz w:val="22"/>
          <w:szCs w:val="22"/>
        </w:rPr>
        <w:t xml:space="preserve">running </w:t>
      </w:r>
      <w:r w:rsidR="00015947" w:rsidRPr="00015947">
        <w:rPr>
          <w:rFonts w:ascii="Garamond" w:hAnsi="Garamond"/>
          <w:b/>
          <w:sz w:val="22"/>
          <w:szCs w:val="22"/>
        </w:rPr>
        <w:t xml:space="preserve">higher </w:t>
      </w:r>
      <w:r>
        <w:rPr>
          <w:rFonts w:ascii="Garamond" w:hAnsi="Garamond"/>
          <w:b/>
          <w:sz w:val="22"/>
          <w:szCs w:val="22"/>
        </w:rPr>
        <w:t xml:space="preserve">in the short run </w:t>
      </w:r>
      <w:r w:rsidR="00015947">
        <w:rPr>
          <w:rFonts w:ascii="Garamond" w:hAnsi="Garamond"/>
          <w:b/>
          <w:sz w:val="22"/>
          <w:szCs w:val="22"/>
        </w:rPr>
        <w:t>compared to</w:t>
      </w:r>
      <w:r w:rsidR="00015947" w:rsidRPr="00015947">
        <w:rPr>
          <w:rFonts w:ascii="Garamond" w:hAnsi="Garamond"/>
          <w:b/>
          <w:sz w:val="22"/>
          <w:szCs w:val="22"/>
        </w:rPr>
        <w:t xml:space="preserve"> the previous forecast, </w:t>
      </w:r>
      <w:r>
        <w:rPr>
          <w:rFonts w:ascii="Garamond" w:hAnsi="Garamond"/>
          <w:b/>
          <w:sz w:val="22"/>
          <w:szCs w:val="22"/>
        </w:rPr>
        <w:t>the inflation will however decline i</w:t>
      </w:r>
      <w:r w:rsidR="00015947" w:rsidRPr="00015947">
        <w:rPr>
          <w:rFonts w:ascii="Garamond" w:hAnsi="Garamond"/>
          <w:b/>
          <w:sz w:val="22"/>
          <w:szCs w:val="22"/>
        </w:rPr>
        <w:t xml:space="preserve">n the future </w:t>
      </w:r>
      <w:r>
        <w:rPr>
          <w:rFonts w:ascii="Garamond" w:hAnsi="Garamond"/>
          <w:b/>
          <w:sz w:val="22"/>
          <w:szCs w:val="22"/>
        </w:rPr>
        <w:t xml:space="preserve">as very strong </w:t>
      </w:r>
      <w:r w:rsidR="00015947" w:rsidRPr="00015947">
        <w:rPr>
          <w:rFonts w:ascii="Garamond" w:hAnsi="Garamond"/>
          <w:b/>
          <w:sz w:val="22"/>
          <w:szCs w:val="22"/>
        </w:rPr>
        <w:t xml:space="preserve">growth rates of demand </w:t>
      </w:r>
      <w:r>
        <w:rPr>
          <w:rFonts w:ascii="Garamond" w:hAnsi="Garamond"/>
          <w:b/>
          <w:sz w:val="22"/>
          <w:szCs w:val="22"/>
        </w:rPr>
        <w:t xml:space="preserve">are anticipated to slow down and expansionary </w:t>
      </w:r>
      <w:r w:rsidR="00015947" w:rsidRPr="00015947">
        <w:rPr>
          <w:rFonts w:ascii="Garamond" w:hAnsi="Garamond"/>
          <w:b/>
          <w:sz w:val="22"/>
          <w:szCs w:val="22"/>
        </w:rPr>
        <w:t xml:space="preserve">monetary </w:t>
      </w:r>
      <w:r>
        <w:rPr>
          <w:rFonts w:ascii="Garamond" w:hAnsi="Garamond"/>
          <w:b/>
          <w:sz w:val="22"/>
          <w:szCs w:val="22"/>
        </w:rPr>
        <w:t xml:space="preserve">policy </w:t>
      </w:r>
      <w:r w:rsidR="00015947" w:rsidRPr="00015947">
        <w:rPr>
          <w:rFonts w:ascii="Garamond" w:hAnsi="Garamond"/>
          <w:b/>
          <w:sz w:val="22"/>
          <w:szCs w:val="22"/>
        </w:rPr>
        <w:t xml:space="preserve">conditions </w:t>
      </w:r>
      <w:r>
        <w:rPr>
          <w:rFonts w:ascii="Garamond" w:hAnsi="Garamond"/>
          <w:b/>
          <w:sz w:val="22"/>
          <w:szCs w:val="22"/>
        </w:rPr>
        <w:t xml:space="preserve">gradually phase out in the medium-term perspective. </w:t>
      </w:r>
      <w:r w:rsidR="00015947" w:rsidRPr="00015947">
        <w:rPr>
          <w:rFonts w:ascii="Garamond" w:hAnsi="Garamond"/>
          <w:b/>
          <w:sz w:val="22"/>
          <w:szCs w:val="22"/>
        </w:rPr>
        <w:t>As a result, in the m</w:t>
      </w:r>
      <w:r w:rsidR="008C15E2">
        <w:rPr>
          <w:rFonts w:ascii="Garamond" w:hAnsi="Garamond"/>
          <w:b/>
          <w:sz w:val="22"/>
          <w:szCs w:val="22"/>
        </w:rPr>
        <w:t>edium run</w:t>
      </w:r>
      <w:r w:rsidR="00015947" w:rsidRPr="00015947">
        <w:rPr>
          <w:rFonts w:ascii="Garamond" w:hAnsi="Garamond"/>
          <w:b/>
          <w:sz w:val="22"/>
          <w:szCs w:val="22"/>
        </w:rPr>
        <w:t xml:space="preserve"> the inflation will </w:t>
      </w:r>
      <w:r w:rsidR="008C15E2">
        <w:rPr>
          <w:rFonts w:ascii="Garamond" w:hAnsi="Garamond"/>
          <w:b/>
          <w:sz w:val="22"/>
          <w:szCs w:val="22"/>
        </w:rPr>
        <w:t xml:space="preserve">be </w:t>
      </w:r>
      <w:r w:rsidR="00015947" w:rsidRPr="00015947">
        <w:rPr>
          <w:rFonts w:ascii="Garamond" w:hAnsi="Garamond"/>
          <w:b/>
          <w:sz w:val="22"/>
          <w:szCs w:val="22"/>
        </w:rPr>
        <w:t xml:space="preserve">slightly lower </w:t>
      </w:r>
      <w:r w:rsidR="008C15E2">
        <w:rPr>
          <w:rFonts w:ascii="Garamond" w:hAnsi="Garamond"/>
          <w:b/>
          <w:sz w:val="22"/>
          <w:szCs w:val="22"/>
        </w:rPr>
        <w:t xml:space="preserve">from </w:t>
      </w:r>
      <w:r w:rsidR="00015947" w:rsidRPr="00015947">
        <w:rPr>
          <w:rFonts w:ascii="Garamond" w:hAnsi="Garamond"/>
          <w:b/>
          <w:sz w:val="22"/>
          <w:szCs w:val="22"/>
        </w:rPr>
        <w:t>the previous forecast</w:t>
      </w:r>
      <w:r w:rsidR="008C15E2">
        <w:rPr>
          <w:rFonts w:ascii="Garamond" w:hAnsi="Garamond"/>
          <w:b/>
          <w:sz w:val="22"/>
          <w:szCs w:val="22"/>
        </w:rPr>
        <w:t>, s</w:t>
      </w:r>
      <w:r w:rsidR="00015947" w:rsidRPr="00015947">
        <w:rPr>
          <w:rFonts w:ascii="Garamond" w:hAnsi="Garamond"/>
          <w:b/>
          <w:sz w:val="22"/>
          <w:szCs w:val="22"/>
        </w:rPr>
        <w:t>tabiliz</w:t>
      </w:r>
      <w:r w:rsidR="008C15E2">
        <w:rPr>
          <w:rFonts w:ascii="Garamond" w:hAnsi="Garamond"/>
          <w:b/>
          <w:sz w:val="22"/>
          <w:szCs w:val="22"/>
        </w:rPr>
        <w:t xml:space="preserve">ing around </w:t>
      </w:r>
      <w:r w:rsidR="00015947" w:rsidRPr="00015947">
        <w:rPr>
          <w:rFonts w:ascii="Garamond" w:hAnsi="Garamond"/>
          <w:b/>
          <w:sz w:val="22"/>
          <w:szCs w:val="22"/>
        </w:rPr>
        <w:t>the target.</w:t>
      </w:r>
    </w:p>
    <w:p w14:paraId="7BF44F14" w14:textId="1E53B521" w:rsidR="002A0418" w:rsidRDefault="00BF7602" w:rsidP="00EE619D">
      <w:pPr>
        <w:autoSpaceDE w:val="0"/>
        <w:autoSpaceDN w:val="0"/>
        <w:adjustRightInd w:val="0"/>
        <w:spacing w:after="120" w:line="360" w:lineRule="auto"/>
        <w:jc w:val="both"/>
        <w:rPr>
          <w:rFonts w:ascii="Garamond" w:hAnsi="Garamond"/>
          <w:sz w:val="22"/>
          <w:szCs w:val="22"/>
        </w:rPr>
      </w:pPr>
      <w:r w:rsidRPr="00F25D87">
        <w:rPr>
          <w:rFonts w:ascii="Garamond" w:hAnsi="Garamond"/>
          <w:sz w:val="22"/>
          <w:szCs w:val="22"/>
        </w:rPr>
        <w:t xml:space="preserve">In short-term, higher inflation was mainly driven by </w:t>
      </w:r>
      <w:r w:rsidR="00F25D87">
        <w:rPr>
          <w:rFonts w:ascii="Garamond" w:hAnsi="Garamond"/>
          <w:sz w:val="22"/>
          <w:szCs w:val="22"/>
        </w:rPr>
        <w:t xml:space="preserve">strong growth rates of </w:t>
      </w:r>
      <w:r w:rsidRPr="00F25D87">
        <w:rPr>
          <w:rFonts w:ascii="Garamond" w:hAnsi="Garamond"/>
          <w:sz w:val="22"/>
          <w:szCs w:val="22"/>
        </w:rPr>
        <w:t>demand and</w:t>
      </w:r>
      <w:r w:rsidRPr="00BF7602">
        <w:rPr>
          <w:rFonts w:ascii="Garamond" w:hAnsi="Garamond"/>
          <w:sz w:val="22"/>
          <w:szCs w:val="22"/>
        </w:rPr>
        <w:t xml:space="preserve"> higher international prices for raw materials</w:t>
      </w:r>
      <w:r w:rsidR="00F25D87">
        <w:rPr>
          <w:rFonts w:ascii="Garamond" w:hAnsi="Garamond"/>
          <w:sz w:val="22"/>
          <w:szCs w:val="22"/>
        </w:rPr>
        <w:t xml:space="preserve"> </w:t>
      </w:r>
      <w:r w:rsidR="00F25D87" w:rsidRPr="00F25D87">
        <w:rPr>
          <w:rFonts w:ascii="Garamond" w:hAnsi="Garamond"/>
          <w:sz w:val="22"/>
          <w:szCs w:val="22"/>
        </w:rPr>
        <w:t>in the fourth quarter</w:t>
      </w:r>
      <w:r w:rsidRPr="00BF7602">
        <w:rPr>
          <w:rFonts w:ascii="Garamond" w:hAnsi="Garamond"/>
          <w:sz w:val="22"/>
          <w:szCs w:val="22"/>
        </w:rPr>
        <w:t xml:space="preserve">, while no substantial changes in seasonal commodity prices and </w:t>
      </w:r>
      <w:r w:rsidR="00F25D87">
        <w:rPr>
          <w:rFonts w:ascii="Garamond" w:hAnsi="Garamond"/>
          <w:sz w:val="22"/>
          <w:szCs w:val="22"/>
        </w:rPr>
        <w:t>administrative regulation</w:t>
      </w:r>
      <w:r w:rsidR="00F25D87" w:rsidRPr="00BF7602">
        <w:rPr>
          <w:rFonts w:ascii="Garamond" w:hAnsi="Garamond"/>
          <w:sz w:val="22"/>
          <w:szCs w:val="22"/>
        </w:rPr>
        <w:t xml:space="preserve"> </w:t>
      </w:r>
      <w:r w:rsidRPr="00BF7602">
        <w:rPr>
          <w:rFonts w:ascii="Garamond" w:hAnsi="Garamond"/>
          <w:sz w:val="22"/>
          <w:szCs w:val="22"/>
        </w:rPr>
        <w:t>tariff</w:t>
      </w:r>
      <w:r w:rsidR="00F25D87">
        <w:rPr>
          <w:rFonts w:ascii="Garamond" w:hAnsi="Garamond"/>
          <w:sz w:val="22"/>
          <w:szCs w:val="22"/>
        </w:rPr>
        <w:t xml:space="preserve">s </w:t>
      </w:r>
      <w:r w:rsidRPr="00BF7602">
        <w:rPr>
          <w:rFonts w:ascii="Garamond" w:hAnsi="Garamond"/>
          <w:sz w:val="22"/>
          <w:szCs w:val="22"/>
        </w:rPr>
        <w:t xml:space="preserve">were </w:t>
      </w:r>
      <w:r w:rsidR="00290287">
        <w:rPr>
          <w:rFonts w:ascii="Garamond" w:hAnsi="Garamond"/>
          <w:sz w:val="22"/>
          <w:szCs w:val="22"/>
        </w:rPr>
        <w:t>observed</w:t>
      </w:r>
      <w:r w:rsidRPr="00BF7602">
        <w:rPr>
          <w:rFonts w:ascii="Garamond" w:hAnsi="Garamond"/>
          <w:sz w:val="22"/>
          <w:szCs w:val="22"/>
        </w:rPr>
        <w:t xml:space="preserve">. In the first quarter of 2018, </w:t>
      </w:r>
      <w:r w:rsidR="00F25D87">
        <w:rPr>
          <w:rFonts w:ascii="Garamond" w:hAnsi="Garamond"/>
          <w:sz w:val="22"/>
          <w:szCs w:val="22"/>
        </w:rPr>
        <w:t>core</w:t>
      </w:r>
      <w:r w:rsidRPr="00BF7602">
        <w:rPr>
          <w:rFonts w:ascii="Garamond" w:hAnsi="Garamond"/>
          <w:sz w:val="22"/>
          <w:szCs w:val="22"/>
        </w:rPr>
        <w:t xml:space="preserve"> inflation will also accelerate as a result of change in tax and customs legislation</w:t>
      </w:r>
      <w:r w:rsidR="00F25D87">
        <w:rPr>
          <w:rFonts w:ascii="Garamond" w:hAnsi="Garamond"/>
          <w:sz w:val="22"/>
          <w:szCs w:val="22"/>
        </w:rPr>
        <w:t xml:space="preserve"> recently</w:t>
      </w:r>
      <w:r w:rsidRPr="00BF7602">
        <w:rPr>
          <w:rFonts w:ascii="Garamond" w:hAnsi="Garamond"/>
          <w:sz w:val="22"/>
          <w:szCs w:val="22"/>
        </w:rPr>
        <w:t xml:space="preserve">, the expected </w:t>
      </w:r>
      <w:r w:rsidR="00F25D87">
        <w:rPr>
          <w:rFonts w:ascii="Garamond" w:hAnsi="Garamond"/>
          <w:sz w:val="22"/>
          <w:szCs w:val="22"/>
        </w:rPr>
        <w:t>extent of which h</w:t>
      </w:r>
      <w:r w:rsidRPr="00BF7602">
        <w:rPr>
          <w:rFonts w:ascii="Garamond" w:hAnsi="Garamond"/>
          <w:sz w:val="22"/>
          <w:szCs w:val="22"/>
        </w:rPr>
        <w:t xml:space="preserve">as </w:t>
      </w:r>
      <w:r w:rsidR="00F25D87">
        <w:rPr>
          <w:rFonts w:ascii="Garamond" w:hAnsi="Garamond"/>
          <w:sz w:val="22"/>
          <w:szCs w:val="22"/>
        </w:rPr>
        <w:t xml:space="preserve">been </w:t>
      </w:r>
      <w:r w:rsidRPr="00BF7602">
        <w:rPr>
          <w:rFonts w:ascii="Garamond" w:hAnsi="Garamond"/>
          <w:sz w:val="22"/>
          <w:szCs w:val="22"/>
        </w:rPr>
        <w:t>pr</w:t>
      </w:r>
      <w:r w:rsidR="00F25D87">
        <w:rPr>
          <w:rFonts w:ascii="Garamond" w:hAnsi="Garamond"/>
          <w:sz w:val="22"/>
          <w:szCs w:val="22"/>
        </w:rPr>
        <w:t xml:space="preserve">ovided </w:t>
      </w:r>
      <w:r w:rsidR="00290287">
        <w:rPr>
          <w:rFonts w:ascii="Garamond" w:hAnsi="Garamond"/>
          <w:sz w:val="22"/>
          <w:szCs w:val="22"/>
        </w:rPr>
        <w:t xml:space="preserve">in the </w:t>
      </w:r>
      <w:r w:rsidRPr="00BF7602">
        <w:rPr>
          <w:rFonts w:ascii="Garamond" w:hAnsi="Garamond"/>
          <w:sz w:val="22"/>
          <w:szCs w:val="22"/>
        </w:rPr>
        <w:t>Inflation Report</w:t>
      </w:r>
      <w:r w:rsidR="00F25D87">
        <w:rPr>
          <w:rFonts w:ascii="Garamond" w:hAnsi="Garamond"/>
          <w:sz w:val="22"/>
          <w:szCs w:val="22"/>
        </w:rPr>
        <w:t xml:space="preserve"> for the fourth quarter of 2017</w:t>
      </w:r>
      <w:r w:rsidRPr="00BF7602">
        <w:rPr>
          <w:rFonts w:ascii="Garamond" w:hAnsi="Garamond"/>
          <w:sz w:val="22"/>
          <w:szCs w:val="22"/>
        </w:rPr>
        <w:t>. It should be noted that</w:t>
      </w:r>
      <w:r w:rsidR="00F636AD">
        <w:rPr>
          <w:rFonts w:ascii="Garamond" w:hAnsi="Garamond"/>
          <w:sz w:val="22"/>
          <w:szCs w:val="22"/>
        </w:rPr>
        <w:t>,</w:t>
      </w:r>
      <w:r w:rsidRPr="00BF7602">
        <w:rPr>
          <w:rFonts w:ascii="Garamond" w:hAnsi="Garamond"/>
          <w:sz w:val="22"/>
          <w:szCs w:val="22"/>
        </w:rPr>
        <w:t xml:space="preserve"> according to </w:t>
      </w:r>
      <w:r w:rsidR="00F636AD">
        <w:rPr>
          <w:rFonts w:ascii="Garamond" w:hAnsi="Garamond"/>
          <w:sz w:val="22"/>
          <w:szCs w:val="22"/>
        </w:rPr>
        <w:t>January</w:t>
      </w:r>
      <w:r w:rsidRPr="00BF7602">
        <w:rPr>
          <w:rFonts w:ascii="Garamond" w:hAnsi="Garamond"/>
          <w:sz w:val="22"/>
          <w:szCs w:val="22"/>
        </w:rPr>
        <w:t xml:space="preserve"> data</w:t>
      </w:r>
      <w:r w:rsidR="00F636AD">
        <w:rPr>
          <w:rFonts w:ascii="Garamond" w:hAnsi="Garamond"/>
          <w:sz w:val="22"/>
          <w:szCs w:val="22"/>
        </w:rPr>
        <w:t xml:space="preserve">, there was </w:t>
      </w:r>
      <w:r w:rsidRPr="00BF7602">
        <w:rPr>
          <w:rFonts w:ascii="Garamond" w:hAnsi="Garamond"/>
          <w:sz w:val="22"/>
          <w:szCs w:val="22"/>
        </w:rPr>
        <w:t xml:space="preserve">contribution </w:t>
      </w:r>
      <w:r w:rsidR="00F636AD">
        <w:rPr>
          <w:rFonts w:ascii="Garamond" w:hAnsi="Garamond"/>
          <w:sz w:val="22"/>
          <w:szCs w:val="22"/>
        </w:rPr>
        <w:t>adequate to that estimation</w:t>
      </w:r>
      <w:r w:rsidRPr="00BF7602">
        <w:rPr>
          <w:rFonts w:ascii="Garamond" w:hAnsi="Garamond"/>
          <w:sz w:val="22"/>
          <w:szCs w:val="22"/>
        </w:rPr>
        <w:t xml:space="preserve">. </w:t>
      </w:r>
      <w:r w:rsidR="00BC5861">
        <w:rPr>
          <w:rFonts w:ascii="Garamond" w:hAnsi="Garamond"/>
          <w:sz w:val="22"/>
          <w:szCs w:val="22"/>
        </w:rPr>
        <w:t>The s</w:t>
      </w:r>
      <w:r w:rsidRPr="00BF7602">
        <w:rPr>
          <w:rFonts w:ascii="Garamond" w:hAnsi="Garamond"/>
          <w:sz w:val="22"/>
          <w:szCs w:val="22"/>
        </w:rPr>
        <w:t>easonal agricultural price</w:t>
      </w:r>
      <w:r w:rsidR="00BC5861">
        <w:rPr>
          <w:rFonts w:ascii="Garamond" w:hAnsi="Garamond"/>
          <w:sz w:val="22"/>
          <w:szCs w:val="22"/>
        </w:rPr>
        <w:t xml:space="preserve"> inflation i</w:t>
      </w:r>
      <w:r w:rsidRPr="00BF7602">
        <w:rPr>
          <w:rFonts w:ascii="Garamond" w:hAnsi="Garamond"/>
          <w:sz w:val="22"/>
          <w:szCs w:val="22"/>
        </w:rPr>
        <w:t>s lower than anticipated, despite a certain increase. The latte</w:t>
      </w:r>
      <w:r w:rsidR="00BC5861">
        <w:rPr>
          <w:rFonts w:ascii="Garamond" w:hAnsi="Garamond"/>
          <w:sz w:val="22"/>
          <w:szCs w:val="22"/>
        </w:rPr>
        <w:t>r will somewhat increase over</w:t>
      </w:r>
      <w:r w:rsidRPr="00BF7602">
        <w:rPr>
          <w:rFonts w:ascii="Garamond" w:hAnsi="Garamond"/>
          <w:sz w:val="22"/>
          <w:szCs w:val="22"/>
        </w:rPr>
        <w:t xml:space="preserve"> </w:t>
      </w:r>
      <w:r w:rsidR="00BC5861">
        <w:rPr>
          <w:rFonts w:ascii="Garamond" w:hAnsi="Garamond"/>
          <w:sz w:val="22"/>
          <w:szCs w:val="22"/>
        </w:rPr>
        <w:t xml:space="preserve">2018 and in </w:t>
      </w:r>
      <w:r w:rsidRPr="00BF7602">
        <w:rPr>
          <w:rFonts w:ascii="Garamond" w:hAnsi="Garamond"/>
          <w:sz w:val="22"/>
          <w:szCs w:val="22"/>
        </w:rPr>
        <w:t xml:space="preserve">the medium </w:t>
      </w:r>
      <w:r w:rsidR="00BC5861">
        <w:rPr>
          <w:rFonts w:ascii="Garamond" w:hAnsi="Garamond"/>
          <w:sz w:val="22"/>
          <w:szCs w:val="22"/>
        </w:rPr>
        <w:t>run</w:t>
      </w:r>
      <w:r w:rsidRPr="00BF7602">
        <w:rPr>
          <w:rFonts w:ascii="Garamond" w:hAnsi="Garamond"/>
          <w:sz w:val="22"/>
          <w:szCs w:val="22"/>
        </w:rPr>
        <w:t xml:space="preserve"> </w:t>
      </w:r>
      <w:r w:rsidR="00FF75EE">
        <w:rPr>
          <w:rFonts w:ascii="Garamond" w:hAnsi="Garamond"/>
          <w:sz w:val="22"/>
          <w:szCs w:val="22"/>
        </w:rPr>
        <w:t xml:space="preserve">also in anticipation of </w:t>
      </w:r>
      <w:r w:rsidRPr="00BF7602">
        <w:rPr>
          <w:rFonts w:ascii="Garamond" w:hAnsi="Garamond"/>
          <w:sz w:val="22"/>
          <w:szCs w:val="22"/>
        </w:rPr>
        <w:t xml:space="preserve">gradual increase in export volumes. In any case, the developments in the agricultural sector remain </w:t>
      </w:r>
      <w:r w:rsidR="00FF75EE">
        <w:rPr>
          <w:rFonts w:ascii="Garamond" w:hAnsi="Garamond"/>
          <w:sz w:val="22"/>
          <w:szCs w:val="22"/>
        </w:rPr>
        <w:t>overly</w:t>
      </w:r>
      <w:r w:rsidRPr="00BF7602">
        <w:rPr>
          <w:rFonts w:ascii="Garamond" w:hAnsi="Garamond"/>
          <w:sz w:val="22"/>
          <w:szCs w:val="22"/>
        </w:rPr>
        <w:t xml:space="preserve"> volatile and uncertain. In the medium term</w:t>
      </w:r>
      <w:r w:rsidR="00FF75EE">
        <w:rPr>
          <w:rFonts w:ascii="Garamond" w:hAnsi="Garamond"/>
          <w:sz w:val="22"/>
          <w:szCs w:val="22"/>
        </w:rPr>
        <w:t xml:space="preserve"> perspective</w:t>
      </w:r>
      <w:r w:rsidRPr="00BF7602">
        <w:rPr>
          <w:rFonts w:ascii="Garamond" w:hAnsi="Garamond"/>
          <w:sz w:val="22"/>
          <w:szCs w:val="22"/>
        </w:rPr>
        <w:t xml:space="preserve">, the inflation will </w:t>
      </w:r>
      <w:r w:rsidR="002A0418">
        <w:rPr>
          <w:rFonts w:ascii="Garamond" w:hAnsi="Garamond"/>
          <w:sz w:val="22"/>
          <w:szCs w:val="22"/>
        </w:rPr>
        <w:t xml:space="preserve">slow down </w:t>
      </w:r>
      <w:r w:rsidRPr="00BF7602">
        <w:rPr>
          <w:rFonts w:ascii="Garamond" w:hAnsi="Garamond"/>
          <w:sz w:val="22"/>
          <w:szCs w:val="22"/>
        </w:rPr>
        <w:t xml:space="preserve">compared to the previous forecast as </w:t>
      </w:r>
      <w:r w:rsidR="00FF75EE">
        <w:rPr>
          <w:rFonts w:ascii="Garamond" w:hAnsi="Garamond"/>
          <w:sz w:val="22"/>
          <w:szCs w:val="22"/>
        </w:rPr>
        <w:t xml:space="preserve">aggregate demand </w:t>
      </w:r>
      <w:r w:rsidR="002A0418">
        <w:rPr>
          <w:rFonts w:ascii="Garamond" w:hAnsi="Garamond"/>
          <w:sz w:val="22"/>
          <w:szCs w:val="22"/>
        </w:rPr>
        <w:t xml:space="preserve">declines and the </w:t>
      </w:r>
      <w:r w:rsidR="00FF75EE">
        <w:rPr>
          <w:rFonts w:ascii="Garamond" w:hAnsi="Garamond"/>
          <w:sz w:val="22"/>
          <w:szCs w:val="22"/>
        </w:rPr>
        <w:t xml:space="preserve">expansionary </w:t>
      </w:r>
      <w:r w:rsidRPr="00BF7602">
        <w:rPr>
          <w:rFonts w:ascii="Garamond" w:hAnsi="Garamond"/>
          <w:sz w:val="22"/>
          <w:szCs w:val="22"/>
        </w:rPr>
        <w:t>monetary policy</w:t>
      </w:r>
      <w:r w:rsidR="002A0418">
        <w:rPr>
          <w:rFonts w:ascii="Garamond" w:hAnsi="Garamond"/>
          <w:sz w:val="22"/>
          <w:szCs w:val="22"/>
        </w:rPr>
        <w:t xml:space="preserve"> gradually relents to that of neutral </w:t>
      </w:r>
      <w:r w:rsidR="002A0418" w:rsidRPr="00626752">
        <w:rPr>
          <w:rFonts w:ascii="Garamond" w:hAnsi="Garamond"/>
          <w:sz w:val="22"/>
          <w:szCs w:val="22"/>
        </w:rPr>
        <w:t>(see the Inflation Forecasts Probability Distribution Chart)</w:t>
      </w:r>
      <w:r w:rsidR="002A0418">
        <w:rPr>
          <w:rFonts w:ascii="Garamond" w:hAnsi="Garamond"/>
          <w:sz w:val="22"/>
          <w:szCs w:val="22"/>
        </w:rPr>
        <w:t>.</w:t>
      </w:r>
    </w:p>
    <w:p w14:paraId="668AACFF" w14:textId="6FE271A5" w:rsidR="002A0418" w:rsidRPr="00BF7602" w:rsidRDefault="005540B9" w:rsidP="00EE619D">
      <w:pPr>
        <w:autoSpaceDE w:val="0"/>
        <w:autoSpaceDN w:val="0"/>
        <w:adjustRightInd w:val="0"/>
        <w:spacing w:after="120" w:line="360" w:lineRule="auto"/>
        <w:jc w:val="both"/>
        <w:rPr>
          <w:rFonts w:ascii="Garamond" w:hAnsi="Garamond"/>
          <w:sz w:val="22"/>
          <w:szCs w:val="22"/>
        </w:rPr>
      </w:pPr>
      <w:r>
        <w:rPr>
          <w:rFonts w:ascii="Garamond" w:hAnsi="Garamond"/>
          <w:b/>
          <w:sz w:val="22"/>
          <w:szCs w:val="22"/>
        </w:rPr>
        <w:t xml:space="preserve">On the back of </w:t>
      </w:r>
      <w:r w:rsidRPr="00626752">
        <w:rPr>
          <w:rFonts w:ascii="Garamond" w:hAnsi="Garamond"/>
          <w:b/>
          <w:sz w:val="22"/>
          <w:szCs w:val="22"/>
        </w:rPr>
        <w:t xml:space="preserve">speculations in the </w:t>
      </w:r>
      <w:r>
        <w:rPr>
          <w:rFonts w:ascii="Garamond" w:hAnsi="Garamond"/>
          <w:b/>
          <w:sz w:val="22"/>
          <w:szCs w:val="22"/>
        </w:rPr>
        <w:t xml:space="preserve">mass </w:t>
      </w:r>
      <w:r w:rsidRPr="00626752">
        <w:rPr>
          <w:rFonts w:ascii="Garamond" w:hAnsi="Garamond"/>
          <w:b/>
          <w:sz w:val="22"/>
          <w:szCs w:val="22"/>
        </w:rPr>
        <w:t xml:space="preserve">media </w:t>
      </w:r>
      <w:r>
        <w:rPr>
          <w:rFonts w:ascii="Garamond" w:hAnsi="Garamond"/>
          <w:b/>
          <w:sz w:val="22"/>
          <w:szCs w:val="22"/>
        </w:rPr>
        <w:t>about high inflation</w:t>
      </w:r>
      <w:r w:rsidRPr="002A0418">
        <w:rPr>
          <w:rFonts w:ascii="Garamond" w:hAnsi="Garamond"/>
          <w:b/>
          <w:sz w:val="22"/>
          <w:szCs w:val="22"/>
        </w:rPr>
        <w:t xml:space="preserve"> </w:t>
      </w:r>
      <w:r>
        <w:rPr>
          <w:rFonts w:ascii="Garamond" w:hAnsi="Garamond"/>
          <w:b/>
          <w:sz w:val="22"/>
          <w:szCs w:val="22"/>
        </w:rPr>
        <w:t>a</w:t>
      </w:r>
      <w:r w:rsidRPr="002A0418">
        <w:rPr>
          <w:rFonts w:ascii="Garamond" w:hAnsi="Garamond"/>
          <w:b/>
          <w:sz w:val="22"/>
          <w:szCs w:val="22"/>
        </w:rPr>
        <w:t xml:space="preserve">dditional </w:t>
      </w:r>
      <w:r w:rsidR="00CD529B">
        <w:rPr>
          <w:rFonts w:ascii="Garamond" w:hAnsi="Garamond"/>
          <w:b/>
          <w:sz w:val="22"/>
          <w:szCs w:val="22"/>
        </w:rPr>
        <w:t xml:space="preserve">growth in </w:t>
      </w:r>
      <w:r w:rsidR="002A0418" w:rsidRPr="002A0418">
        <w:rPr>
          <w:rFonts w:ascii="Garamond" w:hAnsi="Garamond"/>
          <w:b/>
          <w:sz w:val="22"/>
          <w:szCs w:val="22"/>
        </w:rPr>
        <w:t>i</w:t>
      </w:r>
      <w:r w:rsidR="002A0418" w:rsidRPr="00626752">
        <w:rPr>
          <w:rFonts w:ascii="Garamond" w:hAnsi="Garamond"/>
          <w:b/>
          <w:sz w:val="22"/>
          <w:szCs w:val="22"/>
        </w:rPr>
        <w:t xml:space="preserve">nflation expectations </w:t>
      </w:r>
      <w:r w:rsidR="008C1568">
        <w:rPr>
          <w:rFonts w:ascii="Garamond" w:hAnsi="Garamond"/>
          <w:b/>
          <w:sz w:val="22"/>
          <w:szCs w:val="22"/>
        </w:rPr>
        <w:t xml:space="preserve">phased out </w:t>
      </w:r>
      <w:r w:rsidR="00CD529B">
        <w:rPr>
          <w:rFonts w:ascii="Garamond" w:hAnsi="Garamond"/>
          <w:b/>
          <w:sz w:val="22"/>
          <w:szCs w:val="22"/>
        </w:rPr>
        <w:t xml:space="preserve">in the first quarter but </w:t>
      </w:r>
      <w:r w:rsidR="00CD529B" w:rsidRPr="00CD529B">
        <w:rPr>
          <w:rFonts w:ascii="Garamond" w:hAnsi="Garamond"/>
          <w:b/>
          <w:sz w:val="22"/>
          <w:szCs w:val="22"/>
        </w:rPr>
        <w:t xml:space="preserve">the growth </w:t>
      </w:r>
      <w:r>
        <w:rPr>
          <w:rFonts w:ascii="Garamond" w:hAnsi="Garamond"/>
          <w:b/>
          <w:sz w:val="22"/>
          <w:szCs w:val="22"/>
        </w:rPr>
        <w:t xml:space="preserve">of </w:t>
      </w:r>
      <w:r w:rsidR="00CD529B">
        <w:rPr>
          <w:rFonts w:ascii="Garamond" w:hAnsi="Garamond"/>
          <w:b/>
          <w:sz w:val="22"/>
          <w:szCs w:val="22"/>
        </w:rPr>
        <w:t xml:space="preserve">short-term </w:t>
      </w:r>
      <w:r w:rsidR="00CD529B" w:rsidRPr="00CD529B">
        <w:rPr>
          <w:rFonts w:ascii="Garamond" w:hAnsi="Garamond"/>
          <w:b/>
          <w:sz w:val="22"/>
          <w:szCs w:val="22"/>
        </w:rPr>
        <w:t>inflation</w:t>
      </w:r>
      <w:r w:rsidR="00CD529B">
        <w:rPr>
          <w:rFonts w:ascii="Garamond" w:hAnsi="Garamond"/>
          <w:b/>
          <w:sz w:val="22"/>
          <w:szCs w:val="22"/>
        </w:rPr>
        <w:t xml:space="preserve"> </w:t>
      </w:r>
      <w:r w:rsidR="00CD529B" w:rsidRPr="00CD529B">
        <w:rPr>
          <w:rFonts w:ascii="Garamond" w:hAnsi="Garamond"/>
          <w:b/>
          <w:sz w:val="22"/>
          <w:szCs w:val="22"/>
        </w:rPr>
        <w:t xml:space="preserve">expectations will continue decreasing </w:t>
      </w:r>
      <w:r w:rsidRPr="00CD529B">
        <w:rPr>
          <w:rFonts w:ascii="Garamond" w:hAnsi="Garamond"/>
          <w:b/>
          <w:sz w:val="22"/>
          <w:szCs w:val="22"/>
        </w:rPr>
        <w:t>gradually</w:t>
      </w:r>
      <w:r>
        <w:rPr>
          <w:rFonts w:ascii="Garamond" w:hAnsi="Garamond"/>
          <w:b/>
          <w:sz w:val="22"/>
          <w:szCs w:val="22"/>
        </w:rPr>
        <w:t xml:space="preserve"> </w:t>
      </w:r>
      <w:r w:rsidR="00CD529B">
        <w:rPr>
          <w:rFonts w:ascii="Garamond" w:hAnsi="Garamond"/>
          <w:b/>
          <w:sz w:val="22"/>
          <w:szCs w:val="22"/>
        </w:rPr>
        <w:t xml:space="preserve">concomitant with developments in core inflation. </w:t>
      </w:r>
    </w:p>
    <w:p w14:paraId="711BA0DB" w14:textId="77777777" w:rsidR="00815906" w:rsidRPr="00626752" w:rsidRDefault="00815906" w:rsidP="00EE619D">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2.2.4. Main assumptions and risks</w:t>
      </w:r>
    </w:p>
    <w:p w14:paraId="4BF6D2D1" w14:textId="77777777" w:rsidR="00815906" w:rsidRDefault="00C95BEF" w:rsidP="00EE619D">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This section </w:t>
      </w:r>
      <w:r w:rsidR="009A6F46">
        <w:rPr>
          <w:rFonts w:ascii="Garamond" w:hAnsi="Garamond"/>
          <w:sz w:val="22"/>
          <w:szCs w:val="22"/>
        </w:rPr>
        <w:t>contains</w:t>
      </w:r>
      <w:r w:rsidRPr="00626752">
        <w:rPr>
          <w:rFonts w:ascii="Garamond" w:hAnsi="Garamond"/>
          <w:sz w:val="22"/>
          <w:szCs w:val="22"/>
        </w:rPr>
        <w:t xml:space="preserve"> the main assumptions underlying the Monetary</w:t>
      </w:r>
      <w:r w:rsidR="00815906" w:rsidRPr="00626752">
        <w:rPr>
          <w:rFonts w:ascii="Garamond" w:hAnsi="Garamond"/>
          <w:sz w:val="22"/>
          <w:szCs w:val="22"/>
        </w:rPr>
        <w:t xml:space="preserve"> </w:t>
      </w:r>
      <w:r w:rsidRPr="00626752">
        <w:rPr>
          <w:rFonts w:ascii="Garamond" w:hAnsi="Garamond"/>
          <w:sz w:val="22"/>
          <w:szCs w:val="22"/>
        </w:rPr>
        <w:t>P</w:t>
      </w:r>
      <w:r w:rsidR="00815906" w:rsidRPr="00626752">
        <w:rPr>
          <w:rFonts w:ascii="Garamond" w:hAnsi="Garamond"/>
          <w:sz w:val="22"/>
          <w:szCs w:val="22"/>
        </w:rPr>
        <w:t xml:space="preserve">olicy </w:t>
      </w:r>
      <w:r w:rsidRPr="00626752">
        <w:rPr>
          <w:rFonts w:ascii="Garamond" w:hAnsi="Garamond"/>
          <w:sz w:val="22"/>
          <w:szCs w:val="22"/>
        </w:rPr>
        <w:t>Program for the f</w:t>
      </w:r>
      <w:r w:rsidR="009A6F46">
        <w:rPr>
          <w:rFonts w:ascii="Garamond" w:hAnsi="Garamond"/>
          <w:sz w:val="22"/>
          <w:szCs w:val="22"/>
        </w:rPr>
        <w:t>irst</w:t>
      </w:r>
      <w:r w:rsidRPr="00626752">
        <w:rPr>
          <w:rFonts w:ascii="Garamond" w:hAnsi="Garamond"/>
          <w:sz w:val="22"/>
          <w:szCs w:val="22"/>
        </w:rPr>
        <w:t xml:space="preserve"> quarter of 201</w:t>
      </w:r>
      <w:r w:rsidR="009A6F46">
        <w:rPr>
          <w:rFonts w:ascii="Garamond" w:hAnsi="Garamond"/>
          <w:sz w:val="22"/>
          <w:szCs w:val="22"/>
        </w:rPr>
        <w:t>8</w:t>
      </w:r>
      <w:r w:rsidRPr="00626752">
        <w:rPr>
          <w:rFonts w:ascii="Garamond" w:hAnsi="Garamond"/>
          <w:sz w:val="22"/>
          <w:szCs w:val="22"/>
        </w:rPr>
        <w:t xml:space="preserve"> and the </w:t>
      </w:r>
      <w:r w:rsidR="00815906" w:rsidRPr="00626752">
        <w:rPr>
          <w:rFonts w:ascii="Garamond" w:hAnsi="Garamond"/>
          <w:sz w:val="22"/>
          <w:szCs w:val="22"/>
        </w:rPr>
        <w:t xml:space="preserve">risks </w:t>
      </w:r>
      <w:r w:rsidRPr="00626752">
        <w:rPr>
          <w:rFonts w:ascii="Garamond" w:hAnsi="Garamond"/>
          <w:sz w:val="22"/>
          <w:szCs w:val="22"/>
        </w:rPr>
        <w:t>to implementation of the program</w:t>
      </w:r>
      <w:r w:rsidR="00C90711">
        <w:rPr>
          <w:rFonts w:ascii="Garamond" w:hAnsi="Garamond"/>
          <w:sz w:val="22"/>
          <w:szCs w:val="22"/>
        </w:rPr>
        <w:t>, which</w:t>
      </w:r>
      <w:r w:rsidR="00FA0C20" w:rsidRPr="00626752">
        <w:rPr>
          <w:rFonts w:ascii="Garamond" w:hAnsi="Garamond"/>
          <w:sz w:val="22"/>
          <w:szCs w:val="22"/>
        </w:rPr>
        <w:t xml:space="preserve"> </w:t>
      </w:r>
      <w:r w:rsidR="00815906" w:rsidRPr="00626752">
        <w:rPr>
          <w:rFonts w:ascii="Garamond" w:hAnsi="Garamond"/>
          <w:sz w:val="22"/>
          <w:szCs w:val="22"/>
        </w:rPr>
        <w:t xml:space="preserve">derive from </w:t>
      </w:r>
      <w:r w:rsidR="00FA0C20" w:rsidRPr="00626752">
        <w:rPr>
          <w:rFonts w:ascii="Garamond" w:hAnsi="Garamond"/>
          <w:sz w:val="22"/>
          <w:szCs w:val="22"/>
        </w:rPr>
        <w:t xml:space="preserve">the </w:t>
      </w:r>
      <w:r w:rsidR="00815906" w:rsidRPr="00626752">
        <w:rPr>
          <w:rFonts w:ascii="Garamond" w:hAnsi="Garamond"/>
          <w:sz w:val="22"/>
          <w:szCs w:val="22"/>
        </w:rPr>
        <w:t xml:space="preserve">external sector developments, </w:t>
      </w:r>
      <w:r w:rsidR="00FA0C20" w:rsidRPr="00626752">
        <w:rPr>
          <w:rFonts w:ascii="Garamond" w:hAnsi="Garamond"/>
          <w:sz w:val="22"/>
          <w:szCs w:val="22"/>
        </w:rPr>
        <w:t xml:space="preserve">the </w:t>
      </w:r>
      <w:r w:rsidR="00815906" w:rsidRPr="00626752">
        <w:rPr>
          <w:rFonts w:ascii="Garamond" w:hAnsi="Garamond"/>
          <w:sz w:val="22"/>
          <w:szCs w:val="22"/>
        </w:rPr>
        <w:t xml:space="preserve">fiscal policy, </w:t>
      </w:r>
      <w:r w:rsidR="009A6F46">
        <w:rPr>
          <w:rFonts w:ascii="Garamond" w:hAnsi="Garamond"/>
          <w:sz w:val="22"/>
          <w:szCs w:val="22"/>
        </w:rPr>
        <w:t>basic</w:t>
      </w:r>
      <w:r w:rsidR="00FA0C20" w:rsidRPr="00626752">
        <w:rPr>
          <w:rFonts w:ascii="Garamond" w:hAnsi="Garamond"/>
          <w:sz w:val="22"/>
          <w:szCs w:val="22"/>
        </w:rPr>
        <w:t xml:space="preserve"> </w:t>
      </w:r>
      <w:r w:rsidR="00815906" w:rsidRPr="00626752">
        <w:rPr>
          <w:rFonts w:ascii="Garamond" w:hAnsi="Garamond"/>
          <w:sz w:val="22"/>
          <w:szCs w:val="22"/>
        </w:rPr>
        <w:t xml:space="preserve">trends and short-term forecasts. </w:t>
      </w:r>
    </w:p>
    <w:p w14:paraId="57026D12" w14:textId="5CE0AED7" w:rsidR="00066D12" w:rsidRDefault="00066D12" w:rsidP="00EE619D">
      <w:pPr>
        <w:autoSpaceDE w:val="0"/>
        <w:autoSpaceDN w:val="0"/>
        <w:adjustRightInd w:val="0"/>
        <w:spacing w:after="120" w:line="360" w:lineRule="auto"/>
        <w:jc w:val="both"/>
        <w:rPr>
          <w:rFonts w:ascii="Garamond" w:hAnsi="Garamond"/>
          <w:sz w:val="22"/>
          <w:szCs w:val="22"/>
        </w:rPr>
      </w:pPr>
      <w:r>
        <w:rPr>
          <w:rFonts w:ascii="Garamond" w:hAnsi="Garamond"/>
          <w:b/>
          <w:sz w:val="22"/>
          <w:szCs w:val="22"/>
        </w:rPr>
        <w:t>Demand growth rates slow down:</w:t>
      </w:r>
      <w:r>
        <w:rPr>
          <w:rFonts w:ascii="Garamond" w:hAnsi="Garamond"/>
          <w:sz w:val="22"/>
          <w:szCs w:val="22"/>
        </w:rPr>
        <w:t xml:space="preserve"> </w:t>
      </w:r>
      <w:r w:rsidR="008E6102">
        <w:rPr>
          <w:rFonts w:ascii="Garamond" w:hAnsi="Garamond"/>
          <w:sz w:val="22"/>
          <w:szCs w:val="22"/>
        </w:rPr>
        <w:t>It is expected</w:t>
      </w:r>
      <w:r>
        <w:rPr>
          <w:rFonts w:ascii="Garamond" w:hAnsi="Garamond"/>
          <w:sz w:val="22"/>
          <w:szCs w:val="22"/>
        </w:rPr>
        <w:t xml:space="preserve"> that </w:t>
      </w:r>
      <w:r w:rsidRPr="00066D12">
        <w:rPr>
          <w:rFonts w:ascii="Garamond" w:hAnsi="Garamond"/>
          <w:sz w:val="22"/>
          <w:szCs w:val="22"/>
        </w:rPr>
        <w:t xml:space="preserve">growth rates of </w:t>
      </w:r>
      <w:r>
        <w:rPr>
          <w:rFonts w:ascii="Garamond" w:hAnsi="Garamond"/>
          <w:sz w:val="22"/>
          <w:szCs w:val="22"/>
        </w:rPr>
        <w:t xml:space="preserve">aggregate </w:t>
      </w:r>
      <w:r w:rsidRPr="00066D12">
        <w:rPr>
          <w:rFonts w:ascii="Garamond" w:hAnsi="Garamond"/>
          <w:sz w:val="22"/>
          <w:szCs w:val="22"/>
        </w:rPr>
        <w:t>demand</w:t>
      </w:r>
      <w:r>
        <w:rPr>
          <w:rFonts w:ascii="Garamond" w:hAnsi="Garamond"/>
          <w:sz w:val="22"/>
          <w:szCs w:val="22"/>
        </w:rPr>
        <w:t xml:space="preserve">, which were strong in late 2017, will </w:t>
      </w:r>
      <w:r w:rsidRPr="00066D12">
        <w:rPr>
          <w:rFonts w:ascii="Garamond" w:hAnsi="Garamond"/>
          <w:sz w:val="22"/>
          <w:szCs w:val="22"/>
        </w:rPr>
        <w:t>slow</w:t>
      </w:r>
      <w:r>
        <w:rPr>
          <w:rFonts w:ascii="Garamond" w:hAnsi="Garamond"/>
          <w:sz w:val="22"/>
          <w:szCs w:val="22"/>
        </w:rPr>
        <w:t xml:space="preserve"> down over 2018</w:t>
      </w:r>
      <w:r w:rsidRPr="00066D12">
        <w:rPr>
          <w:rFonts w:ascii="Garamond" w:hAnsi="Garamond"/>
          <w:sz w:val="22"/>
          <w:szCs w:val="22"/>
        </w:rPr>
        <w:t xml:space="preserve">. </w:t>
      </w:r>
      <w:r>
        <w:rPr>
          <w:rFonts w:ascii="Garamond" w:hAnsi="Garamond"/>
          <w:sz w:val="22"/>
          <w:szCs w:val="22"/>
        </w:rPr>
        <w:t xml:space="preserve">Reported strong </w:t>
      </w:r>
      <w:r w:rsidRPr="00066D12">
        <w:rPr>
          <w:rFonts w:ascii="Garamond" w:hAnsi="Garamond"/>
          <w:sz w:val="22"/>
          <w:szCs w:val="22"/>
        </w:rPr>
        <w:t xml:space="preserve">growth of this indicator </w:t>
      </w:r>
      <w:r>
        <w:rPr>
          <w:rFonts w:ascii="Garamond" w:hAnsi="Garamond"/>
          <w:sz w:val="22"/>
          <w:szCs w:val="22"/>
        </w:rPr>
        <w:t xml:space="preserve">embraces the effect of reduced propensity to consume in </w:t>
      </w:r>
      <w:r w:rsidRPr="00066D12">
        <w:rPr>
          <w:rFonts w:ascii="Garamond" w:hAnsi="Garamond"/>
          <w:sz w:val="22"/>
          <w:szCs w:val="22"/>
        </w:rPr>
        <w:t xml:space="preserve">the previous years and </w:t>
      </w:r>
      <w:r w:rsidR="007630D0">
        <w:rPr>
          <w:rFonts w:ascii="Garamond" w:hAnsi="Garamond"/>
          <w:sz w:val="22"/>
          <w:szCs w:val="22"/>
        </w:rPr>
        <w:t xml:space="preserve">of </w:t>
      </w:r>
      <w:r w:rsidRPr="00066D12">
        <w:rPr>
          <w:rFonts w:ascii="Garamond" w:hAnsi="Garamond"/>
          <w:sz w:val="22"/>
          <w:szCs w:val="22"/>
        </w:rPr>
        <w:t xml:space="preserve">a number of short-term factors. On the other </w:t>
      </w:r>
      <w:r w:rsidRPr="00066D12">
        <w:rPr>
          <w:rFonts w:ascii="Garamond" w:hAnsi="Garamond"/>
          <w:sz w:val="22"/>
          <w:szCs w:val="22"/>
        </w:rPr>
        <w:lastRenderedPageBreak/>
        <w:t>hand, this is one of the important assumptions of the current pro</w:t>
      </w:r>
      <w:r w:rsidR="00951BC7">
        <w:rPr>
          <w:rFonts w:ascii="Garamond" w:hAnsi="Garamond"/>
          <w:sz w:val="22"/>
          <w:szCs w:val="22"/>
        </w:rPr>
        <w:t>gram</w:t>
      </w:r>
      <w:r w:rsidRPr="00066D12">
        <w:rPr>
          <w:rFonts w:ascii="Garamond" w:hAnsi="Garamond"/>
          <w:sz w:val="22"/>
          <w:szCs w:val="22"/>
        </w:rPr>
        <w:t xml:space="preserve"> and is viewed as a</w:t>
      </w:r>
      <w:r w:rsidR="00951BC7">
        <w:rPr>
          <w:rFonts w:ascii="Garamond" w:hAnsi="Garamond"/>
          <w:sz w:val="22"/>
          <w:szCs w:val="22"/>
        </w:rPr>
        <w:t>n</w:t>
      </w:r>
      <w:r w:rsidRPr="00066D12">
        <w:rPr>
          <w:rFonts w:ascii="Garamond" w:hAnsi="Garamond"/>
          <w:sz w:val="22"/>
          <w:szCs w:val="22"/>
        </w:rPr>
        <w:t xml:space="preserve"> </w:t>
      </w:r>
      <w:r w:rsidR="00951BC7">
        <w:rPr>
          <w:rFonts w:ascii="Garamond" w:hAnsi="Garamond"/>
          <w:sz w:val="22"/>
          <w:szCs w:val="22"/>
        </w:rPr>
        <w:t xml:space="preserve">upside </w:t>
      </w:r>
      <w:r w:rsidRPr="00066D12">
        <w:rPr>
          <w:rFonts w:ascii="Garamond" w:hAnsi="Garamond"/>
          <w:sz w:val="22"/>
          <w:szCs w:val="22"/>
        </w:rPr>
        <w:t xml:space="preserve">risk </w:t>
      </w:r>
      <w:r w:rsidR="00951BC7">
        <w:rPr>
          <w:rFonts w:ascii="Garamond" w:hAnsi="Garamond"/>
          <w:sz w:val="22"/>
          <w:szCs w:val="22"/>
        </w:rPr>
        <w:t xml:space="preserve">to the inflation </w:t>
      </w:r>
      <w:r w:rsidRPr="00066D12">
        <w:rPr>
          <w:rFonts w:ascii="Garamond" w:hAnsi="Garamond"/>
          <w:sz w:val="22"/>
          <w:szCs w:val="22"/>
        </w:rPr>
        <w:t xml:space="preserve">deviation </w:t>
      </w:r>
      <w:r w:rsidR="00951BC7">
        <w:rPr>
          <w:rFonts w:ascii="Garamond" w:hAnsi="Garamond"/>
          <w:sz w:val="22"/>
          <w:szCs w:val="22"/>
        </w:rPr>
        <w:t xml:space="preserve">and </w:t>
      </w:r>
      <w:r w:rsidRPr="00066D12">
        <w:rPr>
          <w:rFonts w:ascii="Garamond" w:hAnsi="Garamond"/>
          <w:sz w:val="22"/>
          <w:szCs w:val="22"/>
        </w:rPr>
        <w:t>economic growth</w:t>
      </w:r>
      <w:r w:rsidR="00951BC7">
        <w:rPr>
          <w:rFonts w:ascii="Garamond" w:hAnsi="Garamond"/>
          <w:sz w:val="22"/>
          <w:szCs w:val="22"/>
        </w:rPr>
        <w:t xml:space="preserve"> forecasts</w:t>
      </w:r>
      <w:r w:rsidRPr="00066D12">
        <w:rPr>
          <w:rFonts w:ascii="Garamond" w:hAnsi="Garamond"/>
          <w:sz w:val="22"/>
          <w:szCs w:val="22"/>
        </w:rPr>
        <w:t xml:space="preserve">, as </w:t>
      </w:r>
      <w:r w:rsidR="00951BC7" w:rsidRPr="00066D12">
        <w:rPr>
          <w:rFonts w:ascii="Garamond" w:hAnsi="Garamond"/>
          <w:sz w:val="22"/>
          <w:szCs w:val="22"/>
        </w:rPr>
        <w:t xml:space="preserve">rapid recovery of demand </w:t>
      </w:r>
      <w:r w:rsidR="00951BC7">
        <w:rPr>
          <w:rFonts w:ascii="Garamond" w:hAnsi="Garamond"/>
          <w:sz w:val="22"/>
          <w:szCs w:val="22"/>
        </w:rPr>
        <w:t>in a</w:t>
      </w:r>
      <w:r w:rsidR="00951BC7" w:rsidRPr="00066D12">
        <w:rPr>
          <w:rFonts w:ascii="Garamond" w:hAnsi="Garamond"/>
          <w:sz w:val="22"/>
          <w:szCs w:val="22"/>
        </w:rPr>
        <w:t xml:space="preserve"> </w:t>
      </w:r>
      <w:r w:rsidR="00951BC7">
        <w:rPr>
          <w:rFonts w:ascii="Garamond" w:hAnsi="Garamond"/>
          <w:sz w:val="22"/>
          <w:szCs w:val="22"/>
        </w:rPr>
        <w:t>sustainable and cont</w:t>
      </w:r>
      <w:r w:rsidR="00951BC7" w:rsidRPr="00066D12">
        <w:rPr>
          <w:rFonts w:ascii="Garamond" w:hAnsi="Garamond"/>
          <w:sz w:val="22"/>
          <w:szCs w:val="22"/>
        </w:rPr>
        <w:t>inuous</w:t>
      </w:r>
      <w:r w:rsidR="00951BC7">
        <w:rPr>
          <w:rFonts w:ascii="Garamond" w:hAnsi="Garamond"/>
          <w:sz w:val="22"/>
          <w:szCs w:val="22"/>
        </w:rPr>
        <w:t xml:space="preserve"> way can also be likely. </w:t>
      </w:r>
      <w:r w:rsidRPr="00066D12">
        <w:rPr>
          <w:rFonts w:ascii="Garamond" w:hAnsi="Garamond"/>
          <w:sz w:val="22"/>
          <w:szCs w:val="22"/>
        </w:rPr>
        <w:t xml:space="preserve">In </w:t>
      </w:r>
      <w:r w:rsidR="00344BAB">
        <w:rPr>
          <w:rFonts w:ascii="Garamond" w:hAnsi="Garamond"/>
          <w:sz w:val="22"/>
          <w:szCs w:val="22"/>
        </w:rPr>
        <w:t xml:space="preserve">case this risk materializes, </w:t>
      </w:r>
      <w:r w:rsidRPr="00066D12">
        <w:rPr>
          <w:rFonts w:ascii="Garamond" w:hAnsi="Garamond"/>
          <w:sz w:val="22"/>
          <w:szCs w:val="22"/>
        </w:rPr>
        <w:t>the C</w:t>
      </w:r>
      <w:r w:rsidR="00344BAB">
        <w:rPr>
          <w:rFonts w:ascii="Garamond" w:hAnsi="Garamond"/>
          <w:sz w:val="22"/>
          <w:szCs w:val="22"/>
        </w:rPr>
        <w:t xml:space="preserve">entral </w:t>
      </w:r>
      <w:r w:rsidRPr="00066D12">
        <w:rPr>
          <w:rFonts w:ascii="Garamond" w:hAnsi="Garamond"/>
          <w:sz w:val="22"/>
          <w:szCs w:val="22"/>
        </w:rPr>
        <w:t>B</w:t>
      </w:r>
      <w:r w:rsidR="00344BAB">
        <w:rPr>
          <w:rFonts w:ascii="Garamond" w:hAnsi="Garamond"/>
          <w:sz w:val="22"/>
          <w:szCs w:val="22"/>
        </w:rPr>
        <w:t>ank</w:t>
      </w:r>
      <w:r w:rsidRPr="00066D12">
        <w:rPr>
          <w:rFonts w:ascii="Garamond" w:hAnsi="Garamond"/>
          <w:sz w:val="22"/>
          <w:szCs w:val="22"/>
        </w:rPr>
        <w:t xml:space="preserve"> will re</w:t>
      </w:r>
      <w:r w:rsidR="00344BAB">
        <w:rPr>
          <w:rFonts w:ascii="Garamond" w:hAnsi="Garamond"/>
          <w:sz w:val="22"/>
          <w:szCs w:val="22"/>
        </w:rPr>
        <w:t>act accordingly, while e</w:t>
      </w:r>
      <w:r w:rsidRPr="00066D12">
        <w:rPr>
          <w:rFonts w:ascii="Garamond" w:hAnsi="Garamond"/>
          <w:sz w:val="22"/>
          <w:szCs w:val="22"/>
        </w:rPr>
        <w:t xml:space="preserve">nsuring price stability in the medium </w:t>
      </w:r>
      <w:r w:rsidR="00344BAB">
        <w:rPr>
          <w:rFonts w:ascii="Garamond" w:hAnsi="Garamond"/>
          <w:sz w:val="22"/>
          <w:szCs w:val="22"/>
        </w:rPr>
        <w:t>run</w:t>
      </w:r>
      <w:r w:rsidRPr="00066D12">
        <w:rPr>
          <w:rFonts w:ascii="Garamond" w:hAnsi="Garamond"/>
          <w:sz w:val="22"/>
          <w:szCs w:val="22"/>
        </w:rPr>
        <w:t>.</w:t>
      </w:r>
    </w:p>
    <w:p w14:paraId="131F40E1" w14:textId="77777777" w:rsidR="00344BAB" w:rsidRPr="00344BAB" w:rsidRDefault="00344BAB" w:rsidP="00344BAB">
      <w:pPr>
        <w:autoSpaceDE w:val="0"/>
        <w:autoSpaceDN w:val="0"/>
        <w:adjustRightInd w:val="0"/>
        <w:spacing w:after="120" w:line="360" w:lineRule="auto"/>
        <w:jc w:val="both"/>
        <w:rPr>
          <w:rFonts w:ascii="Garamond" w:hAnsi="Garamond"/>
          <w:sz w:val="22"/>
          <w:szCs w:val="22"/>
        </w:rPr>
      </w:pPr>
      <w:r w:rsidRPr="00657A11">
        <w:rPr>
          <w:rFonts w:ascii="Garamond" w:hAnsi="Garamond"/>
          <w:b/>
          <w:sz w:val="22"/>
          <w:szCs w:val="22"/>
        </w:rPr>
        <w:t xml:space="preserve">Impact of change in </w:t>
      </w:r>
      <w:r w:rsidR="00234BE9" w:rsidRPr="00657A11">
        <w:rPr>
          <w:rFonts w:ascii="Garamond" w:hAnsi="Garamond"/>
          <w:b/>
          <w:sz w:val="22"/>
          <w:szCs w:val="22"/>
        </w:rPr>
        <w:t>tax and customs legislation on i</w:t>
      </w:r>
      <w:r w:rsidRPr="00657A11">
        <w:rPr>
          <w:rFonts w:ascii="Garamond" w:hAnsi="Garamond"/>
          <w:b/>
          <w:sz w:val="22"/>
          <w:szCs w:val="22"/>
        </w:rPr>
        <w:t>nflation:</w:t>
      </w:r>
      <w:r w:rsidRPr="00657A11">
        <w:rPr>
          <w:rFonts w:ascii="Garamond" w:hAnsi="Garamond"/>
          <w:sz w:val="22"/>
          <w:szCs w:val="22"/>
        </w:rPr>
        <w:t xml:space="preserve"> The assessment of the effects </w:t>
      </w:r>
      <w:r w:rsidR="00657A11">
        <w:rPr>
          <w:rFonts w:ascii="Garamond" w:hAnsi="Garamond"/>
          <w:sz w:val="22"/>
          <w:szCs w:val="22"/>
        </w:rPr>
        <w:t xml:space="preserve">from a change in </w:t>
      </w:r>
      <w:r w:rsidRPr="00344BAB">
        <w:rPr>
          <w:rFonts w:ascii="Garamond" w:hAnsi="Garamond"/>
          <w:sz w:val="22"/>
          <w:szCs w:val="22"/>
        </w:rPr>
        <w:t>excise tax</w:t>
      </w:r>
      <w:r w:rsidR="00657A11">
        <w:rPr>
          <w:rFonts w:ascii="Garamond" w:hAnsi="Garamond"/>
          <w:sz w:val="22"/>
          <w:szCs w:val="22"/>
        </w:rPr>
        <w:t xml:space="preserve"> and customs duty on a bunch of </w:t>
      </w:r>
      <w:r w:rsidRPr="00344BAB">
        <w:rPr>
          <w:rFonts w:ascii="Garamond" w:hAnsi="Garamond"/>
          <w:sz w:val="22"/>
          <w:szCs w:val="22"/>
        </w:rPr>
        <w:t xml:space="preserve">commodities since 2018 remained unchanged </w:t>
      </w:r>
      <w:r w:rsidR="00657A11">
        <w:rPr>
          <w:rFonts w:ascii="Garamond" w:hAnsi="Garamond"/>
          <w:sz w:val="22"/>
          <w:szCs w:val="22"/>
        </w:rPr>
        <w:t xml:space="preserve">this quarter too, </w:t>
      </w:r>
      <w:r w:rsidRPr="00344BAB">
        <w:rPr>
          <w:rFonts w:ascii="Garamond" w:hAnsi="Garamond"/>
          <w:sz w:val="22"/>
          <w:szCs w:val="22"/>
        </w:rPr>
        <w:t>and it is expected that the overall impact on inflation will be up to 1.0 p</w:t>
      </w:r>
      <w:r w:rsidR="00657A11">
        <w:rPr>
          <w:rFonts w:ascii="Garamond" w:hAnsi="Garamond"/>
          <w:sz w:val="22"/>
          <w:szCs w:val="22"/>
        </w:rPr>
        <w:t>p</w:t>
      </w:r>
      <w:r w:rsidRPr="00344BAB">
        <w:rPr>
          <w:rFonts w:ascii="Garamond" w:hAnsi="Garamond"/>
          <w:sz w:val="22"/>
          <w:szCs w:val="22"/>
        </w:rPr>
        <w:t>.</w:t>
      </w:r>
    </w:p>
    <w:p w14:paraId="3108BC73" w14:textId="77777777" w:rsidR="00344BAB" w:rsidRDefault="00907EF9" w:rsidP="00344BAB">
      <w:pPr>
        <w:autoSpaceDE w:val="0"/>
        <w:autoSpaceDN w:val="0"/>
        <w:adjustRightInd w:val="0"/>
        <w:spacing w:after="120" w:line="360" w:lineRule="auto"/>
        <w:jc w:val="both"/>
        <w:rPr>
          <w:rFonts w:ascii="Garamond" w:hAnsi="Garamond"/>
          <w:sz w:val="22"/>
          <w:szCs w:val="22"/>
        </w:rPr>
      </w:pPr>
      <w:r>
        <w:rPr>
          <w:rFonts w:ascii="Garamond" w:hAnsi="Garamond"/>
          <w:b/>
          <w:sz w:val="22"/>
          <w:szCs w:val="22"/>
        </w:rPr>
        <w:t>Expectations:</w:t>
      </w:r>
      <w:r w:rsidR="00344BAB" w:rsidRPr="00344BAB">
        <w:rPr>
          <w:rFonts w:ascii="Garamond" w:hAnsi="Garamond"/>
          <w:sz w:val="22"/>
          <w:szCs w:val="22"/>
        </w:rPr>
        <w:t xml:space="preserve"> According to </w:t>
      </w:r>
      <w:r>
        <w:rPr>
          <w:rFonts w:ascii="Garamond" w:hAnsi="Garamond"/>
          <w:sz w:val="22"/>
          <w:szCs w:val="22"/>
        </w:rPr>
        <w:t xml:space="preserve">the Central Bank </w:t>
      </w:r>
      <w:r w:rsidR="00344BAB" w:rsidRPr="00344BAB">
        <w:rPr>
          <w:rFonts w:ascii="Garamond" w:hAnsi="Garamond"/>
          <w:sz w:val="22"/>
          <w:szCs w:val="22"/>
        </w:rPr>
        <w:t>estimat</w:t>
      </w:r>
      <w:r>
        <w:rPr>
          <w:rFonts w:ascii="Garamond" w:hAnsi="Garamond"/>
          <w:sz w:val="22"/>
          <w:szCs w:val="22"/>
        </w:rPr>
        <w:t>es</w:t>
      </w:r>
      <w:r w:rsidR="00344BAB" w:rsidRPr="00344BAB">
        <w:rPr>
          <w:rFonts w:ascii="Garamond" w:hAnsi="Garamond"/>
          <w:sz w:val="22"/>
          <w:szCs w:val="22"/>
        </w:rPr>
        <w:t xml:space="preserve">, </w:t>
      </w:r>
      <w:r>
        <w:rPr>
          <w:rFonts w:ascii="Garamond" w:hAnsi="Garamond"/>
          <w:sz w:val="22"/>
          <w:szCs w:val="22"/>
        </w:rPr>
        <w:t xml:space="preserve">the household </w:t>
      </w:r>
      <w:r w:rsidR="00344BAB" w:rsidRPr="00344BAB">
        <w:rPr>
          <w:rFonts w:ascii="Garamond" w:hAnsi="Garamond"/>
          <w:sz w:val="22"/>
          <w:szCs w:val="22"/>
        </w:rPr>
        <w:t xml:space="preserve">expectations </w:t>
      </w:r>
      <w:r>
        <w:rPr>
          <w:rFonts w:ascii="Garamond" w:hAnsi="Garamond"/>
          <w:sz w:val="22"/>
          <w:szCs w:val="22"/>
        </w:rPr>
        <w:t>i</w:t>
      </w:r>
      <w:r w:rsidR="00344BAB" w:rsidRPr="00344BAB">
        <w:rPr>
          <w:rFonts w:ascii="Garamond" w:hAnsi="Garamond"/>
          <w:sz w:val="22"/>
          <w:szCs w:val="22"/>
        </w:rPr>
        <w:t xml:space="preserve">n </w:t>
      </w:r>
      <w:r>
        <w:rPr>
          <w:rFonts w:ascii="Garamond" w:hAnsi="Garamond"/>
          <w:sz w:val="22"/>
          <w:szCs w:val="22"/>
        </w:rPr>
        <w:t xml:space="preserve">the </w:t>
      </w:r>
      <w:r w:rsidR="00344BAB" w:rsidRPr="00344BAB">
        <w:rPr>
          <w:rFonts w:ascii="Garamond" w:hAnsi="Garamond"/>
          <w:sz w:val="22"/>
          <w:szCs w:val="22"/>
        </w:rPr>
        <w:t xml:space="preserve">fourth </w:t>
      </w:r>
      <w:r>
        <w:rPr>
          <w:rFonts w:ascii="Garamond" w:hAnsi="Garamond"/>
          <w:sz w:val="22"/>
          <w:szCs w:val="22"/>
        </w:rPr>
        <w:t xml:space="preserve">quarter of 2017 </w:t>
      </w:r>
      <w:r w:rsidR="00344BAB" w:rsidRPr="00344BAB">
        <w:rPr>
          <w:rFonts w:ascii="Garamond" w:hAnsi="Garamond"/>
          <w:sz w:val="22"/>
          <w:szCs w:val="22"/>
        </w:rPr>
        <w:t xml:space="preserve">and </w:t>
      </w:r>
      <w:r>
        <w:rPr>
          <w:rFonts w:ascii="Garamond" w:hAnsi="Garamond"/>
          <w:sz w:val="22"/>
          <w:szCs w:val="22"/>
        </w:rPr>
        <w:t xml:space="preserve">the first quarter of </w:t>
      </w:r>
      <w:r w:rsidR="00344BAB" w:rsidRPr="00344BAB">
        <w:rPr>
          <w:rFonts w:ascii="Garamond" w:hAnsi="Garamond"/>
          <w:sz w:val="22"/>
          <w:szCs w:val="22"/>
        </w:rPr>
        <w:t xml:space="preserve">2018 </w:t>
      </w:r>
      <w:r>
        <w:rPr>
          <w:rFonts w:ascii="Garamond" w:hAnsi="Garamond"/>
          <w:sz w:val="22"/>
          <w:szCs w:val="22"/>
        </w:rPr>
        <w:t xml:space="preserve">kept on growing as risen </w:t>
      </w:r>
      <w:r w:rsidR="00344BAB" w:rsidRPr="00344BAB">
        <w:rPr>
          <w:rFonts w:ascii="Garamond" w:hAnsi="Garamond"/>
          <w:sz w:val="22"/>
          <w:szCs w:val="22"/>
        </w:rPr>
        <w:t xml:space="preserve">prices for several goods </w:t>
      </w:r>
      <w:r>
        <w:rPr>
          <w:rFonts w:ascii="Garamond" w:hAnsi="Garamond"/>
          <w:sz w:val="22"/>
          <w:szCs w:val="22"/>
        </w:rPr>
        <w:t>in the external environment transmitted onto</w:t>
      </w:r>
      <w:r w:rsidR="00344BAB" w:rsidRPr="00344BAB">
        <w:rPr>
          <w:rFonts w:ascii="Garamond" w:hAnsi="Garamond"/>
          <w:sz w:val="22"/>
          <w:szCs w:val="22"/>
        </w:rPr>
        <w:t xml:space="preserve"> domestic prices and </w:t>
      </w:r>
      <w:r>
        <w:rPr>
          <w:rFonts w:ascii="Garamond" w:hAnsi="Garamond"/>
          <w:sz w:val="22"/>
          <w:szCs w:val="22"/>
        </w:rPr>
        <w:t xml:space="preserve">the year started with </w:t>
      </w:r>
      <w:r w:rsidR="00344BAB" w:rsidRPr="00344BAB">
        <w:rPr>
          <w:rFonts w:ascii="Garamond" w:hAnsi="Garamond"/>
          <w:sz w:val="22"/>
          <w:szCs w:val="22"/>
        </w:rPr>
        <w:t>changes in tax and customs legislation. Taking into account all this, the C</w:t>
      </w:r>
      <w:r>
        <w:rPr>
          <w:rFonts w:ascii="Garamond" w:hAnsi="Garamond"/>
          <w:sz w:val="22"/>
          <w:szCs w:val="22"/>
        </w:rPr>
        <w:t xml:space="preserve">entral </w:t>
      </w:r>
      <w:r w:rsidR="00344BAB" w:rsidRPr="00344BAB">
        <w:rPr>
          <w:rFonts w:ascii="Garamond" w:hAnsi="Garamond"/>
          <w:sz w:val="22"/>
          <w:szCs w:val="22"/>
        </w:rPr>
        <w:t>B</w:t>
      </w:r>
      <w:r>
        <w:rPr>
          <w:rFonts w:ascii="Garamond" w:hAnsi="Garamond"/>
          <w:sz w:val="22"/>
          <w:szCs w:val="22"/>
        </w:rPr>
        <w:t>ank</w:t>
      </w:r>
      <w:r w:rsidR="00344BAB" w:rsidRPr="00344BAB">
        <w:rPr>
          <w:rFonts w:ascii="Garamond" w:hAnsi="Garamond"/>
          <w:sz w:val="22"/>
          <w:szCs w:val="22"/>
        </w:rPr>
        <w:t xml:space="preserve"> </w:t>
      </w:r>
      <w:r>
        <w:rPr>
          <w:rFonts w:ascii="Garamond" w:hAnsi="Garamond"/>
          <w:sz w:val="22"/>
          <w:szCs w:val="22"/>
        </w:rPr>
        <w:t xml:space="preserve">reckons </w:t>
      </w:r>
      <w:r w:rsidR="00344BAB" w:rsidRPr="00344BAB">
        <w:rPr>
          <w:rFonts w:ascii="Garamond" w:hAnsi="Garamond"/>
          <w:sz w:val="22"/>
          <w:szCs w:val="22"/>
        </w:rPr>
        <w:t xml:space="preserve">that inflation expectations have grown by 2.9% over the quarter </w:t>
      </w:r>
      <w:r>
        <w:rPr>
          <w:rFonts w:ascii="Garamond" w:hAnsi="Garamond"/>
          <w:sz w:val="22"/>
          <w:szCs w:val="22"/>
        </w:rPr>
        <w:t xml:space="preserve">while </w:t>
      </w:r>
      <w:r w:rsidR="00344BAB" w:rsidRPr="00344BAB">
        <w:rPr>
          <w:rFonts w:ascii="Garamond" w:hAnsi="Garamond"/>
          <w:sz w:val="22"/>
          <w:szCs w:val="22"/>
        </w:rPr>
        <w:t xml:space="preserve">existing additional inflation expectations have </w:t>
      </w:r>
      <w:r>
        <w:rPr>
          <w:rFonts w:ascii="Garamond" w:hAnsi="Garamond"/>
          <w:sz w:val="22"/>
          <w:szCs w:val="22"/>
        </w:rPr>
        <w:t>phased out on the whole</w:t>
      </w:r>
      <w:r>
        <w:rPr>
          <w:rStyle w:val="FootnoteReference"/>
          <w:rFonts w:ascii="Garamond" w:hAnsi="Garamond"/>
          <w:sz w:val="22"/>
          <w:szCs w:val="22"/>
        </w:rPr>
        <w:footnoteReference w:customMarkFollows="1" w:id="9"/>
        <w:t>11</w:t>
      </w:r>
      <w:r w:rsidR="00344BAB" w:rsidRPr="00344BAB">
        <w:rPr>
          <w:rFonts w:ascii="Garamond" w:hAnsi="Garamond"/>
          <w:sz w:val="22"/>
          <w:szCs w:val="22"/>
        </w:rPr>
        <w:t>. In the upcoming period, as expected, the</w:t>
      </w:r>
      <w:r>
        <w:rPr>
          <w:rFonts w:ascii="Garamond" w:hAnsi="Garamond"/>
          <w:sz w:val="22"/>
          <w:szCs w:val="22"/>
        </w:rPr>
        <w:t>se</w:t>
      </w:r>
      <w:r w:rsidR="00344BAB" w:rsidRPr="00344BAB">
        <w:rPr>
          <w:rFonts w:ascii="Garamond" w:hAnsi="Garamond"/>
          <w:sz w:val="22"/>
          <w:szCs w:val="22"/>
        </w:rPr>
        <w:t xml:space="preserve"> will continue to grow</w:t>
      </w:r>
      <w:r>
        <w:rPr>
          <w:rFonts w:ascii="Garamond" w:hAnsi="Garamond"/>
          <w:sz w:val="22"/>
          <w:szCs w:val="22"/>
        </w:rPr>
        <w:t xml:space="preserve">, anchoring around the inflation target </w:t>
      </w:r>
      <w:r w:rsidR="00344BAB" w:rsidRPr="00344BAB">
        <w:rPr>
          <w:rFonts w:ascii="Garamond" w:hAnsi="Garamond"/>
          <w:sz w:val="22"/>
          <w:szCs w:val="22"/>
        </w:rPr>
        <w:t>in the forecast horizon.</w:t>
      </w:r>
    </w:p>
    <w:tbl>
      <w:tblPr>
        <w:tblStyle w:val="TableGrid"/>
        <w:tblW w:w="0" w:type="auto"/>
        <w:tblLook w:val="04A0" w:firstRow="1" w:lastRow="0" w:firstColumn="1" w:lastColumn="0" w:noHBand="0" w:noVBand="1"/>
      </w:tblPr>
      <w:tblGrid>
        <w:gridCol w:w="9350"/>
      </w:tblGrid>
      <w:tr w:rsidR="00467C2C" w:rsidRPr="00626752" w14:paraId="0260F768" w14:textId="77777777" w:rsidTr="00467C2C">
        <w:tc>
          <w:tcPr>
            <w:tcW w:w="9350" w:type="dxa"/>
          </w:tcPr>
          <w:p w14:paraId="373250E9" w14:textId="77777777" w:rsidR="00467C2C" w:rsidRPr="003D6368" w:rsidRDefault="00467C2C" w:rsidP="006966A5">
            <w:pPr>
              <w:autoSpaceDE w:val="0"/>
              <w:autoSpaceDN w:val="0"/>
              <w:adjustRightInd w:val="0"/>
              <w:spacing w:after="120" w:line="360" w:lineRule="auto"/>
              <w:jc w:val="both"/>
              <w:rPr>
                <w:rFonts w:ascii="Garamond" w:hAnsi="Garamond"/>
                <w:b/>
                <w:color w:val="0070C0"/>
                <w:sz w:val="18"/>
                <w:szCs w:val="22"/>
              </w:rPr>
            </w:pPr>
            <w:r w:rsidRPr="003D6368">
              <w:rPr>
                <w:rFonts w:ascii="Garamond" w:hAnsi="Garamond"/>
                <w:b/>
                <w:color w:val="0070C0"/>
                <w:sz w:val="18"/>
                <w:szCs w:val="22"/>
              </w:rPr>
              <w:t>Box 1:</w:t>
            </w:r>
          </w:p>
          <w:p w14:paraId="2056B8EA" w14:textId="77777777" w:rsidR="00467C2C" w:rsidRPr="003D6368" w:rsidRDefault="00467C2C" w:rsidP="006966A5">
            <w:pPr>
              <w:autoSpaceDE w:val="0"/>
              <w:autoSpaceDN w:val="0"/>
              <w:adjustRightInd w:val="0"/>
              <w:spacing w:after="120" w:line="360" w:lineRule="auto"/>
              <w:jc w:val="both"/>
              <w:rPr>
                <w:rFonts w:ascii="Garamond" w:hAnsi="Garamond"/>
                <w:b/>
                <w:color w:val="0070C0"/>
                <w:sz w:val="18"/>
                <w:szCs w:val="22"/>
              </w:rPr>
            </w:pPr>
            <w:r w:rsidRPr="003D6368">
              <w:rPr>
                <w:rFonts w:ascii="Garamond" w:hAnsi="Garamond"/>
                <w:b/>
                <w:color w:val="0070C0"/>
                <w:sz w:val="18"/>
                <w:szCs w:val="22"/>
              </w:rPr>
              <w:t>The results of survey on expectations by the households and the financial system</w:t>
            </w:r>
          </w:p>
          <w:p w14:paraId="3A009A50" w14:textId="717F47EA" w:rsidR="004C4C65" w:rsidRPr="003D6368" w:rsidRDefault="00467C2C" w:rsidP="006966A5">
            <w:pPr>
              <w:autoSpaceDE w:val="0"/>
              <w:autoSpaceDN w:val="0"/>
              <w:adjustRightInd w:val="0"/>
              <w:spacing w:after="120" w:line="360" w:lineRule="auto"/>
              <w:jc w:val="both"/>
              <w:rPr>
                <w:rFonts w:ascii="Garamond" w:hAnsi="Garamond"/>
                <w:sz w:val="18"/>
                <w:szCs w:val="22"/>
              </w:rPr>
            </w:pPr>
            <w:r w:rsidRPr="003D6368">
              <w:rPr>
                <w:rFonts w:ascii="Garamond" w:hAnsi="Garamond"/>
                <w:sz w:val="18"/>
                <w:szCs w:val="22"/>
              </w:rPr>
              <w:t xml:space="preserve">The inflation expectations have </w:t>
            </w:r>
            <w:r w:rsidR="00404293" w:rsidRPr="003D6368">
              <w:rPr>
                <w:rFonts w:ascii="Garamond" w:hAnsi="Garamond"/>
                <w:sz w:val="18"/>
                <w:szCs w:val="22"/>
              </w:rPr>
              <w:t>somewhat increased</w:t>
            </w:r>
            <w:r w:rsidRPr="003D6368">
              <w:rPr>
                <w:rFonts w:ascii="Garamond" w:hAnsi="Garamond"/>
                <w:sz w:val="18"/>
                <w:szCs w:val="22"/>
              </w:rPr>
              <w:t>, ac</w:t>
            </w:r>
            <w:r w:rsidR="00404293" w:rsidRPr="003D6368">
              <w:rPr>
                <w:rFonts w:ascii="Garamond" w:hAnsi="Garamond"/>
                <w:sz w:val="18"/>
                <w:szCs w:val="22"/>
              </w:rPr>
              <w:t>cording to the results of the Q4</w:t>
            </w:r>
            <w:r w:rsidRPr="003D6368">
              <w:rPr>
                <w:rFonts w:ascii="Garamond" w:hAnsi="Garamond"/>
                <w:sz w:val="18"/>
                <w:szCs w:val="22"/>
              </w:rPr>
              <w:t xml:space="preserve">, 2017 survey on selected macroeconomic indicators, conducted by the Central Bank </w:t>
            </w:r>
            <w:r w:rsidR="003D1442">
              <w:rPr>
                <w:rFonts w:ascii="Garamond" w:hAnsi="Garamond"/>
                <w:sz w:val="18"/>
                <w:szCs w:val="22"/>
              </w:rPr>
              <w:t xml:space="preserve">with </w:t>
            </w:r>
            <w:r w:rsidRPr="003D6368">
              <w:rPr>
                <w:rFonts w:ascii="Garamond" w:hAnsi="Garamond"/>
                <w:sz w:val="18"/>
                <w:szCs w:val="22"/>
              </w:rPr>
              <w:t xml:space="preserve">households and organizations of the financial sector. </w:t>
            </w:r>
            <w:r w:rsidR="00404293" w:rsidRPr="003D6368">
              <w:rPr>
                <w:rFonts w:ascii="Garamond" w:hAnsi="Garamond"/>
                <w:sz w:val="18"/>
                <w:szCs w:val="22"/>
              </w:rPr>
              <w:t xml:space="preserve">Thus, 37.0% of the households surveyed believe that inflation will be high, </w:t>
            </w:r>
            <w:r w:rsidR="00DA553E" w:rsidRPr="003D6368">
              <w:rPr>
                <w:rFonts w:ascii="Garamond" w:hAnsi="Garamond"/>
                <w:sz w:val="18"/>
                <w:szCs w:val="22"/>
              </w:rPr>
              <w:t xml:space="preserve">will be </w:t>
            </w:r>
            <w:r w:rsidR="00404293" w:rsidRPr="003D6368">
              <w:rPr>
                <w:rFonts w:ascii="Garamond" w:hAnsi="Garamond"/>
                <w:sz w:val="18"/>
                <w:szCs w:val="22"/>
              </w:rPr>
              <w:t xml:space="preserve">very high </w:t>
            </w:r>
            <w:r w:rsidR="00DA553E" w:rsidRPr="003D6368">
              <w:rPr>
                <w:rFonts w:ascii="Garamond" w:hAnsi="Garamond"/>
                <w:sz w:val="18"/>
                <w:szCs w:val="22"/>
              </w:rPr>
              <w:t xml:space="preserve">in the coming year, </w:t>
            </w:r>
            <w:r w:rsidR="00404293" w:rsidRPr="003D6368">
              <w:rPr>
                <w:rFonts w:ascii="Garamond" w:hAnsi="Garamond"/>
                <w:sz w:val="18"/>
                <w:szCs w:val="22"/>
              </w:rPr>
              <w:t xml:space="preserve">or </w:t>
            </w:r>
            <w:r w:rsidR="00DA553E" w:rsidRPr="003D6368">
              <w:rPr>
                <w:rFonts w:ascii="Garamond" w:hAnsi="Garamond"/>
                <w:sz w:val="18"/>
                <w:szCs w:val="22"/>
              </w:rPr>
              <w:t xml:space="preserve">they find it </w:t>
            </w:r>
            <w:r w:rsidR="00404293" w:rsidRPr="003D6368">
              <w:rPr>
                <w:rFonts w:ascii="Garamond" w:hAnsi="Garamond"/>
                <w:sz w:val="18"/>
                <w:szCs w:val="22"/>
              </w:rPr>
              <w:t xml:space="preserve">difficult </w:t>
            </w:r>
            <w:r w:rsidR="00DA553E" w:rsidRPr="003D6368">
              <w:rPr>
                <w:rFonts w:ascii="Garamond" w:hAnsi="Garamond"/>
                <w:sz w:val="18"/>
                <w:szCs w:val="22"/>
              </w:rPr>
              <w:t>to respond</w:t>
            </w:r>
            <w:r w:rsidR="00404293" w:rsidRPr="003D6368">
              <w:rPr>
                <w:rFonts w:ascii="Garamond" w:hAnsi="Garamond"/>
                <w:sz w:val="18"/>
                <w:szCs w:val="22"/>
              </w:rPr>
              <w:t xml:space="preserve">, whereas </w:t>
            </w:r>
            <w:r w:rsidR="00DA553E" w:rsidRPr="003D6368">
              <w:rPr>
                <w:rFonts w:ascii="Garamond" w:hAnsi="Garamond"/>
                <w:sz w:val="18"/>
                <w:szCs w:val="22"/>
              </w:rPr>
              <w:t xml:space="preserve">only 18% of the households had such responses in the </w:t>
            </w:r>
            <w:r w:rsidR="00404293" w:rsidRPr="003D6368">
              <w:rPr>
                <w:rFonts w:ascii="Garamond" w:hAnsi="Garamond"/>
                <w:sz w:val="18"/>
                <w:szCs w:val="22"/>
              </w:rPr>
              <w:t>previous quarter</w:t>
            </w:r>
            <w:r w:rsidR="00DA553E" w:rsidRPr="003D6368">
              <w:rPr>
                <w:rFonts w:ascii="Garamond" w:hAnsi="Garamond"/>
                <w:sz w:val="18"/>
                <w:szCs w:val="22"/>
              </w:rPr>
              <w:t>.</w:t>
            </w:r>
            <w:r w:rsidR="00404293" w:rsidRPr="003D6368">
              <w:rPr>
                <w:rFonts w:ascii="Garamond" w:hAnsi="Garamond"/>
                <w:sz w:val="18"/>
                <w:szCs w:val="22"/>
              </w:rPr>
              <w:t xml:space="preserve"> This is a significant increase over a quarter, in which </w:t>
            </w:r>
            <w:r w:rsidR="00DA553E" w:rsidRPr="003D6368">
              <w:rPr>
                <w:rFonts w:ascii="Garamond" w:hAnsi="Garamond"/>
                <w:sz w:val="18"/>
                <w:szCs w:val="22"/>
              </w:rPr>
              <w:t xml:space="preserve">circumstance </w:t>
            </w:r>
            <w:r w:rsidR="00404293" w:rsidRPr="003D6368">
              <w:rPr>
                <w:rFonts w:ascii="Garamond" w:hAnsi="Garamond"/>
                <w:sz w:val="18"/>
                <w:szCs w:val="22"/>
              </w:rPr>
              <w:t xml:space="preserve">even the 12-month inflation </w:t>
            </w:r>
            <w:r w:rsidR="00DA553E" w:rsidRPr="003D6368">
              <w:rPr>
                <w:rFonts w:ascii="Garamond" w:hAnsi="Garamond"/>
                <w:sz w:val="18"/>
                <w:szCs w:val="22"/>
              </w:rPr>
              <w:t xml:space="preserve">rate </w:t>
            </w:r>
            <w:r w:rsidR="00404293" w:rsidRPr="003D6368">
              <w:rPr>
                <w:rFonts w:ascii="Garamond" w:hAnsi="Garamond"/>
                <w:sz w:val="18"/>
                <w:szCs w:val="22"/>
              </w:rPr>
              <w:t>w</w:t>
            </w:r>
            <w:r w:rsidR="00DA553E" w:rsidRPr="003D6368">
              <w:rPr>
                <w:rFonts w:ascii="Garamond" w:hAnsi="Garamond"/>
                <w:sz w:val="18"/>
                <w:szCs w:val="22"/>
              </w:rPr>
              <w:t>ould</w:t>
            </w:r>
            <w:r w:rsidR="00404293" w:rsidRPr="003D6368">
              <w:rPr>
                <w:rFonts w:ascii="Garamond" w:hAnsi="Garamond"/>
                <w:sz w:val="18"/>
                <w:szCs w:val="22"/>
              </w:rPr>
              <w:t xml:space="preserve"> </w:t>
            </w:r>
            <w:r w:rsidR="00DA553E" w:rsidRPr="003D6368">
              <w:rPr>
                <w:rFonts w:ascii="Garamond" w:hAnsi="Garamond"/>
                <w:sz w:val="18"/>
                <w:szCs w:val="22"/>
              </w:rPr>
              <w:t>stay within the confidence band</w:t>
            </w:r>
            <w:r w:rsidR="004C4C65" w:rsidRPr="003D6368">
              <w:rPr>
                <w:rFonts w:ascii="Garamond" w:hAnsi="Garamond"/>
                <w:sz w:val="18"/>
                <w:szCs w:val="22"/>
              </w:rPr>
              <w:t>.</w:t>
            </w:r>
          </w:p>
          <w:p w14:paraId="442CB678" w14:textId="77777777" w:rsidR="00467C2C" w:rsidRPr="003D6368" w:rsidRDefault="00467C2C" w:rsidP="00010FBE">
            <w:pPr>
              <w:autoSpaceDE w:val="0"/>
              <w:autoSpaceDN w:val="0"/>
              <w:adjustRightInd w:val="0"/>
              <w:spacing w:after="120" w:line="360" w:lineRule="auto"/>
              <w:jc w:val="both"/>
              <w:rPr>
                <w:rFonts w:ascii="Garamond" w:hAnsi="Garamond"/>
                <w:b/>
                <w:color w:val="0070C0"/>
                <w:sz w:val="18"/>
                <w:szCs w:val="22"/>
              </w:rPr>
            </w:pPr>
            <w:r w:rsidRPr="003D6368">
              <w:rPr>
                <w:rFonts w:ascii="Garamond" w:hAnsi="Garamond"/>
                <w:sz w:val="18"/>
                <w:szCs w:val="22"/>
              </w:rPr>
              <w:t xml:space="preserve">The </w:t>
            </w:r>
            <w:r w:rsidRPr="003D6368">
              <w:rPr>
                <w:rFonts w:ascii="Garamond" w:hAnsi="Garamond"/>
                <w:b/>
                <w:sz w:val="18"/>
                <w:szCs w:val="22"/>
              </w:rPr>
              <w:t>average level of inflation expectations of the financial system</w:t>
            </w:r>
            <w:r w:rsidRPr="003D6368">
              <w:rPr>
                <w:rFonts w:ascii="Garamond" w:hAnsi="Garamond"/>
                <w:sz w:val="18"/>
                <w:szCs w:val="22"/>
              </w:rPr>
              <w:t xml:space="preserve"> in the upcoming one-year horizon is </w:t>
            </w:r>
            <w:r w:rsidR="004C4C65" w:rsidRPr="003D6368">
              <w:rPr>
                <w:rFonts w:ascii="Garamond" w:hAnsi="Garamond"/>
                <w:b/>
                <w:sz w:val="18"/>
                <w:szCs w:val="22"/>
              </w:rPr>
              <w:t>3</w:t>
            </w:r>
            <w:r w:rsidRPr="003D6368">
              <w:rPr>
                <w:rFonts w:ascii="Garamond" w:hAnsi="Garamond"/>
                <w:b/>
                <w:sz w:val="18"/>
                <w:szCs w:val="22"/>
              </w:rPr>
              <w:t>.</w:t>
            </w:r>
            <w:r w:rsidR="004C4C65" w:rsidRPr="003D6368">
              <w:rPr>
                <w:rFonts w:ascii="Garamond" w:hAnsi="Garamond"/>
                <w:b/>
                <w:sz w:val="18"/>
                <w:szCs w:val="22"/>
              </w:rPr>
              <w:t>4</w:t>
            </w:r>
            <w:r w:rsidRPr="003D6368">
              <w:rPr>
                <w:rFonts w:ascii="Garamond" w:hAnsi="Garamond"/>
                <w:b/>
                <w:sz w:val="18"/>
                <w:szCs w:val="22"/>
              </w:rPr>
              <w:t>%</w:t>
            </w:r>
            <w:r w:rsidR="004C4C65" w:rsidRPr="003D6368">
              <w:rPr>
                <w:rFonts w:ascii="Garamond" w:hAnsi="Garamond"/>
                <w:b/>
                <w:sz w:val="18"/>
                <w:szCs w:val="22"/>
              </w:rPr>
              <w:t xml:space="preserve"> </w:t>
            </w:r>
            <w:r w:rsidR="004C4C65" w:rsidRPr="003D6368">
              <w:rPr>
                <w:rFonts w:ascii="Garamond" w:hAnsi="Garamond"/>
                <w:sz w:val="18"/>
                <w:szCs w:val="22"/>
              </w:rPr>
              <w:t xml:space="preserve">against that of </w:t>
            </w:r>
            <w:r w:rsidR="004C4C65" w:rsidRPr="003D6368">
              <w:rPr>
                <w:rFonts w:ascii="Garamond" w:hAnsi="Garamond"/>
                <w:b/>
                <w:sz w:val="18"/>
                <w:szCs w:val="22"/>
              </w:rPr>
              <w:t>2.8%</w:t>
            </w:r>
            <w:r w:rsidR="004C4C65" w:rsidRPr="003D6368">
              <w:rPr>
                <w:rFonts w:ascii="Garamond" w:hAnsi="Garamond"/>
                <w:sz w:val="18"/>
                <w:szCs w:val="22"/>
              </w:rPr>
              <w:t>,</w:t>
            </w:r>
            <w:r w:rsidRPr="003D6368">
              <w:rPr>
                <w:rFonts w:ascii="Garamond" w:hAnsi="Garamond"/>
                <w:sz w:val="18"/>
                <w:szCs w:val="22"/>
              </w:rPr>
              <w:t xml:space="preserve"> </w:t>
            </w:r>
            <w:r w:rsidR="00010FBE">
              <w:rPr>
                <w:rFonts w:ascii="Garamond" w:hAnsi="Garamond"/>
                <w:sz w:val="18"/>
                <w:szCs w:val="22"/>
              </w:rPr>
              <w:t xml:space="preserve">as </w:t>
            </w:r>
            <w:r w:rsidR="004C4C65" w:rsidRPr="003D6368">
              <w:rPr>
                <w:rFonts w:ascii="Garamond" w:hAnsi="Garamond"/>
                <w:sz w:val="18"/>
                <w:szCs w:val="22"/>
              </w:rPr>
              <w:t>pro</w:t>
            </w:r>
            <w:r w:rsidR="00010FBE">
              <w:rPr>
                <w:rFonts w:ascii="Garamond" w:hAnsi="Garamond"/>
                <w:sz w:val="18"/>
                <w:szCs w:val="22"/>
              </w:rPr>
              <w:t>vided in</w:t>
            </w:r>
            <w:r w:rsidR="004C4C65" w:rsidRPr="003D6368">
              <w:rPr>
                <w:rFonts w:ascii="Garamond" w:hAnsi="Garamond"/>
                <w:sz w:val="18"/>
                <w:szCs w:val="22"/>
              </w:rPr>
              <w:t xml:space="preserve"> the</w:t>
            </w:r>
            <w:r w:rsidRPr="003D6368">
              <w:rPr>
                <w:rFonts w:ascii="Garamond" w:hAnsi="Garamond"/>
                <w:sz w:val="18"/>
                <w:szCs w:val="22"/>
              </w:rPr>
              <w:t xml:space="preserve"> previous survey.</w:t>
            </w:r>
          </w:p>
        </w:tc>
      </w:tr>
    </w:tbl>
    <w:p w14:paraId="5D001424" w14:textId="77777777" w:rsidR="005C6536" w:rsidRPr="00626752" w:rsidRDefault="005C6536" w:rsidP="005C6536">
      <w:pPr>
        <w:autoSpaceDE w:val="0"/>
        <w:autoSpaceDN w:val="0"/>
        <w:adjustRightInd w:val="0"/>
        <w:spacing w:after="120" w:line="360" w:lineRule="auto"/>
        <w:jc w:val="both"/>
        <w:rPr>
          <w:rFonts w:ascii="Garamond" w:hAnsi="Garamond"/>
          <w:sz w:val="22"/>
          <w:szCs w:val="22"/>
        </w:rPr>
      </w:pPr>
    </w:p>
    <w:p w14:paraId="67118E3B" w14:textId="77777777" w:rsidR="005C6536" w:rsidRPr="00626752" w:rsidRDefault="005C6536" w:rsidP="005C6536">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Forecast assumptions and risks</w:t>
      </w:r>
      <w:r w:rsidR="00FA46F4">
        <w:rPr>
          <w:rFonts w:ascii="Garamond" w:hAnsi="Garamond"/>
          <w:b/>
          <w:sz w:val="22"/>
          <w:szCs w:val="22"/>
        </w:rPr>
        <w:t xml:space="preserve"> </w:t>
      </w:r>
    </w:p>
    <w:p w14:paraId="278A6685" w14:textId="77777777" w:rsidR="005C6536" w:rsidRPr="00626752" w:rsidRDefault="004C4C65" w:rsidP="005C6536">
      <w:pPr>
        <w:autoSpaceDE w:val="0"/>
        <w:autoSpaceDN w:val="0"/>
        <w:adjustRightInd w:val="0"/>
        <w:spacing w:after="120" w:line="360" w:lineRule="auto"/>
        <w:jc w:val="both"/>
        <w:rPr>
          <w:rFonts w:ascii="Garamond" w:hAnsi="Garamond" w:cs="Sylfaen"/>
          <w:b/>
          <w:i/>
          <w:iCs/>
          <w:sz w:val="22"/>
          <w:szCs w:val="22"/>
        </w:rPr>
      </w:pPr>
      <w:r>
        <w:rPr>
          <w:rFonts w:ascii="Garamond" w:hAnsi="Garamond"/>
          <w:b/>
          <w:sz w:val="22"/>
          <w:szCs w:val="22"/>
        </w:rPr>
        <w:t>Table 3</w:t>
      </w:r>
      <w:r w:rsidR="005C6536" w:rsidRPr="00626752">
        <w:rPr>
          <w:rFonts w:ascii="Garamond" w:hAnsi="Garamond"/>
          <w:b/>
          <w:sz w:val="22"/>
          <w:szCs w:val="22"/>
        </w:rPr>
        <w:t>:</w:t>
      </w:r>
      <w:r w:rsidR="00DA0E4F" w:rsidRPr="00626752">
        <w:rPr>
          <w:rFonts w:ascii="Garamond" w:hAnsi="Garamond"/>
          <w:b/>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626752" w14:paraId="23F1AD3E" w14:textId="77777777" w:rsidTr="004D4A0F">
        <w:trPr>
          <w:trHeight w:val="20"/>
        </w:trPr>
        <w:tc>
          <w:tcPr>
            <w:tcW w:w="6243" w:type="dxa"/>
            <w:gridSpan w:val="2"/>
            <w:vAlign w:val="center"/>
          </w:tcPr>
          <w:p w14:paraId="038BC42D" w14:textId="77777777" w:rsidR="005C6536" w:rsidRPr="00626752" w:rsidRDefault="005C6536" w:rsidP="005C6536">
            <w:pPr>
              <w:spacing w:before="40"/>
              <w:jc w:val="center"/>
              <w:rPr>
                <w:rFonts w:ascii="Garamond" w:eastAsia="Calibri" w:hAnsi="Garamond" w:cs="GHEA Grapalat"/>
                <w:i/>
                <w:sz w:val="18"/>
                <w:szCs w:val="18"/>
              </w:rPr>
            </w:pPr>
            <w:r w:rsidRPr="00626752">
              <w:rPr>
                <w:rFonts w:ascii="Garamond" w:hAnsi="Garamond" w:cs="Sylfaen"/>
                <w:b/>
                <w:sz w:val="18"/>
                <w:szCs w:val="18"/>
              </w:rPr>
              <w:t xml:space="preserve">Main </w:t>
            </w:r>
            <w:proofErr w:type="spellStart"/>
            <w:r w:rsidRPr="00626752">
              <w:rPr>
                <w:rFonts w:ascii="Garamond" w:hAnsi="Garamond" w:cs="Sylfaen"/>
                <w:b/>
                <w:sz w:val="18"/>
                <w:szCs w:val="18"/>
                <w:lang w:val="hy-AM"/>
              </w:rPr>
              <w:t>judgments</w:t>
            </w:r>
            <w:proofErr w:type="spellEnd"/>
            <w:r w:rsidRPr="00626752">
              <w:rPr>
                <w:rFonts w:ascii="Garamond" w:hAnsi="Garamond" w:cs="Sylfaen"/>
                <w:b/>
                <w:sz w:val="18"/>
                <w:szCs w:val="18"/>
                <w:lang w:val="hy-AM"/>
              </w:rPr>
              <w:t xml:space="preserve"> </w:t>
            </w:r>
            <w:proofErr w:type="spellStart"/>
            <w:r w:rsidRPr="00626752">
              <w:rPr>
                <w:rFonts w:ascii="Garamond" w:hAnsi="Garamond" w:cs="Sylfaen"/>
                <w:b/>
                <w:sz w:val="18"/>
                <w:szCs w:val="18"/>
                <w:lang w:val="hy-AM"/>
              </w:rPr>
              <w:t>and</w:t>
            </w:r>
            <w:proofErr w:type="spellEnd"/>
            <w:r w:rsidRPr="00626752">
              <w:rPr>
                <w:rFonts w:ascii="Garamond" w:hAnsi="Garamond" w:cs="Sylfaen"/>
                <w:b/>
                <w:sz w:val="18"/>
                <w:szCs w:val="18"/>
                <w:lang w:val="hy-AM"/>
              </w:rPr>
              <w:t xml:space="preserve"> </w:t>
            </w:r>
            <w:proofErr w:type="spellStart"/>
            <w:r w:rsidRPr="00626752">
              <w:rPr>
                <w:rFonts w:ascii="Garamond" w:hAnsi="Garamond" w:cs="Sylfaen"/>
                <w:b/>
                <w:sz w:val="18"/>
                <w:szCs w:val="18"/>
                <w:lang w:val="hy-AM"/>
              </w:rPr>
              <w:t>assumptions</w:t>
            </w:r>
            <w:proofErr w:type="spellEnd"/>
          </w:p>
        </w:tc>
      </w:tr>
      <w:tr w:rsidR="005C6536" w:rsidRPr="00626752" w14:paraId="2ADE54CC" w14:textId="77777777" w:rsidTr="004D4A0F">
        <w:trPr>
          <w:trHeight w:val="20"/>
        </w:trPr>
        <w:tc>
          <w:tcPr>
            <w:tcW w:w="1715" w:type="dxa"/>
            <w:vAlign w:val="center"/>
          </w:tcPr>
          <w:p w14:paraId="098FF486" w14:textId="77777777" w:rsidR="005C6536" w:rsidRPr="00626752" w:rsidRDefault="005C6536" w:rsidP="004D4A0F">
            <w:pPr>
              <w:spacing w:before="30" w:after="30"/>
              <w:rPr>
                <w:rFonts w:ascii="Garamond" w:eastAsia="Calibri" w:hAnsi="Garamond" w:cs="GHEA Grapalat"/>
                <w:b/>
                <w:sz w:val="18"/>
                <w:szCs w:val="18"/>
                <w:lang w:val="hy-AM"/>
              </w:rPr>
            </w:pPr>
            <w:r w:rsidRPr="00626752">
              <w:rPr>
                <w:rFonts w:ascii="Garamond" w:hAnsi="Garamond" w:cs="Sylfaen"/>
                <w:b/>
                <w:sz w:val="18"/>
                <w:szCs w:val="18"/>
              </w:rPr>
              <w:t xml:space="preserve">Main </w:t>
            </w:r>
            <w:proofErr w:type="spellStart"/>
            <w:r w:rsidRPr="00626752">
              <w:rPr>
                <w:rFonts w:ascii="Garamond" w:hAnsi="Garamond" w:cs="Sylfaen"/>
                <w:b/>
                <w:sz w:val="18"/>
                <w:szCs w:val="18"/>
                <w:lang w:val="hy-AM"/>
              </w:rPr>
              <w:t>judgments</w:t>
            </w:r>
            <w:proofErr w:type="spellEnd"/>
            <w:r w:rsidRPr="00626752">
              <w:rPr>
                <w:rFonts w:ascii="Garamond" w:hAnsi="Garamond" w:cs="Sylfaen"/>
                <w:b/>
                <w:sz w:val="18"/>
                <w:szCs w:val="18"/>
                <w:lang w:val="hy-AM"/>
              </w:rPr>
              <w:t xml:space="preserve"> </w:t>
            </w:r>
            <w:proofErr w:type="spellStart"/>
            <w:r w:rsidRPr="00626752">
              <w:rPr>
                <w:rFonts w:ascii="Garamond" w:hAnsi="Garamond" w:cs="Sylfaen"/>
                <w:b/>
                <w:sz w:val="18"/>
                <w:szCs w:val="18"/>
                <w:lang w:val="hy-AM"/>
              </w:rPr>
              <w:t>and</w:t>
            </w:r>
            <w:proofErr w:type="spellEnd"/>
            <w:r w:rsidRPr="00626752">
              <w:rPr>
                <w:rFonts w:ascii="Garamond" w:hAnsi="Garamond" w:cs="Sylfaen"/>
                <w:b/>
                <w:sz w:val="18"/>
                <w:szCs w:val="18"/>
                <w:lang w:val="hy-AM"/>
              </w:rPr>
              <w:t xml:space="preserve"> </w:t>
            </w:r>
            <w:proofErr w:type="spellStart"/>
            <w:r w:rsidRPr="00626752">
              <w:rPr>
                <w:rFonts w:ascii="Garamond" w:hAnsi="Garamond" w:cs="Sylfaen"/>
                <w:b/>
                <w:sz w:val="18"/>
                <w:szCs w:val="18"/>
                <w:lang w:val="hy-AM"/>
              </w:rPr>
              <w:t>assumptions</w:t>
            </w:r>
            <w:proofErr w:type="spellEnd"/>
          </w:p>
        </w:tc>
        <w:tc>
          <w:tcPr>
            <w:tcW w:w="4528" w:type="dxa"/>
            <w:vAlign w:val="center"/>
          </w:tcPr>
          <w:p w14:paraId="72A479B7" w14:textId="77777777" w:rsidR="005C6536" w:rsidRPr="00626752" w:rsidRDefault="005C6536" w:rsidP="00A241EA">
            <w:pPr>
              <w:spacing w:before="30" w:after="30"/>
              <w:rPr>
                <w:rFonts w:ascii="Garamond" w:eastAsia="Calibri" w:hAnsi="Garamond" w:cs="GHEA Grapalat"/>
                <w:b/>
                <w:sz w:val="18"/>
                <w:szCs w:val="18"/>
              </w:rPr>
            </w:pPr>
            <w:r w:rsidRPr="00626752">
              <w:rPr>
                <w:rFonts w:ascii="Garamond" w:eastAsia="Calibri" w:hAnsi="Garamond" w:cs="GHEA Grapalat"/>
                <w:b/>
                <w:sz w:val="18"/>
                <w:szCs w:val="18"/>
              </w:rPr>
              <w:t>P</w:t>
            </w:r>
            <w:proofErr w:type="spellStart"/>
            <w:r w:rsidRPr="00626752">
              <w:rPr>
                <w:rFonts w:ascii="Garamond" w:eastAsia="Calibri" w:hAnsi="Garamond" w:cs="GHEA Grapalat"/>
                <w:b/>
                <w:sz w:val="18"/>
                <w:szCs w:val="18"/>
                <w:lang w:val="hy-AM"/>
              </w:rPr>
              <w:t>ossible</w:t>
            </w:r>
            <w:proofErr w:type="spellEnd"/>
            <w:r w:rsidRPr="00626752">
              <w:rPr>
                <w:rFonts w:ascii="Garamond" w:eastAsia="Calibri" w:hAnsi="Garamond" w:cs="GHEA Grapalat"/>
                <w:b/>
                <w:sz w:val="18"/>
                <w:szCs w:val="18"/>
                <w:lang w:val="hy-AM"/>
              </w:rPr>
              <w:t xml:space="preserve"> </w:t>
            </w:r>
            <w:proofErr w:type="spellStart"/>
            <w:r w:rsidRPr="00626752">
              <w:rPr>
                <w:rFonts w:ascii="Garamond" w:eastAsia="Calibri" w:hAnsi="Garamond" w:cs="GHEA Grapalat"/>
                <w:b/>
                <w:sz w:val="18"/>
                <w:szCs w:val="18"/>
                <w:lang w:val="hy-AM"/>
              </w:rPr>
              <w:t>developments</w:t>
            </w:r>
            <w:proofErr w:type="spellEnd"/>
            <w:r w:rsidRPr="00626752">
              <w:rPr>
                <w:rFonts w:ascii="Garamond" w:eastAsia="Calibri" w:hAnsi="Garamond" w:cs="GHEA Grapalat"/>
                <w:b/>
                <w:sz w:val="18"/>
                <w:szCs w:val="18"/>
                <w:lang w:val="hy-AM"/>
              </w:rPr>
              <w:t xml:space="preserve"> </w:t>
            </w:r>
            <w:proofErr w:type="spellStart"/>
            <w:r w:rsidRPr="00626752">
              <w:rPr>
                <w:rFonts w:ascii="Garamond" w:eastAsia="Calibri" w:hAnsi="Garamond" w:cs="GHEA Grapalat"/>
                <w:b/>
                <w:sz w:val="18"/>
                <w:szCs w:val="18"/>
                <w:lang w:val="hy-AM"/>
              </w:rPr>
              <w:t>in</w:t>
            </w:r>
            <w:proofErr w:type="spellEnd"/>
            <w:r w:rsidRPr="00626752">
              <w:rPr>
                <w:rFonts w:ascii="Garamond" w:eastAsia="Calibri" w:hAnsi="Garamond" w:cs="GHEA Grapalat"/>
                <w:b/>
                <w:sz w:val="18"/>
                <w:szCs w:val="18"/>
                <w:lang w:val="hy-AM"/>
              </w:rPr>
              <w:t xml:space="preserve"> </w:t>
            </w:r>
            <w:r w:rsidR="00FA46F4">
              <w:rPr>
                <w:rFonts w:ascii="Garamond" w:eastAsia="Calibri" w:hAnsi="Garamond" w:cs="GHEA Grapalat"/>
                <w:b/>
                <w:sz w:val="18"/>
                <w:szCs w:val="18"/>
              </w:rPr>
              <w:t xml:space="preserve">case this assumption </w:t>
            </w:r>
            <w:r w:rsidR="00A241EA">
              <w:rPr>
                <w:rFonts w:ascii="Garamond" w:eastAsia="Calibri" w:hAnsi="Garamond" w:cs="GHEA Grapalat"/>
                <w:b/>
                <w:sz w:val="18"/>
                <w:szCs w:val="18"/>
              </w:rPr>
              <w:t>proves to be correct</w:t>
            </w:r>
            <w:r w:rsidRPr="00626752">
              <w:rPr>
                <w:rFonts w:ascii="Garamond" w:eastAsia="Calibri" w:hAnsi="Garamond" w:cs="GHEA Grapalat"/>
                <w:b/>
                <w:sz w:val="18"/>
                <w:szCs w:val="18"/>
              </w:rPr>
              <w:t xml:space="preserve"> </w:t>
            </w:r>
          </w:p>
        </w:tc>
      </w:tr>
      <w:tr w:rsidR="005C6536" w:rsidRPr="00626752" w14:paraId="12D6CB7B" w14:textId="77777777" w:rsidTr="004D4A0F">
        <w:trPr>
          <w:trHeight w:val="20"/>
        </w:trPr>
        <w:tc>
          <w:tcPr>
            <w:tcW w:w="1715" w:type="dxa"/>
            <w:vAlign w:val="center"/>
          </w:tcPr>
          <w:p w14:paraId="2E67DE91" w14:textId="77777777" w:rsidR="005C6536" w:rsidRPr="00626752" w:rsidRDefault="00703FA4" w:rsidP="00FA46F4">
            <w:pPr>
              <w:spacing w:before="30" w:after="30"/>
              <w:rPr>
                <w:rFonts w:ascii="Garamond" w:eastAsia="Calibri" w:hAnsi="Garamond" w:cs="GHEA Grapalat"/>
                <w:sz w:val="18"/>
                <w:szCs w:val="18"/>
                <w:lang w:val="hy-AM"/>
              </w:rPr>
            </w:pPr>
            <w:r w:rsidRPr="00626752">
              <w:rPr>
                <w:rFonts w:ascii="Garamond" w:eastAsia="Calibri" w:hAnsi="Garamond" w:cs="Sylfaen"/>
                <w:sz w:val="18"/>
                <w:szCs w:val="18"/>
              </w:rPr>
              <w:t>I</w:t>
            </w:r>
            <w:r w:rsidRPr="00626752">
              <w:rPr>
                <w:rFonts w:ascii="Garamond" w:eastAsia="Calibri" w:hAnsi="Garamond" w:cs="Sylfaen"/>
                <w:sz w:val="18"/>
                <w:szCs w:val="18"/>
                <w:lang w:val="hy-AM"/>
              </w:rPr>
              <w:t xml:space="preserve">n </w:t>
            </w:r>
            <w:proofErr w:type="spellStart"/>
            <w:r w:rsidRPr="00626752">
              <w:rPr>
                <w:rFonts w:ascii="Garamond" w:eastAsia="Calibri" w:hAnsi="Garamond" w:cs="Sylfaen"/>
                <w:sz w:val="18"/>
                <w:szCs w:val="18"/>
                <w:lang w:val="hy-AM"/>
              </w:rPr>
              <w:t>the</w:t>
            </w:r>
            <w:proofErr w:type="spellEnd"/>
            <w:r w:rsidRPr="00626752">
              <w:rPr>
                <w:rFonts w:ascii="Garamond" w:eastAsia="Calibri" w:hAnsi="Garamond" w:cs="Sylfaen"/>
                <w:sz w:val="18"/>
                <w:szCs w:val="18"/>
                <w:lang w:val="hy-AM"/>
              </w:rPr>
              <w:t xml:space="preserve"> </w:t>
            </w:r>
            <w:proofErr w:type="spellStart"/>
            <w:r w:rsidRPr="00626752">
              <w:rPr>
                <w:rFonts w:ascii="Garamond" w:eastAsia="Calibri" w:hAnsi="Garamond" w:cs="Sylfaen"/>
                <w:sz w:val="18"/>
                <w:szCs w:val="18"/>
                <w:lang w:val="hy-AM"/>
              </w:rPr>
              <w:t>external</w:t>
            </w:r>
            <w:proofErr w:type="spellEnd"/>
            <w:r w:rsidRPr="00626752">
              <w:rPr>
                <w:rFonts w:ascii="Garamond" w:eastAsia="Calibri" w:hAnsi="Garamond" w:cs="Sylfaen"/>
                <w:sz w:val="18"/>
                <w:szCs w:val="18"/>
                <w:lang w:val="hy-AM"/>
              </w:rPr>
              <w:t xml:space="preserve"> </w:t>
            </w:r>
            <w:proofErr w:type="spellStart"/>
            <w:r w:rsidRPr="00626752">
              <w:rPr>
                <w:rFonts w:ascii="Garamond" w:eastAsia="Calibri" w:hAnsi="Garamond" w:cs="Sylfaen"/>
                <w:sz w:val="18"/>
                <w:szCs w:val="18"/>
                <w:lang w:val="hy-AM"/>
              </w:rPr>
              <w:t>sector</w:t>
            </w:r>
            <w:proofErr w:type="spellEnd"/>
            <w:r w:rsidRPr="00626752">
              <w:rPr>
                <w:rFonts w:ascii="Garamond" w:eastAsia="Calibri" w:hAnsi="Garamond" w:cs="Sylfaen"/>
                <w:sz w:val="18"/>
                <w:szCs w:val="18"/>
              </w:rPr>
              <w:t xml:space="preserve"> e</w:t>
            </w:r>
            <w:proofErr w:type="spellStart"/>
            <w:r w:rsidRPr="00626752">
              <w:rPr>
                <w:rFonts w:ascii="Garamond" w:eastAsia="Calibri" w:hAnsi="Garamond" w:cs="Sylfaen"/>
                <w:sz w:val="18"/>
                <w:szCs w:val="18"/>
                <w:lang w:val="hy-AM"/>
              </w:rPr>
              <w:t>conomic</w:t>
            </w:r>
            <w:proofErr w:type="spellEnd"/>
            <w:r w:rsidRPr="00626752">
              <w:rPr>
                <w:rFonts w:ascii="Garamond" w:eastAsia="Calibri" w:hAnsi="Garamond" w:cs="Sylfaen"/>
                <w:sz w:val="18"/>
                <w:szCs w:val="18"/>
                <w:lang w:val="hy-AM"/>
              </w:rPr>
              <w:t xml:space="preserve"> </w:t>
            </w:r>
            <w:r w:rsidR="00FA46F4">
              <w:rPr>
                <w:rFonts w:ascii="Garamond" w:eastAsia="Calibri" w:hAnsi="Garamond" w:cs="Sylfaen"/>
                <w:sz w:val="18"/>
                <w:szCs w:val="18"/>
              </w:rPr>
              <w:t xml:space="preserve">activity keeps on </w:t>
            </w:r>
            <w:r w:rsidRPr="00626752">
              <w:rPr>
                <w:rFonts w:ascii="Garamond" w:eastAsia="Calibri" w:hAnsi="Garamond" w:cs="Sylfaen"/>
                <w:sz w:val="18"/>
                <w:szCs w:val="18"/>
              </w:rPr>
              <w:t>recover</w:t>
            </w:r>
            <w:r w:rsidR="00FA46F4">
              <w:rPr>
                <w:rFonts w:ascii="Garamond" w:eastAsia="Calibri" w:hAnsi="Garamond" w:cs="Sylfaen"/>
                <w:sz w:val="18"/>
                <w:szCs w:val="18"/>
              </w:rPr>
              <w:t xml:space="preserve">ing </w:t>
            </w:r>
            <w:r w:rsidRPr="00626752">
              <w:rPr>
                <w:rFonts w:ascii="Garamond" w:eastAsia="Calibri" w:hAnsi="Garamond" w:cs="Sylfaen"/>
                <w:sz w:val="18"/>
                <w:szCs w:val="18"/>
              </w:rPr>
              <w:t>at steady rates</w:t>
            </w:r>
            <w:r w:rsidRPr="00626752">
              <w:rPr>
                <w:rFonts w:ascii="Garamond" w:eastAsia="Calibri" w:hAnsi="Garamond" w:cs="Sylfaen"/>
                <w:sz w:val="18"/>
                <w:szCs w:val="18"/>
                <w:lang w:val="hy-AM"/>
              </w:rPr>
              <w:t xml:space="preserve"> </w:t>
            </w:r>
          </w:p>
        </w:tc>
        <w:tc>
          <w:tcPr>
            <w:tcW w:w="4528" w:type="dxa"/>
            <w:vAlign w:val="center"/>
          </w:tcPr>
          <w:p w14:paraId="61D22CF3" w14:textId="77777777" w:rsidR="00703FA4" w:rsidRPr="00626752" w:rsidRDefault="00703FA4" w:rsidP="00703FA4">
            <w:pPr>
              <w:pStyle w:val="ListParagraph"/>
              <w:numPr>
                <w:ilvl w:val="0"/>
                <w:numId w:val="5"/>
              </w:numPr>
              <w:spacing w:before="30" w:after="30"/>
              <w:rPr>
                <w:rFonts w:ascii="Garamond" w:hAnsi="Garamond" w:cs="Sylfaen"/>
                <w:sz w:val="18"/>
                <w:szCs w:val="18"/>
                <w:lang w:val="hy-AM"/>
              </w:rPr>
            </w:pPr>
            <w:r w:rsidRPr="00626752">
              <w:rPr>
                <w:rFonts w:ascii="Garamond" w:hAnsi="Garamond" w:cs="Sylfaen"/>
                <w:sz w:val="18"/>
                <w:szCs w:val="18"/>
              </w:rPr>
              <w:t>D</w:t>
            </w:r>
            <w:proofErr w:type="spellStart"/>
            <w:r w:rsidRPr="00626752">
              <w:rPr>
                <w:rFonts w:ascii="Garamond" w:hAnsi="Garamond" w:cs="Sylfaen"/>
                <w:sz w:val="18"/>
                <w:szCs w:val="18"/>
                <w:lang w:val="hy-AM"/>
              </w:rPr>
              <w:t>emand</w:t>
            </w:r>
            <w:proofErr w:type="spellEnd"/>
            <w:r w:rsidRPr="00626752">
              <w:rPr>
                <w:rFonts w:ascii="Garamond" w:hAnsi="Garamond" w:cs="Sylfaen"/>
                <w:sz w:val="18"/>
                <w:szCs w:val="18"/>
                <w:lang w:val="hy-AM"/>
              </w:rPr>
              <w:t xml:space="preserve"> </w:t>
            </w:r>
            <w:r w:rsidRPr="00626752">
              <w:rPr>
                <w:rFonts w:ascii="Garamond" w:hAnsi="Garamond" w:cs="Sylfaen"/>
                <w:sz w:val="18"/>
                <w:szCs w:val="18"/>
              </w:rPr>
              <w:t xml:space="preserve">will keep on recovering </w:t>
            </w:r>
            <w:proofErr w:type="spellStart"/>
            <w:r w:rsidRPr="00626752">
              <w:rPr>
                <w:rFonts w:ascii="Garamond" w:hAnsi="Garamond" w:cs="Sylfaen"/>
                <w:sz w:val="18"/>
                <w:szCs w:val="18"/>
                <w:lang w:val="hy-AM"/>
              </w:rPr>
              <w:t>and</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econom</w:t>
            </w:r>
            <w:proofErr w:type="spellEnd"/>
            <w:r w:rsidRPr="00626752">
              <w:rPr>
                <w:rFonts w:ascii="Garamond" w:hAnsi="Garamond" w:cs="Sylfaen"/>
                <w:sz w:val="18"/>
                <w:szCs w:val="18"/>
              </w:rPr>
              <w:t xml:space="preserve">y invigorating </w:t>
            </w:r>
            <w:proofErr w:type="spellStart"/>
            <w:r w:rsidRPr="00626752">
              <w:rPr>
                <w:rFonts w:ascii="Garamond" w:hAnsi="Garamond" w:cs="Sylfaen"/>
                <w:sz w:val="18"/>
                <w:szCs w:val="18"/>
                <w:lang w:val="hy-AM"/>
              </w:rPr>
              <w:t>in</w:t>
            </w:r>
            <w:proofErr w:type="spellEnd"/>
            <w:r w:rsidRPr="00626752">
              <w:rPr>
                <w:rFonts w:ascii="Garamond" w:hAnsi="Garamond" w:cs="Sylfaen"/>
                <w:sz w:val="18"/>
                <w:szCs w:val="18"/>
                <w:lang w:val="hy-AM"/>
              </w:rPr>
              <w:t xml:space="preserve"> </w:t>
            </w:r>
            <w:r w:rsidRPr="00626752">
              <w:rPr>
                <w:rFonts w:ascii="Garamond" w:hAnsi="Garamond" w:cs="Sylfaen"/>
                <w:sz w:val="18"/>
                <w:szCs w:val="18"/>
              </w:rPr>
              <w:t xml:space="preserve">trade </w:t>
            </w:r>
            <w:proofErr w:type="spellStart"/>
            <w:r w:rsidRPr="00626752">
              <w:rPr>
                <w:rFonts w:ascii="Garamond" w:hAnsi="Garamond" w:cs="Sylfaen"/>
                <w:sz w:val="18"/>
                <w:szCs w:val="18"/>
                <w:lang w:val="hy-AM"/>
              </w:rPr>
              <w:t>partner</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countries</w:t>
            </w:r>
            <w:proofErr w:type="spellEnd"/>
            <w:r w:rsidRPr="00626752">
              <w:rPr>
                <w:rFonts w:ascii="Garamond" w:hAnsi="Garamond" w:cs="Sylfaen"/>
                <w:sz w:val="18"/>
                <w:szCs w:val="18"/>
                <w:lang w:val="hy-AM"/>
              </w:rPr>
              <w:t>.</w:t>
            </w:r>
          </w:p>
          <w:p w14:paraId="57136308" w14:textId="32A05DAD" w:rsidR="00703FA4" w:rsidRPr="00626752" w:rsidRDefault="00703FA4" w:rsidP="00703FA4">
            <w:pPr>
              <w:pStyle w:val="ListParagraph"/>
              <w:numPr>
                <w:ilvl w:val="0"/>
                <w:numId w:val="5"/>
              </w:numPr>
              <w:spacing w:before="30" w:after="30"/>
              <w:rPr>
                <w:rFonts w:ascii="Garamond" w:hAnsi="Garamond" w:cs="Sylfaen"/>
                <w:sz w:val="18"/>
                <w:szCs w:val="18"/>
                <w:lang w:val="hy-AM"/>
              </w:rPr>
            </w:pPr>
            <w:r w:rsidRPr="00626752">
              <w:rPr>
                <w:rFonts w:ascii="Garamond" w:hAnsi="Garamond" w:cs="Sylfaen"/>
                <w:sz w:val="18"/>
                <w:szCs w:val="18"/>
              </w:rPr>
              <w:t>With demand recovering</w:t>
            </w:r>
            <w:r w:rsidR="00A241EA">
              <w:rPr>
                <w:rFonts w:ascii="Garamond" w:hAnsi="Garamond" w:cs="Sylfaen"/>
                <w:sz w:val="18"/>
                <w:szCs w:val="18"/>
              </w:rPr>
              <w:t>, as well as in a limited supply</w:t>
            </w:r>
            <w:r w:rsidRPr="00626752">
              <w:rPr>
                <w:rFonts w:ascii="Garamond" w:hAnsi="Garamond" w:cs="Sylfaen"/>
                <w:sz w:val="18"/>
                <w:szCs w:val="18"/>
              </w:rPr>
              <w:t xml:space="preserve">, accelerated inflation on </w:t>
            </w:r>
            <w:proofErr w:type="spellStart"/>
            <w:r w:rsidRPr="00626752">
              <w:rPr>
                <w:rFonts w:ascii="Garamond" w:hAnsi="Garamond" w:cs="Sylfaen"/>
                <w:sz w:val="18"/>
                <w:szCs w:val="18"/>
                <w:lang w:val="hy-AM"/>
              </w:rPr>
              <w:t>raw</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materials</w:t>
            </w:r>
            <w:proofErr w:type="spellEnd"/>
            <w:r w:rsidRPr="00626752">
              <w:rPr>
                <w:rFonts w:ascii="Garamond" w:hAnsi="Garamond" w:cs="Sylfaen"/>
                <w:sz w:val="18"/>
                <w:szCs w:val="18"/>
              </w:rPr>
              <w:t xml:space="preserve"> </w:t>
            </w:r>
            <w:proofErr w:type="spellStart"/>
            <w:r w:rsidRPr="00626752">
              <w:rPr>
                <w:rFonts w:ascii="Garamond" w:hAnsi="Garamond" w:cs="Sylfaen"/>
                <w:sz w:val="18"/>
                <w:szCs w:val="18"/>
                <w:lang w:val="hy-AM"/>
              </w:rPr>
              <w:t>will</w:t>
            </w:r>
            <w:proofErr w:type="spellEnd"/>
            <w:r w:rsidRPr="00626752">
              <w:rPr>
                <w:rFonts w:ascii="Garamond" w:hAnsi="Garamond" w:cs="Sylfaen"/>
                <w:sz w:val="18"/>
                <w:szCs w:val="18"/>
                <w:lang w:val="hy-AM"/>
              </w:rPr>
              <w:t xml:space="preserve"> </w:t>
            </w:r>
            <w:r w:rsidRPr="00626752">
              <w:rPr>
                <w:rFonts w:ascii="Garamond" w:hAnsi="Garamond" w:cs="Sylfaen"/>
                <w:sz w:val="18"/>
                <w:szCs w:val="18"/>
              </w:rPr>
              <w:t>continue</w:t>
            </w:r>
            <w:r w:rsidRPr="00626752">
              <w:rPr>
                <w:rFonts w:ascii="Garamond" w:hAnsi="Garamond" w:cs="Sylfaen"/>
                <w:sz w:val="18"/>
                <w:szCs w:val="18"/>
                <w:lang w:val="hy-AM"/>
              </w:rPr>
              <w:t>.</w:t>
            </w:r>
          </w:p>
          <w:p w14:paraId="1DCB144F" w14:textId="77777777" w:rsidR="005C6536" w:rsidRPr="00626752" w:rsidRDefault="00EA6FA3" w:rsidP="00A241EA">
            <w:pPr>
              <w:pStyle w:val="ListParagraph"/>
              <w:numPr>
                <w:ilvl w:val="0"/>
                <w:numId w:val="5"/>
              </w:numPr>
              <w:spacing w:before="30" w:after="30"/>
              <w:rPr>
                <w:rFonts w:ascii="Garamond" w:hAnsi="Garamond" w:cs="GHEA Grapalat"/>
                <w:sz w:val="18"/>
                <w:szCs w:val="18"/>
                <w:lang w:val="hy-AM"/>
              </w:rPr>
            </w:pPr>
            <w:r w:rsidRPr="00626752">
              <w:rPr>
                <w:rFonts w:ascii="Garamond" w:hAnsi="Garamond" w:cs="Sylfaen"/>
                <w:sz w:val="18"/>
                <w:szCs w:val="18"/>
              </w:rPr>
              <w:t xml:space="preserve">As </w:t>
            </w:r>
            <w:proofErr w:type="spellStart"/>
            <w:r w:rsidR="00703FA4" w:rsidRPr="00626752">
              <w:rPr>
                <w:rFonts w:ascii="Garamond" w:hAnsi="Garamond" w:cs="Sylfaen"/>
                <w:sz w:val="18"/>
                <w:szCs w:val="18"/>
                <w:lang w:val="hy-AM"/>
              </w:rPr>
              <w:t>econom</w:t>
            </w:r>
            <w:proofErr w:type="spellEnd"/>
            <w:r w:rsidR="00DA0E4F" w:rsidRPr="00626752">
              <w:rPr>
                <w:rFonts w:ascii="Garamond" w:hAnsi="Garamond" w:cs="Sylfaen"/>
                <w:sz w:val="18"/>
                <w:szCs w:val="18"/>
              </w:rPr>
              <w:t xml:space="preserve">y rebounds, </w:t>
            </w:r>
            <w:proofErr w:type="spellStart"/>
            <w:r w:rsidR="00703FA4" w:rsidRPr="00626752">
              <w:rPr>
                <w:rFonts w:ascii="Garamond" w:hAnsi="Garamond" w:cs="Sylfaen"/>
                <w:sz w:val="18"/>
                <w:szCs w:val="18"/>
                <w:lang w:val="hy-AM"/>
              </w:rPr>
              <w:t>gradual</w:t>
            </w:r>
            <w:proofErr w:type="spellEnd"/>
            <w:r w:rsidR="00703FA4" w:rsidRPr="00626752">
              <w:rPr>
                <w:rFonts w:ascii="Garamond" w:hAnsi="Garamond" w:cs="Sylfaen"/>
                <w:sz w:val="18"/>
                <w:szCs w:val="18"/>
                <w:lang w:val="hy-AM"/>
              </w:rPr>
              <w:t xml:space="preserve"> </w:t>
            </w:r>
            <w:proofErr w:type="spellStart"/>
            <w:r w:rsidR="00703FA4" w:rsidRPr="00626752">
              <w:rPr>
                <w:rFonts w:ascii="Garamond" w:hAnsi="Garamond" w:cs="Sylfaen"/>
                <w:sz w:val="18"/>
                <w:szCs w:val="18"/>
                <w:lang w:val="hy-AM"/>
              </w:rPr>
              <w:t>monetary</w:t>
            </w:r>
            <w:proofErr w:type="spellEnd"/>
            <w:r w:rsidR="00703FA4" w:rsidRPr="00626752">
              <w:rPr>
                <w:rFonts w:ascii="Garamond" w:hAnsi="Garamond" w:cs="Sylfaen"/>
                <w:sz w:val="18"/>
                <w:szCs w:val="18"/>
                <w:lang w:val="hy-AM"/>
              </w:rPr>
              <w:t xml:space="preserve"> </w:t>
            </w:r>
            <w:proofErr w:type="spellStart"/>
            <w:r w:rsidR="00703FA4" w:rsidRPr="00626752">
              <w:rPr>
                <w:rFonts w:ascii="Garamond" w:hAnsi="Garamond" w:cs="Sylfaen"/>
                <w:sz w:val="18"/>
                <w:szCs w:val="18"/>
                <w:lang w:val="hy-AM"/>
              </w:rPr>
              <w:t>tightening</w:t>
            </w:r>
            <w:proofErr w:type="spellEnd"/>
            <w:r w:rsidR="00703FA4" w:rsidRPr="00626752">
              <w:rPr>
                <w:rFonts w:ascii="Garamond" w:hAnsi="Garamond" w:cs="Sylfaen"/>
                <w:sz w:val="18"/>
                <w:szCs w:val="18"/>
                <w:lang w:val="hy-AM"/>
              </w:rPr>
              <w:t xml:space="preserve"> </w:t>
            </w:r>
            <w:proofErr w:type="spellStart"/>
            <w:r w:rsidR="00703FA4" w:rsidRPr="00626752">
              <w:rPr>
                <w:rFonts w:ascii="Garamond" w:hAnsi="Garamond" w:cs="Sylfaen"/>
                <w:sz w:val="18"/>
                <w:szCs w:val="18"/>
                <w:lang w:val="hy-AM"/>
              </w:rPr>
              <w:t>is</w:t>
            </w:r>
            <w:proofErr w:type="spellEnd"/>
            <w:r w:rsidR="00703FA4" w:rsidRPr="00626752">
              <w:rPr>
                <w:rFonts w:ascii="Garamond" w:hAnsi="Garamond" w:cs="Sylfaen"/>
                <w:sz w:val="18"/>
                <w:szCs w:val="18"/>
                <w:lang w:val="hy-AM"/>
              </w:rPr>
              <w:t xml:space="preserve"> </w:t>
            </w:r>
            <w:r w:rsidR="00A241EA">
              <w:rPr>
                <w:rFonts w:ascii="Garamond" w:hAnsi="Garamond" w:cs="Sylfaen"/>
                <w:sz w:val="18"/>
                <w:szCs w:val="18"/>
              </w:rPr>
              <w:lastRenderedPageBreak/>
              <w:t xml:space="preserve">anticipated </w:t>
            </w:r>
            <w:proofErr w:type="spellStart"/>
            <w:r w:rsidR="00703FA4" w:rsidRPr="00626752">
              <w:rPr>
                <w:rFonts w:ascii="Garamond" w:hAnsi="Garamond" w:cs="Sylfaen"/>
                <w:sz w:val="18"/>
                <w:szCs w:val="18"/>
                <w:lang w:val="hy-AM"/>
              </w:rPr>
              <w:t>in</w:t>
            </w:r>
            <w:proofErr w:type="spellEnd"/>
            <w:r w:rsidR="00703FA4" w:rsidRPr="00626752">
              <w:rPr>
                <w:rFonts w:ascii="Garamond" w:hAnsi="Garamond" w:cs="Sylfaen"/>
                <w:sz w:val="18"/>
                <w:szCs w:val="18"/>
                <w:lang w:val="hy-AM"/>
              </w:rPr>
              <w:t xml:space="preserve"> </w:t>
            </w:r>
            <w:proofErr w:type="spellStart"/>
            <w:r w:rsidR="00703FA4" w:rsidRPr="00626752">
              <w:rPr>
                <w:rFonts w:ascii="Garamond" w:hAnsi="Garamond" w:cs="Sylfaen"/>
                <w:sz w:val="18"/>
                <w:szCs w:val="18"/>
                <w:lang w:val="hy-AM"/>
              </w:rPr>
              <w:t>developed</w:t>
            </w:r>
            <w:proofErr w:type="spellEnd"/>
            <w:r w:rsidR="00703FA4" w:rsidRPr="00626752">
              <w:rPr>
                <w:rFonts w:ascii="Garamond" w:hAnsi="Garamond" w:cs="Sylfaen"/>
                <w:sz w:val="18"/>
                <w:szCs w:val="18"/>
                <w:lang w:val="hy-AM"/>
              </w:rPr>
              <w:t xml:space="preserve"> </w:t>
            </w:r>
            <w:proofErr w:type="spellStart"/>
            <w:r w:rsidR="00703FA4" w:rsidRPr="00626752">
              <w:rPr>
                <w:rFonts w:ascii="Garamond" w:hAnsi="Garamond" w:cs="Sylfaen"/>
                <w:sz w:val="18"/>
                <w:szCs w:val="18"/>
                <w:lang w:val="hy-AM"/>
              </w:rPr>
              <w:t>countries</w:t>
            </w:r>
            <w:proofErr w:type="spellEnd"/>
            <w:r w:rsidR="00703FA4" w:rsidRPr="00626752">
              <w:rPr>
                <w:rFonts w:ascii="Garamond" w:hAnsi="Garamond" w:cs="Sylfaen"/>
                <w:sz w:val="18"/>
                <w:szCs w:val="18"/>
                <w:lang w:val="hy-AM"/>
              </w:rPr>
              <w:t xml:space="preserve">. </w:t>
            </w:r>
          </w:p>
        </w:tc>
      </w:tr>
      <w:tr w:rsidR="00A241EA" w:rsidRPr="00626752" w14:paraId="19CE232F" w14:textId="77777777" w:rsidTr="004D4A0F">
        <w:trPr>
          <w:trHeight w:val="20"/>
        </w:trPr>
        <w:tc>
          <w:tcPr>
            <w:tcW w:w="1715" w:type="dxa"/>
            <w:vAlign w:val="center"/>
          </w:tcPr>
          <w:p w14:paraId="5548EAAD" w14:textId="77777777" w:rsidR="00A241EA" w:rsidRPr="00626752" w:rsidRDefault="00A241EA" w:rsidP="00A241EA">
            <w:pPr>
              <w:spacing w:before="30" w:after="30"/>
              <w:rPr>
                <w:rFonts w:ascii="Garamond" w:eastAsia="Calibri" w:hAnsi="Garamond" w:cs="Sylfaen"/>
                <w:sz w:val="18"/>
                <w:szCs w:val="18"/>
              </w:rPr>
            </w:pPr>
            <w:r w:rsidRPr="00A241EA">
              <w:rPr>
                <w:rFonts w:ascii="Garamond" w:eastAsia="Calibri" w:hAnsi="Garamond" w:cs="Sylfaen"/>
                <w:sz w:val="18"/>
                <w:szCs w:val="18"/>
              </w:rPr>
              <w:lastRenderedPageBreak/>
              <w:t>Change in tax and customs dut</w:t>
            </w:r>
            <w:r>
              <w:rPr>
                <w:rFonts w:ascii="Garamond" w:eastAsia="Calibri" w:hAnsi="Garamond" w:cs="Sylfaen"/>
                <w:sz w:val="18"/>
                <w:szCs w:val="18"/>
              </w:rPr>
              <w:t>y rates</w:t>
            </w:r>
          </w:p>
        </w:tc>
        <w:tc>
          <w:tcPr>
            <w:tcW w:w="4528" w:type="dxa"/>
            <w:vAlign w:val="center"/>
          </w:tcPr>
          <w:p w14:paraId="695FC324" w14:textId="77777777" w:rsidR="00A241EA" w:rsidRPr="00626752" w:rsidRDefault="00A241EA" w:rsidP="004529A5">
            <w:pPr>
              <w:pStyle w:val="ListParagraph"/>
              <w:numPr>
                <w:ilvl w:val="0"/>
                <w:numId w:val="5"/>
              </w:numPr>
              <w:spacing w:before="30" w:after="30"/>
              <w:rPr>
                <w:rFonts w:ascii="Garamond" w:hAnsi="Garamond" w:cs="Sylfaen"/>
                <w:sz w:val="18"/>
                <w:szCs w:val="18"/>
              </w:rPr>
            </w:pPr>
            <w:r>
              <w:rPr>
                <w:rFonts w:ascii="Garamond" w:hAnsi="Garamond" w:cs="Sylfaen"/>
                <w:sz w:val="18"/>
                <w:szCs w:val="18"/>
              </w:rPr>
              <w:t>There will be d</w:t>
            </w:r>
            <w:r w:rsidRPr="00A241EA">
              <w:rPr>
                <w:rFonts w:ascii="Garamond" w:hAnsi="Garamond" w:cs="Sylfaen"/>
                <w:sz w:val="18"/>
                <w:szCs w:val="18"/>
              </w:rPr>
              <w:t>irect and indirect effects on inflation</w:t>
            </w:r>
            <w:r>
              <w:rPr>
                <w:rFonts w:ascii="Garamond" w:hAnsi="Garamond" w:cs="Sylfaen"/>
                <w:sz w:val="18"/>
                <w:szCs w:val="18"/>
              </w:rPr>
              <w:t>,</w:t>
            </w:r>
            <w:r w:rsidRPr="00A241EA">
              <w:rPr>
                <w:rFonts w:ascii="Garamond" w:hAnsi="Garamond" w:cs="Sylfaen"/>
                <w:sz w:val="18"/>
                <w:szCs w:val="18"/>
              </w:rPr>
              <w:t xml:space="preserve"> up to 1 p</w:t>
            </w:r>
            <w:r>
              <w:rPr>
                <w:rFonts w:ascii="Garamond" w:hAnsi="Garamond" w:cs="Sylfaen"/>
                <w:sz w:val="18"/>
                <w:szCs w:val="18"/>
              </w:rPr>
              <w:t>p,</w:t>
            </w:r>
            <w:r w:rsidRPr="00A241EA">
              <w:rPr>
                <w:rFonts w:ascii="Garamond" w:hAnsi="Garamond" w:cs="Sylfaen"/>
                <w:sz w:val="18"/>
                <w:szCs w:val="18"/>
              </w:rPr>
              <w:t xml:space="preserve"> </w:t>
            </w:r>
            <w:r>
              <w:rPr>
                <w:rFonts w:ascii="Garamond" w:hAnsi="Garamond" w:cs="Sylfaen"/>
                <w:sz w:val="18"/>
                <w:szCs w:val="18"/>
              </w:rPr>
              <w:t xml:space="preserve">of </w:t>
            </w:r>
            <w:r w:rsidRPr="00A241EA">
              <w:rPr>
                <w:rFonts w:ascii="Garamond" w:hAnsi="Garamond" w:cs="Sylfaen"/>
                <w:sz w:val="18"/>
                <w:szCs w:val="18"/>
              </w:rPr>
              <w:t>which 0.4 p</w:t>
            </w:r>
            <w:r>
              <w:rPr>
                <w:rFonts w:ascii="Garamond" w:hAnsi="Garamond" w:cs="Sylfaen"/>
                <w:sz w:val="18"/>
                <w:szCs w:val="18"/>
              </w:rPr>
              <w:t>p fall</w:t>
            </w:r>
            <w:r w:rsidR="004529A5">
              <w:rPr>
                <w:rFonts w:ascii="Garamond" w:hAnsi="Garamond" w:cs="Sylfaen"/>
                <w:sz w:val="18"/>
                <w:szCs w:val="18"/>
              </w:rPr>
              <w:t>ing</w:t>
            </w:r>
            <w:r>
              <w:rPr>
                <w:rFonts w:ascii="Garamond" w:hAnsi="Garamond" w:cs="Sylfaen"/>
                <w:sz w:val="18"/>
                <w:szCs w:val="18"/>
              </w:rPr>
              <w:t xml:space="preserve"> </w:t>
            </w:r>
            <w:r w:rsidR="004529A5">
              <w:rPr>
                <w:rFonts w:ascii="Garamond" w:hAnsi="Garamond" w:cs="Sylfaen"/>
                <w:sz w:val="18"/>
                <w:szCs w:val="18"/>
              </w:rPr>
              <w:t>up</w:t>
            </w:r>
            <w:r>
              <w:rPr>
                <w:rFonts w:ascii="Garamond" w:hAnsi="Garamond" w:cs="Sylfaen"/>
                <w:sz w:val="18"/>
                <w:szCs w:val="18"/>
              </w:rPr>
              <w:t xml:space="preserve">on </w:t>
            </w:r>
            <w:r w:rsidRPr="00A241EA">
              <w:rPr>
                <w:rFonts w:ascii="Garamond" w:hAnsi="Garamond" w:cs="Sylfaen"/>
                <w:sz w:val="18"/>
                <w:szCs w:val="18"/>
              </w:rPr>
              <w:t>the first quarter</w:t>
            </w:r>
            <w:r>
              <w:rPr>
                <w:rFonts w:ascii="Garamond" w:hAnsi="Garamond" w:cs="Sylfaen"/>
                <w:sz w:val="18"/>
                <w:szCs w:val="18"/>
              </w:rPr>
              <w:t xml:space="preserve"> of 2018</w:t>
            </w:r>
            <w:r w:rsidRPr="00A241EA">
              <w:rPr>
                <w:rFonts w:ascii="Garamond" w:hAnsi="Garamond" w:cs="Sylfaen"/>
                <w:sz w:val="18"/>
                <w:szCs w:val="18"/>
              </w:rPr>
              <w:t>.</w:t>
            </w:r>
          </w:p>
        </w:tc>
      </w:tr>
      <w:tr w:rsidR="004529A5" w:rsidRPr="00626752" w14:paraId="34C7B515" w14:textId="77777777" w:rsidTr="004D4A0F">
        <w:trPr>
          <w:trHeight w:val="20"/>
        </w:trPr>
        <w:tc>
          <w:tcPr>
            <w:tcW w:w="1715" w:type="dxa"/>
            <w:vAlign w:val="center"/>
          </w:tcPr>
          <w:p w14:paraId="14287328" w14:textId="77777777" w:rsidR="004529A5" w:rsidRPr="00A241EA" w:rsidRDefault="004529A5" w:rsidP="00A241EA">
            <w:pPr>
              <w:spacing w:before="30" w:after="30"/>
              <w:rPr>
                <w:rFonts w:ascii="Garamond" w:eastAsia="Calibri" w:hAnsi="Garamond" w:cs="Sylfaen"/>
                <w:sz w:val="18"/>
                <w:szCs w:val="18"/>
              </w:rPr>
            </w:pPr>
            <w:r w:rsidRPr="00626752">
              <w:rPr>
                <w:rFonts w:ascii="Garamond" w:eastAsia="Calibri" w:hAnsi="Garamond" w:cs="Sylfaen"/>
                <w:sz w:val="18"/>
                <w:szCs w:val="18"/>
              </w:rPr>
              <w:t>I</w:t>
            </w:r>
            <w:proofErr w:type="spellStart"/>
            <w:r w:rsidRPr="00626752">
              <w:rPr>
                <w:rFonts w:ascii="Garamond" w:eastAsia="Calibri" w:hAnsi="Garamond" w:cs="Sylfaen"/>
                <w:sz w:val="18"/>
                <w:szCs w:val="18"/>
                <w:lang w:val="hy-AM"/>
              </w:rPr>
              <w:t>nflation</w:t>
            </w:r>
            <w:proofErr w:type="spellEnd"/>
            <w:r w:rsidRPr="00626752">
              <w:rPr>
                <w:rFonts w:ascii="Garamond" w:eastAsia="Calibri" w:hAnsi="Garamond" w:cs="Sylfaen"/>
                <w:sz w:val="18"/>
                <w:szCs w:val="18"/>
                <w:lang w:val="hy-AM"/>
              </w:rPr>
              <w:t xml:space="preserve"> </w:t>
            </w:r>
            <w:proofErr w:type="spellStart"/>
            <w:r w:rsidRPr="00626752">
              <w:rPr>
                <w:rFonts w:ascii="Garamond" w:eastAsia="Calibri" w:hAnsi="Garamond" w:cs="Sylfaen"/>
                <w:sz w:val="18"/>
                <w:szCs w:val="18"/>
                <w:lang w:val="hy-AM"/>
              </w:rPr>
              <w:t>expectations</w:t>
            </w:r>
            <w:proofErr w:type="spellEnd"/>
            <w:r w:rsidRPr="00626752">
              <w:rPr>
                <w:rFonts w:ascii="Garamond" w:eastAsia="Calibri" w:hAnsi="Garamond" w:cs="Sylfaen"/>
                <w:sz w:val="18"/>
                <w:szCs w:val="18"/>
              </w:rPr>
              <w:t xml:space="preserve"> grow</w:t>
            </w:r>
          </w:p>
        </w:tc>
        <w:tc>
          <w:tcPr>
            <w:tcW w:w="4528" w:type="dxa"/>
            <w:vAlign w:val="center"/>
          </w:tcPr>
          <w:p w14:paraId="6ED67808" w14:textId="77777777" w:rsidR="004529A5" w:rsidRDefault="004529A5" w:rsidP="004529A5">
            <w:pPr>
              <w:pStyle w:val="ListParagraph"/>
              <w:numPr>
                <w:ilvl w:val="0"/>
                <w:numId w:val="5"/>
              </w:numPr>
              <w:spacing w:before="30" w:after="30"/>
              <w:rPr>
                <w:rFonts w:ascii="Garamond" w:hAnsi="Garamond" w:cs="Sylfaen"/>
                <w:sz w:val="18"/>
                <w:szCs w:val="18"/>
              </w:rPr>
            </w:pPr>
            <w:r w:rsidRPr="00626752">
              <w:rPr>
                <w:rFonts w:ascii="Garamond" w:hAnsi="Garamond" w:cs="Sylfaen"/>
                <w:sz w:val="18"/>
                <w:szCs w:val="18"/>
              </w:rPr>
              <w:t>S</w:t>
            </w:r>
            <w:proofErr w:type="spellStart"/>
            <w:r w:rsidRPr="00626752">
              <w:rPr>
                <w:rFonts w:ascii="Garamond" w:hAnsi="Garamond" w:cs="Sylfaen"/>
                <w:sz w:val="18"/>
                <w:szCs w:val="18"/>
                <w:lang w:val="hy-AM"/>
              </w:rPr>
              <w:t>hort-term</w:t>
            </w:r>
            <w:proofErr w:type="spellEnd"/>
            <w:r w:rsidRPr="00626752">
              <w:rPr>
                <w:rFonts w:ascii="Garamond" w:hAnsi="Garamond" w:cs="Sylfaen"/>
                <w:sz w:val="18"/>
                <w:szCs w:val="18"/>
                <w:lang w:val="hy-AM"/>
              </w:rPr>
              <w:t xml:space="preserve"> </w:t>
            </w:r>
            <w:r w:rsidRPr="00626752">
              <w:rPr>
                <w:rFonts w:ascii="Garamond" w:hAnsi="Garamond" w:cs="Sylfaen"/>
                <w:sz w:val="18"/>
                <w:szCs w:val="18"/>
              </w:rPr>
              <w:t xml:space="preserve">inflation </w:t>
            </w:r>
            <w:proofErr w:type="spellStart"/>
            <w:r w:rsidRPr="00626752">
              <w:rPr>
                <w:rFonts w:ascii="Garamond" w:hAnsi="Garamond" w:cs="Sylfaen"/>
                <w:sz w:val="18"/>
                <w:szCs w:val="18"/>
                <w:lang w:val="hy-AM"/>
              </w:rPr>
              <w:t>expectations</w:t>
            </w:r>
            <w:proofErr w:type="spellEnd"/>
            <w:r w:rsidRPr="00626752">
              <w:rPr>
                <w:rFonts w:ascii="Garamond" w:hAnsi="Garamond" w:cs="Sylfaen"/>
                <w:sz w:val="18"/>
                <w:szCs w:val="18"/>
              </w:rPr>
              <w:t xml:space="preserve"> will persist in line with current growth trends, as core inflation recovers</w:t>
            </w:r>
            <w:r>
              <w:rPr>
                <w:rFonts w:ascii="Garamond" w:hAnsi="Garamond" w:cs="Sylfaen"/>
                <w:sz w:val="18"/>
                <w:szCs w:val="18"/>
              </w:rPr>
              <w:t xml:space="preserve">; but </w:t>
            </w:r>
            <w:r w:rsidRPr="004529A5">
              <w:rPr>
                <w:rFonts w:ascii="Garamond" w:hAnsi="Garamond" w:cs="Sylfaen"/>
                <w:sz w:val="18"/>
                <w:szCs w:val="18"/>
              </w:rPr>
              <w:t xml:space="preserve">additional inflation expectations have </w:t>
            </w:r>
            <w:r>
              <w:rPr>
                <w:rFonts w:ascii="Garamond" w:hAnsi="Garamond" w:cs="Sylfaen"/>
                <w:sz w:val="18"/>
                <w:szCs w:val="18"/>
              </w:rPr>
              <w:t>phased out, as</w:t>
            </w:r>
            <w:r w:rsidRPr="00626752">
              <w:rPr>
                <w:rFonts w:ascii="Garamond" w:hAnsi="Garamond" w:cs="Sylfaen"/>
                <w:sz w:val="18"/>
                <w:szCs w:val="18"/>
              </w:rPr>
              <w:t xml:space="preserve"> the</w:t>
            </w:r>
            <w:r>
              <w:rPr>
                <w:rFonts w:ascii="Garamond" w:hAnsi="Garamond" w:cs="Sylfaen"/>
                <w:sz w:val="18"/>
                <w:szCs w:val="18"/>
              </w:rPr>
              <w:t xml:space="preserve"> mass</w:t>
            </w:r>
            <w:r w:rsidRPr="00626752">
              <w:rPr>
                <w:rFonts w:ascii="Garamond" w:hAnsi="Garamond" w:cs="Sylfaen"/>
                <w:sz w:val="18"/>
                <w:szCs w:val="18"/>
              </w:rPr>
              <w:t xml:space="preserve"> media actively invite</w:t>
            </w:r>
            <w:r>
              <w:rPr>
                <w:rFonts w:ascii="Garamond" w:hAnsi="Garamond" w:cs="Sylfaen"/>
                <w:sz w:val="18"/>
                <w:szCs w:val="18"/>
              </w:rPr>
              <w:t>d</w:t>
            </w:r>
            <w:r w:rsidRPr="00626752">
              <w:rPr>
                <w:rFonts w:ascii="Garamond" w:hAnsi="Garamond" w:cs="Sylfaen"/>
                <w:sz w:val="18"/>
                <w:szCs w:val="18"/>
              </w:rPr>
              <w:t xml:space="preserve"> a debate over </w:t>
            </w:r>
            <w:proofErr w:type="spellStart"/>
            <w:r w:rsidRPr="00626752">
              <w:rPr>
                <w:rFonts w:ascii="Garamond" w:hAnsi="Garamond" w:cs="Sylfaen"/>
                <w:sz w:val="18"/>
                <w:szCs w:val="18"/>
                <w:lang w:val="hy-AM"/>
              </w:rPr>
              <w:t>inflation</w:t>
            </w:r>
            <w:proofErr w:type="spellEnd"/>
            <w:r w:rsidRPr="00626752">
              <w:rPr>
                <w:rFonts w:ascii="Garamond" w:hAnsi="Garamond" w:cs="Sylfaen"/>
                <w:sz w:val="18"/>
                <w:szCs w:val="18"/>
                <w:lang w:val="hy-AM"/>
              </w:rPr>
              <w:t xml:space="preserve"> </w:t>
            </w:r>
            <w:r w:rsidRPr="00626752">
              <w:rPr>
                <w:rFonts w:ascii="Garamond" w:hAnsi="Garamond" w:cs="Sylfaen"/>
                <w:sz w:val="18"/>
                <w:szCs w:val="18"/>
              </w:rPr>
              <w:t>on selected goods/products</w:t>
            </w:r>
            <w:r w:rsidRPr="00626752">
              <w:rPr>
                <w:rFonts w:ascii="Garamond" w:hAnsi="Garamond" w:cs="Sylfaen"/>
                <w:sz w:val="18"/>
                <w:szCs w:val="18"/>
                <w:lang w:val="hy-AM"/>
              </w:rPr>
              <w:t>.</w:t>
            </w:r>
          </w:p>
        </w:tc>
      </w:tr>
      <w:tr w:rsidR="00E55635" w:rsidRPr="00626752" w14:paraId="5178616C" w14:textId="77777777" w:rsidTr="004D4A0F">
        <w:trPr>
          <w:trHeight w:val="20"/>
        </w:trPr>
        <w:tc>
          <w:tcPr>
            <w:tcW w:w="1715" w:type="dxa"/>
            <w:vAlign w:val="center"/>
          </w:tcPr>
          <w:p w14:paraId="6C7AA8F0" w14:textId="77777777" w:rsidR="00E55635" w:rsidRPr="00626752" w:rsidRDefault="00E55635" w:rsidP="00E55635">
            <w:pPr>
              <w:spacing w:before="40" w:after="40"/>
              <w:rPr>
                <w:rFonts w:ascii="Garamond" w:eastAsia="Calibri" w:hAnsi="Garamond" w:cs="GHEA Grapalat"/>
                <w:sz w:val="18"/>
                <w:szCs w:val="18"/>
                <w:lang w:val="hy-AM"/>
              </w:rPr>
            </w:pPr>
            <w:proofErr w:type="spellStart"/>
            <w:r w:rsidRPr="00626752">
              <w:rPr>
                <w:rFonts w:ascii="Garamond" w:eastAsia="Calibri" w:hAnsi="Garamond" w:cs="Sylfaen"/>
                <w:sz w:val="18"/>
                <w:szCs w:val="18"/>
                <w:lang w:val="hy-AM"/>
              </w:rPr>
              <w:t>Fiscal</w:t>
            </w:r>
            <w:proofErr w:type="spellEnd"/>
            <w:r w:rsidRPr="00626752">
              <w:rPr>
                <w:rFonts w:ascii="Garamond" w:eastAsia="Calibri" w:hAnsi="Garamond" w:cs="Sylfaen"/>
                <w:sz w:val="18"/>
                <w:szCs w:val="18"/>
                <w:lang w:val="hy-AM"/>
              </w:rPr>
              <w:t xml:space="preserve"> </w:t>
            </w:r>
            <w:r w:rsidRPr="00626752">
              <w:rPr>
                <w:rFonts w:ascii="Garamond" w:eastAsia="Calibri" w:hAnsi="Garamond" w:cs="Sylfaen"/>
                <w:sz w:val="18"/>
                <w:szCs w:val="18"/>
              </w:rPr>
              <w:t>p</w:t>
            </w:r>
            <w:proofErr w:type="spellStart"/>
            <w:r w:rsidRPr="00626752">
              <w:rPr>
                <w:rFonts w:ascii="Garamond" w:eastAsia="Calibri" w:hAnsi="Garamond" w:cs="Sylfaen"/>
                <w:sz w:val="18"/>
                <w:szCs w:val="18"/>
                <w:lang w:val="hy-AM"/>
              </w:rPr>
              <w:t>olicy</w:t>
            </w:r>
            <w:proofErr w:type="spellEnd"/>
            <w:r w:rsidRPr="00626752">
              <w:rPr>
                <w:rFonts w:ascii="Garamond" w:eastAsia="Calibri" w:hAnsi="Garamond" w:cs="Sylfaen"/>
                <w:sz w:val="18"/>
                <w:szCs w:val="18"/>
              </w:rPr>
              <w:t xml:space="preserve"> conditions</w:t>
            </w:r>
          </w:p>
        </w:tc>
        <w:tc>
          <w:tcPr>
            <w:tcW w:w="4528" w:type="dxa"/>
            <w:vAlign w:val="center"/>
          </w:tcPr>
          <w:p w14:paraId="38AFF5E0" w14:textId="77777777" w:rsidR="00E55635" w:rsidRPr="00626752" w:rsidRDefault="00E55635" w:rsidP="00E55635">
            <w:pPr>
              <w:pStyle w:val="ListParagraph"/>
              <w:numPr>
                <w:ilvl w:val="0"/>
                <w:numId w:val="5"/>
              </w:numPr>
              <w:spacing w:before="30" w:after="30"/>
              <w:rPr>
                <w:rFonts w:ascii="Garamond" w:hAnsi="Garamond" w:cs="Sylfaen"/>
                <w:sz w:val="18"/>
                <w:szCs w:val="18"/>
              </w:rPr>
            </w:pPr>
            <w:r>
              <w:rPr>
                <w:rFonts w:ascii="Garamond" w:hAnsi="Garamond" w:cs="Sylfaen"/>
                <w:color w:val="000000" w:themeColor="text1"/>
                <w:sz w:val="18"/>
                <w:szCs w:val="18"/>
              </w:rPr>
              <w:t>The fiscal sector’s impact on a</w:t>
            </w:r>
            <w:r w:rsidRPr="00626752">
              <w:rPr>
                <w:rFonts w:ascii="Garamond" w:hAnsi="Garamond" w:cs="Sylfaen"/>
                <w:color w:val="000000" w:themeColor="text1"/>
                <w:sz w:val="18"/>
                <w:szCs w:val="18"/>
              </w:rPr>
              <w:t xml:space="preserve">ggregate demand </w:t>
            </w:r>
            <w:r>
              <w:rPr>
                <w:rFonts w:ascii="Garamond" w:hAnsi="Garamond" w:cs="Sylfaen"/>
                <w:color w:val="000000" w:themeColor="text1"/>
                <w:sz w:val="18"/>
                <w:szCs w:val="18"/>
              </w:rPr>
              <w:t>will be small, an estimated 0</w:t>
            </w:r>
            <w:r w:rsidRPr="00626752">
              <w:rPr>
                <w:rFonts w:ascii="Garamond" w:hAnsi="Garamond" w:cs="Sylfaen"/>
                <w:color w:val="000000" w:themeColor="text1"/>
                <w:sz w:val="18"/>
                <w:szCs w:val="18"/>
                <w:lang w:val="hy-AM"/>
              </w:rPr>
              <w:t xml:space="preserve">.9 </w:t>
            </w:r>
            <w:r>
              <w:rPr>
                <w:rFonts w:ascii="Garamond" w:hAnsi="Garamond" w:cs="Sylfaen"/>
                <w:color w:val="000000" w:themeColor="text1"/>
                <w:sz w:val="18"/>
                <w:szCs w:val="18"/>
              </w:rPr>
              <w:t xml:space="preserve">pp expansionary, </w:t>
            </w:r>
            <w:r w:rsidRPr="00626752">
              <w:rPr>
                <w:rFonts w:ascii="Garamond" w:hAnsi="Garamond" w:cs="Sylfaen"/>
                <w:color w:val="000000" w:themeColor="text1"/>
                <w:sz w:val="18"/>
                <w:szCs w:val="18"/>
              </w:rPr>
              <w:t xml:space="preserve">in </w:t>
            </w:r>
            <w:r w:rsidRPr="00626752">
              <w:rPr>
                <w:rFonts w:ascii="Garamond" w:hAnsi="Garamond" w:cs="Sylfaen"/>
                <w:color w:val="000000" w:themeColor="text1"/>
                <w:sz w:val="18"/>
                <w:szCs w:val="18"/>
                <w:lang w:val="hy-AM"/>
              </w:rPr>
              <w:t>201</w:t>
            </w:r>
            <w:r>
              <w:rPr>
                <w:rFonts w:ascii="Garamond" w:hAnsi="Garamond" w:cs="Sylfaen"/>
                <w:color w:val="000000" w:themeColor="text1"/>
                <w:sz w:val="18"/>
                <w:szCs w:val="18"/>
              </w:rPr>
              <w:t>8</w:t>
            </w:r>
            <w:r w:rsidRPr="00626752">
              <w:rPr>
                <w:rFonts w:ascii="Garamond" w:hAnsi="Garamond" w:cs="Sylfaen"/>
                <w:color w:val="000000" w:themeColor="text1"/>
                <w:sz w:val="18"/>
                <w:szCs w:val="18"/>
                <w:lang w:val="hy-AM"/>
              </w:rPr>
              <w:t>.</w:t>
            </w:r>
          </w:p>
        </w:tc>
      </w:tr>
      <w:tr w:rsidR="00B15CCA" w:rsidRPr="00626752" w14:paraId="2715A377" w14:textId="77777777" w:rsidTr="004D4A0F">
        <w:trPr>
          <w:trHeight w:val="20"/>
        </w:trPr>
        <w:tc>
          <w:tcPr>
            <w:tcW w:w="1715" w:type="dxa"/>
            <w:vAlign w:val="center"/>
          </w:tcPr>
          <w:p w14:paraId="123E5E47" w14:textId="77777777" w:rsidR="00B15CCA" w:rsidRPr="00626752" w:rsidRDefault="00B15CCA" w:rsidP="00E55635">
            <w:pPr>
              <w:spacing w:before="40" w:after="40"/>
              <w:rPr>
                <w:rFonts w:ascii="Garamond" w:eastAsia="Calibri" w:hAnsi="Garamond" w:cs="Sylfaen"/>
                <w:sz w:val="18"/>
                <w:szCs w:val="18"/>
                <w:lang w:val="hy-AM"/>
              </w:rPr>
            </w:pPr>
            <w:r w:rsidRPr="00626752">
              <w:rPr>
                <w:rFonts w:ascii="Garamond" w:eastAsia="Calibri" w:hAnsi="Garamond" w:cs="Sylfaen"/>
                <w:sz w:val="18"/>
                <w:szCs w:val="18"/>
              </w:rPr>
              <w:t>Action to tackle t</w:t>
            </w:r>
            <w:proofErr w:type="spellStart"/>
            <w:r w:rsidRPr="00626752">
              <w:rPr>
                <w:rFonts w:ascii="Garamond" w:eastAsia="Calibri" w:hAnsi="Garamond" w:cs="Sylfaen"/>
                <w:sz w:val="18"/>
                <w:szCs w:val="18"/>
                <w:lang w:val="hy-AM"/>
              </w:rPr>
              <w:t>he</w:t>
            </w:r>
            <w:proofErr w:type="spellEnd"/>
            <w:r w:rsidRPr="00626752">
              <w:rPr>
                <w:rFonts w:ascii="Garamond" w:eastAsia="Calibri" w:hAnsi="Garamond" w:cs="Sylfaen"/>
                <w:sz w:val="18"/>
                <w:szCs w:val="18"/>
                <w:lang w:val="hy-AM"/>
              </w:rPr>
              <w:t xml:space="preserve"> </w:t>
            </w:r>
            <w:proofErr w:type="spellStart"/>
            <w:r w:rsidRPr="00626752">
              <w:rPr>
                <w:rFonts w:ascii="Garamond" w:eastAsia="Calibri" w:hAnsi="Garamond" w:cs="Sylfaen"/>
                <w:sz w:val="18"/>
                <w:szCs w:val="18"/>
                <w:lang w:val="hy-AM"/>
              </w:rPr>
              <w:t>growth</w:t>
            </w:r>
            <w:proofErr w:type="spellEnd"/>
            <w:r w:rsidRPr="00626752">
              <w:rPr>
                <w:rFonts w:ascii="Garamond" w:eastAsia="Calibri" w:hAnsi="Garamond" w:cs="Sylfaen"/>
                <w:sz w:val="18"/>
                <w:szCs w:val="18"/>
                <w:lang w:val="hy-AM"/>
              </w:rPr>
              <w:t xml:space="preserve"> of </w:t>
            </w:r>
            <w:proofErr w:type="spellStart"/>
            <w:r w:rsidRPr="00626752">
              <w:rPr>
                <w:rFonts w:ascii="Garamond" w:eastAsia="Calibri" w:hAnsi="Garamond" w:cs="Sylfaen"/>
                <w:sz w:val="18"/>
                <w:szCs w:val="18"/>
                <w:lang w:val="hy-AM"/>
              </w:rPr>
              <w:t>potential</w:t>
            </w:r>
            <w:proofErr w:type="spellEnd"/>
            <w:r w:rsidRPr="00626752">
              <w:rPr>
                <w:rFonts w:ascii="Garamond" w:eastAsia="Calibri" w:hAnsi="Garamond" w:cs="Sylfaen"/>
                <w:sz w:val="18"/>
                <w:szCs w:val="18"/>
                <w:lang w:val="hy-AM"/>
              </w:rPr>
              <w:t xml:space="preserve"> GDP</w:t>
            </w:r>
            <w:r>
              <w:rPr>
                <w:rStyle w:val="FootnoteReference"/>
                <w:rFonts w:ascii="Garamond" w:eastAsia="Calibri" w:hAnsi="Garamond" w:cs="Sylfaen"/>
                <w:sz w:val="18"/>
                <w:szCs w:val="18"/>
                <w:lang w:val="hy-AM"/>
              </w:rPr>
              <w:footnoteReference w:customMarkFollows="1" w:id="10"/>
              <w:t>12</w:t>
            </w:r>
          </w:p>
        </w:tc>
        <w:tc>
          <w:tcPr>
            <w:tcW w:w="4528" w:type="dxa"/>
            <w:vAlign w:val="center"/>
          </w:tcPr>
          <w:p w14:paraId="7DB38ECC" w14:textId="77777777" w:rsidR="00B15CCA" w:rsidRPr="00B15CCA" w:rsidRDefault="00B15CCA" w:rsidP="00E55635">
            <w:pPr>
              <w:pStyle w:val="ListParagraph"/>
              <w:numPr>
                <w:ilvl w:val="0"/>
                <w:numId w:val="5"/>
              </w:numPr>
              <w:spacing w:before="30" w:after="30"/>
              <w:rPr>
                <w:rFonts w:ascii="Garamond" w:hAnsi="Garamond" w:cs="Sylfaen"/>
                <w:color w:val="000000" w:themeColor="text1"/>
                <w:sz w:val="18"/>
                <w:szCs w:val="18"/>
              </w:rPr>
            </w:pPr>
            <w:r w:rsidRPr="00626752">
              <w:rPr>
                <w:rFonts w:ascii="Garamond" w:hAnsi="Garamond" w:cs="Sylfaen"/>
                <w:sz w:val="18"/>
                <w:szCs w:val="18"/>
              </w:rPr>
              <w:t>T</w:t>
            </w:r>
            <w:proofErr w:type="spellStart"/>
            <w:r w:rsidRPr="00626752">
              <w:rPr>
                <w:rFonts w:ascii="Garamond" w:hAnsi="Garamond" w:cs="Sylfaen"/>
                <w:sz w:val="18"/>
                <w:szCs w:val="18"/>
                <w:lang w:val="hy-AM"/>
              </w:rPr>
              <w:t>he</w:t>
            </w:r>
            <w:proofErr w:type="spellEnd"/>
            <w:r w:rsidRPr="00626752">
              <w:rPr>
                <w:rFonts w:ascii="Garamond" w:hAnsi="Garamond" w:cs="Sylfaen"/>
                <w:sz w:val="18"/>
                <w:szCs w:val="18"/>
                <w:lang w:val="hy-AM"/>
              </w:rPr>
              <w:t xml:space="preserve"> </w:t>
            </w:r>
            <w:r w:rsidRPr="00626752">
              <w:rPr>
                <w:rFonts w:ascii="Garamond" w:hAnsi="Garamond" w:cs="Sylfaen"/>
                <w:sz w:val="18"/>
                <w:szCs w:val="18"/>
              </w:rPr>
              <w:t>Armenia G</w:t>
            </w:r>
            <w:proofErr w:type="spellStart"/>
            <w:r w:rsidRPr="00626752">
              <w:rPr>
                <w:rFonts w:ascii="Garamond" w:hAnsi="Garamond" w:cs="Sylfaen"/>
                <w:sz w:val="18"/>
                <w:szCs w:val="18"/>
                <w:lang w:val="hy-AM"/>
              </w:rPr>
              <w:t>overnment</w:t>
            </w:r>
            <w:proofErr w:type="spellEnd"/>
            <w:r w:rsidRPr="00626752">
              <w:rPr>
                <w:rFonts w:ascii="Garamond" w:hAnsi="Garamond" w:cs="Sylfaen"/>
                <w:sz w:val="18"/>
                <w:szCs w:val="18"/>
                <w:lang w:val="hy-AM"/>
              </w:rPr>
              <w:t xml:space="preserve"> </w:t>
            </w:r>
            <w:r w:rsidRPr="00626752">
              <w:rPr>
                <w:rFonts w:ascii="Garamond" w:hAnsi="Garamond" w:cs="Sylfaen"/>
                <w:sz w:val="18"/>
                <w:szCs w:val="18"/>
              </w:rPr>
              <w:t xml:space="preserve">will further push ahead with </w:t>
            </w:r>
            <w:proofErr w:type="spellStart"/>
            <w:r w:rsidRPr="00626752">
              <w:rPr>
                <w:rFonts w:ascii="Garamond" w:hAnsi="Garamond" w:cs="Sylfaen"/>
                <w:sz w:val="18"/>
                <w:szCs w:val="18"/>
                <w:lang w:val="hy-AM"/>
              </w:rPr>
              <w:t>structural</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reforms</w:t>
            </w:r>
            <w:proofErr w:type="spellEnd"/>
            <w:r w:rsidRPr="00626752">
              <w:rPr>
                <w:rFonts w:ascii="Garamond" w:hAnsi="Garamond" w:cs="Sylfaen"/>
                <w:sz w:val="18"/>
                <w:szCs w:val="18"/>
                <w:lang w:val="hy-AM"/>
              </w:rPr>
              <w:t xml:space="preserve"> </w:t>
            </w:r>
            <w:r w:rsidRPr="00626752">
              <w:rPr>
                <w:rFonts w:ascii="Garamond" w:hAnsi="Garamond" w:cs="Sylfaen"/>
                <w:sz w:val="18"/>
                <w:szCs w:val="18"/>
              </w:rPr>
              <w:t xml:space="preserve">as a result of which </w:t>
            </w:r>
            <w:proofErr w:type="spellStart"/>
            <w:r w:rsidRPr="00626752">
              <w:rPr>
                <w:rFonts w:ascii="Garamond" w:hAnsi="Garamond" w:cs="Sylfaen"/>
                <w:sz w:val="18"/>
                <w:szCs w:val="18"/>
                <w:lang w:val="hy-AM"/>
              </w:rPr>
              <w:t>investments</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in</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the</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private</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sector</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will</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gradually</w:t>
            </w:r>
            <w:proofErr w:type="spellEnd"/>
            <w:r w:rsidRPr="00626752">
              <w:rPr>
                <w:rFonts w:ascii="Garamond" w:hAnsi="Garamond" w:cs="Sylfaen"/>
                <w:sz w:val="18"/>
                <w:szCs w:val="18"/>
                <w:lang w:val="hy-AM"/>
              </w:rPr>
              <w:t xml:space="preserve"> </w:t>
            </w:r>
            <w:proofErr w:type="spellStart"/>
            <w:r w:rsidRPr="00626752">
              <w:rPr>
                <w:rFonts w:ascii="Garamond" w:hAnsi="Garamond" w:cs="Sylfaen"/>
                <w:sz w:val="18"/>
                <w:szCs w:val="18"/>
                <w:lang w:val="hy-AM"/>
              </w:rPr>
              <w:t>expand</w:t>
            </w:r>
            <w:proofErr w:type="spellEnd"/>
            <w:r w:rsidRPr="00626752">
              <w:rPr>
                <w:rFonts w:ascii="Garamond" w:hAnsi="Garamond" w:cs="Sylfaen"/>
                <w:sz w:val="18"/>
                <w:szCs w:val="18"/>
              </w:rPr>
              <w:t>, providing u</w:t>
            </w:r>
            <w:r w:rsidRPr="00626752">
              <w:rPr>
                <w:rFonts w:ascii="Garamond" w:hAnsi="Garamond" w:cs="Sylfaen"/>
                <w:sz w:val="18"/>
                <w:szCs w:val="18"/>
                <w:lang w:val="hy-AM"/>
              </w:rPr>
              <w:t xml:space="preserve">p </w:t>
            </w:r>
            <w:proofErr w:type="spellStart"/>
            <w:r w:rsidRPr="00626752">
              <w:rPr>
                <w:rFonts w:ascii="Garamond" w:hAnsi="Garamond" w:cs="Sylfaen"/>
                <w:sz w:val="18"/>
                <w:szCs w:val="18"/>
                <w:lang w:val="hy-AM"/>
              </w:rPr>
              <w:t>to</w:t>
            </w:r>
            <w:proofErr w:type="spellEnd"/>
            <w:r w:rsidRPr="00626752">
              <w:rPr>
                <w:rFonts w:ascii="Garamond" w:hAnsi="Garamond" w:cs="Sylfaen"/>
                <w:sz w:val="18"/>
                <w:szCs w:val="18"/>
                <w:lang w:val="hy-AM"/>
              </w:rPr>
              <w:t xml:space="preserve"> 4.5-5% </w:t>
            </w:r>
            <w:r w:rsidRPr="00626752">
              <w:rPr>
                <w:rFonts w:ascii="Garamond" w:hAnsi="Garamond" w:cs="Sylfaen"/>
                <w:sz w:val="18"/>
                <w:szCs w:val="18"/>
              </w:rPr>
              <w:t xml:space="preserve">growth </w:t>
            </w:r>
            <w:proofErr w:type="spellStart"/>
            <w:r w:rsidRPr="00626752">
              <w:rPr>
                <w:rFonts w:ascii="Garamond" w:hAnsi="Garamond" w:cs="Sylfaen"/>
                <w:sz w:val="18"/>
                <w:szCs w:val="18"/>
                <w:lang w:val="hy-AM"/>
              </w:rPr>
              <w:t>annually</w:t>
            </w:r>
            <w:proofErr w:type="spellEnd"/>
            <w:r w:rsidRPr="00626752">
              <w:rPr>
                <w:rFonts w:ascii="Garamond" w:hAnsi="Garamond" w:cs="Sylfaen"/>
                <w:sz w:val="18"/>
                <w:szCs w:val="18"/>
                <w:lang w:val="hy-AM"/>
              </w:rPr>
              <w:t>.</w:t>
            </w:r>
          </w:p>
          <w:p w14:paraId="6C7A3379" w14:textId="4D2F1A29" w:rsidR="00B15CCA" w:rsidRDefault="00B15CCA" w:rsidP="00B15CCA">
            <w:pPr>
              <w:pStyle w:val="ListParagraph"/>
              <w:numPr>
                <w:ilvl w:val="0"/>
                <w:numId w:val="5"/>
              </w:numPr>
              <w:spacing w:before="30" w:after="30"/>
              <w:rPr>
                <w:rFonts w:ascii="Garamond" w:hAnsi="Garamond" w:cs="Sylfaen"/>
                <w:color w:val="000000" w:themeColor="text1"/>
                <w:sz w:val="18"/>
                <w:szCs w:val="18"/>
              </w:rPr>
            </w:pPr>
            <w:r w:rsidRPr="00B15CCA">
              <w:rPr>
                <w:rFonts w:ascii="Garamond" w:hAnsi="Garamond" w:cs="Sylfaen"/>
                <w:color w:val="000000" w:themeColor="text1"/>
                <w:sz w:val="18"/>
                <w:szCs w:val="18"/>
              </w:rPr>
              <w:t xml:space="preserve">Increase in </w:t>
            </w:r>
            <w:r>
              <w:rPr>
                <w:rFonts w:ascii="Garamond" w:hAnsi="Garamond" w:cs="Sylfaen"/>
                <w:color w:val="000000" w:themeColor="text1"/>
                <w:sz w:val="18"/>
                <w:szCs w:val="18"/>
              </w:rPr>
              <w:t xml:space="preserve">investment in </w:t>
            </w:r>
            <w:r w:rsidRPr="00B15CCA">
              <w:rPr>
                <w:rFonts w:ascii="Garamond" w:hAnsi="Garamond" w:cs="Sylfaen"/>
                <w:color w:val="000000" w:themeColor="text1"/>
                <w:sz w:val="18"/>
                <w:szCs w:val="18"/>
              </w:rPr>
              <w:t xml:space="preserve">private sector and </w:t>
            </w:r>
            <w:r>
              <w:rPr>
                <w:rFonts w:ascii="Garamond" w:hAnsi="Garamond" w:cs="Sylfaen"/>
                <w:color w:val="000000" w:themeColor="text1"/>
                <w:sz w:val="18"/>
                <w:szCs w:val="18"/>
              </w:rPr>
              <w:t>the</w:t>
            </w:r>
            <w:r w:rsidR="009216C0">
              <w:rPr>
                <w:rFonts w:ascii="Garamond" w:hAnsi="Garamond" w:cs="Sylfaen"/>
                <w:color w:val="000000" w:themeColor="text1"/>
                <w:sz w:val="18"/>
                <w:szCs w:val="18"/>
              </w:rPr>
              <w:t xml:space="preserve"> potential</w:t>
            </w:r>
            <w:r>
              <w:rPr>
                <w:rFonts w:ascii="Garamond" w:hAnsi="Garamond" w:cs="Sylfaen"/>
                <w:color w:val="000000" w:themeColor="text1"/>
                <w:sz w:val="18"/>
                <w:szCs w:val="18"/>
              </w:rPr>
              <w:t xml:space="preserve"> </w:t>
            </w:r>
            <w:r w:rsidRPr="00B15CCA">
              <w:rPr>
                <w:rFonts w:ascii="Garamond" w:hAnsi="Garamond" w:cs="Sylfaen"/>
                <w:color w:val="000000" w:themeColor="text1"/>
                <w:sz w:val="18"/>
                <w:szCs w:val="18"/>
              </w:rPr>
              <w:t xml:space="preserve">GDP growth will largely be reflected in </w:t>
            </w:r>
            <w:r>
              <w:rPr>
                <w:rFonts w:ascii="Garamond" w:hAnsi="Garamond" w:cs="Sylfaen"/>
                <w:color w:val="000000" w:themeColor="text1"/>
                <w:sz w:val="18"/>
                <w:szCs w:val="18"/>
              </w:rPr>
              <w:t>the tradable sector of the economy,</w:t>
            </w:r>
            <w:r w:rsidRPr="00B15CCA">
              <w:rPr>
                <w:rFonts w:ascii="Garamond" w:hAnsi="Garamond" w:cs="Sylfaen"/>
                <w:color w:val="000000" w:themeColor="text1"/>
                <w:sz w:val="18"/>
                <w:szCs w:val="18"/>
              </w:rPr>
              <w:t xml:space="preserve"> in terms of </w:t>
            </w:r>
            <w:r>
              <w:rPr>
                <w:rFonts w:ascii="Garamond" w:hAnsi="Garamond" w:cs="Sylfaen"/>
                <w:color w:val="000000" w:themeColor="text1"/>
                <w:sz w:val="18"/>
                <w:szCs w:val="18"/>
              </w:rPr>
              <w:t xml:space="preserve">both </w:t>
            </w:r>
            <w:r w:rsidRPr="00B15CCA">
              <w:rPr>
                <w:rFonts w:ascii="Garamond" w:hAnsi="Garamond" w:cs="Sylfaen"/>
                <w:color w:val="000000" w:themeColor="text1"/>
                <w:sz w:val="18"/>
                <w:szCs w:val="18"/>
              </w:rPr>
              <w:t>export</w:t>
            </w:r>
            <w:r>
              <w:rPr>
                <w:rFonts w:ascii="Garamond" w:hAnsi="Garamond" w:cs="Sylfaen"/>
                <w:color w:val="000000" w:themeColor="text1"/>
                <w:sz w:val="18"/>
                <w:szCs w:val="18"/>
              </w:rPr>
              <w:t xml:space="preserve"> goods and services</w:t>
            </w:r>
            <w:r w:rsidRPr="00B15CCA">
              <w:rPr>
                <w:rFonts w:ascii="Garamond" w:hAnsi="Garamond" w:cs="Sylfaen"/>
                <w:color w:val="000000" w:themeColor="text1"/>
                <w:sz w:val="18"/>
                <w:szCs w:val="18"/>
              </w:rPr>
              <w:t>.</w:t>
            </w:r>
          </w:p>
        </w:tc>
      </w:tr>
    </w:tbl>
    <w:p w14:paraId="042CE579" w14:textId="77777777" w:rsidR="00B15CCA" w:rsidRDefault="00B15CCA" w:rsidP="005C6536">
      <w:pPr>
        <w:autoSpaceDE w:val="0"/>
        <w:autoSpaceDN w:val="0"/>
        <w:adjustRightInd w:val="0"/>
        <w:spacing w:after="120" w:line="360" w:lineRule="auto"/>
        <w:jc w:val="both"/>
        <w:rPr>
          <w:rFonts w:ascii="Garamond" w:hAnsi="Garamond"/>
          <w:sz w:val="22"/>
          <w:szCs w:val="22"/>
        </w:rPr>
      </w:pPr>
    </w:p>
    <w:p w14:paraId="496C133F" w14:textId="77777777" w:rsidR="006150AC" w:rsidRDefault="006150AC" w:rsidP="005C6536">
      <w:pPr>
        <w:autoSpaceDE w:val="0"/>
        <w:autoSpaceDN w:val="0"/>
        <w:adjustRightInd w:val="0"/>
        <w:spacing w:after="120" w:line="360" w:lineRule="auto"/>
        <w:jc w:val="both"/>
        <w:rPr>
          <w:rFonts w:ascii="Garamond" w:hAnsi="Garamond"/>
          <w:sz w:val="22"/>
          <w:szCs w:val="22"/>
        </w:rPr>
      </w:pPr>
      <w:r w:rsidRPr="006150AC">
        <w:rPr>
          <w:rFonts w:ascii="Garamond" w:hAnsi="Garamond"/>
          <w:sz w:val="22"/>
          <w:szCs w:val="22"/>
        </w:rPr>
        <w:t>In the short</w:t>
      </w:r>
      <w:r>
        <w:rPr>
          <w:rFonts w:ascii="Garamond" w:hAnsi="Garamond"/>
          <w:sz w:val="22"/>
          <w:szCs w:val="22"/>
        </w:rPr>
        <w:t xml:space="preserve"> run</w:t>
      </w:r>
      <w:r w:rsidRPr="006150AC">
        <w:rPr>
          <w:rFonts w:ascii="Garamond" w:hAnsi="Garamond"/>
          <w:sz w:val="22"/>
          <w:szCs w:val="22"/>
        </w:rPr>
        <w:t xml:space="preserve">, </w:t>
      </w:r>
      <w:r>
        <w:rPr>
          <w:rFonts w:ascii="Garamond" w:hAnsi="Garamond"/>
          <w:sz w:val="22"/>
          <w:szCs w:val="22"/>
        </w:rPr>
        <w:t xml:space="preserve">the </w:t>
      </w:r>
      <w:r w:rsidRPr="006150AC">
        <w:rPr>
          <w:rFonts w:ascii="Garamond" w:hAnsi="Garamond"/>
          <w:sz w:val="22"/>
          <w:szCs w:val="22"/>
        </w:rPr>
        <w:t xml:space="preserve">risks </w:t>
      </w:r>
      <w:r>
        <w:rPr>
          <w:rFonts w:ascii="Garamond" w:hAnsi="Garamond"/>
          <w:sz w:val="22"/>
          <w:szCs w:val="22"/>
        </w:rPr>
        <w:t xml:space="preserve">to </w:t>
      </w:r>
      <w:r w:rsidRPr="006150AC">
        <w:rPr>
          <w:rFonts w:ascii="Garamond" w:hAnsi="Garamond"/>
          <w:sz w:val="22"/>
          <w:szCs w:val="22"/>
        </w:rPr>
        <w:t xml:space="preserve">inflation and economic growth forecasts are </w:t>
      </w:r>
      <w:r>
        <w:rPr>
          <w:rFonts w:ascii="Garamond" w:hAnsi="Garamond"/>
          <w:sz w:val="22"/>
          <w:szCs w:val="22"/>
        </w:rPr>
        <w:t>generally dual-sided</w:t>
      </w:r>
      <w:r w:rsidRPr="006150AC">
        <w:rPr>
          <w:rFonts w:ascii="Garamond" w:hAnsi="Garamond"/>
          <w:sz w:val="22"/>
          <w:szCs w:val="22"/>
        </w:rPr>
        <w:t>, d</w:t>
      </w:r>
      <w:r>
        <w:rPr>
          <w:rFonts w:ascii="Garamond" w:hAnsi="Garamond"/>
          <w:sz w:val="22"/>
          <w:szCs w:val="22"/>
        </w:rPr>
        <w:t xml:space="preserve">epending on the </w:t>
      </w:r>
      <w:r w:rsidRPr="006150AC">
        <w:rPr>
          <w:rFonts w:ascii="Garamond" w:hAnsi="Garamond"/>
          <w:sz w:val="22"/>
          <w:szCs w:val="22"/>
        </w:rPr>
        <w:t>developments in the agricultural sector.</w:t>
      </w:r>
      <w:r>
        <w:rPr>
          <w:rFonts w:ascii="Garamond" w:hAnsi="Garamond"/>
          <w:sz w:val="22"/>
          <w:szCs w:val="22"/>
        </w:rPr>
        <w:t xml:space="preserve"> </w:t>
      </w:r>
    </w:p>
    <w:p w14:paraId="522B2BE1" w14:textId="77777777" w:rsidR="009E1B90" w:rsidRPr="00626752" w:rsidRDefault="00B15CCA" w:rsidP="005C6536">
      <w:pPr>
        <w:autoSpaceDE w:val="0"/>
        <w:autoSpaceDN w:val="0"/>
        <w:adjustRightInd w:val="0"/>
        <w:spacing w:after="120" w:line="360" w:lineRule="auto"/>
        <w:jc w:val="both"/>
        <w:rPr>
          <w:rFonts w:ascii="Garamond" w:hAnsi="Garamond"/>
          <w:sz w:val="22"/>
          <w:szCs w:val="22"/>
        </w:rPr>
      </w:pPr>
      <w:r w:rsidRPr="006150AC">
        <w:rPr>
          <w:rFonts w:ascii="Garamond" w:hAnsi="Garamond"/>
          <w:sz w:val="22"/>
          <w:szCs w:val="22"/>
        </w:rPr>
        <w:t xml:space="preserve">In the </w:t>
      </w:r>
      <w:r w:rsidR="006150AC">
        <w:rPr>
          <w:rFonts w:ascii="Garamond" w:hAnsi="Garamond"/>
          <w:sz w:val="22"/>
          <w:szCs w:val="22"/>
        </w:rPr>
        <w:t>medium run</w:t>
      </w:r>
      <w:r w:rsidRPr="006150AC">
        <w:rPr>
          <w:rFonts w:ascii="Garamond" w:hAnsi="Garamond"/>
          <w:sz w:val="22"/>
          <w:szCs w:val="22"/>
        </w:rPr>
        <w:t xml:space="preserve">, the risks to </w:t>
      </w:r>
      <w:r w:rsidR="006150AC">
        <w:rPr>
          <w:rFonts w:ascii="Garamond" w:hAnsi="Garamond"/>
          <w:sz w:val="22"/>
          <w:szCs w:val="22"/>
        </w:rPr>
        <w:t xml:space="preserve">inflation are mostly upside </w:t>
      </w:r>
      <w:r w:rsidR="006150AC" w:rsidRPr="00626752">
        <w:rPr>
          <w:rFonts w:ascii="Garamond" w:hAnsi="Garamond"/>
          <w:sz w:val="22"/>
          <w:szCs w:val="22"/>
        </w:rPr>
        <w:t>(see the Inflation Forecasts Probability Distribution Chart)</w:t>
      </w:r>
      <w:r w:rsidR="006150AC">
        <w:rPr>
          <w:rFonts w:ascii="Garamond" w:hAnsi="Garamond"/>
          <w:sz w:val="22"/>
          <w:szCs w:val="22"/>
        </w:rPr>
        <w:t xml:space="preserve">. This is determined by </w:t>
      </w:r>
      <w:r w:rsidR="006150AC" w:rsidRPr="00626752">
        <w:rPr>
          <w:rFonts w:ascii="Garamond" w:hAnsi="Garamond"/>
          <w:sz w:val="22"/>
          <w:szCs w:val="22"/>
        </w:rPr>
        <w:t>a bunch of key factors and developments taking place in relevant sectors of the economy.</w:t>
      </w:r>
      <w:r w:rsidR="006150AC">
        <w:rPr>
          <w:rFonts w:ascii="Garamond" w:hAnsi="Garamond"/>
          <w:sz w:val="22"/>
          <w:szCs w:val="22"/>
        </w:rPr>
        <w:t xml:space="preserve"> </w:t>
      </w:r>
    </w:p>
    <w:p w14:paraId="5D3F4854" w14:textId="77777777" w:rsidR="009A460A" w:rsidRPr="00626752" w:rsidRDefault="0072461A" w:rsidP="009A460A">
      <w:pPr>
        <w:autoSpaceDE w:val="0"/>
        <w:autoSpaceDN w:val="0"/>
        <w:adjustRightInd w:val="0"/>
        <w:spacing w:after="120" w:line="360" w:lineRule="auto"/>
        <w:jc w:val="both"/>
        <w:rPr>
          <w:rFonts w:ascii="Garamond" w:hAnsi="Garamond"/>
          <w:sz w:val="22"/>
          <w:szCs w:val="22"/>
        </w:rPr>
      </w:pPr>
      <w:r>
        <w:rPr>
          <w:rFonts w:ascii="Garamond" w:hAnsi="Garamond"/>
          <w:sz w:val="22"/>
          <w:szCs w:val="22"/>
        </w:rPr>
        <w:t>F</w:t>
      </w:r>
      <w:r w:rsidR="009A460A" w:rsidRPr="00626752">
        <w:rPr>
          <w:rFonts w:ascii="Garamond" w:hAnsi="Garamond"/>
          <w:sz w:val="22"/>
          <w:szCs w:val="22"/>
        </w:rPr>
        <w:t xml:space="preserve">irst group factors are </w:t>
      </w:r>
      <w:r w:rsidR="00E45D05" w:rsidRPr="00626752">
        <w:rPr>
          <w:rFonts w:ascii="Garamond" w:hAnsi="Garamond"/>
          <w:sz w:val="22"/>
          <w:szCs w:val="22"/>
        </w:rPr>
        <w:t xml:space="preserve">pertinent to </w:t>
      </w:r>
      <w:r w:rsidR="009A460A" w:rsidRPr="00626752">
        <w:rPr>
          <w:rFonts w:ascii="Garamond" w:hAnsi="Garamond"/>
          <w:sz w:val="22"/>
          <w:szCs w:val="22"/>
        </w:rPr>
        <w:t xml:space="preserve">the acceleration of economic recovery in the external </w:t>
      </w:r>
      <w:r w:rsidR="006150AC">
        <w:rPr>
          <w:rFonts w:ascii="Garamond" w:hAnsi="Garamond"/>
          <w:sz w:val="22"/>
          <w:szCs w:val="22"/>
        </w:rPr>
        <w:t xml:space="preserve">environment and its </w:t>
      </w:r>
      <w:r w:rsidR="00E45D05" w:rsidRPr="00626752">
        <w:rPr>
          <w:rFonts w:ascii="Garamond" w:hAnsi="Garamond"/>
          <w:sz w:val="22"/>
          <w:szCs w:val="22"/>
        </w:rPr>
        <w:t xml:space="preserve">impact </w:t>
      </w:r>
      <w:r w:rsidR="006150AC">
        <w:rPr>
          <w:rFonts w:ascii="Garamond" w:hAnsi="Garamond"/>
          <w:sz w:val="22"/>
          <w:szCs w:val="22"/>
        </w:rPr>
        <w:t>s</w:t>
      </w:r>
      <w:r w:rsidR="00E45D05" w:rsidRPr="00626752">
        <w:rPr>
          <w:rFonts w:ascii="Garamond" w:hAnsi="Garamond"/>
          <w:sz w:val="22"/>
          <w:szCs w:val="22"/>
        </w:rPr>
        <w:t>pillover to the Armenian economy.</w:t>
      </w:r>
      <w:r w:rsidR="009A460A" w:rsidRPr="00626752">
        <w:rPr>
          <w:rFonts w:ascii="Garamond" w:hAnsi="Garamond"/>
          <w:sz w:val="22"/>
          <w:szCs w:val="22"/>
        </w:rPr>
        <w:t xml:space="preserve"> Specifically, the following key factors can be </w:t>
      </w:r>
      <w:r w:rsidR="00E45D05" w:rsidRPr="00626752">
        <w:rPr>
          <w:rFonts w:ascii="Garamond" w:hAnsi="Garamond"/>
          <w:sz w:val="22"/>
          <w:szCs w:val="22"/>
        </w:rPr>
        <w:t>highlighted</w:t>
      </w:r>
      <w:r w:rsidR="009A460A" w:rsidRPr="00626752">
        <w:rPr>
          <w:rFonts w:ascii="Garamond" w:hAnsi="Garamond"/>
          <w:sz w:val="22"/>
          <w:szCs w:val="22"/>
        </w:rPr>
        <w:t>:</w:t>
      </w:r>
    </w:p>
    <w:p w14:paraId="5FC6A671" w14:textId="77777777" w:rsidR="009A460A" w:rsidRPr="00626752" w:rsidRDefault="002D15E1" w:rsidP="00E45D05">
      <w:pPr>
        <w:pStyle w:val="ListParagraph"/>
        <w:numPr>
          <w:ilvl w:val="0"/>
          <w:numId w:val="6"/>
        </w:numPr>
        <w:autoSpaceDE w:val="0"/>
        <w:autoSpaceDN w:val="0"/>
        <w:adjustRightInd w:val="0"/>
        <w:spacing w:after="120" w:line="360" w:lineRule="auto"/>
        <w:jc w:val="both"/>
        <w:rPr>
          <w:rFonts w:ascii="Garamond" w:hAnsi="Garamond"/>
          <w:sz w:val="22"/>
          <w:szCs w:val="22"/>
        </w:rPr>
      </w:pPr>
      <w:r>
        <w:rPr>
          <w:rFonts w:ascii="Garamond" w:hAnsi="Garamond"/>
          <w:sz w:val="22"/>
          <w:szCs w:val="22"/>
        </w:rPr>
        <w:t>Quicker r</w:t>
      </w:r>
      <w:r w:rsidR="009A460A" w:rsidRPr="00626752">
        <w:rPr>
          <w:rFonts w:ascii="Garamond" w:hAnsi="Garamond"/>
          <w:sz w:val="22"/>
          <w:szCs w:val="22"/>
        </w:rPr>
        <w:t>ecover</w:t>
      </w:r>
      <w:r>
        <w:rPr>
          <w:rFonts w:ascii="Garamond" w:hAnsi="Garamond"/>
          <w:sz w:val="22"/>
          <w:szCs w:val="22"/>
        </w:rPr>
        <w:t xml:space="preserve">y of </w:t>
      </w:r>
      <w:r w:rsidR="009A460A" w:rsidRPr="00626752">
        <w:rPr>
          <w:rFonts w:ascii="Garamond" w:hAnsi="Garamond"/>
          <w:sz w:val="22"/>
          <w:szCs w:val="22"/>
        </w:rPr>
        <w:t>external demand a</w:t>
      </w:r>
      <w:r>
        <w:rPr>
          <w:rFonts w:ascii="Garamond" w:hAnsi="Garamond"/>
          <w:sz w:val="22"/>
          <w:szCs w:val="22"/>
        </w:rPr>
        <w:t xml:space="preserve">nd </w:t>
      </w:r>
      <w:r w:rsidR="009A460A" w:rsidRPr="00626752">
        <w:rPr>
          <w:rFonts w:ascii="Garamond" w:hAnsi="Garamond"/>
          <w:sz w:val="22"/>
          <w:szCs w:val="22"/>
        </w:rPr>
        <w:t>inflationary risks</w:t>
      </w:r>
      <w:r w:rsidR="00E45D05" w:rsidRPr="00626752">
        <w:rPr>
          <w:rFonts w:ascii="Garamond" w:hAnsi="Garamond"/>
          <w:sz w:val="22"/>
          <w:szCs w:val="22"/>
        </w:rPr>
        <w:t xml:space="preserve"> resulting therefrom</w:t>
      </w:r>
      <w:r w:rsidR="009A460A" w:rsidRPr="00626752">
        <w:rPr>
          <w:rFonts w:ascii="Garamond" w:hAnsi="Garamond"/>
          <w:sz w:val="22"/>
          <w:szCs w:val="22"/>
        </w:rPr>
        <w:t xml:space="preserve">, including </w:t>
      </w:r>
      <w:r w:rsidR="00E45D05" w:rsidRPr="00626752">
        <w:rPr>
          <w:rFonts w:ascii="Garamond" w:hAnsi="Garamond"/>
          <w:sz w:val="22"/>
          <w:szCs w:val="22"/>
        </w:rPr>
        <w:t xml:space="preserve">faster-than-expected rise in </w:t>
      </w:r>
      <w:r w:rsidR="009A460A" w:rsidRPr="00626752">
        <w:rPr>
          <w:rFonts w:ascii="Garamond" w:hAnsi="Garamond"/>
          <w:sz w:val="22"/>
          <w:szCs w:val="22"/>
        </w:rPr>
        <w:t xml:space="preserve">international prices in raw </w:t>
      </w:r>
      <w:r w:rsidR="00E45D05" w:rsidRPr="00626752">
        <w:rPr>
          <w:rFonts w:ascii="Garamond" w:hAnsi="Garamond"/>
          <w:sz w:val="22"/>
          <w:szCs w:val="22"/>
        </w:rPr>
        <w:t xml:space="preserve">materials </w:t>
      </w:r>
      <w:r w:rsidR="009A460A" w:rsidRPr="00626752">
        <w:rPr>
          <w:rFonts w:ascii="Garamond" w:hAnsi="Garamond"/>
          <w:sz w:val="22"/>
          <w:szCs w:val="22"/>
        </w:rPr>
        <w:t xml:space="preserve">and food </w:t>
      </w:r>
      <w:r w:rsidR="00E45D05" w:rsidRPr="00626752">
        <w:rPr>
          <w:rFonts w:ascii="Garamond" w:hAnsi="Garamond"/>
          <w:sz w:val="22"/>
          <w:szCs w:val="22"/>
        </w:rPr>
        <w:t>product markets</w:t>
      </w:r>
      <w:r w:rsidR="009A460A" w:rsidRPr="00626752">
        <w:rPr>
          <w:rFonts w:ascii="Garamond" w:hAnsi="Garamond"/>
          <w:sz w:val="22"/>
          <w:szCs w:val="22"/>
        </w:rPr>
        <w:t>.</w:t>
      </w:r>
    </w:p>
    <w:p w14:paraId="62EC146A" w14:textId="77777777" w:rsidR="009A460A" w:rsidRPr="00626752" w:rsidRDefault="009A460A" w:rsidP="00E45D05">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Risks </w:t>
      </w:r>
      <w:r w:rsidR="00E45D05" w:rsidRPr="00626752">
        <w:rPr>
          <w:rFonts w:ascii="Garamond" w:hAnsi="Garamond"/>
          <w:sz w:val="22"/>
          <w:szCs w:val="22"/>
        </w:rPr>
        <w:t>to</w:t>
      </w:r>
      <w:r w:rsidRPr="00626752">
        <w:rPr>
          <w:rFonts w:ascii="Garamond" w:hAnsi="Garamond"/>
          <w:sz w:val="22"/>
          <w:szCs w:val="22"/>
        </w:rPr>
        <w:t xml:space="preserve"> capital outflow from developing countries </w:t>
      </w:r>
      <w:r w:rsidR="00E45D05" w:rsidRPr="00626752">
        <w:rPr>
          <w:rFonts w:ascii="Garamond" w:hAnsi="Garamond"/>
          <w:sz w:val="22"/>
          <w:szCs w:val="22"/>
        </w:rPr>
        <w:t>on the back of further</w:t>
      </w:r>
      <w:r w:rsidRPr="00626752">
        <w:rPr>
          <w:rFonts w:ascii="Garamond" w:hAnsi="Garamond"/>
          <w:sz w:val="22"/>
          <w:szCs w:val="22"/>
        </w:rPr>
        <w:t xml:space="preserve"> t</w:t>
      </w:r>
      <w:r w:rsidR="00E45D05" w:rsidRPr="00626752">
        <w:rPr>
          <w:rFonts w:ascii="Garamond" w:hAnsi="Garamond"/>
          <w:sz w:val="22"/>
          <w:szCs w:val="22"/>
        </w:rPr>
        <w:t xml:space="preserve">ightened </w:t>
      </w:r>
      <w:r w:rsidRPr="00626752">
        <w:rPr>
          <w:rFonts w:ascii="Garamond" w:hAnsi="Garamond"/>
          <w:sz w:val="22"/>
          <w:szCs w:val="22"/>
        </w:rPr>
        <w:t>monetary policy conditions in developed countries.</w:t>
      </w:r>
    </w:p>
    <w:p w14:paraId="15D81EC5" w14:textId="77777777" w:rsidR="00E45D05" w:rsidRPr="00626752" w:rsidRDefault="00E45D05" w:rsidP="00E45D05">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I</w:t>
      </w:r>
      <w:r w:rsidR="00934823" w:rsidRPr="00626752">
        <w:rPr>
          <w:rFonts w:ascii="Garamond" w:hAnsi="Garamond"/>
          <w:sz w:val="22"/>
          <w:szCs w:val="22"/>
        </w:rPr>
        <w:t xml:space="preserve">f </w:t>
      </w:r>
      <w:r w:rsidRPr="00626752">
        <w:rPr>
          <w:rFonts w:ascii="Garamond" w:hAnsi="Garamond"/>
          <w:sz w:val="22"/>
          <w:szCs w:val="22"/>
        </w:rPr>
        <w:t xml:space="preserve">the aforementioned risks materialize, </w:t>
      </w:r>
      <w:r w:rsidR="00934823" w:rsidRPr="00626752">
        <w:rPr>
          <w:rFonts w:ascii="Garamond" w:hAnsi="Garamond"/>
          <w:sz w:val="22"/>
          <w:szCs w:val="22"/>
        </w:rPr>
        <w:t xml:space="preserve">the inflation will incur an added impact of </w:t>
      </w:r>
      <w:r w:rsidRPr="00626752">
        <w:rPr>
          <w:rFonts w:ascii="Garamond" w:hAnsi="Garamond"/>
          <w:sz w:val="22"/>
          <w:szCs w:val="22"/>
        </w:rPr>
        <w:t xml:space="preserve">inflationary pressures from the external sector, </w:t>
      </w:r>
      <w:r w:rsidR="00934823" w:rsidRPr="00626752">
        <w:rPr>
          <w:rFonts w:ascii="Garamond" w:hAnsi="Garamond"/>
          <w:sz w:val="22"/>
          <w:szCs w:val="22"/>
        </w:rPr>
        <w:t xml:space="preserve">in </w:t>
      </w:r>
      <w:r w:rsidRPr="00626752">
        <w:rPr>
          <w:rFonts w:ascii="Garamond" w:hAnsi="Garamond"/>
          <w:sz w:val="22"/>
          <w:szCs w:val="22"/>
        </w:rPr>
        <w:t xml:space="preserve">which </w:t>
      </w:r>
      <w:r w:rsidR="002D15E1">
        <w:rPr>
          <w:rFonts w:ascii="Garamond" w:hAnsi="Garamond"/>
          <w:sz w:val="22"/>
          <w:szCs w:val="22"/>
        </w:rPr>
        <w:t xml:space="preserve">case more </w:t>
      </w:r>
      <w:r w:rsidRPr="00626752">
        <w:rPr>
          <w:rFonts w:ascii="Garamond" w:hAnsi="Garamond"/>
          <w:sz w:val="22"/>
          <w:szCs w:val="22"/>
        </w:rPr>
        <w:t xml:space="preserve">tightening </w:t>
      </w:r>
      <w:r w:rsidR="002D15E1">
        <w:rPr>
          <w:rFonts w:ascii="Garamond" w:hAnsi="Garamond"/>
          <w:sz w:val="22"/>
          <w:szCs w:val="22"/>
        </w:rPr>
        <w:t xml:space="preserve">of </w:t>
      </w:r>
      <w:r w:rsidRPr="00626752">
        <w:rPr>
          <w:rFonts w:ascii="Garamond" w:hAnsi="Garamond"/>
          <w:sz w:val="22"/>
          <w:szCs w:val="22"/>
        </w:rPr>
        <w:t xml:space="preserve">monetary conditions </w:t>
      </w:r>
      <w:r w:rsidR="00934823" w:rsidRPr="00626752">
        <w:rPr>
          <w:rFonts w:ascii="Garamond" w:hAnsi="Garamond"/>
          <w:sz w:val="22"/>
          <w:szCs w:val="22"/>
        </w:rPr>
        <w:t>would be needed</w:t>
      </w:r>
      <w:r w:rsidRPr="00626752">
        <w:rPr>
          <w:rFonts w:ascii="Garamond" w:hAnsi="Garamond"/>
          <w:sz w:val="22"/>
          <w:szCs w:val="22"/>
        </w:rPr>
        <w:t>.</w:t>
      </w:r>
    </w:p>
    <w:p w14:paraId="1F213380" w14:textId="77777777" w:rsidR="00EE00FC" w:rsidRPr="00626752" w:rsidRDefault="0072461A" w:rsidP="00EE00FC">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Second </w:t>
      </w:r>
      <w:r w:rsidRPr="00626752">
        <w:rPr>
          <w:rFonts w:ascii="Garamond" w:hAnsi="Garamond"/>
          <w:sz w:val="22"/>
          <w:szCs w:val="22"/>
        </w:rPr>
        <w:t xml:space="preserve">group factors </w:t>
      </w:r>
      <w:r>
        <w:rPr>
          <w:rFonts w:ascii="Garamond" w:hAnsi="Garamond"/>
          <w:sz w:val="22"/>
          <w:szCs w:val="22"/>
        </w:rPr>
        <w:t xml:space="preserve">derive from the </w:t>
      </w:r>
      <w:r w:rsidR="00EE00FC" w:rsidRPr="00626752">
        <w:rPr>
          <w:rFonts w:ascii="Garamond" w:hAnsi="Garamond"/>
          <w:sz w:val="22"/>
          <w:szCs w:val="22"/>
        </w:rPr>
        <w:t>developments in the domestic economy:</w:t>
      </w:r>
    </w:p>
    <w:p w14:paraId="57C1775C" w14:textId="77777777" w:rsidR="00EE00FC" w:rsidRPr="00626752" w:rsidRDefault="00EE00FC" w:rsidP="00EE00FC">
      <w:pPr>
        <w:pStyle w:val="ListParagraph"/>
        <w:numPr>
          <w:ilvl w:val="0"/>
          <w:numId w:val="6"/>
        </w:num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A lasting growth of demand and, particularly, consumption</w:t>
      </w:r>
    </w:p>
    <w:p w14:paraId="340CF7AA" w14:textId="77777777" w:rsidR="00EE00FC" w:rsidRPr="00626752" w:rsidRDefault="00C20830" w:rsidP="00EE00FC">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According to the assumptions underlying the Central Bank forecasts, c</w:t>
      </w:r>
      <w:r w:rsidR="00EE00FC" w:rsidRPr="00626752">
        <w:rPr>
          <w:rFonts w:ascii="Garamond" w:hAnsi="Garamond"/>
          <w:sz w:val="22"/>
          <w:szCs w:val="22"/>
        </w:rPr>
        <w:t>urrent</w:t>
      </w:r>
      <w:r w:rsidRPr="00626752">
        <w:rPr>
          <w:rFonts w:ascii="Garamond" w:hAnsi="Garamond"/>
          <w:sz w:val="22"/>
          <w:szCs w:val="22"/>
        </w:rPr>
        <w:t>ly</w:t>
      </w:r>
      <w:r w:rsidR="00EE00FC" w:rsidRPr="00626752">
        <w:rPr>
          <w:rFonts w:ascii="Garamond" w:hAnsi="Garamond"/>
          <w:sz w:val="22"/>
          <w:szCs w:val="22"/>
        </w:rPr>
        <w:t xml:space="preserve"> </w:t>
      </w:r>
      <w:r w:rsidRPr="00626752">
        <w:rPr>
          <w:rFonts w:ascii="Garamond" w:hAnsi="Garamond"/>
          <w:sz w:val="22"/>
          <w:szCs w:val="22"/>
        </w:rPr>
        <w:t xml:space="preserve">high </w:t>
      </w:r>
      <w:r w:rsidR="00EE00FC" w:rsidRPr="00626752">
        <w:rPr>
          <w:rFonts w:ascii="Garamond" w:hAnsi="Garamond"/>
          <w:sz w:val="22"/>
          <w:szCs w:val="22"/>
        </w:rPr>
        <w:t xml:space="preserve">indicators of </w:t>
      </w:r>
      <w:r w:rsidRPr="00626752">
        <w:rPr>
          <w:rFonts w:ascii="Garamond" w:hAnsi="Garamond"/>
          <w:sz w:val="22"/>
          <w:szCs w:val="22"/>
        </w:rPr>
        <w:t xml:space="preserve">rebounding </w:t>
      </w:r>
      <w:r w:rsidR="00EE00FC" w:rsidRPr="00626752">
        <w:rPr>
          <w:rFonts w:ascii="Garamond" w:hAnsi="Garamond"/>
          <w:sz w:val="22"/>
          <w:szCs w:val="22"/>
        </w:rPr>
        <w:t xml:space="preserve">consumption and demand partly </w:t>
      </w:r>
      <w:r w:rsidRPr="00626752">
        <w:rPr>
          <w:rFonts w:ascii="Garamond" w:hAnsi="Garamond"/>
          <w:sz w:val="22"/>
          <w:szCs w:val="22"/>
        </w:rPr>
        <w:t>owe</w:t>
      </w:r>
      <w:r w:rsidR="00EE00FC" w:rsidRPr="00626752">
        <w:rPr>
          <w:rFonts w:ascii="Garamond" w:hAnsi="Garamond"/>
          <w:sz w:val="22"/>
          <w:szCs w:val="22"/>
        </w:rPr>
        <w:t xml:space="preserve"> to the </w:t>
      </w:r>
      <w:r w:rsidRPr="00626752">
        <w:rPr>
          <w:rFonts w:ascii="Garamond" w:hAnsi="Garamond"/>
          <w:sz w:val="22"/>
          <w:szCs w:val="22"/>
        </w:rPr>
        <w:t xml:space="preserve">offset for </w:t>
      </w:r>
      <w:r w:rsidR="00EE00FC" w:rsidRPr="00626752">
        <w:rPr>
          <w:rFonts w:ascii="Garamond" w:hAnsi="Garamond"/>
          <w:sz w:val="22"/>
          <w:szCs w:val="22"/>
        </w:rPr>
        <w:t>reduc</w:t>
      </w:r>
      <w:r w:rsidRPr="00626752">
        <w:rPr>
          <w:rFonts w:ascii="Garamond" w:hAnsi="Garamond"/>
          <w:sz w:val="22"/>
          <w:szCs w:val="22"/>
        </w:rPr>
        <w:t xml:space="preserve">ed </w:t>
      </w:r>
      <w:r w:rsidR="00EE00FC" w:rsidRPr="00626752">
        <w:rPr>
          <w:rFonts w:ascii="Garamond" w:hAnsi="Garamond"/>
          <w:sz w:val="22"/>
          <w:szCs w:val="22"/>
        </w:rPr>
        <w:t xml:space="preserve">consumption in recent years, so they will have </w:t>
      </w:r>
      <w:r w:rsidR="00EE00FC" w:rsidRPr="00626752">
        <w:rPr>
          <w:rFonts w:ascii="Garamond" w:hAnsi="Garamond"/>
          <w:sz w:val="22"/>
          <w:szCs w:val="22"/>
        </w:rPr>
        <w:lastRenderedPageBreak/>
        <w:t xml:space="preserve">a short-term nature. Nevertheless, there is </w:t>
      </w:r>
      <w:r w:rsidRPr="00626752">
        <w:rPr>
          <w:rFonts w:ascii="Garamond" w:hAnsi="Garamond"/>
          <w:sz w:val="22"/>
          <w:szCs w:val="22"/>
        </w:rPr>
        <w:t>l</w:t>
      </w:r>
      <w:r w:rsidR="00EE00FC" w:rsidRPr="00626752">
        <w:rPr>
          <w:rFonts w:ascii="Garamond" w:hAnsi="Garamond"/>
          <w:sz w:val="22"/>
          <w:szCs w:val="22"/>
        </w:rPr>
        <w:t>ikelihood that the curre</w:t>
      </w:r>
      <w:r w:rsidRPr="00626752">
        <w:rPr>
          <w:rFonts w:ascii="Garamond" w:hAnsi="Garamond"/>
          <w:sz w:val="22"/>
          <w:szCs w:val="22"/>
        </w:rPr>
        <w:t xml:space="preserve">nt level of indicators reflects a </w:t>
      </w:r>
      <w:r w:rsidR="00EE00FC" w:rsidRPr="00626752">
        <w:rPr>
          <w:rFonts w:ascii="Garamond" w:hAnsi="Garamond"/>
          <w:sz w:val="22"/>
          <w:szCs w:val="22"/>
        </w:rPr>
        <w:t>st</w:t>
      </w:r>
      <w:r w:rsidRPr="00626752">
        <w:rPr>
          <w:rFonts w:ascii="Garamond" w:hAnsi="Garamond"/>
          <w:sz w:val="22"/>
          <w:szCs w:val="22"/>
        </w:rPr>
        <w:t xml:space="preserve">eadier </w:t>
      </w:r>
      <w:r w:rsidR="00EE00FC" w:rsidRPr="00626752">
        <w:rPr>
          <w:rFonts w:ascii="Garamond" w:hAnsi="Garamond"/>
          <w:sz w:val="22"/>
          <w:szCs w:val="22"/>
        </w:rPr>
        <w:t>growth of demand, in which c</w:t>
      </w:r>
      <w:r w:rsidR="00827B52" w:rsidRPr="00626752">
        <w:rPr>
          <w:rFonts w:ascii="Garamond" w:hAnsi="Garamond"/>
          <w:sz w:val="22"/>
          <w:szCs w:val="22"/>
        </w:rPr>
        <w:t xml:space="preserve">ircumstance </w:t>
      </w:r>
      <w:r w:rsidR="00EE00FC" w:rsidRPr="00626752">
        <w:rPr>
          <w:rFonts w:ascii="Garamond" w:hAnsi="Garamond"/>
          <w:sz w:val="22"/>
          <w:szCs w:val="22"/>
        </w:rPr>
        <w:t>further inflationary pressures are possible.</w:t>
      </w:r>
    </w:p>
    <w:p w14:paraId="7085F62B" w14:textId="77777777" w:rsidR="00EE00FC" w:rsidRPr="00D05552" w:rsidRDefault="003F7BD8" w:rsidP="00EE00FC">
      <w:pPr>
        <w:autoSpaceDE w:val="0"/>
        <w:autoSpaceDN w:val="0"/>
        <w:adjustRightInd w:val="0"/>
        <w:spacing w:after="120" w:line="360" w:lineRule="auto"/>
        <w:jc w:val="both"/>
        <w:rPr>
          <w:rFonts w:ascii="Garamond" w:hAnsi="Garamond"/>
          <w:b/>
          <w:sz w:val="22"/>
          <w:szCs w:val="22"/>
        </w:rPr>
      </w:pPr>
      <w:r w:rsidRPr="00D05552">
        <w:rPr>
          <w:rFonts w:ascii="Garamond" w:hAnsi="Garamond"/>
          <w:b/>
          <w:sz w:val="22"/>
          <w:szCs w:val="22"/>
        </w:rPr>
        <w:t>In the forecast horizon, th</w:t>
      </w:r>
      <w:r w:rsidR="00EE00FC" w:rsidRPr="00D05552">
        <w:rPr>
          <w:rFonts w:ascii="Garamond" w:hAnsi="Garamond"/>
          <w:b/>
          <w:sz w:val="22"/>
          <w:szCs w:val="22"/>
        </w:rPr>
        <w:t xml:space="preserve">e risks </w:t>
      </w:r>
      <w:r w:rsidRPr="00D05552">
        <w:rPr>
          <w:rFonts w:ascii="Garamond" w:hAnsi="Garamond"/>
          <w:b/>
          <w:sz w:val="22"/>
          <w:szCs w:val="22"/>
        </w:rPr>
        <w:t>to</w:t>
      </w:r>
      <w:r w:rsidR="00EE00FC" w:rsidRPr="00D05552">
        <w:rPr>
          <w:rFonts w:ascii="Garamond" w:hAnsi="Garamond"/>
          <w:b/>
          <w:sz w:val="22"/>
          <w:szCs w:val="22"/>
        </w:rPr>
        <w:t xml:space="preserve"> economic growth are </w:t>
      </w:r>
      <w:r w:rsidR="0072461A" w:rsidRPr="00D05552">
        <w:rPr>
          <w:rFonts w:ascii="Garamond" w:hAnsi="Garamond"/>
          <w:b/>
          <w:sz w:val="22"/>
          <w:szCs w:val="22"/>
        </w:rPr>
        <w:t xml:space="preserve">dual-sided; upside risks </w:t>
      </w:r>
      <w:r w:rsidR="00D05552" w:rsidRPr="00D05552">
        <w:rPr>
          <w:rFonts w:ascii="Garamond" w:hAnsi="Garamond"/>
          <w:b/>
          <w:sz w:val="22"/>
          <w:szCs w:val="22"/>
        </w:rPr>
        <w:t>prevail, however.</w:t>
      </w:r>
    </w:p>
    <w:p w14:paraId="5E41BF6A" w14:textId="77777777" w:rsidR="00EE00FC" w:rsidRPr="00626752" w:rsidRDefault="00D05552" w:rsidP="00EE00FC">
      <w:pPr>
        <w:autoSpaceDE w:val="0"/>
        <w:autoSpaceDN w:val="0"/>
        <w:adjustRightInd w:val="0"/>
        <w:spacing w:after="120" w:line="360" w:lineRule="auto"/>
        <w:jc w:val="both"/>
        <w:rPr>
          <w:rFonts w:ascii="Garamond" w:hAnsi="Garamond"/>
          <w:sz w:val="22"/>
          <w:szCs w:val="22"/>
        </w:rPr>
      </w:pPr>
      <w:r w:rsidRPr="00D05552">
        <w:rPr>
          <w:rFonts w:ascii="Garamond" w:hAnsi="Garamond"/>
          <w:sz w:val="22"/>
          <w:szCs w:val="22"/>
        </w:rPr>
        <w:t xml:space="preserve">In addition to the </w:t>
      </w:r>
      <w:r>
        <w:rPr>
          <w:rFonts w:ascii="Garamond" w:hAnsi="Garamond"/>
          <w:sz w:val="22"/>
          <w:szCs w:val="22"/>
        </w:rPr>
        <w:t xml:space="preserve">above </w:t>
      </w:r>
      <w:r w:rsidRPr="00D05552">
        <w:rPr>
          <w:rFonts w:ascii="Garamond" w:hAnsi="Garamond"/>
          <w:sz w:val="22"/>
          <w:szCs w:val="22"/>
        </w:rPr>
        <w:t xml:space="preserve">medium-term cyclical risks </w:t>
      </w:r>
      <w:r>
        <w:rPr>
          <w:rFonts w:ascii="Garamond" w:hAnsi="Garamond"/>
          <w:sz w:val="22"/>
          <w:szCs w:val="22"/>
        </w:rPr>
        <w:t xml:space="preserve">to </w:t>
      </w:r>
      <w:r w:rsidRPr="00D05552">
        <w:rPr>
          <w:rFonts w:ascii="Garamond" w:hAnsi="Garamond"/>
          <w:sz w:val="22"/>
          <w:szCs w:val="22"/>
        </w:rPr>
        <w:t>inflation and econom</w:t>
      </w:r>
      <w:r>
        <w:rPr>
          <w:rFonts w:ascii="Garamond" w:hAnsi="Garamond"/>
          <w:sz w:val="22"/>
          <w:szCs w:val="22"/>
        </w:rPr>
        <w:t>ic growth</w:t>
      </w:r>
      <w:r w:rsidRPr="00D05552">
        <w:rPr>
          <w:rFonts w:ascii="Garamond" w:hAnsi="Garamond"/>
          <w:sz w:val="22"/>
          <w:szCs w:val="22"/>
        </w:rPr>
        <w:t xml:space="preserve">, </w:t>
      </w:r>
      <w:r>
        <w:rPr>
          <w:rFonts w:ascii="Garamond" w:hAnsi="Garamond"/>
          <w:sz w:val="22"/>
          <w:szCs w:val="22"/>
        </w:rPr>
        <w:t xml:space="preserve">more mid-term risks </w:t>
      </w:r>
      <w:r w:rsidRPr="00D05552">
        <w:rPr>
          <w:rFonts w:ascii="Garamond" w:hAnsi="Garamond"/>
          <w:sz w:val="22"/>
          <w:szCs w:val="22"/>
        </w:rPr>
        <w:t>associated with economic growth</w:t>
      </w:r>
      <w:r>
        <w:rPr>
          <w:rFonts w:ascii="Garamond" w:hAnsi="Garamond"/>
          <w:sz w:val="22"/>
          <w:szCs w:val="22"/>
        </w:rPr>
        <w:t xml:space="preserve"> potential include</w:t>
      </w:r>
      <w:r w:rsidR="00EE00FC" w:rsidRPr="00626752">
        <w:rPr>
          <w:rFonts w:ascii="Garamond" w:hAnsi="Garamond"/>
          <w:sz w:val="22"/>
          <w:szCs w:val="22"/>
        </w:rPr>
        <w:t>:</w:t>
      </w:r>
    </w:p>
    <w:p w14:paraId="1B591FA6" w14:textId="77777777" w:rsidR="00EE00FC" w:rsidRDefault="00D05552"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the extent and impact of the Government-led structural reforms and investment promotion policies,</w:t>
      </w:r>
    </w:p>
    <w:p w14:paraId="451FEA7D" w14:textId="77777777" w:rsidR="00D05552" w:rsidRDefault="00D05552"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economic </w:t>
      </w:r>
      <w:r>
        <w:rPr>
          <w:rFonts w:ascii="Garamond" w:hAnsi="Garamond"/>
          <w:sz w:val="22"/>
          <w:szCs w:val="22"/>
        </w:rPr>
        <w:t xml:space="preserve">effect from the </w:t>
      </w:r>
      <w:proofErr w:type="spellStart"/>
      <w:r w:rsidRPr="00626752">
        <w:rPr>
          <w:rFonts w:ascii="Garamond" w:hAnsi="Garamond"/>
          <w:sz w:val="22"/>
          <w:szCs w:val="22"/>
        </w:rPr>
        <w:t>Amulsar</w:t>
      </w:r>
      <w:proofErr w:type="spellEnd"/>
      <w:r w:rsidRPr="00626752">
        <w:rPr>
          <w:rFonts w:ascii="Garamond" w:hAnsi="Garamond"/>
          <w:sz w:val="22"/>
          <w:szCs w:val="22"/>
        </w:rPr>
        <w:t xml:space="preserve"> mine operation,</w:t>
      </w:r>
    </w:p>
    <w:p w14:paraId="74738650" w14:textId="77777777" w:rsidR="00D05552" w:rsidRDefault="00D05552" w:rsidP="00EE00FC">
      <w:pPr>
        <w:pStyle w:val="ListParagraph"/>
        <w:numPr>
          <w:ilvl w:val="0"/>
          <w:numId w:val="6"/>
        </w:num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uncertainties </w:t>
      </w:r>
      <w:r w:rsidR="00590C2B">
        <w:rPr>
          <w:rFonts w:ascii="Garamond" w:hAnsi="Garamond"/>
          <w:sz w:val="22"/>
          <w:szCs w:val="22"/>
        </w:rPr>
        <w:t xml:space="preserve">over </w:t>
      </w:r>
      <w:r w:rsidRPr="00626752">
        <w:rPr>
          <w:rFonts w:ascii="Garamond" w:hAnsi="Garamond"/>
          <w:sz w:val="22"/>
          <w:szCs w:val="22"/>
        </w:rPr>
        <w:t>exploring new export markets and creating new products by businesses.</w:t>
      </w:r>
    </w:p>
    <w:p w14:paraId="0EF4A127" w14:textId="77777777" w:rsidR="00933B63" w:rsidRPr="00626752" w:rsidRDefault="00933B63"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 ACTUAL DEVELOPMENTS IN Q</w:t>
      </w:r>
      <w:r w:rsidR="00530CFA">
        <w:rPr>
          <w:rFonts w:ascii="Garamond" w:hAnsi="Garamond"/>
          <w:b/>
          <w:color w:val="0070C0"/>
          <w:sz w:val="22"/>
          <w:szCs w:val="22"/>
        </w:rPr>
        <w:t>4</w:t>
      </w:r>
      <w:r w:rsidRPr="00626752">
        <w:rPr>
          <w:rFonts w:ascii="Garamond" w:hAnsi="Garamond"/>
          <w:b/>
          <w:color w:val="0070C0"/>
          <w:sz w:val="22"/>
          <w:szCs w:val="22"/>
        </w:rPr>
        <w:t>, 2017</w:t>
      </w:r>
    </w:p>
    <w:p w14:paraId="59D712D5" w14:textId="77777777" w:rsidR="00933B63" w:rsidRPr="00626752" w:rsidRDefault="00933B63"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3.1. Inflation</w:t>
      </w:r>
    </w:p>
    <w:p w14:paraId="2AFA6207" w14:textId="77777777" w:rsidR="00933B63" w:rsidRPr="00626752" w:rsidRDefault="00933B63"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3.1.1. Fulfilment of the inflation target</w:t>
      </w:r>
    </w:p>
    <w:p w14:paraId="628F688E" w14:textId="77777777" w:rsidR="00A374BA" w:rsidRPr="00626752" w:rsidRDefault="00A374BA" w:rsidP="00933B63">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For the previous</w:t>
      </w:r>
      <w:r w:rsidR="00530CFA">
        <w:rPr>
          <w:rFonts w:ascii="Garamond" w:hAnsi="Garamond"/>
          <w:b/>
          <w:sz w:val="22"/>
          <w:szCs w:val="22"/>
        </w:rPr>
        <w:t xml:space="preserve"> one-year horizon, which covers the entire year 2017, </w:t>
      </w:r>
      <w:r w:rsidRPr="00626752">
        <w:rPr>
          <w:rFonts w:ascii="Garamond" w:hAnsi="Garamond"/>
          <w:sz w:val="22"/>
          <w:szCs w:val="22"/>
        </w:rPr>
        <w:t xml:space="preserve">the </w:t>
      </w:r>
      <w:r w:rsidR="00530CFA" w:rsidRPr="00530CFA">
        <w:rPr>
          <w:rFonts w:ascii="Garamond" w:hAnsi="Garamond"/>
          <w:sz w:val="22"/>
          <w:szCs w:val="22"/>
        </w:rPr>
        <w:t xml:space="preserve">inflation environment would continue to expand, in line with anticipated macroeconomic developments, </w:t>
      </w:r>
      <w:r w:rsidR="0079790B">
        <w:rPr>
          <w:rFonts w:ascii="Garamond" w:hAnsi="Garamond"/>
          <w:sz w:val="22"/>
          <w:szCs w:val="22"/>
        </w:rPr>
        <w:t>but</w:t>
      </w:r>
      <w:r w:rsidR="00530CFA" w:rsidRPr="00530CFA">
        <w:rPr>
          <w:rFonts w:ascii="Garamond" w:hAnsi="Garamond"/>
          <w:sz w:val="22"/>
          <w:szCs w:val="22"/>
        </w:rPr>
        <w:t xml:space="preserve"> </w:t>
      </w:r>
      <w:r w:rsidR="00530CFA" w:rsidRPr="0079790B">
        <w:rPr>
          <w:rFonts w:ascii="Garamond" w:hAnsi="Garamond"/>
          <w:b/>
          <w:sz w:val="22"/>
          <w:szCs w:val="22"/>
        </w:rPr>
        <w:t xml:space="preserve">the 12-month inflation </w:t>
      </w:r>
      <w:r w:rsidR="0079790B" w:rsidRPr="0079790B">
        <w:rPr>
          <w:rFonts w:ascii="Garamond" w:hAnsi="Garamond"/>
          <w:b/>
          <w:sz w:val="22"/>
          <w:szCs w:val="22"/>
        </w:rPr>
        <w:t>rate</w:t>
      </w:r>
      <w:r w:rsidR="0079790B">
        <w:rPr>
          <w:rFonts w:ascii="Garamond" w:hAnsi="Garamond"/>
          <w:sz w:val="22"/>
          <w:szCs w:val="22"/>
        </w:rPr>
        <w:t xml:space="preserve"> </w:t>
      </w:r>
      <w:r w:rsidR="00530CFA" w:rsidRPr="00530CFA">
        <w:rPr>
          <w:rFonts w:ascii="Garamond" w:hAnsi="Garamond"/>
          <w:sz w:val="22"/>
          <w:szCs w:val="22"/>
        </w:rPr>
        <w:t>w</w:t>
      </w:r>
      <w:r w:rsidR="0079790B">
        <w:rPr>
          <w:rFonts w:ascii="Garamond" w:hAnsi="Garamond"/>
          <w:sz w:val="22"/>
          <w:szCs w:val="22"/>
        </w:rPr>
        <w:t xml:space="preserve">ould still be running below the lower bound of the confidence band over the year, </w:t>
      </w:r>
      <w:r w:rsidR="0079790B" w:rsidRPr="0079790B">
        <w:rPr>
          <w:rFonts w:ascii="Garamond" w:hAnsi="Garamond"/>
          <w:sz w:val="22"/>
          <w:szCs w:val="22"/>
        </w:rPr>
        <w:t xml:space="preserve">according to Monetary Policy Program for the </w:t>
      </w:r>
      <w:r w:rsidR="0079790B">
        <w:rPr>
          <w:rFonts w:ascii="Garamond" w:hAnsi="Garamond"/>
          <w:sz w:val="22"/>
          <w:szCs w:val="22"/>
        </w:rPr>
        <w:t>f</w:t>
      </w:r>
      <w:r w:rsidR="0079790B" w:rsidRPr="0079790B">
        <w:rPr>
          <w:rFonts w:ascii="Garamond" w:hAnsi="Garamond"/>
          <w:sz w:val="22"/>
          <w:szCs w:val="22"/>
        </w:rPr>
        <w:t xml:space="preserve">irst </w:t>
      </w:r>
      <w:r w:rsidR="0079790B">
        <w:rPr>
          <w:rFonts w:ascii="Garamond" w:hAnsi="Garamond"/>
          <w:sz w:val="22"/>
          <w:szCs w:val="22"/>
        </w:rPr>
        <w:t>q</w:t>
      </w:r>
      <w:r w:rsidR="0079790B" w:rsidRPr="0079790B">
        <w:rPr>
          <w:rFonts w:ascii="Garamond" w:hAnsi="Garamond"/>
          <w:sz w:val="22"/>
          <w:szCs w:val="22"/>
        </w:rPr>
        <w:t>uarter</w:t>
      </w:r>
      <w:r w:rsidR="0079790B">
        <w:rPr>
          <w:rFonts w:ascii="Garamond" w:hAnsi="Garamond"/>
          <w:sz w:val="22"/>
          <w:szCs w:val="22"/>
        </w:rPr>
        <w:t xml:space="preserve"> of 2017. </w:t>
      </w:r>
      <w:r w:rsidR="003570A3" w:rsidRPr="003570A3">
        <w:rPr>
          <w:rFonts w:ascii="Garamond" w:hAnsi="Garamond"/>
          <w:sz w:val="22"/>
          <w:szCs w:val="22"/>
        </w:rPr>
        <w:t xml:space="preserve">At the same time, </w:t>
      </w:r>
      <w:r w:rsidR="003570A3">
        <w:rPr>
          <w:rFonts w:ascii="Garamond" w:hAnsi="Garamond"/>
          <w:sz w:val="22"/>
          <w:szCs w:val="22"/>
        </w:rPr>
        <w:t xml:space="preserve">in consideration of core inflation, revised downside in comparison with the previous forecast, </w:t>
      </w:r>
      <w:r w:rsidR="003570A3" w:rsidRPr="003570A3">
        <w:rPr>
          <w:rFonts w:ascii="Garamond" w:hAnsi="Garamond"/>
          <w:sz w:val="22"/>
          <w:szCs w:val="22"/>
        </w:rPr>
        <w:t>expect</w:t>
      </w:r>
      <w:r w:rsidR="00636ECE">
        <w:rPr>
          <w:rFonts w:ascii="Garamond" w:hAnsi="Garamond"/>
          <w:sz w:val="22"/>
          <w:szCs w:val="22"/>
        </w:rPr>
        <w:t xml:space="preserve">ation of </w:t>
      </w:r>
      <w:r w:rsidR="003570A3" w:rsidRPr="003570A3">
        <w:rPr>
          <w:rFonts w:ascii="Garamond" w:hAnsi="Garamond"/>
          <w:sz w:val="22"/>
          <w:szCs w:val="22"/>
        </w:rPr>
        <w:t>low</w:t>
      </w:r>
      <w:r w:rsidR="00636ECE">
        <w:rPr>
          <w:rFonts w:ascii="Garamond" w:hAnsi="Garamond"/>
          <w:sz w:val="22"/>
          <w:szCs w:val="22"/>
        </w:rPr>
        <w:t>er</w:t>
      </w:r>
      <w:r w:rsidR="003570A3" w:rsidRPr="003570A3">
        <w:rPr>
          <w:rFonts w:ascii="Garamond" w:hAnsi="Garamond"/>
          <w:sz w:val="22"/>
          <w:szCs w:val="22"/>
        </w:rPr>
        <w:t xml:space="preserve"> prices for some non-food </w:t>
      </w:r>
      <w:r w:rsidR="003570A3">
        <w:rPr>
          <w:rFonts w:ascii="Garamond" w:hAnsi="Garamond"/>
          <w:sz w:val="22"/>
          <w:szCs w:val="22"/>
        </w:rPr>
        <w:t>goods</w:t>
      </w:r>
      <w:r w:rsidR="003570A3" w:rsidRPr="003570A3">
        <w:rPr>
          <w:rFonts w:ascii="Garamond" w:hAnsi="Garamond"/>
          <w:sz w:val="22"/>
          <w:szCs w:val="22"/>
        </w:rPr>
        <w:t>, as well as</w:t>
      </w:r>
      <w:r w:rsidR="003570A3">
        <w:rPr>
          <w:rFonts w:ascii="Garamond" w:hAnsi="Garamond"/>
          <w:sz w:val="22"/>
          <w:szCs w:val="22"/>
        </w:rPr>
        <w:t xml:space="preserve"> </w:t>
      </w:r>
      <w:r w:rsidR="00636ECE">
        <w:rPr>
          <w:rFonts w:ascii="Garamond" w:hAnsi="Garamond"/>
          <w:sz w:val="22"/>
          <w:szCs w:val="22"/>
        </w:rPr>
        <w:t xml:space="preserve">natural gas and </w:t>
      </w:r>
      <w:r w:rsidR="00636ECE" w:rsidRPr="003570A3">
        <w:rPr>
          <w:rFonts w:ascii="Garamond" w:hAnsi="Garamond"/>
          <w:sz w:val="22"/>
          <w:szCs w:val="22"/>
        </w:rPr>
        <w:t>electricity</w:t>
      </w:r>
      <w:r w:rsidR="00636ECE">
        <w:rPr>
          <w:rFonts w:ascii="Garamond" w:hAnsi="Garamond"/>
          <w:sz w:val="22"/>
          <w:szCs w:val="22"/>
        </w:rPr>
        <w:t xml:space="preserve"> tariffs, lowered for the households since </w:t>
      </w:r>
      <w:r w:rsidR="003570A3" w:rsidRPr="003570A3">
        <w:rPr>
          <w:rFonts w:ascii="Garamond" w:hAnsi="Garamond"/>
          <w:sz w:val="22"/>
          <w:szCs w:val="22"/>
        </w:rPr>
        <w:t xml:space="preserve">January </w:t>
      </w:r>
      <w:r w:rsidR="00636ECE">
        <w:rPr>
          <w:rFonts w:ascii="Garamond" w:hAnsi="Garamond"/>
          <w:sz w:val="22"/>
          <w:szCs w:val="22"/>
        </w:rPr>
        <w:t xml:space="preserve">and </w:t>
      </w:r>
      <w:r w:rsidR="003570A3" w:rsidRPr="003570A3">
        <w:rPr>
          <w:rFonts w:ascii="Garamond" w:hAnsi="Garamond"/>
          <w:sz w:val="22"/>
          <w:szCs w:val="22"/>
        </w:rPr>
        <w:t>February</w:t>
      </w:r>
      <w:r w:rsidR="00636ECE">
        <w:rPr>
          <w:rFonts w:ascii="Garamond" w:hAnsi="Garamond"/>
          <w:sz w:val="22"/>
          <w:szCs w:val="22"/>
        </w:rPr>
        <w:t xml:space="preserve"> of 2017, respectively</w:t>
      </w:r>
      <w:r w:rsidR="003570A3" w:rsidRPr="003570A3">
        <w:rPr>
          <w:rFonts w:ascii="Garamond" w:hAnsi="Garamond"/>
          <w:sz w:val="22"/>
          <w:szCs w:val="22"/>
        </w:rPr>
        <w:t>, the C</w:t>
      </w:r>
      <w:r w:rsidR="00636ECE">
        <w:rPr>
          <w:rFonts w:ascii="Garamond" w:hAnsi="Garamond"/>
          <w:sz w:val="22"/>
          <w:szCs w:val="22"/>
        </w:rPr>
        <w:t xml:space="preserve">entral </w:t>
      </w:r>
      <w:r w:rsidR="003570A3" w:rsidRPr="003570A3">
        <w:rPr>
          <w:rFonts w:ascii="Garamond" w:hAnsi="Garamond"/>
          <w:sz w:val="22"/>
          <w:szCs w:val="22"/>
        </w:rPr>
        <w:t>B</w:t>
      </w:r>
      <w:r w:rsidR="00636ECE">
        <w:rPr>
          <w:rFonts w:ascii="Garamond" w:hAnsi="Garamond"/>
          <w:sz w:val="22"/>
          <w:szCs w:val="22"/>
        </w:rPr>
        <w:t>ank</w:t>
      </w:r>
      <w:r w:rsidR="003570A3" w:rsidRPr="003570A3">
        <w:rPr>
          <w:rFonts w:ascii="Garamond" w:hAnsi="Garamond"/>
          <w:sz w:val="22"/>
          <w:szCs w:val="22"/>
        </w:rPr>
        <w:t xml:space="preserve"> estimated that the </w:t>
      </w:r>
      <w:r w:rsidR="00636ECE">
        <w:rPr>
          <w:rFonts w:ascii="Garamond" w:hAnsi="Garamond"/>
          <w:sz w:val="22"/>
          <w:szCs w:val="22"/>
        </w:rPr>
        <w:t xml:space="preserve">path to fulfilling </w:t>
      </w:r>
      <w:r w:rsidR="003570A3" w:rsidRPr="003570A3">
        <w:rPr>
          <w:rFonts w:ascii="Garamond" w:hAnsi="Garamond"/>
          <w:sz w:val="22"/>
          <w:szCs w:val="22"/>
        </w:rPr>
        <w:t xml:space="preserve">12-month inflation target would </w:t>
      </w:r>
      <w:r w:rsidR="00636ECE">
        <w:rPr>
          <w:rFonts w:ascii="Garamond" w:hAnsi="Garamond"/>
          <w:sz w:val="22"/>
          <w:szCs w:val="22"/>
        </w:rPr>
        <w:t xml:space="preserve">take </w:t>
      </w:r>
      <w:r w:rsidR="003570A3" w:rsidRPr="003570A3">
        <w:rPr>
          <w:rFonts w:ascii="Garamond" w:hAnsi="Garamond"/>
          <w:sz w:val="22"/>
          <w:szCs w:val="22"/>
        </w:rPr>
        <w:t>slightly</w:t>
      </w:r>
      <w:r w:rsidR="00636ECE">
        <w:rPr>
          <w:rFonts w:ascii="Garamond" w:hAnsi="Garamond"/>
          <w:sz w:val="22"/>
          <w:szCs w:val="22"/>
        </w:rPr>
        <w:t xml:space="preserve"> longer than predicted </w:t>
      </w:r>
      <w:r w:rsidR="003570A3" w:rsidRPr="003570A3">
        <w:rPr>
          <w:rFonts w:ascii="Garamond" w:hAnsi="Garamond"/>
          <w:sz w:val="22"/>
          <w:szCs w:val="22"/>
        </w:rPr>
        <w:t>previous</w:t>
      </w:r>
      <w:r w:rsidR="00636ECE">
        <w:rPr>
          <w:rFonts w:ascii="Garamond" w:hAnsi="Garamond"/>
          <w:sz w:val="22"/>
          <w:szCs w:val="22"/>
        </w:rPr>
        <w:t>ly</w:t>
      </w:r>
      <w:r w:rsidR="003570A3" w:rsidRPr="003570A3">
        <w:rPr>
          <w:rFonts w:ascii="Garamond" w:hAnsi="Garamond"/>
          <w:sz w:val="22"/>
          <w:szCs w:val="22"/>
        </w:rPr>
        <w:t xml:space="preserve">. In this case, the deflationary environment was </w:t>
      </w:r>
      <w:r w:rsidR="00086DC8">
        <w:rPr>
          <w:rFonts w:ascii="Garamond" w:hAnsi="Garamond"/>
          <w:sz w:val="22"/>
          <w:szCs w:val="22"/>
        </w:rPr>
        <w:t xml:space="preserve">to </w:t>
      </w:r>
      <w:r w:rsidR="003570A3" w:rsidRPr="003570A3">
        <w:rPr>
          <w:rFonts w:ascii="Garamond" w:hAnsi="Garamond"/>
          <w:sz w:val="22"/>
          <w:szCs w:val="22"/>
        </w:rPr>
        <w:t xml:space="preserve">gradually </w:t>
      </w:r>
      <w:r w:rsidR="00086DC8">
        <w:rPr>
          <w:rFonts w:ascii="Garamond" w:hAnsi="Garamond"/>
          <w:sz w:val="22"/>
          <w:szCs w:val="22"/>
        </w:rPr>
        <w:t xml:space="preserve">eliminate </w:t>
      </w:r>
      <w:r w:rsidR="00086DC8" w:rsidRPr="003570A3">
        <w:rPr>
          <w:rFonts w:ascii="Garamond" w:hAnsi="Garamond"/>
          <w:sz w:val="22"/>
          <w:szCs w:val="22"/>
        </w:rPr>
        <w:t>by the end of the year</w:t>
      </w:r>
      <w:r w:rsidR="00086DC8">
        <w:rPr>
          <w:rFonts w:ascii="Garamond" w:hAnsi="Garamond"/>
          <w:sz w:val="22"/>
          <w:szCs w:val="22"/>
        </w:rPr>
        <w:t xml:space="preserve"> and inflation was to return to its target i</w:t>
      </w:r>
      <w:r w:rsidR="003570A3" w:rsidRPr="003570A3">
        <w:rPr>
          <w:rFonts w:ascii="Garamond" w:hAnsi="Garamond"/>
          <w:sz w:val="22"/>
          <w:szCs w:val="22"/>
        </w:rPr>
        <w:t>n the forecast horizon.</w:t>
      </w:r>
      <w:r w:rsidR="00A4603B" w:rsidRPr="00626752">
        <w:rPr>
          <w:rFonts w:ascii="Garamond" w:hAnsi="Garamond"/>
          <w:sz w:val="22"/>
          <w:szCs w:val="22"/>
        </w:rPr>
        <w:t xml:space="preserve"> </w:t>
      </w:r>
    </w:p>
    <w:p w14:paraId="32AAEA66" w14:textId="77777777" w:rsidR="00312FE7" w:rsidRPr="00E2589A" w:rsidRDefault="00E817E8" w:rsidP="00933B63">
      <w:pPr>
        <w:autoSpaceDE w:val="0"/>
        <w:autoSpaceDN w:val="0"/>
        <w:adjustRightInd w:val="0"/>
        <w:spacing w:after="120" w:line="360" w:lineRule="auto"/>
        <w:jc w:val="both"/>
        <w:rPr>
          <w:rFonts w:ascii="Garamond" w:hAnsi="Garamond"/>
          <w:sz w:val="22"/>
          <w:szCs w:val="22"/>
        </w:rPr>
      </w:pPr>
      <w:r>
        <w:rPr>
          <w:rFonts w:ascii="Garamond" w:hAnsi="Garamond"/>
          <w:b/>
          <w:sz w:val="22"/>
          <w:szCs w:val="22"/>
        </w:rPr>
        <w:t xml:space="preserve">On the back of </w:t>
      </w:r>
      <w:r w:rsidRPr="00E817E8">
        <w:rPr>
          <w:rFonts w:ascii="Garamond" w:hAnsi="Garamond"/>
          <w:b/>
          <w:sz w:val="22"/>
          <w:szCs w:val="22"/>
        </w:rPr>
        <w:t>the aforementioned factors</w:t>
      </w:r>
      <w:r>
        <w:rPr>
          <w:rFonts w:ascii="Garamond" w:hAnsi="Garamond"/>
          <w:b/>
          <w:sz w:val="22"/>
          <w:szCs w:val="22"/>
        </w:rPr>
        <w:t xml:space="preserve"> and </w:t>
      </w:r>
      <w:r w:rsidRPr="00E817E8">
        <w:rPr>
          <w:rFonts w:ascii="Garamond" w:hAnsi="Garamond"/>
          <w:b/>
          <w:sz w:val="22"/>
          <w:szCs w:val="22"/>
        </w:rPr>
        <w:t>the Government</w:t>
      </w:r>
      <w:r>
        <w:rPr>
          <w:rFonts w:ascii="Garamond" w:hAnsi="Garamond"/>
          <w:b/>
          <w:sz w:val="22"/>
          <w:szCs w:val="22"/>
        </w:rPr>
        <w:t>’s contractionary fiscal policy</w:t>
      </w:r>
      <w:r w:rsidRPr="00E817E8">
        <w:rPr>
          <w:rFonts w:ascii="Garamond" w:hAnsi="Garamond"/>
          <w:b/>
          <w:sz w:val="22"/>
          <w:szCs w:val="22"/>
        </w:rPr>
        <w:t>, as</w:t>
      </w:r>
      <w:r>
        <w:rPr>
          <w:rFonts w:ascii="Garamond" w:hAnsi="Garamond"/>
          <w:b/>
          <w:sz w:val="22"/>
          <w:szCs w:val="22"/>
        </w:rPr>
        <w:t xml:space="preserve"> opposed to</w:t>
      </w:r>
      <w:r w:rsidRPr="00E817E8">
        <w:rPr>
          <w:rFonts w:ascii="Garamond" w:hAnsi="Garamond"/>
          <w:b/>
          <w:sz w:val="22"/>
          <w:szCs w:val="22"/>
        </w:rPr>
        <w:t xml:space="preserve"> the previous year, </w:t>
      </w:r>
      <w:r>
        <w:rPr>
          <w:rFonts w:ascii="Garamond" w:hAnsi="Garamond"/>
          <w:b/>
          <w:sz w:val="22"/>
          <w:szCs w:val="22"/>
        </w:rPr>
        <w:t>the Central Bank believed that</w:t>
      </w:r>
      <w:r w:rsidRPr="00626752">
        <w:rPr>
          <w:rFonts w:ascii="Garamond" w:hAnsi="Garamond"/>
          <w:b/>
          <w:sz w:val="22"/>
          <w:szCs w:val="22"/>
        </w:rPr>
        <w:t xml:space="preserve"> easing of monetary conditions in the f</w:t>
      </w:r>
      <w:r>
        <w:rPr>
          <w:rFonts w:ascii="Garamond" w:hAnsi="Garamond"/>
          <w:b/>
          <w:sz w:val="22"/>
          <w:szCs w:val="22"/>
        </w:rPr>
        <w:t xml:space="preserve">irst </w:t>
      </w:r>
      <w:r w:rsidRPr="00626752">
        <w:rPr>
          <w:rFonts w:ascii="Garamond" w:hAnsi="Garamond"/>
          <w:b/>
          <w:sz w:val="22"/>
          <w:szCs w:val="22"/>
        </w:rPr>
        <w:t xml:space="preserve">quarter </w:t>
      </w:r>
      <w:r>
        <w:rPr>
          <w:rFonts w:ascii="Garamond" w:hAnsi="Garamond"/>
          <w:b/>
          <w:sz w:val="22"/>
          <w:szCs w:val="22"/>
        </w:rPr>
        <w:t xml:space="preserve">of 2017 </w:t>
      </w:r>
      <w:r w:rsidRPr="00626752">
        <w:rPr>
          <w:rFonts w:ascii="Garamond" w:hAnsi="Garamond"/>
          <w:b/>
          <w:sz w:val="22"/>
          <w:szCs w:val="22"/>
        </w:rPr>
        <w:t>was</w:t>
      </w:r>
      <w:r>
        <w:rPr>
          <w:rFonts w:ascii="Garamond" w:hAnsi="Garamond"/>
          <w:b/>
          <w:sz w:val="22"/>
          <w:szCs w:val="22"/>
        </w:rPr>
        <w:t xml:space="preserve"> </w:t>
      </w:r>
      <w:r w:rsidRPr="00626752">
        <w:rPr>
          <w:rFonts w:ascii="Garamond" w:hAnsi="Garamond"/>
          <w:b/>
          <w:sz w:val="22"/>
          <w:szCs w:val="22"/>
        </w:rPr>
        <w:t>still reasonable</w:t>
      </w:r>
      <w:r>
        <w:rPr>
          <w:rFonts w:ascii="Garamond" w:hAnsi="Garamond"/>
          <w:b/>
          <w:sz w:val="22"/>
          <w:szCs w:val="22"/>
        </w:rPr>
        <w:t xml:space="preserve"> and possible</w:t>
      </w:r>
      <w:r w:rsidRPr="00626752">
        <w:rPr>
          <w:rFonts w:ascii="Garamond" w:hAnsi="Garamond"/>
          <w:b/>
          <w:sz w:val="22"/>
          <w:szCs w:val="22"/>
        </w:rPr>
        <w:t>.</w:t>
      </w:r>
      <w:r>
        <w:rPr>
          <w:rFonts w:ascii="Garamond" w:hAnsi="Garamond"/>
          <w:b/>
          <w:sz w:val="22"/>
          <w:szCs w:val="22"/>
        </w:rPr>
        <w:t xml:space="preserve"> </w:t>
      </w:r>
      <w:r w:rsidR="00E2589A">
        <w:rPr>
          <w:rFonts w:ascii="Garamond" w:hAnsi="Garamond"/>
          <w:sz w:val="22"/>
          <w:szCs w:val="22"/>
        </w:rPr>
        <w:t>Also, i</w:t>
      </w:r>
      <w:r w:rsidR="00E2589A" w:rsidRPr="00626752">
        <w:rPr>
          <w:rFonts w:ascii="Garamond" w:hAnsi="Garamond"/>
          <w:sz w:val="22"/>
          <w:szCs w:val="22"/>
        </w:rPr>
        <w:t xml:space="preserve">t was estimated that </w:t>
      </w:r>
      <w:r w:rsidR="00E2589A">
        <w:rPr>
          <w:rFonts w:ascii="Garamond" w:hAnsi="Garamond"/>
          <w:sz w:val="22"/>
          <w:szCs w:val="22"/>
        </w:rPr>
        <w:t>the monetary policy implemented previously had been</w:t>
      </w:r>
      <w:r w:rsidR="00E2589A" w:rsidRPr="00626752">
        <w:rPr>
          <w:rFonts w:ascii="Garamond" w:hAnsi="Garamond"/>
          <w:sz w:val="22"/>
          <w:szCs w:val="22"/>
        </w:rPr>
        <w:t xml:space="preserve"> stimulating enough </w:t>
      </w:r>
      <w:r w:rsidR="00E2589A">
        <w:rPr>
          <w:rFonts w:ascii="Garamond" w:hAnsi="Garamond"/>
          <w:sz w:val="22"/>
          <w:szCs w:val="22"/>
        </w:rPr>
        <w:t xml:space="preserve">to end the deflationary environment and facilitate the </w:t>
      </w:r>
      <w:r w:rsidR="00E2589A" w:rsidRPr="00626752">
        <w:rPr>
          <w:rFonts w:ascii="Garamond" w:hAnsi="Garamond"/>
          <w:sz w:val="22"/>
          <w:szCs w:val="22"/>
        </w:rPr>
        <w:t>fulfilment of the target in the forecast horizon.</w:t>
      </w:r>
    </w:p>
    <w:p w14:paraId="61EF2A96" w14:textId="77777777" w:rsidR="00266CD8" w:rsidRDefault="00A1282D"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According to t</w:t>
      </w:r>
      <w:r w:rsidR="006C6A27" w:rsidRPr="00626752">
        <w:rPr>
          <w:rFonts w:ascii="Garamond" w:hAnsi="Garamond"/>
          <w:sz w:val="22"/>
          <w:szCs w:val="22"/>
        </w:rPr>
        <w:t xml:space="preserve">he </w:t>
      </w:r>
      <w:r w:rsidR="004C2F59">
        <w:rPr>
          <w:rFonts w:ascii="Garamond" w:hAnsi="Garamond"/>
          <w:sz w:val="22"/>
          <w:szCs w:val="22"/>
        </w:rPr>
        <w:t xml:space="preserve">actual </w:t>
      </w:r>
      <w:r w:rsidR="006C6A27" w:rsidRPr="00626752">
        <w:rPr>
          <w:rFonts w:ascii="Garamond" w:hAnsi="Garamond"/>
          <w:sz w:val="22"/>
          <w:szCs w:val="22"/>
        </w:rPr>
        <w:t>f</w:t>
      </w:r>
      <w:r>
        <w:rPr>
          <w:rFonts w:ascii="Garamond" w:hAnsi="Garamond"/>
          <w:sz w:val="22"/>
          <w:szCs w:val="22"/>
        </w:rPr>
        <w:t>irst</w:t>
      </w:r>
      <w:r w:rsidR="006C6A27" w:rsidRPr="00626752">
        <w:rPr>
          <w:rFonts w:ascii="Garamond" w:hAnsi="Garamond"/>
          <w:sz w:val="22"/>
          <w:szCs w:val="22"/>
        </w:rPr>
        <w:t xml:space="preserve"> quarter 201</w:t>
      </w:r>
      <w:r>
        <w:rPr>
          <w:rFonts w:ascii="Garamond" w:hAnsi="Garamond"/>
          <w:sz w:val="22"/>
          <w:szCs w:val="22"/>
        </w:rPr>
        <w:t>7 results</w:t>
      </w:r>
      <w:r w:rsidR="006C6A27" w:rsidRPr="00626752">
        <w:rPr>
          <w:rFonts w:ascii="Garamond" w:hAnsi="Garamond"/>
          <w:sz w:val="22"/>
          <w:szCs w:val="22"/>
        </w:rPr>
        <w:t xml:space="preserve">, the 12-month inflation rate has increased, </w:t>
      </w:r>
      <w:r w:rsidR="006E31BD" w:rsidRPr="00626752">
        <w:rPr>
          <w:rFonts w:ascii="Garamond" w:hAnsi="Garamond"/>
          <w:sz w:val="22"/>
          <w:szCs w:val="22"/>
        </w:rPr>
        <w:t xml:space="preserve">as was expected, </w:t>
      </w:r>
      <w:r w:rsidR="008450E8" w:rsidRPr="008450E8">
        <w:rPr>
          <w:rFonts w:ascii="Garamond" w:hAnsi="Garamond"/>
          <w:b/>
          <w:sz w:val="22"/>
          <w:szCs w:val="22"/>
        </w:rPr>
        <w:t xml:space="preserve">amounting </w:t>
      </w:r>
      <w:r w:rsidR="006C6A27" w:rsidRPr="008450E8">
        <w:rPr>
          <w:rFonts w:ascii="Garamond" w:hAnsi="Garamond"/>
          <w:b/>
          <w:sz w:val="22"/>
          <w:szCs w:val="22"/>
        </w:rPr>
        <w:t xml:space="preserve">to </w:t>
      </w:r>
      <w:r w:rsidR="006E31BD" w:rsidRPr="008450E8">
        <w:rPr>
          <w:rFonts w:ascii="Garamond" w:hAnsi="Garamond"/>
          <w:b/>
          <w:sz w:val="22"/>
          <w:szCs w:val="22"/>
        </w:rPr>
        <w:t xml:space="preserve">-0.1% </w:t>
      </w:r>
      <w:r w:rsidR="006C6A27" w:rsidRPr="00626752">
        <w:rPr>
          <w:rFonts w:ascii="Garamond" w:hAnsi="Garamond"/>
          <w:b/>
          <w:sz w:val="22"/>
          <w:szCs w:val="22"/>
        </w:rPr>
        <w:t>at the end of March</w:t>
      </w:r>
      <w:r w:rsidR="008450E8">
        <w:rPr>
          <w:rFonts w:ascii="Garamond" w:hAnsi="Garamond"/>
          <w:sz w:val="22"/>
          <w:szCs w:val="22"/>
        </w:rPr>
        <w:t>,</w:t>
      </w:r>
      <w:r w:rsidR="006E31BD" w:rsidRPr="00626752">
        <w:rPr>
          <w:rFonts w:ascii="Garamond" w:hAnsi="Garamond"/>
          <w:sz w:val="22"/>
          <w:szCs w:val="22"/>
        </w:rPr>
        <w:t xml:space="preserve"> </w:t>
      </w:r>
      <w:r w:rsidR="00876964">
        <w:rPr>
          <w:rFonts w:ascii="Garamond" w:hAnsi="Garamond"/>
          <w:sz w:val="22"/>
          <w:szCs w:val="22"/>
        </w:rPr>
        <w:t xml:space="preserve">influenced </w:t>
      </w:r>
      <w:r w:rsidR="008450E8">
        <w:rPr>
          <w:rFonts w:ascii="Garamond" w:hAnsi="Garamond"/>
          <w:sz w:val="22"/>
          <w:szCs w:val="22"/>
        </w:rPr>
        <w:t xml:space="preserve">largely by the expansionary monetary policy </w:t>
      </w:r>
      <w:r w:rsidR="00876964">
        <w:rPr>
          <w:rFonts w:ascii="Garamond" w:hAnsi="Garamond"/>
          <w:sz w:val="22"/>
          <w:szCs w:val="22"/>
        </w:rPr>
        <w:t xml:space="preserve">implemented </w:t>
      </w:r>
      <w:r w:rsidR="008450E8">
        <w:rPr>
          <w:rFonts w:ascii="Garamond" w:hAnsi="Garamond"/>
          <w:sz w:val="22"/>
          <w:szCs w:val="22"/>
        </w:rPr>
        <w:t xml:space="preserve">by the </w:t>
      </w:r>
      <w:r w:rsidR="00762760">
        <w:rPr>
          <w:rFonts w:ascii="Garamond" w:hAnsi="Garamond"/>
          <w:sz w:val="22"/>
          <w:szCs w:val="22"/>
        </w:rPr>
        <w:t xml:space="preserve">Central Bank. </w:t>
      </w:r>
      <w:r w:rsidR="006966A5">
        <w:rPr>
          <w:rFonts w:ascii="Garamond" w:hAnsi="Garamond"/>
          <w:sz w:val="22"/>
          <w:szCs w:val="22"/>
        </w:rPr>
        <w:t xml:space="preserve">In view of a still sluggish </w:t>
      </w:r>
      <w:r w:rsidR="00266CD8" w:rsidRPr="006966A5">
        <w:rPr>
          <w:rFonts w:ascii="Garamond" w:hAnsi="Garamond"/>
          <w:sz w:val="22"/>
          <w:szCs w:val="22"/>
        </w:rPr>
        <w:t>domestic demand</w:t>
      </w:r>
      <w:r w:rsidR="006966A5">
        <w:rPr>
          <w:rFonts w:ascii="Garamond" w:hAnsi="Garamond"/>
          <w:sz w:val="22"/>
          <w:szCs w:val="22"/>
        </w:rPr>
        <w:t xml:space="preserve"> in</w:t>
      </w:r>
      <w:r w:rsidR="00266CD8" w:rsidRPr="006966A5">
        <w:rPr>
          <w:rFonts w:ascii="Garamond" w:hAnsi="Garamond"/>
          <w:sz w:val="22"/>
          <w:szCs w:val="22"/>
        </w:rPr>
        <w:t xml:space="preserve"> </w:t>
      </w:r>
      <w:r w:rsidR="006966A5">
        <w:rPr>
          <w:rFonts w:ascii="Garamond" w:hAnsi="Garamond"/>
          <w:sz w:val="22"/>
          <w:szCs w:val="22"/>
        </w:rPr>
        <w:t>that period</w:t>
      </w:r>
      <w:r w:rsidR="00266CD8" w:rsidRPr="006966A5">
        <w:rPr>
          <w:rFonts w:ascii="Garamond" w:hAnsi="Garamond"/>
          <w:sz w:val="22"/>
          <w:szCs w:val="22"/>
        </w:rPr>
        <w:t xml:space="preserve">, </w:t>
      </w:r>
      <w:r w:rsidR="006966A5">
        <w:rPr>
          <w:rFonts w:ascii="Garamond" w:hAnsi="Garamond"/>
          <w:sz w:val="22"/>
          <w:szCs w:val="22"/>
        </w:rPr>
        <w:t xml:space="preserve">the </w:t>
      </w:r>
      <w:r w:rsidR="00266CD8" w:rsidRPr="006966A5">
        <w:rPr>
          <w:rFonts w:ascii="Garamond" w:hAnsi="Garamond"/>
          <w:sz w:val="22"/>
          <w:szCs w:val="22"/>
        </w:rPr>
        <w:t>deflationary effects from the external sector transmitted onto food products and, later on, non-food products, as w</w:t>
      </w:r>
      <w:r w:rsidR="00266CD8" w:rsidRPr="00626752">
        <w:rPr>
          <w:rFonts w:ascii="Garamond" w:hAnsi="Garamond"/>
          <w:sz w:val="22"/>
          <w:szCs w:val="22"/>
        </w:rPr>
        <w:t xml:space="preserve">ell as </w:t>
      </w:r>
      <w:r w:rsidR="006966A5">
        <w:rPr>
          <w:rFonts w:ascii="Garamond" w:hAnsi="Garamond"/>
          <w:sz w:val="22"/>
          <w:szCs w:val="22"/>
        </w:rPr>
        <w:t xml:space="preserve">the </w:t>
      </w:r>
      <w:r w:rsidR="00266CD8" w:rsidRPr="00626752">
        <w:rPr>
          <w:rFonts w:ascii="Garamond" w:hAnsi="Garamond"/>
          <w:sz w:val="22"/>
          <w:szCs w:val="22"/>
        </w:rPr>
        <w:t>anticipated impact of the Government’s contractionary fiscal policy in 2017, the C</w:t>
      </w:r>
      <w:r w:rsidR="002C086C" w:rsidRPr="00626752">
        <w:rPr>
          <w:rFonts w:ascii="Garamond" w:hAnsi="Garamond"/>
          <w:sz w:val="22"/>
          <w:szCs w:val="22"/>
        </w:rPr>
        <w:t xml:space="preserve">entral </w:t>
      </w:r>
      <w:r w:rsidR="00266CD8" w:rsidRPr="00626752">
        <w:rPr>
          <w:rFonts w:ascii="Garamond" w:hAnsi="Garamond"/>
          <w:sz w:val="22"/>
          <w:szCs w:val="22"/>
        </w:rPr>
        <w:t>B</w:t>
      </w:r>
      <w:r w:rsidR="002C086C" w:rsidRPr="00626752">
        <w:rPr>
          <w:rFonts w:ascii="Garamond" w:hAnsi="Garamond"/>
          <w:sz w:val="22"/>
          <w:szCs w:val="22"/>
        </w:rPr>
        <w:t>ank</w:t>
      </w:r>
      <w:r w:rsidR="00266CD8" w:rsidRPr="00626752">
        <w:rPr>
          <w:rFonts w:ascii="Garamond" w:hAnsi="Garamond"/>
          <w:sz w:val="22"/>
          <w:szCs w:val="22"/>
        </w:rPr>
        <w:t xml:space="preserve"> </w:t>
      </w:r>
      <w:r w:rsidR="006966A5">
        <w:rPr>
          <w:rFonts w:ascii="Garamond" w:hAnsi="Garamond"/>
          <w:sz w:val="22"/>
          <w:szCs w:val="22"/>
        </w:rPr>
        <w:t xml:space="preserve">kept on mitigating </w:t>
      </w:r>
      <w:r w:rsidR="00266CD8" w:rsidRPr="00626752">
        <w:rPr>
          <w:rFonts w:ascii="Garamond" w:hAnsi="Garamond"/>
          <w:sz w:val="22"/>
          <w:szCs w:val="22"/>
        </w:rPr>
        <w:t xml:space="preserve">the lending </w:t>
      </w:r>
      <w:r w:rsidR="002C086C" w:rsidRPr="00626752">
        <w:rPr>
          <w:rFonts w:ascii="Garamond" w:hAnsi="Garamond"/>
          <w:sz w:val="22"/>
          <w:szCs w:val="22"/>
        </w:rPr>
        <w:t>terms</w:t>
      </w:r>
      <w:r w:rsidR="00266CD8" w:rsidRPr="00626752">
        <w:rPr>
          <w:rFonts w:ascii="Garamond" w:hAnsi="Garamond"/>
          <w:sz w:val="22"/>
          <w:szCs w:val="22"/>
        </w:rPr>
        <w:t xml:space="preserve"> by reducing the refinancing ra</w:t>
      </w:r>
      <w:r w:rsidR="006966A5">
        <w:rPr>
          <w:rFonts w:ascii="Garamond" w:hAnsi="Garamond"/>
          <w:sz w:val="22"/>
          <w:szCs w:val="22"/>
        </w:rPr>
        <w:t>te by 0.2</w:t>
      </w:r>
      <w:r w:rsidR="00266CD8" w:rsidRPr="00626752">
        <w:rPr>
          <w:rFonts w:ascii="Garamond" w:hAnsi="Garamond"/>
          <w:sz w:val="22"/>
          <w:szCs w:val="22"/>
        </w:rPr>
        <w:t>5 p</w:t>
      </w:r>
      <w:r w:rsidR="002C086C" w:rsidRPr="00626752">
        <w:rPr>
          <w:rFonts w:ascii="Garamond" w:hAnsi="Garamond"/>
          <w:sz w:val="22"/>
          <w:szCs w:val="22"/>
        </w:rPr>
        <w:t>p</w:t>
      </w:r>
      <w:r w:rsidR="006966A5">
        <w:rPr>
          <w:rFonts w:ascii="Garamond" w:hAnsi="Garamond"/>
          <w:sz w:val="22"/>
          <w:szCs w:val="22"/>
        </w:rPr>
        <w:t xml:space="preserve"> in February </w:t>
      </w:r>
      <w:r w:rsidR="00266CD8" w:rsidRPr="00626752">
        <w:rPr>
          <w:rFonts w:ascii="Garamond" w:hAnsi="Garamond"/>
          <w:sz w:val="22"/>
          <w:szCs w:val="22"/>
        </w:rPr>
        <w:t xml:space="preserve">to </w:t>
      </w:r>
      <w:r w:rsidR="00266CD8" w:rsidRPr="00626752">
        <w:rPr>
          <w:rFonts w:ascii="Garamond" w:hAnsi="Garamond"/>
          <w:b/>
          <w:sz w:val="22"/>
          <w:szCs w:val="22"/>
        </w:rPr>
        <w:t>6.0%</w:t>
      </w:r>
      <w:r w:rsidR="00266CD8" w:rsidRPr="00626752">
        <w:rPr>
          <w:rFonts w:ascii="Garamond" w:hAnsi="Garamond"/>
          <w:sz w:val="22"/>
          <w:szCs w:val="22"/>
        </w:rPr>
        <w:t xml:space="preserve"> at the end of </w:t>
      </w:r>
      <w:r w:rsidR="006966A5">
        <w:rPr>
          <w:rFonts w:ascii="Garamond" w:hAnsi="Garamond"/>
          <w:sz w:val="22"/>
          <w:szCs w:val="22"/>
        </w:rPr>
        <w:t>the month</w:t>
      </w:r>
      <w:r w:rsidR="00266CD8" w:rsidRPr="00626752">
        <w:rPr>
          <w:rFonts w:ascii="Garamond" w:hAnsi="Garamond"/>
          <w:sz w:val="22"/>
          <w:szCs w:val="22"/>
        </w:rPr>
        <w:t>.</w:t>
      </w:r>
    </w:p>
    <w:p w14:paraId="2F41AD09" w14:textId="77777777" w:rsidR="006966A5" w:rsidRPr="00626752" w:rsidRDefault="00A47648" w:rsidP="00933B63">
      <w:pPr>
        <w:autoSpaceDE w:val="0"/>
        <w:autoSpaceDN w:val="0"/>
        <w:adjustRightInd w:val="0"/>
        <w:spacing w:after="120" w:line="360" w:lineRule="auto"/>
        <w:jc w:val="both"/>
        <w:rPr>
          <w:rFonts w:ascii="Garamond" w:hAnsi="Garamond"/>
          <w:sz w:val="22"/>
          <w:szCs w:val="22"/>
        </w:rPr>
      </w:pPr>
      <w:r w:rsidRPr="00A47648">
        <w:rPr>
          <w:rFonts w:ascii="Garamond" w:hAnsi="Garamond"/>
          <w:sz w:val="22"/>
          <w:szCs w:val="22"/>
        </w:rPr>
        <w:lastRenderedPageBreak/>
        <w:t xml:space="preserve">Taking into account </w:t>
      </w:r>
      <w:r w:rsidR="002C3539">
        <w:rPr>
          <w:rFonts w:ascii="Garamond" w:hAnsi="Garamond"/>
          <w:sz w:val="22"/>
          <w:szCs w:val="22"/>
        </w:rPr>
        <w:t xml:space="preserve">registered </w:t>
      </w:r>
      <w:r w:rsidRPr="00A47648">
        <w:rPr>
          <w:rFonts w:ascii="Garamond" w:hAnsi="Garamond"/>
          <w:sz w:val="22"/>
          <w:szCs w:val="22"/>
        </w:rPr>
        <w:t xml:space="preserve">high economic activity and moderate inflationary </w:t>
      </w:r>
      <w:r w:rsidR="002C3539">
        <w:rPr>
          <w:rFonts w:ascii="Garamond" w:hAnsi="Garamond"/>
          <w:sz w:val="22"/>
          <w:szCs w:val="22"/>
        </w:rPr>
        <w:t>e</w:t>
      </w:r>
      <w:r>
        <w:rPr>
          <w:rFonts w:ascii="Garamond" w:hAnsi="Garamond"/>
          <w:sz w:val="22"/>
          <w:szCs w:val="22"/>
        </w:rPr>
        <w:t xml:space="preserve">ffects </w:t>
      </w:r>
      <w:r w:rsidRPr="00A47648">
        <w:rPr>
          <w:rFonts w:ascii="Garamond" w:hAnsi="Garamond"/>
          <w:sz w:val="22"/>
          <w:szCs w:val="22"/>
        </w:rPr>
        <w:t xml:space="preserve">expected from </w:t>
      </w:r>
      <w:r>
        <w:rPr>
          <w:rFonts w:ascii="Garamond" w:hAnsi="Garamond"/>
          <w:sz w:val="22"/>
          <w:szCs w:val="22"/>
        </w:rPr>
        <w:t xml:space="preserve">world </w:t>
      </w:r>
      <w:r w:rsidRPr="00A47648">
        <w:rPr>
          <w:rFonts w:ascii="Garamond" w:hAnsi="Garamond"/>
          <w:sz w:val="22"/>
          <w:szCs w:val="22"/>
        </w:rPr>
        <w:t>commodity markets</w:t>
      </w:r>
      <w:r>
        <w:rPr>
          <w:rFonts w:ascii="Garamond" w:hAnsi="Garamond"/>
          <w:sz w:val="22"/>
          <w:szCs w:val="22"/>
        </w:rPr>
        <w:t>, the Central Bank has, s</w:t>
      </w:r>
      <w:r w:rsidR="006966A5">
        <w:rPr>
          <w:rFonts w:ascii="Garamond" w:hAnsi="Garamond"/>
          <w:sz w:val="22"/>
          <w:szCs w:val="22"/>
        </w:rPr>
        <w:t xml:space="preserve">tarting from the second quarter of 2017, </w:t>
      </w:r>
      <w:r w:rsidRPr="00A47648">
        <w:rPr>
          <w:rFonts w:ascii="Garamond" w:hAnsi="Garamond"/>
          <w:sz w:val="22"/>
          <w:szCs w:val="22"/>
        </w:rPr>
        <w:t>revised the short-term inflation forecasts for faster recovery</w:t>
      </w:r>
      <w:r>
        <w:rPr>
          <w:rFonts w:ascii="Garamond" w:hAnsi="Garamond"/>
          <w:sz w:val="22"/>
          <w:szCs w:val="22"/>
        </w:rPr>
        <w:t>.</w:t>
      </w:r>
      <w:r w:rsidR="006966A5">
        <w:rPr>
          <w:rFonts w:ascii="Garamond" w:hAnsi="Garamond"/>
          <w:sz w:val="22"/>
          <w:szCs w:val="22"/>
        </w:rPr>
        <w:t xml:space="preserve"> </w:t>
      </w:r>
    </w:p>
    <w:p w14:paraId="0598055E" w14:textId="77777777" w:rsidR="00DA7005" w:rsidRPr="00626752" w:rsidRDefault="00DA7005"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second quarter of 2017 inflation </w:t>
      </w:r>
      <w:r w:rsidR="002C3539">
        <w:rPr>
          <w:rFonts w:ascii="Garamond" w:hAnsi="Garamond"/>
          <w:sz w:val="22"/>
          <w:szCs w:val="22"/>
        </w:rPr>
        <w:t xml:space="preserve">expanded </w:t>
      </w:r>
      <w:r w:rsidRPr="00626752">
        <w:rPr>
          <w:rFonts w:ascii="Garamond" w:hAnsi="Garamond"/>
          <w:sz w:val="22"/>
          <w:szCs w:val="22"/>
        </w:rPr>
        <w:t xml:space="preserve">considerably, largely due to high levels of prices for agricultural products, and </w:t>
      </w:r>
      <w:r w:rsidRPr="00626752">
        <w:rPr>
          <w:rFonts w:ascii="Garamond" w:hAnsi="Garamond"/>
          <w:b/>
          <w:sz w:val="22"/>
          <w:szCs w:val="22"/>
        </w:rPr>
        <w:t>the 12-month inflation rate has entered a positive territory since April</w:t>
      </w:r>
      <w:r w:rsidRPr="00626752">
        <w:rPr>
          <w:rFonts w:ascii="Garamond" w:hAnsi="Garamond"/>
          <w:sz w:val="22"/>
          <w:szCs w:val="22"/>
        </w:rPr>
        <w:t xml:space="preserve"> </w:t>
      </w:r>
      <w:r w:rsidR="002C3539">
        <w:rPr>
          <w:rFonts w:ascii="Garamond" w:hAnsi="Garamond"/>
          <w:sz w:val="22"/>
          <w:szCs w:val="22"/>
        </w:rPr>
        <w:t xml:space="preserve">as a result, </w:t>
      </w:r>
      <w:r w:rsidRPr="00626752">
        <w:rPr>
          <w:rFonts w:ascii="Garamond" w:hAnsi="Garamond"/>
          <w:sz w:val="22"/>
          <w:szCs w:val="22"/>
        </w:rPr>
        <w:t xml:space="preserve">fluctuating within </w:t>
      </w:r>
      <w:r w:rsidRPr="00626752">
        <w:rPr>
          <w:rFonts w:ascii="Garamond" w:hAnsi="Garamond"/>
          <w:b/>
          <w:sz w:val="22"/>
          <w:szCs w:val="22"/>
        </w:rPr>
        <w:t>1.3%</w:t>
      </w:r>
      <w:r w:rsidR="00D46A64" w:rsidRPr="00626752">
        <w:rPr>
          <w:rFonts w:ascii="Garamond" w:hAnsi="Garamond"/>
          <w:sz w:val="22"/>
          <w:szCs w:val="22"/>
        </w:rPr>
        <w:t xml:space="preserve"> on average</w:t>
      </w:r>
      <w:r w:rsidR="00491B9C" w:rsidRPr="00626752">
        <w:rPr>
          <w:rFonts w:ascii="Garamond" w:hAnsi="Garamond"/>
          <w:sz w:val="22"/>
          <w:szCs w:val="22"/>
        </w:rPr>
        <w:t xml:space="preserve"> during the quarter</w:t>
      </w:r>
      <w:r w:rsidRPr="00626752">
        <w:rPr>
          <w:rFonts w:ascii="Garamond" w:hAnsi="Garamond"/>
          <w:sz w:val="22"/>
          <w:szCs w:val="22"/>
        </w:rPr>
        <w:t xml:space="preserve">. </w:t>
      </w:r>
      <w:r w:rsidR="00D16B8C" w:rsidRPr="00626752">
        <w:rPr>
          <w:rFonts w:ascii="Garamond" w:hAnsi="Garamond"/>
          <w:sz w:val="22"/>
          <w:szCs w:val="22"/>
        </w:rPr>
        <w:t>In the meantime</w:t>
      </w:r>
      <w:r w:rsidRPr="00626752">
        <w:rPr>
          <w:rFonts w:ascii="Garamond" w:hAnsi="Garamond"/>
          <w:sz w:val="22"/>
          <w:szCs w:val="22"/>
        </w:rPr>
        <w:t xml:space="preserve">, the 12-month </w:t>
      </w:r>
      <w:r w:rsidR="00D16B8C" w:rsidRPr="00626752">
        <w:rPr>
          <w:rFonts w:ascii="Garamond" w:hAnsi="Garamond"/>
          <w:sz w:val="22"/>
          <w:szCs w:val="22"/>
        </w:rPr>
        <w:t>core</w:t>
      </w:r>
      <w:r w:rsidRPr="00626752">
        <w:rPr>
          <w:rFonts w:ascii="Garamond" w:hAnsi="Garamond"/>
          <w:sz w:val="22"/>
          <w:szCs w:val="22"/>
        </w:rPr>
        <w:t xml:space="preserve"> inflation </w:t>
      </w:r>
      <w:r w:rsidR="00D16B8C" w:rsidRPr="00626752">
        <w:rPr>
          <w:rFonts w:ascii="Garamond" w:hAnsi="Garamond"/>
          <w:sz w:val="22"/>
          <w:szCs w:val="22"/>
        </w:rPr>
        <w:t xml:space="preserve">rate has </w:t>
      </w:r>
      <w:r w:rsidRPr="00626752">
        <w:rPr>
          <w:rFonts w:ascii="Garamond" w:hAnsi="Garamond"/>
          <w:sz w:val="22"/>
          <w:szCs w:val="22"/>
        </w:rPr>
        <w:t>also increased</w:t>
      </w:r>
      <w:r w:rsidR="00D16B8C" w:rsidRPr="00626752">
        <w:rPr>
          <w:rFonts w:ascii="Garamond" w:hAnsi="Garamond"/>
          <w:sz w:val="22"/>
          <w:szCs w:val="22"/>
        </w:rPr>
        <w:t>,</w:t>
      </w:r>
      <w:r w:rsidRPr="00626752">
        <w:rPr>
          <w:rFonts w:ascii="Garamond" w:hAnsi="Garamond"/>
          <w:sz w:val="22"/>
          <w:szCs w:val="22"/>
        </w:rPr>
        <w:t xml:space="preserve"> </w:t>
      </w:r>
      <w:r w:rsidR="00D16B8C" w:rsidRPr="00626752">
        <w:rPr>
          <w:rFonts w:ascii="Garamond" w:hAnsi="Garamond"/>
          <w:sz w:val="22"/>
          <w:szCs w:val="22"/>
        </w:rPr>
        <w:t>to</w:t>
      </w:r>
      <w:r w:rsidRPr="00626752">
        <w:rPr>
          <w:rFonts w:ascii="Garamond" w:hAnsi="Garamond"/>
          <w:sz w:val="22"/>
          <w:szCs w:val="22"/>
        </w:rPr>
        <w:t xml:space="preserve"> 0.3%</w:t>
      </w:r>
      <w:r w:rsidR="00D16B8C" w:rsidRPr="00626752">
        <w:rPr>
          <w:rFonts w:ascii="Garamond" w:hAnsi="Garamond"/>
          <w:sz w:val="22"/>
          <w:szCs w:val="22"/>
        </w:rPr>
        <w:t xml:space="preserve"> from the</w:t>
      </w:r>
      <w:r w:rsidRPr="00626752">
        <w:rPr>
          <w:rFonts w:ascii="Garamond" w:hAnsi="Garamond"/>
          <w:sz w:val="22"/>
          <w:szCs w:val="22"/>
        </w:rPr>
        <w:t xml:space="preserve"> </w:t>
      </w:r>
      <w:r w:rsidR="00D16B8C" w:rsidRPr="00626752">
        <w:rPr>
          <w:rFonts w:ascii="Garamond" w:hAnsi="Garamond"/>
          <w:sz w:val="22"/>
          <w:szCs w:val="22"/>
        </w:rPr>
        <w:t xml:space="preserve">previous quarter’s indicator of </w:t>
      </w:r>
      <w:r w:rsidRPr="00626752">
        <w:rPr>
          <w:rFonts w:ascii="Garamond" w:hAnsi="Garamond"/>
          <w:sz w:val="22"/>
          <w:szCs w:val="22"/>
        </w:rPr>
        <w:t xml:space="preserve">-0.9% </w:t>
      </w:r>
      <w:r w:rsidR="00D16B8C" w:rsidRPr="00626752">
        <w:rPr>
          <w:rFonts w:ascii="Garamond" w:hAnsi="Garamond"/>
          <w:sz w:val="22"/>
          <w:szCs w:val="22"/>
        </w:rPr>
        <w:t xml:space="preserve">owing to </w:t>
      </w:r>
      <w:r w:rsidRPr="00626752">
        <w:rPr>
          <w:rFonts w:ascii="Garamond" w:hAnsi="Garamond"/>
          <w:sz w:val="22"/>
          <w:szCs w:val="22"/>
        </w:rPr>
        <w:t>a</w:t>
      </w:r>
      <w:r w:rsidR="00D16B8C" w:rsidRPr="00626752">
        <w:rPr>
          <w:rFonts w:ascii="Garamond" w:hAnsi="Garamond"/>
          <w:sz w:val="22"/>
          <w:szCs w:val="22"/>
        </w:rPr>
        <w:t>n</w:t>
      </w:r>
      <w:r w:rsidRPr="00626752">
        <w:rPr>
          <w:rFonts w:ascii="Garamond" w:hAnsi="Garamond"/>
          <w:sz w:val="22"/>
          <w:szCs w:val="22"/>
        </w:rPr>
        <w:t xml:space="preserve"> </w:t>
      </w:r>
      <w:r w:rsidR="00D16B8C" w:rsidRPr="00626752">
        <w:rPr>
          <w:rFonts w:ascii="Garamond" w:hAnsi="Garamond"/>
          <w:sz w:val="22"/>
          <w:szCs w:val="22"/>
        </w:rPr>
        <w:t xml:space="preserve">expansionary </w:t>
      </w:r>
      <w:r w:rsidRPr="00626752">
        <w:rPr>
          <w:rFonts w:ascii="Garamond" w:hAnsi="Garamond"/>
          <w:sz w:val="22"/>
          <w:szCs w:val="22"/>
        </w:rPr>
        <w:t>monetary policy.</w:t>
      </w:r>
      <w:r w:rsidR="004E0889" w:rsidRPr="00626752">
        <w:rPr>
          <w:rFonts w:ascii="Garamond" w:hAnsi="Garamond"/>
          <w:sz w:val="22"/>
          <w:szCs w:val="22"/>
        </w:rPr>
        <w:t xml:space="preserve"> </w:t>
      </w:r>
      <w:r w:rsidR="002C3539">
        <w:rPr>
          <w:rFonts w:ascii="Garamond" w:hAnsi="Garamond"/>
          <w:sz w:val="22"/>
          <w:szCs w:val="22"/>
        </w:rPr>
        <w:t>I</w:t>
      </w:r>
      <w:r w:rsidR="002C3539" w:rsidRPr="00626752">
        <w:rPr>
          <w:rFonts w:ascii="Garamond" w:hAnsi="Garamond"/>
          <w:sz w:val="22"/>
          <w:szCs w:val="22"/>
        </w:rPr>
        <w:t xml:space="preserve">n the third quarter </w:t>
      </w:r>
      <w:r w:rsidR="002C3539">
        <w:rPr>
          <w:rFonts w:ascii="Garamond" w:hAnsi="Garamond"/>
          <w:sz w:val="22"/>
          <w:szCs w:val="22"/>
        </w:rPr>
        <w:t>t</w:t>
      </w:r>
      <w:r w:rsidRPr="00626752">
        <w:rPr>
          <w:rFonts w:ascii="Garamond" w:hAnsi="Garamond"/>
          <w:sz w:val="22"/>
          <w:szCs w:val="22"/>
        </w:rPr>
        <w:t xml:space="preserve">he 12-month </w:t>
      </w:r>
      <w:r w:rsidR="004E0889" w:rsidRPr="00626752">
        <w:rPr>
          <w:rFonts w:ascii="Garamond" w:hAnsi="Garamond"/>
          <w:sz w:val="22"/>
          <w:szCs w:val="22"/>
        </w:rPr>
        <w:t>growth rates in fruit and vegetable price</w:t>
      </w:r>
      <w:r w:rsidRPr="00626752">
        <w:rPr>
          <w:rFonts w:ascii="Garamond" w:hAnsi="Garamond"/>
          <w:sz w:val="22"/>
          <w:szCs w:val="22"/>
        </w:rPr>
        <w:t>s slowed down</w:t>
      </w:r>
      <w:r w:rsidR="004E0889" w:rsidRPr="00626752">
        <w:rPr>
          <w:rFonts w:ascii="Garamond" w:hAnsi="Garamond"/>
          <w:sz w:val="22"/>
          <w:szCs w:val="22"/>
        </w:rPr>
        <w:t>;</w:t>
      </w:r>
      <w:r w:rsidRPr="00626752">
        <w:rPr>
          <w:rFonts w:ascii="Garamond" w:hAnsi="Garamond"/>
          <w:sz w:val="22"/>
          <w:szCs w:val="22"/>
        </w:rPr>
        <w:t xml:space="preserve"> </w:t>
      </w:r>
      <w:r w:rsidR="004E0889" w:rsidRPr="00626752">
        <w:rPr>
          <w:rFonts w:ascii="Garamond" w:hAnsi="Garamond"/>
          <w:sz w:val="22"/>
          <w:szCs w:val="22"/>
        </w:rPr>
        <w:t>this</w:t>
      </w:r>
      <w:r w:rsidRPr="00626752">
        <w:rPr>
          <w:rFonts w:ascii="Garamond" w:hAnsi="Garamond"/>
          <w:sz w:val="22"/>
          <w:szCs w:val="22"/>
        </w:rPr>
        <w:t xml:space="preserve"> has </w:t>
      </w:r>
      <w:r w:rsidR="004E0889" w:rsidRPr="00626752">
        <w:rPr>
          <w:rFonts w:ascii="Garamond" w:hAnsi="Garamond"/>
          <w:sz w:val="22"/>
          <w:szCs w:val="22"/>
        </w:rPr>
        <w:t xml:space="preserve">halted </w:t>
      </w:r>
      <w:r w:rsidRPr="00626752">
        <w:rPr>
          <w:rFonts w:ascii="Garamond" w:hAnsi="Garamond"/>
          <w:sz w:val="22"/>
          <w:szCs w:val="22"/>
        </w:rPr>
        <w:t>the recover</w:t>
      </w:r>
      <w:r w:rsidR="004E0889" w:rsidRPr="00626752">
        <w:rPr>
          <w:rFonts w:ascii="Garamond" w:hAnsi="Garamond"/>
          <w:sz w:val="22"/>
          <w:szCs w:val="22"/>
        </w:rPr>
        <w:t xml:space="preserve">ing </w:t>
      </w:r>
      <w:r w:rsidRPr="00626752">
        <w:rPr>
          <w:rFonts w:ascii="Garamond" w:hAnsi="Garamond"/>
          <w:sz w:val="22"/>
          <w:szCs w:val="22"/>
        </w:rPr>
        <w:t xml:space="preserve">of inflation which </w:t>
      </w:r>
      <w:r w:rsidR="004E0889" w:rsidRPr="00626752">
        <w:rPr>
          <w:rFonts w:ascii="Garamond" w:hAnsi="Garamond"/>
          <w:sz w:val="22"/>
          <w:szCs w:val="22"/>
        </w:rPr>
        <w:t xml:space="preserve">averaged </w:t>
      </w:r>
      <w:r w:rsidRPr="00626752">
        <w:rPr>
          <w:rFonts w:ascii="Garamond" w:hAnsi="Garamond"/>
          <w:sz w:val="22"/>
          <w:szCs w:val="22"/>
        </w:rPr>
        <w:t xml:space="preserve">1.0%, while the 12-month </w:t>
      </w:r>
      <w:r w:rsidR="004E0889" w:rsidRPr="00626752">
        <w:rPr>
          <w:rFonts w:ascii="Garamond" w:hAnsi="Garamond"/>
          <w:sz w:val="22"/>
          <w:szCs w:val="22"/>
        </w:rPr>
        <w:t>core</w:t>
      </w:r>
      <w:r w:rsidRPr="00626752">
        <w:rPr>
          <w:rFonts w:ascii="Garamond" w:hAnsi="Garamond"/>
          <w:sz w:val="22"/>
          <w:szCs w:val="22"/>
        </w:rPr>
        <w:t xml:space="preserve"> inflation </w:t>
      </w:r>
      <w:r w:rsidR="004E0889" w:rsidRPr="00626752">
        <w:rPr>
          <w:rFonts w:ascii="Garamond" w:hAnsi="Garamond"/>
          <w:sz w:val="22"/>
          <w:szCs w:val="22"/>
        </w:rPr>
        <w:t xml:space="preserve">rate </w:t>
      </w:r>
      <w:r w:rsidRPr="00626752">
        <w:rPr>
          <w:rFonts w:ascii="Garamond" w:hAnsi="Garamond"/>
          <w:sz w:val="22"/>
          <w:szCs w:val="22"/>
        </w:rPr>
        <w:t>continued grow</w:t>
      </w:r>
      <w:r w:rsidR="004E0889" w:rsidRPr="00626752">
        <w:rPr>
          <w:rFonts w:ascii="Garamond" w:hAnsi="Garamond"/>
          <w:sz w:val="22"/>
          <w:szCs w:val="22"/>
        </w:rPr>
        <w:t>ing</w:t>
      </w:r>
      <w:r w:rsidRPr="00626752">
        <w:rPr>
          <w:rFonts w:ascii="Garamond" w:hAnsi="Garamond"/>
          <w:sz w:val="22"/>
          <w:szCs w:val="22"/>
        </w:rPr>
        <w:t xml:space="preserve"> </w:t>
      </w:r>
      <w:r w:rsidR="002C3539">
        <w:rPr>
          <w:rFonts w:ascii="Garamond" w:hAnsi="Garamond"/>
          <w:sz w:val="22"/>
          <w:szCs w:val="22"/>
        </w:rPr>
        <w:t>rapidly</w:t>
      </w:r>
      <w:r w:rsidR="004E0889" w:rsidRPr="00626752">
        <w:rPr>
          <w:rFonts w:ascii="Garamond" w:hAnsi="Garamond"/>
          <w:sz w:val="22"/>
          <w:szCs w:val="22"/>
        </w:rPr>
        <w:t xml:space="preserve">, amounting to 1.9% </w:t>
      </w:r>
      <w:r w:rsidRPr="00626752">
        <w:rPr>
          <w:rFonts w:ascii="Garamond" w:hAnsi="Garamond"/>
          <w:sz w:val="22"/>
          <w:szCs w:val="22"/>
        </w:rPr>
        <w:t>by the end of the quarter</w:t>
      </w:r>
      <w:r w:rsidR="004E0889" w:rsidRPr="00626752">
        <w:rPr>
          <w:rFonts w:ascii="Garamond" w:hAnsi="Garamond"/>
          <w:sz w:val="22"/>
          <w:szCs w:val="22"/>
        </w:rPr>
        <w:t>.</w:t>
      </w:r>
      <w:r w:rsidRPr="00626752">
        <w:rPr>
          <w:rFonts w:ascii="Garamond" w:hAnsi="Garamond"/>
          <w:sz w:val="22"/>
          <w:szCs w:val="22"/>
        </w:rPr>
        <w:t xml:space="preserve"> </w:t>
      </w:r>
      <w:r w:rsidR="002140DE">
        <w:rPr>
          <w:rFonts w:ascii="Garamond" w:hAnsi="Garamond"/>
          <w:sz w:val="22"/>
          <w:szCs w:val="22"/>
        </w:rPr>
        <w:t xml:space="preserve">Nonetheless, the Central Bank saw the slowing of growth rates in seasonal prices of agricultural products a temporary </w:t>
      </w:r>
      <w:r w:rsidR="003645F2">
        <w:rPr>
          <w:rFonts w:ascii="Garamond" w:hAnsi="Garamond"/>
          <w:sz w:val="22"/>
          <w:szCs w:val="22"/>
        </w:rPr>
        <w:t xml:space="preserve">phenomenon, anticipating that such growth rates would accelerate and </w:t>
      </w:r>
      <w:r w:rsidR="003645F2" w:rsidRPr="002140DE">
        <w:rPr>
          <w:rFonts w:ascii="Garamond" w:hAnsi="Garamond"/>
          <w:sz w:val="22"/>
          <w:szCs w:val="22"/>
        </w:rPr>
        <w:t>certain inflation risks</w:t>
      </w:r>
      <w:r w:rsidR="003645F2">
        <w:rPr>
          <w:rFonts w:ascii="Garamond" w:hAnsi="Garamond"/>
          <w:sz w:val="22"/>
          <w:szCs w:val="22"/>
        </w:rPr>
        <w:t xml:space="preserve"> accumulate up until the end of the year. The anticipation materialized in the fourth quarter when </w:t>
      </w:r>
      <w:r w:rsidRPr="00626752">
        <w:rPr>
          <w:rFonts w:ascii="Garamond" w:hAnsi="Garamond"/>
          <w:sz w:val="22"/>
          <w:szCs w:val="22"/>
        </w:rPr>
        <w:t xml:space="preserve">both </w:t>
      </w:r>
      <w:r w:rsidR="00CC20C2" w:rsidRPr="00626752">
        <w:rPr>
          <w:rFonts w:ascii="Garamond" w:hAnsi="Garamond"/>
          <w:sz w:val="22"/>
          <w:szCs w:val="22"/>
        </w:rPr>
        <w:t>headline</w:t>
      </w:r>
      <w:r w:rsidRPr="00626752">
        <w:rPr>
          <w:rFonts w:ascii="Garamond" w:hAnsi="Garamond"/>
          <w:sz w:val="22"/>
          <w:szCs w:val="22"/>
        </w:rPr>
        <w:t xml:space="preserve"> and </w:t>
      </w:r>
      <w:r w:rsidR="00CC20C2" w:rsidRPr="00626752">
        <w:rPr>
          <w:rFonts w:ascii="Garamond" w:hAnsi="Garamond"/>
          <w:sz w:val="22"/>
          <w:szCs w:val="22"/>
        </w:rPr>
        <w:t>core</w:t>
      </w:r>
      <w:r w:rsidRPr="00626752">
        <w:rPr>
          <w:rFonts w:ascii="Garamond" w:hAnsi="Garamond"/>
          <w:sz w:val="22"/>
          <w:szCs w:val="22"/>
        </w:rPr>
        <w:t xml:space="preserve"> inflation</w:t>
      </w:r>
      <w:r w:rsidR="00CC20C2" w:rsidRPr="00626752">
        <w:rPr>
          <w:rFonts w:ascii="Garamond" w:hAnsi="Garamond"/>
          <w:sz w:val="22"/>
          <w:szCs w:val="22"/>
        </w:rPr>
        <w:t xml:space="preserve"> rates</w:t>
      </w:r>
      <w:r w:rsidRPr="00626752">
        <w:rPr>
          <w:rFonts w:ascii="Garamond" w:hAnsi="Garamond"/>
          <w:sz w:val="22"/>
          <w:szCs w:val="22"/>
        </w:rPr>
        <w:t xml:space="preserve"> increase</w:t>
      </w:r>
      <w:r w:rsidR="00CC20C2" w:rsidRPr="00626752">
        <w:rPr>
          <w:rFonts w:ascii="Garamond" w:hAnsi="Garamond"/>
          <w:sz w:val="22"/>
          <w:szCs w:val="22"/>
        </w:rPr>
        <w:t>d</w:t>
      </w:r>
      <w:r w:rsidRPr="00626752">
        <w:rPr>
          <w:rFonts w:ascii="Garamond" w:hAnsi="Garamond"/>
          <w:sz w:val="22"/>
          <w:szCs w:val="22"/>
        </w:rPr>
        <w:t xml:space="preserve"> </w:t>
      </w:r>
      <w:r w:rsidR="003645F2">
        <w:rPr>
          <w:rFonts w:ascii="Garamond" w:hAnsi="Garamond"/>
          <w:sz w:val="22"/>
          <w:szCs w:val="22"/>
        </w:rPr>
        <w:t xml:space="preserve">notably </w:t>
      </w:r>
      <w:r w:rsidR="00CC20C2" w:rsidRPr="00626752">
        <w:rPr>
          <w:rFonts w:ascii="Garamond" w:hAnsi="Garamond"/>
          <w:sz w:val="22"/>
          <w:szCs w:val="22"/>
        </w:rPr>
        <w:t>to</w:t>
      </w:r>
      <w:r w:rsidRPr="00626752">
        <w:rPr>
          <w:rFonts w:ascii="Garamond" w:hAnsi="Garamond"/>
          <w:sz w:val="22"/>
          <w:szCs w:val="22"/>
        </w:rPr>
        <w:t xml:space="preserve"> </w:t>
      </w:r>
      <w:r w:rsidR="003645F2">
        <w:rPr>
          <w:rFonts w:ascii="Garamond" w:hAnsi="Garamond"/>
          <w:sz w:val="22"/>
          <w:szCs w:val="22"/>
        </w:rPr>
        <w:t>2</w:t>
      </w:r>
      <w:r w:rsidRPr="00626752">
        <w:rPr>
          <w:rFonts w:ascii="Garamond" w:hAnsi="Garamond"/>
          <w:sz w:val="22"/>
          <w:szCs w:val="22"/>
        </w:rPr>
        <w:t>.</w:t>
      </w:r>
      <w:r w:rsidR="003645F2">
        <w:rPr>
          <w:rFonts w:ascii="Garamond" w:hAnsi="Garamond"/>
          <w:sz w:val="22"/>
          <w:szCs w:val="22"/>
        </w:rPr>
        <w:t>6</w:t>
      </w:r>
      <w:r w:rsidRPr="00626752">
        <w:rPr>
          <w:rFonts w:ascii="Garamond" w:hAnsi="Garamond"/>
          <w:sz w:val="22"/>
          <w:szCs w:val="22"/>
        </w:rPr>
        <w:t xml:space="preserve">% and </w:t>
      </w:r>
      <w:r w:rsidR="003645F2">
        <w:rPr>
          <w:rFonts w:ascii="Garamond" w:hAnsi="Garamond"/>
          <w:sz w:val="22"/>
          <w:szCs w:val="22"/>
        </w:rPr>
        <w:t>3</w:t>
      </w:r>
      <w:r w:rsidRPr="00626752">
        <w:rPr>
          <w:rFonts w:ascii="Garamond" w:hAnsi="Garamond"/>
          <w:sz w:val="22"/>
          <w:szCs w:val="22"/>
        </w:rPr>
        <w:t>.</w:t>
      </w:r>
      <w:r w:rsidR="003645F2">
        <w:rPr>
          <w:rFonts w:ascii="Garamond" w:hAnsi="Garamond"/>
          <w:sz w:val="22"/>
          <w:szCs w:val="22"/>
        </w:rPr>
        <w:t>7</w:t>
      </w:r>
      <w:r w:rsidRPr="00626752">
        <w:rPr>
          <w:rFonts w:ascii="Garamond" w:hAnsi="Garamond"/>
          <w:sz w:val="22"/>
          <w:szCs w:val="22"/>
        </w:rPr>
        <w:t xml:space="preserve">%, </w:t>
      </w:r>
      <w:r w:rsidR="00CC20C2" w:rsidRPr="00626752">
        <w:rPr>
          <w:rFonts w:ascii="Garamond" w:hAnsi="Garamond"/>
          <w:sz w:val="22"/>
          <w:szCs w:val="22"/>
        </w:rPr>
        <w:t>respectively</w:t>
      </w:r>
      <w:r w:rsidRPr="00626752">
        <w:rPr>
          <w:rFonts w:ascii="Garamond" w:hAnsi="Garamond"/>
          <w:sz w:val="22"/>
          <w:szCs w:val="22"/>
        </w:rPr>
        <w:t xml:space="preserve">. At the same time, </w:t>
      </w:r>
      <w:r w:rsidR="00A41BFD" w:rsidRPr="00A41BFD">
        <w:rPr>
          <w:rFonts w:ascii="Garamond" w:hAnsi="Garamond"/>
          <w:sz w:val="22"/>
          <w:szCs w:val="22"/>
        </w:rPr>
        <w:t xml:space="preserve">relatively high inflation observed during the quarter </w:t>
      </w:r>
      <w:r w:rsidR="00A41BFD">
        <w:rPr>
          <w:rFonts w:ascii="Garamond" w:hAnsi="Garamond"/>
          <w:sz w:val="22"/>
          <w:szCs w:val="22"/>
        </w:rPr>
        <w:t>was</w:t>
      </w:r>
      <w:r w:rsidR="00A41BFD" w:rsidRPr="00A41BFD">
        <w:rPr>
          <w:rFonts w:ascii="Garamond" w:hAnsi="Garamond"/>
          <w:sz w:val="22"/>
          <w:szCs w:val="22"/>
        </w:rPr>
        <w:t xml:space="preserve"> </w:t>
      </w:r>
      <w:r w:rsidR="00293A3F">
        <w:rPr>
          <w:rFonts w:ascii="Garamond" w:hAnsi="Garamond"/>
          <w:sz w:val="22"/>
          <w:szCs w:val="22"/>
        </w:rPr>
        <w:t xml:space="preserve">largely attributable to </w:t>
      </w:r>
      <w:r w:rsidR="00A41BFD" w:rsidRPr="00A41BFD">
        <w:rPr>
          <w:rFonts w:ascii="Garamond" w:hAnsi="Garamond"/>
          <w:sz w:val="22"/>
          <w:szCs w:val="22"/>
        </w:rPr>
        <w:t>inflation expectations</w:t>
      </w:r>
      <w:r w:rsidR="00293A3F">
        <w:rPr>
          <w:rFonts w:ascii="Garamond" w:hAnsi="Garamond"/>
          <w:sz w:val="22"/>
          <w:szCs w:val="22"/>
        </w:rPr>
        <w:t xml:space="preserve"> that were</w:t>
      </w:r>
      <w:r w:rsidR="00A41BFD" w:rsidRPr="00A41BFD">
        <w:rPr>
          <w:rFonts w:ascii="Garamond" w:hAnsi="Garamond"/>
          <w:sz w:val="22"/>
          <w:szCs w:val="22"/>
        </w:rPr>
        <w:t xml:space="preserve"> growing </w:t>
      </w:r>
      <w:r w:rsidR="00293A3F">
        <w:rPr>
          <w:rFonts w:ascii="Garamond" w:hAnsi="Garamond"/>
          <w:sz w:val="22"/>
          <w:szCs w:val="22"/>
        </w:rPr>
        <w:t xml:space="preserve">even </w:t>
      </w:r>
      <w:r w:rsidR="00A41BFD" w:rsidRPr="00A41BFD">
        <w:rPr>
          <w:rFonts w:ascii="Garamond" w:hAnsi="Garamond"/>
          <w:sz w:val="22"/>
          <w:szCs w:val="22"/>
        </w:rPr>
        <w:t>faster with the population</w:t>
      </w:r>
      <w:r w:rsidR="00293A3F">
        <w:rPr>
          <w:rFonts w:ascii="Garamond" w:hAnsi="Garamond"/>
          <w:sz w:val="22"/>
          <w:szCs w:val="22"/>
        </w:rPr>
        <w:t xml:space="preserve"> </w:t>
      </w:r>
      <w:r w:rsidRPr="00626752">
        <w:rPr>
          <w:rFonts w:ascii="Garamond" w:hAnsi="Garamond"/>
          <w:sz w:val="22"/>
          <w:szCs w:val="22"/>
        </w:rPr>
        <w:t xml:space="preserve">due to </w:t>
      </w:r>
      <w:r w:rsidR="004D4A0F" w:rsidRPr="00626752">
        <w:rPr>
          <w:rFonts w:ascii="Garamond" w:hAnsi="Garamond"/>
          <w:sz w:val="22"/>
          <w:szCs w:val="22"/>
        </w:rPr>
        <w:t>i</w:t>
      </w:r>
      <w:r w:rsidRPr="00626752">
        <w:rPr>
          <w:rFonts w:ascii="Garamond" w:hAnsi="Garamond"/>
          <w:sz w:val="22"/>
          <w:szCs w:val="22"/>
        </w:rPr>
        <w:t>ncrease</w:t>
      </w:r>
      <w:r w:rsidR="004D4A0F" w:rsidRPr="00626752">
        <w:rPr>
          <w:rFonts w:ascii="Garamond" w:hAnsi="Garamond"/>
          <w:sz w:val="22"/>
          <w:szCs w:val="22"/>
        </w:rPr>
        <w:t xml:space="preserve">d </w:t>
      </w:r>
      <w:r w:rsidRPr="00626752">
        <w:rPr>
          <w:rFonts w:ascii="Garamond" w:hAnsi="Garamond"/>
          <w:sz w:val="22"/>
          <w:szCs w:val="22"/>
        </w:rPr>
        <w:t xml:space="preserve">prices for some products in </w:t>
      </w:r>
      <w:r w:rsidR="004D4A0F" w:rsidRPr="00626752">
        <w:rPr>
          <w:rFonts w:ascii="Garamond" w:hAnsi="Garamond"/>
          <w:sz w:val="22"/>
          <w:szCs w:val="22"/>
        </w:rPr>
        <w:t>food markets in the world</w:t>
      </w:r>
      <w:r w:rsidRPr="00626752">
        <w:rPr>
          <w:rFonts w:ascii="Garamond" w:hAnsi="Garamond"/>
          <w:sz w:val="22"/>
          <w:szCs w:val="22"/>
        </w:rPr>
        <w:t>.</w:t>
      </w:r>
    </w:p>
    <w:p w14:paraId="3412AB7C" w14:textId="4D367B15" w:rsidR="009321C8" w:rsidRPr="00626752" w:rsidRDefault="009321C8"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such a situation, the Central Bank reckons, the monetary policy implemented previously proved rather expansionary for the inflation to recover and would still have its impact transmitted </w:t>
      </w:r>
      <w:r w:rsidR="009A64EC">
        <w:rPr>
          <w:rFonts w:ascii="Garamond" w:hAnsi="Garamond"/>
          <w:sz w:val="22"/>
          <w:szCs w:val="22"/>
        </w:rPr>
        <w:t>until</w:t>
      </w:r>
      <w:r w:rsidR="00744899" w:rsidRPr="00626752">
        <w:rPr>
          <w:rFonts w:ascii="Garamond" w:hAnsi="Garamond"/>
          <w:sz w:val="22"/>
          <w:szCs w:val="22"/>
        </w:rPr>
        <w:t xml:space="preserve"> the end of the year. Therefore, the Central Bank </w:t>
      </w:r>
      <w:r w:rsidR="00977017">
        <w:rPr>
          <w:rFonts w:ascii="Garamond" w:hAnsi="Garamond"/>
          <w:sz w:val="22"/>
          <w:szCs w:val="22"/>
        </w:rPr>
        <w:t xml:space="preserve">has </w:t>
      </w:r>
      <w:r w:rsidRPr="00626752">
        <w:rPr>
          <w:rFonts w:ascii="Garamond" w:hAnsi="Garamond"/>
          <w:sz w:val="22"/>
          <w:szCs w:val="22"/>
        </w:rPr>
        <w:t xml:space="preserve">left </w:t>
      </w:r>
      <w:r w:rsidR="00744899" w:rsidRPr="00626752">
        <w:rPr>
          <w:rFonts w:ascii="Garamond" w:hAnsi="Garamond"/>
          <w:sz w:val="22"/>
          <w:szCs w:val="22"/>
        </w:rPr>
        <w:t xml:space="preserve">the monetary conditions unchanged </w:t>
      </w:r>
      <w:r w:rsidR="00977017">
        <w:rPr>
          <w:rFonts w:ascii="Garamond" w:hAnsi="Garamond"/>
          <w:sz w:val="22"/>
          <w:szCs w:val="22"/>
        </w:rPr>
        <w:t xml:space="preserve">in the period March-December, </w:t>
      </w:r>
      <w:r w:rsidRPr="00626752">
        <w:rPr>
          <w:rFonts w:ascii="Garamond" w:hAnsi="Garamond"/>
          <w:b/>
          <w:sz w:val="22"/>
          <w:szCs w:val="22"/>
        </w:rPr>
        <w:t>keeping the refinancing rate at 6%.</w:t>
      </w:r>
      <w:r w:rsidRPr="00626752">
        <w:rPr>
          <w:rFonts w:ascii="Garamond" w:hAnsi="Garamond"/>
          <w:sz w:val="22"/>
          <w:szCs w:val="22"/>
        </w:rPr>
        <w:t xml:space="preserve"> In the fourth quarter, </w:t>
      </w:r>
      <w:r w:rsidR="00E17834" w:rsidRPr="00626752">
        <w:rPr>
          <w:rFonts w:ascii="Garamond" w:hAnsi="Garamond"/>
          <w:sz w:val="22"/>
          <w:szCs w:val="22"/>
        </w:rPr>
        <w:t xml:space="preserve">as the inflation environment expanded and inflation </w:t>
      </w:r>
      <w:r w:rsidRPr="00626752">
        <w:rPr>
          <w:rFonts w:ascii="Garamond" w:hAnsi="Garamond"/>
          <w:sz w:val="22"/>
          <w:szCs w:val="22"/>
        </w:rPr>
        <w:t>expectations</w:t>
      </w:r>
      <w:r w:rsidR="00E17834" w:rsidRPr="00626752">
        <w:rPr>
          <w:rFonts w:ascii="Garamond" w:hAnsi="Garamond"/>
          <w:sz w:val="22"/>
          <w:szCs w:val="22"/>
        </w:rPr>
        <w:t xml:space="preserve"> grew</w:t>
      </w:r>
      <w:r w:rsidRPr="00626752">
        <w:rPr>
          <w:rFonts w:ascii="Garamond" w:hAnsi="Garamond"/>
          <w:sz w:val="22"/>
          <w:szCs w:val="22"/>
        </w:rPr>
        <w:t xml:space="preserve">, </w:t>
      </w:r>
      <w:r w:rsidR="00977017">
        <w:rPr>
          <w:rFonts w:ascii="Garamond" w:hAnsi="Garamond"/>
          <w:sz w:val="22"/>
          <w:szCs w:val="22"/>
        </w:rPr>
        <w:t xml:space="preserve">this </w:t>
      </w:r>
      <w:r w:rsidR="004D45BE">
        <w:rPr>
          <w:rFonts w:ascii="Garamond" w:hAnsi="Garamond"/>
          <w:sz w:val="22"/>
          <w:szCs w:val="22"/>
        </w:rPr>
        <w:t xml:space="preserve">also </w:t>
      </w:r>
      <w:r w:rsidR="00977017">
        <w:rPr>
          <w:rFonts w:ascii="Garamond" w:hAnsi="Garamond"/>
          <w:sz w:val="22"/>
          <w:szCs w:val="22"/>
        </w:rPr>
        <w:t xml:space="preserve">justified </w:t>
      </w:r>
      <w:r w:rsidR="00977017" w:rsidRPr="00977017">
        <w:rPr>
          <w:rFonts w:ascii="Garamond" w:hAnsi="Garamond"/>
          <w:sz w:val="22"/>
          <w:szCs w:val="22"/>
        </w:rPr>
        <w:t>the need to ensure sustain</w:t>
      </w:r>
      <w:r w:rsidR="00977017">
        <w:rPr>
          <w:rFonts w:ascii="Garamond" w:hAnsi="Garamond"/>
          <w:sz w:val="22"/>
          <w:szCs w:val="22"/>
        </w:rPr>
        <w:t>ed recovery of demand.</w:t>
      </w:r>
      <w:r w:rsidRPr="00626752">
        <w:rPr>
          <w:rFonts w:ascii="Garamond" w:hAnsi="Garamond"/>
          <w:sz w:val="22"/>
          <w:szCs w:val="22"/>
        </w:rPr>
        <w:t xml:space="preserve"> </w:t>
      </w:r>
      <w:r w:rsidR="00CC4FF9">
        <w:rPr>
          <w:rFonts w:ascii="Garamond" w:hAnsi="Garamond"/>
          <w:sz w:val="22"/>
          <w:szCs w:val="22"/>
        </w:rPr>
        <w:t xml:space="preserve">At the end of the year the Central Bank signaled </w:t>
      </w:r>
      <w:r w:rsidRPr="00626752">
        <w:rPr>
          <w:rFonts w:ascii="Garamond" w:hAnsi="Garamond"/>
          <w:sz w:val="22"/>
          <w:szCs w:val="22"/>
        </w:rPr>
        <w:t xml:space="preserve">the financial market </w:t>
      </w:r>
      <w:r w:rsidRPr="00626752">
        <w:rPr>
          <w:rFonts w:ascii="Garamond" w:hAnsi="Garamond"/>
          <w:b/>
          <w:sz w:val="22"/>
          <w:szCs w:val="22"/>
        </w:rPr>
        <w:t xml:space="preserve">that </w:t>
      </w:r>
      <w:r w:rsidR="00E17834" w:rsidRPr="00626752">
        <w:rPr>
          <w:rFonts w:ascii="Garamond" w:hAnsi="Garamond"/>
          <w:b/>
          <w:sz w:val="22"/>
          <w:szCs w:val="22"/>
        </w:rPr>
        <w:t xml:space="preserve">stimulating monetary conditions </w:t>
      </w:r>
      <w:r w:rsidR="00314E55">
        <w:rPr>
          <w:rFonts w:ascii="Garamond" w:hAnsi="Garamond"/>
          <w:b/>
          <w:sz w:val="22"/>
          <w:szCs w:val="22"/>
        </w:rPr>
        <w:t xml:space="preserve">would </w:t>
      </w:r>
      <w:r w:rsidR="00E17834" w:rsidRPr="00626752">
        <w:rPr>
          <w:rFonts w:ascii="Garamond" w:hAnsi="Garamond"/>
          <w:b/>
          <w:sz w:val="22"/>
          <w:szCs w:val="22"/>
        </w:rPr>
        <w:t xml:space="preserve">need to </w:t>
      </w:r>
      <w:r w:rsidR="00481E7A">
        <w:rPr>
          <w:rFonts w:ascii="Garamond" w:hAnsi="Garamond"/>
          <w:b/>
          <w:sz w:val="22"/>
          <w:szCs w:val="22"/>
        </w:rPr>
        <w:t xml:space="preserve">phase out </w:t>
      </w:r>
      <w:r w:rsidR="00E17834" w:rsidRPr="00626752">
        <w:rPr>
          <w:rFonts w:ascii="Garamond" w:hAnsi="Garamond"/>
          <w:b/>
          <w:sz w:val="22"/>
          <w:szCs w:val="22"/>
        </w:rPr>
        <w:t>gradually</w:t>
      </w:r>
      <w:r w:rsidR="00B36A0F" w:rsidRPr="00626752">
        <w:rPr>
          <w:rFonts w:ascii="Garamond" w:hAnsi="Garamond"/>
          <w:sz w:val="22"/>
          <w:szCs w:val="22"/>
        </w:rPr>
        <w:t xml:space="preserve"> in the light of forecast developments</w:t>
      </w:r>
      <w:r w:rsidR="00E17834" w:rsidRPr="00626752">
        <w:rPr>
          <w:rFonts w:ascii="Garamond" w:hAnsi="Garamond"/>
          <w:sz w:val="22"/>
          <w:szCs w:val="22"/>
        </w:rPr>
        <w:t>.</w:t>
      </w:r>
      <w:r w:rsidR="00B36A0F" w:rsidRPr="00626752">
        <w:rPr>
          <w:rFonts w:ascii="Garamond" w:hAnsi="Garamond"/>
          <w:sz w:val="22"/>
          <w:szCs w:val="22"/>
        </w:rPr>
        <w:t xml:space="preserve"> </w:t>
      </w:r>
      <w:r w:rsidRPr="00626752">
        <w:rPr>
          <w:rFonts w:ascii="Garamond" w:hAnsi="Garamond"/>
          <w:sz w:val="22"/>
          <w:szCs w:val="22"/>
        </w:rPr>
        <w:t>As a result</w:t>
      </w:r>
      <w:r w:rsidR="00D1396A">
        <w:rPr>
          <w:rFonts w:ascii="Garamond" w:hAnsi="Garamond"/>
          <w:sz w:val="22"/>
          <w:szCs w:val="22"/>
        </w:rPr>
        <w:t xml:space="preserve"> of such a monetary policy</w:t>
      </w:r>
      <w:r w:rsidRPr="00626752">
        <w:rPr>
          <w:rFonts w:ascii="Garamond" w:hAnsi="Garamond"/>
          <w:sz w:val="22"/>
          <w:szCs w:val="22"/>
        </w:rPr>
        <w:t xml:space="preserve">, inflation will </w:t>
      </w:r>
      <w:r w:rsidR="00D1396A">
        <w:rPr>
          <w:rFonts w:ascii="Garamond" w:hAnsi="Garamond"/>
          <w:sz w:val="22"/>
          <w:szCs w:val="22"/>
        </w:rPr>
        <w:t xml:space="preserve">be </w:t>
      </w:r>
      <w:r w:rsidR="00332C46" w:rsidRPr="00626752">
        <w:rPr>
          <w:rFonts w:ascii="Garamond" w:hAnsi="Garamond"/>
          <w:sz w:val="22"/>
          <w:szCs w:val="22"/>
        </w:rPr>
        <w:t>shaping within the confidence band</w:t>
      </w:r>
      <w:r w:rsidR="00D1396A">
        <w:rPr>
          <w:rFonts w:ascii="Garamond" w:hAnsi="Garamond"/>
          <w:sz w:val="22"/>
          <w:szCs w:val="22"/>
        </w:rPr>
        <w:t xml:space="preserve"> </w:t>
      </w:r>
      <w:r w:rsidR="00332C46" w:rsidRPr="00626752">
        <w:rPr>
          <w:rFonts w:ascii="Garamond" w:hAnsi="Garamond"/>
          <w:sz w:val="22"/>
          <w:szCs w:val="22"/>
        </w:rPr>
        <w:t>in the forecast horizon</w:t>
      </w:r>
      <w:r w:rsidR="00D1396A">
        <w:rPr>
          <w:rFonts w:ascii="Garamond" w:hAnsi="Garamond"/>
          <w:sz w:val="22"/>
          <w:szCs w:val="22"/>
        </w:rPr>
        <w:t xml:space="preserve"> and, starting the end of 2019,</w:t>
      </w:r>
      <w:r w:rsidR="00332C46" w:rsidRPr="00626752">
        <w:rPr>
          <w:rFonts w:ascii="Garamond" w:hAnsi="Garamond"/>
          <w:sz w:val="22"/>
          <w:szCs w:val="22"/>
        </w:rPr>
        <w:t xml:space="preserve"> it will stabilize around the target</w:t>
      </w:r>
      <w:r w:rsidRPr="00626752">
        <w:rPr>
          <w:rFonts w:ascii="Garamond" w:hAnsi="Garamond"/>
          <w:sz w:val="22"/>
          <w:szCs w:val="22"/>
        </w:rPr>
        <w:t>.</w:t>
      </w:r>
    </w:p>
    <w:p w14:paraId="4B4980B3" w14:textId="77777777" w:rsidR="001E301B" w:rsidRPr="00626752" w:rsidRDefault="001E301B"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3.1.2. Prices</w:t>
      </w:r>
    </w:p>
    <w:p w14:paraId="5DDB25E6" w14:textId="77777777" w:rsidR="00933B63" w:rsidRPr="00626752" w:rsidRDefault="001E301B" w:rsidP="00933B63">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Consumer prices:</w:t>
      </w:r>
      <w:r w:rsidRPr="00626752">
        <w:rPr>
          <w:rFonts w:ascii="Garamond" w:hAnsi="Garamond"/>
          <w:sz w:val="22"/>
          <w:szCs w:val="22"/>
        </w:rPr>
        <w:t xml:space="preserve"> There was </w:t>
      </w:r>
      <w:r w:rsidR="00D1396A">
        <w:rPr>
          <w:rFonts w:ascii="Garamond" w:hAnsi="Garamond"/>
          <w:b/>
          <w:sz w:val="22"/>
          <w:szCs w:val="22"/>
        </w:rPr>
        <w:t>4</w:t>
      </w:r>
      <w:r w:rsidRPr="00626752">
        <w:rPr>
          <w:rFonts w:ascii="Garamond" w:hAnsi="Garamond"/>
          <w:b/>
          <w:sz w:val="22"/>
          <w:szCs w:val="22"/>
        </w:rPr>
        <w:t>.</w:t>
      </w:r>
      <w:r w:rsidR="00D1396A">
        <w:rPr>
          <w:rFonts w:ascii="Garamond" w:hAnsi="Garamond"/>
          <w:b/>
          <w:sz w:val="22"/>
          <w:szCs w:val="22"/>
        </w:rPr>
        <w:t>3</w:t>
      </w:r>
      <w:r w:rsidRPr="00626752">
        <w:rPr>
          <w:rFonts w:ascii="Garamond" w:hAnsi="Garamond"/>
          <w:b/>
          <w:sz w:val="22"/>
          <w:szCs w:val="22"/>
        </w:rPr>
        <w:t>% inflation</w:t>
      </w:r>
      <w:r w:rsidRPr="00626752">
        <w:rPr>
          <w:rFonts w:ascii="Garamond" w:hAnsi="Garamond"/>
          <w:sz w:val="22"/>
          <w:szCs w:val="22"/>
        </w:rPr>
        <w:t xml:space="preserve"> recorded </w:t>
      </w:r>
      <w:r w:rsidR="008371E8">
        <w:rPr>
          <w:rFonts w:ascii="Garamond" w:hAnsi="Garamond"/>
          <w:sz w:val="22"/>
          <w:szCs w:val="22"/>
        </w:rPr>
        <w:t xml:space="preserve">in </w:t>
      </w:r>
      <w:r w:rsidRPr="00626752">
        <w:rPr>
          <w:rFonts w:ascii="Garamond" w:hAnsi="Garamond"/>
          <w:sz w:val="22"/>
          <w:szCs w:val="22"/>
        </w:rPr>
        <w:t xml:space="preserve">the </w:t>
      </w:r>
      <w:r w:rsidR="00D1396A">
        <w:rPr>
          <w:rFonts w:ascii="Garamond" w:hAnsi="Garamond"/>
          <w:sz w:val="22"/>
          <w:szCs w:val="22"/>
        </w:rPr>
        <w:t>fourth</w:t>
      </w:r>
      <w:r w:rsidRPr="00626752">
        <w:rPr>
          <w:rFonts w:ascii="Garamond" w:hAnsi="Garamond"/>
          <w:sz w:val="22"/>
          <w:szCs w:val="22"/>
        </w:rPr>
        <w:t xml:space="preserve"> quarter of 2017</w:t>
      </w:r>
      <w:r w:rsidR="00DB360B">
        <w:rPr>
          <w:rFonts w:ascii="Garamond" w:hAnsi="Garamond"/>
          <w:sz w:val="22"/>
          <w:szCs w:val="22"/>
        </w:rPr>
        <w:t>, as was expected,</w:t>
      </w:r>
      <w:r w:rsidRPr="00626752">
        <w:rPr>
          <w:rFonts w:ascii="Garamond" w:hAnsi="Garamond"/>
          <w:sz w:val="22"/>
          <w:szCs w:val="22"/>
        </w:rPr>
        <w:t xml:space="preserve"> </w:t>
      </w:r>
      <w:r w:rsidR="008371E8">
        <w:rPr>
          <w:rFonts w:ascii="Garamond" w:hAnsi="Garamond"/>
          <w:sz w:val="22"/>
          <w:szCs w:val="22"/>
        </w:rPr>
        <w:t>mostly</w:t>
      </w:r>
      <w:r w:rsidRPr="00626752">
        <w:rPr>
          <w:rFonts w:ascii="Garamond" w:hAnsi="Garamond"/>
          <w:sz w:val="22"/>
          <w:szCs w:val="22"/>
        </w:rPr>
        <w:t xml:space="preserve"> due </w:t>
      </w:r>
      <w:r w:rsidR="008371E8">
        <w:rPr>
          <w:rFonts w:ascii="Garamond" w:hAnsi="Garamond"/>
          <w:sz w:val="22"/>
          <w:szCs w:val="22"/>
        </w:rPr>
        <w:t>to high seasonally-sensitive prices of</w:t>
      </w:r>
      <w:r w:rsidR="00BD2D01" w:rsidRPr="00626752">
        <w:rPr>
          <w:rFonts w:ascii="Garamond" w:hAnsi="Garamond"/>
          <w:sz w:val="22"/>
          <w:szCs w:val="22"/>
        </w:rPr>
        <w:t xml:space="preserve"> food products</w:t>
      </w:r>
      <w:r w:rsidRPr="00626752">
        <w:rPr>
          <w:rFonts w:ascii="Garamond" w:hAnsi="Garamond"/>
          <w:sz w:val="22"/>
          <w:szCs w:val="22"/>
        </w:rPr>
        <w:t>, particularly</w:t>
      </w:r>
      <w:r w:rsidR="00BD2D01" w:rsidRPr="00626752">
        <w:rPr>
          <w:rFonts w:ascii="Garamond" w:hAnsi="Garamond"/>
          <w:sz w:val="22"/>
          <w:szCs w:val="22"/>
        </w:rPr>
        <w:t xml:space="preserve"> </w:t>
      </w:r>
      <w:r w:rsidRPr="00626752">
        <w:rPr>
          <w:rFonts w:ascii="Garamond" w:hAnsi="Garamond"/>
          <w:b/>
          <w:sz w:val="22"/>
          <w:szCs w:val="22"/>
        </w:rPr>
        <w:t xml:space="preserve">vegetables </w:t>
      </w:r>
      <w:r w:rsidR="008371E8">
        <w:rPr>
          <w:rFonts w:ascii="Garamond" w:hAnsi="Garamond"/>
          <w:sz w:val="22"/>
          <w:szCs w:val="22"/>
        </w:rPr>
        <w:t>and</w:t>
      </w:r>
      <w:r w:rsidRPr="00626752">
        <w:rPr>
          <w:rFonts w:ascii="Garamond" w:hAnsi="Garamond"/>
          <w:b/>
          <w:sz w:val="22"/>
          <w:szCs w:val="22"/>
        </w:rPr>
        <w:t xml:space="preserve"> potatoes</w:t>
      </w:r>
      <w:r w:rsidRPr="00626752">
        <w:rPr>
          <w:rFonts w:ascii="Garamond" w:hAnsi="Garamond"/>
          <w:sz w:val="22"/>
          <w:szCs w:val="22"/>
        </w:rPr>
        <w:t xml:space="preserve"> </w:t>
      </w:r>
      <w:r w:rsidR="008371E8">
        <w:rPr>
          <w:rFonts w:ascii="Garamond" w:hAnsi="Garamond"/>
          <w:sz w:val="22"/>
          <w:szCs w:val="22"/>
        </w:rPr>
        <w:t>(74</w:t>
      </w:r>
      <w:r w:rsidRPr="00626752">
        <w:rPr>
          <w:rFonts w:ascii="Garamond" w:hAnsi="Garamond"/>
          <w:sz w:val="22"/>
          <w:szCs w:val="22"/>
        </w:rPr>
        <w:t>.</w:t>
      </w:r>
      <w:r w:rsidR="008371E8">
        <w:rPr>
          <w:rFonts w:ascii="Garamond" w:hAnsi="Garamond"/>
          <w:sz w:val="22"/>
          <w:szCs w:val="22"/>
        </w:rPr>
        <w:t>8</w:t>
      </w:r>
      <w:r w:rsidRPr="00626752">
        <w:rPr>
          <w:rFonts w:ascii="Garamond" w:hAnsi="Garamond"/>
          <w:sz w:val="22"/>
          <w:szCs w:val="22"/>
        </w:rPr>
        <w:t>%</w:t>
      </w:r>
      <w:r w:rsidR="008371E8">
        <w:rPr>
          <w:rFonts w:ascii="Garamond" w:hAnsi="Garamond"/>
          <w:sz w:val="22"/>
          <w:szCs w:val="22"/>
        </w:rPr>
        <w:t xml:space="preserve">), </w:t>
      </w:r>
      <w:r w:rsidR="008371E8" w:rsidRPr="008371E8">
        <w:rPr>
          <w:rFonts w:ascii="Garamond" w:hAnsi="Garamond"/>
          <w:b/>
          <w:sz w:val="22"/>
          <w:szCs w:val="22"/>
        </w:rPr>
        <w:t>fruits</w:t>
      </w:r>
      <w:r w:rsidRPr="00626752">
        <w:rPr>
          <w:rFonts w:ascii="Garamond" w:hAnsi="Garamond"/>
          <w:sz w:val="22"/>
          <w:szCs w:val="22"/>
        </w:rPr>
        <w:t xml:space="preserve"> </w:t>
      </w:r>
      <w:r w:rsidR="008371E8">
        <w:rPr>
          <w:rFonts w:ascii="Garamond" w:hAnsi="Garamond"/>
          <w:sz w:val="22"/>
          <w:szCs w:val="22"/>
        </w:rPr>
        <w:t xml:space="preserve">(6.5%) </w:t>
      </w:r>
      <w:r w:rsidRPr="00626752">
        <w:rPr>
          <w:rFonts w:ascii="Garamond" w:hAnsi="Garamond"/>
          <w:sz w:val="22"/>
          <w:szCs w:val="22"/>
        </w:rPr>
        <w:t xml:space="preserve">and </w:t>
      </w:r>
      <w:r w:rsidR="008371E8" w:rsidRPr="008371E8">
        <w:rPr>
          <w:rFonts w:ascii="Garamond" w:hAnsi="Garamond"/>
          <w:b/>
          <w:sz w:val="22"/>
          <w:szCs w:val="22"/>
        </w:rPr>
        <w:t>eggs</w:t>
      </w:r>
      <w:r w:rsidR="008371E8">
        <w:rPr>
          <w:rFonts w:ascii="Garamond" w:hAnsi="Garamond"/>
          <w:sz w:val="22"/>
          <w:szCs w:val="22"/>
        </w:rPr>
        <w:t xml:space="preserve"> (19.5%)</w:t>
      </w:r>
      <w:r w:rsidR="00DB360B">
        <w:rPr>
          <w:rFonts w:ascii="Garamond" w:hAnsi="Garamond"/>
          <w:sz w:val="22"/>
          <w:szCs w:val="22"/>
        </w:rPr>
        <w:t xml:space="preserve"> (combined contribution to the</w:t>
      </w:r>
      <w:r w:rsidRPr="00626752">
        <w:rPr>
          <w:rFonts w:ascii="Garamond" w:hAnsi="Garamond"/>
          <w:sz w:val="22"/>
          <w:szCs w:val="22"/>
        </w:rPr>
        <w:t xml:space="preserve"> quarter</w:t>
      </w:r>
      <w:r w:rsidR="00BD2D01" w:rsidRPr="00626752">
        <w:rPr>
          <w:rFonts w:ascii="Garamond" w:hAnsi="Garamond"/>
          <w:sz w:val="22"/>
          <w:szCs w:val="22"/>
        </w:rPr>
        <w:t xml:space="preserve">’s </w:t>
      </w:r>
      <w:r w:rsidRPr="00626752">
        <w:rPr>
          <w:rFonts w:ascii="Garamond" w:hAnsi="Garamond"/>
          <w:sz w:val="22"/>
          <w:szCs w:val="22"/>
        </w:rPr>
        <w:t>inflation</w:t>
      </w:r>
      <w:r w:rsidR="00BD2D01" w:rsidRPr="00626752">
        <w:rPr>
          <w:rFonts w:ascii="Garamond" w:hAnsi="Garamond"/>
          <w:sz w:val="22"/>
          <w:szCs w:val="22"/>
        </w:rPr>
        <w:t>:</w:t>
      </w:r>
      <w:r w:rsidR="00DB360B">
        <w:rPr>
          <w:rFonts w:ascii="Garamond" w:hAnsi="Garamond"/>
          <w:sz w:val="22"/>
          <w:szCs w:val="22"/>
        </w:rPr>
        <w:t xml:space="preserve"> </w:t>
      </w:r>
      <w:r w:rsidRPr="00626752">
        <w:rPr>
          <w:rFonts w:ascii="Garamond" w:hAnsi="Garamond"/>
          <w:sz w:val="22"/>
          <w:szCs w:val="22"/>
        </w:rPr>
        <w:t xml:space="preserve">about </w:t>
      </w:r>
      <w:r w:rsidR="00DB360B">
        <w:rPr>
          <w:rFonts w:ascii="Garamond" w:hAnsi="Garamond"/>
          <w:sz w:val="22"/>
          <w:szCs w:val="22"/>
        </w:rPr>
        <w:t>4</w:t>
      </w:r>
      <w:r w:rsidRPr="00626752">
        <w:rPr>
          <w:rFonts w:ascii="Garamond" w:hAnsi="Garamond"/>
          <w:sz w:val="22"/>
          <w:szCs w:val="22"/>
        </w:rPr>
        <w:t>.</w:t>
      </w:r>
      <w:r w:rsidR="00DB360B">
        <w:rPr>
          <w:rFonts w:ascii="Garamond" w:hAnsi="Garamond"/>
          <w:sz w:val="22"/>
          <w:szCs w:val="22"/>
        </w:rPr>
        <w:t>5</w:t>
      </w:r>
      <w:r w:rsidRPr="00626752">
        <w:rPr>
          <w:rFonts w:ascii="Garamond" w:hAnsi="Garamond"/>
          <w:sz w:val="22"/>
          <w:szCs w:val="22"/>
        </w:rPr>
        <w:t xml:space="preserve"> p</w:t>
      </w:r>
      <w:r w:rsidR="00BD2D01" w:rsidRPr="00626752">
        <w:rPr>
          <w:rFonts w:ascii="Garamond" w:hAnsi="Garamond"/>
          <w:sz w:val="22"/>
          <w:szCs w:val="22"/>
        </w:rPr>
        <w:t>p</w:t>
      </w:r>
      <w:r w:rsidRPr="00626752">
        <w:rPr>
          <w:rFonts w:ascii="Garamond" w:hAnsi="Garamond"/>
          <w:sz w:val="22"/>
          <w:szCs w:val="22"/>
        </w:rPr>
        <w:t xml:space="preserve">). </w:t>
      </w:r>
      <w:r w:rsidR="00073A22" w:rsidRPr="00073A22">
        <w:rPr>
          <w:rFonts w:ascii="Garamond" w:hAnsi="Garamond"/>
          <w:sz w:val="22"/>
          <w:szCs w:val="22"/>
        </w:rPr>
        <w:t xml:space="preserve">Meanwhile, </w:t>
      </w:r>
      <w:r w:rsidR="00073A22">
        <w:rPr>
          <w:rFonts w:ascii="Garamond" w:hAnsi="Garamond"/>
          <w:sz w:val="22"/>
          <w:szCs w:val="22"/>
        </w:rPr>
        <w:t xml:space="preserve">core inflation rate has </w:t>
      </w:r>
      <w:r w:rsidR="00073A22" w:rsidRPr="00073A22">
        <w:rPr>
          <w:rFonts w:ascii="Garamond" w:hAnsi="Garamond"/>
          <w:sz w:val="22"/>
          <w:szCs w:val="22"/>
        </w:rPr>
        <w:t xml:space="preserve">accelerated </w:t>
      </w:r>
      <w:r w:rsidR="00073A22">
        <w:rPr>
          <w:rFonts w:ascii="Garamond" w:hAnsi="Garamond"/>
          <w:sz w:val="22"/>
          <w:szCs w:val="22"/>
        </w:rPr>
        <w:t>(</w:t>
      </w:r>
      <w:r w:rsidR="00073A22" w:rsidRPr="00073A22">
        <w:rPr>
          <w:rFonts w:ascii="Garamond" w:hAnsi="Garamond"/>
          <w:sz w:val="22"/>
          <w:szCs w:val="22"/>
        </w:rPr>
        <w:t>1.8%), driven by increase</w:t>
      </w:r>
      <w:r w:rsidR="00073A22">
        <w:rPr>
          <w:rFonts w:ascii="Garamond" w:hAnsi="Garamond"/>
          <w:sz w:val="22"/>
          <w:szCs w:val="22"/>
        </w:rPr>
        <w:t>d</w:t>
      </w:r>
      <w:r w:rsidR="00073A22" w:rsidRPr="00073A22">
        <w:rPr>
          <w:rFonts w:ascii="Garamond" w:hAnsi="Garamond"/>
          <w:sz w:val="22"/>
          <w:szCs w:val="22"/>
        </w:rPr>
        <w:t xml:space="preserve"> prices for </w:t>
      </w:r>
      <w:r w:rsidR="00073A22" w:rsidRPr="00073A22">
        <w:rPr>
          <w:rFonts w:ascii="Garamond" w:hAnsi="Garamond"/>
          <w:b/>
          <w:sz w:val="22"/>
          <w:szCs w:val="22"/>
        </w:rPr>
        <w:t xml:space="preserve">oils </w:t>
      </w:r>
      <w:r w:rsidR="00073A22" w:rsidRPr="00073A22">
        <w:rPr>
          <w:rFonts w:ascii="Garamond" w:hAnsi="Garamond"/>
          <w:sz w:val="22"/>
          <w:szCs w:val="22"/>
        </w:rPr>
        <w:t>and</w:t>
      </w:r>
      <w:r w:rsidR="00073A22" w:rsidRPr="00073A22">
        <w:rPr>
          <w:rFonts w:ascii="Garamond" w:hAnsi="Garamond"/>
          <w:b/>
          <w:sz w:val="22"/>
          <w:szCs w:val="22"/>
        </w:rPr>
        <w:t xml:space="preserve"> fats</w:t>
      </w:r>
      <w:r w:rsidR="00073A22" w:rsidRPr="00073A22">
        <w:rPr>
          <w:rFonts w:ascii="Garamond" w:hAnsi="Garamond"/>
          <w:sz w:val="22"/>
          <w:szCs w:val="22"/>
        </w:rPr>
        <w:t xml:space="preserve">, </w:t>
      </w:r>
      <w:r w:rsidR="00073A22" w:rsidRPr="00073A22">
        <w:rPr>
          <w:rFonts w:ascii="Garamond" w:hAnsi="Garamond"/>
          <w:b/>
          <w:sz w:val="22"/>
          <w:szCs w:val="22"/>
        </w:rPr>
        <w:t>dairy products</w:t>
      </w:r>
      <w:r w:rsidR="00073A22" w:rsidRPr="00073A22">
        <w:rPr>
          <w:rFonts w:ascii="Garamond" w:hAnsi="Garamond"/>
          <w:sz w:val="22"/>
          <w:szCs w:val="22"/>
        </w:rPr>
        <w:t xml:space="preserve">, </w:t>
      </w:r>
      <w:r w:rsidR="00073A22" w:rsidRPr="00073A22">
        <w:rPr>
          <w:rFonts w:ascii="Garamond" w:hAnsi="Garamond"/>
          <w:b/>
          <w:sz w:val="22"/>
          <w:szCs w:val="22"/>
        </w:rPr>
        <w:t>meat products</w:t>
      </w:r>
      <w:r w:rsidR="00073A22" w:rsidRPr="00073A22">
        <w:rPr>
          <w:rFonts w:ascii="Garamond" w:hAnsi="Garamond"/>
          <w:sz w:val="22"/>
          <w:szCs w:val="22"/>
        </w:rPr>
        <w:t xml:space="preserve">, </w:t>
      </w:r>
      <w:r w:rsidR="00073A22" w:rsidRPr="00073A22">
        <w:rPr>
          <w:rFonts w:ascii="Garamond" w:hAnsi="Garamond"/>
          <w:b/>
          <w:sz w:val="22"/>
          <w:szCs w:val="22"/>
        </w:rPr>
        <w:t>clothes</w:t>
      </w:r>
      <w:r w:rsidR="00073A22" w:rsidRPr="00073A22">
        <w:rPr>
          <w:rFonts w:ascii="Garamond" w:hAnsi="Garamond"/>
          <w:sz w:val="22"/>
          <w:szCs w:val="22"/>
        </w:rPr>
        <w:t xml:space="preserve"> and</w:t>
      </w:r>
      <w:r w:rsidR="00073A22">
        <w:rPr>
          <w:rFonts w:ascii="Garamond" w:hAnsi="Garamond"/>
          <w:sz w:val="22"/>
          <w:szCs w:val="22"/>
        </w:rPr>
        <w:t xml:space="preserve"> </w:t>
      </w:r>
      <w:r w:rsidR="00073A22" w:rsidRPr="00073A22">
        <w:rPr>
          <w:rFonts w:ascii="Garamond" w:hAnsi="Garamond"/>
          <w:b/>
          <w:sz w:val="22"/>
          <w:szCs w:val="22"/>
        </w:rPr>
        <w:t>footw</w:t>
      </w:r>
      <w:r w:rsidR="00073A22">
        <w:rPr>
          <w:rFonts w:ascii="Garamond" w:hAnsi="Garamond"/>
          <w:b/>
          <w:sz w:val="22"/>
          <w:szCs w:val="22"/>
        </w:rPr>
        <w:t>ear</w:t>
      </w:r>
      <w:r w:rsidR="00073A22" w:rsidRPr="00073A22">
        <w:rPr>
          <w:rFonts w:ascii="Garamond" w:hAnsi="Garamond"/>
          <w:sz w:val="22"/>
          <w:szCs w:val="22"/>
        </w:rPr>
        <w:t xml:space="preserve"> </w:t>
      </w:r>
      <w:r w:rsidR="00612C14">
        <w:rPr>
          <w:rFonts w:ascii="Garamond" w:hAnsi="Garamond"/>
          <w:sz w:val="22"/>
          <w:szCs w:val="22"/>
        </w:rPr>
        <w:t xml:space="preserve">by </w:t>
      </w:r>
      <w:r w:rsidR="00073A22" w:rsidRPr="00073A22">
        <w:rPr>
          <w:rFonts w:ascii="Garamond" w:hAnsi="Garamond"/>
          <w:sz w:val="22"/>
          <w:szCs w:val="22"/>
        </w:rPr>
        <w:t>7.2%, 5.4% , 4.3%, 11.1% and 7.1%</w:t>
      </w:r>
      <w:r w:rsidR="00612C14">
        <w:rPr>
          <w:rFonts w:ascii="Garamond" w:hAnsi="Garamond"/>
          <w:sz w:val="22"/>
          <w:szCs w:val="22"/>
        </w:rPr>
        <w:t>, respectively (combined contribution to the</w:t>
      </w:r>
      <w:r w:rsidR="00612C14" w:rsidRPr="00626752">
        <w:rPr>
          <w:rFonts w:ascii="Garamond" w:hAnsi="Garamond"/>
          <w:sz w:val="22"/>
          <w:szCs w:val="22"/>
        </w:rPr>
        <w:t xml:space="preserve"> quarter’s inflation:</w:t>
      </w:r>
      <w:r w:rsidR="00612C14">
        <w:rPr>
          <w:rFonts w:ascii="Garamond" w:hAnsi="Garamond"/>
          <w:sz w:val="22"/>
          <w:szCs w:val="22"/>
        </w:rPr>
        <w:t xml:space="preserve"> </w:t>
      </w:r>
      <w:r w:rsidR="00612C14" w:rsidRPr="00626752">
        <w:rPr>
          <w:rFonts w:ascii="Garamond" w:hAnsi="Garamond"/>
          <w:sz w:val="22"/>
          <w:szCs w:val="22"/>
        </w:rPr>
        <w:t xml:space="preserve">about </w:t>
      </w:r>
      <w:r w:rsidR="00612C14">
        <w:rPr>
          <w:rFonts w:ascii="Garamond" w:hAnsi="Garamond"/>
          <w:sz w:val="22"/>
          <w:szCs w:val="22"/>
        </w:rPr>
        <w:t>1</w:t>
      </w:r>
      <w:r w:rsidR="00612C14" w:rsidRPr="00626752">
        <w:rPr>
          <w:rFonts w:ascii="Garamond" w:hAnsi="Garamond"/>
          <w:sz w:val="22"/>
          <w:szCs w:val="22"/>
        </w:rPr>
        <w:t>.</w:t>
      </w:r>
      <w:r w:rsidR="00612C14">
        <w:rPr>
          <w:rFonts w:ascii="Garamond" w:hAnsi="Garamond"/>
          <w:sz w:val="22"/>
          <w:szCs w:val="22"/>
        </w:rPr>
        <w:t>2</w:t>
      </w:r>
      <w:r w:rsidR="00612C14" w:rsidRPr="00626752">
        <w:rPr>
          <w:rFonts w:ascii="Garamond" w:hAnsi="Garamond"/>
          <w:sz w:val="22"/>
          <w:szCs w:val="22"/>
        </w:rPr>
        <w:t xml:space="preserve"> pp).</w:t>
      </w:r>
      <w:r w:rsidR="00612C14">
        <w:rPr>
          <w:rFonts w:ascii="Garamond" w:hAnsi="Garamond"/>
          <w:sz w:val="22"/>
          <w:szCs w:val="22"/>
        </w:rPr>
        <w:t xml:space="preserve"> Such high price inflation owed to persisting </w:t>
      </w:r>
      <w:r w:rsidR="00612C14" w:rsidRPr="00612C14">
        <w:rPr>
          <w:rFonts w:ascii="Garamond" w:hAnsi="Garamond"/>
          <w:sz w:val="22"/>
          <w:szCs w:val="22"/>
        </w:rPr>
        <w:t xml:space="preserve">inflationary </w:t>
      </w:r>
      <w:r w:rsidR="00612C14" w:rsidRPr="00612C14">
        <w:rPr>
          <w:rFonts w:ascii="Garamond" w:hAnsi="Garamond"/>
          <w:sz w:val="22"/>
          <w:szCs w:val="22"/>
        </w:rPr>
        <w:lastRenderedPageBreak/>
        <w:t xml:space="preserve">developments in the </w:t>
      </w:r>
      <w:r w:rsidR="00612C14">
        <w:rPr>
          <w:rFonts w:ascii="Garamond" w:hAnsi="Garamond"/>
          <w:sz w:val="22"/>
          <w:szCs w:val="22"/>
        </w:rPr>
        <w:t xml:space="preserve">world’s food </w:t>
      </w:r>
      <w:r w:rsidR="00612C14" w:rsidRPr="00612C14">
        <w:rPr>
          <w:rFonts w:ascii="Garamond" w:hAnsi="Garamond"/>
          <w:sz w:val="22"/>
          <w:szCs w:val="22"/>
        </w:rPr>
        <w:t xml:space="preserve">markets </w:t>
      </w:r>
      <w:r w:rsidR="00612C14">
        <w:rPr>
          <w:rFonts w:ascii="Garamond" w:hAnsi="Garamond"/>
          <w:sz w:val="22"/>
          <w:szCs w:val="22"/>
        </w:rPr>
        <w:t xml:space="preserve">on the one hand and </w:t>
      </w:r>
      <w:r w:rsidR="00612C14" w:rsidRPr="00612C14">
        <w:rPr>
          <w:rFonts w:ascii="Garamond" w:hAnsi="Garamond"/>
          <w:sz w:val="22"/>
          <w:szCs w:val="22"/>
        </w:rPr>
        <w:t xml:space="preserve">the impact of </w:t>
      </w:r>
      <w:r w:rsidR="00612C14">
        <w:rPr>
          <w:rFonts w:ascii="Garamond" w:hAnsi="Garamond"/>
          <w:sz w:val="22"/>
          <w:szCs w:val="22"/>
        </w:rPr>
        <w:t xml:space="preserve">recovering </w:t>
      </w:r>
      <w:r w:rsidR="00612C14" w:rsidRPr="00612C14">
        <w:rPr>
          <w:rFonts w:ascii="Garamond" w:hAnsi="Garamond"/>
          <w:sz w:val="22"/>
          <w:szCs w:val="22"/>
        </w:rPr>
        <w:t>demand in the domestic economy</w:t>
      </w:r>
      <w:r w:rsidR="00612C14">
        <w:rPr>
          <w:rFonts w:ascii="Garamond" w:hAnsi="Garamond"/>
          <w:sz w:val="22"/>
          <w:szCs w:val="22"/>
        </w:rPr>
        <w:t xml:space="preserve"> on the other</w:t>
      </w:r>
      <w:r w:rsidR="00612C14" w:rsidRPr="00612C14">
        <w:rPr>
          <w:rFonts w:ascii="Garamond" w:hAnsi="Garamond"/>
          <w:sz w:val="22"/>
          <w:szCs w:val="22"/>
        </w:rPr>
        <w:t>.</w:t>
      </w:r>
    </w:p>
    <w:p w14:paraId="3B49BE59" w14:textId="77777777" w:rsidR="00AA70CA" w:rsidRPr="00626752" w:rsidRDefault="00AA70CA"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With the developments mentioned above, the inflation </w:t>
      </w:r>
      <w:r w:rsidR="00612C14">
        <w:rPr>
          <w:rFonts w:ascii="Garamond" w:hAnsi="Garamond"/>
          <w:sz w:val="22"/>
          <w:szCs w:val="22"/>
        </w:rPr>
        <w:t xml:space="preserve">accelerated </w:t>
      </w:r>
      <w:r w:rsidRPr="00626752">
        <w:rPr>
          <w:rFonts w:ascii="Garamond" w:hAnsi="Garamond"/>
          <w:sz w:val="22"/>
          <w:szCs w:val="22"/>
        </w:rPr>
        <w:t xml:space="preserve">in the </w:t>
      </w:r>
      <w:r w:rsidR="00612C14">
        <w:rPr>
          <w:rFonts w:ascii="Garamond" w:hAnsi="Garamond"/>
          <w:sz w:val="22"/>
          <w:szCs w:val="22"/>
        </w:rPr>
        <w:t xml:space="preserve">fourth quarter of 2017; as a result, in December </w:t>
      </w:r>
      <w:r w:rsidRPr="00626752">
        <w:rPr>
          <w:rFonts w:ascii="Garamond" w:hAnsi="Garamond"/>
          <w:sz w:val="22"/>
          <w:szCs w:val="22"/>
        </w:rPr>
        <w:t xml:space="preserve">the 12-month inflation rate amounted to </w:t>
      </w:r>
      <w:r w:rsidR="00612C14">
        <w:rPr>
          <w:rFonts w:ascii="Garamond" w:hAnsi="Garamond"/>
          <w:sz w:val="22"/>
          <w:szCs w:val="22"/>
        </w:rPr>
        <w:t>2</w:t>
      </w:r>
      <w:r w:rsidRPr="00626752">
        <w:rPr>
          <w:rFonts w:ascii="Garamond" w:hAnsi="Garamond"/>
          <w:sz w:val="22"/>
          <w:szCs w:val="22"/>
        </w:rPr>
        <w:t>.</w:t>
      </w:r>
      <w:r w:rsidR="00612C14">
        <w:rPr>
          <w:rFonts w:ascii="Garamond" w:hAnsi="Garamond"/>
          <w:sz w:val="22"/>
          <w:szCs w:val="22"/>
        </w:rPr>
        <w:t>6</w:t>
      </w:r>
      <w:r w:rsidRPr="00626752">
        <w:rPr>
          <w:rFonts w:ascii="Garamond" w:hAnsi="Garamond"/>
          <w:sz w:val="22"/>
          <w:szCs w:val="22"/>
        </w:rPr>
        <w:t>% instead of pr</w:t>
      </w:r>
      <w:r w:rsidR="00612C14">
        <w:rPr>
          <w:rFonts w:ascii="Garamond" w:hAnsi="Garamond"/>
          <w:sz w:val="22"/>
          <w:szCs w:val="22"/>
        </w:rPr>
        <w:t xml:space="preserve">edicted </w:t>
      </w:r>
      <w:r w:rsidRPr="00626752">
        <w:rPr>
          <w:rFonts w:ascii="Garamond" w:hAnsi="Garamond"/>
          <w:sz w:val="22"/>
          <w:szCs w:val="22"/>
        </w:rPr>
        <w:t>2.</w:t>
      </w:r>
      <w:r w:rsidR="00612C14">
        <w:rPr>
          <w:rFonts w:ascii="Garamond" w:hAnsi="Garamond"/>
          <w:sz w:val="22"/>
          <w:szCs w:val="22"/>
        </w:rPr>
        <w:t>5</w:t>
      </w:r>
      <w:r w:rsidRPr="00626752">
        <w:rPr>
          <w:rFonts w:ascii="Garamond" w:hAnsi="Garamond"/>
          <w:sz w:val="22"/>
          <w:szCs w:val="22"/>
        </w:rPr>
        <w:t>%.</w:t>
      </w:r>
    </w:p>
    <w:p w14:paraId="1718355A" w14:textId="77777777" w:rsidR="00DD6EF9" w:rsidRDefault="004A45D1"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According to the data issued by the National Statistics Service of Armenia, there was </w:t>
      </w:r>
      <w:r w:rsidR="00FD37C4">
        <w:rPr>
          <w:rFonts w:ascii="Garamond" w:hAnsi="Garamond"/>
          <w:sz w:val="22"/>
          <w:szCs w:val="22"/>
        </w:rPr>
        <w:t>2</w:t>
      </w:r>
      <w:r w:rsidRPr="00626752">
        <w:rPr>
          <w:rFonts w:ascii="Garamond" w:hAnsi="Garamond"/>
          <w:sz w:val="22"/>
          <w:szCs w:val="22"/>
        </w:rPr>
        <w:t>.</w:t>
      </w:r>
      <w:r w:rsidR="00FD37C4">
        <w:rPr>
          <w:rFonts w:ascii="Garamond" w:hAnsi="Garamond"/>
          <w:sz w:val="22"/>
          <w:szCs w:val="22"/>
        </w:rPr>
        <w:t>7</w:t>
      </w:r>
      <w:r w:rsidRPr="00626752">
        <w:rPr>
          <w:rFonts w:ascii="Garamond" w:hAnsi="Garamond"/>
          <w:sz w:val="22"/>
          <w:szCs w:val="22"/>
        </w:rPr>
        <w:t xml:space="preserve">% inflation in </w:t>
      </w:r>
      <w:r w:rsidR="00FD37C4">
        <w:rPr>
          <w:rFonts w:ascii="Garamond" w:hAnsi="Garamond"/>
          <w:sz w:val="22"/>
          <w:szCs w:val="22"/>
        </w:rPr>
        <w:t>January</w:t>
      </w:r>
      <w:r w:rsidRPr="00626752">
        <w:rPr>
          <w:rFonts w:ascii="Garamond" w:hAnsi="Garamond"/>
          <w:sz w:val="22"/>
          <w:szCs w:val="22"/>
        </w:rPr>
        <w:t xml:space="preserve"> of 201</w:t>
      </w:r>
      <w:r w:rsidR="00FD37C4">
        <w:rPr>
          <w:rFonts w:ascii="Garamond" w:hAnsi="Garamond"/>
          <w:sz w:val="22"/>
          <w:szCs w:val="22"/>
        </w:rPr>
        <w:t>8</w:t>
      </w:r>
      <w:r w:rsidRPr="00626752">
        <w:rPr>
          <w:rFonts w:ascii="Garamond" w:hAnsi="Garamond"/>
          <w:sz w:val="22"/>
          <w:szCs w:val="22"/>
        </w:rPr>
        <w:t>, mainly due to increased prices of</w:t>
      </w:r>
      <w:r w:rsidR="00FD37C4">
        <w:rPr>
          <w:rFonts w:ascii="Garamond" w:hAnsi="Garamond"/>
          <w:sz w:val="22"/>
          <w:szCs w:val="22"/>
        </w:rPr>
        <w:t xml:space="preserve"> </w:t>
      </w:r>
      <w:r w:rsidR="00FD37C4" w:rsidRPr="00FD37C4">
        <w:rPr>
          <w:rFonts w:ascii="Garamond" w:hAnsi="Garamond"/>
          <w:b/>
          <w:sz w:val="22"/>
          <w:szCs w:val="22"/>
        </w:rPr>
        <w:t>fruits</w:t>
      </w:r>
      <w:r w:rsidR="00FD37C4">
        <w:rPr>
          <w:rFonts w:ascii="Garamond" w:hAnsi="Garamond"/>
          <w:sz w:val="22"/>
          <w:szCs w:val="22"/>
        </w:rPr>
        <w:t xml:space="preserve"> (10.0%),</w:t>
      </w:r>
      <w:r w:rsidRPr="00626752">
        <w:rPr>
          <w:rFonts w:ascii="Garamond" w:hAnsi="Garamond"/>
          <w:sz w:val="22"/>
          <w:szCs w:val="22"/>
        </w:rPr>
        <w:t xml:space="preserve"> </w:t>
      </w:r>
      <w:r w:rsidRPr="00626752">
        <w:rPr>
          <w:rFonts w:ascii="Garamond" w:hAnsi="Garamond"/>
          <w:b/>
          <w:sz w:val="22"/>
          <w:szCs w:val="22"/>
        </w:rPr>
        <w:t xml:space="preserve">vegetables </w:t>
      </w:r>
      <w:r w:rsidRPr="00FD37C4">
        <w:rPr>
          <w:rFonts w:ascii="Garamond" w:hAnsi="Garamond"/>
          <w:sz w:val="22"/>
          <w:szCs w:val="22"/>
        </w:rPr>
        <w:t>and</w:t>
      </w:r>
      <w:r w:rsidRPr="00626752">
        <w:rPr>
          <w:rFonts w:ascii="Garamond" w:hAnsi="Garamond"/>
          <w:b/>
          <w:sz w:val="22"/>
          <w:szCs w:val="22"/>
        </w:rPr>
        <w:t xml:space="preserve"> potatoes </w:t>
      </w:r>
      <w:r w:rsidRPr="00626752">
        <w:rPr>
          <w:rFonts w:ascii="Garamond" w:hAnsi="Garamond"/>
          <w:sz w:val="22"/>
          <w:szCs w:val="22"/>
        </w:rPr>
        <w:t>(</w:t>
      </w:r>
      <w:r w:rsidR="00FD37C4">
        <w:rPr>
          <w:rFonts w:ascii="Garamond" w:hAnsi="Garamond"/>
          <w:sz w:val="22"/>
          <w:szCs w:val="22"/>
        </w:rPr>
        <w:t>34</w:t>
      </w:r>
      <w:r w:rsidRPr="00626752">
        <w:rPr>
          <w:rFonts w:ascii="Garamond" w:hAnsi="Garamond"/>
          <w:sz w:val="22"/>
          <w:szCs w:val="22"/>
        </w:rPr>
        <w:t>.</w:t>
      </w:r>
      <w:r w:rsidR="00FD37C4">
        <w:rPr>
          <w:rFonts w:ascii="Garamond" w:hAnsi="Garamond"/>
          <w:sz w:val="22"/>
          <w:szCs w:val="22"/>
        </w:rPr>
        <w:t>3</w:t>
      </w:r>
      <w:r w:rsidRPr="00626752">
        <w:rPr>
          <w:rFonts w:ascii="Garamond" w:hAnsi="Garamond"/>
          <w:sz w:val="22"/>
          <w:szCs w:val="22"/>
        </w:rPr>
        <w:t xml:space="preserve">%), </w:t>
      </w:r>
      <w:r w:rsidR="00FD37C4">
        <w:rPr>
          <w:rFonts w:ascii="Garamond" w:hAnsi="Garamond"/>
          <w:sz w:val="22"/>
          <w:szCs w:val="22"/>
        </w:rPr>
        <w:t xml:space="preserve">and </w:t>
      </w:r>
      <w:r w:rsidR="00FD37C4" w:rsidRPr="00FD37C4">
        <w:rPr>
          <w:rFonts w:ascii="Garamond" w:hAnsi="Garamond"/>
          <w:b/>
          <w:sz w:val="22"/>
          <w:szCs w:val="22"/>
        </w:rPr>
        <w:t>fuel</w:t>
      </w:r>
      <w:r w:rsidR="00FD37C4">
        <w:rPr>
          <w:rFonts w:ascii="Garamond" w:hAnsi="Garamond"/>
          <w:b/>
          <w:sz w:val="22"/>
          <w:szCs w:val="22"/>
        </w:rPr>
        <w:t xml:space="preserve"> </w:t>
      </w:r>
      <w:r w:rsidR="00FD37C4" w:rsidRPr="00FD37C4">
        <w:rPr>
          <w:rFonts w:ascii="Garamond" w:hAnsi="Garamond"/>
          <w:sz w:val="22"/>
          <w:szCs w:val="22"/>
        </w:rPr>
        <w:t>(11.2%)</w:t>
      </w:r>
      <w:r w:rsidR="00FD37C4">
        <w:rPr>
          <w:rFonts w:ascii="Garamond" w:hAnsi="Garamond"/>
          <w:b/>
          <w:sz w:val="22"/>
          <w:szCs w:val="22"/>
        </w:rPr>
        <w:t xml:space="preserve"> </w:t>
      </w:r>
      <w:r w:rsidR="005B4859" w:rsidRPr="00626752">
        <w:rPr>
          <w:rFonts w:ascii="Garamond" w:hAnsi="Garamond"/>
          <w:sz w:val="22"/>
          <w:szCs w:val="22"/>
        </w:rPr>
        <w:t>(</w:t>
      </w:r>
      <w:r w:rsidR="00FD37C4">
        <w:rPr>
          <w:rFonts w:ascii="Garamond" w:hAnsi="Garamond"/>
          <w:sz w:val="22"/>
          <w:szCs w:val="22"/>
        </w:rPr>
        <w:t xml:space="preserve">combined </w:t>
      </w:r>
      <w:r w:rsidR="00BC374F" w:rsidRPr="00626752">
        <w:rPr>
          <w:rFonts w:ascii="Garamond" w:hAnsi="Garamond"/>
          <w:sz w:val="22"/>
          <w:szCs w:val="22"/>
        </w:rPr>
        <w:t xml:space="preserve">contribution </w:t>
      </w:r>
      <w:r w:rsidRPr="00626752">
        <w:rPr>
          <w:rFonts w:ascii="Garamond" w:hAnsi="Garamond"/>
          <w:sz w:val="22"/>
          <w:szCs w:val="22"/>
        </w:rPr>
        <w:t>to inflation</w:t>
      </w:r>
      <w:r w:rsidR="00BC374F" w:rsidRPr="00626752">
        <w:rPr>
          <w:rFonts w:ascii="Garamond" w:hAnsi="Garamond"/>
          <w:sz w:val="22"/>
          <w:szCs w:val="22"/>
        </w:rPr>
        <w:t>:</w:t>
      </w:r>
      <w:r w:rsidR="00FD37C4">
        <w:rPr>
          <w:rFonts w:ascii="Garamond" w:hAnsi="Garamond"/>
          <w:sz w:val="22"/>
          <w:szCs w:val="22"/>
        </w:rPr>
        <w:t xml:space="preserve"> 2</w:t>
      </w:r>
      <w:r w:rsidRPr="00626752">
        <w:rPr>
          <w:rFonts w:ascii="Garamond" w:hAnsi="Garamond"/>
          <w:sz w:val="22"/>
          <w:szCs w:val="22"/>
        </w:rPr>
        <w:t>.</w:t>
      </w:r>
      <w:r w:rsidR="00FD37C4">
        <w:rPr>
          <w:rFonts w:ascii="Garamond" w:hAnsi="Garamond"/>
          <w:sz w:val="22"/>
          <w:szCs w:val="22"/>
        </w:rPr>
        <w:t>54</w:t>
      </w:r>
      <w:r w:rsidRPr="00626752">
        <w:rPr>
          <w:rFonts w:ascii="Garamond" w:hAnsi="Garamond"/>
          <w:sz w:val="22"/>
          <w:szCs w:val="22"/>
        </w:rPr>
        <w:t xml:space="preserve"> p</w:t>
      </w:r>
      <w:r w:rsidR="00BC374F" w:rsidRPr="00626752">
        <w:rPr>
          <w:rFonts w:ascii="Garamond" w:hAnsi="Garamond"/>
          <w:sz w:val="22"/>
          <w:szCs w:val="22"/>
        </w:rPr>
        <w:t>p</w:t>
      </w:r>
      <w:r w:rsidRPr="00626752">
        <w:rPr>
          <w:rFonts w:ascii="Garamond" w:hAnsi="Garamond"/>
          <w:sz w:val="22"/>
          <w:szCs w:val="22"/>
        </w:rPr>
        <w:t xml:space="preserve">). </w:t>
      </w:r>
      <w:r w:rsidR="00FD37C4">
        <w:rPr>
          <w:rFonts w:ascii="Garamond" w:hAnsi="Garamond"/>
          <w:sz w:val="22"/>
          <w:szCs w:val="22"/>
        </w:rPr>
        <w:t>The rise in fuel prices has been primarily attributable to the c</w:t>
      </w:r>
      <w:r w:rsidR="00FD37C4" w:rsidRPr="00FD37C4">
        <w:rPr>
          <w:rFonts w:ascii="Garamond" w:hAnsi="Garamond"/>
          <w:sz w:val="22"/>
          <w:szCs w:val="22"/>
        </w:rPr>
        <w:t>hange in th</w:t>
      </w:r>
      <w:r w:rsidR="00FD37C4">
        <w:rPr>
          <w:rFonts w:ascii="Garamond" w:hAnsi="Garamond"/>
          <w:sz w:val="22"/>
          <w:szCs w:val="22"/>
        </w:rPr>
        <w:t xml:space="preserve">e excise duty rate since January of 2018. </w:t>
      </w:r>
    </w:p>
    <w:p w14:paraId="16C36915" w14:textId="77777777" w:rsidR="00FD37C4" w:rsidRDefault="00FD37C4"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It should be no</w:t>
      </w:r>
      <w:r w:rsidRPr="00FD37C4">
        <w:rPr>
          <w:rFonts w:ascii="Garamond" w:hAnsi="Garamond"/>
          <w:sz w:val="22"/>
          <w:szCs w:val="22"/>
        </w:rPr>
        <w:t xml:space="preserve">ted that </w:t>
      </w:r>
      <w:r>
        <w:rPr>
          <w:rFonts w:ascii="Garamond" w:hAnsi="Garamond"/>
          <w:sz w:val="22"/>
          <w:szCs w:val="22"/>
        </w:rPr>
        <w:t xml:space="preserve">the </w:t>
      </w:r>
      <w:r w:rsidRPr="00FD37C4">
        <w:rPr>
          <w:rFonts w:ascii="Garamond" w:hAnsi="Garamond"/>
          <w:sz w:val="22"/>
          <w:szCs w:val="22"/>
        </w:rPr>
        <w:t xml:space="preserve">direct and indirect effects of change in tax and customs duties </w:t>
      </w:r>
      <w:r>
        <w:rPr>
          <w:rFonts w:ascii="Garamond" w:hAnsi="Garamond"/>
          <w:sz w:val="22"/>
          <w:szCs w:val="22"/>
        </w:rPr>
        <w:t>introduced since January 2018 have been w</w:t>
      </w:r>
      <w:r w:rsidRPr="00FD37C4">
        <w:rPr>
          <w:rFonts w:ascii="Garamond" w:hAnsi="Garamond"/>
          <w:sz w:val="22"/>
          <w:szCs w:val="22"/>
        </w:rPr>
        <w:t>ithin the estimation by the C</w:t>
      </w:r>
      <w:r>
        <w:rPr>
          <w:rFonts w:ascii="Garamond" w:hAnsi="Garamond"/>
          <w:sz w:val="22"/>
          <w:szCs w:val="22"/>
        </w:rPr>
        <w:t>entral Bank (</w:t>
      </w:r>
      <w:r w:rsidR="00E4359B">
        <w:rPr>
          <w:rFonts w:ascii="Garamond" w:hAnsi="Garamond"/>
          <w:sz w:val="22"/>
          <w:szCs w:val="22"/>
        </w:rPr>
        <w:t>see Box 2</w:t>
      </w:r>
      <w:r>
        <w:rPr>
          <w:rFonts w:ascii="Garamond" w:hAnsi="Garamond"/>
          <w:sz w:val="22"/>
          <w:szCs w:val="22"/>
        </w:rPr>
        <w:t>)</w:t>
      </w:r>
      <w:r w:rsidRPr="00FD37C4">
        <w:rPr>
          <w:rFonts w:ascii="Garamond" w:hAnsi="Garamond"/>
          <w:sz w:val="22"/>
          <w:szCs w:val="22"/>
        </w:rPr>
        <w:t>.</w:t>
      </w:r>
    </w:p>
    <w:tbl>
      <w:tblPr>
        <w:tblStyle w:val="TableGrid"/>
        <w:tblW w:w="0" w:type="auto"/>
        <w:tblLook w:val="04A0" w:firstRow="1" w:lastRow="0" w:firstColumn="1" w:lastColumn="0" w:noHBand="0" w:noVBand="1"/>
      </w:tblPr>
      <w:tblGrid>
        <w:gridCol w:w="9350"/>
      </w:tblGrid>
      <w:tr w:rsidR="00545DBA" w:rsidRPr="00626752" w14:paraId="042BD0EC" w14:textId="77777777" w:rsidTr="00E4359B">
        <w:tc>
          <w:tcPr>
            <w:tcW w:w="9350" w:type="dxa"/>
          </w:tcPr>
          <w:p w14:paraId="61A3049F" w14:textId="77777777" w:rsidR="00545DBA" w:rsidRPr="002D541D" w:rsidRDefault="00E4359B" w:rsidP="00933B63">
            <w:pPr>
              <w:autoSpaceDE w:val="0"/>
              <w:autoSpaceDN w:val="0"/>
              <w:adjustRightInd w:val="0"/>
              <w:spacing w:after="120" w:line="360" w:lineRule="auto"/>
              <w:jc w:val="both"/>
              <w:rPr>
                <w:rFonts w:ascii="Garamond" w:hAnsi="Garamond"/>
                <w:b/>
                <w:color w:val="0070C0"/>
                <w:sz w:val="18"/>
                <w:szCs w:val="22"/>
              </w:rPr>
            </w:pPr>
            <w:r w:rsidRPr="002D541D">
              <w:rPr>
                <w:rFonts w:ascii="Garamond" w:hAnsi="Garamond"/>
                <w:b/>
                <w:color w:val="0070C0"/>
                <w:sz w:val="18"/>
                <w:szCs w:val="22"/>
              </w:rPr>
              <w:t>Box 2</w:t>
            </w:r>
            <w:r w:rsidR="00545DBA" w:rsidRPr="002D541D">
              <w:rPr>
                <w:rFonts w:ascii="Garamond" w:hAnsi="Garamond"/>
                <w:b/>
                <w:color w:val="0070C0"/>
                <w:sz w:val="18"/>
                <w:szCs w:val="22"/>
              </w:rPr>
              <w:t>:</w:t>
            </w:r>
          </w:p>
          <w:p w14:paraId="45F5383B" w14:textId="77777777" w:rsidR="00545DBA" w:rsidRPr="002D541D" w:rsidRDefault="00E4359B" w:rsidP="00933B63">
            <w:pPr>
              <w:autoSpaceDE w:val="0"/>
              <w:autoSpaceDN w:val="0"/>
              <w:adjustRightInd w:val="0"/>
              <w:spacing w:after="120" w:line="360" w:lineRule="auto"/>
              <w:jc w:val="both"/>
              <w:rPr>
                <w:rFonts w:ascii="Garamond" w:hAnsi="Garamond"/>
                <w:b/>
                <w:color w:val="0070C0"/>
                <w:sz w:val="18"/>
                <w:szCs w:val="22"/>
              </w:rPr>
            </w:pPr>
            <w:r w:rsidRPr="002D541D">
              <w:rPr>
                <w:rFonts w:ascii="Garamond" w:hAnsi="Garamond"/>
                <w:b/>
                <w:color w:val="0070C0"/>
                <w:sz w:val="18"/>
                <w:szCs w:val="22"/>
              </w:rPr>
              <w:t xml:space="preserve">Impact of change in tax and customs </w:t>
            </w:r>
            <w:r w:rsidR="001516E5" w:rsidRPr="002D541D">
              <w:rPr>
                <w:rFonts w:ascii="Garamond" w:hAnsi="Garamond"/>
                <w:b/>
                <w:color w:val="0070C0"/>
                <w:sz w:val="18"/>
                <w:szCs w:val="22"/>
              </w:rPr>
              <w:t xml:space="preserve">codes </w:t>
            </w:r>
            <w:r w:rsidRPr="002D541D">
              <w:rPr>
                <w:rFonts w:ascii="Garamond" w:hAnsi="Garamond"/>
                <w:b/>
                <w:color w:val="0070C0"/>
                <w:sz w:val="18"/>
                <w:szCs w:val="22"/>
              </w:rPr>
              <w:t xml:space="preserve">on </w:t>
            </w:r>
            <w:r w:rsidR="001516E5" w:rsidRPr="002D541D">
              <w:rPr>
                <w:rFonts w:ascii="Garamond" w:hAnsi="Garamond"/>
                <w:b/>
                <w:color w:val="0070C0"/>
                <w:sz w:val="18"/>
                <w:szCs w:val="22"/>
              </w:rPr>
              <w:t xml:space="preserve">the </w:t>
            </w:r>
            <w:r w:rsidRPr="002D541D">
              <w:rPr>
                <w:rFonts w:ascii="Garamond" w:hAnsi="Garamond"/>
                <w:b/>
                <w:color w:val="0070C0"/>
                <w:sz w:val="18"/>
                <w:szCs w:val="22"/>
              </w:rPr>
              <w:t xml:space="preserve">inflation </w:t>
            </w:r>
          </w:p>
          <w:p w14:paraId="6B7AFB8F" w14:textId="77777777" w:rsidR="00545DBA" w:rsidRPr="002D541D" w:rsidRDefault="00E4359B" w:rsidP="00FA5F64">
            <w:pPr>
              <w:autoSpaceDE w:val="0"/>
              <w:autoSpaceDN w:val="0"/>
              <w:adjustRightInd w:val="0"/>
              <w:spacing w:after="120" w:line="360" w:lineRule="auto"/>
              <w:jc w:val="both"/>
              <w:rPr>
                <w:rFonts w:ascii="Garamond" w:hAnsi="Garamond"/>
                <w:sz w:val="18"/>
                <w:szCs w:val="22"/>
              </w:rPr>
            </w:pPr>
            <w:r w:rsidRPr="002D541D">
              <w:rPr>
                <w:rFonts w:ascii="Garamond" w:hAnsi="Garamond"/>
                <w:sz w:val="18"/>
                <w:szCs w:val="22"/>
              </w:rPr>
              <w:t>The direct and indirect impact of tax and customs duty rates since 2018 has been estimated to be up to 1.0 pp (see Inflation Report: Monetary Policy Program for Q4, 2017, Status Report on Implementation of</w:t>
            </w:r>
            <w:r w:rsidR="00FA5F64" w:rsidRPr="002D541D">
              <w:rPr>
                <w:rFonts w:ascii="Garamond" w:hAnsi="Garamond"/>
                <w:sz w:val="18"/>
                <w:szCs w:val="22"/>
              </w:rPr>
              <w:t xml:space="preserve"> the </w:t>
            </w:r>
            <w:r w:rsidRPr="002D541D">
              <w:rPr>
                <w:rFonts w:ascii="Garamond" w:hAnsi="Garamond"/>
                <w:sz w:val="18"/>
                <w:szCs w:val="22"/>
              </w:rPr>
              <w:t>Monetary Policy Program</w:t>
            </w:r>
            <w:r w:rsidR="00FA5F64" w:rsidRPr="002D541D">
              <w:rPr>
                <w:rFonts w:ascii="Garamond" w:hAnsi="Garamond"/>
                <w:sz w:val="18"/>
                <w:szCs w:val="22"/>
              </w:rPr>
              <w:t>, Q3, 2017</w:t>
            </w:r>
            <w:r w:rsidRPr="002D541D">
              <w:rPr>
                <w:rFonts w:ascii="Garamond" w:hAnsi="Garamond"/>
                <w:sz w:val="18"/>
                <w:szCs w:val="22"/>
              </w:rPr>
              <w:t>).</w:t>
            </w:r>
            <w:r w:rsidR="00FA5F64" w:rsidRPr="002D541D">
              <w:rPr>
                <w:rFonts w:ascii="Garamond" w:hAnsi="Garamond"/>
                <w:sz w:val="18"/>
                <w:szCs w:val="22"/>
              </w:rPr>
              <w:t xml:space="preserve"> </w:t>
            </w:r>
          </w:p>
          <w:p w14:paraId="68118BC4" w14:textId="77777777" w:rsidR="00FA5F64" w:rsidRPr="002D541D" w:rsidRDefault="00B07A86" w:rsidP="005D4276">
            <w:pPr>
              <w:autoSpaceDE w:val="0"/>
              <w:autoSpaceDN w:val="0"/>
              <w:adjustRightInd w:val="0"/>
              <w:spacing w:after="120" w:line="360" w:lineRule="auto"/>
              <w:jc w:val="both"/>
              <w:rPr>
                <w:rFonts w:ascii="Garamond" w:hAnsi="Garamond"/>
                <w:sz w:val="18"/>
                <w:szCs w:val="22"/>
              </w:rPr>
            </w:pPr>
            <w:r w:rsidRPr="002D541D">
              <w:rPr>
                <w:rFonts w:ascii="Garamond" w:hAnsi="Garamond"/>
                <w:sz w:val="18"/>
                <w:szCs w:val="22"/>
              </w:rPr>
              <w:t>T</w:t>
            </w:r>
            <w:r w:rsidR="00384065" w:rsidRPr="002D541D">
              <w:rPr>
                <w:rFonts w:ascii="Garamond" w:hAnsi="Garamond"/>
                <w:sz w:val="18"/>
                <w:szCs w:val="22"/>
              </w:rPr>
              <w:t xml:space="preserve">he direct impact of </w:t>
            </w:r>
            <w:r w:rsidRPr="002D541D">
              <w:rPr>
                <w:rFonts w:ascii="Garamond" w:hAnsi="Garamond"/>
                <w:sz w:val="18"/>
                <w:szCs w:val="22"/>
              </w:rPr>
              <w:t xml:space="preserve">price increases resulting from </w:t>
            </w:r>
            <w:r w:rsidR="00384065" w:rsidRPr="002D541D">
              <w:rPr>
                <w:rFonts w:ascii="Garamond" w:hAnsi="Garamond"/>
                <w:sz w:val="18"/>
                <w:szCs w:val="22"/>
              </w:rPr>
              <w:t xml:space="preserve">the change in tax and customs </w:t>
            </w:r>
            <w:r w:rsidRPr="002D541D">
              <w:rPr>
                <w:rFonts w:ascii="Garamond" w:hAnsi="Garamond"/>
                <w:sz w:val="18"/>
                <w:szCs w:val="22"/>
              </w:rPr>
              <w:t xml:space="preserve">duty rates in January of 2018 </w:t>
            </w:r>
            <w:r w:rsidR="005D4276" w:rsidRPr="002D541D">
              <w:rPr>
                <w:rFonts w:ascii="Garamond" w:hAnsi="Garamond"/>
                <w:sz w:val="18"/>
                <w:szCs w:val="22"/>
              </w:rPr>
              <w:t xml:space="preserve">has </w:t>
            </w:r>
            <w:r w:rsidRPr="002D541D">
              <w:rPr>
                <w:rFonts w:ascii="Garamond" w:hAnsi="Garamond"/>
                <w:sz w:val="18"/>
                <w:szCs w:val="22"/>
              </w:rPr>
              <w:t>amounted to 0</w:t>
            </w:r>
            <w:r w:rsidR="00384065" w:rsidRPr="002D541D">
              <w:rPr>
                <w:rFonts w:ascii="Garamond" w:hAnsi="Garamond"/>
                <w:sz w:val="18"/>
                <w:szCs w:val="22"/>
              </w:rPr>
              <w:t>.4 p</w:t>
            </w:r>
            <w:r w:rsidR="005D4276" w:rsidRPr="002D541D">
              <w:rPr>
                <w:rFonts w:ascii="Garamond" w:hAnsi="Garamond"/>
                <w:sz w:val="18"/>
                <w:szCs w:val="22"/>
              </w:rPr>
              <w:t>p</w:t>
            </w:r>
            <w:r w:rsidR="00384065" w:rsidRPr="002D541D">
              <w:rPr>
                <w:rFonts w:ascii="Garamond" w:hAnsi="Garamond"/>
                <w:sz w:val="18"/>
                <w:szCs w:val="22"/>
              </w:rPr>
              <w:t xml:space="preserve">, </w:t>
            </w:r>
            <w:r w:rsidR="005D4276" w:rsidRPr="002D541D">
              <w:rPr>
                <w:rFonts w:ascii="Garamond" w:hAnsi="Garamond"/>
                <w:sz w:val="18"/>
                <w:szCs w:val="22"/>
              </w:rPr>
              <w:t xml:space="preserve">while the </w:t>
            </w:r>
            <w:r w:rsidR="00384065" w:rsidRPr="002D541D">
              <w:rPr>
                <w:rFonts w:ascii="Garamond" w:hAnsi="Garamond"/>
                <w:sz w:val="18"/>
                <w:szCs w:val="22"/>
              </w:rPr>
              <w:t xml:space="preserve">indirect effect </w:t>
            </w:r>
            <w:r w:rsidR="005D4276" w:rsidRPr="002D541D">
              <w:rPr>
                <w:rFonts w:ascii="Garamond" w:hAnsi="Garamond"/>
                <w:sz w:val="18"/>
                <w:szCs w:val="22"/>
              </w:rPr>
              <w:t>has not been observed</w:t>
            </w:r>
            <w:r w:rsidR="00384065" w:rsidRPr="002D541D">
              <w:rPr>
                <w:rFonts w:ascii="Garamond" w:hAnsi="Garamond"/>
                <w:sz w:val="18"/>
                <w:szCs w:val="22"/>
              </w:rPr>
              <w:t xml:space="preserve"> yet</w:t>
            </w:r>
            <w:r w:rsidR="005D4276" w:rsidRPr="002D541D">
              <w:rPr>
                <w:rFonts w:ascii="Garamond" w:hAnsi="Garamond"/>
                <w:sz w:val="18"/>
                <w:szCs w:val="22"/>
              </w:rPr>
              <w:t>;</w:t>
            </w:r>
            <w:r w:rsidR="00384065" w:rsidRPr="002D541D">
              <w:rPr>
                <w:rFonts w:ascii="Garamond" w:hAnsi="Garamond"/>
                <w:sz w:val="18"/>
                <w:szCs w:val="22"/>
              </w:rPr>
              <w:t xml:space="preserve"> in particular, the increase in transportation service</w:t>
            </w:r>
            <w:r w:rsidR="005D4276" w:rsidRPr="002D541D">
              <w:rPr>
                <w:rFonts w:ascii="Garamond" w:hAnsi="Garamond"/>
                <w:sz w:val="18"/>
                <w:szCs w:val="22"/>
              </w:rPr>
              <w:t xml:space="preserve"> tariffs </w:t>
            </w:r>
            <w:r w:rsidR="00384065" w:rsidRPr="002D541D">
              <w:rPr>
                <w:rFonts w:ascii="Garamond" w:hAnsi="Garamond"/>
                <w:sz w:val="18"/>
                <w:szCs w:val="22"/>
              </w:rPr>
              <w:t xml:space="preserve">in January amounted to 0.2%, which was </w:t>
            </w:r>
            <w:r w:rsidR="005D4276" w:rsidRPr="002D541D">
              <w:rPr>
                <w:rFonts w:ascii="Garamond" w:hAnsi="Garamond"/>
                <w:sz w:val="18"/>
                <w:szCs w:val="22"/>
              </w:rPr>
              <w:t>totally due to a</w:t>
            </w:r>
            <w:r w:rsidR="00384065" w:rsidRPr="002D541D">
              <w:rPr>
                <w:rFonts w:ascii="Garamond" w:hAnsi="Garamond"/>
                <w:sz w:val="18"/>
                <w:szCs w:val="22"/>
              </w:rPr>
              <w:t xml:space="preserve"> 0.5% increase in air</w:t>
            </w:r>
            <w:r w:rsidR="005D4276" w:rsidRPr="002D541D">
              <w:rPr>
                <w:rFonts w:ascii="Garamond" w:hAnsi="Garamond"/>
                <w:sz w:val="18"/>
                <w:szCs w:val="22"/>
              </w:rPr>
              <w:t xml:space="preserve">fare (contribution to inflation: </w:t>
            </w:r>
            <w:r w:rsidR="00384065" w:rsidRPr="002D541D">
              <w:rPr>
                <w:rFonts w:ascii="Garamond" w:hAnsi="Garamond"/>
                <w:sz w:val="18"/>
                <w:szCs w:val="22"/>
              </w:rPr>
              <w:t>0.004 p</w:t>
            </w:r>
            <w:r w:rsidR="005D4276" w:rsidRPr="002D541D">
              <w:rPr>
                <w:rFonts w:ascii="Garamond" w:hAnsi="Garamond"/>
                <w:sz w:val="18"/>
                <w:szCs w:val="22"/>
              </w:rPr>
              <w:t xml:space="preserve">p). The latter is attributable to </w:t>
            </w:r>
            <w:r w:rsidR="00384065" w:rsidRPr="002D541D">
              <w:rPr>
                <w:rFonts w:ascii="Garamond" w:hAnsi="Garamond"/>
                <w:sz w:val="18"/>
                <w:szCs w:val="22"/>
              </w:rPr>
              <w:t xml:space="preserve">significant appreciation of the euro exchange rate against the US dollar, </w:t>
            </w:r>
            <w:r w:rsidR="005D4276" w:rsidRPr="002D541D">
              <w:rPr>
                <w:rFonts w:ascii="Garamond" w:hAnsi="Garamond"/>
                <w:sz w:val="18"/>
                <w:szCs w:val="22"/>
              </w:rPr>
              <w:t xml:space="preserve">as this exchange rate is </w:t>
            </w:r>
            <w:r w:rsidR="00384065" w:rsidRPr="002D541D">
              <w:rPr>
                <w:rFonts w:ascii="Garamond" w:hAnsi="Garamond"/>
                <w:sz w:val="18"/>
                <w:szCs w:val="22"/>
              </w:rPr>
              <w:t>traditionally</w:t>
            </w:r>
            <w:r w:rsidR="005D4276" w:rsidRPr="002D541D">
              <w:rPr>
                <w:rFonts w:ascii="Garamond" w:hAnsi="Garamond"/>
                <w:sz w:val="18"/>
                <w:szCs w:val="22"/>
              </w:rPr>
              <w:t xml:space="preserve"> used in </w:t>
            </w:r>
            <w:r w:rsidR="00384065" w:rsidRPr="002D541D">
              <w:rPr>
                <w:rFonts w:ascii="Garamond" w:hAnsi="Garamond"/>
                <w:sz w:val="18"/>
                <w:szCs w:val="22"/>
              </w:rPr>
              <w:t>quot</w:t>
            </w:r>
            <w:r w:rsidR="005D4276" w:rsidRPr="002D541D">
              <w:rPr>
                <w:rFonts w:ascii="Garamond" w:hAnsi="Garamond"/>
                <w:sz w:val="18"/>
                <w:szCs w:val="22"/>
              </w:rPr>
              <w:t>ing</w:t>
            </w:r>
            <w:r w:rsidR="00384065" w:rsidRPr="002D541D">
              <w:rPr>
                <w:rFonts w:ascii="Garamond" w:hAnsi="Garamond"/>
                <w:sz w:val="18"/>
                <w:szCs w:val="22"/>
              </w:rPr>
              <w:t xml:space="preserve"> international air </w:t>
            </w:r>
            <w:r w:rsidR="005D4276" w:rsidRPr="002D541D">
              <w:rPr>
                <w:rFonts w:ascii="Garamond" w:hAnsi="Garamond"/>
                <w:sz w:val="18"/>
                <w:szCs w:val="22"/>
              </w:rPr>
              <w:t>freight fees</w:t>
            </w:r>
            <w:r w:rsidR="00384065" w:rsidRPr="002D541D">
              <w:rPr>
                <w:rFonts w:ascii="Garamond" w:hAnsi="Garamond"/>
                <w:sz w:val="18"/>
                <w:szCs w:val="22"/>
              </w:rPr>
              <w:t>.</w:t>
            </w:r>
          </w:p>
        </w:tc>
      </w:tr>
    </w:tbl>
    <w:p w14:paraId="1FFAA4BC" w14:textId="77777777" w:rsidR="00545DBA" w:rsidRPr="00626752" w:rsidRDefault="00545DBA" w:rsidP="00933B63">
      <w:pPr>
        <w:autoSpaceDE w:val="0"/>
        <w:autoSpaceDN w:val="0"/>
        <w:adjustRightInd w:val="0"/>
        <w:spacing w:after="120" w:line="360" w:lineRule="auto"/>
        <w:jc w:val="both"/>
        <w:rPr>
          <w:rFonts w:ascii="Garamond" w:hAnsi="Garamond"/>
          <w:sz w:val="22"/>
          <w:szCs w:val="22"/>
        </w:rPr>
      </w:pPr>
    </w:p>
    <w:p w14:paraId="6D8E8035" w14:textId="77777777" w:rsidR="000351D6" w:rsidRDefault="007908C9" w:rsidP="00933B63">
      <w:pPr>
        <w:autoSpaceDE w:val="0"/>
        <w:autoSpaceDN w:val="0"/>
        <w:adjustRightInd w:val="0"/>
        <w:spacing w:after="120" w:line="360" w:lineRule="auto"/>
        <w:jc w:val="both"/>
        <w:rPr>
          <w:rFonts w:ascii="Garamond" w:hAnsi="Garamond"/>
          <w:sz w:val="22"/>
          <w:szCs w:val="22"/>
        </w:rPr>
      </w:pPr>
      <w:r w:rsidRPr="00626752">
        <w:rPr>
          <w:rFonts w:ascii="Garamond" w:hAnsi="Garamond"/>
          <w:b/>
          <w:sz w:val="22"/>
          <w:szCs w:val="22"/>
        </w:rPr>
        <w:t>Import prices:</w:t>
      </w:r>
      <w:r w:rsidRPr="00626752">
        <w:rPr>
          <w:rFonts w:ascii="Garamond" w:hAnsi="Garamond"/>
          <w:sz w:val="22"/>
          <w:szCs w:val="22"/>
        </w:rPr>
        <w:t xml:space="preserve"> </w:t>
      </w:r>
      <w:r w:rsidR="000351D6">
        <w:rPr>
          <w:rFonts w:ascii="Garamond" w:hAnsi="Garamond"/>
          <w:sz w:val="22"/>
          <w:szCs w:val="22"/>
        </w:rPr>
        <w:t xml:space="preserve">Although </w:t>
      </w:r>
      <w:r w:rsidRPr="00626752">
        <w:rPr>
          <w:rFonts w:ascii="Garamond" w:hAnsi="Garamond"/>
          <w:sz w:val="22"/>
          <w:szCs w:val="22"/>
        </w:rPr>
        <w:t xml:space="preserve">the </w:t>
      </w:r>
      <w:r w:rsidR="000351D6">
        <w:rPr>
          <w:rFonts w:ascii="Garamond" w:hAnsi="Garamond"/>
          <w:sz w:val="22"/>
          <w:szCs w:val="22"/>
        </w:rPr>
        <w:t>d</w:t>
      </w:r>
      <w:r w:rsidRPr="00626752">
        <w:rPr>
          <w:rFonts w:ascii="Garamond" w:hAnsi="Garamond"/>
          <w:sz w:val="22"/>
          <w:szCs w:val="22"/>
        </w:rPr>
        <w:t xml:space="preserve">ollar prices of import of goods and services to Armenia </w:t>
      </w:r>
      <w:r w:rsidR="000351D6">
        <w:rPr>
          <w:rFonts w:ascii="Garamond" w:hAnsi="Garamond"/>
          <w:sz w:val="22"/>
          <w:szCs w:val="22"/>
        </w:rPr>
        <w:t xml:space="preserve">somewhat stabilized during </w:t>
      </w:r>
      <w:r w:rsidR="000351D6" w:rsidRPr="00626752">
        <w:rPr>
          <w:rFonts w:ascii="Garamond" w:hAnsi="Garamond"/>
          <w:sz w:val="22"/>
          <w:szCs w:val="22"/>
        </w:rPr>
        <w:t xml:space="preserve">the </w:t>
      </w:r>
      <w:r w:rsidR="000351D6">
        <w:rPr>
          <w:rFonts w:ascii="Garamond" w:hAnsi="Garamond"/>
          <w:sz w:val="22"/>
          <w:szCs w:val="22"/>
        </w:rPr>
        <w:t>fourth</w:t>
      </w:r>
      <w:r w:rsidR="000351D6" w:rsidRPr="00626752">
        <w:rPr>
          <w:rFonts w:ascii="Garamond" w:hAnsi="Garamond"/>
          <w:sz w:val="22"/>
          <w:szCs w:val="22"/>
        </w:rPr>
        <w:t xml:space="preserve"> quarter of 2017</w:t>
      </w:r>
      <w:r w:rsidR="000351D6">
        <w:rPr>
          <w:rFonts w:ascii="Garamond" w:hAnsi="Garamond"/>
          <w:sz w:val="22"/>
          <w:szCs w:val="22"/>
        </w:rPr>
        <w:t>,</w:t>
      </w:r>
      <w:r w:rsidR="000351D6" w:rsidRPr="00626752">
        <w:rPr>
          <w:rFonts w:ascii="Garamond" w:hAnsi="Garamond"/>
          <w:sz w:val="22"/>
          <w:szCs w:val="22"/>
        </w:rPr>
        <w:t xml:space="preserve"> </w:t>
      </w:r>
      <w:r w:rsidR="000351D6">
        <w:rPr>
          <w:rFonts w:ascii="Garamond" w:hAnsi="Garamond"/>
          <w:sz w:val="22"/>
          <w:szCs w:val="22"/>
        </w:rPr>
        <w:t xml:space="preserve">posting a 0.7% growth </w:t>
      </w:r>
      <w:r w:rsidRPr="00626752">
        <w:rPr>
          <w:rFonts w:ascii="Garamond" w:hAnsi="Garamond"/>
          <w:sz w:val="22"/>
          <w:szCs w:val="22"/>
        </w:rPr>
        <w:t>q/q on average</w:t>
      </w:r>
      <w:r w:rsidR="00A249F2" w:rsidRPr="00626752">
        <w:rPr>
          <w:rFonts w:ascii="Garamond" w:hAnsi="Garamond"/>
          <w:sz w:val="22"/>
          <w:szCs w:val="22"/>
        </w:rPr>
        <w:t xml:space="preserve">, </w:t>
      </w:r>
      <w:r w:rsidR="000351D6" w:rsidRPr="000351D6">
        <w:rPr>
          <w:rFonts w:ascii="Garamond" w:hAnsi="Garamond"/>
          <w:sz w:val="22"/>
          <w:szCs w:val="22"/>
        </w:rPr>
        <w:t>growth rates have</w:t>
      </w:r>
      <w:r w:rsidR="000351D6">
        <w:rPr>
          <w:rFonts w:ascii="Garamond" w:hAnsi="Garamond"/>
          <w:sz w:val="22"/>
          <w:szCs w:val="22"/>
        </w:rPr>
        <w:t xml:space="preserve">, nevertheless, </w:t>
      </w:r>
      <w:r w:rsidR="000351D6" w:rsidRPr="000351D6">
        <w:rPr>
          <w:rFonts w:ascii="Garamond" w:hAnsi="Garamond"/>
          <w:sz w:val="22"/>
          <w:szCs w:val="22"/>
        </w:rPr>
        <w:t xml:space="preserve">accelerated compared to the fourth quarter of the previous year, largely due to </w:t>
      </w:r>
      <w:r w:rsidR="000351D6">
        <w:rPr>
          <w:rFonts w:ascii="Garamond" w:hAnsi="Garamond"/>
          <w:sz w:val="22"/>
          <w:szCs w:val="22"/>
        </w:rPr>
        <w:t xml:space="preserve">faster grown </w:t>
      </w:r>
      <w:r w:rsidR="000351D6" w:rsidRPr="000351D6">
        <w:rPr>
          <w:rFonts w:ascii="Garamond" w:hAnsi="Garamond"/>
          <w:sz w:val="22"/>
          <w:szCs w:val="22"/>
        </w:rPr>
        <w:t>oil prices.</w:t>
      </w:r>
      <w:r w:rsidR="000351D6">
        <w:rPr>
          <w:rFonts w:ascii="Garamond" w:hAnsi="Garamond"/>
          <w:sz w:val="22"/>
          <w:szCs w:val="22"/>
        </w:rPr>
        <w:t xml:space="preserve"> </w:t>
      </w:r>
    </w:p>
    <w:p w14:paraId="0ED96F23" w14:textId="77777777" w:rsidR="007D01C1" w:rsidRPr="00626752" w:rsidRDefault="000351D6" w:rsidP="00933B63">
      <w:pPr>
        <w:autoSpaceDE w:val="0"/>
        <w:autoSpaceDN w:val="0"/>
        <w:adjustRightInd w:val="0"/>
        <w:spacing w:after="120" w:line="360" w:lineRule="auto"/>
        <w:jc w:val="both"/>
        <w:rPr>
          <w:rFonts w:ascii="Garamond" w:hAnsi="Garamond"/>
          <w:sz w:val="22"/>
          <w:szCs w:val="22"/>
        </w:rPr>
      </w:pPr>
      <w:r w:rsidRPr="000351D6">
        <w:rPr>
          <w:rFonts w:ascii="Garamond" w:hAnsi="Garamond"/>
          <w:sz w:val="22"/>
          <w:szCs w:val="22"/>
        </w:rPr>
        <w:t xml:space="preserve">The rise in dollar prices </w:t>
      </w:r>
      <w:r>
        <w:rPr>
          <w:rFonts w:ascii="Garamond" w:hAnsi="Garamond"/>
          <w:sz w:val="22"/>
          <w:szCs w:val="22"/>
        </w:rPr>
        <w:t>of</w:t>
      </w:r>
      <w:r w:rsidRPr="000351D6">
        <w:rPr>
          <w:rFonts w:ascii="Garamond" w:hAnsi="Garamond"/>
          <w:sz w:val="22"/>
          <w:szCs w:val="22"/>
        </w:rPr>
        <w:t xml:space="preserve"> import of consumer goods </w:t>
      </w:r>
      <w:r>
        <w:rPr>
          <w:rFonts w:ascii="Garamond" w:hAnsi="Garamond"/>
          <w:sz w:val="22"/>
          <w:szCs w:val="22"/>
        </w:rPr>
        <w:t xml:space="preserve">in the fourth quarter of 2017 has been driven mainly by </w:t>
      </w:r>
      <w:r w:rsidR="003210F7">
        <w:rPr>
          <w:rFonts w:ascii="Garamond" w:hAnsi="Garamond"/>
          <w:sz w:val="22"/>
          <w:szCs w:val="22"/>
        </w:rPr>
        <w:t xml:space="preserve">increased </w:t>
      </w:r>
      <w:r w:rsidRPr="000351D6">
        <w:rPr>
          <w:rFonts w:ascii="Garamond" w:hAnsi="Garamond"/>
          <w:sz w:val="22"/>
          <w:szCs w:val="22"/>
        </w:rPr>
        <w:t xml:space="preserve">dollar prices in Russia and the European Union, </w:t>
      </w:r>
      <w:r w:rsidR="003210F7">
        <w:rPr>
          <w:rFonts w:ascii="Garamond" w:hAnsi="Garamond"/>
          <w:sz w:val="22"/>
          <w:szCs w:val="22"/>
        </w:rPr>
        <w:t xml:space="preserve">reflecting appreciation of their exchange rates </w:t>
      </w:r>
      <w:r w:rsidRPr="000351D6">
        <w:rPr>
          <w:rFonts w:ascii="Garamond" w:hAnsi="Garamond"/>
          <w:sz w:val="22"/>
          <w:szCs w:val="22"/>
        </w:rPr>
        <w:t xml:space="preserve">against the US dollar. Their total contribution to </w:t>
      </w:r>
      <w:r w:rsidR="003210F7">
        <w:rPr>
          <w:rFonts w:ascii="Garamond" w:hAnsi="Garamond"/>
          <w:sz w:val="22"/>
          <w:szCs w:val="22"/>
        </w:rPr>
        <w:t xml:space="preserve">the y/y rise in dollar prices of </w:t>
      </w:r>
      <w:r w:rsidRPr="000351D6">
        <w:rPr>
          <w:rFonts w:ascii="Garamond" w:hAnsi="Garamond"/>
          <w:sz w:val="22"/>
          <w:szCs w:val="22"/>
        </w:rPr>
        <w:t>import</w:t>
      </w:r>
      <w:r w:rsidR="003210F7">
        <w:rPr>
          <w:rFonts w:ascii="Garamond" w:hAnsi="Garamond"/>
          <w:sz w:val="22"/>
          <w:szCs w:val="22"/>
        </w:rPr>
        <w:t xml:space="preserve"> amounted to 1</w:t>
      </w:r>
      <w:r w:rsidRPr="000351D6">
        <w:rPr>
          <w:rFonts w:ascii="Garamond" w:hAnsi="Garamond"/>
          <w:sz w:val="22"/>
          <w:szCs w:val="22"/>
        </w:rPr>
        <w:t>.4 p</w:t>
      </w:r>
      <w:r w:rsidR="003210F7">
        <w:rPr>
          <w:rFonts w:ascii="Garamond" w:hAnsi="Garamond"/>
          <w:sz w:val="22"/>
          <w:szCs w:val="22"/>
        </w:rPr>
        <w:t>p.</w:t>
      </w:r>
    </w:p>
    <w:p w14:paraId="46894B2F" w14:textId="77777777" w:rsidR="00E40BA8" w:rsidRPr="00626752" w:rsidRDefault="00E40BA8"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3.2 Economic developments</w:t>
      </w:r>
    </w:p>
    <w:p w14:paraId="1C163021" w14:textId="77777777" w:rsidR="00E40BA8" w:rsidRPr="00626752" w:rsidRDefault="00E40BA8"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3.2.1. Economy position</w:t>
      </w:r>
    </w:p>
    <w:p w14:paraId="1A41249A" w14:textId="77777777" w:rsidR="00CC1A09" w:rsidRDefault="00CC1A09" w:rsidP="00933B63">
      <w:pPr>
        <w:autoSpaceDE w:val="0"/>
        <w:autoSpaceDN w:val="0"/>
        <w:adjustRightInd w:val="0"/>
        <w:spacing w:after="120" w:line="360" w:lineRule="auto"/>
        <w:jc w:val="both"/>
        <w:rPr>
          <w:rFonts w:ascii="Garamond" w:hAnsi="Garamond"/>
          <w:sz w:val="22"/>
          <w:szCs w:val="22"/>
        </w:rPr>
      </w:pPr>
      <w:r w:rsidRPr="00CC1A09">
        <w:rPr>
          <w:rFonts w:ascii="Garamond" w:hAnsi="Garamond"/>
          <w:b/>
          <w:sz w:val="22"/>
          <w:szCs w:val="22"/>
        </w:rPr>
        <w:t xml:space="preserve">For </w:t>
      </w:r>
      <w:r w:rsidR="003210F7" w:rsidRPr="00CC1A09">
        <w:rPr>
          <w:rFonts w:ascii="Garamond" w:hAnsi="Garamond"/>
          <w:b/>
          <w:sz w:val="22"/>
          <w:szCs w:val="22"/>
        </w:rPr>
        <w:t>the fourth quarter</w:t>
      </w:r>
      <w:r w:rsidRPr="00CC1A09">
        <w:rPr>
          <w:rFonts w:ascii="Garamond" w:hAnsi="Garamond"/>
          <w:b/>
          <w:sz w:val="22"/>
          <w:szCs w:val="22"/>
        </w:rPr>
        <w:t>,</w:t>
      </w:r>
      <w:r w:rsidR="003210F7" w:rsidRPr="00CC1A09">
        <w:rPr>
          <w:rFonts w:ascii="Garamond" w:hAnsi="Garamond"/>
          <w:b/>
          <w:sz w:val="22"/>
          <w:szCs w:val="22"/>
        </w:rPr>
        <w:t xml:space="preserve"> </w:t>
      </w:r>
      <w:r w:rsidRPr="00CC1A09">
        <w:rPr>
          <w:rFonts w:ascii="Garamond" w:hAnsi="Garamond"/>
          <w:b/>
          <w:sz w:val="22"/>
          <w:szCs w:val="22"/>
        </w:rPr>
        <w:t>t</w:t>
      </w:r>
      <w:r w:rsidR="003210F7" w:rsidRPr="00CC1A09">
        <w:rPr>
          <w:rFonts w:ascii="Garamond" w:hAnsi="Garamond"/>
          <w:b/>
          <w:sz w:val="22"/>
          <w:szCs w:val="22"/>
        </w:rPr>
        <w:t xml:space="preserve">he GDP gap is estimated </w:t>
      </w:r>
      <w:r w:rsidRPr="00CC1A09">
        <w:rPr>
          <w:rFonts w:ascii="Garamond" w:hAnsi="Garamond"/>
          <w:b/>
          <w:sz w:val="22"/>
          <w:szCs w:val="22"/>
        </w:rPr>
        <w:t xml:space="preserve">as </w:t>
      </w:r>
      <w:r w:rsidR="003210F7" w:rsidRPr="00CC1A09">
        <w:rPr>
          <w:rFonts w:ascii="Garamond" w:hAnsi="Garamond"/>
          <w:b/>
          <w:sz w:val="22"/>
          <w:szCs w:val="22"/>
        </w:rPr>
        <w:t>positive.</w:t>
      </w:r>
      <w:r w:rsidR="003210F7" w:rsidRPr="003210F7">
        <w:rPr>
          <w:rFonts w:ascii="Garamond" w:hAnsi="Garamond"/>
          <w:sz w:val="22"/>
          <w:szCs w:val="22"/>
        </w:rPr>
        <w:t xml:space="preserve"> In the </w:t>
      </w:r>
      <w:r>
        <w:rPr>
          <w:rFonts w:ascii="Garamond" w:hAnsi="Garamond"/>
          <w:sz w:val="22"/>
          <w:szCs w:val="22"/>
        </w:rPr>
        <w:t xml:space="preserve">light of </w:t>
      </w:r>
      <w:r w:rsidR="003210F7" w:rsidRPr="003210F7">
        <w:rPr>
          <w:rFonts w:ascii="Garamond" w:hAnsi="Garamond"/>
          <w:sz w:val="22"/>
          <w:szCs w:val="22"/>
        </w:rPr>
        <w:t xml:space="preserve">high economic growth </w:t>
      </w:r>
      <w:r>
        <w:rPr>
          <w:rFonts w:ascii="Garamond" w:hAnsi="Garamond"/>
          <w:sz w:val="22"/>
          <w:szCs w:val="22"/>
        </w:rPr>
        <w:t xml:space="preserve">observable </w:t>
      </w:r>
      <w:r w:rsidR="003210F7" w:rsidRPr="003210F7">
        <w:rPr>
          <w:rFonts w:ascii="Garamond" w:hAnsi="Garamond"/>
          <w:sz w:val="22"/>
          <w:szCs w:val="22"/>
        </w:rPr>
        <w:t xml:space="preserve">since the </w:t>
      </w:r>
      <w:r>
        <w:rPr>
          <w:rFonts w:ascii="Garamond" w:hAnsi="Garamond"/>
          <w:sz w:val="22"/>
          <w:szCs w:val="22"/>
        </w:rPr>
        <w:t>start of 2017, the actual GDP w</w:t>
      </w:r>
      <w:r w:rsidR="003210F7" w:rsidRPr="003210F7">
        <w:rPr>
          <w:rFonts w:ascii="Garamond" w:hAnsi="Garamond"/>
          <w:sz w:val="22"/>
          <w:szCs w:val="22"/>
        </w:rPr>
        <w:t>as gradually approach</w:t>
      </w:r>
      <w:r>
        <w:rPr>
          <w:rFonts w:ascii="Garamond" w:hAnsi="Garamond"/>
          <w:sz w:val="22"/>
          <w:szCs w:val="22"/>
        </w:rPr>
        <w:t>ing</w:t>
      </w:r>
      <w:r w:rsidR="003210F7" w:rsidRPr="003210F7">
        <w:rPr>
          <w:rFonts w:ascii="Garamond" w:hAnsi="Garamond"/>
          <w:sz w:val="22"/>
          <w:szCs w:val="22"/>
        </w:rPr>
        <w:t xml:space="preserve"> the </w:t>
      </w:r>
      <w:r>
        <w:rPr>
          <w:rFonts w:ascii="Garamond" w:hAnsi="Garamond"/>
          <w:sz w:val="22"/>
          <w:szCs w:val="22"/>
        </w:rPr>
        <w:t>potential;</w:t>
      </w:r>
      <w:r w:rsidR="003210F7" w:rsidRPr="003210F7">
        <w:rPr>
          <w:rFonts w:ascii="Garamond" w:hAnsi="Garamond"/>
          <w:sz w:val="22"/>
          <w:szCs w:val="22"/>
        </w:rPr>
        <w:t xml:space="preserve"> in the fourth quarter </w:t>
      </w:r>
      <w:r>
        <w:rPr>
          <w:rFonts w:ascii="Garamond" w:hAnsi="Garamond"/>
          <w:sz w:val="22"/>
          <w:szCs w:val="22"/>
        </w:rPr>
        <w:t xml:space="preserve">the </w:t>
      </w:r>
      <w:r w:rsidR="003210F7" w:rsidRPr="003210F7">
        <w:rPr>
          <w:rFonts w:ascii="Garamond" w:hAnsi="Garamond"/>
          <w:sz w:val="22"/>
          <w:szCs w:val="22"/>
        </w:rPr>
        <w:t xml:space="preserve">GDP </w:t>
      </w:r>
      <w:r>
        <w:rPr>
          <w:rFonts w:ascii="Garamond" w:hAnsi="Garamond"/>
          <w:sz w:val="22"/>
          <w:szCs w:val="22"/>
        </w:rPr>
        <w:t xml:space="preserve">gap was </w:t>
      </w:r>
      <w:r w:rsidR="003210F7" w:rsidRPr="003210F7">
        <w:rPr>
          <w:rFonts w:ascii="Garamond" w:hAnsi="Garamond"/>
          <w:sz w:val="22"/>
          <w:szCs w:val="22"/>
        </w:rPr>
        <w:t xml:space="preserve">estimated </w:t>
      </w:r>
      <w:r>
        <w:rPr>
          <w:rFonts w:ascii="Garamond" w:hAnsi="Garamond"/>
          <w:sz w:val="22"/>
          <w:szCs w:val="22"/>
        </w:rPr>
        <w:t xml:space="preserve">to be positive, </w:t>
      </w:r>
      <w:r w:rsidR="003210F7" w:rsidRPr="003210F7">
        <w:rPr>
          <w:rFonts w:ascii="Garamond" w:hAnsi="Garamond"/>
          <w:sz w:val="22"/>
          <w:szCs w:val="22"/>
        </w:rPr>
        <w:t>about 2.0%, creating significant inflationary pressures in the consumer mark</w:t>
      </w:r>
      <w:r w:rsidR="003210F7" w:rsidRPr="00AD2697">
        <w:rPr>
          <w:rFonts w:ascii="Garamond" w:hAnsi="Garamond"/>
          <w:sz w:val="22"/>
          <w:szCs w:val="22"/>
        </w:rPr>
        <w:t>et.</w:t>
      </w:r>
      <w:r w:rsidR="00463624" w:rsidRPr="00AD2697">
        <w:rPr>
          <w:rFonts w:ascii="Garamond" w:hAnsi="Garamond"/>
          <w:sz w:val="22"/>
          <w:szCs w:val="22"/>
        </w:rPr>
        <w:t xml:space="preserve"> </w:t>
      </w:r>
      <w:r w:rsidR="00AD2697">
        <w:rPr>
          <w:rFonts w:ascii="Garamond" w:hAnsi="Garamond"/>
          <w:sz w:val="22"/>
          <w:szCs w:val="22"/>
        </w:rPr>
        <w:t>E</w:t>
      </w:r>
      <w:r w:rsidR="00463624" w:rsidRPr="00AD2697">
        <w:rPr>
          <w:rFonts w:ascii="Garamond" w:hAnsi="Garamond"/>
          <w:sz w:val="22"/>
          <w:szCs w:val="22"/>
        </w:rPr>
        <w:t>xpansionary monetary policy</w:t>
      </w:r>
      <w:r w:rsidR="00AD2697">
        <w:rPr>
          <w:rFonts w:ascii="Garamond" w:hAnsi="Garamond"/>
          <w:sz w:val="22"/>
          <w:szCs w:val="22"/>
        </w:rPr>
        <w:t xml:space="preserve"> which the Central Bank has been implementing since </w:t>
      </w:r>
      <w:r w:rsidR="00AD2697">
        <w:rPr>
          <w:rFonts w:ascii="Garamond" w:hAnsi="Garamond"/>
          <w:sz w:val="22"/>
          <w:szCs w:val="22"/>
        </w:rPr>
        <w:lastRenderedPageBreak/>
        <w:t xml:space="preserve">2016 and the stimulating impact of which </w:t>
      </w:r>
      <w:r w:rsidR="008551A6">
        <w:rPr>
          <w:rFonts w:ascii="Garamond" w:hAnsi="Garamond"/>
          <w:sz w:val="22"/>
          <w:szCs w:val="22"/>
        </w:rPr>
        <w:t>i</w:t>
      </w:r>
      <w:r w:rsidR="00AD2697">
        <w:rPr>
          <w:rFonts w:ascii="Garamond" w:hAnsi="Garamond"/>
          <w:sz w:val="22"/>
          <w:szCs w:val="22"/>
        </w:rPr>
        <w:t xml:space="preserve">s persisting, has facilitated a notable reduction in the GDP gap. </w:t>
      </w:r>
      <w:r w:rsidR="008551A6">
        <w:rPr>
          <w:rFonts w:ascii="Garamond" w:hAnsi="Garamond"/>
          <w:sz w:val="22"/>
          <w:szCs w:val="22"/>
        </w:rPr>
        <w:t>In</w:t>
      </w:r>
      <w:r w:rsidR="00463624" w:rsidRPr="00AD2697">
        <w:rPr>
          <w:rFonts w:ascii="Garamond" w:hAnsi="Garamond"/>
          <w:sz w:val="22"/>
          <w:szCs w:val="22"/>
        </w:rPr>
        <w:t xml:space="preserve"> the reporting period, </w:t>
      </w:r>
      <w:r w:rsidR="008551A6">
        <w:rPr>
          <w:rFonts w:ascii="Garamond" w:hAnsi="Garamond"/>
          <w:sz w:val="22"/>
          <w:szCs w:val="22"/>
        </w:rPr>
        <w:t xml:space="preserve">higher-than-expected </w:t>
      </w:r>
      <w:r w:rsidR="00463624" w:rsidRPr="00AD2697">
        <w:rPr>
          <w:rFonts w:ascii="Garamond" w:hAnsi="Garamond"/>
          <w:sz w:val="22"/>
          <w:szCs w:val="22"/>
        </w:rPr>
        <w:t>growth</w:t>
      </w:r>
      <w:r w:rsidR="008551A6">
        <w:rPr>
          <w:rFonts w:ascii="Garamond" w:hAnsi="Garamond"/>
          <w:sz w:val="22"/>
          <w:szCs w:val="22"/>
        </w:rPr>
        <w:t xml:space="preserve"> in lending</w:t>
      </w:r>
      <w:r w:rsidR="00463624" w:rsidRPr="00AD2697">
        <w:rPr>
          <w:rFonts w:ascii="Garamond" w:hAnsi="Garamond"/>
          <w:sz w:val="22"/>
          <w:szCs w:val="22"/>
        </w:rPr>
        <w:t xml:space="preserve">, </w:t>
      </w:r>
      <w:r w:rsidR="008551A6">
        <w:rPr>
          <w:rFonts w:ascii="Garamond" w:hAnsi="Garamond"/>
          <w:sz w:val="22"/>
          <w:szCs w:val="22"/>
        </w:rPr>
        <w:t xml:space="preserve">recovered </w:t>
      </w:r>
      <w:r w:rsidR="00463624" w:rsidRPr="00AD2697">
        <w:rPr>
          <w:rFonts w:ascii="Garamond" w:hAnsi="Garamond"/>
          <w:sz w:val="22"/>
          <w:szCs w:val="22"/>
        </w:rPr>
        <w:t>remittances</w:t>
      </w:r>
      <w:r w:rsidR="008551A6">
        <w:rPr>
          <w:rFonts w:ascii="Garamond" w:hAnsi="Garamond"/>
          <w:sz w:val="22"/>
          <w:szCs w:val="22"/>
        </w:rPr>
        <w:t xml:space="preserve"> and stronger-than-expected activity in construction</w:t>
      </w:r>
      <w:r w:rsidR="008551A6">
        <w:rPr>
          <w:rStyle w:val="FootnoteReference"/>
          <w:rFonts w:ascii="Garamond" w:hAnsi="Garamond"/>
          <w:sz w:val="22"/>
          <w:szCs w:val="22"/>
        </w:rPr>
        <w:footnoteReference w:customMarkFollows="1" w:id="11"/>
        <w:t>14</w:t>
      </w:r>
      <w:r w:rsidR="008551A6">
        <w:rPr>
          <w:rFonts w:ascii="Garamond" w:hAnsi="Garamond"/>
          <w:sz w:val="22"/>
          <w:szCs w:val="22"/>
        </w:rPr>
        <w:t xml:space="preserve"> all </w:t>
      </w:r>
      <w:r w:rsidR="00463624" w:rsidRPr="00AD2697">
        <w:rPr>
          <w:rFonts w:ascii="Garamond" w:hAnsi="Garamond"/>
          <w:sz w:val="22"/>
          <w:szCs w:val="22"/>
        </w:rPr>
        <w:t xml:space="preserve">contributed to the </w:t>
      </w:r>
      <w:r w:rsidR="008551A6">
        <w:rPr>
          <w:rFonts w:ascii="Garamond" w:hAnsi="Garamond"/>
          <w:sz w:val="22"/>
          <w:szCs w:val="22"/>
        </w:rPr>
        <w:t xml:space="preserve">shaping of a </w:t>
      </w:r>
      <w:r w:rsidR="00463624" w:rsidRPr="00AD2697">
        <w:rPr>
          <w:rFonts w:ascii="Garamond" w:hAnsi="Garamond"/>
          <w:sz w:val="22"/>
          <w:szCs w:val="22"/>
        </w:rPr>
        <w:t>positive GD</w:t>
      </w:r>
      <w:r w:rsidR="00463624" w:rsidRPr="00463624">
        <w:rPr>
          <w:rFonts w:ascii="Garamond" w:hAnsi="Garamond"/>
          <w:sz w:val="22"/>
          <w:szCs w:val="22"/>
        </w:rPr>
        <w:t>P gap</w:t>
      </w:r>
      <w:r w:rsidR="008551A6">
        <w:rPr>
          <w:rFonts w:ascii="Garamond" w:hAnsi="Garamond"/>
          <w:sz w:val="22"/>
          <w:szCs w:val="22"/>
        </w:rPr>
        <w:t>.</w:t>
      </w:r>
      <w:r w:rsidR="00735EED">
        <w:rPr>
          <w:rFonts w:ascii="Garamond" w:hAnsi="Garamond"/>
          <w:sz w:val="22"/>
          <w:szCs w:val="22"/>
        </w:rPr>
        <w:t xml:space="preserve"> As well as accelerated core inflation rate observed </w:t>
      </w:r>
      <w:r w:rsidR="00735EED" w:rsidRPr="00735EED">
        <w:rPr>
          <w:rFonts w:ascii="Garamond" w:hAnsi="Garamond"/>
          <w:sz w:val="22"/>
          <w:szCs w:val="22"/>
        </w:rPr>
        <w:t>at the end of 2017</w:t>
      </w:r>
      <w:r w:rsidR="00AC01D8">
        <w:rPr>
          <w:rFonts w:ascii="Garamond" w:hAnsi="Garamond"/>
          <w:sz w:val="22"/>
          <w:szCs w:val="22"/>
        </w:rPr>
        <w:t xml:space="preserve"> </w:t>
      </w:r>
      <w:r w:rsidR="00AC01D8" w:rsidRPr="00735EED">
        <w:rPr>
          <w:rFonts w:ascii="Garamond" w:hAnsi="Garamond"/>
          <w:sz w:val="22"/>
          <w:szCs w:val="22"/>
        </w:rPr>
        <w:t>(see section 2.2.1)</w:t>
      </w:r>
      <w:r w:rsidR="00AC01D8">
        <w:rPr>
          <w:rFonts w:ascii="Garamond" w:hAnsi="Garamond"/>
          <w:sz w:val="22"/>
          <w:szCs w:val="22"/>
        </w:rPr>
        <w:t xml:space="preserve"> </w:t>
      </w:r>
      <w:r w:rsidR="00735EED">
        <w:rPr>
          <w:rFonts w:ascii="Garamond" w:hAnsi="Garamond"/>
          <w:sz w:val="22"/>
          <w:szCs w:val="22"/>
        </w:rPr>
        <w:t xml:space="preserve">points to the </w:t>
      </w:r>
      <w:r w:rsidR="00735EED" w:rsidRPr="00735EED">
        <w:rPr>
          <w:rFonts w:ascii="Garamond" w:hAnsi="Garamond"/>
          <w:sz w:val="22"/>
          <w:szCs w:val="22"/>
        </w:rPr>
        <w:t>positive GDP</w:t>
      </w:r>
      <w:r w:rsidR="00AC01D8">
        <w:rPr>
          <w:rFonts w:ascii="Garamond" w:hAnsi="Garamond"/>
          <w:sz w:val="22"/>
          <w:szCs w:val="22"/>
        </w:rPr>
        <w:t xml:space="preserve"> gap</w:t>
      </w:r>
      <w:r w:rsidR="00735EED" w:rsidRPr="00735EED">
        <w:rPr>
          <w:rFonts w:ascii="Garamond" w:hAnsi="Garamond"/>
          <w:sz w:val="22"/>
          <w:szCs w:val="22"/>
        </w:rPr>
        <w:t xml:space="preserve">. Nevertheless, </w:t>
      </w:r>
      <w:r w:rsidR="00AC01D8">
        <w:rPr>
          <w:rFonts w:ascii="Garamond" w:hAnsi="Garamond"/>
          <w:sz w:val="22"/>
          <w:szCs w:val="22"/>
        </w:rPr>
        <w:t xml:space="preserve">as such </w:t>
      </w:r>
      <w:r w:rsidR="00735EED" w:rsidRPr="00735EED">
        <w:rPr>
          <w:rFonts w:ascii="Garamond" w:hAnsi="Garamond"/>
          <w:sz w:val="22"/>
          <w:szCs w:val="22"/>
        </w:rPr>
        <w:t xml:space="preserve">positive gap is </w:t>
      </w:r>
      <w:r w:rsidR="00AC01D8">
        <w:rPr>
          <w:rFonts w:ascii="Garamond" w:hAnsi="Garamond"/>
          <w:sz w:val="22"/>
          <w:szCs w:val="22"/>
        </w:rPr>
        <w:t>more believed to be attributable to the rebounding of demand, which had been sluggish over the previous years, it</w:t>
      </w:r>
      <w:r w:rsidR="00735EED" w:rsidRPr="00735EED">
        <w:rPr>
          <w:rFonts w:ascii="Garamond" w:hAnsi="Garamond"/>
          <w:sz w:val="22"/>
          <w:szCs w:val="22"/>
        </w:rPr>
        <w:t xml:space="preserve"> will decline in the </w:t>
      </w:r>
      <w:r w:rsidR="00AC01D8">
        <w:rPr>
          <w:rFonts w:ascii="Garamond" w:hAnsi="Garamond"/>
          <w:sz w:val="22"/>
          <w:szCs w:val="22"/>
        </w:rPr>
        <w:t>up</w:t>
      </w:r>
      <w:r w:rsidR="00735EED" w:rsidRPr="00735EED">
        <w:rPr>
          <w:rFonts w:ascii="Garamond" w:hAnsi="Garamond"/>
          <w:sz w:val="22"/>
          <w:szCs w:val="22"/>
        </w:rPr>
        <w:t>coming quarters.</w:t>
      </w:r>
    </w:p>
    <w:p w14:paraId="5025EDC7" w14:textId="77777777" w:rsidR="00CC1A09" w:rsidRDefault="00CC1A09" w:rsidP="00933B63">
      <w:pPr>
        <w:autoSpaceDE w:val="0"/>
        <w:autoSpaceDN w:val="0"/>
        <w:adjustRightInd w:val="0"/>
        <w:spacing w:after="120" w:line="360" w:lineRule="auto"/>
        <w:jc w:val="both"/>
        <w:rPr>
          <w:rFonts w:ascii="Garamond" w:hAnsi="Garamond"/>
          <w:sz w:val="22"/>
          <w:szCs w:val="22"/>
        </w:rPr>
      </w:pPr>
    </w:p>
    <w:p w14:paraId="5A1FD038" w14:textId="77777777" w:rsidR="00AA16AD" w:rsidRPr="00626752" w:rsidRDefault="00AA16AD" w:rsidP="00933B63">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3.2.2. The expenditures aspect of the economy</w:t>
      </w:r>
    </w:p>
    <w:p w14:paraId="1183E7E3" w14:textId="3E1CA82D" w:rsidR="00545DBA" w:rsidRPr="00626752" w:rsidRDefault="00AA16AD"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w:t>
      </w:r>
      <w:r w:rsidR="00AC01D8">
        <w:rPr>
          <w:rFonts w:ascii="Garamond" w:hAnsi="Garamond"/>
          <w:sz w:val="22"/>
          <w:szCs w:val="22"/>
        </w:rPr>
        <w:t>fourth</w:t>
      </w:r>
      <w:r w:rsidRPr="00626752">
        <w:rPr>
          <w:rFonts w:ascii="Garamond" w:hAnsi="Garamond"/>
          <w:sz w:val="22"/>
          <w:szCs w:val="22"/>
        </w:rPr>
        <w:t xml:space="preserve"> quarter of 2017, </w:t>
      </w:r>
      <w:r w:rsidR="00AC01D8">
        <w:rPr>
          <w:rFonts w:ascii="Garamond" w:hAnsi="Garamond"/>
          <w:sz w:val="22"/>
          <w:szCs w:val="22"/>
        </w:rPr>
        <w:t xml:space="preserve">growth rate of demand </w:t>
      </w:r>
      <w:r w:rsidR="00AC01D8" w:rsidRPr="00AC01D8">
        <w:rPr>
          <w:rFonts w:ascii="Garamond" w:hAnsi="Garamond"/>
          <w:sz w:val="22"/>
          <w:szCs w:val="22"/>
        </w:rPr>
        <w:t>accelerated</w:t>
      </w:r>
      <w:r w:rsidR="00AE3137">
        <w:rPr>
          <w:rFonts w:ascii="Garamond" w:hAnsi="Garamond"/>
          <w:sz w:val="22"/>
          <w:szCs w:val="22"/>
        </w:rPr>
        <w:t xml:space="preserve"> in the private sector</w:t>
      </w:r>
      <w:r w:rsidR="00AC01D8">
        <w:rPr>
          <w:rFonts w:ascii="Garamond" w:hAnsi="Garamond"/>
          <w:sz w:val="22"/>
          <w:szCs w:val="22"/>
        </w:rPr>
        <w:t xml:space="preserve">, exceeding </w:t>
      </w:r>
      <w:r w:rsidR="00AC01D8" w:rsidRPr="00AC01D8">
        <w:rPr>
          <w:rFonts w:ascii="Garamond" w:hAnsi="Garamond"/>
          <w:sz w:val="22"/>
          <w:szCs w:val="22"/>
        </w:rPr>
        <w:t xml:space="preserve">expectations of the Central Bank. </w:t>
      </w:r>
      <w:r w:rsidR="00C23DF5">
        <w:rPr>
          <w:rFonts w:ascii="Garamond" w:hAnsi="Garamond"/>
          <w:sz w:val="22"/>
          <w:szCs w:val="22"/>
        </w:rPr>
        <w:t>With an estimated</w:t>
      </w:r>
      <w:r w:rsidR="00AC01D8" w:rsidRPr="00AC01D8">
        <w:rPr>
          <w:rFonts w:ascii="Garamond" w:hAnsi="Garamond"/>
          <w:sz w:val="22"/>
          <w:szCs w:val="22"/>
        </w:rPr>
        <w:t xml:space="preserve"> 12.5% </w:t>
      </w:r>
      <w:r w:rsidR="00C23DF5">
        <w:rPr>
          <w:rFonts w:ascii="Garamond" w:hAnsi="Garamond"/>
          <w:sz w:val="22"/>
          <w:szCs w:val="22"/>
        </w:rPr>
        <w:t xml:space="preserve">y/y increase in value added </w:t>
      </w:r>
      <w:r w:rsidR="00AC01D8" w:rsidRPr="00AC01D8">
        <w:rPr>
          <w:rFonts w:ascii="Garamond" w:hAnsi="Garamond"/>
          <w:sz w:val="22"/>
          <w:szCs w:val="22"/>
        </w:rPr>
        <w:t xml:space="preserve">in the reporting period, </w:t>
      </w:r>
      <w:r w:rsidR="00C23DF5">
        <w:rPr>
          <w:rFonts w:ascii="Garamond" w:hAnsi="Garamond"/>
          <w:sz w:val="22"/>
          <w:szCs w:val="22"/>
        </w:rPr>
        <w:t xml:space="preserve">a </w:t>
      </w:r>
      <w:r w:rsidR="00AC01D8" w:rsidRPr="00AC01D8">
        <w:rPr>
          <w:rFonts w:ascii="Garamond" w:hAnsi="Garamond"/>
          <w:sz w:val="22"/>
          <w:szCs w:val="22"/>
        </w:rPr>
        <w:t>19.1% increase in private spending</w:t>
      </w:r>
      <w:r w:rsidR="00C23DF5">
        <w:rPr>
          <w:rFonts w:ascii="Garamond" w:hAnsi="Garamond"/>
          <w:sz w:val="22"/>
          <w:szCs w:val="22"/>
        </w:rPr>
        <w:t xml:space="preserve"> will b</w:t>
      </w:r>
      <w:r w:rsidR="00AC01D8" w:rsidRPr="00AC01D8">
        <w:rPr>
          <w:rFonts w:ascii="Garamond" w:hAnsi="Garamond"/>
          <w:sz w:val="22"/>
          <w:szCs w:val="22"/>
        </w:rPr>
        <w:t xml:space="preserve">e recorded. </w:t>
      </w:r>
      <w:r w:rsidR="00C23DF5">
        <w:rPr>
          <w:rFonts w:ascii="Garamond" w:hAnsi="Garamond"/>
          <w:sz w:val="22"/>
          <w:szCs w:val="22"/>
        </w:rPr>
        <w:t xml:space="preserve">Under such </w:t>
      </w:r>
      <w:r w:rsidR="00AC01D8" w:rsidRPr="00AC01D8">
        <w:rPr>
          <w:rFonts w:ascii="Garamond" w:hAnsi="Garamond"/>
          <w:sz w:val="22"/>
          <w:szCs w:val="22"/>
        </w:rPr>
        <w:t xml:space="preserve">conditions, the growth of private spending </w:t>
      </w:r>
      <w:r w:rsidR="00C23DF5">
        <w:rPr>
          <w:rFonts w:ascii="Garamond" w:hAnsi="Garamond"/>
          <w:sz w:val="22"/>
          <w:szCs w:val="22"/>
        </w:rPr>
        <w:t xml:space="preserve">for 2017 </w:t>
      </w:r>
      <w:r w:rsidR="00AC01D8" w:rsidRPr="00AC01D8">
        <w:rPr>
          <w:rFonts w:ascii="Garamond" w:hAnsi="Garamond"/>
          <w:sz w:val="22"/>
          <w:szCs w:val="22"/>
        </w:rPr>
        <w:t>will be 10.7%.</w:t>
      </w:r>
    </w:p>
    <w:p w14:paraId="0C63A664" w14:textId="77777777" w:rsidR="00AA16AD" w:rsidRPr="00626752" w:rsidRDefault="00AA16AD"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The growth of private </w:t>
      </w:r>
      <w:r w:rsidR="00723A78">
        <w:rPr>
          <w:rFonts w:ascii="Garamond" w:hAnsi="Garamond"/>
          <w:sz w:val="22"/>
          <w:szCs w:val="22"/>
        </w:rPr>
        <w:t xml:space="preserve">spending in the fourth quarter of 2017 is a result of increased private </w:t>
      </w:r>
      <w:r w:rsidRPr="00626752">
        <w:rPr>
          <w:rFonts w:ascii="Garamond" w:hAnsi="Garamond"/>
          <w:sz w:val="22"/>
          <w:szCs w:val="22"/>
        </w:rPr>
        <w:t>consumption</w:t>
      </w:r>
      <w:r w:rsidR="00723A78">
        <w:rPr>
          <w:rFonts w:ascii="Garamond" w:hAnsi="Garamond"/>
          <w:sz w:val="22"/>
          <w:szCs w:val="22"/>
        </w:rPr>
        <w:t xml:space="preserve"> (18.2%)</w:t>
      </w:r>
      <w:r w:rsidRPr="00626752">
        <w:rPr>
          <w:rFonts w:ascii="Garamond" w:hAnsi="Garamond"/>
          <w:sz w:val="22"/>
          <w:szCs w:val="22"/>
        </w:rPr>
        <w:t xml:space="preserve"> and </w:t>
      </w:r>
      <w:r w:rsidR="00723A78">
        <w:rPr>
          <w:rFonts w:ascii="Garamond" w:hAnsi="Garamond"/>
          <w:sz w:val="22"/>
          <w:szCs w:val="22"/>
        </w:rPr>
        <w:t xml:space="preserve">private </w:t>
      </w:r>
      <w:r w:rsidRPr="00626752">
        <w:rPr>
          <w:rFonts w:ascii="Garamond" w:hAnsi="Garamond"/>
          <w:sz w:val="22"/>
          <w:szCs w:val="22"/>
        </w:rPr>
        <w:t xml:space="preserve">investment </w:t>
      </w:r>
      <w:r w:rsidR="00723A78">
        <w:rPr>
          <w:rFonts w:ascii="Garamond" w:hAnsi="Garamond"/>
          <w:sz w:val="22"/>
          <w:szCs w:val="22"/>
        </w:rPr>
        <w:t xml:space="preserve">(23%). Private consumption and investment growth </w:t>
      </w:r>
      <w:r w:rsidRPr="00626752">
        <w:rPr>
          <w:rFonts w:ascii="Garamond" w:hAnsi="Garamond"/>
          <w:sz w:val="22"/>
          <w:szCs w:val="22"/>
        </w:rPr>
        <w:t xml:space="preserve">in the </w:t>
      </w:r>
      <w:r w:rsidR="00723A78">
        <w:rPr>
          <w:rFonts w:ascii="Garamond" w:hAnsi="Garamond"/>
          <w:sz w:val="22"/>
          <w:szCs w:val="22"/>
        </w:rPr>
        <w:t>fourth</w:t>
      </w:r>
      <w:r w:rsidRPr="00626752">
        <w:rPr>
          <w:rFonts w:ascii="Garamond" w:hAnsi="Garamond"/>
          <w:sz w:val="22"/>
          <w:szCs w:val="22"/>
        </w:rPr>
        <w:t xml:space="preserve"> quarter </w:t>
      </w:r>
      <w:r w:rsidR="00723A78">
        <w:rPr>
          <w:rFonts w:ascii="Garamond" w:hAnsi="Garamond"/>
          <w:sz w:val="22"/>
          <w:szCs w:val="22"/>
        </w:rPr>
        <w:t xml:space="preserve">of 2017 </w:t>
      </w:r>
      <w:r w:rsidRPr="00626752">
        <w:rPr>
          <w:rFonts w:ascii="Garamond" w:hAnsi="Garamond"/>
          <w:sz w:val="22"/>
          <w:szCs w:val="22"/>
        </w:rPr>
        <w:t xml:space="preserve">has been </w:t>
      </w:r>
      <w:r w:rsidR="00723A78">
        <w:rPr>
          <w:rFonts w:ascii="Garamond" w:hAnsi="Garamond"/>
          <w:sz w:val="22"/>
          <w:szCs w:val="22"/>
        </w:rPr>
        <w:t xml:space="preserve">largely </w:t>
      </w:r>
      <w:r w:rsidRPr="00626752">
        <w:rPr>
          <w:rFonts w:ascii="Garamond" w:hAnsi="Garamond"/>
          <w:sz w:val="22"/>
          <w:szCs w:val="22"/>
        </w:rPr>
        <w:t xml:space="preserve">driven by </w:t>
      </w:r>
      <w:r w:rsidR="00723A78">
        <w:rPr>
          <w:rFonts w:ascii="Garamond" w:hAnsi="Garamond"/>
          <w:sz w:val="22"/>
          <w:szCs w:val="22"/>
        </w:rPr>
        <w:t xml:space="preserve">an </w:t>
      </w:r>
      <w:r w:rsidRPr="00626752">
        <w:rPr>
          <w:rFonts w:ascii="Garamond" w:hAnsi="Garamond"/>
          <w:sz w:val="22"/>
          <w:szCs w:val="22"/>
        </w:rPr>
        <w:t xml:space="preserve">expansionary monetary policy carried out by the Central Bank, </w:t>
      </w:r>
      <w:r w:rsidR="00723A78" w:rsidRPr="00723A78">
        <w:rPr>
          <w:rFonts w:ascii="Garamond" w:hAnsi="Garamond"/>
          <w:sz w:val="22"/>
          <w:szCs w:val="22"/>
        </w:rPr>
        <w:t xml:space="preserve">high lending growth </w:t>
      </w:r>
      <w:r w:rsidR="00BC0F0B">
        <w:rPr>
          <w:rFonts w:ascii="Garamond" w:hAnsi="Garamond"/>
          <w:sz w:val="22"/>
          <w:szCs w:val="22"/>
        </w:rPr>
        <w:t xml:space="preserve">rates </w:t>
      </w:r>
      <w:r w:rsidR="00723A78" w:rsidRPr="00723A78">
        <w:rPr>
          <w:rFonts w:ascii="Garamond" w:hAnsi="Garamond"/>
          <w:sz w:val="22"/>
          <w:szCs w:val="22"/>
        </w:rPr>
        <w:t xml:space="preserve">and </w:t>
      </w:r>
      <w:r w:rsidR="00BC0F0B">
        <w:rPr>
          <w:rFonts w:ascii="Garamond" w:hAnsi="Garamond"/>
          <w:sz w:val="22"/>
          <w:szCs w:val="22"/>
        </w:rPr>
        <w:t xml:space="preserve">grown remittances </w:t>
      </w:r>
      <w:r w:rsidR="00723A78" w:rsidRPr="00723A78">
        <w:rPr>
          <w:rFonts w:ascii="Garamond" w:hAnsi="Garamond"/>
          <w:sz w:val="22"/>
          <w:szCs w:val="22"/>
        </w:rPr>
        <w:t>from Russia.</w:t>
      </w:r>
      <w:r w:rsidR="00BC0F0B">
        <w:rPr>
          <w:rFonts w:ascii="Garamond" w:hAnsi="Garamond"/>
          <w:sz w:val="22"/>
          <w:szCs w:val="22"/>
        </w:rPr>
        <w:t xml:space="preserve"> </w:t>
      </w:r>
      <w:r w:rsidR="00065C25">
        <w:rPr>
          <w:rFonts w:ascii="Garamond" w:hAnsi="Garamond"/>
          <w:sz w:val="22"/>
          <w:szCs w:val="22"/>
        </w:rPr>
        <w:t xml:space="preserve">The indicator of faster grown </w:t>
      </w:r>
      <w:r w:rsidR="00BC0F0B" w:rsidRPr="00BC0F0B">
        <w:rPr>
          <w:rFonts w:ascii="Garamond" w:hAnsi="Garamond"/>
          <w:sz w:val="22"/>
          <w:szCs w:val="22"/>
        </w:rPr>
        <w:t xml:space="preserve">trade turnover </w:t>
      </w:r>
      <w:r w:rsidR="00065C25">
        <w:rPr>
          <w:rFonts w:ascii="Garamond" w:hAnsi="Garamond"/>
          <w:sz w:val="22"/>
          <w:szCs w:val="22"/>
        </w:rPr>
        <w:t xml:space="preserve">volumes </w:t>
      </w:r>
      <w:r w:rsidR="00BC0F0B" w:rsidRPr="00BC0F0B">
        <w:rPr>
          <w:rFonts w:ascii="Garamond" w:hAnsi="Garamond"/>
          <w:sz w:val="22"/>
          <w:szCs w:val="22"/>
        </w:rPr>
        <w:t>publish</w:t>
      </w:r>
      <w:r w:rsidR="00BC0F0B">
        <w:rPr>
          <w:rFonts w:ascii="Garamond" w:hAnsi="Garamond"/>
          <w:sz w:val="22"/>
          <w:szCs w:val="22"/>
        </w:rPr>
        <w:t xml:space="preserve">able </w:t>
      </w:r>
      <w:r w:rsidR="00BC0F0B" w:rsidRPr="00BC0F0B">
        <w:rPr>
          <w:rFonts w:ascii="Garamond" w:hAnsi="Garamond"/>
          <w:sz w:val="22"/>
          <w:szCs w:val="22"/>
        </w:rPr>
        <w:t xml:space="preserve">by the </w:t>
      </w:r>
      <w:r w:rsidR="00BC0F0B">
        <w:rPr>
          <w:rFonts w:ascii="Garamond" w:hAnsi="Garamond"/>
          <w:sz w:val="22"/>
          <w:szCs w:val="22"/>
        </w:rPr>
        <w:t xml:space="preserve">Armenia </w:t>
      </w:r>
      <w:r w:rsidR="00BC0F0B" w:rsidRPr="00BC0F0B">
        <w:rPr>
          <w:rFonts w:ascii="Garamond" w:hAnsi="Garamond"/>
          <w:sz w:val="22"/>
          <w:szCs w:val="22"/>
        </w:rPr>
        <w:t>N</w:t>
      </w:r>
      <w:r w:rsidR="00BC0F0B">
        <w:rPr>
          <w:rFonts w:ascii="Garamond" w:hAnsi="Garamond"/>
          <w:sz w:val="22"/>
          <w:szCs w:val="22"/>
        </w:rPr>
        <w:t xml:space="preserve">ational </w:t>
      </w:r>
      <w:r w:rsidR="00BC0F0B" w:rsidRPr="00BC0F0B">
        <w:rPr>
          <w:rFonts w:ascii="Garamond" w:hAnsi="Garamond"/>
          <w:sz w:val="22"/>
          <w:szCs w:val="22"/>
        </w:rPr>
        <w:t>S</w:t>
      </w:r>
      <w:r w:rsidR="00BC0F0B">
        <w:rPr>
          <w:rFonts w:ascii="Garamond" w:hAnsi="Garamond"/>
          <w:sz w:val="22"/>
          <w:szCs w:val="22"/>
        </w:rPr>
        <w:t>tatistics Service,</w:t>
      </w:r>
      <w:r w:rsidR="00BC0F0B" w:rsidRPr="00BC0F0B">
        <w:rPr>
          <w:rFonts w:ascii="Garamond" w:hAnsi="Garamond"/>
          <w:sz w:val="22"/>
          <w:szCs w:val="22"/>
        </w:rPr>
        <w:t xml:space="preserve"> which was 17.4% in the fourth quarter</w:t>
      </w:r>
      <w:r w:rsidR="00BC0F0B">
        <w:rPr>
          <w:rFonts w:ascii="Garamond" w:hAnsi="Garamond"/>
          <w:sz w:val="22"/>
          <w:szCs w:val="22"/>
        </w:rPr>
        <w:t>, points to strong growth in consumption.</w:t>
      </w:r>
      <w:r w:rsidR="00065C25">
        <w:rPr>
          <w:rFonts w:ascii="Garamond" w:hAnsi="Garamond"/>
          <w:sz w:val="22"/>
          <w:szCs w:val="22"/>
        </w:rPr>
        <w:t xml:space="preserve"> </w:t>
      </w:r>
      <w:r w:rsidR="00AA547B">
        <w:rPr>
          <w:rFonts w:ascii="Garamond" w:hAnsi="Garamond"/>
          <w:sz w:val="22"/>
          <w:szCs w:val="22"/>
        </w:rPr>
        <w:t>H</w:t>
      </w:r>
      <w:r w:rsidR="00BC0F0B" w:rsidRPr="00BC0F0B">
        <w:rPr>
          <w:rFonts w:ascii="Garamond" w:hAnsi="Garamond"/>
          <w:sz w:val="22"/>
          <w:szCs w:val="22"/>
        </w:rPr>
        <w:t xml:space="preserve">igh growth rate </w:t>
      </w:r>
      <w:r w:rsidR="00AA547B">
        <w:rPr>
          <w:rFonts w:ascii="Garamond" w:hAnsi="Garamond"/>
          <w:sz w:val="22"/>
          <w:szCs w:val="22"/>
        </w:rPr>
        <w:t>registered in construction</w:t>
      </w:r>
      <w:r w:rsidR="00BC0F0B" w:rsidRPr="00BC0F0B">
        <w:rPr>
          <w:rFonts w:ascii="Garamond" w:hAnsi="Garamond"/>
          <w:sz w:val="22"/>
          <w:szCs w:val="22"/>
        </w:rPr>
        <w:t xml:space="preserve"> </w:t>
      </w:r>
      <w:r w:rsidR="00AA547B">
        <w:rPr>
          <w:rFonts w:ascii="Garamond" w:hAnsi="Garamond"/>
          <w:sz w:val="22"/>
          <w:szCs w:val="22"/>
        </w:rPr>
        <w:t xml:space="preserve">has </w:t>
      </w:r>
      <w:r w:rsidR="00BC0F0B" w:rsidRPr="00BC0F0B">
        <w:rPr>
          <w:rFonts w:ascii="Garamond" w:hAnsi="Garamond"/>
          <w:sz w:val="22"/>
          <w:szCs w:val="22"/>
        </w:rPr>
        <w:t xml:space="preserve">also contributed to the </w:t>
      </w:r>
      <w:r w:rsidR="00AA547B">
        <w:rPr>
          <w:rFonts w:ascii="Garamond" w:hAnsi="Garamond"/>
          <w:sz w:val="22"/>
          <w:szCs w:val="22"/>
        </w:rPr>
        <w:t xml:space="preserve">investment growth. </w:t>
      </w:r>
    </w:p>
    <w:p w14:paraId="65F30346" w14:textId="77777777" w:rsidR="00DA46AC" w:rsidRPr="00626752" w:rsidRDefault="00B43D6F"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C</w:t>
      </w:r>
      <w:r w:rsidR="00DA46AC" w:rsidRPr="00626752">
        <w:rPr>
          <w:rFonts w:ascii="Garamond" w:hAnsi="Garamond"/>
          <w:sz w:val="22"/>
          <w:szCs w:val="22"/>
        </w:rPr>
        <w:t xml:space="preserve">ontinued growth in </w:t>
      </w:r>
      <w:r w:rsidRPr="00626752">
        <w:rPr>
          <w:rFonts w:ascii="Garamond" w:hAnsi="Garamond"/>
          <w:sz w:val="22"/>
          <w:szCs w:val="22"/>
        </w:rPr>
        <w:t xml:space="preserve">private </w:t>
      </w:r>
      <w:r w:rsidR="00776296">
        <w:rPr>
          <w:rFonts w:ascii="Garamond" w:hAnsi="Garamond"/>
          <w:sz w:val="22"/>
          <w:szCs w:val="22"/>
        </w:rPr>
        <w:t>spending</w:t>
      </w:r>
      <w:r w:rsidRPr="00626752">
        <w:rPr>
          <w:rFonts w:ascii="Garamond" w:hAnsi="Garamond"/>
          <w:sz w:val="22"/>
          <w:szCs w:val="22"/>
        </w:rPr>
        <w:t xml:space="preserve"> observable </w:t>
      </w:r>
      <w:r w:rsidR="00DA46AC" w:rsidRPr="00626752">
        <w:rPr>
          <w:rFonts w:ascii="Garamond" w:hAnsi="Garamond"/>
          <w:sz w:val="22"/>
          <w:szCs w:val="22"/>
        </w:rPr>
        <w:t>since the beginning of 2017</w:t>
      </w:r>
      <w:r w:rsidRPr="00626752">
        <w:rPr>
          <w:rFonts w:ascii="Garamond" w:hAnsi="Garamond"/>
          <w:sz w:val="22"/>
          <w:szCs w:val="22"/>
        </w:rPr>
        <w:t xml:space="preserve"> </w:t>
      </w:r>
      <w:r w:rsidR="00AB7448">
        <w:rPr>
          <w:rFonts w:ascii="Garamond" w:hAnsi="Garamond"/>
          <w:sz w:val="22"/>
          <w:szCs w:val="22"/>
        </w:rPr>
        <w:t xml:space="preserve">brought in indicators slightly outstripping </w:t>
      </w:r>
      <w:r w:rsidRPr="00626752">
        <w:rPr>
          <w:rFonts w:ascii="Garamond" w:hAnsi="Garamond"/>
          <w:sz w:val="22"/>
          <w:szCs w:val="22"/>
        </w:rPr>
        <w:t xml:space="preserve">its </w:t>
      </w:r>
      <w:r w:rsidR="00DA46AC" w:rsidRPr="00626752">
        <w:rPr>
          <w:rFonts w:ascii="Garamond" w:hAnsi="Garamond"/>
          <w:sz w:val="22"/>
          <w:szCs w:val="22"/>
        </w:rPr>
        <w:t>potential</w:t>
      </w:r>
      <w:r w:rsidRPr="00626752">
        <w:rPr>
          <w:rFonts w:ascii="Garamond" w:hAnsi="Garamond"/>
          <w:sz w:val="22"/>
          <w:szCs w:val="22"/>
        </w:rPr>
        <w:t xml:space="preserve"> level</w:t>
      </w:r>
      <w:r w:rsidR="00AB7448">
        <w:rPr>
          <w:rFonts w:ascii="Garamond" w:hAnsi="Garamond"/>
          <w:sz w:val="22"/>
          <w:szCs w:val="22"/>
        </w:rPr>
        <w:t xml:space="preserve">, </w:t>
      </w:r>
      <w:r w:rsidR="00D9067D">
        <w:rPr>
          <w:rFonts w:ascii="Garamond" w:hAnsi="Garamond"/>
          <w:sz w:val="22"/>
          <w:szCs w:val="22"/>
        </w:rPr>
        <w:t xml:space="preserve">therefore </w:t>
      </w:r>
      <w:r w:rsidR="00AB7448" w:rsidRPr="00AB7448">
        <w:rPr>
          <w:rFonts w:ascii="Garamond" w:hAnsi="Garamond"/>
          <w:sz w:val="22"/>
          <w:szCs w:val="22"/>
        </w:rPr>
        <w:t xml:space="preserve">the </w:t>
      </w:r>
      <w:r w:rsidR="00D9067D">
        <w:rPr>
          <w:rFonts w:ascii="Garamond" w:hAnsi="Garamond"/>
          <w:sz w:val="22"/>
          <w:szCs w:val="22"/>
        </w:rPr>
        <w:t xml:space="preserve">fourth quarter’s </w:t>
      </w:r>
      <w:r w:rsidR="00AB7448" w:rsidRPr="00AB7448">
        <w:rPr>
          <w:rFonts w:ascii="Garamond" w:hAnsi="Garamond"/>
          <w:sz w:val="22"/>
          <w:szCs w:val="22"/>
        </w:rPr>
        <w:t xml:space="preserve">private demand </w:t>
      </w:r>
      <w:r w:rsidR="00D9067D">
        <w:rPr>
          <w:rFonts w:ascii="Garamond" w:hAnsi="Garamond"/>
          <w:sz w:val="22"/>
          <w:szCs w:val="22"/>
        </w:rPr>
        <w:t xml:space="preserve">gap </w:t>
      </w:r>
      <w:r w:rsidR="00AB7448" w:rsidRPr="00AB7448">
        <w:rPr>
          <w:rFonts w:ascii="Garamond" w:hAnsi="Garamond"/>
          <w:sz w:val="22"/>
          <w:szCs w:val="22"/>
        </w:rPr>
        <w:t xml:space="preserve">is </w:t>
      </w:r>
      <w:r w:rsidR="00D9067D">
        <w:rPr>
          <w:rFonts w:ascii="Garamond" w:hAnsi="Garamond"/>
          <w:sz w:val="22"/>
          <w:szCs w:val="22"/>
        </w:rPr>
        <w:t xml:space="preserve">estimated as </w:t>
      </w:r>
      <w:r w:rsidR="00AB7448" w:rsidRPr="00AB7448">
        <w:rPr>
          <w:rFonts w:ascii="Garamond" w:hAnsi="Garamond"/>
          <w:sz w:val="22"/>
          <w:szCs w:val="22"/>
        </w:rPr>
        <w:t xml:space="preserve">positive. </w:t>
      </w:r>
      <w:r w:rsidR="00D9067D">
        <w:rPr>
          <w:rFonts w:ascii="Garamond" w:hAnsi="Garamond"/>
          <w:sz w:val="22"/>
          <w:szCs w:val="22"/>
        </w:rPr>
        <w:t xml:space="preserve">In the outcome, </w:t>
      </w:r>
      <w:r w:rsidR="00D9067D" w:rsidRPr="00AB7448">
        <w:rPr>
          <w:rFonts w:ascii="Garamond" w:hAnsi="Garamond"/>
          <w:sz w:val="22"/>
          <w:szCs w:val="22"/>
        </w:rPr>
        <w:t>in the fourth quarter of 2017</w:t>
      </w:r>
      <w:r w:rsidR="00D9067D">
        <w:rPr>
          <w:rFonts w:ascii="Garamond" w:hAnsi="Garamond"/>
          <w:sz w:val="22"/>
          <w:szCs w:val="22"/>
        </w:rPr>
        <w:t>private</w:t>
      </w:r>
      <w:r w:rsidR="00AB7448" w:rsidRPr="00AB7448">
        <w:rPr>
          <w:rFonts w:ascii="Garamond" w:hAnsi="Garamond"/>
          <w:sz w:val="22"/>
          <w:szCs w:val="22"/>
        </w:rPr>
        <w:t xml:space="preserve"> spending </w:t>
      </w:r>
      <w:r w:rsidR="00D9067D">
        <w:rPr>
          <w:rFonts w:ascii="Garamond" w:hAnsi="Garamond"/>
          <w:sz w:val="22"/>
          <w:szCs w:val="22"/>
        </w:rPr>
        <w:t xml:space="preserve">created </w:t>
      </w:r>
      <w:r w:rsidR="00AB7448" w:rsidRPr="00AB7448">
        <w:rPr>
          <w:rFonts w:ascii="Garamond" w:hAnsi="Garamond"/>
          <w:sz w:val="22"/>
          <w:szCs w:val="22"/>
        </w:rPr>
        <w:t>inflationary pressures.</w:t>
      </w:r>
      <w:r w:rsidR="00D9067D">
        <w:rPr>
          <w:rFonts w:ascii="Garamond" w:hAnsi="Garamond"/>
          <w:sz w:val="22"/>
          <w:szCs w:val="22"/>
        </w:rPr>
        <w:t xml:space="preserve"> </w:t>
      </w:r>
    </w:p>
    <w:p w14:paraId="36D17011" w14:textId="77777777" w:rsidR="0079789B" w:rsidRPr="00626752" w:rsidRDefault="0079789B" w:rsidP="00933B63">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w:t>
      </w:r>
      <w:r w:rsidR="006D0D59">
        <w:rPr>
          <w:rFonts w:ascii="Garamond" w:hAnsi="Garamond"/>
          <w:sz w:val="22"/>
          <w:szCs w:val="22"/>
        </w:rPr>
        <w:t>fourth</w:t>
      </w:r>
      <w:r w:rsidRPr="00626752">
        <w:rPr>
          <w:rFonts w:ascii="Garamond" w:hAnsi="Garamond"/>
          <w:sz w:val="22"/>
          <w:szCs w:val="22"/>
        </w:rPr>
        <w:t xml:space="preserve"> quarter of 2017, according to the Central Bank</w:t>
      </w:r>
      <w:r w:rsidR="00044BC5">
        <w:rPr>
          <w:rFonts w:ascii="Garamond" w:hAnsi="Garamond"/>
          <w:sz w:val="22"/>
          <w:szCs w:val="22"/>
        </w:rPr>
        <w:t xml:space="preserve"> estimates, net real export had a </w:t>
      </w:r>
      <w:r w:rsidRPr="00626752">
        <w:rPr>
          <w:rFonts w:ascii="Garamond" w:hAnsi="Garamond"/>
          <w:sz w:val="22"/>
          <w:szCs w:val="22"/>
        </w:rPr>
        <w:t xml:space="preserve">negative impact on the GDP growth as a result of faster growth of real import over export. During the quarter, real </w:t>
      </w:r>
      <w:r w:rsidR="00E228B8" w:rsidRPr="00626752">
        <w:rPr>
          <w:rFonts w:ascii="Garamond" w:hAnsi="Garamond"/>
          <w:sz w:val="22"/>
          <w:szCs w:val="22"/>
        </w:rPr>
        <w:t xml:space="preserve">growth rates of </w:t>
      </w:r>
      <w:r w:rsidRPr="00626752">
        <w:rPr>
          <w:rFonts w:ascii="Garamond" w:hAnsi="Garamond"/>
          <w:sz w:val="22"/>
          <w:szCs w:val="22"/>
        </w:rPr>
        <w:t xml:space="preserve">export of goods and services </w:t>
      </w:r>
      <w:r w:rsidR="00E228B8" w:rsidRPr="00626752">
        <w:rPr>
          <w:rFonts w:ascii="Garamond" w:hAnsi="Garamond"/>
          <w:sz w:val="22"/>
          <w:szCs w:val="22"/>
        </w:rPr>
        <w:t xml:space="preserve">amounted to </w:t>
      </w:r>
      <w:r w:rsidR="00044BC5">
        <w:rPr>
          <w:rFonts w:ascii="Garamond" w:hAnsi="Garamond"/>
          <w:sz w:val="22"/>
          <w:szCs w:val="22"/>
        </w:rPr>
        <w:t>14</w:t>
      </w:r>
      <w:r w:rsidRPr="00626752">
        <w:rPr>
          <w:rFonts w:ascii="Garamond" w:hAnsi="Garamond"/>
          <w:sz w:val="22"/>
          <w:szCs w:val="22"/>
        </w:rPr>
        <w:t>.</w:t>
      </w:r>
      <w:r w:rsidR="00044BC5">
        <w:rPr>
          <w:rFonts w:ascii="Garamond" w:hAnsi="Garamond"/>
          <w:sz w:val="22"/>
          <w:szCs w:val="22"/>
        </w:rPr>
        <w:t>4</w:t>
      </w:r>
      <w:r w:rsidRPr="00626752">
        <w:rPr>
          <w:rFonts w:ascii="Garamond" w:hAnsi="Garamond"/>
          <w:sz w:val="22"/>
          <w:szCs w:val="22"/>
        </w:rPr>
        <w:t xml:space="preserve">% </w:t>
      </w:r>
      <w:r w:rsidR="00E228B8" w:rsidRPr="00626752">
        <w:rPr>
          <w:rFonts w:ascii="Garamond" w:hAnsi="Garamond"/>
          <w:sz w:val="22"/>
          <w:szCs w:val="22"/>
        </w:rPr>
        <w:t>y/y</w:t>
      </w:r>
      <w:r w:rsidRPr="00626752">
        <w:rPr>
          <w:rFonts w:ascii="Garamond" w:hAnsi="Garamond"/>
          <w:sz w:val="22"/>
          <w:szCs w:val="22"/>
        </w:rPr>
        <w:t xml:space="preserve"> and </w:t>
      </w:r>
      <w:r w:rsidR="00E228B8" w:rsidRPr="00626752">
        <w:rPr>
          <w:rFonts w:ascii="Garamond" w:hAnsi="Garamond"/>
          <w:sz w:val="22"/>
          <w:szCs w:val="22"/>
        </w:rPr>
        <w:t xml:space="preserve">real growth rates of </w:t>
      </w:r>
      <w:r w:rsidR="00571689" w:rsidRPr="00626752">
        <w:rPr>
          <w:rFonts w:ascii="Garamond" w:hAnsi="Garamond"/>
          <w:sz w:val="22"/>
          <w:szCs w:val="22"/>
        </w:rPr>
        <w:t>import,</w:t>
      </w:r>
      <w:r w:rsidRPr="00626752">
        <w:rPr>
          <w:rFonts w:ascii="Garamond" w:hAnsi="Garamond"/>
          <w:sz w:val="22"/>
          <w:szCs w:val="22"/>
        </w:rPr>
        <w:t xml:space="preserve"> 17.</w:t>
      </w:r>
      <w:r w:rsidR="00044BC5">
        <w:rPr>
          <w:rFonts w:ascii="Garamond" w:hAnsi="Garamond"/>
          <w:sz w:val="22"/>
          <w:szCs w:val="22"/>
        </w:rPr>
        <w:t>4</w:t>
      </w:r>
      <w:r w:rsidRPr="00626752">
        <w:rPr>
          <w:rFonts w:ascii="Garamond" w:hAnsi="Garamond"/>
          <w:sz w:val="22"/>
          <w:szCs w:val="22"/>
        </w:rPr>
        <w:t>%</w:t>
      </w:r>
      <w:r w:rsidR="00571689" w:rsidRPr="00626752">
        <w:rPr>
          <w:rFonts w:ascii="Garamond" w:hAnsi="Garamond"/>
          <w:sz w:val="22"/>
          <w:szCs w:val="22"/>
        </w:rPr>
        <w:t xml:space="preserve"> y/y</w:t>
      </w:r>
      <w:r w:rsidR="00044BC5">
        <w:rPr>
          <w:rStyle w:val="FootnoteReference"/>
          <w:rFonts w:ascii="Garamond" w:hAnsi="Garamond"/>
          <w:sz w:val="22"/>
          <w:szCs w:val="22"/>
        </w:rPr>
        <w:footnoteReference w:customMarkFollows="1" w:id="12"/>
        <w:t>15</w:t>
      </w:r>
      <w:r w:rsidRPr="00626752">
        <w:rPr>
          <w:rFonts w:ascii="Garamond" w:hAnsi="Garamond"/>
          <w:sz w:val="22"/>
          <w:szCs w:val="22"/>
        </w:rPr>
        <w:t>.</w:t>
      </w:r>
    </w:p>
    <w:p w14:paraId="1BC51BA3" w14:textId="77777777" w:rsidR="004B4262" w:rsidRDefault="00044BC5"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Pr="00626752">
        <w:rPr>
          <w:rFonts w:ascii="Garamond" w:hAnsi="Garamond"/>
          <w:sz w:val="22"/>
          <w:szCs w:val="22"/>
        </w:rPr>
        <w:t xml:space="preserve">n the </w:t>
      </w:r>
      <w:r>
        <w:rPr>
          <w:rFonts w:ascii="Garamond" w:hAnsi="Garamond"/>
          <w:sz w:val="22"/>
          <w:szCs w:val="22"/>
        </w:rPr>
        <w:t>fourth</w:t>
      </w:r>
      <w:r w:rsidRPr="00626752">
        <w:rPr>
          <w:rFonts w:ascii="Garamond" w:hAnsi="Garamond"/>
          <w:sz w:val="22"/>
          <w:szCs w:val="22"/>
        </w:rPr>
        <w:t xml:space="preserve"> quarter of 2017</w:t>
      </w:r>
      <w:r>
        <w:rPr>
          <w:rFonts w:ascii="Garamond" w:hAnsi="Garamond"/>
          <w:sz w:val="22"/>
          <w:szCs w:val="22"/>
        </w:rPr>
        <w:t>, t</w:t>
      </w:r>
      <w:r w:rsidR="004B4262" w:rsidRPr="00626752">
        <w:rPr>
          <w:rFonts w:ascii="Garamond" w:hAnsi="Garamond"/>
          <w:sz w:val="22"/>
          <w:szCs w:val="22"/>
        </w:rPr>
        <w:t xml:space="preserve">he growth rates in dollar value of net remittances of individuals (seasonal workers’ </w:t>
      </w:r>
      <w:r w:rsidR="00776296">
        <w:rPr>
          <w:rFonts w:ascii="Garamond" w:hAnsi="Garamond"/>
          <w:sz w:val="22"/>
          <w:szCs w:val="22"/>
        </w:rPr>
        <w:t>income</w:t>
      </w:r>
      <w:r w:rsidR="004B4262" w:rsidRPr="00626752">
        <w:rPr>
          <w:rFonts w:ascii="Garamond" w:hAnsi="Garamond"/>
          <w:sz w:val="22"/>
          <w:szCs w:val="22"/>
        </w:rPr>
        <w:t xml:space="preserve"> and personal transfers inclusive) </w:t>
      </w:r>
      <w:r w:rsidR="00EB5FCA" w:rsidRPr="00626752">
        <w:rPr>
          <w:rFonts w:ascii="Garamond" w:hAnsi="Garamond"/>
          <w:sz w:val="22"/>
          <w:szCs w:val="22"/>
        </w:rPr>
        <w:t>accelerated to 1</w:t>
      </w:r>
      <w:r>
        <w:rPr>
          <w:rFonts w:ascii="Garamond" w:hAnsi="Garamond"/>
          <w:sz w:val="22"/>
          <w:szCs w:val="22"/>
        </w:rPr>
        <w:t>8</w:t>
      </w:r>
      <w:r w:rsidR="00EB5FCA" w:rsidRPr="00626752">
        <w:rPr>
          <w:rFonts w:ascii="Garamond" w:hAnsi="Garamond"/>
          <w:sz w:val="22"/>
          <w:szCs w:val="22"/>
        </w:rPr>
        <w:t>.</w:t>
      </w:r>
      <w:r>
        <w:rPr>
          <w:rFonts w:ascii="Garamond" w:hAnsi="Garamond"/>
          <w:sz w:val="22"/>
          <w:szCs w:val="22"/>
        </w:rPr>
        <w:t>8</w:t>
      </w:r>
      <w:r w:rsidR="00EB5FCA" w:rsidRPr="00626752">
        <w:rPr>
          <w:rFonts w:ascii="Garamond" w:hAnsi="Garamond"/>
          <w:sz w:val="22"/>
          <w:szCs w:val="22"/>
        </w:rPr>
        <w:t>% y/y</w:t>
      </w:r>
      <w:r w:rsidR="00B86157">
        <w:rPr>
          <w:rFonts w:ascii="Garamond" w:hAnsi="Garamond"/>
          <w:sz w:val="22"/>
          <w:szCs w:val="22"/>
        </w:rPr>
        <w:t>,</w:t>
      </w:r>
      <w:r>
        <w:rPr>
          <w:rFonts w:ascii="Garamond" w:hAnsi="Garamond"/>
          <w:sz w:val="22"/>
          <w:szCs w:val="22"/>
        </w:rPr>
        <w:t xml:space="preserve"> as the Russian economy recovered</w:t>
      </w:r>
      <w:r w:rsidR="00B86157">
        <w:rPr>
          <w:rFonts w:ascii="Garamond" w:hAnsi="Garamond"/>
          <w:sz w:val="22"/>
          <w:szCs w:val="22"/>
        </w:rPr>
        <w:t xml:space="preserve"> at a</w:t>
      </w:r>
      <w:r>
        <w:rPr>
          <w:rFonts w:ascii="Garamond" w:hAnsi="Garamond"/>
          <w:sz w:val="22"/>
          <w:szCs w:val="22"/>
        </w:rPr>
        <w:t xml:space="preserve"> </w:t>
      </w:r>
      <w:r w:rsidR="00B86157">
        <w:rPr>
          <w:rFonts w:ascii="Garamond" w:hAnsi="Garamond"/>
          <w:sz w:val="22"/>
          <w:szCs w:val="22"/>
        </w:rPr>
        <w:t>faster pace and the ruble exchange rate appreciated versus the US dollar</w:t>
      </w:r>
      <w:r w:rsidR="004B4262" w:rsidRPr="00626752">
        <w:rPr>
          <w:rFonts w:ascii="Garamond" w:hAnsi="Garamond"/>
          <w:sz w:val="22"/>
          <w:szCs w:val="22"/>
        </w:rPr>
        <w:t>.</w:t>
      </w:r>
    </w:p>
    <w:p w14:paraId="73C1FF6C" w14:textId="4CE812FC" w:rsidR="00B86157" w:rsidRPr="00626752" w:rsidRDefault="00B86157" w:rsidP="00933B63">
      <w:pPr>
        <w:autoSpaceDE w:val="0"/>
        <w:autoSpaceDN w:val="0"/>
        <w:adjustRightInd w:val="0"/>
        <w:spacing w:after="120" w:line="360" w:lineRule="auto"/>
        <w:jc w:val="both"/>
        <w:rPr>
          <w:rFonts w:ascii="Garamond" w:hAnsi="Garamond"/>
          <w:sz w:val="22"/>
          <w:szCs w:val="22"/>
        </w:rPr>
      </w:pPr>
      <w:r w:rsidRPr="00B86157">
        <w:rPr>
          <w:rFonts w:ascii="Garamond" w:hAnsi="Garamond"/>
          <w:sz w:val="22"/>
          <w:szCs w:val="22"/>
        </w:rPr>
        <w:lastRenderedPageBreak/>
        <w:t xml:space="preserve">According to </w:t>
      </w:r>
      <w:r>
        <w:rPr>
          <w:rFonts w:ascii="Garamond" w:hAnsi="Garamond"/>
          <w:sz w:val="22"/>
          <w:szCs w:val="22"/>
        </w:rPr>
        <w:t xml:space="preserve">the 2017 </w:t>
      </w:r>
      <w:r w:rsidRPr="00B86157">
        <w:rPr>
          <w:rFonts w:ascii="Garamond" w:hAnsi="Garamond"/>
          <w:sz w:val="22"/>
          <w:szCs w:val="22"/>
        </w:rPr>
        <w:t xml:space="preserve">estimates, the impact of net external demand on real GDP is </w:t>
      </w:r>
      <w:r>
        <w:rPr>
          <w:rFonts w:ascii="Garamond" w:hAnsi="Garamond"/>
          <w:sz w:val="22"/>
          <w:szCs w:val="22"/>
        </w:rPr>
        <w:t xml:space="preserve">negative as </w:t>
      </w:r>
      <w:r w:rsidR="009A401A">
        <w:rPr>
          <w:rFonts w:ascii="Garamond" w:hAnsi="Garamond"/>
          <w:sz w:val="22"/>
          <w:szCs w:val="22"/>
        </w:rPr>
        <w:t xml:space="preserve">growth of </w:t>
      </w:r>
      <w:r>
        <w:rPr>
          <w:rFonts w:ascii="Garamond" w:hAnsi="Garamond"/>
          <w:sz w:val="22"/>
          <w:szCs w:val="22"/>
        </w:rPr>
        <w:t>real import</w:t>
      </w:r>
      <w:r w:rsidRPr="00B86157">
        <w:rPr>
          <w:rFonts w:ascii="Garamond" w:hAnsi="Garamond"/>
          <w:sz w:val="22"/>
          <w:szCs w:val="22"/>
        </w:rPr>
        <w:t xml:space="preserve"> of goods and services </w:t>
      </w:r>
      <w:r>
        <w:rPr>
          <w:rFonts w:ascii="Garamond" w:hAnsi="Garamond"/>
          <w:sz w:val="22"/>
          <w:szCs w:val="22"/>
        </w:rPr>
        <w:t xml:space="preserve">has been faster </w:t>
      </w:r>
      <w:r w:rsidRPr="00B86157">
        <w:rPr>
          <w:rFonts w:ascii="Garamond" w:hAnsi="Garamond"/>
          <w:sz w:val="22"/>
          <w:szCs w:val="22"/>
        </w:rPr>
        <w:t xml:space="preserve">compared to </w:t>
      </w:r>
      <w:r>
        <w:rPr>
          <w:rFonts w:ascii="Garamond" w:hAnsi="Garamond"/>
          <w:sz w:val="22"/>
          <w:szCs w:val="22"/>
        </w:rPr>
        <w:t xml:space="preserve">that of </w:t>
      </w:r>
      <w:r w:rsidRPr="00B86157">
        <w:rPr>
          <w:rFonts w:ascii="Garamond" w:hAnsi="Garamond"/>
          <w:sz w:val="22"/>
          <w:szCs w:val="22"/>
        </w:rPr>
        <w:t>export of goods and services</w:t>
      </w:r>
      <w:r>
        <w:rPr>
          <w:rFonts w:ascii="Garamond" w:hAnsi="Garamond"/>
          <w:sz w:val="22"/>
          <w:szCs w:val="22"/>
        </w:rPr>
        <w:t>, which wa</w:t>
      </w:r>
      <w:r w:rsidR="00F858D9">
        <w:rPr>
          <w:rFonts w:ascii="Garamond" w:hAnsi="Garamond"/>
          <w:sz w:val="22"/>
          <w:szCs w:val="22"/>
        </w:rPr>
        <w:t xml:space="preserve">s attributable to the </w:t>
      </w:r>
      <w:r w:rsidRPr="00B86157">
        <w:rPr>
          <w:rFonts w:ascii="Garamond" w:hAnsi="Garamond"/>
          <w:sz w:val="22"/>
          <w:szCs w:val="22"/>
        </w:rPr>
        <w:t>domestic demand</w:t>
      </w:r>
      <w:r>
        <w:rPr>
          <w:rFonts w:ascii="Garamond" w:hAnsi="Garamond"/>
          <w:sz w:val="22"/>
          <w:szCs w:val="22"/>
        </w:rPr>
        <w:t xml:space="preserve"> </w:t>
      </w:r>
      <w:r w:rsidR="00F858D9">
        <w:rPr>
          <w:rFonts w:ascii="Garamond" w:hAnsi="Garamond"/>
          <w:sz w:val="22"/>
          <w:szCs w:val="22"/>
        </w:rPr>
        <w:t xml:space="preserve">having </w:t>
      </w:r>
      <w:r>
        <w:rPr>
          <w:rFonts w:ascii="Garamond" w:hAnsi="Garamond"/>
          <w:sz w:val="22"/>
          <w:szCs w:val="22"/>
        </w:rPr>
        <w:t xml:space="preserve">recovered </w:t>
      </w:r>
      <w:r w:rsidR="00F858D9">
        <w:rPr>
          <w:rFonts w:ascii="Garamond" w:hAnsi="Garamond"/>
          <w:sz w:val="22"/>
          <w:szCs w:val="22"/>
        </w:rPr>
        <w:t xml:space="preserve">quicker </w:t>
      </w:r>
      <w:r w:rsidR="00BC2FD6">
        <w:rPr>
          <w:rFonts w:ascii="Garamond" w:hAnsi="Garamond"/>
          <w:sz w:val="22"/>
          <w:szCs w:val="22"/>
        </w:rPr>
        <w:t>than anticipated. I</w:t>
      </w:r>
      <w:r w:rsidRPr="00B86157">
        <w:rPr>
          <w:rFonts w:ascii="Garamond" w:hAnsi="Garamond"/>
          <w:sz w:val="22"/>
          <w:szCs w:val="22"/>
        </w:rPr>
        <w:t xml:space="preserve">t should be noted that the growth of domestic demand was reflected in the growth of import </w:t>
      </w:r>
      <w:r w:rsidR="00BC2FD6">
        <w:rPr>
          <w:rFonts w:ascii="Garamond" w:hAnsi="Garamond"/>
          <w:sz w:val="22"/>
          <w:szCs w:val="22"/>
        </w:rPr>
        <w:t>for</w:t>
      </w:r>
      <w:r w:rsidRPr="00B86157">
        <w:rPr>
          <w:rFonts w:ascii="Garamond" w:hAnsi="Garamond"/>
          <w:sz w:val="22"/>
          <w:szCs w:val="22"/>
        </w:rPr>
        <w:t xml:space="preserve"> all commodity groups. In addition to other factors, the</w:t>
      </w:r>
      <w:r w:rsidR="00BC2FD6">
        <w:rPr>
          <w:rFonts w:ascii="Garamond" w:hAnsi="Garamond"/>
          <w:sz w:val="22"/>
          <w:szCs w:val="22"/>
        </w:rPr>
        <w:t xml:space="preserve"> </w:t>
      </w:r>
      <w:r w:rsidRPr="00B86157">
        <w:rPr>
          <w:rFonts w:ascii="Garamond" w:hAnsi="Garamond"/>
          <w:sz w:val="22"/>
          <w:szCs w:val="22"/>
        </w:rPr>
        <w:t xml:space="preserve">domestic demand </w:t>
      </w:r>
      <w:r w:rsidR="00BC2FD6">
        <w:rPr>
          <w:rFonts w:ascii="Garamond" w:hAnsi="Garamond"/>
          <w:sz w:val="22"/>
          <w:szCs w:val="22"/>
        </w:rPr>
        <w:t xml:space="preserve">has been </w:t>
      </w:r>
      <w:proofErr w:type="spellStart"/>
      <w:r w:rsidR="00BC2FD6">
        <w:rPr>
          <w:rFonts w:ascii="Garamond" w:hAnsi="Garamond"/>
          <w:sz w:val="22"/>
          <w:szCs w:val="22"/>
        </w:rPr>
        <w:t>fuelled</w:t>
      </w:r>
      <w:proofErr w:type="spellEnd"/>
      <w:r w:rsidR="00BC2FD6">
        <w:rPr>
          <w:rFonts w:ascii="Garamond" w:hAnsi="Garamond"/>
          <w:sz w:val="22"/>
          <w:szCs w:val="22"/>
        </w:rPr>
        <w:t xml:space="preserve"> by high </w:t>
      </w:r>
      <w:r w:rsidRPr="00B86157">
        <w:rPr>
          <w:rFonts w:ascii="Garamond" w:hAnsi="Garamond"/>
          <w:sz w:val="22"/>
          <w:szCs w:val="22"/>
        </w:rPr>
        <w:t xml:space="preserve">growth of </w:t>
      </w:r>
      <w:r w:rsidR="00BC2FD6">
        <w:rPr>
          <w:rFonts w:ascii="Garamond" w:hAnsi="Garamond"/>
          <w:sz w:val="22"/>
          <w:szCs w:val="22"/>
        </w:rPr>
        <w:t xml:space="preserve">private transfers of </w:t>
      </w:r>
      <w:r w:rsidRPr="00B86157">
        <w:rPr>
          <w:rFonts w:ascii="Garamond" w:hAnsi="Garamond"/>
          <w:sz w:val="22"/>
          <w:szCs w:val="22"/>
        </w:rPr>
        <w:t xml:space="preserve">individuals </w:t>
      </w:r>
      <w:r w:rsidR="00BC2FD6">
        <w:rPr>
          <w:rFonts w:ascii="Garamond" w:hAnsi="Garamond"/>
          <w:sz w:val="22"/>
          <w:szCs w:val="22"/>
        </w:rPr>
        <w:t>thanks to faster-than-expected recovery of t</w:t>
      </w:r>
      <w:r w:rsidRPr="00B86157">
        <w:rPr>
          <w:rFonts w:ascii="Garamond" w:hAnsi="Garamond"/>
          <w:sz w:val="22"/>
          <w:szCs w:val="22"/>
        </w:rPr>
        <w:t xml:space="preserve">he Russian economy (in the fourth quarter of 2017 it exceeded the forecast, in which </w:t>
      </w:r>
      <w:r w:rsidR="00BC2FD6">
        <w:rPr>
          <w:rFonts w:ascii="Garamond" w:hAnsi="Garamond"/>
          <w:sz w:val="22"/>
          <w:szCs w:val="22"/>
        </w:rPr>
        <w:t xml:space="preserve">circumstance </w:t>
      </w:r>
      <w:r w:rsidRPr="00B86157">
        <w:rPr>
          <w:rFonts w:ascii="Garamond" w:hAnsi="Garamond"/>
          <w:sz w:val="22"/>
          <w:szCs w:val="22"/>
        </w:rPr>
        <w:t xml:space="preserve">the growth of </w:t>
      </w:r>
      <w:r w:rsidR="00BC2FD6">
        <w:rPr>
          <w:rFonts w:ascii="Garamond" w:hAnsi="Garamond"/>
          <w:sz w:val="22"/>
          <w:szCs w:val="22"/>
        </w:rPr>
        <w:t xml:space="preserve">private transfers of </w:t>
      </w:r>
      <w:r w:rsidR="00BC2FD6" w:rsidRPr="00B86157">
        <w:rPr>
          <w:rFonts w:ascii="Garamond" w:hAnsi="Garamond"/>
          <w:sz w:val="22"/>
          <w:szCs w:val="22"/>
        </w:rPr>
        <w:t xml:space="preserve">individuals </w:t>
      </w:r>
      <w:r w:rsidRPr="00B86157">
        <w:rPr>
          <w:rFonts w:ascii="Garamond" w:hAnsi="Garamond"/>
          <w:sz w:val="22"/>
          <w:szCs w:val="22"/>
        </w:rPr>
        <w:t xml:space="preserve">is estimated </w:t>
      </w:r>
      <w:r w:rsidR="00BC2FD6">
        <w:rPr>
          <w:rFonts w:ascii="Garamond" w:hAnsi="Garamond"/>
          <w:sz w:val="22"/>
          <w:szCs w:val="22"/>
        </w:rPr>
        <w:t xml:space="preserve">within </w:t>
      </w:r>
      <w:r w:rsidRPr="00B86157">
        <w:rPr>
          <w:rFonts w:ascii="Garamond" w:hAnsi="Garamond"/>
          <w:sz w:val="22"/>
          <w:szCs w:val="22"/>
        </w:rPr>
        <w:t>15.0-17.0</w:t>
      </w:r>
      <w:r w:rsidRPr="002D541D">
        <w:rPr>
          <w:rFonts w:ascii="Garamond" w:hAnsi="Garamond"/>
          <w:sz w:val="22"/>
          <w:szCs w:val="22"/>
        </w:rPr>
        <w:t xml:space="preserve">%). In spite of the </w:t>
      </w:r>
      <w:r w:rsidR="009D00B0">
        <w:rPr>
          <w:rFonts w:ascii="Garamond" w:hAnsi="Garamond"/>
          <w:sz w:val="22"/>
          <w:szCs w:val="22"/>
        </w:rPr>
        <w:t xml:space="preserve">increase </w:t>
      </w:r>
      <w:proofErr w:type="gramStart"/>
      <w:r w:rsidR="009D00B0">
        <w:rPr>
          <w:rFonts w:ascii="Garamond" w:hAnsi="Garamond"/>
          <w:sz w:val="22"/>
          <w:szCs w:val="22"/>
        </w:rPr>
        <w:t xml:space="preserve">of </w:t>
      </w:r>
      <w:r w:rsidRPr="002D541D">
        <w:rPr>
          <w:rFonts w:ascii="Garamond" w:hAnsi="Garamond"/>
          <w:sz w:val="22"/>
          <w:szCs w:val="22"/>
        </w:rPr>
        <w:t xml:space="preserve"> </w:t>
      </w:r>
      <w:r w:rsidR="00767E0A" w:rsidRPr="002D541D">
        <w:rPr>
          <w:rFonts w:ascii="Garamond" w:hAnsi="Garamond"/>
          <w:sz w:val="22"/>
          <w:szCs w:val="22"/>
        </w:rPr>
        <w:t>balance</w:t>
      </w:r>
      <w:proofErr w:type="gramEnd"/>
      <w:r w:rsidR="00767E0A" w:rsidRPr="002D541D">
        <w:rPr>
          <w:rFonts w:ascii="Garamond" w:hAnsi="Garamond"/>
          <w:sz w:val="22"/>
          <w:szCs w:val="22"/>
        </w:rPr>
        <w:t xml:space="preserve"> of </w:t>
      </w:r>
      <w:r w:rsidRPr="002D541D">
        <w:rPr>
          <w:rFonts w:ascii="Garamond" w:hAnsi="Garamond"/>
          <w:sz w:val="22"/>
          <w:szCs w:val="22"/>
        </w:rPr>
        <w:t>trade</w:t>
      </w:r>
      <w:r w:rsidR="002D541D" w:rsidRPr="002D541D">
        <w:rPr>
          <w:rFonts w:ascii="Garamond" w:hAnsi="Garamond"/>
          <w:sz w:val="22"/>
          <w:szCs w:val="22"/>
        </w:rPr>
        <w:t xml:space="preserve"> deficit</w:t>
      </w:r>
      <w:r w:rsidRPr="002D541D">
        <w:rPr>
          <w:rFonts w:ascii="Garamond" w:hAnsi="Garamond"/>
          <w:sz w:val="22"/>
          <w:szCs w:val="22"/>
        </w:rPr>
        <w:t xml:space="preserve">, </w:t>
      </w:r>
      <w:r w:rsidR="00767E0A" w:rsidRPr="002D541D">
        <w:rPr>
          <w:rFonts w:ascii="Garamond" w:hAnsi="Garamond"/>
          <w:sz w:val="22"/>
          <w:szCs w:val="22"/>
        </w:rPr>
        <w:t xml:space="preserve">the current account deficit-to-GDP ratio posted an improvement in 2017 (running at around 2.0%), compared to the previous forecast, as a result of </w:t>
      </w:r>
      <w:r w:rsidRPr="002D541D">
        <w:rPr>
          <w:rFonts w:ascii="Garamond" w:hAnsi="Garamond"/>
          <w:sz w:val="22"/>
          <w:szCs w:val="22"/>
        </w:rPr>
        <w:t xml:space="preserve">actual </w:t>
      </w:r>
      <w:r w:rsidR="00767E0A" w:rsidRPr="002D541D">
        <w:rPr>
          <w:rFonts w:ascii="Garamond" w:hAnsi="Garamond"/>
          <w:sz w:val="22"/>
          <w:szCs w:val="22"/>
        </w:rPr>
        <w:t xml:space="preserve"> </w:t>
      </w:r>
      <w:r w:rsidRPr="002D541D">
        <w:rPr>
          <w:rFonts w:ascii="Garamond" w:hAnsi="Garamond"/>
          <w:sz w:val="22"/>
          <w:szCs w:val="22"/>
        </w:rPr>
        <w:t>developments</w:t>
      </w:r>
      <w:r w:rsidR="00767E0A" w:rsidRPr="002D541D">
        <w:rPr>
          <w:rFonts w:ascii="Garamond" w:hAnsi="Garamond"/>
          <w:sz w:val="22"/>
          <w:szCs w:val="22"/>
        </w:rPr>
        <w:t xml:space="preserve"> and </w:t>
      </w:r>
      <w:r w:rsidRPr="002D541D">
        <w:rPr>
          <w:rFonts w:ascii="Garamond" w:hAnsi="Garamond"/>
          <w:sz w:val="22"/>
          <w:szCs w:val="22"/>
        </w:rPr>
        <w:t xml:space="preserve">fourth quarter </w:t>
      </w:r>
      <w:r w:rsidR="00767E0A" w:rsidRPr="002D541D">
        <w:rPr>
          <w:rFonts w:ascii="Garamond" w:hAnsi="Garamond"/>
          <w:sz w:val="22"/>
          <w:szCs w:val="22"/>
        </w:rPr>
        <w:t>estimations</w:t>
      </w:r>
      <w:r w:rsidR="009D00B0">
        <w:rPr>
          <w:rFonts w:ascii="Garamond" w:hAnsi="Garamond"/>
          <w:sz w:val="22"/>
          <w:szCs w:val="22"/>
        </w:rPr>
        <w:t xml:space="preserve"> of </w:t>
      </w:r>
      <w:r w:rsidR="009D00B0">
        <w:rPr>
          <w:rFonts w:ascii="Sylfaen" w:hAnsi="Sylfaen"/>
          <w:sz w:val="22"/>
          <w:szCs w:val="22"/>
        </w:rPr>
        <w:t>net income of current account</w:t>
      </w:r>
      <w:r w:rsidR="00767E0A" w:rsidRPr="002D541D">
        <w:rPr>
          <w:rFonts w:ascii="Garamond" w:hAnsi="Garamond"/>
          <w:sz w:val="22"/>
          <w:szCs w:val="22"/>
        </w:rPr>
        <w:t>.</w:t>
      </w:r>
      <w:r w:rsidRPr="002D541D">
        <w:rPr>
          <w:rFonts w:ascii="Garamond" w:hAnsi="Garamond"/>
          <w:sz w:val="22"/>
          <w:szCs w:val="22"/>
        </w:rPr>
        <w:t xml:space="preserve"> The </w:t>
      </w:r>
      <w:r w:rsidR="00A447B1" w:rsidRPr="002D541D">
        <w:rPr>
          <w:rFonts w:ascii="Garamond" w:hAnsi="Garamond"/>
          <w:sz w:val="22"/>
          <w:szCs w:val="22"/>
        </w:rPr>
        <w:t xml:space="preserve">improvement of the </w:t>
      </w:r>
      <w:r w:rsidR="002E4FD8" w:rsidRPr="002D541D">
        <w:rPr>
          <w:rFonts w:ascii="Garamond" w:hAnsi="Garamond"/>
          <w:sz w:val="22"/>
          <w:szCs w:val="22"/>
        </w:rPr>
        <w:t xml:space="preserve">ratio has also benefited </w:t>
      </w:r>
      <w:r w:rsidR="00A447B1" w:rsidRPr="002D541D">
        <w:rPr>
          <w:rFonts w:ascii="Garamond" w:hAnsi="Garamond"/>
          <w:sz w:val="22"/>
          <w:szCs w:val="22"/>
        </w:rPr>
        <w:t>the higher than expected estimates of GDP</w:t>
      </w:r>
      <w:r w:rsidRPr="002D541D">
        <w:rPr>
          <w:rFonts w:ascii="Garamond" w:hAnsi="Garamond"/>
          <w:sz w:val="22"/>
          <w:szCs w:val="22"/>
        </w:rPr>
        <w:t>.</w:t>
      </w:r>
      <w:r w:rsidR="00A447B1">
        <w:rPr>
          <w:rFonts w:ascii="Garamond" w:hAnsi="Garamond"/>
          <w:sz w:val="22"/>
          <w:szCs w:val="22"/>
        </w:rPr>
        <w:t xml:space="preserve"> </w:t>
      </w:r>
    </w:p>
    <w:p w14:paraId="7470CFD0" w14:textId="28520FDA" w:rsidR="00F40F99" w:rsidRPr="00B86157" w:rsidRDefault="00B178C0" w:rsidP="00B178C0">
      <w:pPr>
        <w:autoSpaceDE w:val="0"/>
        <w:autoSpaceDN w:val="0"/>
        <w:adjustRightInd w:val="0"/>
        <w:spacing w:after="120" w:line="360" w:lineRule="auto"/>
        <w:jc w:val="both"/>
        <w:rPr>
          <w:rFonts w:ascii="Garamond" w:hAnsi="Garamond"/>
          <w:b/>
          <w:sz w:val="22"/>
          <w:szCs w:val="22"/>
        </w:rPr>
      </w:pPr>
      <w:r w:rsidRPr="00626752">
        <w:rPr>
          <w:rFonts w:ascii="Garamond" w:hAnsi="Garamond"/>
          <w:b/>
          <w:sz w:val="22"/>
          <w:szCs w:val="22"/>
        </w:rPr>
        <w:t>Fiscal policy</w:t>
      </w:r>
      <w:r w:rsidR="00A447B1">
        <w:rPr>
          <w:rStyle w:val="FootnoteReference"/>
          <w:rFonts w:ascii="Garamond" w:hAnsi="Garamond"/>
          <w:b/>
          <w:sz w:val="22"/>
          <w:szCs w:val="22"/>
        </w:rPr>
        <w:footnoteReference w:customMarkFollows="1" w:id="13"/>
        <w:t>16</w:t>
      </w:r>
      <w:r w:rsidR="00B86157">
        <w:rPr>
          <w:rFonts w:ascii="Garamond" w:hAnsi="Garamond"/>
          <w:b/>
          <w:sz w:val="22"/>
          <w:szCs w:val="22"/>
        </w:rPr>
        <w:t xml:space="preserve">: </w:t>
      </w:r>
      <w:r w:rsidRPr="00626752">
        <w:rPr>
          <w:rFonts w:ascii="Garamond" w:hAnsi="Garamond"/>
          <w:sz w:val="22"/>
          <w:szCs w:val="22"/>
        </w:rPr>
        <w:t xml:space="preserve">In the </w:t>
      </w:r>
      <w:r w:rsidR="00EC759F">
        <w:rPr>
          <w:rFonts w:ascii="Garamond" w:hAnsi="Garamond"/>
          <w:sz w:val="22"/>
          <w:szCs w:val="22"/>
        </w:rPr>
        <w:t>fourth</w:t>
      </w:r>
      <w:r w:rsidRPr="00626752">
        <w:rPr>
          <w:rFonts w:ascii="Garamond" w:hAnsi="Garamond"/>
          <w:sz w:val="22"/>
          <w:szCs w:val="22"/>
        </w:rPr>
        <w:t xml:space="preserve"> quarter of 2017 the State Budget was performed with </w:t>
      </w:r>
      <w:r w:rsidR="0073763B">
        <w:rPr>
          <w:rFonts w:ascii="Garamond" w:hAnsi="Garamond"/>
          <w:sz w:val="22"/>
          <w:szCs w:val="22"/>
        </w:rPr>
        <w:t xml:space="preserve">expenditures </w:t>
      </w:r>
      <w:r w:rsidR="00873A0D">
        <w:rPr>
          <w:rFonts w:ascii="Garamond" w:hAnsi="Garamond"/>
          <w:sz w:val="22"/>
          <w:szCs w:val="22"/>
        </w:rPr>
        <w:t xml:space="preserve">made and revenues collected </w:t>
      </w:r>
      <w:r w:rsidRPr="00626752">
        <w:rPr>
          <w:rFonts w:ascii="Garamond" w:hAnsi="Garamond"/>
          <w:sz w:val="22"/>
          <w:szCs w:val="22"/>
        </w:rPr>
        <w:t xml:space="preserve">in </w:t>
      </w:r>
      <w:r w:rsidR="0073763B">
        <w:rPr>
          <w:rFonts w:ascii="Garamond" w:hAnsi="Garamond"/>
          <w:sz w:val="22"/>
          <w:szCs w:val="22"/>
        </w:rPr>
        <w:t xml:space="preserve">line </w:t>
      </w:r>
      <w:r w:rsidRPr="00626752">
        <w:rPr>
          <w:rFonts w:ascii="Garamond" w:hAnsi="Garamond"/>
          <w:sz w:val="22"/>
          <w:szCs w:val="22"/>
        </w:rPr>
        <w:t xml:space="preserve">with </w:t>
      </w:r>
      <w:r w:rsidR="00873A0D">
        <w:rPr>
          <w:rFonts w:ascii="Garamond" w:hAnsi="Garamond"/>
          <w:sz w:val="22"/>
          <w:szCs w:val="22"/>
        </w:rPr>
        <w:t>the</w:t>
      </w:r>
      <w:r w:rsidRPr="00626752">
        <w:rPr>
          <w:rFonts w:ascii="Garamond" w:hAnsi="Garamond"/>
          <w:sz w:val="22"/>
          <w:szCs w:val="22"/>
        </w:rPr>
        <w:t xml:space="preserve"> Central Bank’s projections</w:t>
      </w:r>
      <w:r w:rsidR="00A447B1">
        <w:rPr>
          <w:rStyle w:val="FootnoteReference"/>
          <w:rFonts w:ascii="Garamond" w:hAnsi="Garamond"/>
          <w:sz w:val="22"/>
          <w:szCs w:val="22"/>
        </w:rPr>
        <w:footnoteReference w:customMarkFollows="1" w:id="14"/>
        <w:t>17</w:t>
      </w:r>
      <w:r w:rsidRPr="00626752">
        <w:rPr>
          <w:rFonts w:ascii="Garamond" w:hAnsi="Garamond"/>
          <w:sz w:val="22"/>
          <w:szCs w:val="22"/>
        </w:rPr>
        <w:t xml:space="preserve">. </w:t>
      </w:r>
      <w:r w:rsidR="00873A0D">
        <w:rPr>
          <w:rFonts w:ascii="Garamond" w:hAnsi="Garamond"/>
          <w:sz w:val="22"/>
          <w:szCs w:val="22"/>
        </w:rPr>
        <w:t xml:space="preserve">However, the impulse indicators came in somewhat deviated from the forecast after an upside adjustment to the estimates of </w:t>
      </w:r>
      <w:r w:rsidR="00873A0D" w:rsidRPr="00873A0D">
        <w:rPr>
          <w:rFonts w:ascii="Garamond" w:hAnsi="Garamond"/>
          <w:sz w:val="22"/>
          <w:szCs w:val="22"/>
        </w:rPr>
        <w:t>nominal GDP and economic potential</w:t>
      </w:r>
      <w:r w:rsidR="00873A0D">
        <w:rPr>
          <w:rFonts w:ascii="Garamond" w:hAnsi="Garamond"/>
          <w:sz w:val="22"/>
          <w:szCs w:val="22"/>
        </w:rPr>
        <w:t xml:space="preserve">. </w:t>
      </w:r>
      <w:r w:rsidRPr="00626752">
        <w:rPr>
          <w:rFonts w:ascii="Garamond" w:hAnsi="Garamond"/>
          <w:sz w:val="22"/>
          <w:szCs w:val="22"/>
        </w:rPr>
        <w:t>The fiscal secto</w:t>
      </w:r>
      <w:r w:rsidR="00D14C7C" w:rsidRPr="00626752">
        <w:rPr>
          <w:rFonts w:ascii="Garamond" w:hAnsi="Garamond"/>
          <w:sz w:val="22"/>
          <w:szCs w:val="22"/>
        </w:rPr>
        <w:t>r’s impact on aggregate demand wa</w:t>
      </w:r>
      <w:r w:rsidRPr="00626752">
        <w:rPr>
          <w:rFonts w:ascii="Garamond" w:hAnsi="Garamond"/>
          <w:sz w:val="22"/>
          <w:szCs w:val="22"/>
        </w:rPr>
        <w:t xml:space="preserve">s estimated </w:t>
      </w:r>
      <w:r w:rsidR="00EF53B6">
        <w:rPr>
          <w:rFonts w:ascii="Garamond" w:hAnsi="Garamond"/>
          <w:sz w:val="22"/>
          <w:szCs w:val="22"/>
        </w:rPr>
        <w:t xml:space="preserve">to be smaller </w:t>
      </w:r>
      <w:r w:rsidR="00873A0D">
        <w:rPr>
          <w:rFonts w:ascii="Garamond" w:hAnsi="Garamond"/>
          <w:sz w:val="22"/>
          <w:szCs w:val="22"/>
        </w:rPr>
        <w:t>2</w:t>
      </w:r>
      <w:r w:rsidRPr="00626752">
        <w:rPr>
          <w:rFonts w:ascii="Garamond" w:hAnsi="Garamond"/>
          <w:sz w:val="22"/>
          <w:szCs w:val="22"/>
        </w:rPr>
        <w:t>.</w:t>
      </w:r>
      <w:r w:rsidR="00873A0D">
        <w:rPr>
          <w:rFonts w:ascii="Garamond" w:hAnsi="Garamond"/>
          <w:sz w:val="22"/>
          <w:szCs w:val="22"/>
        </w:rPr>
        <w:t>0</w:t>
      </w:r>
      <w:r w:rsidRPr="00626752">
        <w:rPr>
          <w:rFonts w:ascii="Garamond" w:hAnsi="Garamond"/>
          <w:sz w:val="22"/>
          <w:szCs w:val="22"/>
        </w:rPr>
        <w:t xml:space="preserve"> </w:t>
      </w:r>
      <w:r w:rsidR="00D14C7C" w:rsidRPr="00626752">
        <w:rPr>
          <w:rFonts w:ascii="Garamond" w:hAnsi="Garamond"/>
          <w:sz w:val="22"/>
          <w:szCs w:val="22"/>
        </w:rPr>
        <w:t xml:space="preserve">pp </w:t>
      </w:r>
      <w:r w:rsidRPr="00626752">
        <w:rPr>
          <w:rFonts w:ascii="Garamond" w:hAnsi="Garamond"/>
          <w:sz w:val="22"/>
          <w:szCs w:val="22"/>
        </w:rPr>
        <w:t>contractionary</w:t>
      </w:r>
      <w:r w:rsidR="00EF53B6">
        <w:rPr>
          <w:rStyle w:val="FootnoteReference"/>
          <w:rFonts w:ascii="Garamond" w:hAnsi="Garamond"/>
          <w:sz w:val="22"/>
          <w:szCs w:val="22"/>
        </w:rPr>
        <w:footnoteReference w:customMarkFollows="1" w:id="15"/>
        <w:t>18</w:t>
      </w:r>
      <w:r w:rsidRPr="00626752">
        <w:rPr>
          <w:rFonts w:ascii="Garamond" w:hAnsi="Garamond"/>
          <w:sz w:val="22"/>
          <w:szCs w:val="22"/>
        </w:rPr>
        <w:t xml:space="preserve"> </w:t>
      </w:r>
      <w:r w:rsidR="00EF53B6">
        <w:rPr>
          <w:rFonts w:ascii="Garamond" w:hAnsi="Garamond"/>
          <w:sz w:val="22"/>
          <w:szCs w:val="22"/>
        </w:rPr>
        <w:t xml:space="preserve"> </w:t>
      </w:r>
      <w:r w:rsidRPr="00626752">
        <w:rPr>
          <w:rFonts w:ascii="Garamond" w:hAnsi="Garamond"/>
          <w:sz w:val="22"/>
          <w:szCs w:val="22"/>
        </w:rPr>
        <w:t xml:space="preserve">for the quarter, </w:t>
      </w:r>
      <w:r w:rsidR="00873A0D">
        <w:rPr>
          <w:rFonts w:ascii="Garamond" w:hAnsi="Garamond"/>
          <w:sz w:val="22"/>
          <w:szCs w:val="22"/>
        </w:rPr>
        <w:t xml:space="preserve">instead of </w:t>
      </w:r>
      <w:r w:rsidR="00D14C7C" w:rsidRPr="00626752">
        <w:rPr>
          <w:rFonts w:ascii="Garamond" w:hAnsi="Garamond"/>
          <w:sz w:val="22"/>
          <w:szCs w:val="22"/>
        </w:rPr>
        <w:t xml:space="preserve">the forecast </w:t>
      </w:r>
      <w:r w:rsidR="00873A0D">
        <w:rPr>
          <w:rFonts w:ascii="Garamond" w:hAnsi="Garamond"/>
          <w:sz w:val="22"/>
          <w:szCs w:val="22"/>
        </w:rPr>
        <w:t>2</w:t>
      </w:r>
      <w:r w:rsidR="00D14C7C" w:rsidRPr="00626752">
        <w:rPr>
          <w:rFonts w:ascii="Garamond" w:hAnsi="Garamond"/>
          <w:sz w:val="22"/>
          <w:szCs w:val="22"/>
        </w:rPr>
        <w:t>.</w:t>
      </w:r>
      <w:r w:rsidR="00873A0D">
        <w:rPr>
          <w:rFonts w:ascii="Garamond" w:hAnsi="Garamond"/>
          <w:sz w:val="22"/>
          <w:szCs w:val="22"/>
        </w:rPr>
        <w:t>6</w:t>
      </w:r>
      <w:r w:rsidR="00D14C7C" w:rsidRPr="00626752">
        <w:rPr>
          <w:rFonts w:ascii="Garamond" w:hAnsi="Garamond"/>
          <w:sz w:val="22"/>
          <w:szCs w:val="22"/>
        </w:rPr>
        <w:t xml:space="preserve"> pp contractionary</w:t>
      </w:r>
      <w:r w:rsidR="00873A0D">
        <w:rPr>
          <w:rFonts w:ascii="Garamond" w:hAnsi="Garamond"/>
          <w:sz w:val="22"/>
          <w:szCs w:val="22"/>
        </w:rPr>
        <w:t xml:space="preserve">, which was primarily due to </w:t>
      </w:r>
      <w:r w:rsidR="00B7187F">
        <w:rPr>
          <w:rFonts w:ascii="Garamond" w:hAnsi="Garamond"/>
          <w:sz w:val="22"/>
          <w:szCs w:val="22"/>
        </w:rPr>
        <w:t>a deviated revenues impulse.</w:t>
      </w:r>
    </w:p>
    <w:p w14:paraId="26E148E3" w14:textId="77777777" w:rsidR="00D14C7C" w:rsidRPr="00626752" w:rsidRDefault="00D14C7C" w:rsidP="00B178C0">
      <w:pPr>
        <w:autoSpaceDE w:val="0"/>
        <w:autoSpaceDN w:val="0"/>
        <w:adjustRightInd w:val="0"/>
        <w:spacing w:after="120" w:line="360" w:lineRule="auto"/>
        <w:jc w:val="both"/>
        <w:rPr>
          <w:rFonts w:ascii="Garamond" w:hAnsi="Garamond"/>
          <w:color w:val="000000"/>
          <w:sz w:val="22"/>
          <w:szCs w:val="22"/>
        </w:rPr>
      </w:pPr>
      <w:r w:rsidRPr="00626752">
        <w:rPr>
          <w:rFonts w:ascii="Garamond" w:hAnsi="Garamond"/>
          <w:color w:val="000000"/>
          <w:sz w:val="22"/>
          <w:szCs w:val="22"/>
        </w:rPr>
        <w:t xml:space="preserve">In the </w:t>
      </w:r>
      <w:r w:rsidR="00B7187F">
        <w:rPr>
          <w:rFonts w:ascii="Garamond" w:hAnsi="Garamond"/>
          <w:color w:val="000000"/>
          <w:sz w:val="22"/>
          <w:szCs w:val="22"/>
        </w:rPr>
        <w:t>fourth</w:t>
      </w:r>
      <w:r w:rsidRPr="00626752">
        <w:rPr>
          <w:rFonts w:ascii="Garamond" w:hAnsi="Garamond"/>
          <w:color w:val="000000"/>
          <w:sz w:val="22"/>
          <w:szCs w:val="22"/>
        </w:rPr>
        <w:t xml:space="preserve"> quarter</w:t>
      </w:r>
      <w:r w:rsidR="00B7187F">
        <w:rPr>
          <w:rFonts w:ascii="Garamond" w:hAnsi="Garamond"/>
          <w:color w:val="000000"/>
          <w:sz w:val="22"/>
          <w:szCs w:val="22"/>
        </w:rPr>
        <w:t xml:space="preserve"> of 2017</w:t>
      </w:r>
      <w:r w:rsidRPr="00626752">
        <w:rPr>
          <w:rFonts w:ascii="Garamond" w:hAnsi="Garamond"/>
          <w:color w:val="000000"/>
          <w:sz w:val="22"/>
          <w:szCs w:val="22"/>
        </w:rPr>
        <w:t xml:space="preserve">, consolidated budget revenues </w:t>
      </w:r>
      <w:r w:rsidR="00540986" w:rsidRPr="00626752">
        <w:rPr>
          <w:rFonts w:ascii="Garamond" w:hAnsi="Garamond"/>
          <w:color w:val="000000"/>
          <w:sz w:val="22"/>
          <w:szCs w:val="22"/>
        </w:rPr>
        <w:t xml:space="preserve">were </w:t>
      </w:r>
      <w:r w:rsidR="00ED77C3">
        <w:rPr>
          <w:rFonts w:ascii="Garamond" w:hAnsi="Garamond"/>
          <w:color w:val="000000"/>
          <w:sz w:val="22"/>
          <w:szCs w:val="22"/>
        </w:rPr>
        <w:t>over</w:t>
      </w:r>
      <w:r w:rsidR="00540986" w:rsidRPr="00626752">
        <w:rPr>
          <w:rFonts w:ascii="Garamond" w:hAnsi="Garamond"/>
          <w:color w:val="000000"/>
          <w:sz w:val="22"/>
          <w:szCs w:val="22"/>
        </w:rPr>
        <w:t xml:space="preserve">-collected </w:t>
      </w:r>
      <w:r w:rsidRPr="00626752">
        <w:rPr>
          <w:rFonts w:ascii="Garamond" w:hAnsi="Garamond"/>
          <w:color w:val="000000"/>
          <w:sz w:val="22"/>
          <w:szCs w:val="22"/>
        </w:rPr>
        <w:t xml:space="preserve">by </w:t>
      </w:r>
      <w:r w:rsidR="00ED77C3">
        <w:rPr>
          <w:rFonts w:ascii="Garamond" w:hAnsi="Garamond"/>
          <w:color w:val="000000"/>
          <w:sz w:val="22"/>
          <w:szCs w:val="22"/>
        </w:rPr>
        <w:t>1</w:t>
      </w:r>
      <w:r w:rsidRPr="00626752">
        <w:rPr>
          <w:rFonts w:ascii="Garamond" w:hAnsi="Garamond"/>
          <w:color w:val="000000"/>
          <w:sz w:val="22"/>
          <w:szCs w:val="22"/>
        </w:rPr>
        <w:t xml:space="preserve">.4% </w:t>
      </w:r>
      <w:r w:rsidR="00540986" w:rsidRPr="00626752">
        <w:rPr>
          <w:rFonts w:ascii="Garamond" w:hAnsi="Garamond"/>
          <w:color w:val="000000"/>
          <w:sz w:val="22"/>
          <w:szCs w:val="22"/>
        </w:rPr>
        <w:t xml:space="preserve">against </w:t>
      </w:r>
      <w:r w:rsidRPr="00626752">
        <w:rPr>
          <w:rFonts w:ascii="Garamond" w:hAnsi="Garamond"/>
          <w:color w:val="000000"/>
          <w:sz w:val="22"/>
          <w:szCs w:val="22"/>
        </w:rPr>
        <w:t xml:space="preserve">the </w:t>
      </w:r>
      <w:r w:rsidR="00540986" w:rsidRPr="00626752">
        <w:rPr>
          <w:rFonts w:ascii="Garamond" w:hAnsi="Garamond"/>
          <w:color w:val="000000"/>
          <w:sz w:val="22"/>
          <w:szCs w:val="22"/>
        </w:rPr>
        <w:t>projection</w:t>
      </w:r>
      <w:r w:rsidRPr="00626752">
        <w:rPr>
          <w:rFonts w:ascii="Garamond" w:hAnsi="Garamond"/>
          <w:color w:val="000000"/>
          <w:sz w:val="22"/>
          <w:szCs w:val="22"/>
        </w:rPr>
        <w:t>. Th</w:t>
      </w:r>
      <w:r w:rsidR="00ED77C3">
        <w:rPr>
          <w:rFonts w:ascii="Garamond" w:hAnsi="Garamond"/>
          <w:color w:val="000000"/>
          <w:sz w:val="22"/>
          <w:szCs w:val="22"/>
        </w:rPr>
        <w:t xml:space="preserve">is was attributable to a 3% increase in tax revenues and 35% decrease in other revenues. </w:t>
      </w:r>
      <w:r w:rsidR="00676C2C">
        <w:rPr>
          <w:rFonts w:ascii="Garamond" w:hAnsi="Garamond"/>
          <w:color w:val="000000"/>
          <w:sz w:val="22"/>
          <w:szCs w:val="22"/>
        </w:rPr>
        <w:t>However, th</w:t>
      </w:r>
      <w:r w:rsidRPr="00626752">
        <w:rPr>
          <w:rFonts w:ascii="Garamond" w:hAnsi="Garamond"/>
          <w:color w:val="000000"/>
          <w:sz w:val="22"/>
          <w:szCs w:val="22"/>
        </w:rPr>
        <w:t xml:space="preserve">e revenue </w:t>
      </w:r>
      <w:r w:rsidR="00540986" w:rsidRPr="00626752">
        <w:rPr>
          <w:rFonts w:ascii="Garamond" w:hAnsi="Garamond"/>
          <w:color w:val="000000"/>
          <w:sz w:val="22"/>
          <w:szCs w:val="22"/>
        </w:rPr>
        <w:t xml:space="preserve">impulse </w:t>
      </w:r>
      <w:r w:rsidR="00676C2C">
        <w:rPr>
          <w:rFonts w:ascii="Garamond" w:hAnsi="Garamond"/>
          <w:color w:val="000000"/>
          <w:sz w:val="22"/>
          <w:szCs w:val="22"/>
        </w:rPr>
        <w:t>amounted to</w:t>
      </w:r>
      <w:r w:rsidRPr="00626752">
        <w:rPr>
          <w:rFonts w:ascii="Garamond" w:hAnsi="Garamond"/>
          <w:color w:val="000000"/>
          <w:sz w:val="22"/>
          <w:szCs w:val="22"/>
        </w:rPr>
        <w:t xml:space="preserve"> 0.</w:t>
      </w:r>
      <w:r w:rsidR="00676C2C">
        <w:rPr>
          <w:rFonts w:ascii="Garamond" w:hAnsi="Garamond"/>
          <w:color w:val="000000"/>
          <w:sz w:val="22"/>
          <w:szCs w:val="22"/>
        </w:rPr>
        <w:t>9</w:t>
      </w:r>
      <w:r w:rsidRPr="00626752">
        <w:rPr>
          <w:rFonts w:ascii="Garamond" w:hAnsi="Garamond"/>
          <w:color w:val="000000"/>
          <w:sz w:val="22"/>
          <w:szCs w:val="22"/>
        </w:rPr>
        <w:t xml:space="preserve"> p</w:t>
      </w:r>
      <w:r w:rsidR="00540986" w:rsidRPr="00626752">
        <w:rPr>
          <w:rFonts w:ascii="Garamond" w:hAnsi="Garamond"/>
          <w:color w:val="000000"/>
          <w:sz w:val="22"/>
          <w:szCs w:val="22"/>
        </w:rPr>
        <w:t>p</w:t>
      </w:r>
      <w:r w:rsidRPr="00626752">
        <w:rPr>
          <w:rFonts w:ascii="Garamond" w:hAnsi="Garamond"/>
          <w:color w:val="000000"/>
          <w:sz w:val="22"/>
          <w:szCs w:val="22"/>
        </w:rPr>
        <w:t xml:space="preserve"> </w:t>
      </w:r>
      <w:r w:rsidR="00540986" w:rsidRPr="00626752">
        <w:rPr>
          <w:rFonts w:ascii="Garamond" w:hAnsi="Garamond"/>
          <w:color w:val="000000"/>
          <w:sz w:val="22"/>
          <w:szCs w:val="22"/>
        </w:rPr>
        <w:t>expansionary</w:t>
      </w:r>
      <w:r w:rsidRPr="00626752">
        <w:rPr>
          <w:rFonts w:ascii="Garamond" w:hAnsi="Garamond"/>
          <w:color w:val="000000"/>
          <w:sz w:val="22"/>
          <w:szCs w:val="22"/>
        </w:rPr>
        <w:t xml:space="preserve"> </w:t>
      </w:r>
      <w:r w:rsidR="00540986" w:rsidRPr="00626752">
        <w:rPr>
          <w:rFonts w:ascii="Garamond" w:hAnsi="Garamond"/>
          <w:color w:val="000000"/>
          <w:sz w:val="22"/>
          <w:szCs w:val="22"/>
        </w:rPr>
        <w:t xml:space="preserve">instead of </w:t>
      </w:r>
      <w:r w:rsidRPr="00626752">
        <w:rPr>
          <w:rFonts w:ascii="Garamond" w:hAnsi="Garamond"/>
          <w:color w:val="000000"/>
          <w:sz w:val="22"/>
          <w:szCs w:val="22"/>
        </w:rPr>
        <w:t>the forecast 0.</w:t>
      </w:r>
      <w:r w:rsidR="00676C2C">
        <w:rPr>
          <w:rFonts w:ascii="Garamond" w:hAnsi="Garamond"/>
          <w:color w:val="000000"/>
          <w:sz w:val="22"/>
          <w:szCs w:val="22"/>
        </w:rPr>
        <w:t>4</w:t>
      </w:r>
      <w:r w:rsidR="00540986" w:rsidRPr="00626752">
        <w:rPr>
          <w:rFonts w:ascii="Garamond" w:hAnsi="Garamond"/>
          <w:color w:val="000000"/>
          <w:sz w:val="22"/>
          <w:szCs w:val="22"/>
        </w:rPr>
        <w:t xml:space="preserve"> pp contractionary</w:t>
      </w:r>
      <w:r w:rsidR="00676C2C">
        <w:rPr>
          <w:rFonts w:ascii="Garamond" w:hAnsi="Garamond"/>
          <w:color w:val="000000"/>
          <w:sz w:val="22"/>
          <w:szCs w:val="22"/>
        </w:rPr>
        <w:t>, pointing to a higher nominal GDP indicator expected for the quarter</w:t>
      </w:r>
      <w:r w:rsidRPr="00626752">
        <w:rPr>
          <w:rFonts w:ascii="Garamond" w:hAnsi="Garamond"/>
          <w:color w:val="000000"/>
          <w:sz w:val="22"/>
          <w:szCs w:val="22"/>
        </w:rPr>
        <w:t>.</w:t>
      </w:r>
    </w:p>
    <w:p w14:paraId="2BB5FCB7" w14:textId="25A07EF3" w:rsidR="004C5E94" w:rsidRPr="00626752" w:rsidRDefault="004C5E94" w:rsidP="00B178C0">
      <w:pPr>
        <w:autoSpaceDE w:val="0"/>
        <w:autoSpaceDN w:val="0"/>
        <w:adjustRightInd w:val="0"/>
        <w:spacing w:after="120" w:line="360" w:lineRule="auto"/>
        <w:jc w:val="both"/>
        <w:rPr>
          <w:rFonts w:ascii="Garamond" w:hAnsi="Garamond"/>
          <w:sz w:val="22"/>
          <w:szCs w:val="22"/>
        </w:rPr>
      </w:pPr>
      <w:r w:rsidRPr="00626752">
        <w:rPr>
          <w:rFonts w:ascii="Garamond" w:hAnsi="Garamond"/>
          <w:color w:val="000000"/>
          <w:sz w:val="22"/>
          <w:szCs w:val="22"/>
        </w:rPr>
        <w:t xml:space="preserve">In </w:t>
      </w:r>
      <w:r w:rsidR="009B30B3">
        <w:rPr>
          <w:rFonts w:ascii="Garamond" w:hAnsi="Garamond"/>
          <w:color w:val="000000"/>
          <w:sz w:val="22"/>
          <w:szCs w:val="22"/>
        </w:rPr>
        <w:t xml:space="preserve">the expenditures structure in </w:t>
      </w:r>
      <w:r w:rsidRPr="00626752">
        <w:rPr>
          <w:rFonts w:ascii="Garamond" w:hAnsi="Garamond"/>
          <w:color w:val="000000"/>
          <w:sz w:val="22"/>
          <w:szCs w:val="22"/>
        </w:rPr>
        <w:t xml:space="preserve">the </w:t>
      </w:r>
      <w:r w:rsidR="009B30B3">
        <w:rPr>
          <w:rFonts w:ascii="Garamond" w:hAnsi="Garamond"/>
          <w:sz w:val="22"/>
          <w:szCs w:val="22"/>
        </w:rPr>
        <w:t>fourth</w:t>
      </w:r>
      <w:r w:rsidRPr="00626752">
        <w:rPr>
          <w:rFonts w:ascii="Garamond" w:hAnsi="Garamond"/>
          <w:sz w:val="22"/>
          <w:szCs w:val="22"/>
        </w:rPr>
        <w:t xml:space="preserve"> quarter of 2017</w:t>
      </w:r>
      <w:r w:rsidR="009B30B3">
        <w:rPr>
          <w:rFonts w:ascii="Garamond" w:hAnsi="Garamond"/>
          <w:sz w:val="22"/>
          <w:szCs w:val="22"/>
        </w:rPr>
        <w:t>,</w:t>
      </w:r>
      <w:r w:rsidRPr="00626752">
        <w:rPr>
          <w:rFonts w:ascii="Garamond" w:hAnsi="Garamond"/>
          <w:sz w:val="22"/>
          <w:szCs w:val="22"/>
        </w:rPr>
        <w:t xml:space="preserve"> </w:t>
      </w:r>
      <w:r w:rsidR="00D72F64">
        <w:rPr>
          <w:rFonts w:ascii="Garamond" w:hAnsi="Garamond"/>
          <w:b/>
          <w:sz w:val="22"/>
          <w:szCs w:val="22"/>
        </w:rPr>
        <w:t>government consumption</w:t>
      </w:r>
      <w:r w:rsidRPr="00626752">
        <w:rPr>
          <w:rFonts w:ascii="Garamond" w:hAnsi="Garamond"/>
          <w:sz w:val="22"/>
          <w:szCs w:val="22"/>
        </w:rPr>
        <w:t xml:space="preserve"> </w:t>
      </w:r>
      <w:r w:rsidR="009B30B3">
        <w:rPr>
          <w:rFonts w:ascii="Garamond" w:hAnsi="Garamond"/>
          <w:sz w:val="22"/>
          <w:szCs w:val="22"/>
        </w:rPr>
        <w:t xml:space="preserve">was below </w:t>
      </w:r>
      <w:r w:rsidRPr="00626752">
        <w:rPr>
          <w:rFonts w:ascii="Garamond" w:hAnsi="Garamond"/>
          <w:sz w:val="22"/>
          <w:szCs w:val="22"/>
        </w:rPr>
        <w:t xml:space="preserve">the predicted figure by </w:t>
      </w:r>
      <w:r w:rsidR="009B30B3">
        <w:rPr>
          <w:rFonts w:ascii="Garamond" w:hAnsi="Garamond"/>
          <w:sz w:val="22"/>
          <w:szCs w:val="22"/>
        </w:rPr>
        <w:t>12.4</w:t>
      </w:r>
      <w:r w:rsidRPr="00626752">
        <w:rPr>
          <w:rFonts w:ascii="Garamond" w:hAnsi="Garamond"/>
          <w:sz w:val="22"/>
          <w:szCs w:val="22"/>
        </w:rPr>
        <w:t>% wh</w:t>
      </w:r>
      <w:r w:rsidR="009B30B3">
        <w:rPr>
          <w:rFonts w:ascii="Garamond" w:hAnsi="Garamond"/>
          <w:sz w:val="22"/>
          <w:szCs w:val="22"/>
        </w:rPr>
        <w:t xml:space="preserve">ile </w:t>
      </w:r>
      <w:r w:rsidRPr="00626752">
        <w:rPr>
          <w:rFonts w:ascii="Garamond" w:hAnsi="Garamond"/>
          <w:sz w:val="22"/>
          <w:szCs w:val="22"/>
        </w:rPr>
        <w:t xml:space="preserve">expenditures on item </w:t>
      </w:r>
      <w:r w:rsidRPr="00626752">
        <w:rPr>
          <w:rFonts w:ascii="Garamond" w:hAnsi="Garamond"/>
          <w:b/>
          <w:sz w:val="22"/>
          <w:szCs w:val="22"/>
        </w:rPr>
        <w:t>“Transactions with non-financial assets”</w:t>
      </w:r>
      <w:r w:rsidRPr="00626752">
        <w:rPr>
          <w:rFonts w:ascii="Garamond" w:hAnsi="Garamond"/>
          <w:sz w:val="22"/>
          <w:szCs w:val="22"/>
        </w:rPr>
        <w:t xml:space="preserve"> </w:t>
      </w:r>
      <w:r w:rsidR="009B30B3">
        <w:rPr>
          <w:rFonts w:ascii="Garamond" w:hAnsi="Garamond"/>
          <w:sz w:val="22"/>
          <w:szCs w:val="22"/>
        </w:rPr>
        <w:t>exceeded the projection by 30%</w:t>
      </w:r>
      <w:r w:rsidRPr="00626752">
        <w:rPr>
          <w:rFonts w:ascii="Garamond" w:hAnsi="Garamond"/>
          <w:sz w:val="22"/>
          <w:szCs w:val="22"/>
        </w:rPr>
        <w:t xml:space="preserve">. </w:t>
      </w:r>
      <w:r w:rsidR="002021DA">
        <w:rPr>
          <w:rFonts w:ascii="Garamond" w:hAnsi="Garamond"/>
          <w:sz w:val="22"/>
          <w:szCs w:val="22"/>
        </w:rPr>
        <w:t>For the quarter, t</w:t>
      </w:r>
      <w:r w:rsidR="002021DA" w:rsidRPr="002021DA">
        <w:rPr>
          <w:rFonts w:ascii="Garamond" w:hAnsi="Garamond"/>
          <w:sz w:val="22"/>
          <w:szCs w:val="22"/>
        </w:rPr>
        <w:t xml:space="preserve">he </w:t>
      </w:r>
      <w:r w:rsidR="002021DA">
        <w:rPr>
          <w:rFonts w:ascii="Garamond" w:hAnsi="Garamond"/>
          <w:sz w:val="22"/>
          <w:szCs w:val="22"/>
        </w:rPr>
        <w:t>expenditures impulse</w:t>
      </w:r>
      <w:r w:rsidR="002021DA" w:rsidRPr="002021DA">
        <w:rPr>
          <w:rFonts w:ascii="Garamond" w:hAnsi="Garamond"/>
          <w:sz w:val="22"/>
          <w:szCs w:val="22"/>
        </w:rPr>
        <w:t xml:space="preserve"> was 2.9 p</w:t>
      </w:r>
      <w:r w:rsidR="002021DA">
        <w:rPr>
          <w:rFonts w:ascii="Garamond" w:hAnsi="Garamond"/>
          <w:sz w:val="22"/>
          <w:szCs w:val="22"/>
        </w:rPr>
        <w:t xml:space="preserve">p contractionary </w:t>
      </w:r>
      <w:r w:rsidR="002021DA" w:rsidRPr="002021DA">
        <w:rPr>
          <w:rFonts w:ascii="Garamond" w:hAnsi="Garamond"/>
          <w:sz w:val="22"/>
          <w:szCs w:val="22"/>
        </w:rPr>
        <w:t xml:space="preserve">instead of </w:t>
      </w:r>
      <w:r w:rsidR="002021DA">
        <w:rPr>
          <w:rFonts w:ascii="Garamond" w:hAnsi="Garamond"/>
          <w:sz w:val="22"/>
          <w:szCs w:val="22"/>
        </w:rPr>
        <w:t xml:space="preserve">the </w:t>
      </w:r>
      <w:r w:rsidR="002021DA" w:rsidRPr="002021DA">
        <w:rPr>
          <w:rFonts w:ascii="Garamond" w:hAnsi="Garamond"/>
          <w:sz w:val="22"/>
          <w:szCs w:val="22"/>
        </w:rPr>
        <w:t>forecast</w:t>
      </w:r>
      <w:r w:rsidR="002021DA">
        <w:rPr>
          <w:rFonts w:ascii="Garamond" w:hAnsi="Garamond"/>
          <w:sz w:val="22"/>
          <w:szCs w:val="22"/>
        </w:rPr>
        <w:t xml:space="preserve"> </w:t>
      </w:r>
      <w:r w:rsidR="002021DA" w:rsidRPr="002021DA">
        <w:rPr>
          <w:rFonts w:ascii="Garamond" w:hAnsi="Garamond"/>
          <w:sz w:val="22"/>
          <w:szCs w:val="22"/>
        </w:rPr>
        <w:t>2.3 p</w:t>
      </w:r>
      <w:r w:rsidR="002021DA">
        <w:rPr>
          <w:rFonts w:ascii="Garamond" w:hAnsi="Garamond"/>
          <w:sz w:val="22"/>
          <w:szCs w:val="22"/>
        </w:rPr>
        <w:t>p contractionary</w:t>
      </w:r>
      <w:r w:rsidR="002021DA" w:rsidRPr="002021DA">
        <w:rPr>
          <w:rFonts w:ascii="Garamond" w:hAnsi="Garamond"/>
          <w:sz w:val="22"/>
          <w:szCs w:val="22"/>
        </w:rPr>
        <w:t xml:space="preserve">. The deviation </w:t>
      </w:r>
      <w:r w:rsidR="002021DA">
        <w:rPr>
          <w:rFonts w:ascii="Garamond" w:hAnsi="Garamond"/>
          <w:sz w:val="22"/>
          <w:szCs w:val="22"/>
        </w:rPr>
        <w:t>i</w:t>
      </w:r>
      <w:r w:rsidR="002021DA" w:rsidRPr="002021DA">
        <w:rPr>
          <w:rFonts w:ascii="Garamond" w:hAnsi="Garamond"/>
          <w:sz w:val="22"/>
          <w:szCs w:val="22"/>
        </w:rPr>
        <w:t xml:space="preserve">s </w:t>
      </w:r>
      <w:r w:rsidR="002021DA">
        <w:rPr>
          <w:rFonts w:ascii="Garamond" w:hAnsi="Garamond"/>
          <w:sz w:val="22"/>
          <w:szCs w:val="22"/>
        </w:rPr>
        <w:t xml:space="preserve">also explained </w:t>
      </w:r>
      <w:r w:rsidR="002021DA" w:rsidRPr="002021DA">
        <w:rPr>
          <w:rFonts w:ascii="Garamond" w:hAnsi="Garamond"/>
          <w:sz w:val="22"/>
          <w:szCs w:val="22"/>
        </w:rPr>
        <w:t xml:space="preserve">by net lending </w:t>
      </w:r>
      <w:r w:rsidR="002021DA">
        <w:rPr>
          <w:rFonts w:ascii="Garamond" w:hAnsi="Garamond"/>
          <w:sz w:val="22"/>
          <w:szCs w:val="22"/>
        </w:rPr>
        <w:t xml:space="preserve">after the quarter saw </w:t>
      </w:r>
      <w:r w:rsidR="00DA6F93">
        <w:rPr>
          <w:rFonts w:ascii="Garamond" w:hAnsi="Garamond"/>
          <w:sz w:val="22"/>
          <w:szCs w:val="22"/>
        </w:rPr>
        <w:t xml:space="preserve">a recovered </w:t>
      </w:r>
      <w:r w:rsidR="002021DA" w:rsidRPr="002021DA">
        <w:rPr>
          <w:rFonts w:ascii="Garamond" w:hAnsi="Garamond"/>
          <w:sz w:val="22"/>
          <w:szCs w:val="22"/>
        </w:rPr>
        <w:t xml:space="preserve">loan </w:t>
      </w:r>
      <w:r w:rsidR="002021DA">
        <w:rPr>
          <w:rFonts w:ascii="Garamond" w:hAnsi="Garamond"/>
          <w:sz w:val="22"/>
          <w:szCs w:val="22"/>
        </w:rPr>
        <w:t>instead of provision of loan</w:t>
      </w:r>
      <w:r w:rsidR="00DA6F93">
        <w:rPr>
          <w:rFonts w:ascii="Garamond" w:hAnsi="Garamond"/>
          <w:sz w:val="22"/>
          <w:szCs w:val="22"/>
        </w:rPr>
        <w:t>,</w:t>
      </w:r>
      <w:r w:rsidR="002021DA">
        <w:rPr>
          <w:rFonts w:ascii="Garamond" w:hAnsi="Garamond"/>
          <w:sz w:val="22"/>
          <w:szCs w:val="22"/>
        </w:rPr>
        <w:t xml:space="preserve"> as </w:t>
      </w:r>
      <w:r w:rsidR="002021DA" w:rsidRPr="002021DA">
        <w:rPr>
          <w:rFonts w:ascii="Garamond" w:hAnsi="Garamond"/>
          <w:sz w:val="22"/>
          <w:szCs w:val="22"/>
        </w:rPr>
        <w:t xml:space="preserve">was </w:t>
      </w:r>
      <w:r w:rsidR="002021DA">
        <w:rPr>
          <w:rFonts w:ascii="Garamond" w:hAnsi="Garamond"/>
          <w:sz w:val="22"/>
          <w:szCs w:val="22"/>
        </w:rPr>
        <w:t xml:space="preserve">anticipated for the quarter. </w:t>
      </w:r>
    </w:p>
    <w:p w14:paraId="7FACC08F" w14:textId="77777777" w:rsidR="004C5E94" w:rsidRPr="00626752" w:rsidRDefault="004C5E94" w:rsidP="00B178C0">
      <w:pPr>
        <w:autoSpaceDE w:val="0"/>
        <w:autoSpaceDN w:val="0"/>
        <w:adjustRightInd w:val="0"/>
        <w:spacing w:after="120" w:line="360" w:lineRule="auto"/>
        <w:jc w:val="both"/>
        <w:rPr>
          <w:rFonts w:ascii="Garamond" w:hAnsi="Garamond"/>
          <w:bCs/>
          <w:iCs/>
          <w:color w:val="000000"/>
          <w:sz w:val="22"/>
          <w:szCs w:val="22"/>
        </w:rPr>
      </w:pPr>
      <w:r w:rsidRPr="00626752">
        <w:rPr>
          <w:rFonts w:ascii="Garamond" w:hAnsi="Garamond"/>
          <w:sz w:val="22"/>
          <w:szCs w:val="22"/>
        </w:rPr>
        <w:t xml:space="preserve">With </w:t>
      </w:r>
      <w:r w:rsidRPr="00626752">
        <w:rPr>
          <w:rFonts w:ascii="Garamond" w:hAnsi="Garamond"/>
          <w:bCs/>
          <w:iCs/>
          <w:color w:val="000000"/>
          <w:sz w:val="22"/>
          <w:szCs w:val="22"/>
        </w:rPr>
        <w:t xml:space="preserve">revenues and expenditures performance described above, in the </w:t>
      </w:r>
      <w:r w:rsidR="00621499">
        <w:rPr>
          <w:rFonts w:ascii="Garamond" w:hAnsi="Garamond"/>
          <w:bCs/>
          <w:iCs/>
          <w:color w:val="000000"/>
          <w:sz w:val="22"/>
          <w:szCs w:val="22"/>
        </w:rPr>
        <w:t>fourth</w:t>
      </w:r>
      <w:r w:rsidRPr="00626752">
        <w:rPr>
          <w:rFonts w:ascii="Garamond" w:hAnsi="Garamond"/>
          <w:bCs/>
          <w:iCs/>
          <w:color w:val="000000"/>
          <w:sz w:val="22"/>
          <w:szCs w:val="22"/>
        </w:rPr>
        <w:t xml:space="preserve"> quarter of 2017 the state budget generated a deficit of roughly AMD </w:t>
      </w:r>
      <w:r w:rsidR="00621499">
        <w:rPr>
          <w:rFonts w:ascii="Garamond" w:hAnsi="Garamond"/>
          <w:bCs/>
          <w:iCs/>
          <w:color w:val="000000"/>
          <w:sz w:val="22"/>
          <w:szCs w:val="22"/>
        </w:rPr>
        <w:t>90.0</w:t>
      </w:r>
      <w:r w:rsidRPr="00626752">
        <w:rPr>
          <w:rFonts w:ascii="Garamond" w:hAnsi="Garamond"/>
          <w:bCs/>
          <w:iCs/>
          <w:color w:val="000000"/>
          <w:sz w:val="22"/>
          <w:szCs w:val="22"/>
        </w:rPr>
        <w:t xml:space="preserve"> billion, which is </w:t>
      </w:r>
      <w:r w:rsidR="00621499">
        <w:rPr>
          <w:rFonts w:ascii="Garamond" w:hAnsi="Garamond"/>
          <w:bCs/>
          <w:iCs/>
          <w:color w:val="000000"/>
          <w:sz w:val="22"/>
          <w:szCs w:val="22"/>
        </w:rPr>
        <w:t xml:space="preserve">consistent with the </w:t>
      </w:r>
      <w:r w:rsidRPr="00626752">
        <w:rPr>
          <w:rFonts w:ascii="Garamond" w:hAnsi="Garamond"/>
          <w:bCs/>
          <w:iCs/>
          <w:color w:val="000000"/>
          <w:sz w:val="22"/>
          <w:szCs w:val="22"/>
        </w:rPr>
        <w:t>Central Bank’s projection</w:t>
      </w:r>
      <w:r w:rsidR="00B8549D">
        <w:rPr>
          <w:rFonts w:ascii="Garamond" w:hAnsi="Garamond"/>
          <w:bCs/>
          <w:iCs/>
          <w:color w:val="000000"/>
          <w:sz w:val="22"/>
          <w:szCs w:val="22"/>
        </w:rPr>
        <w:t>s</w:t>
      </w:r>
      <w:r w:rsidRPr="00626752">
        <w:rPr>
          <w:rFonts w:ascii="Garamond" w:hAnsi="Garamond"/>
          <w:bCs/>
          <w:iCs/>
          <w:color w:val="000000"/>
          <w:sz w:val="22"/>
          <w:szCs w:val="22"/>
        </w:rPr>
        <w:t>.</w:t>
      </w:r>
    </w:p>
    <w:p w14:paraId="2164241D" w14:textId="77777777" w:rsidR="003D1442" w:rsidRDefault="003D1442" w:rsidP="00B178C0">
      <w:pPr>
        <w:autoSpaceDE w:val="0"/>
        <w:autoSpaceDN w:val="0"/>
        <w:adjustRightInd w:val="0"/>
        <w:spacing w:after="120" w:line="360" w:lineRule="auto"/>
        <w:jc w:val="both"/>
        <w:rPr>
          <w:rFonts w:ascii="Garamond" w:hAnsi="Garamond"/>
          <w:b/>
          <w:bCs/>
          <w:iCs/>
          <w:color w:val="0070C0"/>
          <w:sz w:val="22"/>
          <w:szCs w:val="22"/>
        </w:rPr>
      </w:pPr>
    </w:p>
    <w:p w14:paraId="19CA313F" w14:textId="77777777" w:rsidR="003D1442" w:rsidRDefault="003D1442" w:rsidP="00B178C0">
      <w:pPr>
        <w:autoSpaceDE w:val="0"/>
        <w:autoSpaceDN w:val="0"/>
        <w:adjustRightInd w:val="0"/>
        <w:spacing w:after="120" w:line="360" w:lineRule="auto"/>
        <w:jc w:val="both"/>
        <w:rPr>
          <w:rFonts w:ascii="Garamond" w:hAnsi="Garamond"/>
          <w:b/>
          <w:bCs/>
          <w:iCs/>
          <w:color w:val="0070C0"/>
          <w:sz w:val="22"/>
          <w:szCs w:val="22"/>
        </w:rPr>
      </w:pPr>
    </w:p>
    <w:p w14:paraId="7CD00703" w14:textId="77777777" w:rsidR="004C5E94" w:rsidRPr="00626752" w:rsidRDefault="004C5E94" w:rsidP="00B178C0">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bCs/>
          <w:iCs/>
          <w:color w:val="0070C0"/>
          <w:sz w:val="22"/>
          <w:szCs w:val="22"/>
        </w:rPr>
        <w:t xml:space="preserve">3.2.3. The </w:t>
      </w:r>
      <w:r w:rsidR="004E3D01">
        <w:rPr>
          <w:rFonts w:ascii="Garamond" w:hAnsi="Garamond"/>
          <w:b/>
          <w:bCs/>
          <w:iCs/>
          <w:color w:val="0070C0"/>
          <w:sz w:val="22"/>
          <w:szCs w:val="22"/>
        </w:rPr>
        <w:t xml:space="preserve">production </w:t>
      </w:r>
      <w:r w:rsidRPr="00626752">
        <w:rPr>
          <w:rFonts w:ascii="Garamond" w:hAnsi="Garamond"/>
          <w:b/>
          <w:color w:val="0070C0"/>
          <w:sz w:val="22"/>
          <w:szCs w:val="22"/>
        </w:rPr>
        <w:t>aspect of the economy</w:t>
      </w:r>
    </w:p>
    <w:p w14:paraId="53AA0915" w14:textId="193303D3" w:rsidR="004C5E94" w:rsidRPr="00626752" w:rsidRDefault="004C5E94"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Economic activity in January-</w:t>
      </w:r>
      <w:r w:rsidR="004E3D01">
        <w:rPr>
          <w:rFonts w:ascii="Garamond" w:hAnsi="Garamond"/>
          <w:sz w:val="22"/>
          <w:szCs w:val="22"/>
        </w:rPr>
        <w:t>Dec</w:t>
      </w:r>
      <w:r w:rsidRPr="00626752">
        <w:rPr>
          <w:rFonts w:ascii="Garamond" w:hAnsi="Garamond"/>
          <w:sz w:val="22"/>
          <w:szCs w:val="22"/>
        </w:rPr>
        <w:t xml:space="preserve">ember 2017 </w:t>
      </w:r>
      <w:r w:rsidR="004E3D01">
        <w:rPr>
          <w:rFonts w:ascii="Garamond" w:hAnsi="Garamond"/>
          <w:sz w:val="22"/>
          <w:szCs w:val="22"/>
        </w:rPr>
        <w:t>increased</w:t>
      </w:r>
      <w:r w:rsidRPr="00626752">
        <w:rPr>
          <w:rFonts w:ascii="Garamond" w:hAnsi="Garamond"/>
          <w:sz w:val="22"/>
          <w:szCs w:val="22"/>
        </w:rPr>
        <w:t xml:space="preserve"> by </w:t>
      </w:r>
      <w:r w:rsidR="004E3D01">
        <w:rPr>
          <w:rFonts w:ascii="Garamond" w:hAnsi="Garamond"/>
          <w:sz w:val="22"/>
          <w:szCs w:val="22"/>
        </w:rPr>
        <w:t>7</w:t>
      </w:r>
      <w:r w:rsidRPr="00626752">
        <w:rPr>
          <w:rFonts w:ascii="Garamond" w:hAnsi="Garamond"/>
          <w:sz w:val="22"/>
          <w:szCs w:val="22"/>
        </w:rPr>
        <w:t>.</w:t>
      </w:r>
      <w:r w:rsidR="004E3D01">
        <w:rPr>
          <w:rFonts w:ascii="Garamond" w:hAnsi="Garamond"/>
          <w:sz w:val="22"/>
          <w:szCs w:val="22"/>
        </w:rPr>
        <w:t>7</w:t>
      </w:r>
      <w:r w:rsidRPr="00626752">
        <w:rPr>
          <w:rFonts w:ascii="Garamond" w:hAnsi="Garamond"/>
          <w:sz w:val="22"/>
          <w:szCs w:val="22"/>
        </w:rPr>
        <w:t xml:space="preserve">%, and the GDP growth </w:t>
      </w:r>
      <w:r w:rsidR="004E3D01">
        <w:rPr>
          <w:rFonts w:ascii="Garamond" w:hAnsi="Garamond"/>
          <w:sz w:val="22"/>
          <w:szCs w:val="22"/>
        </w:rPr>
        <w:t>for</w:t>
      </w:r>
      <w:r w:rsidRPr="00626752">
        <w:rPr>
          <w:rFonts w:ascii="Garamond" w:hAnsi="Garamond"/>
          <w:sz w:val="22"/>
          <w:szCs w:val="22"/>
        </w:rPr>
        <w:t xml:space="preserve"> </w:t>
      </w:r>
      <w:r w:rsidR="004E3D01">
        <w:rPr>
          <w:rFonts w:ascii="Garamond" w:hAnsi="Garamond"/>
          <w:sz w:val="22"/>
          <w:szCs w:val="22"/>
        </w:rPr>
        <w:t>2017</w:t>
      </w:r>
      <w:r w:rsidRPr="00626752">
        <w:rPr>
          <w:rFonts w:ascii="Garamond" w:hAnsi="Garamond"/>
          <w:sz w:val="22"/>
          <w:szCs w:val="22"/>
        </w:rPr>
        <w:t xml:space="preserve"> is an estimated </w:t>
      </w:r>
      <w:r w:rsidR="004E3D01">
        <w:rPr>
          <w:rFonts w:ascii="Garamond" w:hAnsi="Garamond"/>
          <w:sz w:val="22"/>
          <w:szCs w:val="22"/>
        </w:rPr>
        <w:t>7.2-7.4</w:t>
      </w:r>
      <w:r w:rsidRPr="00626752">
        <w:rPr>
          <w:rFonts w:ascii="Garamond" w:hAnsi="Garamond"/>
          <w:sz w:val="22"/>
          <w:szCs w:val="22"/>
        </w:rPr>
        <w:t xml:space="preserve">%, which is </w:t>
      </w:r>
      <w:r w:rsidR="004E3D01">
        <w:rPr>
          <w:rFonts w:ascii="Garamond" w:hAnsi="Garamond"/>
          <w:sz w:val="22"/>
          <w:szCs w:val="22"/>
        </w:rPr>
        <w:t xml:space="preserve">considerably </w:t>
      </w:r>
      <w:r w:rsidR="004F13D9" w:rsidRPr="00626752">
        <w:rPr>
          <w:rFonts w:ascii="Garamond" w:hAnsi="Garamond"/>
          <w:sz w:val="22"/>
          <w:szCs w:val="22"/>
        </w:rPr>
        <w:t xml:space="preserve">above </w:t>
      </w:r>
      <w:r w:rsidRPr="00626752">
        <w:rPr>
          <w:rFonts w:ascii="Garamond" w:hAnsi="Garamond"/>
          <w:sz w:val="22"/>
          <w:szCs w:val="22"/>
        </w:rPr>
        <w:t xml:space="preserve">the </w:t>
      </w:r>
      <w:r w:rsidR="004E3D01">
        <w:rPr>
          <w:rFonts w:ascii="Garamond" w:hAnsi="Garamond"/>
          <w:sz w:val="22"/>
          <w:szCs w:val="22"/>
        </w:rPr>
        <w:t>previous Central Bank forecasts</w:t>
      </w:r>
      <w:r w:rsidRPr="00626752">
        <w:rPr>
          <w:rFonts w:ascii="Garamond" w:hAnsi="Garamond"/>
          <w:sz w:val="22"/>
          <w:szCs w:val="22"/>
        </w:rPr>
        <w:t xml:space="preserve">. </w:t>
      </w:r>
    </w:p>
    <w:p w14:paraId="3D2B425F" w14:textId="55267D6F" w:rsidR="00D42518" w:rsidRPr="00626752" w:rsidRDefault="004F13D9"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T</w:t>
      </w:r>
      <w:r w:rsidR="00D42518" w:rsidRPr="00626752">
        <w:rPr>
          <w:rFonts w:ascii="Garamond" w:hAnsi="Garamond"/>
          <w:sz w:val="22"/>
          <w:szCs w:val="22"/>
        </w:rPr>
        <w:t xml:space="preserve">he </w:t>
      </w:r>
      <w:r w:rsidR="00DB3039">
        <w:rPr>
          <w:rFonts w:ascii="Garamond" w:hAnsi="Garamond"/>
          <w:sz w:val="22"/>
          <w:szCs w:val="22"/>
        </w:rPr>
        <w:t>fourth</w:t>
      </w:r>
      <w:r w:rsidRPr="00626752">
        <w:rPr>
          <w:rFonts w:ascii="Garamond" w:hAnsi="Garamond"/>
          <w:sz w:val="22"/>
          <w:szCs w:val="22"/>
        </w:rPr>
        <w:t xml:space="preserve"> quarter’s </w:t>
      </w:r>
      <w:r w:rsidR="00D42518" w:rsidRPr="00626752">
        <w:rPr>
          <w:rFonts w:ascii="Garamond" w:hAnsi="Garamond"/>
          <w:sz w:val="22"/>
          <w:szCs w:val="22"/>
        </w:rPr>
        <w:t xml:space="preserve">economic growth </w:t>
      </w:r>
      <w:r w:rsidR="00DB3039">
        <w:rPr>
          <w:rFonts w:ascii="Garamond" w:hAnsi="Garamond"/>
          <w:sz w:val="22"/>
          <w:szCs w:val="22"/>
        </w:rPr>
        <w:t xml:space="preserve">largely </w:t>
      </w:r>
      <w:r w:rsidR="00C17073">
        <w:rPr>
          <w:rFonts w:ascii="Garamond" w:hAnsi="Garamond"/>
          <w:sz w:val="22"/>
          <w:szCs w:val="22"/>
        </w:rPr>
        <w:t xml:space="preserve">benefited from </w:t>
      </w:r>
      <w:r w:rsidR="00DB3039">
        <w:rPr>
          <w:rFonts w:ascii="Garamond" w:hAnsi="Garamond"/>
          <w:sz w:val="22"/>
          <w:szCs w:val="22"/>
        </w:rPr>
        <w:t>the</w:t>
      </w:r>
      <w:r w:rsidRPr="00626752">
        <w:rPr>
          <w:rFonts w:ascii="Garamond" w:hAnsi="Garamond"/>
          <w:sz w:val="22"/>
          <w:szCs w:val="22"/>
        </w:rPr>
        <w:t xml:space="preserve"> in</w:t>
      </w:r>
      <w:r w:rsidR="00D42518" w:rsidRPr="00626752">
        <w:rPr>
          <w:rFonts w:ascii="Garamond" w:hAnsi="Garamond"/>
          <w:sz w:val="22"/>
          <w:szCs w:val="22"/>
        </w:rPr>
        <w:t>dustry and services</w:t>
      </w:r>
      <w:r w:rsidRPr="00626752">
        <w:rPr>
          <w:rFonts w:ascii="Garamond" w:hAnsi="Garamond"/>
          <w:sz w:val="22"/>
          <w:szCs w:val="22"/>
        </w:rPr>
        <w:t xml:space="preserve"> sectors</w:t>
      </w:r>
      <w:r w:rsidR="00D42518" w:rsidRPr="00626752">
        <w:rPr>
          <w:rFonts w:ascii="Garamond" w:hAnsi="Garamond"/>
          <w:sz w:val="22"/>
          <w:szCs w:val="22"/>
        </w:rPr>
        <w:t xml:space="preserve">, with </w:t>
      </w:r>
      <w:r w:rsidRPr="00626752">
        <w:rPr>
          <w:rFonts w:ascii="Garamond" w:hAnsi="Garamond"/>
          <w:sz w:val="22"/>
          <w:szCs w:val="22"/>
        </w:rPr>
        <w:t xml:space="preserve">their growths </w:t>
      </w:r>
      <w:r w:rsidR="00C17073">
        <w:rPr>
          <w:rFonts w:ascii="Garamond" w:hAnsi="Garamond"/>
          <w:sz w:val="22"/>
          <w:szCs w:val="22"/>
        </w:rPr>
        <w:t>amounting to 14</w:t>
      </w:r>
      <w:r w:rsidR="00D42518" w:rsidRPr="00626752">
        <w:rPr>
          <w:rFonts w:ascii="Garamond" w:hAnsi="Garamond"/>
          <w:sz w:val="22"/>
          <w:szCs w:val="22"/>
        </w:rPr>
        <w:t>.</w:t>
      </w:r>
      <w:r w:rsidR="00C17073">
        <w:rPr>
          <w:rFonts w:ascii="Garamond" w:hAnsi="Garamond"/>
          <w:sz w:val="22"/>
          <w:szCs w:val="22"/>
        </w:rPr>
        <w:t>9</w:t>
      </w:r>
      <w:r w:rsidRPr="00626752">
        <w:rPr>
          <w:rFonts w:ascii="Garamond" w:hAnsi="Garamond"/>
          <w:sz w:val="22"/>
          <w:szCs w:val="22"/>
        </w:rPr>
        <w:t>%</w:t>
      </w:r>
      <w:r w:rsidR="00D42518" w:rsidRPr="00626752">
        <w:rPr>
          <w:rFonts w:ascii="Garamond" w:hAnsi="Garamond"/>
          <w:sz w:val="22"/>
          <w:szCs w:val="22"/>
        </w:rPr>
        <w:t xml:space="preserve"> and 1</w:t>
      </w:r>
      <w:r w:rsidR="00C17073">
        <w:rPr>
          <w:rFonts w:ascii="Garamond" w:hAnsi="Garamond"/>
          <w:sz w:val="22"/>
          <w:szCs w:val="22"/>
        </w:rPr>
        <w:t>4</w:t>
      </w:r>
      <w:r w:rsidR="00D42518" w:rsidRPr="00626752">
        <w:rPr>
          <w:rFonts w:ascii="Garamond" w:hAnsi="Garamond"/>
          <w:sz w:val="22"/>
          <w:szCs w:val="22"/>
        </w:rPr>
        <w:t>.</w:t>
      </w:r>
      <w:r w:rsidR="00C17073">
        <w:rPr>
          <w:rFonts w:ascii="Garamond" w:hAnsi="Garamond"/>
          <w:sz w:val="22"/>
          <w:szCs w:val="22"/>
        </w:rPr>
        <w:t>2</w:t>
      </w:r>
      <w:r w:rsidRPr="00626752">
        <w:rPr>
          <w:rFonts w:ascii="Garamond" w:hAnsi="Garamond"/>
          <w:sz w:val="22"/>
          <w:szCs w:val="22"/>
        </w:rPr>
        <w:t>%</w:t>
      </w:r>
      <w:r w:rsidR="00D42518" w:rsidRPr="00626752">
        <w:rPr>
          <w:rFonts w:ascii="Garamond" w:hAnsi="Garamond"/>
          <w:sz w:val="22"/>
          <w:szCs w:val="22"/>
        </w:rPr>
        <w:t>, respectively</w:t>
      </w:r>
      <w:r w:rsidR="00C17073">
        <w:rPr>
          <w:rFonts w:ascii="Garamond" w:hAnsi="Garamond"/>
          <w:sz w:val="22"/>
          <w:szCs w:val="22"/>
        </w:rPr>
        <w:t>. This is above the Central Bank estimations provided previously</w:t>
      </w:r>
      <w:r w:rsidR="00D42518" w:rsidRPr="00626752">
        <w:rPr>
          <w:rFonts w:ascii="Garamond" w:hAnsi="Garamond"/>
          <w:sz w:val="22"/>
          <w:szCs w:val="22"/>
        </w:rPr>
        <w:t xml:space="preserve">, </w:t>
      </w:r>
      <w:r w:rsidR="00C17073">
        <w:rPr>
          <w:rFonts w:ascii="Garamond" w:hAnsi="Garamond"/>
          <w:sz w:val="22"/>
          <w:szCs w:val="22"/>
        </w:rPr>
        <w:t xml:space="preserve">which </w:t>
      </w:r>
      <w:r w:rsidR="001909F3">
        <w:rPr>
          <w:rFonts w:ascii="Garamond" w:hAnsi="Garamond"/>
          <w:sz w:val="22"/>
          <w:szCs w:val="22"/>
        </w:rPr>
        <w:t xml:space="preserve">is associated with </w:t>
      </w:r>
      <w:r w:rsidR="00C17073" w:rsidRPr="00C17073">
        <w:rPr>
          <w:rFonts w:ascii="Garamond" w:hAnsi="Garamond"/>
          <w:sz w:val="22"/>
          <w:szCs w:val="22"/>
        </w:rPr>
        <w:t>more</w:t>
      </w:r>
      <w:r w:rsidR="00C17073">
        <w:rPr>
          <w:rFonts w:ascii="Garamond" w:hAnsi="Garamond"/>
          <w:sz w:val="22"/>
          <w:szCs w:val="22"/>
        </w:rPr>
        <w:t>-than-expected</w:t>
      </w:r>
      <w:r w:rsidR="00C17073" w:rsidRPr="00C17073">
        <w:rPr>
          <w:rFonts w:ascii="Garamond" w:hAnsi="Garamond"/>
          <w:sz w:val="22"/>
          <w:szCs w:val="22"/>
        </w:rPr>
        <w:t xml:space="preserve"> positive developments </w:t>
      </w:r>
      <w:r w:rsidR="00C17073">
        <w:rPr>
          <w:rFonts w:ascii="Garamond" w:hAnsi="Garamond"/>
          <w:sz w:val="22"/>
          <w:szCs w:val="22"/>
        </w:rPr>
        <w:t xml:space="preserve">in </w:t>
      </w:r>
      <w:r w:rsidR="00C17073" w:rsidRPr="00C17073">
        <w:rPr>
          <w:rFonts w:ascii="Garamond" w:hAnsi="Garamond"/>
          <w:sz w:val="22"/>
          <w:szCs w:val="22"/>
        </w:rPr>
        <w:t>domestic and external demand.</w:t>
      </w:r>
      <w:r w:rsidR="00C17073">
        <w:rPr>
          <w:rFonts w:ascii="Garamond" w:hAnsi="Garamond"/>
          <w:sz w:val="22"/>
          <w:szCs w:val="22"/>
        </w:rPr>
        <w:t xml:space="preserve"> </w:t>
      </w:r>
    </w:p>
    <w:p w14:paraId="3F9E04E3" w14:textId="77777777" w:rsidR="008A49F8" w:rsidRDefault="0038012B"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38012B">
        <w:rPr>
          <w:rFonts w:ascii="Garamond" w:hAnsi="Garamond"/>
          <w:sz w:val="22"/>
          <w:szCs w:val="22"/>
        </w:rPr>
        <w:t>he</w:t>
      </w:r>
      <w:r>
        <w:rPr>
          <w:rFonts w:ascii="Garamond" w:hAnsi="Garamond"/>
          <w:sz w:val="22"/>
          <w:szCs w:val="22"/>
        </w:rPr>
        <w:t xml:space="preserve">re is an expected 10.2% </w:t>
      </w:r>
      <w:r w:rsidRPr="0038012B">
        <w:rPr>
          <w:rFonts w:ascii="Garamond" w:hAnsi="Garamond"/>
          <w:sz w:val="22"/>
          <w:szCs w:val="22"/>
        </w:rPr>
        <w:t xml:space="preserve">increase in the value added </w:t>
      </w:r>
      <w:r>
        <w:rPr>
          <w:rFonts w:ascii="Garamond" w:hAnsi="Garamond"/>
          <w:sz w:val="22"/>
          <w:szCs w:val="22"/>
        </w:rPr>
        <w:t xml:space="preserve">in agriculture </w:t>
      </w:r>
      <w:r w:rsidRPr="0038012B">
        <w:rPr>
          <w:rFonts w:ascii="Garamond" w:hAnsi="Garamond"/>
          <w:sz w:val="22"/>
          <w:szCs w:val="22"/>
        </w:rPr>
        <w:t xml:space="preserve">in the fourth quarter </w:t>
      </w:r>
      <w:r>
        <w:rPr>
          <w:rFonts w:ascii="Garamond" w:hAnsi="Garamond"/>
          <w:sz w:val="22"/>
          <w:szCs w:val="22"/>
        </w:rPr>
        <w:t>as</w:t>
      </w:r>
      <w:r w:rsidRPr="0038012B">
        <w:rPr>
          <w:rFonts w:ascii="Garamond" w:hAnsi="Garamond"/>
          <w:sz w:val="22"/>
          <w:szCs w:val="22"/>
        </w:rPr>
        <w:t xml:space="preserve"> a result of high economic activity recorded in the </w:t>
      </w:r>
      <w:r>
        <w:rPr>
          <w:rFonts w:ascii="Garamond" w:hAnsi="Garamond"/>
          <w:sz w:val="22"/>
          <w:szCs w:val="22"/>
        </w:rPr>
        <w:t>sector</w:t>
      </w:r>
      <w:r w:rsidRPr="0038012B">
        <w:rPr>
          <w:rFonts w:ascii="Garamond" w:hAnsi="Garamond"/>
          <w:sz w:val="22"/>
          <w:szCs w:val="22"/>
        </w:rPr>
        <w:t xml:space="preserve">. However, the decline </w:t>
      </w:r>
      <w:r>
        <w:rPr>
          <w:rFonts w:ascii="Garamond" w:hAnsi="Garamond"/>
          <w:sz w:val="22"/>
          <w:szCs w:val="22"/>
        </w:rPr>
        <w:t xml:space="preserve">reported in agriculture </w:t>
      </w:r>
      <w:r w:rsidRPr="0038012B">
        <w:rPr>
          <w:rFonts w:ascii="Garamond" w:hAnsi="Garamond"/>
          <w:sz w:val="22"/>
          <w:szCs w:val="22"/>
        </w:rPr>
        <w:t>since the beginning of the year</w:t>
      </w:r>
      <w:r>
        <w:rPr>
          <w:rFonts w:ascii="Garamond" w:hAnsi="Garamond"/>
          <w:sz w:val="22"/>
          <w:szCs w:val="22"/>
        </w:rPr>
        <w:t xml:space="preserve"> has decreased the output indicator by an estimated 3.4% in 2017. </w:t>
      </w:r>
    </w:p>
    <w:p w14:paraId="2C2E5228" w14:textId="77777777" w:rsidR="00665458" w:rsidRPr="00626752" w:rsidRDefault="008A49F8" w:rsidP="00B178C0">
      <w:pPr>
        <w:autoSpaceDE w:val="0"/>
        <w:autoSpaceDN w:val="0"/>
        <w:adjustRightInd w:val="0"/>
        <w:spacing w:after="120" w:line="360" w:lineRule="auto"/>
        <w:jc w:val="both"/>
        <w:rPr>
          <w:rFonts w:ascii="Garamond" w:hAnsi="Garamond"/>
          <w:sz w:val="22"/>
          <w:szCs w:val="22"/>
        </w:rPr>
      </w:pPr>
      <w:r w:rsidRPr="008A49F8">
        <w:rPr>
          <w:rFonts w:ascii="Garamond" w:hAnsi="Garamond"/>
          <w:sz w:val="22"/>
          <w:szCs w:val="22"/>
        </w:rPr>
        <w:t xml:space="preserve">The </w:t>
      </w:r>
      <w:r>
        <w:rPr>
          <w:rFonts w:ascii="Garamond" w:hAnsi="Garamond"/>
          <w:sz w:val="22"/>
          <w:szCs w:val="22"/>
        </w:rPr>
        <w:t xml:space="preserve">forecast indicator </w:t>
      </w:r>
      <w:r w:rsidRPr="008A49F8">
        <w:rPr>
          <w:rFonts w:ascii="Garamond" w:hAnsi="Garamond"/>
          <w:sz w:val="22"/>
          <w:szCs w:val="22"/>
        </w:rPr>
        <w:t xml:space="preserve">of the construction sector has also been revised </w:t>
      </w:r>
      <w:r>
        <w:rPr>
          <w:rFonts w:ascii="Garamond" w:hAnsi="Garamond"/>
          <w:sz w:val="22"/>
          <w:szCs w:val="22"/>
        </w:rPr>
        <w:t xml:space="preserve">upside, amounting to </w:t>
      </w:r>
      <w:r w:rsidRPr="008A49F8">
        <w:rPr>
          <w:rFonts w:ascii="Garamond" w:hAnsi="Garamond"/>
          <w:sz w:val="22"/>
          <w:szCs w:val="22"/>
        </w:rPr>
        <w:t>12.8% in the fourth quarter</w:t>
      </w:r>
      <w:r>
        <w:rPr>
          <w:rFonts w:ascii="Garamond" w:hAnsi="Garamond"/>
          <w:sz w:val="22"/>
          <w:szCs w:val="22"/>
        </w:rPr>
        <w:t>,</w:t>
      </w:r>
      <w:r w:rsidRPr="008A49F8">
        <w:rPr>
          <w:rFonts w:ascii="Garamond" w:hAnsi="Garamond"/>
          <w:sz w:val="22"/>
          <w:szCs w:val="22"/>
        </w:rPr>
        <w:t xml:space="preserve"> </w:t>
      </w:r>
      <w:r>
        <w:rPr>
          <w:rFonts w:ascii="Garamond" w:hAnsi="Garamond"/>
          <w:sz w:val="22"/>
          <w:szCs w:val="22"/>
        </w:rPr>
        <w:t>which is driven by upside revision of the forecast for private investment</w:t>
      </w:r>
      <w:r w:rsidRPr="008A49F8">
        <w:rPr>
          <w:rFonts w:ascii="Garamond" w:hAnsi="Garamond"/>
          <w:sz w:val="22"/>
          <w:szCs w:val="22"/>
        </w:rPr>
        <w:t>.</w:t>
      </w:r>
    </w:p>
    <w:p w14:paraId="08128C45" w14:textId="77777777" w:rsidR="00F8317E" w:rsidRPr="00626752" w:rsidRDefault="002A59D1"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The productivity</w:t>
      </w:r>
      <w:r w:rsidR="008A49F8">
        <w:rPr>
          <w:rFonts w:ascii="Garamond" w:hAnsi="Garamond"/>
          <w:sz w:val="22"/>
          <w:szCs w:val="22"/>
        </w:rPr>
        <w:t>, which was</w:t>
      </w:r>
      <w:r>
        <w:rPr>
          <w:rFonts w:ascii="Garamond" w:hAnsi="Garamond"/>
          <w:sz w:val="22"/>
          <w:szCs w:val="22"/>
        </w:rPr>
        <w:t xml:space="preserve"> </w:t>
      </w:r>
      <w:r w:rsidR="008A49F8">
        <w:rPr>
          <w:rFonts w:ascii="Garamond" w:hAnsi="Garamond"/>
          <w:sz w:val="22"/>
          <w:szCs w:val="22"/>
        </w:rPr>
        <w:t xml:space="preserve">calculated as </w:t>
      </w:r>
      <w:r w:rsidR="00F8317E" w:rsidRPr="006E62E8">
        <w:rPr>
          <w:rFonts w:ascii="Garamond" w:hAnsi="Garamond"/>
          <w:color w:val="FF0000"/>
          <w:sz w:val="22"/>
          <w:szCs w:val="22"/>
        </w:rPr>
        <w:t>real output</w:t>
      </w:r>
      <w:r w:rsidR="00380380" w:rsidRPr="006E62E8">
        <w:rPr>
          <w:rFonts w:ascii="Garamond" w:hAnsi="Garamond"/>
          <w:color w:val="FF0000"/>
          <w:sz w:val="22"/>
          <w:szCs w:val="22"/>
        </w:rPr>
        <w:t xml:space="preserve"> </w:t>
      </w:r>
      <w:r w:rsidR="006E62E8" w:rsidRPr="006E62E8">
        <w:rPr>
          <w:rFonts w:ascii="Garamond" w:hAnsi="Garamond"/>
          <w:color w:val="FF0000"/>
          <w:sz w:val="22"/>
          <w:szCs w:val="22"/>
        </w:rPr>
        <w:t xml:space="preserve">per worker </w:t>
      </w:r>
      <w:r w:rsidR="00380380" w:rsidRPr="006E62E8">
        <w:rPr>
          <w:rFonts w:ascii="Garamond" w:hAnsi="Garamond"/>
          <w:color w:val="FF0000"/>
          <w:sz w:val="22"/>
          <w:szCs w:val="22"/>
        </w:rPr>
        <w:t xml:space="preserve">per </w:t>
      </w:r>
      <w:r w:rsidRPr="006E62E8">
        <w:rPr>
          <w:rFonts w:ascii="Garamond" w:hAnsi="Garamond"/>
          <w:color w:val="FF0000"/>
          <w:sz w:val="22"/>
          <w:szCs w:val="22"/>
        </w:rPr>
        <w:t>hour</w:t>
      </w:r>
      <w:r w:rsidR="008A49F8">
        <w:rPr>
          <w:rFonts w:ascii="Garamond" w:hAnsi="Garamond"/>
          <w:sz w:val="22"/>
          <w:szCs w:val="22"/>
        </w:rPr>
        <w:t>,</w:t>
      </w:r>
      <w:r w:rsidR="00F8317E" w:rsidRPr="00626752">
        <w:rPr>
          <w:rFonts w:ascii="Garamond" w:hAnsi="Garamond"/>
          <w:sz w:val="22"/>
          <w:szCs w:val="22"/>
        </w:rPr>
        <w:t xml:space="preserve"> </w:t>
      </w:r>
      <w:r w:rsidR="008A49F8">
        <w:rPr>
          <w:rFonts w:ascii="Garamond" w:hAnsi="Garamond"/>
          <w:sz w:val="22"/>
          <w:szCs w:val="22"/>
        </w:rPr>
        <w:t xml:space="preserve">has demonstrated </w:t>
      </w:r>
      <w:r w:rsidR="00380380">
        <w:rPr>
          <w:rFonts w:ascii="Garamond" w:hAnsi="Garamond"/>
          <w:sz w:val="22"/>
          <w:szCs w:val="22"/>
        </w:rPr>
        <w:t>strong</w:t>
      </w:r>
      <w:r w:rsidR="00F8317E" w:rsidRPr="00626752">
        <w:rPr>
          <w:rFonts w:ascii="Garamond" w:hAnsi="Garamond"/>
          <w:sz w:val="22"/>
          <w:szCs w:val="22"/>
        </w:rPr>
        <w:t xml:space="preserve"> growth rates </w:t>
      </w:r>
      <w:r w:rsidR="008A49F8">
        <w:rPr>
          <w:rFonts w:ascii="Garamond" w:hAnsi="Garamond"/>
          <w:sz w:val="22"/>
          <w:szCs w:val="22"/>
        </w:rPr>
        <w:t>since the start of 2017</w:t>
      </w:r>
      <w:r w:rsidR="00F8317E" w:rsidRPr="00626752">
        <w:rPr>
          <w:rFonts w:ascii="Garamond" w:hAnsi="Garamond"/>
          <w:sz w:val="22"/>
          <w:szCs w:val="22"/>
        </w:rPr>
        <w:t xml:space="preserve">, which in part </w:t>
      </w:r>
      <w:r w:rsidR="00380380">
        <w:rPr>
          <w:rFonts w:ascii="Garamond" w:hAnsi="Garamond"/>
          <w:sz w:val="22"/>
          <w:szCs w:val="22"/>
        </w:rPr>
        <w:t xml:space="preserve">has </w:t>
      </w:r>
      <w:r w:rsidR="00F8317E" w:rsidRPr="00626752">
        <w:rPr>
          <w:rFonts w:ascii="Garamond" w:hAnsi="Garamond"/>
          <w:sz w:val="22"/>
          <w:szCs w:val="22"/>
        </w:rPr>
        <w:t xml:space="preserve">determined </w:t>
      </w:r>
      <w:r w:rsidR="00166AE0" w:rsidRPr="00626752">
        <w:rPr>
          <w:rFonts w:ascii="Garamond" w:hAnsi="Garamond"/>
          <w:sz w:val="22"/>
          <w:szCs w:val="22"/>
        </w:rPr>
        <w:t xml:space="preserve">a </w:t>
      </w:r>
      <w:r w:rsidR="00F8317E" w:rsidRPr="00626752">
        <w:rPr>
          <w:rFonts w:ascii="Garamond" w:hAnsi="Garamond"/>
          <w:sz w:val="22"/>
          <w:szCs w:val="22"/>
        </w:rPr>
        <w:t xml:space="preserve">high </w:t>
      </w:r>
      <w:r w:rsidR="00166AE0" w:rsidRPr="00626752">
        <w:rPr>
          <w:rFonts w:ascii="Garamond" w:hAnsi="Garamond"/>
          <w:sz w:val="22"/>
          <w:szCs w:val="22"/>
        </w:rPr>
        <w:t xml:space="preserve">level of </w:t>
      </w:r>
      <w:r w:rsidR="00F8317E" w:rsidRPr="00626752">
        <w:rPr>
          <w:rFonts w:ascii="Garamond" w:hAnsi="Garamond"/>
          <w:sz w:val="22"/>
          <w:szCs w:val="22"/>
        </w:rPr>
        <w:t xml:space="preserve">economic activity. </w:t>
      </w:r>
      <w:r w:rsidR="00166AE0" w:rsidRPr="00626752">
        <w:rPr>
          <w:rFonts w:ascii="Garamond" w:hAnsi="Garamond"/>
          <w:sz w:val="22"/>
          <w:szCs w:val="22"/>
        </w:rPr>
        <w:t xml:space="preserve">The </w:t>
      </w:r>
      <w:r w:rsidR="00F8317E" w:rsidRPr="00626752">
        <w:rPr>
          <w:rFonts w:ascii="Garamond" w:hAnsi="Garamond"/>
          <w:sz w:val="22"/>
          <w:szCs w:val="22"/>
        </w:rPr>
        <w:t xml:space="preserve">productivity </w:t>
      </w:r>
      <w:r w:rsidR="00166AE0" w:rsidRPr="00626752">
        <w:rPr>
          <w:rFonts w:ascii="Garamond" w:hAnsi="Garamond"/>
          <w:sz w:val="22"/>
          <w:szCs w:val="22"/>
        </w:rPr>
        <w:t xml:space="preserve">growth rate </w:t>
      </w:r>
      <w:r w:rsidR="00F8317E" w:rsidRPr="00626752">
        <w:rPr>
          <w:rFonts w:ascii="Garamond" w:hAnsi="Garamond"/>
          <w:sz w:val="22"/>
          <w:szCs w:val="22"/>
        </w:rPr>
        <w:t xml:space="preserve">in the </w:t>
      </w:r>
      <w:r w:rsidR="00380380">
        <w:rPr>
          <w:rFonts w:ascii="Garamond" w:hAnsi="Garamond"/>
          <w:sz w:val="22"/>
          <w:szCs w:val="22"/>
        </w:rPr>
        <w:t>fourth</w:t>
      </w:r>
      <w:r w:rsidR="00F8317E" w:rsidRPr="00626752">
        <w:rPr>
          <w:rFonts w:ascii="Garamond" w:hAnsi="Garamond"/>
          <w:sz w:val="22"/>
          <w:szCs w:val="22"/>
        </w:rPr>
        <w:t xml:space="preserve"> quarter was </w:t>
      </w:r>
      <w:r w:rsidR="00380380">
        <w:rPr>
          <w:rFonts w:ascii="Garamond" w:hAnsi="Garamond"/>
          <w:sz w:val="22"/>
          <w:szCs w:val="22"/>
        </w:rPr>
        <w:t>nearly 6</w:t>
      </w:r>
      <w:r w:rsidR="00F8317E" w:rsidRPr="00626752">
        <w:rPr>
          <w:rFonts w:ascii="Garamond" w:hAnsi="Garamond"/>
          <w:sz w:val="22"/>
          <w:szCs w:val="22"/>
        </w:rPr>
        <w:t xml:space="preserve">%, according to the </w:t>
      </w:r>
      <w:r w:rsidR="00380380">
        <w:rPr>
          <w:rFonts w:ascii="Garamond" w:hAnsi="Garamond"/>
          <w:sz w:val="22"/>
          <w:szCs w:val="22"/>
        </w:rPr>
        <w:t xml:space="preserve">Central Bank </w:t>
      </w:r>
      <w:r w:rsidR="00F8317E" w:rsidRPr="00626752">
        <w:rPr>
          <w:rFonts w:ascii="Garamond" w:hAnsi="Garamond"/>
          <w:sz w:val="22"/>
          <w:szCs w:val="22"/>
        </w:rPr>
        <w:t>estimates.</w:t>
      </w:r>
    </w:p>
    <w:p w14:paraId="4A9BEE56" w14:textId="77777777" w:rsidR="001761F4" w:rsidRPr="00626752" w:rsidRDefault="001761F4" w:rsidP="00B178C0">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t>3.2.4. Labor market</w:t>
      </w:r>
      <w:r w:rsidR="00742158">
        <w:rPr>
          <w:rStyle w:val="FootnoteReference"/>
          <w:rFonts w:ascii="Garamond" w:hAnsi="Garamond"/>
          <w:b/>
          <w:color w:val="0070C0"/>
          <w:sz w:val="22"/>
          <w:szCs w:val="22"/>
        </w:rPr>
        <w:footnoteReference w:customMarkFollows="1" w:id="16"/>
        <w:t>19</w:t>
      </w:r>
    </w:p>
    <w:p w14:paraId="5B1326B7" w14:textId="40A6E59D" w:rsidR="001761F4" w:rsidRPr="00626752" w:rsidRDefault="001761F4"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Average nominal wage in the </w:t>
      </w:r>
      <w:r w:rsidRPr="00626752">
        <w:rPr>
          <w:rFonts w:ascii="Garamond" w:hAnsi="Garamond"/>
          <w:b/>
          <w:sz w:val="22"/>
          <w:szCs w:val="22"/>
        </w:rPr>
        <w:t>private sector</w:t>
      </w:r>
      <w:r w:rsidRPr="00626752">
        <w:rPr>
          <w:rFonts w:ascii="Garamond" w:hAnsi="Garamond"/>
          <w:sz w:val="22"/>
          <w:szCs w:val="22"/>
        </w:rPr>
        <w:t xml:space="preserve"> has grown faster since the beginning of 2017</w:t>
      </w:r>
      <w:r w:rsidR="00BA117B" w:rsidRPr="00626752">
        <w:rPr>
          <w:rFonts w:ascii="Garamond" w:hAnsi="Garamond"/>
          <w:sz w:val="22"/>
          <w:szCs w:val="22"/>
        </w:rPr>
        <w:t xml:space="preserve">, </w:t>
      </w:r>
      <w:r w:rsidR="00742158">
        <w:rPr>
          <w:rFonts w:ascii="Garamond" w:hAnsi="Garamond"/>
          <w:sz w:val="22"/>
          <w:szCs w:val="22"/>
        </w:rPr>
        <w:t>as the economy grew.</w:t>
      </w:r>
      <w:r w:rsidR="00BA117B" w:rsidRPr="00626752">
        <w:rPr>
          <w:rFonts w:ascii="Garamond" w:hAnsi="Garamond"/>
          <w:sz w:val="22"/>
          <w:szCs w:val="22"/>
        </w:rPr>
        <w:t xml:space="preserve"> </w:t>
      </w:r>
      <w:r w:rsidR="00A01041" w:rsidRPr="00A01041">
        <w:rPr>
          <w:rFonts w:ascii="Garamond" w:hAnsi="Garamond"/>
          <w:sz w:val="22"/>
          <w:szCs w:val="22"/>
        </w:rPr>
        <w:t xml:space="preserve">The nominal </w:t>
      </w:r>
      <w:r w:rsidR="00A01041">
        <w:rPr>
          <w:rFonts w:ascii="Garamond" w:hAnsi="Garamond"/>
          <w:sz w:val="22"/>
          <w:szCs w:val="22"/>
        </w:rPr>
        <w:t xml:space="preserve">wage </w:t>
      </w:r>
      <w:r w:rsidR="00A01041" w:rsidRPr="00A01041">
        <w:rPr>
          <w:rFonts w:ascii="Garamond" w:hAnsi="Garamond"/>
          <w:sz w:val="22"/>
          <w:szCs w:val="22"/>
        </w:rPr>
        <w:t>growth rate in the private sector in 201</w:t>
      </w:r>
      <w:r w:rsidR="00A01041">
        <w:rPr>
          <w:rFonts w:ascii="Garamond" w:hAnsi="Garamond"/>
          <w:sz w:val="22"/>
          <w:szCs w:val="22"/>
        </w:rPr>
        <w:t>7</w:t>
      </w:r>
      <w:r w:rsidR="00A01041" w:rsidRPr="00A01041">
        <w:rPr>
          <w:rFonts w:ascii="Garamond" w:hAnsi="Garamond"/>
          <w:sz w:val="22"/>
          <w:szCs w:val="22"/>
        </w:rPr>
        <w:t xml:space="preserve"> was 3.8%, which is in line with </w:t>
      </w:r>
      <w:r w:rsidR="00A01041">
        <w:rPr>
          <w:rFonts w:ascii="Garamond" w:hAnsi="Garamond"/>
          <w:sz w:val="22"/>
          <w:szCs w:val="22"/>
        </w:rPr>
        <w:t>previo</w:t>
      </w:r>
      <w:r w:rsidR="00CA1749">
        <w:rPr>
          <w:rFonts w:ascii="Garamond" w:hAnsi="Garamond"/>
          <w:sz w:val="22"/>
          <w:szCs w:val="22"/>
        </w:rPr>
        <w:t>us</w:t>
      </w:r>
      <w:r w:rsidR="00A01041">
        <w:rPr>
          <w:rFonts w:ascii="Garamond" w:hAnsi="Garamond"/>
          <w:sz w:val="22"/>
          <w:szCs w:val="22"/>
        </w:rPr>
        <w:t xml:space="preserve"> forecasts by the Central Bank</w:t>
      </w:r>
      <w:r w:rsidR="00A01041" w:rsidRPr="00A01041">
        <w:rPr>
          <w:rFonts w:ascii="Garamond" w:hAnsi="Garamond"/>
          <w:sz w:val="22"/>
          <w:szCs w:val="22"/>
        </w:rPr>
        <w:t>.</w:t>
      </w:r>
      <w:r w:rsidR="00A01041">
        <w:rPr>
          <w:rFonts w:ascii="Garamond" w:hAnsi="Garamond"/>
          <w:sz w:val="22"/>
          <w:szCs w:val="22"/>
        </w:rPr>
        <w:t xml:space="preserve"> </w:t>
      </w:r>
      <w:r w:rsidR="00CA1749" w:rsidRPr="00626752">
        <w:rPr>
          <w:rFonts w:ascii="Garamond" w:hAnsi="Garamond"/>
          <w:sz w:val="22"/>
          <w:szCs w:val="22"/>
        </w:rPr>
        <w:t xml:space="preserve">As a result, the </w:t>
      </w:r>
      <w:r w:rsidR="00CA1749" w:rsidRPr="00CA1749">
        <w:rPr>
          <w:rFonts w:ascii="Garamond" w:hAnsi="Garamond"/>
          <w:sz w:val="22"/>
          <w:szCs w:val="22"/>
        </w:rPr>
        <w:t>average</w:t>
      </w:r>
      <w:r w:rsidR="006A29F5">
        <w:rPr>
          <w:rFonts w:ascii="Garamond" w:hAnsi="Garamond"/>
          <w:sz w:val="22"/>
          <w:szCs w:val="22"/>
        </w:rPr>
        <w:t xml:space="preserve"> private sector’s</w:t>
      </w:r>
      <w:r w:rsidR="00CA1749" w:rsidRPr="00CA1749">
        <w:rPr>
          <w:rFonts w:ascii="Garamond" w:hAnsi="Garamond"/>
          <w:sz w:val="22"/>
          <w:szCs w:val="22"/>
        </w:rPr>
        <w:t xml:space="preserve"> nominal wage growth </w:t>
      </w:r>
      <w:r w:rsidR="00CA1749">
        <w:rPr>
          <w:rFonts w:ascii="Garamond" w:hAnsi="Garamond"/>
          <w:sz w:val="22"/>
          <w:szCs w:val="22"/>
        </w:rPr>
        <w:t xml:space="preserve">amounted to 5.2% </w:t>
      </w:r>
      <w:r w:rsidR="00CA1749" w:rsidRPr="00626752">
        <w:rPr>
          <w:rFonts w:ascii="Garamond" w:hAnsi="Garamond"/>
          <w:sz w:val="22"/>
          <w:szCs w:val="22"/>
        </w:rPr>
        <w:t xml:space="preserve">in the </w:t>
      </w:r>
      <w:r w:rsidR="00CA1749">
        <w:rPr>
          <w:rFonts w:ascii="Garamond" w:hAnsi="Garamond"/>
          <w:sz w:val="22"/>
          <w:szCs w:val="22"/>
        </w:rPr>
        <w:t xml:space="preserve">fourth quarter. In the context of </w:t>
      </w:r>
      <w:r w:rsidR="00CA1749" w:rsidRPr="00CA1749">
        <w:rPr>
          <w:rFonts w:ascii="Garamond" w:hAnsi="Garamond"/>
          <w:sz w:val="22"/>
          <w:szCs w:val="22"/>
        </w:rPr>
        <w:t xml:space="preserve">these </w:t>
      </w:r>
      <w:r w:rsidR="00CA1749">
        <w:rPr>
          <w:rFonts w:ascii="Garamond" w:hAnsi="Garamond"/>
          <w:sz w:val="22"/>
          <w:szCs w:val="22"/>
        </w:rPr>
        <w:t xml:space="preserve">developments, the </w:t>
      </w:r>
      <w:r w:rsidR="00CA1749" w:rsidRPr="00CA1749">
        <w:rPr>
          <w:rFonts w:ascii="Garamond" w:hAnsi="Garamond"/>
          <w:sz w:val="22"/>
          <w:szCs w:val="22"/>
        </w:rPr>
        <w:t xml:space="preserve">real </w:t>
      </w:r>
      <w:r w:rsidR="00CA1749">
        <w:rPr>
          <w:rFonts w:ascii="Garamond" w:hAnsi="Garamond"/>
          <w:sz w:val="22"/>
          <w:szCs w:val="22"/>
        </w:rPr>
        <w:t xml:space="preserve">wage </w:t>
      </w:r>
      <w:r w:rsidR="00CA1749" w:rsidRPr="00CA1749">
        <w:rPr>
          <w:rFonts w:ascii="Garamond" w:hAnsi="Garamond"/>
          <w:sz w:val="22"/>
          <w:szCs w:val="22"/>
        </w:rPr>
        <w:t>growth in the private sector in the fourth quarter was 2.8%, which was lower than the productivity growth rate</w:t>
      </w:r>
      <w:r w:rsidR="00CA1749">
        <w:rPr>
          <w:rFonts w:ascii="Garamond" w:hAnsi="Garamond"/>
          <w:sz w:val="22"/>
          <w:szCs w:val="22"/>
        </w:rPr>
        <w:t xml:space="preserve"> because of the </w:t>
      </w:r>
      <w:r w:rsidR="00CA1749" w:rsidRPr="00CA1749">
        <w:rPr>
          <w:rFonts w:ascii="Garamond" w:hAnsi="Garamond"/>
          <w:sz w:val="22"/>
          <w:szCs w:val="22"/>
        </w:rPr>
        <w:t>rig</w:t>
      </w:r>
      <w:r w:rsidR="00CA1749">
        <w:rPr>
          <w:rFonts w:ascii="Garamond" w:hAnsi="Garamond"/>
          <w:sz w:val="22"/>
          <w:szCs w:val="22"/>
        </w:rPr>
        <w:t xml:space="preserve">idities </w:t>
      </w:r>
      <w:r w:rsidR="00CA1749" w:rsidRPr="00CA1749">
        <w:rPr>
          <w:rFonts w:ascii="Garamond" w:hAnsi="Garamond"/>
          <w:sz w:val="22"/>
          <w:szCs w:val="22"/>
        </w:rPr>
        <w:t xml:space="preserve">in the labor market. </w:t>
      </w:r>
      <w:r w:rsidR="00CA1749">
        <w:rPr>
          <w:rFonts w:ascii="Garamond" w:hAnsi="Garamond"/>
          <w:sz w:val="22"/>
          <w:szCs w:val="22"/>
        </w:rPr>
        <w:t xml:space="preserve">The </w:t>
      </w:r>
      <w:r w:rsidR="00CA1749" w:rsidRPr="00CA1749">
        <w:rPr>
          <w:rFonts w:ascii="Garamond" w:hAnsi="Garamond"/>
          <w:sz w:val="22"/>
          <w:szCs w:val="22"/>
        </w:rPr>
        <w:t xml:space="preserve">productivity growth </w:t>
      </w:r>
      <w:r w:rsidR="00CA1749">
        <w:rPr>
          <w:rFonts w:ascii="Garamond" w:hAnsi="Garamond"/>
          <w:sz w:val="22"/>
          <w:szCs w:val="22"/>
        </w:rPr>
        <w:t xml:space="preserve">rate running faster than that of the </w:t>
      </w:r>
      <w:r w:rsidR="00CA1749" w:rsidRPr="00CA1749">
        <w:rPr>
          <w:rFonts w:ascii="Garamond" w:hAnsi="Garamond"/>
          <w:sz w:val="22"/>
          <w:szCs w:val="22"/>
        </w:rPr>
        <w:t>real wages has contributed to the growth of producers</w:t>
      </w:r>
      <w:r w:rsidR="00CA1749">
        <w:rPr>
          <w:rFonts w:ascii="Garamond" w:hAnsi="Garamond"/>
          <w:sz w:val="22"/>
          <w:szCs w:val="22"/>
        </w:rPr>
        <w:t xml:space="preserve">’ </w:t>
      </w:r>
      <w:r w:rsidR="00CA1749" w:rsidRPr="00CA1749">
        <w:rPr>
          <w:rFonts w:ascii="Garamond" w:hAnsi="Garamond"/>
          <w:sz w:val="22"/>
          <w:szCs w:val="22"/>
        </w:rPr>
        <w:t>profit</w:t>
      </w:r>
      <w:r w:rsidR="00CA1749">
        <w:rPr>
          <w:rFonts w:ascii="Garamond" w:hAnsi="Garamond"/>
          <w:sz w:val="22"/>
          <w:szCs w:val="22"/>
        </w:rPr>
        <w:t>s</w:t>
      </w:r>
      <w:r w:rsidR="00CA1749" w:rsidRPr="00CA1749">
        <w:rPr>
          <w:rFonts w:ascii="Garamond" w:hAnsi="Garamond"/>
          <w:sz w:val="22"/>
          <w:szCs w:val="22"/>
        </w:rPr>
        <w:t xml:space="preserve">, which in turn </w:t>
      </w:r>
      <w:r w:rsidR="00CA1749">
        <w:rPr>
          <w:rFonts w:ascii="Garamond" w:hAnsi="Garamond"/>
          <w:sz w:val="22"/>
          <w:szCs w:val="22"/>
        </w:rPr>
        <w:t xml:space="preserve">has </w:t>
      </w:r>
      <w:r w:rsidR="00CA1749" w:rsidRPr="00CA1749">
        <w:rPr>
          <w:rFonts w:ascii="Garamond" w:hAnsi="Garamond"/>
          <w:sz w:val="22"/>
          <w:szCs w:val="22"/>
        </w:rPr>
        <w:t>led to a decline in unemployment.</w:t>
      </w:r>
      <w:r w:rsidR="005C122C" w:rsidRPr="00626752">
        <w:rPr>
          <w:rFonts w:ascii="Garamond" w:hAnsi="Garamond"/>
          <w:sz w:val="22"/>
          <w:szCs w:val="22"/>
        </w:rPr>
        <w:t xml:space="preserve"> </w:t>
      </w:r>
    </w:p>
    <w:p w14:paraId="08C133A5" w14:textId="77777777" w:rsidR="008E1E4F" w:rsidRPr="00626752" w:rsidRDefault="00CA1749"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w:t>
      </w:r>
      <w:r w:rsidR="008E1E4F" w:rsidRPr="00626752">
        <w:rPr>
          <w:rFonts w:ascii="Garamond" w:hAnsi="Garamond"/>
          <w:sz w:val="22"/>
          <w:szCs w:val="22"/>
        </w:rPr>
        <w:t xml:space="preserve">2017 the </w:t>
      </w:r>
      <w:r w:rsidR="008E1E4F" w:rsidRPr="00626752">
        <w:rPr>
          <w:rFonts w:ascii="Garamond" w:hAnsi="Garamond"/>
          <w:b/>
          <w:sz w:val="22"/>
          <w:szCs w:val="22"/>
        </w:rPr>
        <w:t>unemployment rate</w:t>
      </w:r>
      <w:r w:rsidR="008E1E4F" w:rsidRPr="00626752">
        <w:rPr>
          <w:rFonts w:ascii="Garamond" w:hAnsi="Garamond"/>
          <w:sz w:val="22"/>
          <w:szCs w:val="22"/>
        </w:rPr>
        <w:t xml:space="preserve"> is an estimated 17.</w:t>
      </w:r>
      <w:r>
        <w:rPr>
          <w:rFonts w:ascii="Garamond" w:hAnsi="Garamond"/>
          <w:sz w:val="22"/>
          <w:szCs w:val="22"/>
        </w:rPr>
        <w:t>5%; i</w:t>
      </w:r>
      <w:r w:rsidRPr="00CA1749">
        <w:rPr>
          <w:rFonts w:ascii="Garamond" w:hAnsi="Garamond"/>
          <w:sz w:val="22"/>
          <w:szCs w:val="22"/>
        </w:rPr>
        <w:t xml:space="preserve">n the fourth quarter </w:t>
      </w:r>
      <w:r w:rsidR="00B21567">
        <w:rPr>
          <w:rFonts w:ascii="Garamond" w:hAnsi="Garamond"/>
          <w:sz w:val="22"/>
          <w:szCs w:val="22"/>
        </w:rPr>
        <w:t>of the year this indicator</w:t>
      </w:r>
      <w:r w:rsidRPr="00CA1749">
        <w:rPr>
          <w:rFonts w:ascii="Garamond" w:hAnsi="Garamond"/>
          <w:sz w:val="22"/>
          <w:szCs w:val="22"/>
        </w:rPr>
        <w:t xml:space="preserve"> </w:t>
      </w:r>
      <w:r w:rsidR="00B21567">
        <w:rPr>
          <w:rFonts w:ascii="Garamond" w:hAnsi="Garamond"/>
          <w:sz w:val="22"/>
          <w:szCs w:val="22"/>
        </w:rPr>
        <w:t xml:space="preserve">amounted to </w:t>
      </w:r>
      <w:r w:rsidRPr="00CA1749">
        <w:rPr>
          <w:rFonts w:ascii="Garamond" w:hAnsi="Garamond"/>
          <w:sz w:val="22"/>
          <w:szCs w:val="22"/>
        </w:rPr>
        <w:t>16.7%, which is 0.7 p</w:t>
      </w:r>
      <w:r w:rsidR="00B21567">
        <w:rPr>
          <w:rFonts w:ascii="Garamond" w:hAnsi="Garamond"/>
          <w:sz w:val="22"/>
          <w:szCs w:val="22"/>
        </w:rPr>
        <w:t>p smaller from previous forecasts by the Central Bank</w:t>
      </w:r>
      <w:r w:rsidR="008E1E4F" w:rsidRPr="00626752">
        <w:rPr>
          <w:rFonts w:ascii="Garamond" w:hAnsi="Garamond"/>
          <w:sz w:val="22"/>
          <w:szCs w:val="22"/>
        </w:rPr>
        <w:t>.</w:t>
      </w:r>
    </w:p>
    <w:p w14:paraId="76E6E966" w14:textId="77777777" w:rsidR="00DE4A0D" w:rsidRPr="00626752" w:rsidRDefault="00DE4A0D" w:rsidP="00B178C0">
      <w:pPr>
        <w:autoSpaceDE w:val="0"/>
        <w:autoSpaceDN w:val="0"/>
        <w:adjustRightInd w:val="0"/>
        <w:spacing w:after="120" w:line="360" w:lineRule="auto"/>
        <w:jc w:val="both"/>
        <w:rPr>
          <w:rFonts w:ascii="Garamond" w:hAnsi="Garamond"/>
          <w:sz w:val="22"/>
          <w:szCs w:val="22"/>
        </w:rPr>
      </w:pPr>
      <w:r w:rsidRPr="00626752">
        <w:rPr>
          <w:rFonts w:ascii="Garamond" w:hAnsi="Garamond"/>
          <w:sz w:val="22"/>
          <w:szCs w:val="22"/>
        </w:rPr>
        <w:t xml:space="preserve">In the reporting period, unit labor costs of the firms have </w:t>
      </w:r>
      <w:r w:rsidR="00B21567">
        <w:rPr>
          <w:rFonts w:ascii="Garamond" w:hAnsi="Garamond"/>
          <w:sz w:val="22"/>
          <w:szCs w:val="22"/>
        </w:rPr>
        <w:t>reduced</w:t>
      </w:r>
      <w:r w:rsidRPr="00626752">
        <w:rPr>
          <w:rFonts w:ascii="Garamond" w:hAnsi="Garamond"/>
          <w:sz w:val="22"/>
          <w:szCs w:val="22"/>
        </w:rPr>
        <w:t xml:space="preserve">, reflecting the acceleration of </w:t>
      </w:r>
      <w:r w:rsidR="00B21567" w:rsidRPr="00626752">
        <w:rPr>
          <w:rFonts w:ascii="Garamond" w:hAnsi="Garamond"/>
          <w:sz w:val="22"/>
          <w:szCs w:val="22"/>
        </w:rPr>
        <w:t xml:space="preserve">output growth rate per unit of labor </w:t>
      </w:r>
      <w:r w:rsidRPr="00626752">
        <w:rPr>
          <w:rFonts w:ascii="Garamond" w:hAnsi="Garamond"/>
          <w:sz w:val="22"/>
          <w:szCs w:val="22"/>
        </w:rPr>
        <w:t>in relation to</w:t>
      </w:r>
      <w:r w:rsidR="00B21567" w:rsidRPr="00B21567">
        <w:rPr>
          <w:rFonts w:ascii="Garamond" w:hAnsi="Garamond"/>
          <w:sz w:val="22"/>
          <w:szCs w:val="22"/>
        </w:rPr>
        <w:t xml:space="preserve"> </w:t>
      </w:r>
      <w:r w:rsidR="00B21567" w:rsidRPr="00626752">
        <w:rPr>
          <w:rFonts w:ascii="Garamond" w:hAnsi="Garamond"/>
          <w:sz w:val="22"/>
          <w:szCs w:val="22"/>
        </w:rPr>
        <w:t xml:space="preserve">private </w:t>
      </w:r>
      <w:r w:rsidR="00B21567">
        <w:rPr>
          <w:rFonts w:ascii="Garamond" w:hAnsi="Garamond"/>
          <w:sz w:val="22"/>
          <w:szCs w:val="22"/>
        </w:rPr>
        <w:t xml:space="preserve">sector </w:t>
      </w:r>
      <w:r w:rsidR="00B21567" w:rsidRPr="00626752">
        <w:rPr>
          <w:rFonts w:ascii="Garamond" w:hAnsi="Garamond"/>
          <w:sz w:val="22"/>
          <w:szCs w:val="22"/>
        </w:rPr>
        <w:t>wage growth</w:t>
      </w:r>
      <w:r w:rsidRPr="00626752">
        <w:rPr>
          <w:rFonts w:ascii="Garamond" w:hAnsi="Garamond"/>
          <w:sz w:val="22"/>
          <w:szCs w:val="22"/>
        </w:rPr>
        <w:t>.</w:t>
      </w:r>
    </w:p>
    <w:p w14:paraId="1394F18F" w14:textId="77777777" w:rsidR="00B14F4F" w:rsidRPr="00626752" w:rsidRDefault="00B14F4F" w:rsidP="00B178C0">
      <w:pPr>
        <w:autoSpaceDE w:val="0"/>
        <w:autoSpaceDN w:val="0"/>
        <w:adjustRightInd w:val="0"/>
        <w:spacing w:after="120" w:line="360" w:lineRule="auto"/>
        <w:jc w:val="both"/>
        <w:rPr>
          <w:rFonts w:ascii="Garamond" w:hAnsi="Garamond"/>
          <w:b/>
          <w:color w:val="0070C0"/>
          <w:sz w:val="22"/>
          <w:szCs w:val="22"/>
        </w:rPr>
      </w:pPr>
      <w:r w:rsidRPr="00626752">
        <w:rPr>
          <w:rFonts w:ascii="Garamond" w:hAnsi="Garamond"/>
          <w:b/>
          <w:color w:val="0070C0"/>
          <w:sz w:val="22"/>
          <w:szCs w:val="22"/>
        </w:rPr>
        <w:lastRenderedPageBreak/>
        <w:t>3.3. Financial market developments</w:t>
      </w:r>
    </w:p>
    <w:p w14:paraId="5403A608" w14:textId="77777777" w:rsidR="00375699" w:rsidRPr="00626752" w:rsidRDefault="00B21567" w:rsidP="00B178C0">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I</w:t>
      </w:r>
      <w:r w:rsidRPr="00626752">
        <w:rPr>
          <w:rFonts w:ascii="Garamond" w:hAnsi="Garamond"/>
          <w:b/>
          <w:sz w:val="22"/>
          <w:szCs w:val="22"/>
        </w:rPr>
        <w:t xml:space="preserve">n the </w:t>
      </w:r>
      <w:r>
        <w:rPr>
          <w:rFonts w:ascii="Garamond" w:hAnsi="Garamond"/>
          <w:b/>
          <w:sz w:val="22"/>
          <w:szCs w:val="22"/>
        </w:rPr>
        <w:t>fourth</w:t>
      </w:r>
      <w:r w:rsidRPr="00626752">
        <w:rPr>
          <w:rFonts w:ascii="Garamond" w:hAnsi="Garamond"/>
          <w:b/>
          <w:sz w:val="22"/>
          <w:szCs w:val="22"/>
        </w:rPr>
        <w:t xml:space="preserve"> quarter of 2017</w:t>
      </w:r>
      <w:r>
        <w:rPr>
          <w:rFonts w:ascii="Garamond" w:hAnsi="Garamond"/>
          <w:b/>
          <w:sz w:val="22"/>
          <w:szCs w:val="22"/>
        </w:rPr>
        <w:t xml:space="preserve"> too, t</w:t>
      </w:r>
      <w:r w:rsidR="00375699" w:rsidRPr="00626752">
        <w:rPr>
          <w:rFonts w:ascii="Garamond" w:hAnsi="Garamond"/>
          <w:b/>
          <w:sz w:val="22"/>
          <w:szCs w:val="22"/>
        </w:rPr>
        <w:t xml:space="preserve">he </w:t>
      </w:r>
      <w:r w:rsidRPr="00626752">
        <w:rPr>
          <w:rFonts w:ascii="Garamond" w:hAnsi="Garamond"/>
          <w:b/>
          <w:sz w:val="22"/>
          <w:szCs w:val="22"/>
        </w:rPr>
        <w:t xml:space="preserve">Board of </w:t>
      </w:r>
      <w:r>
        <w:rPr>
          <w:rFonts w:ascii="Garamond" w:hAnsi="Garamond"/>
          <w:b/>
          <w:sz w:val="22"/>
          <w:szCs w:val="22"/>
        </w:rPr>
        <w:t xml:space="preserve">the </w:t>
      </w:r>
      <w:r w:rsidRPr="00626752">
        <w:rPr>
          <w:rFonts w:ascii="Garamond" w:hAnsi="Garamond"/>
          <w:b/>
          <w:sz w:val="22"/>
          <w:szCs w:val="22"/>
        </w:rPr>
        <w:t xml:space="preserve">Central Bank </w:t>
      </w:r>
      <w:r>
        <w:rPr>
          <w:rFonts w:ascii="Garamond" w:hAnsi="Garamond"/>
          <w:b/>
          <w:sz w:val="22"/>
          <w:szCs w:val="22"/>
        </w:rPr>
        <w:t xml:space="preserve">left the </w:t>
      </w:r>
      <w:r w:rsidR="00853CC1" w:rsidRPr="00626752">
        <w:rPr>
          <w:rFonts w:ascii="Garamond" w:hAnsi="Garamond"/>
          <w:b/>
          <w:sz w:val="22"/>
          <w:szCs w:val="22"/>
        </w:rPr>
        <w:t>refinancing rate unchanged</w:t>
      </w:r>
      <w:r w:rsidR="00375699" w:rsidRPr="00626752">
        <w:rPr>
          <w:rFonts w:ascii="Garamond" w:hAnsi="Garamond"/>
          <w:b/>
          <w:sz w:val="22"/>
          <w:szCs w:val="22"/>
        </w:rPr>
        <w:t>.</w:t>
      </w:r>
    </w:p>
    <w:p w14:paraId="2B056BC1" w14:textId="77777777" w:rsidR="00853CC1" w:rsidRDefault="006E62E8"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spite of </w:t>
      </w:r>
      <w:r w:rsidRPr="006E62E8">
        <w:rPr>
          <w:rFonts w:ascii="Garamond" w:hAnsi="Garamond"/>
          <w:sz w:val="22"/>
          <w:szCs w:val="22"/>
        </w:rPr>
        <w:t>some</w:t>
      </w:r>
      <w:r>
        <w:rPr>
          <w:rFonts w:ascii="Garamond" w:hAnsi="Garamond"/>
          <w:sz w:val="22"/>
          <w:szCs w:val="22"/>
        </w:rPr>
        <w:t>how</w:t>
      </w:r>
      <w:r w:rsidRPr="006E62E8">
        <w:rPr>
          <w:rFonts w:ascii="Garamond" w:hAnsi="Garamond"/>
          <w:sz w:val="22"/>
          <w:szCs w:val="22"/>
        </w:rPr>
        <w:t xml:space="preserve"> in</w:t>
      </w:r>
      <w:r>
        <w:rPr>
          <w:rFonts w:ascii="Garamond" w:hAnsi="Garamond"/>
          <w:sz w:val="22"/>
          <w:szCs w:val="22"/>
        </w:rPr>
        <w:t xml:space="preserve">tensifying </w:t>
      </w:r>
      <w:r w:rsidRPr="006E62E8">
        <w:rPr>
          <w:rFonts w:ascii="Garamond" w:hAnsi="Garamond"/>
          <w:sz w:val="22"/>
          <w:szCs w:val="22"/>
        </w:rPr>
        <w:t xml:space="preserve">inflation expectations and inflationary risks, the </w:t>
      </w:r>
      <w:r>
        <w:rPr>
          <w:rFonts w:ascii="Garamond" w:hAnsi="Garamond"/>
          <w:sz w:val="22"/>
          <w:szCs w:val="22"/>
        </w:rPr>
        <w:t>B</w:t>
      </w:r>
      <w:r w:rsidRPr="006E62E8">
        <w:rPr>
          <w:rFonts w:ascii="Garamond" w:hAnsi="Garamond"/>
          <w:sz w:val="22"/>
          <w:szCs w:val="22"/>
        </w:rPr>
        <w:t>oard</w:t>
      </w:r>
      <w:r>
        <w:rPr>
          <w:rFonts w:ascii="Garamond" w:hAnsi="Garamond"/>
          <w:sz w:val="22"/>
          <w:szCs w:val="22"/>
        </w:rPr>
        <w:t xml:space="preserve"> of the Central Bank</w:t>
      </w:r>
      <w:r w:rsidRPr="006E62E8">
        <w:rPr>
          <w:rFonts w:ascii="Garamond" w:hAnsi="Garamond"/>
          <w:sz w:val="22"/>
          <w:szCs w:val="22"/>
        </w:rPr>
        <w:t xml:space="preserve"> has decided to leave the policy rate unchanged given the importance of sustained </w:t>
      </w:r>
      <w:r>
        <w:rPr>
          <w:rFonts w:ascii="Garamond" w:hAnsi="Garamond"/>
          <w:sz w:val="22"/>
          <w:szCs w:val="22"/>
        </w:rPr>
        <w:t xml:space="preserve">recovery of </w:t>
      </w:r>
      <w:r w:rsidRPr="006E62E8">
        <w:rPr>
          <w:rFonts w:ascii="Garamond" w:hAnsi="Garamond"/>
          <w:sz w:val="22"/>
          <w:szCs w:val="22"/>
        </w:rPr>
        <w:t xml:space="preserve">demand </w:t>
      </w:r>
      <w:r>
        <w:rPr>
          <w:rFonts w:ascii="Garamond" w:hAnsi="Garamond"/>
          <w:sz w:val="22"/>
          <w:szCs w:val="22"/>
        </w:rPr>
        <w:t xml:space="preserve">as well as a </w:t>
      </w:r>
      <w:r w:rsidRPr="006E62E8">
        <w:rPr>
          <w:rFonts w:ascii="Garamond" w:hAnsi="Garamond"/>
          <w:sz w:val="22"/>
          <w:szCs w:val="22"/>
        </w:rPr>
        <w:t xml:space="preserve">short-term nature of </w:t>
      </w:r>
      <w:r>
        <w:rPr>
          <w:rFonts w:ascii="Garamond" w:hAnsi="Garamond"/>
          <w:sz w:val="22"/>
          <w:szCs w:val="22"/>
        </w:rPr>
        <w:t>part of i</w:t>
      </w:r>
      <w:r w:rsidRPr="006E62E8">
        <w:rPr>
          <w:rFonts w:ascii="Garamond" w:hAnsi="Garamond"/>
          <w:sz w:val="22"/>
          <w:szCs w:val="22"/>
        </w:rPr>
        <w:t>nflation expectations.</w:t>
      </w:r>
      <w:r>
        <w:rPr>
          <w:rFonts w:ascii="Garamond" w:hAnsi="Garamond"/>
          <w:sz w:val="22"/>
          <w:szCs w:val="22"/>
        </w:rPr>
        <w:t xml:space="preserve"> </w:t>
      </w:r>
      <w:r w:rsidR="00481E7A">
        <w:rPr>
          <w:rFonts w:ascii="Garamond" w:hAnsi="Garamond"/>
          <w:sz w:val="22"/>
          <w:szCs w:val="22"/>
        </w:rPr>
        <w:t xml:space="preserve">In the meantime, </w:t>
      </w:r>
      <w:r w:rsidR="00481E7A" w:rsidRPr="00481E7A">
        <w:rPr>
          <w:rFonts w:ascii="Garamond" w:hAnsi="Garamond"/>
          <w:sz w:val="22"/>
          <w:szCs w:val="22"/>
        </w:rPr>
        <w:t>the Board ha</w:t>
      </w:r>
      <w:r w:rsidR="00481E7A">
        <w:rPr>
          <w:rFonts w:ascii="Garamond" w:hAnsi="Garamond"/>
          <w:sz w:val="22"/>
          <w:szCs w:val="22"/>
        </w:rPr>
        <w:t>d</w:t>
      </w:r>
      <w:r w:rsidR="00481E7A" w:rsidRPr="00481E7A">
        <w:rPr>
          <w:rFonts w:ascii="Garamond" w:hAnsi="Garamond"/>
          <w:sz w:val="22"/>
          <w:szCs w:val="22"/>
        </w:rPr>
        <w:t xml:space="preserve"> signaled </w:t>
      </w:r>
      <w:r w:rsidR="00481E7A">
        <w:rPr>
          <w:rFonts w:ascii="Garamond" w:hAnsi="Garamond"/>
          <w:sz w:val="22"/>
          <w:szCs w:val="22"/>
        </w:rPr>
        <w:t xml:space="preserve">the </w:t>
      </w:r>
      <w:r w:rsidR="00481E7A" w:rsidRPr="00481E7A">
        <w:rPr>
          <w:rFonts w:ascii="Garamond" w:hAnsi="Garamond"/>
          <w:sz w:val="22"/>
          <w:szCs w:val="22"/>
        </w:rPr>
        <w:t xml:space="preserve">market participants that gradual </w:t>
      </w:r>
      <w:r w:rsidR="008A151D">
        <w:rPr>
          <w:rFonts w:ascii="Garamond" w:hAnsi="Garamond"/>
          <w:sz w:val="22"/>
          <w:szCs w:val="22"/>
        </w:rPr>
        <w:t xml:space="preserve">lifting of </w:t>
      </w:r>
      <w:r w:rsidR="00481E7A">
        <w:rPr>
          <w:rFonts w:ascii="Garamond" w:hAnsi="Garamond"/>
          <w:sz w:val="22"/>
          <w:szCs w:val="22"/>
        </w:rPr>
        <w:t>the refinancing rate wa</w:t>
      </w:r>
      <w:r w:rsidR="00481E7A" w:rsidRPr="00481E7A">
        <w:rPr>
          <w:rFonts w:ascii="Garamond" w:hAnsi="Garamond"/>
          <w:sz w:val="22"/>
          <w:szCs w:val="22"/>
        </w:rPr>
        <w:t xml:space="preserve">s not </w:t>
      </w:r>
      <w:r w:rsidR="00481E7A">
        <w:rPr>
          <w:rFonts w:ascii="Garamond" w:hAnsi="Garamond"/>
          <w:sz w:val="22"/>
          <w:szCs w:val="22"/>
        </w:rPr>
        <w:t>ruled out</w:t>
      </w:r>
      <w:r w:rsidR="00481E7A" w:rsidRPr="00481E7A">
        <w:rPr>
          <w:rFonts w:ascii="Garamond" w:hAnsi="Garamond"/>
          <w:sz w:val="22"/>
          <w:szCs w:val="22"/>
        </w:rPr>
        <w:t xml:space="preserve"> in </w:t>
      </w:r>
      <w:r w:rsidR="00481E7A">
        <w:rPr>
          <w:rFonts w:ascii="Garamond" w:hAnsi="Garamond"/>
          <w:sz w:val="22"/>
          <w:szCs w:val="22"/>
        </w:rPr>
        <w:t xml:space="preserve">the light of predicted </w:t>
      </w:r>
      <w:r w:rsidR="00481E7A" w:rsidRPr="00481E7A">
        <w:rPr>
          <w:rFonts w:ascii="Garamond" w:hAnsi="Garamond"/>
          <w:sz w:val="22"/>
          <w:szCs w:val="22"/>
        </w:rPr>
        <w:t>developments</w:t>
      </w:r>
      <w:r w:rsidR="00481E7A">
        <w:rPr>
          <w:rFonts w:ascii="Garamond" w:hAnsi="Garamond"/>
          <w:sz w:val="22"/>
          <w:szCs w:val="22"/>
        </w:rPr>
        <w:t xml:space="preserve"> as well as in fulfillment of the inflation target </w:t>
      </w:r>
      <w:r w:rsidR="00CE22CD">
        <w:rPr>
          <w:rFonts w:ascii="Garamond" w:hAnsi="Garamond"/>
          <w:sz w:val="22"/>
          <w:szCs w:val="22"/>
        </w:rPr>
        <w:t xml:space="preserve">(by way of bringing </w:t>
      </w:r>
      <w:r w:rsidR="00CE22CD" w:rsidRPr="00481E7A">
        <w:rPr>
          <w:rFonts w:ascii="Garamond" w:hAnsi="Garamond"/>
          <w:sz w:val="22"/>
          <w:szCs w:val="22"/>
        </w:rPr>
        <w:t>the 12-month inflation rate in</w:t>
      </w:r>
      <w:r w:rsidR="00CE22CD">
        <w:rPr>
          <w:rFonts w:ascii="Garamond" w:hAnsi="Garamond"/>
          <w:sz w:val="22"/>
          <w:szCs w:val="22"/>
        </w:rPr>
        <w:t xml:space="preserve">to the confidence band) </w:t>
      </w:r>
      <w:r w:rsidR="00481E7A" w:rsidRPr="00481E7A">
        <w:rPr>
          <w:rFonts w:ascii="Garamond" w:hAnsi="Garamond"/>
          <w:sz w:val="22"/>
          <w:szCs w:val="22"/>
        </w:rPr>
        <w:t>in the medi</w:t>
      </w:r>
      <w:r w:rsidR="00481E7A">
        <w:rPr>
          <w:rFonts w:ascii="Garamond" w:hAnsi="Garamond"/>
          <w:sz w:val="22"/>
          <w:szCs w:val="22"/>
        </w:rPr>
        <w:t>um run</w:t>
      </w:r>
      <w:r w:rsidR="00853CC1" w:rsidRPr="00626752">
        <w:rPr>
          <w:rFonts w:ascii="Garamond" w:hAnsi="Garamond"/>
          <w:sz w:val="22"/>
          <w:szCs w:val="22"/>
        </w:rPr>
        <w:t>.</w:t>
      </w:r>
    </w:p>
    <w:p w14:paraId="0A03A5B5" w14:textId="5E46E2E9" w:rsidR="00CE22CD" w:rsidRDefault="00151ABD"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Using an instrument in </w:t>
      </w:r>
      <w:r w:rsidRPr="00151ABD">
        <w:rPr>
          <w:rFonts w:ascii="Garamond" w:hAnsi="Garamond"/>
          <w:sz w:val="22"/>
          <w:szCs w:val="22"/>
        </w:rPr>
        <w:t>its toolkit</w:t>
      </w:r>
      <w:r>
        <w:rPr>
          <w:rFonts w:ascii="Garamond" w:hAnsi="Garamond"/>
          <w:sz w:val="22"/>
          <w:szCs w:val="22"/>
        </w:rPr>
        <w:t xml:space="preserve"> to absorb </w:t>
      </w:r>
      <w:r w:rsidRPr="00151ABD">
        <w:rPr>
          <w:rFonts w:ascii="Garamond" w:hAnsi="Garamond"/>
          <w:sz w:val="22"/>
          <w:szCs w:val="22"/>
        </w:rPr>
        <w:t>excess liquidity in the banking system</w:t>
      </w:r>
      <w:r>
        <w:rPr>
          <w:rFonts w:ascii="Garamond" w:hAnsi="Garamond"/>
          <w:sz w:val="22"/>
          <w:szCs w:val="22"/>
        </w:rPr>
        <w:t xml:space="preserve"> i</w:t>
      </w:r>
      <w:r w:rsidR="00CE22CD">
        <w:rPr>
          <w:rFonts w:ascii="Garamond" w:hAnsi="Garamond"/>
          <w:sz w:val="22"/>
          <w:szCs w:val="22"/>
        </w:rPr>
        <w:t>n the fourth quarter of 2017</w:t>
      </w:r>
      <w:r>
        <w:rPr>
          <w:rFonts w:ascii="Garamond" w:hAnsi="Garamond"/>
          <w:sz w:val="22"/>
          <w:szCs w:val="22"/>
        </w:rPr>
        <w:t xml:space="preserve">, the Central Bank have brought </w:t>
      </w:r>
      <w:r w:rsidR="00CE22CD" w:rsidRPr="00151ABD">
        <w:rPr>
          <w:rFonts w:ascii="Garamond" w:hAnsi="Garamond"/>
          <w:sz w:val="22"/>
          <w:szCs w:val="22"/>
        </w:rPr>
        <w:t>short-term interest rates closer to the policy rate.</w:t>
      </w:r>
      <w:r w:rsidR="00200ECA" w:rsidRPr="00200ECA">
        <w:rPr>
          <w:rFonts w:ascii="Garamond" w:hAnsi="Garamond"/>
          <w:sz w:val="22"/>
          <w:szCs w:val="22"/>
        </w:rPr>
        <w:t xml:space="preserve"> </w:t>
      </w:r>
      <w:r w:rsidR="00200ECA" w:rsidRPr="00626752">
        <w:rPr>
          <w:rFonts w:ascii="Garamond" w:hAnsi="Garamond"/>
          <w:sz w:val="22"/>
          <w:szCs w:val="22"/>
        </w:rPr>
        <w:t xml:space="preserve">The quarterly interbank repo rate has </w:t>
      </w:r>
      <w:r w:rsidR="00200ECA">
        <w:rPr>
          <w:rFonts w:ascii="Garamond" w:hAnsi="Garamond"/>
          <w:sz w:val="22"/>
          <w:szCs w:val="22"/>
        </w:rPr>
        <w:t>in</w:t>
      </w:r>
      <w:r w:rsidR="00200ECA" w:rsidRPr="00626752">
        <w:rPr>
          <w:rFonts w:ascii="Garamond" w:hAnsi="Garamond"/>
          <w:sz w:val="22"/>
          <w:szCs w:val="22"/>
        </w:rPr>
        <w:t>creased by 0.5</w:t>
      </w:r>
      <w:r w:rsidR="00200ECA">
        <w:rPr>
          <w:rFonts w:ascii="Garamond" w:hAnsi="Garamond"/>
          <w:sz w:val="22"/>
          <w:szCs w:val="22"/>
        </w:rPr>
        <w:t>7</w:t>
      </w:r>
      <w:r w:rsidR="00200ECA" w:rsidRPr="00626752">
        <w:rPr>
          <w:rFonts w:ascii="Garamond" w:hAnsi="Garamond"/>
          <w:sz w:val="22"/>
          <w:szCs w:val="22"/>
        </w:rPr>
        <w:t xml:space="preserve"> pp against the previous quarter </w:t>
      </w:r>
      <w:r w:rsidR="006B2AA6">
        <w:rPr>
          <w:rFonts w:ascii="Garamond" w:hAnsi="Garamond"/>
          <w:sz w:val="22"/>
          <w:szCs w:val="22"/>
        </w:rPr>
        <w:t xml:space="preserve">and amounted </w:t>
      </w:r>
      <w:r w:rsidR="00200ECA" w:rsidRPr="00626752">
        <w:rPr>
          <w:rFonts w:ascii="Garamond" w:hAnsi="Garamond"/>
          <w:sz w:val="22"/>
          <w:szCs w:val="22"/>
        </w:rPr>
        <w:t>to 5.</w:t>
      </w:r>
      <w:r w:rsidR="00A64428">
        <w:rPr>
          <w:rFonts w:ascii="Garamond" w:hAnsi="Garamond"/>
          <w:sz w:val="22"/>
          <w:szCs w:val="22"/>
        </w:rPr>
        <w:t>90</w:t>
      </w:r>
      <w:r w:rsidR="00200ECA" w:rsidRPr="00626752">
        <w:rPr>
          <w:rFonts w:ascii="Garamond" w:hAnsi="Garamond"/>
          <w:sz w:val="22"/>
          <w:szCs w:val="22"/>
        </w:rPr>
        <w:t xml:space="preserve">%; the average monthly repo rate in </w:t>
      </w:r>
      <w:r w:rsidR="00A64428">
        <w:rPr>
          <w:rFonts w:ascii="Garamond" w:hAnsi="Garamond"/>
          <w:sz w:val="22"/>
          <w:szCs w:val="22"/>
        </w:rPr>
        <w:t>December was 6.1</w:t>
      </w:r>
      <w:r w:rsidR="00200ECA" w:rsidRPr="00626752">
        <w:rPr>
          <w:rFonts w:ascii="Garamond" w:hAnsi="Garamond"/>
          <w:sz w:val="22"/>
          <w:szCs w:val="22"/>
        </w:rPr>
        <w:t xml:space="preserve">%, </w:t>
      </w:r>
      <w:r w:rsidR="00A64428">
        <w:rPr>
          <w:rFonts w:ascii="Garamond" w:hAnsi="Garamond"/>
          <w:sz w:val="22"/>
          <w:szCs w:val="22"/>
        </w:rPr>
        <w:t xml:space="preserve">up by </w:t>
      </w:r>
      <w:r w:rsidR="00200ECA" w:rsidRPr="00626752">
        <w:rPr>
          <w:rFonts w:ascii="Garamond" w:hAnsi="Garamond"/>
          <w:sz w:val="22"/>
          <w:szCs w:val="22"/>
        </w:rPr>
        <w:t>0.</w:t>
      </w:r>
      <w:r w:rsidR="00A64428">
        <w:rPr>
          <w:rFonts w:ascii="Garamond" w:hAnsi="Garamond"/>
          <w:sz w:val="22"/>
          <w:szCs w:val="22"/>
        </w:rPr>
        <w:t>96</w:t>
      </w:r>
      <w:r w:rsidR="00200ECA" w:rsidRPr="00626752">
        <w:rPr>
          <w:rFonts w:ascii="Garamond" w:hAnsi="Garamond"/>
          <w:sz w:val="22"/>
          <w:szCs w:val="22"/>
        </w:rPr>
        <w:t xml:space="preserve"> pp against </w:t>
      </w:r>
      <w:r w:rsidR="00A64428">
        <w:rPr>
          <w:rFonts w:ascii="Garamond" w:hAnsi="Garamond"/>
          <w:sz w:val="22"/>
          <w:szCs w:val="22"/>
        </w:rPr>
        <w:t>September</w:t>
      </w:r>
      <w:r w:rsidR="00200ECA" w:rsidRPr="00626752">
        <w:rPr>
          <w:rFonts w:ascii="Garamond" w:hAnsi="Garamond"/>
          <w:sz w:val="22"/>
          <w:szCs w:val="22"/>
        </w:rPr>
        <w:t>.</w:t>
      </w:r>
      <w:r w:rsidR="00A64428" w:rsidRPr="00A64428">
        <w:rPr>
          <w:rFonts w:ascii="Garamond" w:hAnsi="Garamond"/>
          <w:sz w:val="22"/>
          <w:szCs w:val="22"/>
        </w:rPr>
        <w:t xml:space="preserve"> </w:t>
      </w:r>
      <w:r w:rsidR="00A64428" w:rsidRPr="00626752">
        <w:rPr>
          <w:rFonts w:ascii="Garamond" w:hAnsi="Garamond"/>
          <w:sz w:val="22"/>
          <w:szCs w:val="22"/>
        </w:rPr>
        <w:t>Interest rates on up to 14-day interbank repo transactions were 0.</w:t>
      </w:r>
      <w:r w:rsidR="00A64428">
        <w:rPr>
          <w:rFonts w:ascii="Garamond" w:hAnsi="Garamond"/>
          <w:sz w:val="22"/>
          <w:szCs w:val="22"/>
        </w:rPr>
        <w:t>15</w:t>
      </w:r>
      <w:r w:rsidR="00A64428" w:rsidRPr="00626752">
        <w:rPr>
          <w:rFonts w:ascii="Garamond" w:hAnsi="Garamond"/>
          <w:sz w:val="22"/>
          <w:szCs w:val="22"/>
        </w:rPr>
        <w:t xml:space="preserve"> pp </w:t>
      </w:r>
      <w:r w:rsidR="00A64428">
        <w:rPr>
          <w:rFonts w:ascii="Garamond" w:hAnsi="Garamond"/>
          <w:sz w:val="22"/>
          <w:szCs w:val="22"/>
        </w:rPr>
        <w:t xml:space="preserve">higher </w:t>
      </w:r>
      <w:r w:rsidR="00A64428" w:rsidRPr="00626752">
        <w:rPr>
          <w:rFonts w:ascii="Garamond" w:hAnsi="Garamond"/>
          <w:sz w:val="22"/>
          <w:szCs w:val="22"/>
        </w:rPr>
        <w:t xml:space="preserve">from the refinancing rate of the Central Bank in </w:t>
      </w:r>
      <w:r w:rsidR="00A64428">
        <w:rPr>
          <w:rFonts w:ascii="Garamond" w:hAnsi="Garamond"/>
          <w:sz w:val="22"/>
          <w:szCs w:val="22"/>
        </w:rPr>
        <w:t>Dec</w:t>
      </w:r>
      <w:r w:rsidR="00A64428" w:rsidRPr="00626752">
        <w:rPr>
          <w:rFonts w:ascii="Garamond" w:hAnsi="Garamond"/>
          <w:sz w:val="22"/>
          <w:szCs w:val="22"/>
        </w:rPr>
        <w:t>ember</w:t>
      </w:r>
      <w:r w:rsidR="00A64428">
        <w:rPr>
          <w:rStyle w:val="FootnoteReference"/>
          <w:rFonts w:ascii="Garamond" w:hAnsi="Garamond"/>
          <w:sz w:val="22"/>
          <w:szCs w:val="22"/>
        </w:rPr>
        <w:footnoteReference w:customMarkFollows="1" w:id="17"/>
        <w:t>20</w:t>
      </w:r>
      <w:r w:rsidR="00A64428" w:rsidRPr="00626752">
        <w:rPr>
          <w:rFonts w:ascii="Garamond" w:hAnsi="Garamond"/>
          <w:sz w:val="22"/>
          <w:szCs w:val="22"/>
        </w:rPr>
        <w:t>.</w:t>
      </w:r>
    </w:p>
    <w:tbl>
      <w:tblPr>
        <w:tblStyle w:val="TableGrid"/>
        <w:tblW w:w="0" w:type="auto"/>
        <w:tblLook w:val="04A0" w:firstRow="1" w:lastRow="0" w:firstColumn="1" w:lastColumn="0" w:noHBand="0" w:noVBand="1"/>
      </w:tblPr>
      <w:tblGrid>
        <w:gridCol w:w="9350"/>
      </w:tblGrid>
      <w:tr w:rsidR="00A64428" w:rsidRPr="00626752" w14:paraId="7F748F96" w14:textId="77777777" w:rsidTr="00A64428">
        <w:tc>
          <w:tcPr>
            <w:tcW w:w="9350" w:type="dxa"/>
          </w:tcPr>
          <w:p w14:paraId="48F8B505" w14:textId="77777777" w:rsidR="00A64428" w:rsidRPr="002D541D" w:rsidRDefault="00A64428" w:rsidP="00E17507">
            <w:pPr>
              <w:autoSpaceDE w:val="0"/>
              <w:autoSpaceDN w:val="0"/>
              <w:adjustRightInd w:val="0"/>
              <w:spacing w:after="120" w:line="360" w:lineRule="auto"/>
              <w:jc w:val="both"/>
              <w:rPr>
                <w:rFonts w:ascii="Garamond" w:hAnsi="Garamond"/>
                <w:b/>
                <w:color w:val="0070C0"/>
                <w:sz w:val="18"/>
                <w:szCs w:val="22"/>
              </w:rPr>
            </w:pPr>
            <w:r w:rsidRPr="002D541D">
              <w:rPr>
                <w:rFonts w:ascii="Garamond" w:hAnsi="Garamond"/>
                <w:b/>
                <w:color w:val="0070C0"/>
                <w:sz w:val="18"/>
                <w:szCs w:val="22"/>
              </w:rPr>
              <w:t>Box 3:</w:t>
            </w:r>
          </w:p>
          <w:p w14:paraId="0845575D" w14:textId="77777777" w:rsidR="00A64428" w:rsidRPr="002D541D" w:rsidRDefault="00A64428" w:rsidP="00E17507">
            <w:pPr>
              <w:autoSpaceDE w:val="0"/>
              <w:autoSpaceDN w:val="0"/>
              <w:adjustRightInd w:val="0"/>
              <w:spacing w:after="120" w:line="360" w:lineRule="auto"/>
              <w:jc w:val="both"/>
              <w:rPr>
                <w:rFonts w:ascii="Garamond" w:hAnsi="Garamond"/>
                <w:b/>
                <w:color w:val="0070C0"/>
                <w:sz w:val="18"/>
                <w:szCs w:val="22"/>
              </w:rPr>
            </w:pPr>
            <w:r w:rsidRPr="002D541D">
              <w:rPr>
                <w:rFonts w:ascii="Garamond" w:hAnsi="Garamond"/>
                <w:b/>
                <w:color w:val="0070C0"/>
                <w:sz w:val="18"/>
                <w:szCs w:val="22"/>
              </w:rPr>
              <w:t xml:space="preserve">Developments in the currency market </w:t>
            </w:r>
          </w:p>
          <w:p w14:paraId="67353664" w14:textId="3C23B6C7" w:rsidR="00A64428" w:rsidRPr="002D541D" w:rsidRDefault="00FD667F" w:rsidP="00736320">
            <w:pPr>
              <w:autoSpaceDE w:val="0"/>
              <w:autoSpaceDN w:val="0"/>
              <w:adjustRightInd w:val="0"/>
              <w:spacing w:after="120" w:line="360" w:lineRule="auto"/>
              <w:jc w:val="both"/>
              <w:rPr>
                <w:rFonts w:ascii="Garamond" w:hAnsi="Garamond"/>
                <w:sz w:val="18"/>
                <w:szCs w:val="22"/>
              </w:rPr>
            </w:pPr>
            <w:r w:rsidRPr="002D541D">
              <w:rPr>
                <w:rFonts w:ascii="Garamond" w:hAnsi="Garamond"/>
                <w:sz w:val="18"/>
                <w:szCs w:val="22"/>
              </w:rPr>
              <w:t xml:space="preserve">In the fourth quarter of 2017, interbank MM rates rose as compared to the previous quarter, tightly approaching the policy rate. At the same time, the US Federal Reserve System, further looking to the gradual tightening of monetary conditions, has lifted the federal funds rate by </w:t>
            </w:r>
            <w:r w:rsidR="00736320">
              <w:rPr>
                <w:rFonts w:ascii="Garamond" w:hAnsi="Garamond"/>
                <w:sz w:val="18"/>
                <w:szCs w:val="22"/>
              </w:rPr>
              <w:t xml:space="preserve">another </w:t>
            </w:r>
            <w:r w:rsidRPr="002D541D">
              <w:rPr>
                <w:rFonts w:ascii="Garamond" w:hAnsi="Garamond"/>
                <w:sz w:val="18"/>
                <w:szCs w:val="22"/>
              </w:rPr>
              <w:t xml:space="preserve">0.25 pp. On the back of domestic and external interest rate spread </w:t>
            </w:r>
            <w:r w:rsidR="00B11DDD" w:rsidRPr="002D541D">
              <w:rPr>
                <w:rFonts w:ascii="Garamond" w:hAnsi="Garamond"/>
                <w:sz w:val="18"/>
                <w:szCs w:val="22"/>
              </w:rPr>
              <w:t xml:space="preserve">as well as </w:t>
            </w:r>
            <w:r w:rsidR="0004339D" w:rsidRPr="002D541D">
              <w:rPr>
                <w:rFonts w:ascii="Garamond" w:hAnsi="Garamond"/>
                <w:sz w:val="18"/>
                <w:szCs w:val="22"/>
              </w:rPr>
              <w:t xml:space="preserve">reduced </w:t>
            </w:r>
            <w:r w:rsidR="00B11DDD" w:rsidRPr="002D541D">
              <w:rPr>
                <w:rFonts w:ascii="Garamond" w:hAnsi="Garamond"/>
                <w:sz w:val="18"/>
                <w:szCs w:val="22"/>
              </w:rPr>
              <w:t xml:space="preserve">country </w:t>
            </w:r>
            <w:r w:rsidRPr="002D541D">
              <w:rPr>
                <w:rFonts w:ascii="Garamond" w:hAnsi="Garamond"/>
                <w:sz w:val="18"/>
                <w:szCs w:val="22"/>
              </w:rPr>
              <w:t xml:space="preserve">risk premium </w:t>
            </w:r>
            <w:r w:rsidR="00B11DDD" w:rsidRPr="002D541D">
              <w:rPr>
                <w:rFonts w:ascii="Garamond" w:hAnsi="Garamond"/>
                <w:sz w:val="18"/>
                <w:szCs w:val="22"/>
              </w:rPr>
              <w:t xml:space="preserve">for Armenia, one could see minor </w:t>
            </w:r>
            <w:r w:rsidRPr="002D541D">
              <w:rPr>
                <w:rFonts w:ascii="Garamond" w:hAnsi="Garamond"/>
                <w:sz w:val="18"/>
                <w:szCs w:val="22"/>
              </w:rPr>
              <w:t>exchange rate</w:t>
            </w:r>
            <w:r w:rsidR="00B11DDD" w:rsidRPr="002D541D">
              <w:rPr>
                <w:rFonts w:ascii="Garamond" w:hAnsi="Garamond"/>
                <w:sz w:val="18"/>
                <w:szCs w:val="22"/>
              </w:rPr>
              <w:t xml:space="preserve"> apprecaition</w:t>
            </w:r>
            <w:r w:rsidR="00B11DDD" w:rsidRPr="002D541D">
              <w:rPr>
                <w:rStyle w:val="FootnoteReference"/>
                <w:rFonts w:ascii="Garamond" w:hAnsi="Garamond"/>
                <w:sz w:val="18"/>
                <w:szCs w:val="22"/>
              </w:rPr>
              <w:footnoteReference w:customMarkFollows="1" w:id="18"/>
              <w:t>21</w:t>
            </w:r>
            <w:r w:rsidRPr="002D541D">
              <w:rPr>
                <w:rFonts w:ascii="Garamond" w:hAnsi="Garamond"/>
                <w:sz w:val="18"/>
                <w:szCs w:val="22"/>
              </w:rPr>
              <w:t xml:space="preserve"> (</w:t>
            </w:r>
            <w:r w:rsidR="00736320">
              <w:rPr>
                <w:rFonts w:ascii="Garamond" w:hAnsi="Garamond"/>
                <w:sz w:val="18"/>
                <w:szCs w:val="22"/>
              </w:rPr>
              <w:t>seasonally-adjusted</w:t>
            </w:r>
            <w:r w:rsidRPr="002D541D">
              <w:rPr>
                <w:rFonts w:ascii="Garamond" w:hAnsi="Garamond"/>
                <w:sz w:val="18"/>
                <w:szCs w:val="22"/>
              </w:rPr>
              <w:t>)</w:t>
            </w:r>
            <w:r w:rsidR="00736320">
              <w:rPr>
                <w:rFonts w:ascii="Garamond" w:hAnsi="Garamond"/>
                <w:sz w:val="18"/>
                <w:szCs w:val="22"/>
              </w:rPr>
              <w:t xml:space="preserve"> </w:t>
            </w:r>
            <w:r w:rsidR="00736320" w:rsidRPr="002D541D">
              <w:rPr>
                <w:rFonts w:ascii="Garamond" w:hAnsi="Garamond"/>
                <w:sz w:val="18"/>
                <w:szCs w:val="22"/>
              </w:rPr>
              <w:t>pressures</w:t>
            </w:r>
            <w:r w:rsidR="0004339D" w:rsidRPr="002D541D">
              <w:rPr>
                <w:rFonts w:ascii="Garamond" w:hAnsi="Garamond"/>
                <w:sz w:val="18"/>
                <w:szCs w:val="22"/>
              </w:rPr>
              <w:t>,</w:t>
            </w:r>
            <w:r w:rsidRPr="002D541D">
              <w:rPr>
                <w:rFonts w:ascii="Garamond" w:hAnsi="Garamond"/>
                <w:sz w:val="18"/>
                <w:szCs w:val="22"/>
              </w:rPr>
              <w:t xml:space="preserve"> and the C</w:t>
            </w:r>
            <w:r w:rsidR="0004339D" w:rsidRPr="002D541D">
              <w:rPr>
                <w:rFonts w:ascii="Garamond" w:hAnsi="Garamond"/>
                <w:sz w:val="18"/>
                <w:szCs w:val="22"/>
              </w:rPr>
              <w:t xml:space="preserve">entral </w:t>
            </w:r>
            <w:r w:rsidRPr="002D541D">
              <w:rPr>
                <w:rFonts w:ascii="Garamond" w:hAnsi="Garamond"/>
                <w:sz w:val="18"/>
                <w:szCs w:val="22"/>
              </w:rPr>
              <w:t>B</w:t>
            </w:r>
            <w:r w:rsidR="0004339D" w:rsidRPr="002D541D">
              <w:rPr>
                <w:rFonts w:ascii="Garamond" w:hAnsi="Garamond"/>
                <w:sz w:val="18"/>
                <w:szCs w:val="22"/>
              </w:rPr>
              <w:t>ank</w:t>
            </w:r>
            <w:r w:rsidRPr="002D541D">
              <w:rPr>
                <w:rFonts w:ascii="Garamond" w:hAnsi="Garamond"/>
                <w:sz w:val="18"/>
                <w:szCs w:val="22"/>
              </w:rPr>
              <w:t xml:space="preserve"> </w:t>
            </w:r>
            <w:r w:rsidR="0004339D" w:rsidRPr="002D541D">
              <w:rPr>
                <w:rFonts w:ascii="Garamond" w:hAnsi="Garamond"/>
                <w:sz w:val="18"/>
                <w:szCs w:val="22"/>
              </w:rPr>
              <w:t>purchased about USD 5 million (net) from the foreign exchange market in order to absorb short-term volatilities caused by the Balance of Payments seasonality.</w:t>
            </w:r>
            <w:r w:rsidR="00836F28" w:rsidRPr="002D541D">
              <w:rPr>
                <w:rFonts w:ascii="Garamond" w:hAnsi="Garamond"/>
                <w:sz w:val="18"/>
                <w:szCs w:val="22"/>
              </w:rPr>
              <w:t xml:space="preserve"> </w:t>
            </w:r>
            <w:r w:rsidRPr="002D541D">
              <w:rPr>
                <w:rFonts w:ascii="Garamond" w:hAnsi="Garamond"/>
                <w:sz w:val="18"/>
                <w:szCs w:val="22"/>
              </w:rPr>
              <w:t xml:space="preserve">Under these conditions, the nominal exchange rate of the Armenian dram against the US dollar </w:t>
            </w:r>
            <w:r w:rsidR="00836F28" w:rsidRPr="002D541D">
              <w:rPr>
                <w:rFonts w:ascii="Garamond" w:hAnsi="Garamond"/>
                <w:sz w:val="18"/>
                <w:szCs w:val="22"/>
              </w:rPr>
              <w:t xml:space="preserve">behaved </w:t>
            </w:r>
            <w:r w:rsidRPr="002D541D">
              <w:rPr>
                <w:rFonts w:ascii="Garamond" w:hAnsi="Garamond"/>
                <w:sz w:val="18"/>
                <w:szCs w:val="22"/>
              </w:rPr>
              <w:t xml:space="preserve">mostly stable, depreciating </w:t>
            </w:r>
            <w:r w:rsidR="009250E6" w:rsidRPr="002D541D">
              <w:rPr>
                <w:rFonts w:ascii="Garamond" w:hAnsi="Garamond"/>
                <w:sz w:val="18"/>
                <w:szCs w:val="22"/>
              </w:rPr>
              <w:t xml:space="preserve">only by </w:t>
            </w:r>
            <w:r w:rsidRPr="002D541D">
              <w:rPr>
                <w:rFonts w:ascii="Garamond" w:hAnsi="Garamond"/>
                <w:sz w:val="18"/>
                <w:szCs w:val="22"/>
              </w:rPr>
              <w:t xml:space="preserve">1%. </w:t>
            </w:r>
            <w:r w:rsidR="00736320">
              <w:rPr>
                <w:rFonts w:ascii="Garamond" w:hAnsi="Garamond"/>
                <w:sz w:val="18"/>
                <w:szCs w:val="22"/>
              </w:rPr>
              <w:t>The</w:t>
            </w:r>
            <w:r w:rsidRPr="002D541D">
              <w:rPr>
                <w:rFonts w:ascii="Garamond" w:hAnsi="Garamond"/>
                <w:sz w:val="18"/>
                <w:szCs w:val="22"/>
              </w:rPr>
              <w:t xml:space="preserve"> </w:t>
            </w:r>
            <w:r w:rsidR="006A541E" w:rsidRPr="002D541D">
              <w:rPr>
                <w:rFonts w:ascii="Garamond" w:hAnsi="Garamond"/>
                <w:sz w:val="18"/>
                <w:szCs w:val="22"/>
              </w:rPr>
              <w:t xml:space="preserve">trade partners’ currencies have also depreciated versus </w:t>
            </w:r>
            <w:r w:rsidRPr="002D541D">
              <w:rPr>
                <w:rFonts w:ascii="Garamond" w:hAnsi="Garamond"/>
                <w:sz w:val="18"/>
                <w:szCs w:val="22"/>
              </w:rPr>
              <w:t xml:space="preserve">the US dollar </w:t>
            </w:r>
            <w:r w:rsidR="006A541E" w:rsidRPr="002D541D">
              <w:rPr>
                <w:rFonts w:ascii="Garamond" w:hAnsi="Garamond"/>
                <w:sz w:val="18"/>
                <w:szCs w:val="22"/>
              </w:rPr>
              <w:t xml:space="preserve">generally, </w:t>
            </w:r>
            <w:r w:rsidR="009250E6" w:rsidRPr="002D541D">
              <w:rPr>
                <w:rFonts w:ascii="Garamond" w:hAnsi="Garamond"/>
                <w:sz w:val="18"/>
                <w:szCs w:val="22"/>
              </w:rPr>
              <w:t>totally offsetting depreciation of</w:t>
            </w:r>
            <w:r w:rsidRPr="002D541D">
              <w:rPr>
                <w:rFonts w:ascii="Garamond" w:hAnsi="Garamond"/>
                <w:sz w:val="18"/>
                <w:szCs w:val="22"/>
              </w:rPr>
              <w:t xml:space="preserve"> </w:t>
            </w:r>
            <w:r w:rsidR="00736320">
              <w:rPr>
                <w:rFonts w:ascii="Garamond" w:hAnsi="Garamond"/>
                <w:sz w:val="18"/>
                <w:szCs w:val="22"/>
              </w:rPr>
              <w:t xml:space="preserve">AMD </w:t>
            </w:r>
            <w:r w:rsidRPr="002D541D">
              <w:rPr>
                <w:rFonts w:ascii="Garamond" w:hAnsi="Garamond"/>
                <w:sz w:val="18"/>
                <w:szCs w:val="22"/>
              </w:rPr>
              <w:t>against the US dollar</w:t>
            </w:r>
            <w:r w:rsidR="00736320">
              <w:rPr>
                <w:rFonts w:ascii="Garamond" w:hAnsi="Garamond"/>
                <w:sz w:val="18"/>
                <w:szCs w:val="22"/>
              </w:rPr>
              <w:t>, so</w:t>
            </w:r>
            <w:r w:rsidR="00736320" w:rsidRPr="002D541D">
              <w:rPr>
                <w:rFonts w:ascii="Garamond" w:hAnsi="Garamond"/>
                <w:sz w:val="18"/>
                <w:szCs w:val="22"/>
              </w:rPr>
              <w:t xml:space="preserve"> </w:t>
            </w:r>
            <w:r w:rsidR="00736320">
              <w:rPr>
                <w:rFonts w:ascii="Garamond" w:hAnsi="Garamond"/>
                <w:sz w:val="18"/>
                <w:szCs w:val="22"/>
              </w:rPr>
              <w:t>i</w:t>
            </w:r>
            <w:r w:rsidR="00736320" w:rsidRPr="002D541D">
              <w:rPr>
                <w:rFonts w:ascii="Garamond" w:hAnsi="Garamond"/>
                <w:sz w:val="18"/>
                <w:szCs w:val="22"/>
              </w:rPr>
              <w:t xml:space="preserve">n </w:t>
            </w:r>
            <w:r w:rsidR="009250E6" w:rsidRPr="002D541D">
              <w:rPr>
                <w:rFonts w:ascii="Garamond" w:hAnsi="Garamond"/>
                <w:sz w:val="18"/>
                <w:szCs w:val="22"/>
              </w:rPr>
              <w:t>the fourth quarter of 2017, t</w:t>
            </w:r>
            <w:r w:rsidRPr="002D541D">
              <w:rPr>
                <w:rFonts w:ascii="Garamond" w:hAnsi="Garamond"/>
                <w:sz w:val="18"/>
                <w:szCs w:val="22"/>
              </w:rPr>
              <w:t>he nominal effective exchange rate of the Armenian dram remained at the previous quarter</w:t>
            </w:r>
            <w:r w:rsidR="009250E6" w:rsidRPr="002D541D">
              <w:rPr>
                <w:rFonts w:ascii="Garamond" w:hAnsi="Garamond"/>
                <w:sz w:val="18"/>
                <w:szCs w:val="22"/>
              </w:rPr>
              <w:t>’s level</w:t>
            </w:r>
            <w:r w:rsidRPr="002D541D">
              <w:rPr>
                <w:rFonts w:ascii="Garamond" w:hAnsi="Garamond"/>
                <w:sz w:val="18"/>
                <w:szCs w:val="22"/>
              </w:rPr>
              <w:t xml:space="preserve"> (</w:t>
            </w:r>
            <w:r w:rsidR="009250E6" w:rsidRPr="002D541D">
              <w:rPr>
                <w:rFonts w:ascii="Garamond" w:hAnsi="Garamond"/>
                <w:sz w:val="18"/>
                <w:szCs w:val="22"/>
              </w:rPr>
              <w:t>appreciating merely by</w:t>
            </w:r>
            <w:r w:rsidRPr="002D541D">
              <w:rPr>
                <w:rFonts w:ascii="Garamond" w:hAnsi="Garamond"/>
                <w:sz w:val="18"/>
                <w:szCs w:val="22"/>
              </w:rPr>
              <w:t xml:space="preserve"> 0.1%). </w:t>
            </w:r>
            <w:r w:rsidR="009250E6" w:rsidRPr="002D541D">
              <w:rPr>
                <w:rFonts w:ascii="Garamond" w:hAnsi="Garamond"/>
                <w:sz w:val="18"/>
                <w:szCs w:val="22"/>
              </w:rPr>
              <w:t>On the back of a stable nominal e</w:t>
            </w:r>
            <w:r w:rsidRPr="002D541D">
              <w:rPr>
                <w:rFonts w:ascii="Garamond" w:hAnsi="Garamond"/>
                <w:sz w:val="18"/>
                <w:szCs w:val="22"/>
              </w:rPr>
              <w:t>ffective exchange rate</w:t>
            </w:r>
            <w:r w:rsidR="009250E6" w:rsidRPr="002D541D">
              <w:rPr>
                <w:rFonts w:ascii="Garamond" w:hAnsi="Garamond"/>
                <w:sz w:val="18"/>
                <w:szCs w:val="22"/>
              </w:rPr>
              <w:t xml:space="preserve">, </w:t>
            </w:r>
            <w:r w:rsidRPr="002D541D">
              <w:rPr>
                <w:rFonts w:ascii="Garamond" w:hAnsi="Garamond"/>
                <w:sz w:val="18"/>
                <w:szCs w:val="22"/>
              </w:rPr>
              <w:t xml:space="preserve">the real effective exchange rate </w:t>
            </w:r>
            <w:r w:rsidR="009250E6" w:rsidRPr="002D541D">
              <w:rPr>
                <w:rFonts w:ascii="Garamond" w:hAnsi="Garamond"/>
                <w:sz w:val="18"/>
                <w:szCs w:val="22"/>
              </w:rPr>
              <w:t xml:space="preserve">has appreciated by </w:t>
            </w:r>
            <w:r w:rsidRPr="002D541D">
              <w:rPr>
                <w:rFonts w:ascii="Garamond" w:hAnsi="Garamond"/>
                <w:sz w:val="18"/>
                <w:szCs w:val="22"/>
              </w:rPr>
              <w:t xml:space="preserve">about 1.5% due to acceleration of inflation rates in </w:t>
            </w:r>
            <w:r w:rsidR="009250E6" w:rsidRPr="002D541D">
              <w:rPr>
                <w:rFonts w:ascii="Garamond" w:hAnsi="Garamond"/>
                <w:sz w:val="18"/>
                <w:szCs w:val="22"/>
              </w:rPr>
              <w:t xml:space="preserve">the </w:t>
            </w:r>
            <w:r w:rsidRPr="002D541D">
              <w:rPr>
                <w:rFonts w:ascii="Garamond" w:hAnsi="Garamond"/>
                <w:sz w:val="18"/>
                <w:szCs w:val="22"/>
              </w:rPr>
              <w:t>Armenia</w:t>
            </w:r>
            <w:r w:rsidR="009250E6" w:rsidRPr="002D541D">
              <w:rPr>
                <w:rFonts w:ascii="Garamond" w:hAnsi="Garamond"/>
                <w:sz w:val="18"/>
                <w:szCs w:val="22"/>
              </w:rPr>
              <w:t xml:space="preserve">n </w:t>
            </w:r>
            <w:r w:rsidRPr="002D541D">
              <w:rPr>
                <w:rFonts w:ascii="Garamond" w:hAnsi="Garamond"/>
                <w:sz w:val="18"/>
                <w:szCs w:val="22"/>
              </w:rPr>
              <w:t xml:space="preserve">economy </w:t>
            </w:r>
            <w:r w:rsidR="009250E6" w:rsidRPr="002D541D">
              <w:rPr>
                <w:rFonts w:ascii="Garamond" w:hAnsi="Garamond"/>
                <w:sz w:val="18"/>
                <w:szCs w:val="22"/>
              </w:rPr>
              <w:t xml:space="preserve">relative to </w:t>
            </w:r>
            <w:r w:rsidRPr="002D541D">
              <w:rPr>
                <w:rFonts w:ascii="Garamond" w:hAnsi="Garamond"/>
                <w:sz w:val="18"/>
                <w:szCs w:val="22"/>
              </w:rPr>
              <w:t>the previous quarter.</w:t>
            </w:r>
          </w:p>
        </w:tc>
      </w:tr>
    </w:tbl>
    <w:p w14:paraId="35B577F6" w14:textId="77777777" w:rsidR="00A64428" w:rsidRPr="00626752" w:rsidRDefault="00A64428" w:rsidP="00A64428">
      <w:pPr>
        <w:spacing w:line="360" w:lineRule="auto"/>
        <w:jc w:val="both"/>
        <w:rPr>
          <w:rFonts w:ascii="Garamond" w:hAnsi="Garamond"/>
          <w:b/>
          <w:sz w:val="22"/>
          <w:szCs w:val="22"/>
        </w:rPr>
      </w:pPr>
    </w:p>
    <w:p w14:paraId="0DC7E59F" w14:textId="77777777" w:rsidR="00A64428" w:rsidRDefault="00C41D92"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Yields </w:t>
      </w:r>
      <w:r w:rsidR="00AF7EA6" w:rsidRPr="00AF7EA6">
        <w:rPr>
          <w:rFonts w:ascii="Garamond" w:hAnsi="Garamond"/>
          <w:sz w:val="22"/>
          <w:szCs w:val="22"/>
        </w:rPr>
        <w:t xml:space="preserve">in the government bond market </w:t>
      </w:r>
      <w:r>
        <w:rPr>
          <w:rFonts w:ascii="Garamond" w:hAnsi="Garamond"/>
          <w:sz w:val="22"/>
          <w:szCs w:val="22"/>
        </w:rPr>
        <w:t>further trended down over the quarter</w:t>
      </w:r>
      <w:r w:rsidR="00AF7EA6" w:rsidRPr="00AF7EA6">
        <w:rPr>
          <w:rFonts w:ascii="Garamond" w:hAnsi="Garamond"/>
          <w:sz w:val="22"/>
          <w:szCs w:val="22"/>
        </w:rPr>
        <w:t xml:space="preserve">, which </w:t>
      </w:r>
      <w:r>
        <w:rPr>
          <w:rFonts w:ascii="Garamond" w:hAnsi="Garamond"/>
          <w:sz w:val="22"/>
          <w:szCs w:val="22"/>
        </w:rPr>
        <w:t xml:space="preserve">was </w:t>
      </w:r>
      <w:r w:rsidR="00AF7EA6" w:rsidRPr="00AF7EA6">
        <w:rPr>
          <w:rFonts w:ascii="Garamond" w:hAnsi="Garamond"/>
          <w:sz w:val="22"/>
          <w:szCs w:val="22"/>
        </w:rPr>
        <w:t xml:space="preserve">also </w:t>
      </w:r>
      <w:r>
        <w:rPr>
          <w:rFonts w:ascii="Garamond" w:hAnsi="Garamond"/>
          <w:sz w:val="22"/>
          <w:szCs w:val="22"/>
        </w:rPr>
        <w:t xml:space="preserve">driven by </w:t>
      </w:r>
      <w:r w:rsidR="00AF7EA6" w:rsidRPr="00AF7EA6">
        <w:rPr>
          <w:rFonts w:ascii="Garamond" w:hAnsi="Garamond"/>
          <w:sz w:val="22"/>
          <w:szCs w:val="22"/>
        </w:rPr>
        <w:t>reduc</w:t>
      </w:r>
      <w:r>
        <w:rPr>
          <w:rFonts w:ascii="Garamond" w:hAnsi="Garamond"/>
          <w:sz w:val="22"/>
          <w:szCs w:val="22"/>
        </w:rPr>
        <w:t xml:space="preserve">ed </w:t>
      </w:r>
      <w:r w:rsidR="00AF7EA6" w:rsidRPr="00AF7EA6">
        <w:rPr>
          <w:rFonts w:ascii="Garamond" w:hAnsi="Garamond"/>
          <w:sz w:val="22"/>
          <w:szCs w:val="22"/>
        </w:rPr>
        <w:t xml:space="preserve">volumes of </w:t>
      </w:r>
      <w:r>
        <w:rPr>
          <w:rFonts w:ascii="Garamond" w:hAnsi="Garamond"/>
          <w:sz w:val="22"/>
          <w:szCs w:val="22"/>
        </w:rPr>
        <w:t>issuance</w:t>
      </w:r>
      <w:r w:rsidR="00AF7EA6" w:rsidRPr="00AF7EA6">
        <w:rPr>
          <w:rFonts w:ascii="Garamond" w:hAnsi="Garamond"/>
          <w:sz w:val="22"/>
          <w:szCs w:val="22"/>
        </w:rPr>
        <w:t xml:space="preserve">. </w:t>
      </w:r>
      <w:r w:rsidR="00827912">
        <w:rPr>
          <w:rFonts w:ascii="Garamond" w:hAnsi="Garamond"/>
          <w:sz w:val="22"/>
          <w:szCs w:val="22"/>
        </w:rPr>
        <w:t>T</w:t>
      </w:r>
      <w:r w:rsidR="00AF7EA6" w:rsidRPr="00AF7EA6">
        <w:rPr>
          <w:rFonts w:ascii="Garamond" w:hAnsi="Garamond"/>
          <w:sz w:val="22"/>
          <w:szCs w:val="22"/>
        </w:rPr>
        <w:t xml:space="preserve">he average quarterly </w:t>
      </w:r>
      <w:r w:rsidR="00827912">
        <w:rPr>
          <w:rFonts w:ascii="Garamond" w:hAnsi="Garamond"/>
          <w:sz w:val="22"/>
          <w:szCs w:val="22"/>
        </w:rPr>
        <w:t xml:space="preserve">yield </w:t>
      </w:r>
      <w:r w:rsidR="00AF7EA6" w:rsidRPr="00AF7EA6">
        <w:rPr>
          <w:rFonts w:ascii="Garamond" w:hAnsi="Garamond"/>
          <w:sz w:val="22"/>
          <w:szCs w:val="22"/>
        </w:rPr>
        <w:t>in t</w:t>
      </w:r>
      <w:r w:rsidR="00827912">
        <w:rPr>
          <w:rFonts w:ascii="Garamond" w:hAnsi="Garamond"/>
          <w:sz w:val="22"/>
          <w:szCs w:val="22"/>
        </w:rPr>
        <w:t xml:space="preserve">he primary market of short-term </w:t>
      </w:r>
      <w:r w:rsidR="00AF7EA6" w:rsidRPr="00AF7EA6">
        <w:rPr>
          <w:rFonts w:ascii="Garamond" w:hAnsi="Garamond"/>
          <w:sz w:val="22"/>
          <w:szCs w:val="22"/>
        </w:rPr>
        <w:t xml:space="preserve">bonds </w:t>
      </w:r>
      <w:r w:rsidR="00827912">
        <w:rPr>
          <w:rFonts w:ascii="Garamond" w:hAnsi="Garamond"/>
          <w:sz w:val="22"/>
          <w:szCs w:val="22"/>
        </w:rPr>
        <w:t xml:space="preserve">has dropped by </w:t>
      </w:r>
      <w:r w:rsidR="00AF7EA6" w:rsidRPr="00AF7EA6">
        <w:rPr>
          <w:rFonts w:ascii="Garamond" w:hAnsi="Garamond"/>
          <w:sz w:val="22"/>
          <w:szCs w:val="22"/>
        </w:rPr>
        <w:t>0.25 p</w:t>
      </w:r>
      <w:r w:rsidR="00827912">
        <w:rPr>
          <w:rFonts w:ascii="Garamond" w:hAnsi="Garamond"/>
          <w:sz w:val="22"/>
          <w:szCs w:val="22"/>
        </w:rPr>
        <w:t>p</w:t>
      </w:r>
      <w:r w:rsidR="00AF7EA6" w:rsidRPr="00AF7EA6">
        <w:rPr>
          <w:rFonts w:ascii="Garamond" w:hAnsi="Garamond"/>
          <w:sz w:val="22"/>
          <w:szCs w:val="22"/>
        </w:rPr>
        <w:t xml:space="preserve">. The </w:t>
      </w:r>
      <w:r w:rsidR="00827912">
        <w:rPr>
          <w:rFonts w:ascii="Garamond" w:hAnsi="Garamond"/>
          <w:sz w:val="22"/>
          <w:szCs w:val="22"/>
        </w:rPr>
        <w:t xml:space="preserve">average </w:t>
      </w:r>
      <w:r w:rsidR="00AF7EA6" w:rsidRPr="00AF7EA6">
        <w:rPr>
          <w:rFonts w:ascii="Garamond" w:hAnsi="Garamond"/>
          <w:sz w:val="22"/>
          <w:szCs w:val="22"/>
        </w:rPr>
        <w:t xml:space="preserve">yield of mid-term and long-term bonds has </w:t>
      </w:r>
      <w:r w:rsidR="00827912">
        <w:rPr>
          <w:rFonts w:ascii="Garamond" w:hAnsi="Garamond"/>
          <w:sz w:val="22"/>
          <w:szCs w:val="22"/>
        </w:rPr>
        <w:t xml:space="preserve">reduced </w:t>
      </w:r>
      <w:r w:rsidR="00AF7EA6" w:rsidRPr="00AF7EA6">
        <w:rPr>
          <w:rFonts w:ascii="Garamond" w:hAnsi="Garamond"/>
          <w:sz w:val="22"/>
          <w:szCs w:val="22"/>
        </w:rPr>
        <w:t>to a greater extent, reflect</w:t>
      </w:r>
      <w:r w:rsidR="00827912">
        <w:rPr>
          <w:rFonts w:ascii="Garamond" w:hAnsi="Garamond"/>
          <w:sz w:val="22"/>
          <w:szCs w:val="22"/>
        </w:rPr>
        <w:t>ing</w:t>
      </w:r>
      <w:r w:rsidR="00AF7EA6" w:rsidRPr="00AF7EA6">
        <w:rPr>
          <w:rFonts w:ascii="Garamond" w:hAnsi="Garamond"/>
          <w:sz w:val="22"/>
          <w:szCs w:val="22"/>
        </w:rPr>
        <w:t xml:space="preserve"> </w:t>
      </w:r>
      <w:r w:rsidR="00827912">
        <w:rPr>
          <w:rFonts w:ascii="Garamond" w:hAnsi="Garamond"/>
          <w:sz w:val="22"/>
          <w:szCs w:val="22"/>
        </w:rPr>
        <w:t xml:space="preserve">the </w:t>
      </w:r>
      <w:r w:rsidR="00AF7EA6" w:rsidRPr="00AF7EA6">
        <w:rPr>
          <w:rFonts w:ascii="Garamond" w:hAnsi="Garamond"/>
          <w:sz w:val="22"/>
          <w:szCs w:val="22"/>
        </w:rPr>
        <w:t>yield</w:t>
      </w:r>
      <w:r w:rsidR="00827912">
        <w:rPr>
          <w:rFonts w:ascii="Garamond" w:hAnsi="Garamond"/>
          <w:sz w:val="22"/>
          <w:szCs w:val="22"/>
        </w:rPr>
        <w:t xml:space="preserve"> curve</w:t>
      </w:r>
      <w:r w:rsidR="00637B52">
        <w:rPr>
          <w:rFonts w:ascii="Garamond" w:hAnsi="Garamond"/>
          <w:sz w:val="22"/>
          <w:szCs w:val="22"/>
        </w:rPr>
        <w:t xml:space="preserve"> of bonds – in late December, relative to late September, t</w:t>
      </w:r>
      <w:r w:rsidR="00AF7EA6" w:rsidRPr="00AF7EA6">
        <w:rPr>
          <w:rFonts w:ascii="Garamond" w:hAnsi="Garamond"/>
          <w:sz w:val="22"/>
          <w:szCs w:val="22"/>
        </w:rPr>
        <w:t xml:space="preserve">he yield curve (long term interest rate) </w:t>
      </w:r>
      <w:r w:rsidR="00637B52">
        <w:rPr>
          <w:rFonts w:ascii="Garamond" w:hAnsi="Garamond"/>
          <w:sz w:val="22"/>
          <w:szCs w:val="22"/>
        </w:rPr>
        <w:t xml:space="preserve">has </w:t>
      </w:r>
      <w:r w:rsidR="00AF7EA6" w:rsidRPr="00AF7EA6">
        <w:rPr>
          <w:rFonts w:ascii="Garamond" w:hAnsi="Garamond"/>
          <w:sz w:val="22"/>
          <w:szCs w:val="22"/>
        </w:rPr>
        <w:t>declined by 0.46 p</w:t>
      </w:r>
      <w:r w:rsidR="00637B52">
        <w:rPr>
          <w:rFonts w:ascii="Garamond" w:hAnsi="Garamond"/>
          <w:sz w:val="22"/>
          <w:szCs w:val="22"/>
        </w:rPr>
        <w:t>p</w:t>
      </w:r>
      <w:r w:rsidR="00AF7EA6" w:rsidRPr="00AF7EA6">
        <w:rPr>
          <w:rFonts w:ascii="Garamond" w:hAnsi="Garamond"/>
          <w:sz w:val="22"/>
          <w:szCs w:val="22"/>
        </w:rPr>
        <w:t>.</w:t>
      </w:r>
    </w:p>
    <w:p w14:paraId="48C0C2A7" w14:textId="77777777" w:rsidR="00964076" w:rsidRDefault="00964076" w:rsidP="00B178C0">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 xml:space="preserve">Expansionary </w:t>
      </w:r>
      <w:r w:rsidRPr="00964076">
        <w:rPr>
          <w:rFonts w:ascii="Garamond" w:hAnsi="Garamond"/>
          <w:sz w:val="22"/>
          <w:szCs w:val="22"/>
        </w:rPr>
        <w:t>monetary policy</w:t>
      </w:r>
      <w:r>
        <w:rPr>
          <w:rFonts w:ascii="Garamond" w:hAnsi="Garamond"/>
          <w:sz w:val="22"/>
          <w:szCs w:val="22"/>
        </w:rPr>
        <w:t xml:space="preserve"> implementation </w:t>
      </w:r>
      <w:r w:rsidRPr="00964076">
        <w:rPr>
          <w:rFonts w:ascii="Garamond" w:hAnsi="Garamond"/>
          <w:sz w:val="22"/>
          <w:szCs w:val="22"/>
        </w:rPr>
        <w:t xml:space="preserve">by the Central Bank, competition between financial organizations and </w:t>
      </w:r>
      <w:r>
        <w:rPr>
          <w:rFonts w:ascii="Garamond" w:hAnsi="Garamond"/>
          <w:sz w:val="22"/>
          <w:szCs w:val="22"/>
        </w:rPr>
        <w:t xml:space="preserve">existing liquidity in the banking system further contributed to </w:t>
      </w:r>
      <w:r w:rsidRPr="00964076">
        <w:rPr>
          <w:rFonts w:ascii="Garamond" w:hAnsi="Garamond"/>
          <w:sz w:val="22"/>
          <w:szCs w:val="22"/>
        </w:rPr>
        <w:t xml:space="preserve">the increase in the volume of funds attracted and </w:t>
      </w:r>
      <w:r>
        <w:rPr>
          <w:rFonts w:ascii="Garamond" w:hAnsi="Garamond"/>
          <w:sz w:val="22"/>
          <w:szCs w:val="22"/>
        </w:rPr>
        <w:t>allocated b</w:t>
      </w:r>
      <w:r w:rsidRPr="00964076">
        <w:rPr>
          <w:rFonts w:ascii="Garamond" w:hAnsi="Garamond"/>
          <w:sz w:val="22"/>
          <w:szCs w:val="22"/>
        </w:rPr>
        <w:t xml:space="preserve">y commercial banks and </w:t>
      </w:r>
      <w:r>
        <w:rPr>
          <w:rFonts w:ascii="Garamond" w:hAnsi="Garamond"/>
          <w:sz w:val="22"/>
          <w:szCs w:val="22"/>
        </w:rPr>
        <w:t xml:space="preserve">to </w:t>
      </w:r>
      <w:r w:rsidRPr="00964076">
        <w:rPr>
          <w:rFonts w:ascii="Garamond" w:hAnsi="Garamond"/>
          <w:sz w:val="22"/>
          <w:szCs w:val="22"/>
        </w:rPr>
        <w:t>the reduction of interest rates</w:t>
      </w:r>
      <w:r>
        <w:rPr>
          <w:rFonts w:ascii="Garamond" w:hAnsi="Garamond"/>
          <w:sz w:val="22"/>
          <w:szCs w:val="22"/>
        </w:rPr>
        <w:t xml:space="preserve"> over the fourth quarter of 2017</w:t>
      </w:r>
      <w:r w:rsidRPr="00964076">
        <w:rPr>
          <w:rFonts w:ascii="Garamond" w:hAnsi="Garamond"/>
          <w:sz w:val="22"/>
          <w:szCs w:val="22"/>
        </w:rPr>
        <w:t>.</w:t>
      </w:r>
    </w:p>
    <w:p w14:paraId="25F85BDC" w14:textId="77777777" w:rsidR="00964076" w:rsidRDefault="00964076" w:rsidP="00B178C0">
      <w:pPr>
        <w:autoSpaceDE w:val="0"/>
        <w:autoSpaceDN w:val="0"/>
        <w:adjustRightInd w:val="0"/>
        <w:spacing w:after="120" w:line="360" w:lineRule="auto"/>
        <w:jc w:val="both"/>
        <w:rPr>
          <w:rFonts w:ascii="Garamond" w:hAnsi="Garamond"/>
          <w:sz w:val="22"/>
          <w:szCs w:val="22"/>
        </w:rPr>
      </w:pPr>
      <w:r w:rsidRPr="00964076">
        <w:rPr>
          <w:rFonts w:ascii="Garamond" w:hAnsi="Garamond"/>
          <w:b/>
          <w:sz w:val="22"/>
          <w:szCs w:val="22"/>
        </w:rPr>
        <w:t xml:space="preserve">Despite the decrease in interest rates, the </w:t>
      </w:r>
      <w:r>
        <w:rPr>
          <w:rFonts w:ascii="Garamond" w:hAnsi="Garamond"/>
          <w:b/>
          <w:sz w:val="22"/>
          <w:szCs w:val="22"/>
        </w:rPr>
        <w:t xml:space="preserve">volume of </w:t>
      </w:r>
      <w:r w:rsidRPr="00964076">
        <w:rPr>
          <w:rFonts w:ascii="Garamond" w:hAnsi="Garamond"/>
          <w:b/>
          <w:sz w:val="22"/>
          <w:szCs w:val="22"/>
        </w:rPr>
        <w:t xml:space="preserve">attracted funds continued </w:t>
      </w:r>
      <w:r>
        <w:rPr>
          <w:rFonts w:ascii="Garamond" w:hAnsi="Garamond"/>
          <w:b/>
          <w:sz w:val="22"/>
          <w:szCs w:val="22"/>
        </w:rPr>
        <w:t>growing during the quarter</w:t>
      </w:r>
      <w:r w:rsidRPr="00964076">
        <w:rPr>
          <w:rFonts w:ascii="Garamond" w:hAnsi="Garamond"/>
          <w:b/>
          <w:sz w:val="22"/>
          <w:szCs w:val="22"/>
        </w:rPr>
        <w:t xml:space="preserve">. </w:t>
      </w:r>
      <w:r>
        <w:rPr>
          <w:rFonts w:ascii="Garamond" w:hAnsi="Garamond"/>
          <w:sz w:val="22"/>
          <w:szCs w:val="22"/>
        </w:rPr>
        <w:t>D</w:t>
      </w:r>
      <w:r w:rsidRPr="00964076">
        <w:rPr>
          <w:rFonts w:ascii="Garamond" w:hAnsi="Garamond"/>
          <w:sz w:val="22"/>
          <w:szCs w:val="22"/>
        </w:rPr>
        <w:t xml:space="preserve">ram deposits </w:t>
      </w:r>
      <w:r>
        <w:rPr>
          <w:rFonts w:ascii="Garamond" w:hAnsi="Garamond"/>
          <w:sz w:val="22"/>
          <w:szCs w:val="22"/>
        </w:rPr>
        <w:t>have grown by 15.5%</w:t>
      </w:r>
      <w:r w:rsidRPr="00964076">
        <w:rPr>
          <w:rFonts w:ascii="Garamond" w:hAnsi="Garamond"/>
          <w:sz w:val="22"/>
          <w:szCs w:val="22"/>
        </w:rPr>
        <w:t xml:space="preserve"> and foreign currency deposits</w:t>
      </w:r>
      <w:r>
        <w:rPr>
          <w:rFonts w:ascii="Garamond" w:hAnsi="Garamond"/>
          <w:sz w:val="22"/>
          <w:szCs w:val="22"/>
        </w:rPr>
        <w:t xml:space="preserve">, by </w:t>
      </w:r>
      <w:r w:rsidRPr="00964076">
        <w:rPr>
          <w:rFonts w:ascii="Garamond" w:hAnsi="Garamond"/>
          <w:sz w:val="22"/>
          <w:szCs w:val="22"/>
        </w:rPr>
        <w:t>4.3%.</w:t>
      </w:r>
      <w:r>
        <w:rPr>
          <w:rFonts w:ascii="Garamond" w:hAnsi="Garamond"/>
          <w:sz w:val="22"/>
          <w:szCs w:val="22"/>
        </w:rPr>
        <w:t xml:space="preserve"> </w:t>
      </w:r>
      <w:r w:rsidRPr="00964076">
        <w:rPr>
          <w:rFonts w:ascii="Garamond" w:hAnsi="Garamond"/>
          <w:sz w:val="22"/>
          <w:szCs w:val="22"/>
        </w:rPr>
        <w:t>The level of dollarization</w:t>
      </w:r>
      <w:r>
        <w:rPr>
          <w:rFonts w:ascii="Garamond" w:hAnsi="Garamond"/>
          <w:sz w:val="22"/>
          <w:szCs w:val="22"/>
        </w:rPr>
        <w:t xml:space="preserve"> – the </w:t>
      </w:r>
      <w:r w:rsidRPr="00964076">
        <w:rPr>
          <w:rFonts w:ascii="Garamond" w:hAnsi="Garamond"/>
          <w:sz w:val="22"/>
          <w:szCs w:val="22"/>
        </w:rPr>
        <w:t xml:space="preserve">ratio of foreign currency deposits </w:t>
      </w:r>
      <w:r>
        <w:rPr>
          <w:rFonts w:ascii="Garamond" w:hAnsi="Garamond"/>
          <w:sz w:val="22"/>
          <w:szCs w:val="22"/>
        </w:rPr>
        <w:t xml:space="preserve">to </w:t>
      </w:r>
      <w:r w:rsidRPr="00964076">
        <w:rPr>
          <w:rFonts w:ascii="Garamond" w:hAnsi="Garamond"/>
          <w:sz w:val="22"/>
          <w:szCs w:val="22"/>
        </w:rPr>
        <w:t xml:space="preserve">total deposits </w:t>
      </w:r>
      <w:r>
        <w:rPr>
          <w:rFonts w:ascii="Garamond" w:hAnsi="Garamond"/>
          <w:sz w:val="22"/>
          <w:szCs w:val="22"/>
        </w:rPr>
        <w:t xml:space="preserve">– has reached </w:t>
      </w:r>
      <w:r w:rsidRPr="00964076">
        <w:rPr>
          <w:rFonts w:ascii="Garamond" w:hAnsi="Garamond"/>
          <w:sz w:val="22"/>
          <w:szCs w:val="22"/>
        </w:rPr>
        <w:t>55.2%, dropping by 1.8 p</w:t>
      </w:r>
      <w:r w:rsidR="002A38BF">
        <w:rPr>
          <w:rFonts w:ascii="Garamond" w:hAnsi="Garamond"/>
          <w:sz w:val="22"/>
          <w:szCs w:val="22"/>
        </w:rPr>
        <w:t xml:space="preserve">p </w:t>
      </w:r>
      <w:r w:rsidRPr="00964076">
        <w:rPr>
          <w:rFonts w:ascii="Garamond" w:hAnsi="Garamond"/>
          <w:sz w:val="22"/>
          <w:szCs w:val="22"/>
        </w:rPr>
        <w:t>compared to the previous quarter.</w:t>
      </w:r>
    </w:p>
    <w:p w14:paraId="43E8BC92" w14:textId="77777777" w:rsidR="002A38BF" w:rsidRDefault="002A38BF" w:rsidP="00B178C0">
      <w:pPr>
        <w:autoSpaceDE w:val="0"/>
        <w:autoSpaceDN w:val="0"/>
        <w:adjustRightInd w:val="0"/>
        <w:spacing w:after="120" w:line="360" w:lineRule="auto"/>
        <w:jc w:val="both"/>
        <w:rPr>
          <w:rFonts w:ascii="Garamond" w:hAnsi="Garamond"/>
          <w:sz w:val="22"/>
          <w:szCs w:val="22"/>
        </w:rPr>
      </w:pPr>
      <w:r w:rsidRPr="002A38BF">
        <w:rPr>
          <w:rFonts w:ascii="Garamond" w:hAnsi="Garamond"/>
          <w:sz w:val="22"/>
          <w:szCs w:val="22"/>
        </w:rPr>
        <w:t xml:space="preserve">The growth of </w:t>
      </w:r>
      <w:r>
        <w:rPr>
          <w:rFonts w:ascii="Garamond" w:hAnsi="Garamond"/>
          <w:sz w:val="22"/>
          <w:szCs w:val="22"/>
        </w:rPr>
        <w:t xml:space="preserve">lending </w:t>
      </w:r>
      <w:r w:rsidRPr="002A38BF">
        <w:rPr>
          <w:rFonts w:ascii="Garamond" w:hAnsi="Garamond"/>
          <w:sz w:val="22"/>
          <w:szCs w:val="22"/>
        </w:rPr>
        <w:t>continued</w:t>
      </w:r>
      <w:r>
        <w:rPr>
          <w:rFonts w:ascii="Garamond" w:hAnsi="Garamond"/>
          <w:sz w:val="22"/>
          <w:szCs w:val="22"/>
        </w:rPr>
        <w:t xml:space="preserve"> during the quarter</w:t>
      </w:r>
      <w:r w:rsidRPr="002A38BF">
        <w:rPr>
          <w:rFonts w:ascii="Garamond" w:hAnsi="Garamond"/>
          <w:sz w:val="22"/>
          <w:szCs w:val="22"/>
        </w:rPr>
        <w:t xml:space="preserve">. </w:t>
      </w:r>
      <w:r>
        <w:rPr>
          <w:rFonts w:ascii="Garamond" w:hAnsi="Garamond"/>
          <w:sz w:val="22"/>
          <w:szCs w:val="22"/>
        </w:rPr>
        <w:t>With interest rates reducing, lending terms and procedures further improving, t</w:t>
      </w:r>
      <w:r w:rsidRPr="002A38BF">
        <w:rPr>
          <w:rFonts w:ascii="Garamond" w:hAnsi="Garamond"/>
          <w:sz w:val="22"/>
          <w:szCs w:val="22"/>
        </w:rPr>
        <w:t xml:space="preserve">he growth of lending </w:t>
      </w:r>
      <w:r>
        <w:rPr>
          <w:rFonts w:ascii="Garamond" w:hAnsi="Garamond"/>
          <w:sz w:val="22"/>
          <w:szCs w:val="22"/>
        </w:rPr>
        <w:t xml:space="preserve">amounted to </w:t>
      </w:r>
      <w:r w:rsidRPr="002A38BF">
        <w:rPr>
          <w:rFonts w:ascii="Garamond" w:hAnsi="Garamond"/>
          <w:sz w:val="22"/>
          <w:szCs w:val="22"/>
        </w:rPr>
        <w:t xml:space="preserve">6.7% </w:t>
      </w:r>
      <w:r>
        <w:rPr>
          <w:rFonts w:ascii="Garamond" w:hAnsi="Garamond"/>
          <w:sz w:val="22"/>
          <w:szCs w:val="22"/>
        </w:rPr>
        <w:t>over</w:t>
      </w:r>
      <w:r w:rsidRPr="002A38BF">
        <w:rPr>
          <w:rFonts w:ascii="Garamond" w:hAnsi="Garamond"/>
          <w:sz w:val="22"/>
          <w:szCs w:val="22"/>
        </w:rPr>
        <w:t xml:space="preserve"> the quarter</w:t>
      </w:r>
      <w:r>
        <w:rPr>
          <w:rFonts w:ascii="Garamond" w:hAnsi="Garamond"/>
          <w:sz w:val="22"/>
          <w:szCs w:val="22"/>
        </w:rPr>
        <w:t xml:space="preserve">. Specifically, dram </w:t>
      </w:r>
      <w:r w:rsidRPr="002A38BF">
        <w:rPr>
          <w:rFonts w:ascii="Garamond" w:hAnsi="Garamond"/>
          <w:sz w:val="22"/>
          <w:szCs w:val="22"/>
        </w:rPr>
        <w:t xml:space="preserve">loans </w:t>
      </w:r>
      <w:r>
        <w:rPr>
          <w:rFonts w:ascii="Garamond" w:hAnsi="Garamond"/>
          <w:sz w:val="22"/>
          <w:szCs w:val="22"/>
        </w:rPr>
        <w:t xml:space="preserve">have grown by </w:t>
      </w:r>
      <w:r w:rsidRPr="002A38BF">
        <w:rPr>
          <w:rFonts w:ascii="Garamond" w:hAnsi="Garamond"/>
          <w:sz w:val="22"/>
          <w:szCs w:val="22"/>
        </w:rPr>
        <w:t>10.2% and foreign currency loans</w:t>
      </w:r>
      <w:r>
        <w:rPr>
          <w:rFonts w:ascii="Garamond" w:hAnsi="Garamond"/>
          <w:sz w:val="22"/>
          <w:szCs w:val="22"/>
        </w:rPr>
        <w:t>,</w:t>
      </w:r>
      <w:r w:rsidRPr="002A38BF">
        <w:rPr>
          <w:rFonts w:ascii="Garamond" w:hAnsi="Garamond"/>
          <w:sz w:val="22"/>
          <w:szCs w:val="22"/>
        </w:rPr>
        <w:t xml:space="preserve"> by 5.4%. The 12-month growth of total lending to the economy in December 2017 </w:t>
      </w:r>
      <w:r>
        <w:rPr>
          <w:rFonts w:ascii="Garamond" w:hAnsi="Garamond"/>
          <w:sz w:val="22"/>
          <w:szCs w:val="22"/>
        </w:rPr>
        <w:t xml:space="preserve">amounted to </w:t>
      </w:r>
      <w:r w:rsidRPr="002A38BF">
        <w:rPr>
          <w:rFonts w:ascii="Garamond" w:hAnsi="Garamond"/>
          <w:sz w:val="22"/>
          <w:szCs w:val="22"/>
        </w:rPr>
        <w:t xml:space="preserve">16.5%, which is </w:t>
      </w:r>
      <w:r>
        <w:rPr>
          <w:rFonts w:ascii="Garamond" w:hAnsi="Garamond"/>
          <w:sz w:val="22"/>
          <w:szCs w:val="22"/>
        </w:rPr>
        <w:t xml:space="preserve">above </w:t>
      </w:r>
      <w:r w:rsidRPr="002A38BF">
        <w:rPr>
          <w:rFonts w:ascii="Garamond" w:hAnsi="Garamond"/>
          <w:sz w:val="22"/>
          <w:szCs w:val="22"/>
        </w:rPr>
        <w:t>the C</w:t>
      </w:r>
      <w:r>
        <w:rPr>
          <w:rFonts w:ascii="Garamond" w:hAnsi="Garamond"/>
          <w:sz w:val="22"/>
          <w:szCs w:val="22"/>
        </w:rPr>
        <w:t>entral Bank’s estimat</w:t>
      </w:r>
      <w:r w:rsidR="00B75270">
        <w:rPr>
          <w:rFonts w:ascii="Garamond" w:hAnsi="Garamond"/>
          <w:sz w:val="22"/>
          <w:szCs w:val="22"/>
        </w:rPr>
        <w:t>ion</w:t>
      </w:r>
      <w:r w:rsidRPr="002A38BF">
        <w:rPr>
          <w:rFonts w:ascii="Garamond" w:hAnsi="Garamond"/>
          <w:sz w:val="22"/>
          <w:szCs w:val="22"/>
        </w:rPr>
        <w:t>.</w:t>
      </w:r>
    </w:p>
    <w:tbl>
      <w:tblPr>
        <w:tblStyle w:val="TableGrid"/>
        <w:tblW w:w="0" w:type="auto"/>
        <w:tblLook w:val="04A0" w:firstRow="1" w:lastRow="0" w:firstColumn="1" w:lastColumn="0" w:noHBand="0" w:noVBand="1"/>
      </w:tblPr>
      <w:tblGrid>
        <w:gridCol w:w="9350"/>
      </w:tblGrid>
      <w:tr w:rsidR="00F464AE" w:rsidRPr="00626752" w14:paraId="6F9D01B8" w14:textId="77777777" w:rsidTr="00B75270">
        <w:tc>
          <w:tcPr>
            <w:tcW w:w="9350" w:type="dxa"/>
          </w:tcPr>
          <w:p w14:paraId="529708FA" w14:textId="77777777" w:rsidR="00F464AE" w:rsidRPr="002D541D" w:rsidRDefault="00F464AE" w:rsidP="00260739">
            <w:pPr>
              <w:autoSpaceDE w:val="0"/>
              <w:autoSpaceDN w:val="0"/>
              <w:adjustRightInd w:val="0"/>
              <w:spacing w:after="120" w:line="360" w:lineRule="auto"/>
              <w:jc w:val="both"/>
              <w:rPr>
                <w:rFonts w:ascii="Garamond" w:hAnsi="Garamond"/>
                <w:b/>
                <w:color w:val="0070C0"/>
                <w:sz w:val="18"/>
                <w:szCs w:val="22"/>
              </w:rPr>
            </w:pPr>
            <w:r w:rsidRPr="002D541D">
              <w:rPr>
                <w:rFonts w:ascii="Garamond" w:hAnsi="Garamond"/>
                <w:b/>
                <w:color w:val="0070C0"/>
                <w:sz w:val="18"/>
                <w:szCs w:val="22"/>
              </w:rPr>
              <w:t>Box 4:</w:t>
            </w:r>
          </w:p>
          <w:p w14:paraId="074033CB" w14:textId="77777777" w:rsidR="00F464AE" w:rsidRPr="002D541D" w:rsidRDefault="00B75270" w:rsidP="00260739">
            <w:pPr>
              <w:autoSpaceDE w:val="0"/>
              <w:autoSpaceDN w:val="0"/>
              <w:adjustRightInd w:val="0"/>
              <w:spacing w:after="120" w:line="360" w:lineRule="auto"/>
              <w:jc w:val="both"/>
              <w:rPr>
                <w:rFonts w:ascii="Garamond" w:hAnsi="Garamond"/>
                <w:b/>
                <w:color w:val="0070C0"/>
                <w:sz w:val="18"/>
                <w:szCs w:val="22"/>
              </w:rPr>
            </w:pPr>
            <w:r w:rsidRPr="002D541D">
              <w:rPr>
                <w:rFonts w:ascii="Garamond" w:hAnsi="Garamond"/>
                <w:b/>
                <w:color w:val="0070C0"/>
                <w:sz w:val="18"/>
                <w:szCs w:val="22"/>
              </w:rPr>
              <w:t>Survey on the terms of lending by banks and credit o</w:t>
            </w:r>
            <w:r w:rsidR="00F464AE" w:rsidRPr="002D541D">
              <w:rPr>
                <w:rFonts w:ascii="Garamond" w:hAnsi="Garamond"/>
                <w:b/>
                <w:color w:val="0070C0"/>
                <w:sz w:val="18"/>
                <w:szCs w:val="22"/>
              </w:rPr>
              <w:t xml:space="preserve">rganizations </w:t>
            </w:r>
          </w:p>
          <w:p w14:paraId="450FA579" w14:textId="77777777" w:rsidR="00242DB9" w:rsidRPr="002D541D" w:rsidRDefault="00242DB9" w:rsidP="00260739">
            <w:pPr>
              <w:autoSpaceDE w:val="0"/>
              <w:autoSpaceDN w:val="0"/>
              <w:adjustRightInd w:val="0"/>
              <w:spacing w:after="120" w:line="360" w:lineRule="auto"/>
              <w:jc w:val="both"/>
              <w:rPr>
                <w:rFonts w:ascii="Garamond" w:hAnsi="Garamond"/>
                <w:sz w:val="18"/>
                <w:szCs w:val="22"/>
              </w:rPr>
            </w:pPr>
            <w:r w:rsidRPr="002D541D">
              <w:rPr>
                <w:rFonts w:ascii="Garamond" w:hAnsi="Garamond"/>
                <w:sz w:val="18"/>
                <w:szCs w:val="22"/>
              </w:rPr>
              <w:t xml:space="preserve">According to the results of the </w:t>
            </w:r>
            <w:r w:rsidR="00B75270" w:rsidRPr="002D541D">
              <w:rPr>
                <w:rFonts w:ascii="Garamond" w:hAnsi="Garamond"/>
                <w:sz w:val="18"/>
                <w:szCs w:val="22"/>
              </w:rPr>
              <w:t>fourth</w:t>
            </w:r>
            <w:r w:rsidRPr="002D541D">
              <w:rPr>
                <w:rFonts w:ascii="Garamond" w:hAnsi="Garamond"/>
                <w:sz w:val="18"/>
                <w:szCs w:val="22"/>
              </w:rPr>
              <w:t xml:space="preserve"> quarter 2017 survey on terms of lending by local banks and credit organizations, there has been further easing of terms in all aspects of lending. </w:t>
            </w:r>
            <w:r w:rsidR="0096204A" w:rsidRPr="002D541D">
              <w:rPr>
                <w:rFonts w:ascii="Garamond" w:hAnsi="Garamond"/>
                <w:sz w:val="18"/>
                <w:szCs w:val="22"/>
              </w:rPr>
              <w:t>This quarter too, s</w:t>
            </w:r>
            <w:r w:rsidRPr="002D541D">
              <w:rPr>
                <w:rFonts w:ascii="Garamond" w:hAnsi="Garamond"/>
                <w:sz w:val="18"/>
                <w:szCs w:val="22"/>
              </w:rPr>
              <w:t>tronger competition between banks and other financial institutions</w:t>
            </w:r>
            <w:r w:rsidR="0096204A" w:rsidRPr="002D541D">
              <w:rPr>
                <w:rFonts w:ascii="Garamond" w:hAnsi="Garamond"/>
                <w:sz w:val="18"/>
                <w:szCs w:val="22"/>
              </w:rPr>
              <w:t>, general expectations for further economic activity</w:t>
            </w:r>
            <w:r w:rsidRPr="002D541D">
              <w:rPr>
                <w:rFonts w:ascii="Garamond" w:hAnsi="Garamond"/>
                <w:sz w:val="18"/>
                <w:szCs w:val="22"/>
              </w:rPr>
              <w:t xml:space="preserve"> as well as an increased level of liquidity</w:t>
            </w:r>
            <w:r w:rsidR="0096204A" w:rsidRPr="002D541D">
              <w:rPr>
                <w:rFonts w:ascii="Garamond" w:hAnsi="Garamond"/>
                <w:sz w:val="18"/>
                <w:szCs w:val="22"/>
              </w:rPr>
              <w:t xml:space="preserve"> with banks all </w:t>
            </w:r>
            <w:r w:rsidRPr="002D541D">
              <w:rPr>
                <w:rFonts w:ascii="Garamond" w:hAnsi="Garamond"/>
                <w:sz w:val="18"/>
                <w:szCs w:val="22"/>
              </w:rPr>
              <w:t xml:space="preserve">resulted in </w:t>
            </w:r>
            <w:r w:rsidR="0096204A" w:rsidRPr="002D541D">
              <w:rPr>
                <w:rFonts w:ascii="Garamond" w:hAnsi="Garamond"/>
                <w:sz w:val="18"/>
                <w:szCs w:val="22"/>
              </w:rPr>
              <w:t>easing of terms. These factors have contributed to the reduc</w:t>
            </w:r>
            <w:r w:rsidR="005C78E9" w:rsidRPr="002D541D">
              <w:rPr>
                <w:rFonts w:ascii="Garamond" w:hAnsi="Garamond"/>
                <w:sz w:val="18"/>
                <w:szCs w:val="22"/>
              </w:rPr>
              <w:t>ed loan</w:t>
            </w:r>
            <w:r w:rsidR="0096204A" w:rsidRPr="002D541D">
              <w:rPr>
                <w:rFonts w:ascii="Garamond" w:hAnsi="Garamond"/>
                <w:sz w:val="18"/>
                <w:szCs w:val="22"/>
              </w:rPr>
              <w:t xml:space="preserve"> interest rates and non-interest payments</w:t>
            </w:r>
            <w:r w:rsidR="00AE3B5F" w:rsidRPr="002D541D">
              <w:rPr>
                <w:rFonts w:ascii="Garamond" w:hAnsi="Garamond"/>
                <w:sz w:val="18"/>
                <w:szCs w:val="22"/>
              </w:rPr>
              <w:t xml:space="preserve"> as well as to extended loan maturities. </w:t>
            </w:r>
            <w:r w:rsidR="00DF606B" w:rsidRPr="002D541D">
              <w:rPr>
                <w:rFonts w:ascii="Garamond" w:hAnsi="Garamond"/>
                <w:sz w:val="18"/>
                <w:szCs w:val="22"/>
              </w:rPr>
              <w:t>Actual demand for all types of credit has grown.</w:t>
            </w:r>
          </w:p>
          <w:p w14:paraId="044BEBAD" w14:textId="77777777" w:rsidR="00F464AE" w:rsidRPr="002D541D" w:rsidRDefault="00DF606B" w:rsidP="00AE3B5F">
            <w:pPr>
              <w:autoSpaceDE w:val="0"/>
              <w:autoSpaceDN w:val="0"/>
              <w:adjustRightInd w:val="0"/>
              <w:spacing w:after="120" w:line="360" w:lineRule="auto"/>
              <w:jc w:val="both"/>
              <w:rPr>
                <w:rFonts w:ascii="Garamond" w:hAnsi="Garamond"/>
                <w:sz w:val="18"/>
                <w:szCs w:val="22"/>
              </w:rPr>
            </w:pPr>
            <w:r w:rsidRPr="002D541D">
              <w:rPr>
                <w:rFonts w:ascii="Garamond" w:eastAsia="Calibri" w:hAnsi="Garamond"/>
                <w:color w:val="000000"/>
                <w:sz w:val="18"/>
                <w:szCs w:val="22"/>
              </w:rPr>
              <w:t xml:space="preserve">For the fourth quarter of 2017 banks and credit organizations anticipate </w:t>
            </w:r>
            <w:r w:rsidR="00AE3B5F" w:rsidRPr="002D541D">
              <w:rPr>
                <w:rFonts w:ascii="Garamond" w:eastAsia="Calibri" w:hAnsi="Garamond"/>
                <w:color w:val="000000"/>
                <w:sz w:val="18"/>
                <w:szCs w:val="22"/>
              </w:rPr>
              <w:t>even more</w:t>
            </w:r>
            <w:r w:rsidRPr="002D541D">
              <w:rPr>
                <w:rFonts w:ascii="Garamond" w:eastAsia="Calibri" w:hAnsi="Garamond"/>
                <w:color w:val="000000"/>
                <w:sz w:val="18"/>
                <w:szCs w:val="22"/>
              </w:rPr>
              <w:t xml:space="preserve"> easing </w:t>
            </w:r>
            <w:r w:rsidR="00AE3B5F" w:rsidRPr="002D541D">
              <w:rPr>
                <w:rFonts w:ascii="Garamond" w:eastAsia="Calibri" w:hAnsi="Garamond"/>
                <w:color w:val="000000"/>
                <w:sz w:val="18"/>
                <w:szCs w:val="22"/>
              </w:rPr>
              <w:t xml:space="preserve">for both </w:t>
            </w:r>
            <w:r w:rsidRPr="002D541D">
              <w:rPr>
                <w:rFonts w:ascii="Garamond" w:eastAsia="Calibri" w:hAnsi="Garamond"/>
                <w:color w:val="000000"/>
                <w:sz w:val="18"/>
                <w:szCs w:val="22"/>
              </w:rPr>
              <w:t xml:space="preserve">lending procedures and growing demand for loans. </w:t>
            </w:r>
            <w:r w:rsidRPr="002D541D">
              <w:rPr>
                <w:rFonts w:ascii="Garamond" w:hAnsi="Garamond"/>
                <w:sz w:val="18"/>
                <w:szCs w:val="22"/>
              </w:rPr>
              <w:t xml:space="preserve">The results of the survey are in line with </w:t>
            </w:r>
            <w:r w:rsidR="00AE3B5F" w:rsidRPr="002D541D">
              <w:rPr>
                <w:rFonts w:ascii="Garamond" w:hAnsi="Garamond"/>
                <w:sz w:val="18"/>
                <w:szCs w:val="22"/>
              </w:rPr>
              <w:t xml:space="preserve">the Central Bank’s estimations of recovery of </w:t>
            </w:r>
            <w:r w:rsidRPr="002D541D">
              <w:rPr>
                <w:rFonts w:ascii="Garamond" w:hAnsi="Garamond"/>
                <w:sz w:val="18"/>
                <w:szCs w:val="22"/>
              </w:rPr>
              <w:t xml:space="preserve">demand </w:t>
            </w:r>
            <w:r w:rsidR="00AE3B5F" w:rsidRPr="002D541D">
              <w:rPr>
                <w:rFonts w:ascii="Garamond" w:hAnsi="Garamond"/>
                <w:sz w:val="18"/>
                <w:szCs w:val="22"/>
              </w:rPr>
              <w:t>in the e</w:t>
            </w:r>
            <w:r w:rsidRPr="002D541D">
              <w:rPr>
                <w:rFonts w:ascii="Garamond" w:hAnsi="Garamond"/>
                <w:sz w:val="18"/>
                <w:szCs w:val="22"/>
              </w:rPr>
              <w:t>conom</w:t>
            </w:r>
            <w:r w:rsidR="00AE3B5F" w:rsidRPr="002D541D">
              <w:rPr>
                <w:rFonts w:ascii="Garamond" w:hAnsi="Garamond"/>
                <w:sz w:val="18"/>
                <w:szCs w:val="22"/>
              </w:rPr>
              <w:t>y</w:t>
            </w:r>
            <w:r w:rsidRPr="002D541D">
              <w:rPr>
                <w:rFonts w:ascii="Garamond" w:hAnsi="Garamond"/>
                <w:sz w:val="18"/>
                <w:szCs w:val="22"/>
              </w:rPr>
              <w:t>.</w:t>
            </w:r>
          </w:p>
        </w:tc>
      </w:tr>
    </w:tbl>
    <w:p w14:paraId="7557E0AF" w14:textId="77777777" w:rsidR="00F40F99" w:rsidRPr="00626752" w:rsidRDefault="00F40F99" w:rsidP="00F40F99">
      <w:pPr>
        <w:spacing w:line="360" w:lineRule="auto"/>
        <w:jc w:val="both"/>
        <w:rPr>
          <w:rFonts w:ascii="Garamond" w:hAnsi="Garamond"/>
          <w:b/>
          <w:sz w:val="22"/>
          <w:szCs w:val="22"/>
        </w:rPr>
      </w:pPr>
    </w:p>
    <w:p w14:paraId="475388B1" w14:textId="77777777" w:rsidR="00ED1126" w:rsidRPr="00626752" w:rsidRDefault="00ED1126" w:rsidP="00F40F99">
      <w:pPr>
        <w:spacing w:line="360" w:lineRule="auto"/>
        <w:jc w:val="both"/>
        <w:rPr>
          <w:rFonts w:ascii="Garamond" w:hAnsi="Garamond"/>
          <w:b/>
          <w:sz w:val="22"/>
          <w:szCs w:val="22"/>
        </w:rPr>
      </w:pPr>
    </w:p>
    <w:p w14:paraId="6AAFD686" w14:textId="77777777" w:rsidR="00ED1126" w:rsidRPr="00626752" w:rsidRDefault="00ED1126" w:rsidP="00F40F99">
      <w:pPr>
        <w:spacing w:line="360" w:lineRule="auto"/>
        <w:jc w:val="both"/>
        <w:rPr>
          <w:rFonts w:ascii="Garamond" w:hAnsi="Garamond"/>
          <w:b/>
          <w:sz w:val="22"/>
          <w:szCs w:val="22"/>
        </w:rPr>
      </w:pPr>
    </w:p>
    <w:p w14:paraId="76C5C5EB" w14:textId="77777777" w:rsidR="00ED1126" w:rsidRPr="00626752" w:rsidRDefault="00ED1126" w:rsidP="00F40F99">
      <w:pPr>
        <w:spacing w:line="360" w:lineRule="auto"/>
        <w:jc w:val="both"/>
        <w:rPr>
          <w:rFonts w:ascii="Garamond" w:hAnsi="Garamond"/>
          <w:b/>
          <w:sz w:val="22"/>
          <w:szCs w:val="22"/>
        </w:rPr>
      </w:pPr>
    </w:p>
    <w:p w14:paraId="1C46B026" w14:textId="77777777" w:rsidR="00ED1126" w:rsidRPr="00626752" w:rsidRDefault="00ED1126" w:rsidP="00F40F99">
      <w:pPr>
        <w:spacing w:line="360" w:lineRule="auto"/>
        <w:jc w:val="both"/>
        <w:rPr>
          <w:rFonts w:ascii="Garamond" w:hAnsi="Garamond"/>
          <w:b/>
          <w:sz w:val="22"/>
          <w:szCs w:val="22"/>
        </w:rPr>
      </w:pPr>
    </w:p>
    <w:p w14:paraId="5EE06B4F" w14:textId="77777777" w:rsidR="00ED1126" w:rsidRPr="00626752" w:rsidRDefault="00ED1126" w:rsidP="00F40F99">
      <w:pPr>
        <w:spacing w:line="360" w:lineRule="auto"/>
        <w:jc w:val="both"/>
        <w:rPr>
          <w:rFonts w:ascii="Garamond" w:hAnsi="Garamond"/>
          <w:b/>
          <w:sz w:val="22"/>
          <w:szCs w:val="22"/>
        </w:rPr>
      </w:pPr>
    </w:p>
    <w:p w14:paraId="628196CE" w14:textId="77777777" w:rsidR="00ED1126" w:rsidRPr="00626752" w:rsidRDefault="00ED1126" w:rsidP="00F40F99">
      <w:pPr>
        <w:spacing w:line="360" w:lineRule="auto"/>
        <w:jc w:val="both"/>
        <w:rPr>
          <w:rFonts w:ascii="Garamond" w:hAnsi="Garamond"/>
          <w:b/>
          <w:sz w:val="22"/>
          <w:szCs w:val="22"/>
        </w:rPr>
      </w:pPr>
    </w:p>
    <w:p w14:paraId="20834643" w14:textId="77777777" w:rsidR="00ED1126" w:rsidRPr="00626752" w:rsidRDefault="00ED1126" w:rsidP="00F40F99">
      <w:pPr>
        <w:spacing w:line="360" w:lineRule="auto"/>
        <w:jc w:val="both"/>
        <w:rPr>
          <w:rFonts w:ascii="Garamond" w:hAnsi="Garamond"/>
          <w:b/>
          <w:sz w:val="22"/>
          <w:szCs w:val="22"/>
        </w:rPr>
      </w:pPr>
    </w:p>
    <w:p w14:paraId="672B419E" w14:textId="77777777" w:rsidR="00ED1126" w:rsidRPr="00626752" w:rsidRDefault="00ED1126" w:rsidP="00F40F99">
      <w:pPr>
        <w:spacing w:line="360" w:lineRule="auto"/>
        <w:jc w:val="both"/>
        <w:rPr>
          <w:rFonts w:ascii="Garamond" w:hAnsi="Garamond"/>
          <w:b/>
          <w:sz w:val="22"/>
          <w:szCs w:val="22"/>
        </w:rPr>
      </w:pPr>
    </w:p>
    <w:p w14:paraId="01813CF8" w14:textId="77777777" w:rsidR="00ED1126" w:rsidRPr="00626752" w:rsidRDefault="00ED1126" w:rsidP="00F40F99">
      <w:pPr>
        <w:spacing w:line="360" w:lineRule="auto"/>
        <w:jc w:val="both"/>
        <w:rPr>
          <w:rFonts w:ascii="Garamond" w:hAnsi="Garamond"/>
          <w:b/>
          <w:sz w:val="22"/>
          <w:szCs w:val="22"/>
        </w:rPr>
      </w:pPr>
    </w:p>
    <w:p w14:paraId="560C9F27" w14:textId="77777777" w:rsidR="00ED1126" w:rsidRPr="00626752" w:rsidRDefault="00ED1126" w:rsidP="00F40F99">
      <w:pPr>
        <w:spacing w:line="360" w:lineRule="auto"/>
        <w:jc w:val="both"/>
        <w:rPr>
          <w:rFonts w:ascii="Garamond" w:hAnsi="Garamond"/>
          <w:b/>
          <w:sz w:val="22"/>
          <w:szCs w:val="22"/>
        </w:rPr>
      </w:pPr>
    </w:p>
    <w:p w14:paraId="3D4289B0" w14:textId="77777777" w:rsidR="002D541D" w:rsidRDefault="002D541D" w:rsidP="00AE3B5F">
      <w:pPr>
        <w:spacing w:line="360" w:lineRule="auto"/>
        <w:jc w:val="center"/>
        <w:rPr>
          <w:rFonts w:ascii="Garamond" w:hAnsi="Garamond"/>
          <w:b/>
          <w:bCs/>
          <w:color w:val="0070C0"/>
        </w:rPr>
      </w:pPr>
    </w:p>
    <w:p w14:paraId="3CA9072B" w14:textId="77777777" w:rsidR="002D541D" w:rsidRDefault="002D541D" w:rsidP="00AE3B5F">
      <w:pPr>
        <w:spacing w:line="360" w:lineRule="auto"/>
        <w:jc w:val="center"/>
        <w:rPr>
          <w:rFonts w:ascii="Garamond" w:hAnsi="Garamond"/>
          <w:b/>
          <w:bCs/>
          <w:color w:val="0070C0"/>
        </w:rPr>
      </w:pPr>
    </w:p>
    <w:p w14:paraId="3B84DB7B" w14:textId="77777777" w:rsidR="002D541D" w:rsidRDefault="002D541D" w:rsidP="00AE3B5F">
      <w:pPr>
        <w:spacing w:line="360" w:lineRule="auto"/>
        <w:jc w:val="center"/>
        <w:rPr>
          <w:rFonts w:ascii="Garamond" w:hAnsi="Garamond"/>
          <w:b/>
          <w:bCs/>
          <w:color w:val="0070C0"/>
        </w:rPr>
      </w:pPr>
    </w:p>
    <w:p w14:paraId="72E4D5DF" w14:textId="77777777" w:rsidR="002D541D" w:rsidRDefault="002D541D" w:rsidP="00AE3B5F">
      <w:pPr>
        <w:spacing w:line="360" w:lineRule="auto"/>
        <w:jc w:val="center"/>
        <w:rPr>
          <w:rFonts w:ascii="Garamond" w:hAnsi="Garamond"/>
          <w:b/>
          <w:bCs/>
          <w:color w:val="0070C0"/>
        </w:rPr>
      </w:pPr>
    </w:p>
    <w:p w14:paraId="4FEDC432" w14:textId="77777777" w:rsidR="00AE3B5F" w:rsidRPr="002D541D" w:rsidRDefault="00AE3B5F" w:rsidP="00AE3B5F">
      <w:pPr>
        <w:spacing w:line="360" w:lineRule="auto"/>
        <w:jc w:val="center"/>
        <w:rPr>
          <w:rFonts w:ascii="Garamond" w:hAnsi="Garamond"/>
          <w:b/>
          <w:bCs/>
          <w:color w:val="0070C0"/>
          <w:sz w:val="22"/>
          <w:szCs w:val="22"/>
        </w:rPr>
      </w:pPr>
      <w:r w:rsidRPr="002D541D">
        <w:rPr>
          <w:rFonts w:ascii="Garamond" w:hAnsi="Garamond"/>
          <w:b/>
          <w:bCs/>
          <w:color w:val="0070C0"/>
          <w:sz w:val="22"/>
          <w:szCs w:val="22"/>
        </w:rPr>
        <w:t>BOARD OF THE CBA</w:t>
      </w:r>
    </w:p>
    <w:p w14:paraId="6F8C997D" w14:textId="77777777" w:rsidR="00AE3B5F" w:rsidRPr="002D541D" w:rsidRDefault="00AE3B5F" w:rsidP="00AE3B5F">
      <w:pPr>
        <w:spacing w:line="360" w:lineRule="auto"/>
        <w:jc w:val="center"/>
        <w:rPr>
          <w:rFonts w:ascii="Garamond" w:hAnsi="Garamond"/>
          <w:b/>
          <w:bCs/>
          <w:color w:val="0070C0"/>
          <w:sz w:val="22"/>
          <w:szCs w:val="22"/>
        </w:rPr>
      </w:pPr>
    </w:p>
    <w:p w14:paraId="7FE93CC1" w14:textId="77777777" w:rsidR="00AE3B5F" w:rsidRPr="002D541D" w:rsidRDefault="00AE3B5F" w:rsidP="00AE3B5F">
      <w:pPr>
        <w:spacing w:line="360" w:lineRule="auto"/>
        <w:jc w:val="center"/>
        <w:rPr>
          <w:rFonts w:ascii="Garamond" w:hAnsi="Garamond"/>
          <w:b/>
          <w:bCs/>
          <w:color w:val="0070C0"/>
          <w:sz w:val="22"/>
          <w:szCs w:val="22"/>
        </w:rPr>
      </w:pPr>
      <w:r w:rsidRPr="002D541D">
        <w:rPr>
          <w:rFonts w:ascii="Garamond" w:hAnsi="Garamond"/>
          <w:b/>
          <w:bCs/>
          <w:color w:val="0070C0"/>
          <w:sz w:val="22"/>
          <w:szCs w:val="22"/>
        </w:rPr>
        <w:t>MINUTES</w:t>
      </w:r>
    </w:p>
    <w:p w14:paraId="31CCAB21" w14:textId="77777777" w:rsidR="00AE3B5F" w:rsidRPr="002D541D" w:rsidRDefault="00AE3B5F" w:rsidP="00AE3B5F">
      <w:pPr>
        <w:spacing w:line="360" w:lineRule="auto"/>
        <w:jc w:val="center"/>
        <w:rPr>
          <w:rFonts w:ascii="Garamond" w:hAnsi="Garamond"/>
          <w:b/>
          <w:bCs/>
          <w:sz w:val="22"/>
          <w:szCs w:val="22"/>
        </w:rPr>
      </w:pPr>
      <w:r w:rsidRPr="002D541D">
        <w:rPr>
          <w:rFonts w:ascii="Garamond" w:hAnsi="Garamond"/>
          <w:b/>
          <w:bCs/>
          <w:color w:val="0070C0"/>
          <w:sz w:val="22"/>
          <w:szCs w:val="22"/>
        </w:rPr>
        <w:t>(13.02.2018)</w:t>
      </w:r>
    </w:p>
    <w:p w14:paraId="13CDE3F0" w14:textId="77777777" w:rsidR="00AE3B5F" w:rsidRPr="002D541D" w:rsidRDefault="00AE3B5F" w:rsidP="00AE3B5F">
      <w:pPr>
        <w:spacing w:line="360" w:lineRule="auto"/>
        <w:jc w:val="center"/>
        <w:rPr>
          <w:rFonts w:ascii="Garamond" w:hAnsi="Garamond"/>
          <w:b/>
          <w:bCs/>
          <w:sz w:val="22"/>
          <w:szCs w:val="22"/>
        </w:rPr>
      </w:pPr>
    </w:p>
    <w:p w14:paraId="5CAE2496" w14:textId="77777777" w:rsidR="00AE3B5F" w:rsidRPr="002D541D" w:rsidRDefault="00AE3B5F" w:rsidP="00AE3B5F">
      <w:pPr>
        <w:spacing w:line="360" w:lineRule="auto"/>
        <w:jc w:val="center"/>
        <w:rPr>
          <w:rFonts w:ascii="Garamond" w:hAnsi="Garamond"/>
          <w:color w:val="0070C0"/>
          <w:sz w:val="22"/>
          <w:szCs w:val="22"/>
        </w:rPr>
      </w:pPr>
      <w:r w:rsidRPr="002D541D">
        <w:rPr>
          <w:rFonts w:ascii="Garamond" w:hAnsi="Garamond"/>
          <w:b/>
          <w:bCs/>
          <w:color w:val="0070C0"/>
          <w:sz w:val="22"/>
          <w:szCs w:val="22"/>
        </w:rPr>
        <w:t>Refinancing Rate of February 13, 2018</w:t>
      </w:r>
    </w:p>
    <w:p w14:paraId="1FBE6363" w14:textId="77777777" w:rsidR="00AE3B5F" w:rsidRPr="002D541D" w:rsidRDefault="00AE3B5F" w:rsidP="00AE3B5F">
      <w:pPr>
        <w:spacing w:line="360" w:lineRule="auto"/>
        <w:jc w:val="center"/>
        <w:rPr>
          <w:rFonts w:ascii="Garamond" w:hAnsi="Garamond"/>
          <w:sz w:val="22"/>
          <w:szCs w:val="22"/>
        </w:rPr>
      </w:pPr>
    </w:p>
    <w:p w14:paraId="65F79F16" w14:textId="77777777" w:rsidR="00AE3B5F" w:rsidRPr="002D541D" w:rsidRDefault="00AE3B5F" w:rsidP="00AE3B5F">
      <w:pPr>
        <w:pStyle w:val="BodyText"/>
        <w:spacing w:line="360" w:lineRule="auto"/>
        <w:jc w:val="center"/>
        <w:rPr>
          <w:rFonts w:ascii="Garamond" w:hAnsi="Garamond"/>
          <w:b/>
        </w:rPr>
      </w:pPr>
      <w:r w:rsidRPr="002D541D">
        <w:rPr>
          <w:rFonts w:ascii="Garamond" w:hAnsi="Garamond"/>
          <w:b/>
        </w:rPr>
        <w:t>The CBA Board Meeting of February</w:t>
      </w:r>
      <w:r w:rsidRPr="002D541D">
        <w:rPr>
          <w:rFonts w:ascii="Garamond" w:hAnsi="Garamond"/>
          <w:b/>
          <w:bCs/>
        </w:rPr>
        <w:t xml:space="preserve"> 13, 2018</w:t>
      </w:r>
      <w:r w:rsidRPr="002D541D">
        <w:rPr>
          <w:rFonts w:ascii="Garamond" w:hAnsi="Garamond"/>
          <w:b/>
        </w:rPr>
        <w:t xml:space="preserve"> attended by Chairman Arthur Javadyan, Deputy Chairmen </w:t>
      </w:r>
      <w:proofErr w:type="spellStart"/>
      <w:r w:rsidRPr="002D541D">
        <w:rPr>
          <w:rFonts w:ascii="Garamond" w:hAnsi="Garamond"/>
          <w:b/>
        </w:rPr>
        <w:t>Nerses</w:t>
      </w:r>
      <w:proofErr w:type="spellEnd"/>
      <w:r w:rsidRPr="002D541D">
        <w:rPr>
          <w:rFonts w:ascii="Garamond" w:hAnsi="Garamond"/>
          <w:b/>
        </w:rPr>
        <w:t xml:space="preserve"> </w:t>
      </w:r>
      <w:proofErr w:type="spellStart"/>
      <w:r w:rsidRPr="002D541D">
        <w:rPr>
          <w:rFonts w:ascii="Garamond" w:hAnsi="Garamond"/>
          <w:b/>
        </w:rPr>
        <w:t>Yeritsyan</w:t>
      </w:r>
      <w:proofErr w:type="spellEnd"/>
      <w:r w:rsidRPr="002D541D">
        <w:rPr>
          <w:rFonts w:ascii="Garamond" w:hAnsi="Garamond"/>
          <w:b/>
        </w:rPr>
        <w:t xml:space="preserve"> and Vakhtang </w:t>
      </w:r>
      <w:proofErr w:type="spellStart"/>
      <w:r w:rsidRPr="002D541D">
        <w:rPr>
          <w:rFonts w:ascii="Garamond" w:hAnsi="Garamond"/>
          <w:b/>
        </w:rPr>
        <w:t>Abrahamyan</w:t>
      </w:r>
      <w:proofErr w:type="spellEnd"/>
      <w:r w:rsidRPr="002D541D">
        <w:rPr>
          <w:rFonts w:ascii="Garamond" w:hAnsi="Garamond"/>
          <w:b/>
        </w:rPr>
        <w:t xml:space="preserve">, and Board Members Ashot Mkrtchyan, Arthur Stepanyan, Armenak Darbinyan, and Oleg </w:t>
      </w:r>
      <w:proofErr w:type="spellStart"/>
      <w:r w:rsidRPr="002D541D">
        <w:rPr>
          <w:rFonts w:ascii="Garamond" w:hAnsi="Garamond"/>
          <w:b/>
        </w:rPr>
        <w:t>Aghasyan</w:t>
      </w:r>
      <w:proofErr w:type="spellEnd"/>
      <w:r w:rsidRPr="002D541D">
        <w:rPr>
          <w:rFonts w:ascii="Garamond" w:hAnsi="Garamond"/>
          <w:b/>
        </w:rPr>
        <w:t>.</w:t>
      </w:r>
    </w:p>
    <w:p w14:paraId="679EEBD4" w14:textId="77777777" w:rsidR="00AE3B5F" w:rsidRPr="002D541D" w:rsidRDefault="00AE3B5F" w:rsidP="00AE3B5F">
      <w:pPr>
        <w:spacing w:line="360" w:lineRule="auto"/>
        <w:jc w:val="both"/>
        <w:rPr>
          <w:rFonts w:ascii="Garamond" w:hAnsi="Garamond"/>
          <w:sz w:val="22"/>
          <w:szCs w:val="22"/>
        </w:rPr>
      </w:pPr>
    </w:p>
    <w:p w14:paraId="56C9FFE0"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 xml:space="preserve">The Board meeting opened with presentation of Situation Report as of February </w:t>
      </w:r>
      <w:r w:rsidRPr="002D541D">
        <w:rPr>
          <w:rFonts w:ascii="Garamond" w:hAnsi="Garamond"/>
          <w:bCs/>
          <w:sz w:val="22"/>
          <w:szCs w:val="22"/>
        </w:rPr>
        <w:t>13, 2018</w:t>
      </w:r>
      <w:r w:rsidRPr="002D541D">
        <w:rPr>
          <w:rFonts w:ascii="Garamond" w:hAnsi="Garamond"/>
          <w:sz w:val="22"/>
          <w:szCs w:val="22"/>
        </w:rPr>
        <w:t xml:space="preserve">. It addressed current developments on inflation, external environment and real, fiscal and monetary sectors of the economy. </w:t>
      </w:r>
    </w:p>
    <w:p w14:paraId="1E6A28BE" w14:textId="77777777" w:rsidR="00AE3B5F" w:rsidRPr="002D541D" w:rsidRDefault="00AE3B5F" w:rsidP="00AE3B5F">
      <w:pPr>
        <w:spacing w:line="360" w:lineRule="auto"/>
        <w:jc w:val="both"/>
        <w:rPr>
          <w:rFonts w:ascii="Garamond" w:hAnsi="Garamond"/>
          <w:sz w:val="22"/>
          <w:szCs w:val="22"/>
        </w:rPr>
      </w:pPr>
    </w:p>
    <w:p w14:paraId="69A9B7DE"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 xml:space="preserve">In the yearend 2017, it was noted, the 12-month inflation rate has been near the lower bound of the confidence band, as was expected, amounting to 2.6% in late December. Inflation in December was mainly driven by the increase in seasonal agricultural products, which had been rather below the typical growth rates in the same month of the previous year. There was 2.7% inflation registered in January of 2018, which was mainly determined by the increase in food prices. Note that 0.4 pp of the month’s inflation owed to the impact of risen fuel prices. It should also be noted that the actual impact of the change in excise and customs duty rates in Armenia since the start of the year is within the Central Bank’s estimated benchmark. The Board expects that in the short-term perspective the inflation environment will grow slightly, as a result of which the 12-month inflation rate will fluctuate within the confidence band in the forecast horizon, stabilizing around the target beginning from 2019. </w:t>
      </w:r>
    </w:p>
    <w:p w14:paraId="2EFFBE5B" w14:textId="77777777" w:rsidR="00AE3B5F" w:rsidRPr="002D541D" w:rsidRDefault="00AE3B5F" w:rsidP="00AE3B5F">
      <w:pPr>
        <w:spacing w:line="360" w:lineRule="auto"/>
        <w:jc w:val="both"/>
        <w:rPr>
          <w:rFonts w:ascii="Garamond" w:hAnsi="Garamond"/>
          <w:sz w:val="22"/>
          <w:szCs w:val="22"/>
        </w:rPr>
      </w:pPr>
    </w:p>
    <w:p w14:paraId="24366275"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 xml:space="preserve">Addressing the current economic situation, the Board stated that economic activity was strong enough in the fourth quarter of 2017, mainly driven by high growths registered in the industry and services sectors. Thus, by actual results of the quarter, the </w:t>
      </w:r>
      <w:r w:rsidRPr="002D541D">
        <w:rPr>
          <w:rFonts w:ascii="Garamond" w:hAnsi="Garamond"/>
          <w:b/>
          <w:sz w:val="22"/>
          <w:szCs w:val="22"/>
        </w:rPr>
        <w:t>Economic Activity Indicator has been 7.7%</w:t>
      </w:r>
      <w:r w:rsidRPr="002D541D">
        <w:rPr>
          <w:rFonts w:ascii="Garamond" w:hAnsi="Garamond"/>
          <w:sz w:val="22"/>
          <w:szCs w:val="22"/>
        </w:rPr>
        <w:t xml:space="preserve"> in January-December compared to the same period of the previous year, which prompted the Central Bank to again revise the annual economic growth forecast: </w:t>
      </w:r>
      <w:r w:rsidRPr="002D541D">
        <w:rPr>
          <w:rFonts w:ascii="Garamond" w:hAnsi="Garamond"/>
          <w:b/>
          <w:sz w:val="22"/>
          <w:szCs w:val="22"/>
        </w:rPr>
        <w:t xml:space="preserve">it is estimated within 7.2% - 7.4% instead of 6.3% - 6.5% as was </w:t>
      </w:r>
      <w:r w:rsidRPr="002D541D">
        <w:rPr>
          <w:rFonts w:ascii="Garamond" w:hAnsi="Garamond"/>
          <w:b/>
          <w:sz w:val="22"/>
          <w:szCs w:val="22"/>
        </w:rPr>
        <w:lastRenderedPageBreak/>
        <w:t xml:space="preserve">estimated previously. </w:t>
      </w:r>
      <w:r w:rsidRPr="002D541D">
        <w:rPr>
          <w:rFonts w:ascii="Garamond" w:hAnsi="Garamond"/>
          <w:sz w:val="22"/>
          <w:szCs w:val="22"/>
        </w:rPr>
        <w:t>High economic activity, it was recorded, has been attributable to domestic demand that recovered at accelerating rates, which continued to be driven by expansionary monetary policy implementation and strong growth in economy lending. Increased growth in imports as well as continued growth patterns in core inflation rate and inflation expectations are also pointing to a relatively high domestic demand.</w:t>
      </w:r>
    </w:p>
    <w:p w14:paraId="556BDB39" w14:textId="77777777" w:rsidR="00AE3B5F" w:rsidRPr="002D541D" w:rsidRDefault="00AE3B5F" w:rsidP="00AE3B5F">
      <w:pPr>
        <w:spacing w:line="360" w:lineRule="auto"/>
        <w:jc w:val="both"/>
        <w:rPr>
          <w:rFonts w:ascii="Garamond" w:hAnsi="Garamond"/>
          <w:sz w:val="22"/>
          <w:szCs w:val="22"/>
        </w:rPr>
      </w:pPr>
    </w:p>
    <w:p w14:paraId="25C606CE"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 xml:space="preserve">The Board also discussed the external sector developments. In the fourth quarter, the pace of economic growth in the main partner countries exceeded expectations due to the rapidly recovering domestic demand. In the world commodity markets in the quarter, inflation trends persisted, while the falling in prices for some products has been observable there. Taking into account the aforementioned developments as well as the trends that could be maintained in the upcoming months, the Board considers that minor inflationary effects from the external sector are likely. </w:t>
      </w:r>
    </w:p>
    <w:p w14:paraId="38FFD24C" w14:textId="77777777" w:rsidR="00AE3B5F" w:rsidRPr="002D541D" w:rsidRDefault="00AE3B5F" w:rsidP="00AE3B5F">
      <w:pPr>
        <w:spacing w:line="360" w:lineRule="auto"/>
        <w:jc w:val="both"/>
        <w:rPr>
          <w:rFonts w:ascii="Garamond" w:hAnsi="Garamond"/>
          <w:sz w:val="22"/>
          <w:szCs w:val="22"/>
        </w:rPr>
      </w:pPr>
    </w:p>
    <w:p w14:paraId="49336FB2"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 xml:space="preserve">The Board looked into the developments in the domestic financial market: it was noted that in view of high excess liquidity at the beginning of the year, the Central Bank used absorbing instruments, which facilitated the approaching of interest rates in the interbank market to the policy rate. </w:t>
      </w:r>
    </w:p>
    <w:p w14:paraId="5550E172" w14:textId="77777777" w:rsidR="00AE3B5F" w:rsidRPr="002D541D" w:rsidRDefault="00AE3B5F" w:rsidP="00AE3B5F">
      <w:pPr>
        <w:spacing w:line="360" w:lineRule="auto"/>
        <w:jc w:val="both"/>
        <w:rPr>
          <w:rFonts w:ascii="Garamond" w:hAnsi="Garamond"/>
          <w:sz w:val="22"/>
          <w:szCs w:val="22"/>
        </w:rPr>
      </w:pPr>
    </w:p>
    <w:p w14:paraId="1AE5ADD4"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 xml:space="preserve">Following presentation of the Situation Report and the developments in external and domestic macroeconomic environments, the Board began addressing the monetary policy directions and making decision on the interest rate. Two options were to be considered – whether to leave the refinancing rate unchanged or to raise it. The Board preferred to decide on the current monetary conditions basing upon the need to enhance sustained recovery of domestic demand and in consideration of notable mitigation of previous inflation expectations shaped additionally due to high price increases on certain goods and the influence of expected change in tax and customs duties since the start of the year. The Board believes that, in the light of predicted developments, expansionary monetary policy conditions would need to phase out gradually </w:t>
      </w:r>
      <w:r w:rsidRPr="002D541D">
        <w:rPr>
          <w:rFonts w:ascii="Garamond" w:hAnsi="Garamond"/>
          <w:b/>
          <w:sz w:val="22"/>
          <w:szCs w:val="22"/>
        </w:rPr>
        <w:t>in the medium run</w:t>
      </w:r>
      <w:r w:rsidRPr="002D541D">
        <w:rPr>
          <w:rFonts w:ascii="Garamond" w:hAnsi="Garamond"/>
          <w:sz w:val="22"/>
          <w:szCs w:val="22"/>
        </w:rPr>
        <w:t xml:space="preserve"> in order to fulfill the inflation target. As a result, </w:t>
      </w:r>
      <w:r w:rsidRPr="002D541D">
        <w:rPr>
          <w:rFonts w:ascii="Garamond" w:hAnsi="Garamond"/>
          <w:b/>
          <w:sz w:val="22"/>
          <w:szCs w:val="22"/>
        </w:rPr>
        <w:t>the 12-month inflation rate will continue to gradually increase, fluctuating within the confidence band, and will stabilize around the target afterwards.</w:t>
      </w:r>
      <w:r w:rsidRPr="002D541D">
        <w:rPr>
          <w:rFonts w:ascii="Garamond" w:hAnsi="Garamond"/>
          <w:sz w:val="22"/>
          <w:szCs w:val="22"/>
        </w:rPr>
        <w:t xml:space="preserve"> </w:t>
      </w:r>
    </w:p>
    <w:p w14:paraId="784A6891" w14:textId="77777777" w:rsidR="00AE3B5F" w:rsidRPr="002D541D" w:rsidRDefault="00AE3B5F" w:rsidP="00AE3B5F">
      <w:pPr>
        <w:spacing w:line="360" w:lineRule="auto"/>
        <w:jc w:val="both"/>
        <w:rPr>
          <w:rFonts w:ascii="Garamond" w:hAnsi="Garamond"/>
          <w:sz w:val="22"/>
          <w:szCs w:val="22"/>
        </w:rPr>
      </w:pPr>
    </w:p>
    <w:p w14:paraId="599A789D"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The Board approved the decision on interest rates of monetary instruments of the Central Bank and the proposed press release, which are attached hereto.</w:t>
      </w:r>
    </w:p>
    <w:p w14:paraId="1611F548" w14:textId="77777777" w:rsidR="00AE3B5F" w:rsidRPr="002D541D" w:rsidRDefault="00AE3B5F" w:rsidP="00AE3B5F">
      <w:pPr>
        <w:spacing w:line="360" w:lineRule="auto"/>
        <w:jc w:val="center"/>
        <w:rPr>
          <w:rFonts w:ascii="Garamond" w:hAnsi="Garamond"/>
          <w:b/>
          <w:sz w:val="22"/>
          <w:szCs w:val="22"/>
        </w:rPr>
      </w:pPr>
    </w:p>
    <w:p w14:paraId="49FB8141" w14:textId="77777777" w:rsidR="00AE3B5F" w:rsidRPr="002D541D" w:rsidRDefault="00AE3B5F" w:rsidP="00AE3B5F">
      <w:pPr>
        <w:spacing w:line="360" w:lineRule="auto"/>
        <w:jc w:val="center"/>
        <w:rPr>
          <w:rFonts w:ascii="Garamond" w:hAnsi="Garamond"/>
          <w:b/>
          <w:sz w:val="22"/>
          <w:szCs w:val="22"/>
        </w:rPr>
      </w:pPr>
    </w:p>
    <w:p w14:paraId="509A79FF" w14:textId="77777777" w:rsidR="00AE3B5F" w:rsidRPr="002D541D" w:rsidRDefault="00AE3B5F" w:rsidP="00AE3B5F">
      <w:pPr>
        <w:spacing w:line="360" w:lineRule="auto"/>
        <w:jc w:val="center"/>
        <w:rPr>
          <w:rFonts w:ascii="Garamond" w:hAnsi="Garamond"/>
          <w:b/>
          <w:sz w:val="22"/>
          <w:szCs w:val="22"/>
        </w:rPr>
      </w:pPr>
    </w:p>
    <w:p w14:paraId="51470E3E" w14:textId="77777777" w:rsidR="00AE3B5F" w:rsidRPr="002D541D" w:rsidRDefault="00AE3B5F" w:rsidP="00AE3B5F">
      <w:pPr>
        <w:spacing w:line="360" w:lineRule="auto"/>
        <w:jc w:val="center"/>
        <w:rPr>
          <w:rFonts w:ascii="Garamond" w:hAnsi="Garamond"/>
          <w:b/>
          <w:color w:val="0070C0"/>
          <w:sz w:val="22"/>
          <w:szCs w:val="22"/>
        </w:rPr>
      </w:pPr>
      <w:r w:rsidRPr="002D541D">
        <w:rPr>
          <w:rFonts w:ascii="Garamond" w:hAnsi="Garamond"/>
          <w:b/>
          <w:color w:val="0070C0"/>
          <w:sz w:val="22"/>
          <w:szCs w:val="22"/>
        </w:rPr>
        <w:t>THE CENTRAL BANK OF THE REPUBLIC OF ARMENIA</w:t>
      </w:r>
    </w:p>
    <w:p w14:paraId="2DFA3BDD" w14:textId="77777777" w:rsidR="00AE3B5F" w:rsidRPr="002D541D" w:rsidRDefault="00AE3B5F" w:rsidP="00AE3B5F">
      <w:pPr>
        <w:spacing w:line="360" w:lineRule="auto"/>
        <w:jc w:val="center"/>
        <w:rPr>
          <w:rFonts w:ascii="Garamond" w:hAnsi="Garamond"/>
          <w:b/>
          <w:sz w:val="22"/>
          <w:szCs w:val="22"/>
        </w:rPr>
      </w:pPr>
      <w:r w:rsidRPr="002D541D">
        <w:rPr>
          <w:rFonts w:ascii="Garamond" w:hAnsi="Garamond"/>
          <w:b/>
          <w:color w:val="0070C0"/>
          <w:sz w:val="22"/>
          <w:szCs w:val="22"/>
        </w:rPr>
        <w:lastRenderedPageBreak/>
        <w:t>BOARD RESOLUTION</w:t>
      </w:r>
    </w:p>
    <w:p w14:paraId="73D750DE" w14:textId="77777777" w:rsidR="00AE3B5F" w:rsidRPr="002D541D" w:rsidRDefault="00AE3B5F" w:rsidP="00AE3B5F">
      <w:pPr>
        <w:spacing w:line="360" w:lineRule="auto"/>
        <w:jc w:val="center"/>
        <w:rPr>
          <w:rFonts w:ascii="Garamond" w:hAnsi="Garamond"/>
          <w:b/>
          <w:sz w:val="22"/>
          <w:szCs w:val="22"/>
        </w:rPr>
      </w:pPr>
    </w:p>
    <w:p w14:paraId="26464EB5" w14:textId="77777777" w:rsidR="00AE3B5F" w:rsidRPr="002D541D" w:rsidRDefault="00AE3B5F" w:rsidP="00AE3B5F">
      <w:pPr>
        <w:spacing w:line="360" w:lineRule="auto"/>
        <w:jc w:val="center"/>
        <w:rPr>
          <w:rFonts w:ascii="Garamond" w:hAnsi="Garamond"/>
          <w:b/>
          <w:color w:val="0070C0"/>
          <w:sz w:val="22"/>
          <w:szCs w:val="22"/>
        </w:rPr>
      </w:pPr>
      <w:r w:rsidRPr="002D541D">
        <w:rPr>
          <w:rFonts w:ascii="Garamond" w:hAnsi="Garamond"/>
          <w:b/>
          <w:color w:val="0070C0"/>
          <w:sz w:val="22"/>
          <w:szCs w:val="22"/>
        </w:rPr>
        <w:t xml:space="preserve">Interest rates of operations by the Central Bank in the financial market </w:t>
      </w:r>
    </w:p>
    <w:p w14:paraId="72464B8B" w14:textId="77777777" w:rsidR="00AE3B5F" w:rsidRPr="002D541D" w:rsidRDefault="00AE3B5F" w:rsidP="00AE3B5F">
      <w:pPr>
        <w:spacing w:line="360" w:lineRule="auto"/>
        <w:jc w:val="center"/>
        <w:rPr>
          <w:rFonts w:ascii="Garamond" w:hAnsi="Garamond"/>
          <w:sz w:val="22"/>
          <w:szCs w:val="22"/>
        </w:rPr>
      </w:pPr>
    </w:p>
    <w:p w14:paraId="0DCD12E1"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 xml:space="preserve">By virtue of Article 20 (c) of the Republic of Armenia Law on the Central Bank, the Board of the Central Bank of the Republic of Armenia </w:t>
      </w:r>
      <w:r w:rsidRPr="002D541D">
        <w:rPr>
          <w:rFonts w:ascii="Garamond" w:hAnsi="Garamond"/>
          <w:b/>
          <w:sz w:val="22"/>
          <w:szCs w:val="22"/>
        </w:rPr>
        <w:t>enacts:</w:t>
      </w:r>
    </w:p>
    <w:p w14:paraId="0F59ED20"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1.</w:t>
      </w:r>
      <w:r w:rsidRPr="002D541D">
        <w:rPr>
          <w:rFonts w:ascii="Garamond" w:hAnsi="Garamond"/>
          <w:sz w:val="22"/>
          <w:szCs w:val="22"/>
        </w:rPr>
        <w:tab/>
        <w:t>Leave the refinancing rate of the Central Bank of the Republic of Armenia unchanged, at 6.0%.</w:t>
      </w:r>
    </w:p>
    <w:p w14:paraId="07EA9EA0"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2.</w:t>
      </w:r>
      <w:r w:rsidRPr="002D541D">
        <w:rPr>
          <w:rFonts w:ascii="Garamond" w:hAnsi="Garamond"/>
          <w:sz w:val="22"/>
          <w:szCs w:val="22"/>
        </w:rPr>
        <w:tab/>
        <w:t>To the Financial Department of the Central Bank of the Republic of Armenia to carry out operations in the financial market of the Republic of Armenia, using the interest rates, as follows:</w:t>
      </w:r>
    </w:p>
    <w:p w14:paraId="4ED403DD"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2.1</w:t>
      </w:r>
      <w:r w:rsidRPr="002D541D">
        <w:rPr>
          <w:rFonts w:ascii="Garamond" w:hAnsi="Garamond"/>
          <w:sz w:val="22"/>
          <w:szCs w:val="22"/>
        </w:rPr>
        <w:tab/>
        <w:t>Lombard facility rate offered by the Central Bank to be 7.5%.</w:t>
      </w:r>
    </w:p>
    <w:p w14:paraId="36A527C7"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2.2.</w:t>
      </w:r>
      <w:r w:rsidRPr="002D541D">
        <w:rPr>
          <w:rFonts w:ascii="Garamond" w:hAnsi="Garamond"/>
          <w:sz w:val="22"/>
          <w:szCs w:val="22"/>
        </w:rPr>
        <w:tab/>
        <w:t>Deposit facility rate offered by the Central Bank to be 4.5%.</w:t>
      </w:r>
    </w:p>
    <w:p w14:paraId="78F3C5BF" w14:textId="77777777" w:rsidR="00AE3B5F" w:rsidRPr="002D541D" w:rsidRDefault="00AE3B5F" w:rsidP="00AE3B5F">
      <w:pPr>
        <w:spacing w:line="360" w:lineRule="auto"/>
        <w:jc w:val="both"/>
        <w:rPr>
          <w:rFonts w:ascii="Garamond" w:hAnsi="Garamond"/>
          <w:sz w:val="22"/>
          <w:szCs w:val="22"/>
        </w:rPr>
      </w:pPr>
      <w:r w:rsidRPr="002D541D">
        <w:rPr>
          <w:rFonts w:ascii="Garamond" w:hAnsi="Garamond"/>
          <w:sz w:val="22"/>
          <w:szCs w:val="22"/>
        </w:rPr>
        <w:t>3.</w:t>
      </w:r>
      <w:r w:rsidRPr="002D541D">
        <w:rPr>
          <w:rFonts w:ascii="Garamond" w:hAnsi="Garamond"/>
          <w:sz w:val="22"/>
          <w:szCs w:val="22"/>
        </w:rPr>
        <w:tab/>
        <w:t>This resolution shall take force on the day following the adoption thereof.</w:t>
      </w:r>
    </w:p>
    <w:p w14:paraId="3AF62307" w14:textId="77777777" w:rsidR="00AE3B5F" w:rsidRPr="002D541D" w:rsidRDefault="00AE3B5F" w:rsidP="00AE3B5F">
      <w:pPr>
        <w:spacing w:line="360" w:lineRule="auto"/>
        <w:jc w:val="both"/>
        <w:rPr>
          <w:rFonts w:ascii="Garamond" w:hAnsi="Garamond"/>
          <w:sz w:val="22"/>
          <w:szCs w:val="22"/>
        </w:rPr>
      </w:pPr>
    </w:p>
    <w:p w14:paraId="0FAA9A17" w14:textId="77777777" w:rsidR="00AE3B5F" w:rsidRPr="002D541D" w:rsidRDefault="00AE3B5F" w:rsidP="00AE3B5F">
      <w:pPr>
        <w:spacing w:line="360" w:lineRule="auto"/>
        <w:jc w:val="both"/>
        <w:rPr>
          <w:rFonts w:ascii="Garamond" w:hAnsi="Garamond"/>
          <w:b/>
          <w:sz w:val="22"/>
          <w:szCs w:val="22"/>
        </w:rPr>
      </w:pPr>
      <w:r w:rsidRPr="002D541D">
        <w:rPr>
          <w:rFonts w:ascii="Garamond" w:hAnsi="Garamond"/>
          <w:b/>
          <w:sz w:val="22"/>
          <w:szCs w:val="22"/>
        </w:rPr>
        <w:t>Arthur Javadyan,</w:t>
      </w:r>
    </w:p>
    <w:p w14:paraId="1EE60FF7" w14:textId="77777777" w:rsidR="00AE3B5F" w:rsidRPr="002D541D" w:rsidRDefault="00AE3B5F" w:rsidP="00AE3B5F">
      <w:pPr>
        <w:spacing w:line="360" w:lineRule="auto"/>
        <w:jc w:val="both"/>
        <w:rPr>
          <w:rFonts w:ascii="Garamond" w:hAnsi="Garamond"/>
          <w:b/>
          <w:sz w:val="22"/>
          <w:szCs w:val="22"/>
        </w:rPr>
      </w:pPr>
      <w:r w:rsidRPr="002D541D">
        <w:rPr>
          <w:rFonts w:ascii="Garamond" w:hAnsi="Garamond"/>
          <w:b/>
          <w:sz w:val="22"/>
          <w:szCs w:val="22"/>
        </w:rPr>
        <w:t>Chairman of the CBA</w:t>
      </w:r>
    </w:p>
    <w:p w14:paraId="7AFF45A0" w14:textId="77777777" w:rsidR="00AE3B5F" w:rsidRPr="002D541D" w:rsidRDefault="00AE3B5F" w:rsidP="00AE3B5F">
      <w:pPr>
        <w:spacing w:line="360" w:lineRule="auto"/>
        <w:jc w:val="both"/>
        <w:rPr>
          <w:rFonts w:ascii="Garamond" w:hAnsi="Garamond"/>
          <w:b/>
          <w:sz w:val="22"/>
          <w:szCs w:val="22"/>
        </w:rPr>
      </w:pPr>
    </w:p>
    <w:p w14:paraId="2E1F1598" w14:textId="77777777" w:rsidR="00AE3B5F" w:rsidRPr="002D541D" w:rsidRDefault="00AE3B5F" w:rsidP="00AE3B5F">
      <w:pPr>
        <w:spacing w:line="360" w:lineRule="auto"/>
        <w:jc w:val="both"/>
        <w:rPr>
          <w:rFonts w:ascii="Garamond" w:hAnsi="Garamond"/>
          <w:sz w:val="22"/>
          <w:szCs w:val="22"/>
        </w:rPr>
      </w:pPr>
      <w:r w:rsidRPr="002D541D">
        <w:rPr>
          <w:rFonts w:ascii="Garamond" w:hAnsi="Garamond"/>
          <w:b/>
          <w:sz w:val="22"/>
          <w:szCs w:val="22"/>
        </w:rPr>
        <w:t>February 13, 2018</w:t>
      </w:r>
    </w:p>
    <w:p w14:paraId="798C3577" w14:textId="77777777" w:rsidR="00AE3B5F" w:rsidRPr="002D541D" w:rsidRDefault="00AE3B5F" w:rsidP="00AE3B5F">
      <w:pPr>
        <w:spacing w:line="360" w:lineRule="auto"/>
        <w:jc w:val="both"/>
        <w:rPr>
          <w:rFonts w:ascii="Garamond" w:hAnsi="Garamond"/>
          <w:sz w:val="22"/>
          <w:szCs w:val="22"/>
        </w:rPr>
      </w:pPr>
    </w:p>
    <w:p w14:paraId="12EC20DA" w14:textId="77777777" w:rsidR="00AE3B5F" w:rsidRPr="002D541D" w:rsidRDefault="00AE3B5F" w:rsidP="00AE3B5F">
      <w:pPr>
        <w:spacing w:line="360" w:lineRule="auto"/>
        <w:jc w:val="center"/>
        <w:rPr>
          <w:rFonts w:ascii="Garamond" w:hAnsi="Garamond"/>
          <w:b/>
          <w:color w:val="0070C0"/>
          <w:sz w:val="22"/>
          <w:szCs w:val="22"/>
        </w:rPr>
      </w:pPr>
    </w:p>
    <w:p w14:paraId="07B5002C" w14:textId="77777777" w:rsidR="00AE3B5F" w:rsidRPr="002D541D" w:rsidRDefault="00AE3B5F" w:rsidP="00AE3B5F">
      <w:pPr>
        <w:spacing w:line="360" w:lineRule="auto"/>
        <w:jc w:val="center"/>
        <w:rPr>
          <w:rFonts w:ascii="Garamond" w:hAnsi="Garamond"/>
          <w:b/>
          <w:color w:val="0070C0"/>
          <w:sz w:val="22"/>
          <w:szCs w:val="22"/>
        </w:rPr>
      </w:pPr>
    </w:p>
    <w:p w14:paraId="45D45B92" w14:textId="77777777" w:rsidR="00AE3B5F" w:rsidRPr="002D541D" w:rsidRDefault="00AE3B5F" w:rsidP="00AE3B5F">
      <w:pPr>
        <w:spacing w:line="360" w:lineRule="auto"/>
        <w:jc w:val="center"/>
        <w:rPr>
          <w:rFonts w:ascii="Garamond" w:hAnsi="Garamond"/>
          <w:b/>
          <w:color w:val="0070C0"/>
          <w:sz w:val="22"/>
          <w:szCs w:val="22"/>
        </w:rPr>
      </w:pPr>
    </w:p>
    <w:p w14:paraId="7EC9C3BB" w14:textId="77777777" w:rsidR="00AE3B5F" w:rsidRPr="002D541D" w:rsidRDefault="00AE3B5F" w:rsidP="00AE3B5F">
      <w:pPr>
        <w:spacing w:line="360" w:lineRule="auto"/>
        <w:jc w:val="center"/>
        <w:rPr>
          <w:rFonts w:ascii="Garamond" w:hAnsi="Garamond"/>
          <w:b/>
          <w:color w:val="0070C0"/>
          <w:sz w:val="22"/>
          <w:szCs w:val="22"/>
        </w:rPr>
      </w:pPr>
    </w:p>
    <w:p w14:paraId="1D66D904" w14:textId="77777777" w:rsidR="00AE3B5F" w:rsidRPr="002D541D" w:rsidRDefault="00AE3B5F" w:rsidP="00AE3B5F">
      <w:pPr>
        <w:spacing w:line="360" w:lineRule="auto"/>
        <w:jc w:val="center"/>
        <w:rPr>
          <w:rFonts w:ascii="Garamond" w:hAnsi="Garamond"/>
          <w:b/>
          <w:color w:val="0070C0"/>
          <w:sz w:val="22"/>
          <w:szCs w:val="22"/>
        </w:rPr>
      </w:pPr>
    </w:p>
    <w:p w14:paraId="0DA04081" w14:textId="77777777" w:rsidR="00AE3B5F" w:rsidRPr="002D541D" w:rsidRDefault="00AE3B5F" w:rsidP="00AE3B5F">
      <w:pPr>
        <w:spacing w:line="360" w:lineRule="auto"/>
        <w:jc w:val="center"/>
        <w:rPr>
          <w:rFonts w:ascii="Garamond" w:hAnsi="Garamond"/>
          <w:b/>
          <w:color w:val="0070C0"/>
          <w:sz w:val="22"/>
          <w:szCs w:val="22"/>
        </w:rPr>
      </w:pPr>
    </w:p>
    <w:p w14:paraId="57D7445E" w14:textId="77777777" w:rsidR="00AE3B5F" w:rsidRPr="002D541D" w:rsidRDefault="00AE3B5F" w:rsidP="00AE3B5F">
      <w:pPr>
        <w:spacing w:line="360" w:lineRule="auto"/>
        <w:jc w:val="center"/>
        <w:rPr>
          <w:rFonts w:ascii="Garamond" w:hAnsi="Garamond"/>
          <w:b/>
          <w:color w:val="0070C0"/>
          <w:sz w:val="22"/>
          <w:szCs w:val="22"/>
        </w:rPr>
      </w:pPr>
    </w:p>
    <w:p w14:paraId="7866AA21" w14:textId="77777777" w:rsidR="00AE3B5F" w:rsidRPr="002D541D" w:rsidRDefault="00AE3B5F" w:rsidP="00AE3B5F">
      <w:pPr>
        <w:spacing w:line="360" w:lineRule="auto"/>
        <w:jc w:val="center"/>
        <w:rPr>
          <w:rFonts w:ascii="Garamond" w:hAnsi="Garamond"/>
          <w:b/>
          <w:color w:val="0070C0"/>
          <w:sz w:val="22"/>
          <w:szCs w:val="22"/>
        </w:rPr>
      </w:pPr>
    </w:p>
    <w:p w14:paraId="1599A7FB" w14:textId="77777777" w:rsidR="00AE3B5F" w:rsidRPr="002D541D" w:rsidRDefault="00AE3B5F" w:rsidP="00AE3B5F">
      <w:pPr>
        <w:spacing w:line="360" w:lineRule="auto"/>
        <w:jc w:val="center"/>
        <w:rPr>
          <w:rFonts w:ascii="Garamond" w:hAnsi="Garamond"/>
          <w:b/>
          <w:color w:val="0070C0"/>
          <w:sz w:val="22"/>
          <w:szCs w:val="22"/>
        </w:rPr>
      </w:pPr>
    </w:p>
    <w:p w14:paraId="42CE028E" w14:textId="77777777" w:rsidR="00AE3B5F" w:rsidRPr="002D541D" w:rsidRDefault="00AE3B5F" w:rsidP="00AE3B5F">
      <w:pPr>
        <w:jc w:val="center"/>
        <w:rPr>
          <w:rFonts w:ascii="Garamond" w:hAnsi="Garamond"/>
          <w:b/>
          <w:color w:val="0070C0"/>
          <w:sz w:val="22"/>
          <w:szCs w:val="22"/>
        </w:rPr>
      </w:pPr>
    </w:p>
    <w:p w14:paraId="7444C82A" w14:textId="77777777" w:rsidR="00AE3B5F" w:rsidRPr="002D541D" w:rsidRDefault="00AE3B5F" w:rsidP="00AE3B5F">
      <w:pPr>
        <w:jc w:val="center"/>
        <w:rPr>
          <w:rFonts w:ascii="Garamond" w:hAnsi="Garamond"/>
          <w:b/>
          <w:color w:val="0070C0"/>
          <w:sz w:val="22"/>
          <w:szCs w:val="22"/>
        </w:rPr>
      </w:pPr>
    </w:p>
    <w:p w14:paraId="0DBFF782" w14:textId="77777777" w:rsidR="00AE3B5F" w:rsidRPr="002D541D" w:rsidRDefault="00AE3B5F" w:rsidP="00AE3B5F">
      <w:pPr>
        <w:jc w:val="center"/>
        <w:rPr>
          <w:rFonts w:ascii="Garamond" w:hAnsi="Garamond"/>
          <w:b/>
          <w:color w:val="0070C0"/>
          <w:sz w:val="22"/>
          <w:szCs w:val="22"/>
        </w:rPr>
      </w:pPr>
    </w:p>
    <w:p w14:paraId="188700A2" w14:textId="77777777" w:rsidR="00AE3B5F" w:rsidRPr="002D541D" w:rsidRDefault="00AE3B5F" w:rsidP="00AE3B5F">
      <w:pPr>
        <w:jc w:val="center"/>
        <w:rPr>
          <w:rFonts w:ascii="Garamond" w:hAnsi="Garamond"/>
          <w:b/>
          <w:color w:val="0070C0"/>
          <w:sz w:val="22"/>
          <w:szCs w:val="22"/>
        </w:rPr>
      </w:pPr>
      <w:r w:rsidRPr="002D541D">
        <w:rPr>
          <w:rFonts w:ascii="Garamond" w:hAnsi="Garamond"/>
          <w:b/>
          <w:color w:val="0070C0"/>
          <w:sz w:val="22"/>
          <w:szCs w:val="22"/>
        </w:rPr>
        <w:t>PRESS RELEASE</w:t>
      </w:r>
    </w:p>
    <w:p w14:paraId="0E30087E" w14:textId="77777777" w:rsidR="00AE3B5F" w:rsidRPr="002D541D" w:rsidRDefault="00AE3B5F" w:rsidP="00AE3B5F">
      <w:pPr>
        <w:jc w:val="center"/>
        <w:rPr>
          <w:rFonts w:ascii="Garamond" w:hAnsi="Garamond"/>
          <w:sz w:val="22"/>
          <w:szCs w:val="22"/>
        </w:rPr>
      </w:pPr>
      <w:r w:rsidRPr="002D541D">
        <w:rPr>
          <w:rFonts w:ascii="Garamond" w:hAnsi="Garamond"/>
          <w:b/>
          <w:color w:val="0070C0"/>
          <w:sz w:val="22"/>
          <w:szCs w:val="22"/>
        </w:rPr>
        <w:t>13.02.2018</w:t>
      </w:r>
    </w:p>
    <w:p w14:paraId="63C281BE" w14:textId="77777777" w:rsidR="00AE3B5F" w:rsidRPr="002D541D" w:rsidRDefault="00AE3B5F" w:rsidP="00AE3B5F">
      <w:pPr>
        <w:jc w:val="both"/>
        <w:rPr>
          <w:rFonts w:ascii="Garamond" w:hAnsi="Garamond"/>
          <w:sz w:val="22"/>
          <w:szCs w:val="22"/>
        </w:rPr>
      </w:pPr>
    </w:p>
    <w:p w14:paraId="37F84A2A" w14:textId="77777777" w:rsidR="00AE3B5F" w:rsidRPr="002D541D" w:rsidRDefault="00AE3B5F" w:rsidP="00AE3B5F">
      <w:pPr>
        <w:jc w:val="both"/>
        <w:rPr>
          <w:rFonts w:ascii="Garamond" w:hAnsi="Garamond"/>
          <w:sz w:val="22"/>
          <w:szCs w:val="22"/>
        </w:rPr>
      </w:pPr>
      <w:r w:rsidRPr="002D541D">
        <w:rPr>
          <w:rFonts w:ascii="Garamond" w:hAnsi="Garamond"/>
          <w:sz w:val="22"/>
          <w:szCs w:val="22"/>
        </w:rPr>
        <w:t>At the February 13th of 2018 meeting, the Board of the Central Bank of Armenia decided to leave the refinancing rate unchanged, at the level of 6.0%.</w:t>
      </w:r>
    </w:p>
    <w:p w14:paraId="4B41F590" w14:textId="77777777" w:rsidR="00AE3B5F" w:rsidRPr="002D541D" w:rsidRDefault="00AE3B5F" w:rsidP="00AE3B5F">
      <w:pPr>
        <w:jc w:val="both"/>
        <w:rPr>
          <w:rFonts w:ascii="Garamond" w:hAnsi="Garamond"/>
          <w:sz w:val="22"/>
          <w:szCs w:val="22"/>
        </w:rPr>
      </w:pPr>
    </w:p>
    <w:p w14:paraId="3C767A04" w14:textId="77777777" w:rsidR="00AE3B5F" w:rsidRPr="002D541D" w:rsidRDefault="00AE3B5F" w:rsidP="00AE3B5F">
      <w:pPr>
        <w:jc w:val="both"/>
        <w:rPr>
          <w:rFonts w:ascii="Garamond" w:hAnsi="Garamond"/>
          <w:sz w:val="22"/>
          <w:szCs w:val="22"/>
        </w:rPr>
      </w:pPr>
      <w:r w:rsidRPr="002D541D">
        <w:rPr>
          <w:rFonts w:ascii="Garamond" w:hAnsi="Garamond"/>
          <w:sz w:val="22"/>
          <w:szCs w:val="22"/>
        </w:rPr>
        <w:lastRenderedPageBreak/>
        <w:t>There was 2.7% inflation in January of 2018, almost as much as the indicator registered in the same month of the previous year, and the 12-month inflation rate amounted to 2.7% at the end of the month. Moreover, direct and indirect effects of change in tax and customs duties were within the estimation by the CBA.</w:t>
      </w:r>
    </w:p>
    <w:p w14:paraId="2833CA17" w14:textId="77777777" w:rsidR="00AE3B5F" w:rsidRPr="002D541D" w:rsidRDefault="00AE3B5F" w:rsidP="00AE3B5F">
      <w:pPr>
        <w:jc w:val="both"/>
        <w:rPr>
          <w:rFonts w:ascii="Garamond" w:hAnsi="Garamond"/>
          <w:sz w:val="22"/>
          <w:szCs w:val="22"/>
        </w:rPr>
      </w:pPr>
    </w:p>
    <w:p w14:paraId="65DC97A4" w14:textId="77777777" w:rsidR="00AE3B5F" w:rsidRPr="002D541D" w:rsidRDefault="00AE3B5F" w:rsidP="00AE3B5F">
      <w:pPr>
        <w:jc w:val="both"/>
        <w:rPr>
          <w:rFonts w:ascii="Garamond" w:hAnsi="Garamond"/>
          <w:sz w:val="22"/>
          <w:szCs w:val="22"/>
        </w:rPr>
      </w:pPr>
      <w:r w:rsidRPr="002D541D">
        <w:rPr>
          <w:rFonts w:ascii="Garamond" w:hAnsi="Garamond"/>
          <w:sz w:val="22"/>
          <w:szCs w:val="22"/>
        </w:rPr>
        <w:t xml:space="preserve">Actual developments in the external environment have largely reflected continued trends for improving global economic growth and persisting inflationary patterns in some commodity markets of the world. In view of such developments, the CBA Board keeps anticipating minor inflationary effects from the external sector, as external demand recovers. </w:t>
      </w:r>
    </w:p>
    <w:p w14:paraId="5AB24CC3" w14:textId="77777777" w:rsidR="00AE3B5F" w:rsidRPr="002D541D" w:rsidRDefault="00AE3B5F" w:rsidP="00AE3B5F">
      <w:pPr>
        <w:jc w:val="both"/>
        <w:rPr>
          <w:rFonts w:ascii="Garamond" w:hAnsi="Garamond"/>
          <w:sz w:val="22"/>
          <w:szCs w:val="22"/>
        </w:rPr>
      </w:pPr>
    </w:p>
    <w:p w14:paraId="0537BB0C" w14:textId="77777777" w:rsidR="00AE3B5F" w:rsidRPr="002D541D" w:rsidRDefault="00AE3B5F" w:rsidP="00AE3B5F">
      <w:pPr>
        <w:jc w:val="both"/>
        <w:rPr>
          <w:rFonts w:ascii="Garamond" w:hAnsi="Garamond"/>
          <w:sz w:val="22"/>
          <w:szCs w:val="22"/>
        </w:rPr>
      </w:pPr>
      <w:r w:rsidRPr="002D541D">
        <w:rPr>
          <w:rFonts w:ascii="Garamond" w:hAnsi="Garamond"/>
          <w:sz w:val="22"/>
          <w:szCs w:val="22"/>
        </w:rPr>
        <w:t xml:space="preserve">The CBA Board notes that economic activity was strong enough in the fourth quarter of 2017, driven primarily by high growths reported in services and industry. High economic activity was concurrent with rapid growth in domestic private demand, which continues to be promoted by expansionary monetary policy and a relatively high growth in lending to the economy by the financial system. Nevertheless, there is still a need for monetary stimulation to secure sustained recovery of demand, especially since additional inflation expectations have rather weakened. </w:t>
      </w:r>
    </w:p>
    <w:p w14:paraId="460F658B" w14:textId="77777777" w:rsidR="00AE3B5F" w:rsidRPr="002D541D" w:rsidRDefault="00AE3B5F" w:rsidP="00AE3B5F">
      <w:pPr>
        <w:jc w:val="both"/>
        <w:rPr>
          <w:rFonts w:ascii="Garamond" w:hAnsi="Garamond"/>
          <w:sz w:val="22"/>
          <w:szCs w:val="22"/>
        </w:rPr>
      </w:pPr>
    </w:p>
    <w:p w14:paraId="57B76973" w14:textId="77777777" w:rsidR="00AE3B5F" w:rsidRPr="002D541D" w:rsidRDefault="00AE3B5F" w:rsidP="00AE3B5F">
      <w:pPr>
        <w:jc w:val="both"/>
        <w:rPr>
          <w:rFonts w:ascii="Garamond" w:hAnsi="Garamond"/>
          <w:sz w:val="22"/>
          <w:szCs w:val="22"/>
        </w:rPr>
      </w:pPr>
      <w:r w:rsidRPr="002D541D">
        <w:rPr>
          <w:rFonts w:ascii="Garamond" w:hAnsi="Garamond"/>
          <w:sz w:val="22"/>
          <w:szCs w:val="22"/>
        </w:rPr>
        <w:t xml:space="preserve">Taking the abovementioned into account, the CBA Board finds it reasonable to maintain the current level of monetary conditions. At the same time, the Board believes that, in light of predicted developments, a gradual offsetting of expansionary monetary conditions would be needed in the medium run to fulfil the inflation target. As a result, inflation will continue to gradually increase, floating within the confidence band and stabilizing around the target afterwards.      </w:t>
      </w:r>
    </w:p>
    <w:p w14:paraId="32554675" w14:textId="77777777" w:rsidR="00AE3B5F" w:rsidRPr="002D541D" w:rsidRDefault="00AE3B5F" w:rsidP="00AE3B5F">
      <w:pPr>
        <w:jc w:val="both"/>
        <w:rPr>
          <w:rFonts w:ascii="Garamond" w:hAnsi="Garamond"/>
          <w:sz w:val="22"/>
          <w:szCs w:val="22"/>
        </w:rPr>
      </w:pPr>
      <w:r w:rsidRPr="002D541D">
        <w:rPr>
          <w:rFonts w:ascii="Garamond" w:hAnsi="Garamond"/>
          <w:sz w:val="22"/>
          <w:szCs w:val="22"/>
        </w:rPr>
        <w:t>Should there emerge risks to economic growth outlook and to the inflation deviating from its recovery path, the CBA would adjust the monetary policy directions accordingly.</w:t>
      </w:r>
    </w:p>
    <w:p w14:paraId="0C7CBCA4" w14:textId="77777777" w:rsidR="00AE3B5F" w:rsidRPr="002D541D" w:rsidRDefault="00AE3B5F" w:rsidP="00AE3B5F">
      <w:pPr>
        <w:jc w:val="both"/>
        <w:rPr>
          <w:rFonts w:ascii="Garamond" w:hAnsi="Garamond"/>
          <w:b/>
          <w:sz w:val="22"/>
          <w:szCs w:val="22"/>
        </w:rPr>
      </w:pPr>
    </w:p>
    <w:p w14:paraId="285D93A8" w14:textId="77777777" w:rsidR="002D541D" w:rsidRDefault="00AE3B5F" w:rsidP="008C1568">
      <w:pPr>
        <w:spacing w:line="360" w:lineRule="auto"/>
        <w:jc w:val="both"/>
        <w:rPr>
          <w:rFonts w:ascii="Garamond" w:hAnsi="Garamond"/>
          <w:color w:val="C00000"/>
          <w:sz w:val="22"/>
          <w:szCs w:val="22"/>
        </w:rPr>
      </w:pPr>
      <w:r w:rsidRPr="002D541D">
        <w:rPr>
          <w:rFonts w:ascii="Garamond" w:hAnsi="Garamond"/>
          <w:color w:val="C00000"/>
          <w:sz w:val="22"/>
          <w:szCs w:val="22"/>
        </w:rPr>
        <w:t>………………………………………………………………………………………………………</w:t>
      </w:r>
    </w:p>
    <w:p w14:paraId="28F650BA" w14:textId="77777777" w:rsidR="00D21F21" w:rsidRPr="002D541D" w:rsidRDefault="00AE3B5F" w:rsidP="008C1568">
      <w:pPr>
        <w:spacing w:line="360" w:lineRule="auto"/>
        <w:jc w:val="both"/>
        <w:rPr>
          <w:rFonts w:ascii="Garamond" w:hAnsi="Garamond"/>
          <w:b/>
          <w:color w:val="0070C0"/>
          <w:sz w:val="22"/>
          <w:szCs w:val="22"/>
        </w:rPr>
      </w:pPr>
      <w:r w:rsidRPr="002D541D">
        <w:rPr>
          <w:rFonts w:ascii="Garamond" w:hAnsi="Garamond"/>
          <w:sz w:val="22"/>
          <w:szCs w:val="22"/>
        </w:rPr>
        <w:t>Press Service of the Central Bank of Armenia</w:t>
      </w:r>
    </w:p>
    <w:sectPr w:rsidR="00D21F21" w:rsidRPr="002D5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7D651" w14:textId="77777777" w:rsidR="00767171" w:rsidRDefault="00767171" w:rsidP="00EE619D">
      <w:r>
        <w:separator/>
      </w:r>
    </w:p>
  </w:endnote>
  <w:endnote w:type="continuationSeparator" w:id="0">
    <w:p w14:paraId="2862C8EA" w14:textId="77777777" w:rsidR="00767171" w:rsidRDefault="00767171"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7838" w14:textId="77777777" w:rsidR="00767171" w:rsidRDefault="00767171" w:rsidP="00EE619D">
      <w:r>
        <w:separator/>
      </w:r>
    </w:p>
  </w:footnote>
  <w:footnote w:type="continuationSeparator" w:id="0">
    <w:p w14:paraId="277BF6F1" w14:textId="77777777" w:rsidR="00767171" w:rsidRDefault="00767171" w:rsidP="00EE619D">
      <w:r>
        <w:continuationSeparator/>
      </w:r>
    </w:p>
  </w:footnote>
  <w:footnote w:id="1">
    <w:p w14:paraId="29017035" w14:textId="77777777" w:rsidR="00200ECA" w:rsidRPr="009D03A7" w:rsidRDefault="00200ECA">
      <w:pPr>
        <w:pStyle w:val="FootnoteText"/>
        <w:rPr>
          <w:rFonts w:ascii="Garamond" w:hAnsi="Garamond"/>
        </w:rPr>
      </w:pPr>
      <w:r w:rsidRPr="009D03A7">
        <w:rPr>
          <w:rStyle w:val="FootnoteReference"/>
          <w:rFonts w:ascii="Garamond" w:hAnsi="Garamond"/>
        </w:rPr>
        <w:t>2</w:t>
      </w:r>
      <w:r w:rsidRPr="009D03A7">
        <w:rPr>
          <w:rFonts w:ascii="Garamond" w:hAnsi="Garamond"/>
        </w:rPr>
        <w:t xml:space="preserve"> http://cbr.ru/press/PR/?file=09022018_133031 </w:t>
      </w:r>
      <w:proofErr w:type="spellStart"/>
      <w:r w:rsidRPr="009D03A7">
        <w:rPr>
          <w:rFonts w:ascii="Garamond" w:hAnsi="Garamond"/>
        </w:rPr>
        <w:t>keyrate</w:t>
      </w:r>
      <w:proofErr w:type="spellEnd"/>
      <w:r w:rsidRPr="009D03A7">
        <w:rPr>
          <w:rFonts w:ascii="Garamond" w:hAnsi="Garamond"/>
        </w:rPr>
        <w:t xml:space="preserve"> 2018-02-09T13_29_29.htm.</w:t>
      </w:r>
    </w:p>
  </w:footnote>
  <w:footnote w:id="2">
    <w:p w14:paraId="373A71CD" w14:textId="77777777" w:rsidR="00200ECA" w:rsidRPr="0074684B" w:rsidRDefault="00200ECA" w:rsidP="007E77B6">
      <w:pPr>
        <w:pStyle w:val="FootnoteText"/>
        <w:jc w:val="both"/>
        <w:rPr>
          <w:rFonts w:ascii="Garamond" w:hAnsi="Garamond"/>
        </w:rPr>
      </w:pPr>
      <w:r w:rsidRPr="0074684B">
        <w:rPr>
          <w:rStyle w:val="FootnoteReference"/>
          <w:rFonts w:ascii="Garamond" w:hAnsi="Garamond"/>
        </w:rPr>
        <w:t>3</w:t>
      </w:r>
      <w:r w:rsidRPr="0074684B">
        <w:rPr>
          <w:rFonts w:ascii="Garamond" w:hAnsi="Garamond"/>
        </w:rPr>
        <w:t xml:space="preserve"> January saw a 0.4 pp contribution, mainly owing to the direct impact of the excise tax. </w:t>
      </w:r>
    </w:p>
  </w:footnote>
  <w:footnote w:id="3">
    <w:p w14:paraId="582CA96D" w14:textId="77777777" w:rsidR="00200ECA" w:rsidRPr="0074684B" w:rsidRDefault="00200ECA" w:rsidP="00EE619D">
      <w:pPr>
        <w:pStyle w:val="FootnoteText"/>
        <w:jc w:val="both"/>
        <w:rPr>
          <w:rFonts w:ascii="Garamond" w:hAnsi="Garamond"/>
        </w:rPr>
      </w:pPr>
      <w:r>
        <w:rPr>
          <w:rStyle w:val="FootnoteReference"/>
        </w:rPr>
        <w:t>4</w:t>
      </w:r>
      <w:r w:rsidRPr="0074684B">
        <w:rPr>
          <w:rFonts w:ascii="Garamond" w:hAnsi="Garamond"/>
        </w:rPr>
        <w:t xml:space="preserve"> For a detailed account of economic growth forecasts, see the GDP projection probability distribution chart.</w:t>
      </w:r>
    </w:p>
  </w:footnote>
  <w:footnote w:id="4">
    <w:p w14:paraId="446CA047" w14:textId="77777777" w:rsidR="00200ECA" w:rsidRPr="007E61AF" w:rsidRDefault="00200ECA" w:rsidP="007E61AF">
      <w:pPr>
        <w:pStyle w:val="FootnoteText"/>
        <w:jc w:val="both"/>
        <w:rPr>
          <w:rFonts w:ascii="Garamond" w:hAnsi="Garamond"/>
        </w:rPr>
      </w:pPr>
      <w:r w:rsidRPr="007E61AF">
        <w:rPr>
          <w:rStyle w:val="FootnoteReference"/>
          <w:rFonts w:ascii="Garamond" w:hAnsi="Garamond"/>
        </w:rPr>
        <w:t>5</w:t>
      </w:r>
      <w:r w:rsidRPr="007E61AF">
        <w:rPr>
          <w:rFonts w:ascii="Garamond" w:hAnsi="Garamond"/>
        </w:rPr>
        <w:t xml:space="preserve"> In the fiscal sector’s impact assessment, the fourth quarter 2017 figures, hence annual indicators, do not include AMD 82.2 billion-worth Russian Commodity Loan received at the end of the year, since it is not an actual flow.</w:t>
      </w:r>
    </w:p>
  </w:footnote>
  <w:footnote w:id="5">
    <w:p w14:paraId="164D89EE" w14:textId="77777777" w:rsidR="00200ECA" w:rsidRPr="00E56598" w:rsidRDefault="00200ECA" w:rsidP="00E56598">
      <w:pPr>
        <w:pStyle w:val="FootnoteText"/>
        <w:jc w:val="both"/>
        <w:rPr>
          <w:rFonts w:ascii="Garamond" w:hAnsi="Garamond"/>
        </w:rPr>
      </w:pPr>
      <w:r w:rsidRPr="007E61AF">
        <w:rPr>
          <w:rStyle w:val="FootnoteReference"/>
          <w:rFonts w:ascii="Garamond" w:hAnsi="Garamond"/>
        </w:rPr>
        <w:t>6</w:t>
      </w:r>
      <w:r w:rsidRPr="007E61AF">
        <w:rPr>
          <w:rFonts w:ascii="Garamond" w:hAnsi="Garamond"/>
        </w:rPr>
        <w:t xml:space="preserve"> </w:t>
      </w:r>
      <w:r>
        <w:rPr>
          <w:rFonts w:ascii="Garamond" w:hAnsi="Garamond"/>
        </w:rPr>
        <w:t>T</w:t>
      </w:r>
      <w:r w:rsidRPr="007E61AF">
        <w:rPr>
          <w:rFonts w:ascii="Garamond" w:hAnsi="Garamond"/>
        </w:rPr>
        <w:t xml:space="preserve">he amount of Commodity Loan </w:t>
      </w:r>
      <w:r>
        <w:rPr>
          <w:rFonts w:ascii="Garamond" w:hAnsi="Garamond"/>
        </w:rPr>
        <w:t>entered in late 2017 has been included in s</w:t>
      </w:r>
      <w:r w:rsidRPr="007E61AF">
        <w:rPr>
          <w:rFonts w:ascii="Garamond" w:hAnsi="Garamond"/>
        </w:rPr>
        <w:t xml:space="preserve">tate budget expenditures and, consequently, </w:t>
      </w:r>
      <w:r w:rsidRPr="00E56598">
        <w:rPr>
          <w:rFonts w:ascii="Garamond" w:hAnsi="Garamond"/>
        </w:rPr>
        <w:t>the deficit, to ensure comparability.</w:t>
      </w:r>
    </w:p>
  </w:footnote>
  <w:footnote w:id="6">
    <w:p w14:paraId="37B12389" w14:textId="77777777" w:rsidR="00200ECA" w:rsidRPr="00E56598" w:rsidRDefault="00200ECA" w:rsidP="00E56598">
      <w:pPr>
        <w:pStyle w:val="FootnoteText"/>
        <w:jc w:val="both"/>
        <w:rPr>
          <w:rFonts w:ascii="Garamond" w:hAnsi="Garamond"/>
          <w:b/>
        </w:rPr>
      </w:pPr>
      <w:r w:rsidRPr="00E56598">
        <w:rPr>
          <w:rStyle w:val="FootnoteReference"/>
          <w:rFonts w:ascii="Garamond" w:hAnsi="Garamond"/>
        </w:rPr>
        <w:t>7</w:t>
      </w:r>
      <w:r w:rsidRPr="00E56598">
        <w:rPr>
          <w:rFonts w:ascii="Garamond" w:hAnsi="Garamond"/>
        </w:rPr>
        <w:t xml:space="preserve"> Based on the draft law on the Republic of Armenia State Budget 2018 indicators.</w:t>
      </w:r>
    </w:p>
  </w:footnote>
  <w:footnote w:id="7">
    <w:p w14:paraId="21AD21D4" w14:textId="77777777" w:rsidR="00200ECA" w:rsidRPr="00E56598" w:rsidRDefault="00200ECA" w:rsidP="00E56598">
      <w:pPr>
        <w:pStyle w:val="FootnoteText"/>
        <w:jc w:val="both"/>
        <w:rPr>
          <w:rFonts w:ascii="Garamond" w:hAnsi="Garamond"/>
        </w:rPr>
      </w:pPr>
      <w:r w:rsidRPr="00E56598">
        <w:rPr>
          <w:rStyle w:val="FootnoteReference"/>
          <w:rFonts w:ascii="Garamond" w:hAnsi="Garamond"/>
        </w:rPr>
        <w:t>8</w:t>
      </w:r>
      <w:r w:rsidRPr="00E56598">
        <w:rPr>
          <w:rFonts w:ascii="Garamond" w:hAnsi="Garamond"/>
        </w:rPr>
        <w:t xml:space="preserve"> </w:t>
      </w:r>
      <w:r>
        <w:rPr>
          <w:rFonts w:ascii="Garamond" w:hAnsi="Garamond"/>
        </w:rPr>
        <w:t>N</w:t>
      </w:r>
      <w:r w:rsidRPr="00E56598">
        <w:rPr>
          <w:rFonts w:ascii="Garamond" w:hAnsi="Garamond"/>
        </w:rPr>
        <w:t xml:space="preserve">et lending </w:t>
      </w:r>
      <w:r>
        <w:rPr>
          <w:rFonts w:ascii="Garamond" w:hAnsi="Garamond"/>
        </w:rPr>
        <w:t xml:space="preserve">is considered expansionary when provided and contractionary when recovered. Provision of net lending is anticipated in </w:t>
      </w:r>
      <w:r w:rsidRPr="00E56598">
        <w:rPr>
          <w:rFonts w:ascii="Garamond" w:hAnsi="Garamond"/>
        </w:rPr>
        <w:t>2018-2019</w:t>
      </w:r>
      <w:r>
        <w:rPr>
          <w:rFonts w:ascii="Garamond" w:hAnsi="Garamond"/>
        </w:rPr>
        <w:t xml:space="preserve"> and recovery of funds </w:t>
      </w:r>
      <w:r w:rsidRPr="00E56598">
        <w:rPr>
          <w:rFonts w:ascii="Garamond" w:hAnsi="Garamond"/>
        </w:rPr>
        <w:t>in 2019.</w:t>
      </w:r>
    </w:p>
  </w:footnote>
  <w:footnote w:id="8">
    <w:p w14:paraId="09F77A71" w14:textId="77777777" w:rsidR="00200ECA" w:rsidRPr="00331DDB" w:rsidRDefault="00200ECA" w:rsidP="00E31B2F">
      <w:pPr>
        <w:pStyle w:val="FootnoteText"/>
        <w:jc w:val="both"/>
        <w:rPr>
          <w:rFonts w:ascii="Garamond" w:hAnsi="Garamond"/>
        </w:rPr>
      </w:pPr>
      <w:r>
        <w:rPr>
          <w:rStyle w:val="FootnoteReference"/>
        </w:rPr>
        <w:t>9</w:t>
      </w:r>
      <w:r w:rsidRPr="00331DDB">
        <w:rPr>
          <w:rFonts w:ascii="Garamond" w:hAnsi="Garamond"/>
        </w:rPr>
        <w:t xml:space="preserve"> The labor market data for 2017-2020 are the Central Bank projections which are based on the </w:t>
      </w:r>
      <w:r>
        <w:rPr>
          <w:rFonts w:ascii="Garamond" w:hAnsi="Garamond"/>
        </w:rPr>
        <w:t>third</w:t>
      </w:r>
      <w:r w:rsidRPr="00331DDB">
        <w:rPr>
          <w:rFonts w:ascii="Garamond" w:hAnsi="Garamond"/>
        </w:rPr>
        <w:t xml:space="preserve"> quarter of 2017 data and actual January-</w:t>
      </w:r>
      <w:r>
        <w:rPr>
          <w:rFonts w:ascii="Garamond" w:hAnsi="Garamond"/>
        </w:rPr>
        <w:t>November</w:t>
      </w:r>
      <w:r w:rsidRPr="00331DDB">
        <w:rPr>
          <w:rFonts w:ascii="Garamond" w:hAnsi="Garamond"/>
        </w:rPr>
        <w:t xml:space="preserve"> 2017 figures. The growth indicators presented in this sub-section are relative to the same reference period last year, unless otherwise specified.</w:t>
      </w:r>
    </w:p>
  </w:footnote>
  <w:footnote w:id="9">
    <w:p w14:paraId="7620EBE8" w14:textId="77777777" w:rsidR="00200ECA" w:rsidRPr="00907EF9" w:rsidRDefault="00200ECA" w:rsidP="00907EF9">
      <w:pPr>
        <w:pStyle w:val="FootnoteText"/>
        <w:jc w:val="both"/>
        <w:rPr>
          <w:rFonts w:ascii="Garamond" w:hAnsi="Garamond"/>
        </w:rPr>
      </w:pPr>
      <w:r w:rsidRPr="00907EF9">
        <w:rPr>
          <w:rStyle w:val="FootnoteReference"/>
          <w:rFonts w:ascii="Garamond" w:hAnsi="Garamond"/>
        </w:rPr>
        <w:t>11</w:t>
      </w:r>
      <w:r w:rsidRPr="00907EF9">
        <w:rPr>
          <w:rFonts w:ascii="Garamond" w:hAnsi="Garamond"/>
        </w:rPr>
        <w:t xml:space="preserve"> The additional inflation expectations in this case refer to expectations that are not conditioned by actual and rational forecasts of inflation but rather other factors – political speculations, for example.</w:t>
      </w:r>
    </w:p>
  </w:footnote>
  <w:footnote w:id="10">
    <w:p w14:paraId="68071F96" w14:textId="77777777" w:rsidR="00200ECA" w:rsidRPr="009F698D" w:rsidRDefault="00200ECA" w:rsidP="00B15CCA">
      <w:pPr>
        <w:pStyle w:val="FootnoteText"/>
        <w:jc w:val="both"/>
        <w:rPr>
          <w:rFonts w:ascii="Garamond" w:hAnsi="Garamond"/>
        </w:rPr>
      </w:pPr>
      <w:r>
        <w:rPr>
          <w:rStyle w:val="FootnoteReference"/>
        </w:rPr>
        <w:t>12</w:t>
      </w:r>
      <w:r w:rsidRPr="009F698D">
        <w:rPr>
          <w:rFonts w:ascii="Garamond" w:hAnsi="Garamond"/>
        </w:rPr>
        <w:t xml:space="preserve"> </w:t>
      </w:r>
      <w:r>
        <w:rPr>
          <w:rFonts w:ascii="Garamond" w:hAnsi="Garamond"/>
        </w:rPr>
        <w:t xml:space="preserve">The results of the </w:t>
      </w:r>
      <w:proofErr w:type="spellStart"/>
      <w:r>
        <w:rPr>
          <w:rFonts w:ascii="Garamond" w:hAnsi="Garamond"/>
        </w:rPr>
        <w:t>Am</w:t>
      </w:r>
      <w:r w:rsidRPr="009F698D">
        <w:rPr>
          <w:rFonts w:ascii="Garamond" w:hAnsi="Garamond"/>
        </w:rPr>
        <w:t>ulsar</w:t>
      </w:r>
      <w:proofErr w:type="spellEnd"/>
      <w:r w:rsidRPr="009F698D">
        <w:rPr>
          <w:rFonts w:ascii="Garamond" w:hAnsi="Garamond"/>
        </w:rPr>
        <w:t xml:space="preserve"> mine investment program not </w:t>
      </w:r>
      <w:r>
        <w:rPr>
          <w:rFonts w:ascii="Garamond" w:hAnsi="Garamond"/>
        </w:rPr>
        <w:t>considered</w:t>
      </w:r>
      <w:r w:rsidRPr="009F698D">
        <w:rPr>
          <w:rFonts w:ascii="Garamond" w:hAnsi="Garamond"/>
        </w:rPr>
        <w:t xml:space="preserve"> due to the lack of information on </w:t>
      </w:r>
      <w:r>
        <w:rPr>
          <w:rFonts w:ascii="Garamond" w:hAnsi="Garamond"/>
        </w:rPr>
        <w:t xml:space="preserve">the operations dates </w:t>
      </w:r>
      <w:r w:rsidRPr="009F698D">
        <w:rPr>
          <w:rFonts w:ascii="Garamond" w:hAnsi="Garamond"/>
        </w:rPr>
        <w:t>and extraction volumes.</w:t>
      </w:r>
    </w:p>
  </w:footnote>
  <w:footnote w:id="11">
    <w:p w14:paraId="7453A484" w14:textId="77777777" w:rsidR="00200ECA" w:rsidRPr="008551A6" w:rsidRDefault="00200ECA" w:rsidP="008551A6">
      <w:pPr>
        <w:pStyle w:val="FootnoteText"/>
        <w:jc w:val="both"/>
        <w:rPr>
          <w:rFonts w:ascii="Garamond" w:hAnsi="Garamond"/>
        </w:rPr>
      </w:pPr>
      <w:r w:rsidRPr="008551A6">
        <w:rPr>
          <w:rStyle w:val="FootnoteReference"/>
          <w:rFonts w:ascii="Garamond" w:hAnsi="Garamond"/>
        </w:rPr>
        <w:t>14</w:t>
      </w:r>
      <w:r w:rsidRPr="008551A6">
        <w:rPr>
          <w:rFonts w:ascii="Garamond" w:hAnsi="Garamond"/>
        </w:rPr>
        <w:t xml:space="preserve"> Works carried out at </w:t>
      </w:r>
      <w:proofErr w:type="spellStart"/>
      <w:r w:rsidRPr="008551A6">
        <w:rPr>
          <w:rFonts w:ascii="Garamond" w:hAnsi="Garamond"/>
        </w:rPr>
        <w:t>Amulsar</w:t>
      </w:r>
      <w:proofErr w:type="spellEnd"/>
      <w:r w:rsidRPr="008551A6">
        <w:rPr>
          <w:rFonts w:ascii="Garamond" w:hAnsi="Garamond"/>
        </w:rPr>
        <w:t xml:space="preserve"> mine construction</w:t>
      </w:r>
      <w:r>
        <w:rPr>
          <w:rFonts w:ascii="Garamond" w:hAnsi="Garamond"/>
        </w:rPr>
        <w:t xml:space="preserve"> </w:t>
      </w:r>
      <w:r w:rsidR="002D541D">
        <w:rPr>
          <w:rFonts w:ascii="Garamond" w:hAnsi="Garamond"/>
        </w:rPr>
        <w:t xml:space="preserve">stage </w:t>
      </w:r>
      <w:r w:rsidRPr="008551A6">
        <w:rPr>
          <w:rFonts w:ascii="Garamond" w:hAnsi="Garamond"/>
        </w:rPr>
        <w:t xml:space="preserve">in 2017 have started to be registered in the Armenia National Statistics Service reports since November 2017, which has significantly </w:t>
      </w:r>
      <w:r>
        <w:rPr>
          <w:rFonts w:ascii="Garamond" w:hAnsi="Garamond"/>
        </w:rPr>
        <w:t xml:space="preserve">added to </w:t>
      </w:r>
      <w:r w:rsidRPr="008551A6">
        <w:rPr>
          <w:rFonts w:ascii="Garamond" w:hAnsi="Garamond"/>
        </w:rPr>
        <w:t>the indicator of construction industry output for 2017.</w:t>
      </w:r>
    </w:p>
  </w:footnote>
  <w:footnote w:id="12">
    <w:p w14:paraId="47DB52CA" w14:textId="77777777" w:rsidR="00200ECA" w:rsidRPr="00B178C0" w:rsidRDefault="00200ECA" w:rsidP="004B4262">
      <w:pPr>
        <w:pStyle w:val="FootnoteText"/>
        <w:jc w:val="both"/>
        <w:rPr>
          <w:rFonts w:ascii="Garamond" w:hAnsi="Garamond"/>
        </w:rPr>
      </w:pPr>
      <w:r>
        <w:rPr>
          <w:rStyle w:val="FootnoteReference"/>
        </w:rPr>
        <w:t>15</w:t>
      </w:r>
      <w:r w:rsidRPr="00B178C0">
        <w:rPr>
          <w:rFonts w:ascii="Garamond" w:hAnsi="Garamond"/>
        </w:rPr>
        <w:t xml:space="preserve"> </w:t>
      </w:r>
      <w:r w:rsidRPr="00B178C0">
        <w:rPr>
          <w:rFonts w:ascii="Garamond" w:hAnsi="Garamond"/>
          <w:lang w:val="pt-BR"/>
        </w:rPr>
        <w:t>Real export and import growth indicators are the Central Bank estimates</w:t>
      </w:r>
      <w:r w:rsidRPr="00B178C0">
        <w:rPr>
          <w:rFonts w:ascii="Garamond" w:hAnsi="Garamond"/>
          <w:color w:val="000000"/>
        </w:rPr>
        <w:t>.</w:t>
      </w:r>
    </w:p>
  </w:footnote>
  <w:footnote w:id="13">
    <w:p w14:paraId="4403EC85" w14:textId="77777777" w:rsidR="00200ECA" w:rsidRPr="00B178C0" w:rsidRDefault="00200ECA" w:rsidP="00B178C0">
      <w:pPr>
        <w:pStyle w:val="FootnoteText"/>
        <w:jc w:val="both"/>
        <w:rPr>
          <w:rFonts w:ascii="Garamond" w:hAnsi="Garamond"/>
        </w:rPr>
      </w:pPr>
      <w:r>
        <w:rPr>
          <w:rStyle w:val="FootnoteReference"/>
        </w:rPr>
        <w:t>16</w:t>
      </w:r>
      <w:r w:rsidRPr="00B178C0">
        <w:rPr>
          <w:rFonts w:ascii="Garamond" w:hAnsi="Garamond"/>
        </w:rPr>
        <w:t xml:space="preserve"> </w:t>
      </w:r>
      <w:r w:rsidRPr="00B178C0">
        <w:rPr>
          <w:rFonts w:ascii="Garamond" w:hAnsi="Garamond"/>
          <w:iCs/>
        </w:rPr>
        <w:t xml:space="preserve">The review of the fiscal sector was done using preliminary actual consolidated budget indicators (local budgets as an estimate) prepared on the basis of preliminary actual indicators of the </w:t>
      </w:r>
      <w:r>
        <w:rPr>
          <w:rFonts w:ascii="Garamond" w:hAnsi="Garamond"/>
          <w:iCs/>
        </w:rPr>
        <w:t>fourth</w:t>
      </w:r>
      <w:r w:rsidRPr="00B178C0">
        <w:rPr>
          <w:rFonts w:ascii="Garamond" w:hAnsi="Garamond"/>
          <w:iCs/>
        </w:rPr>
        <w:t xml:space="preserve"> quarter of 2017 (PIU funds included), excluding off-budgetary funds. The impact of revenues was calculated in respect of the nominal GDP indicator while the impact of expenditures, in respect of an estimated economic potential.</w:t>
      </w:r>
    </w:p>
  </w:footnote>
  <w:footnote w:id="14">
    <w:p w14:paraId="65957BB0" w14:textId="77777777" w:rsidR="00200ECA" w:rsidRPr="00EF53B6" w:rsidRDefault="00200ECA" w:rsidP="00EF53B6">
      <w:pPr>
        <w:pStyle w:val="FootnoteText"/>
        <w:jc w:val="both"/>
        <w:rPr>
          <w:rFonts w:ascii="Garamond" w:hAnsi="Garamond"/>
        </w:rPr>
      </w:pPr>
      <w:r w:rsidRPr="00EF53B6">
        <w:rPr>
          <w:rStyle w:val="FootnoteReference"/>
          <w:rFonts w:ascii="Garamond" w:hAnsi="Garamond"/>
        </w:rPr>
        <w:t>17</w:t>
      </w:r>
      <w:r w:rsidRPr="00EF53B6">
        <w:rPr>
          <w:rFonts w:ascii="Garamond" w:hAnsi="Garamond"/>
        </w:rPr>
        <w:t xml:space="preserve"> The revenue projection was commensurate with the 2017 revenue estimate as outlined in the state budget draft. </w:t>
      </w:r>
    </w:p>
  </w:footnote>
  <w:footnote w:id="15">
    <w:p w14:paraId="32B6F2D1" w14:textId="77777777" w:rsidR="00200ECA" w:rsidRPr="00EF53B6" w:rsidRDefault="00200ECA" w:rsidP="00EF53B6">
      <w:pPr>
        <w:pStyle w:val="FootnoteText"/>
        <w:jc w:val="both"/>
        <w:rPr>
          <w:rFonts w:ascii="Garamond" w:hAnsi="Garamond"/>
        </w:rPr>
      </w:pPr>
      <w:r w:rsidRPr="00EF53B6">
        <w:rPr>
          <w:rStyle w:val="FootnoteReference"/>
          <w:rFonts w:ascii="Garamond" w:hAnsi="Garamond"/>
        </w:rPr>
        <w:t>18</w:t>
      </w:r>
      <w:r w:rsidRPr="00EF53B6">
        <w:rPr>
          <w:rFonts w:ascii="Garamond" w:hAnsi="Garamond"/>
        </w:rPr>
        <w:t xml:space="preserve"> In the fiscal sector’s impact assessment, the fourth quarter 2017 figures, hence annual indicators, do not include AMD 82.2 billion-worth Russian Commodity Loan</w:t>
      </w:r>
      <w:r>
        <w:rPr>
          <w:rFonts w:ascii="Garamond" w:hAnsi="Garamond"/>
        </w:rPr>
        <w:t>, which was</w:t>
      </w:r>
      <w:r w:rsidRPr="00EF53B6">
        <w:rPr>
          <w:rFonts w:ascii="Garamond" w:hAnsi="Garamond"/>
        </w:rPr>
        <w:t xml:space="preserve"> received at the end of the year, since it is not an actual flow.</w:t>
      </w:r>
    </w:p>
  </w:footnote>
  <w:footnote w:id="16">
    <w:p w14:paraId="2F8E1AA3" w14:textId="77777777" w:rsidR="00200ECA" w:rsidRPr="00742158" w:rsidRDefault="00200ECA" w:rsidP="00742158">
      <w:pPr>
        <w:pStyle w:val="FootnoteText"/>
        <w:jc w:val="both"/>
        <w:rPr>
          <w:rFonts w:ascii="Garamond" w:hAnsi="Garamond"/>
        </w:rPr>
      </w:pPr>
      <w:r w:rsidRPr="00742158">
        <w:rPr>
          <w:rStyle w:val="FootnoteReference"/>
          <w:rFonts w:ascii="Garamond" w:hAnsi="Garamond"/>
        </w:rPr>
        <w:t>19</w:t>
      </w:r>
      <w:r w:rsidRPr="00742158">
        <w:rPr>
          <w:rFonts w:ascii="Garamond" w:hAnsi="Garamond"/>
        </w:rPr>
        <w:t xml:space="preserve"> The labor market data for the fourth quarter of 2017 are the Central Bank estimates which are based on the third quarter 2017 data and actual January-November 2017 figures. The growth indicators provided in this sub-section are relative to the same reference period last year, unless otherwise specified.</w:t>
      </w:r>
    </w:p>
  </w:footnote>
  <w:footnote w:id="17">
    <w:p w14:paraId="79A0A977" w14:textId="77777777" w:rsidR="00A64428" w:rsidRPr="00B11DDD" w:rsidRDefault="00A64428" w:rsidP="00B11DDD">
      <w:pPr>
        <w:pStyle w:val="FootnoteText"/>
        <w:jc w:val="both"/>
        <w:rPr>
          <w:rFonts w:ascii="Garamond" w:hAnsi="Garamond" w:cs="Calibri"/>
        </w:rPr>
      </w:pPr>
      <w:r w:rsidRPr="00B11DDD">
        <w:rPr>
          <w:rStyle w:val="FootnoteReference"/>
          <w:rFonts w:ascii="Garamond" w:hAnsi="Garamond"/>
        </w:rPr>
        <w:t>20</w:t>
      </w:r>
      <w:r w:rsidRPr="00B11DDD">
        <w:rPr>
          <w:rFonts w:ascii="Garamond" w:hAnsi="Garamond" w:cs="Calibri"/>
        </w:rPr>
        <w:t xml:space="preserve"> Repo transactions with 1-14-day maturities constituted 98% of interbank repo transactions in the fourth quarter of 2017.</w:t>
      </w:r>
    </w:p>
  </w:footnote>
  <w:footnote w:id="18">
    <w:p w14:paraId="23923AA9" w14:textId="4127B4C7" w:rsidR="00B11DDD" w:rsidRPr="00B11DDD" w:rsidRDefault="00B11DDD" w:rsidP="00B11DDD">
      <w:pPr>
        <w:pStyle w:val="FootnoteText"/>
        <w:jc w:val="both"/>
        <w:rPr>
          <w:rFonts w:ascii="Garamond" w:hAnsi="Garamond"/>
        </w:rPr>
      </w:pPr>
      <w:r w:rsidRPr="00B11DDD">
        <w:rPr>
          <w:rStyle w:val="FootnoteReference"/>
          <w:rFonts w:ascii="Garamond" w:hAnsi="Garamond"/>
        </w:rPr>
        <w:t>21</w:t>
      </w:r>
      <w:r w:rsidRPr="00B11DDD">
        <w:rPr>
          <w:rFonts w:ascii="Garamond" w:hAnsi="Garamond"/>
        </w:rPr>
        <w:t xml:space="preserve"> The judgment on appreciation or depreciation pressures are based on the </w:t>
      </w:r>
      <w:r w:rsidR="00736320">
        <w:rPr>
          <w:rFonts w:ascii="Garamond" w:hAnsi="Garamond"/>
        </w:rPr>
        <w:t>seasonally-</w:t>
      </w:r>
      <w:proofErr w:type="spellStart"/>
      <w:r w:rsidR="00736320">
        <w:rPr>
          <w:rFonts w:ascii="Garamond" w:hAnsi="Garamond"/>
        </w:rPr>
        <w:t>adjusted</w:t>
      </w:r>
      <w:r w:rsidRPr="00B11DDD">
        <w:rPr>
          <w:rFonts w:ascii="Garamond" w:hAnsi="Garamond"/>
        </w:rPr>
        <w:t>demand</w:t>
      </w:r>
      <w:proofErr w:type="spellEnd"/>
      <w:r w:rsidRPr="00B11DDD">
        <w:rPr>
          <w:rFonts w:ascii="Garamond" w:hAnsi="Garamond"/>
        </w:rPr>
        <w:t xml:space="preserve"> for foreign currency.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651"/>
    <w:rsid w:val="00001A3F"/>
    <w:rsid w:val="00010BFD"/>
    <w:rsid w:val="00010FBE"/>
    <w:rsid w:val="00011616"/>
    <w:rsid w:val="00012292"/>
    <w:rsid w:val="00012E6D"/>
    <w:rsid w:val="00015947"/>
    <w:rsid w:val="00033894"/>
    <w:rsid w:val="000351D6"/>
    <w:rsid w:val="00035CE5"/>
    <w:rsid w:val="0004189E"/>
    <w:rsid w:val="0004339D"/>
    <w:rsid w:val="00044BC5"/>
    <w:rsid w:val="00055AF4"/>
    <w:rsid w:val="00062B75"/>
    <w:rsid w:val="00065C25"/>
    <w:rsid w:val="00066D12"/>
    <w:rsid w:val="00071D45"/>
    <w:rsid w:val="00072E34"/>
    <w:rsid w:val="00073A22"/>
    <w:rsid w:val="00076DC3"/>
    <w:rsid w:val="0008330C"/>
    <w:rsid w:val="00086DC8"/>
    <w:rsid w:val="000A53F3"/>
    <w:rsid w:val="000A5C6B"/>
    <w:rsid w:val="000B1E3D"/>
    <w:rsid w:val="000B2925"/>
    <w:rsid w:val="000B2CE6"/>
    <w:rsid w:val="000B67CD"/>
    <w:rsid w:val="000C72B9"/>
    <w:rsid w:val="000D42F3"/>
    <w:rsid w:val="000D5A49"/>
    <w:rsid w:val="000E1F26"/>
    <w:rsid w:val="000E2CA7"/>
    <w:rsid w:val="000F7F64"/>
    <w:rsid w:val="001065FE"/>
    <w:rsid w:val="00115D65"/>
    <w:rsid w:val="00120B61"/>
    <w:rsid w:val="00124332"/>
    <w:rsid w:val="0012686B"/>
    <w:rsid w:val="00130386"/>
    <w:rsid w:val="00131D86"/>
    <w:rsid w:val="00132A02"/>
    <w:rsid w:val="00132E83"/>
    <w:rsid w:val="00134F6D"/>
    <w:rsid w:val="00135108"/>
    <w:rsid w:val="00136095"/>
    <w:rsid w:val="001516E5"/>
    <w:rsid w:val="00151ABD"/>
    <w:rsid w:val="0016228B"/>
    <w:rsid w:val="00166AE0"/>
    <w:rsid w:val="001761F4"/>
    <w:rsid w:val="001909F3"/>
    <w:rsid w:val="001950CC"/>
    <w:rsid w:val="001A180F"/>
    <w:rsid w:val="001A33F8"/>
    <w:rsid w:val="001B2700"/>
    <w:rsid w:val="001B7F81"/>
    <w:rsid w:val="001D0B7E"/>
    <w:rsid w:val="001D4E73"/>
    <w:rsid w:val="001D5226"/>
    <w:rsid w:val="001D5FB4"/>
    <w:rsid w:val="001E2E32"/>
    <w:rsid w:val="001E301B"/>
    <w:rsid w:val="001F384B"/>
    <w:rsid w:val="001F524F"/>
    <w:rsid w:val="001F67CE"/>
    <w:rsid w:val="00200ECA"/>
    <w:rsid w:val="002021DA"/>
    <w:rsid w:val="002140DE"/>
    <w:rsid w:val="002254DB"/>
    <w:rsid w:val="00225FA5"/>
    <w:rsid w:val="00234BE9"/>
    <w:rsid w:val="00242DB9"/>
    <w:rsid w:val="0024318B"/>
    <w:rsid w:val="00250973"/>
    <w:rsid w:val="00254051"/>
    <w:rsid w:val="00260739"/>
    <w:rsid w:val="00264CEB"/>
    <w:rsid w:val="00266CD8"/>
    <w:rsid w:val="00272DD8"/>
    <w:rsid w:val="002731EB"/>
    <w:rsid w:val="00281E1F"/>
    <w:rsid w:val="002878B8"/>
    <w:rsid w:val="00290287"/>
    <w:rsid w:val="00293A3F"/>
    <w:rsid w:val="002A0418"/>
    <w:rsid w:val="002A0889"/>
    <w:rsid w:val="002A0B5B"/>
    <w:rsid w:val="002A38BF"/>
    <w:rsid w:val="002A3A33"/>
    <w:rsid w:val="002A59D1"/>
    <w:rsid w:val="002B3C4F"/>
    <w:rsid w:val="002C086C"/>
    <w:rsid w:val="002C108E"/>
    <w:rsid w:val="002C3539"/>
    <w:rsid w:val="002D15E1"/>
    <w:rsid w:val="002D15EE"/>
    <w:rsid w:val="002D1638"/>
    <w:rsid w:val="002D541D"/>
    <w:rsid w:val="002E4BC0"/>
    <w:rsid w:val="002E4FD8"/>
    <w:rsid w:val="00307627"/>
    <w:rsid w:val="00312FE7"/>
    <w:rsid w:val="00313C67"/>
    <w:rsid w:val="00314E55"/>
    <w:rsid w:val="00315BD7"/>
    <w:rsid w:val="00317122"/>
    <w:rsid w:val="00317ECB"/>
    <w:rsid w:val="003210F7"/>
    <w:rsid w:val="00331DDB"/>
    <w:rsid w:val="00332C46"/>
    <w:rsid w:val="00343A25"/>
    <w:rsid w:val="00344BAB"/>
    <w:rsid w:val="00350306"/>
    <w:rsid w:val="00353DFF"/>
    <w:rsid w:val="0035481F"/>
    <w:rsid w:val="00356A47"/>
    <w:rsid w:val="003570A3"/>
    <w:rsid w:val="00360173"/>
    <w:rsid w:val="0036083E"/>
    <w:rsid w:val="0036344E"/>
    <w:rsid w:val="003645F2"/>
    <w:rsid w:val="00374C48"/>
    <w:rsid w:val="00375699"/>
    <w:rsid w:val="0038012B"/>
    <w:rsid w:val="00380306"/>
    <w:rsid w:val="00380380"/>
    <w:rsid w:val="00384065"/>
    <w:rsid w:val="00390F3E"/>
    <w:rsid w:val="003A2DCC"/>
    <w:rsid w:val="003A3A84"/>
    <w:rsid w:val="003A6BEB"/>
    <w:rsid w:val="003A741A"/>
    <w:rsid w:val="003B18EA"/>
    <w:rsid w:val="003B2697"/>
    <w:rsid w:val="003B4B24"/>
    <w:rsid w:val="003B6FDA"/>
    <w:rsid w:val="003C1471"/>
    <w:rsid w:val="003D1442"/>
    <w:rsid w:val="003D2B35"/>
    <w:rsid w:val="003D6368"/>
    <w:rsid w:val="003E32BF"/>
    <w:rsid w:val="003F24E4"/>
    <w:rsid w:val="003F5450"/>
    <w:rsid w:val="003F621C"/>
    <w:rsid w:val="003F6D4A"/>
    <w:rsid w:val="003F7BD8"/>
    <w:rsid w:val="00404293"/>
    <w:rsid w:val="004246F6"/>
    <w:rsid w:val="0043638B"/>
    <w:rsid w:val="00443063"/>
    <w:rsid w:val="004529A5"/>
    <w:rsid w:val="00452A1B"/>
    <w:rsid w:val="00463534"/>
    <w:rsid w:val="00463624"/>
    <w:rsid w:val="00464EBD"/>
    <w:rsid w:val="00467C2C"/>
    <w:rsid w:val="004712E9"/>
    <w:rsid w:val="00473C6C"/>
    <w:rsid w:val="00481E7A"/>
    <w:rsid w:val="0048286A"/>
    <w:rsid w:val="00491B9C"/>
    <w:rsid w:val="004928D0"/>
    <w:rsid w:val="00492E20"/>
    <w:rsid w:val="004A3ACF"/>
    <w:rsid w:val="004A45D1"/>
    <w:rsid w:val="004A7BD1"/>
    <w:rsid w:val="004B330E"/>
    <w:rsid w:val="004B4262"/>
    <w:rsid w:val="004C2F59"/>
    <w:rsid w:val="004C31B2"/>
    <w:rsid w:val="004C4C65"/>
    <w:rsid w:val="004C5641"/>
    <w:rsid w:val="004C5E94"/>
    <w:rsid w:val="004D45BE"/>
    <w:rsid w:val="004D4A0F"/>
    <w:rsid w:val="004D5BD5"/>
    <w:rsid w:val="004E0889"/>
    <w:rsid w:val="004E3D01"/>
    <w:rsid w:val="004E6219"/>
    <w:rsid w:val="004F13D9"/>
    <w:rsid w:val="004F284A"/>
    <w:rsid w:val="00500167"/>
    <w:rsid w:val="00506EA5"/>
    <w:rsid w:val="00510E69"/>
    <w:rsid w:val="00520816"/>
    <w:rsid w:val="00521F06"/>
    <w:rsid w:val="00522F8F"/>
    <w:rsid w:val="00530CFA"/>
    <w:rsid w:val="00533644"/>
    <w:rsid w:val="00540986"/>
    <w:rsid w:val="00543464"/>
    <w:rsid w:val="00545DBA"/>
    <w:rsid w:val="0055355B"/>
    <w:rsid w:val="005540B9"/>
    <w:rsid w:val="00560595"/>
    <w:rsid w:val="00571689"/>
    <w:rsid w:val="00590C2B"/>
    <w:rsid w:val="00592760"/>
    <w:rsid w:val="005A3523"/>
    <w:rsid w:val="005A6FF7"/>
    <w:rsid w:val="005B4859"/>
    <w:rsid w:val="005C122C"/>
    <w:rsid w:val="005C4351"/>
    <w:rsid w:val="005C6536"/>
    <w:rsid w:val="005C689C"/>
    <w:rsid w:val="005C78E9"/>
    <w:rsid w:val="005D2BEC"/>
    <w:rsid w:val="005D4071"/>
    <w:rsid w:val="005D4276"/>
    <w:rsid w:val="005D6EF3"/>
    <w:rsid w:val="005E176B"/>
    <w:rsid w:val="005E3189"/>
    <w:rsid w:val="00600EDF"/>
    <w:rsid w:val="00612C14"/>
    <w:rsid w:val="00612C30"/>
    <w:rsid w:val="00613557"/>
    <w:rsid w:val="006150AC"/>
    <w:rsid w:val="00620DA0"/>
    <w:rsid w:val="00621499"/>
    <w:rsid w:val="00626752"/>
    <w:rsid w:val="00632D07"/>
    <w:rsid w:val="00634424"/>
    <w:rsid w:val="006366B1"/>
    <w:rsid w:val="00636ECE"/>
    <w:rsid w:val="0063768C"/>
    <w:rsid w:val="00637B52"/>
    <w:rsid w:val="00640EC9"/>
    <w:rsid w:val="00644C5D"/>
    <w:rsid w:val="00657A11"/>
    <w:rsid w:val="00665458"/>
    <w:rsid w:val="00676C2C"/>
    <w:rsid w:val="006848CE"/>
    <w:rsid w:val="00686FDC"/>
    <w:rsid w:val="006909DE"/>
    <w:rsid w:val="00695216"/>
    <w:rsid w:val="006966A5"/>
    <w:rsid w:val="00696D1A"/>
    <w:rsid w:val="00697941"/>
    <w:rsid w:val="006A29F5"/>
    <w:rsid w:val="006A541E"/>
    <w:rsid w:val="006B09B3"/>
    <w:rsid w:val="006B1B30"/>
    <w:rsid w:val="006B2AA6"/>
    <w:rsid w:val="006B2BCD"/>
    <w:rsid w:val="006B5C7F"/>
    <w:rsid w:val="006C36B7"/>
    <w:rsid w:val="006C6A27"/>
    <w:rsid w:val="006D0D59"/>
    <w:rsid w:val="006E31BD"/>
    <w:rsid w:val="006E62E8"/>
    <w:rsid w:val="006F41B0"/>
    <w:rsid w:val="00703FA4"/>
    <w:rsid w:val="00710622"/>
    <w:rsid w:val="00723A78"/>
    <w:rsid w:val="007241F1"/>
    <w:rsid w:val="0072461A"/>
    <w:rsid w:val="00725034"/>
    <w:rsid w:val="00727121"/>
    <w:rsid w:val="0073509B"/>
    <w:rsid w:val="00735EED"/>
    <w:rsid w:val="00736320"/>
    <w:rsid w:val="00736EBD"/>
    <w:rsid w:val="0073763B"/>
    <w:rsid w:val="0074142E"/>
    <w:rsid w:val="00742158"/>
    <w:rsid w:val="00742650"/>
    <w:rsid w:val="00744899"/>
    <w:rsid w:val="0074684B"/>
    <w:rsid w:val="007609A9"/>
    <w:rsid w:val="00762760"/>
    <w:rsid w:val="007630D0"/>
    <w:rsid w:val="007634D1"/>
    <w:rsid w:val="00767171"/>
    <w:rsid w:val="00767E0A"/>
    <w:rsid w:val="00774197"/>
    <w:rsid w:val="00776296"/>
    <w:rsid w:val="00785B36"/>
    <w:rsid w:val="007877D2"/>
    <w:rsid w:val="007877D5"/>
    <w:rsid w:val="007908C9"/>
    <w:rsid w:val="0079789B"/>
    <w:rsid w:val="0079790B"/>
    <w:rsid w:val="007A26E4"/>
    <w:rsid w:val="007A7ABB"/>
    <w:rsid w:val="007B1049"/>
    <w:rsid w:val="007B7C08"/>
    <w:rsid w:val="007C43D1"/>
    <w:rsid w:val="007D01C1"/>
    <w:rsid w:val="007D3AA3"/>
    <w:rsid w:val="007D415F"/>
    <w:rsid w:val="007D5578"/>
    <w:rsid w:val="007D6ECD"/>
    <w:rsid w:val="007E371D"/>
    <w:rsid w:val="007E61AF"/>
    <w:rsid w:val="007E77B6"/>
    <w:rsid w:val="007F6C6D"/>
    <w:rsid w:val="00801BFF"/>
    <w:rsid w:val="00806C2B"/>
    <w:rsid w:val="008106B8"/>
    <w:rsid w:val="00811961"/>
    <w:rsid w:val="00815906"/>
    <w:rsid w:val="00827912"/>
    <w:rsid w:val="00827B52"/>
    <w:rsid w:val="00836F28"/>
    <w:rsid w:val="008371E8"/>
    <w:rsid w:val="00837F88"/>
    <w:rsid w:val="008450E8"/>
    <w:rsid w:val="00845EE0"/>
    <w:rsid w:val="00853CC1"/>
    <w:rsid w:val="008551A6"/>
    <w:rsid w:val="00860787"/>
    <w:rsid w:val="00862B97"/>
    <w:rsid w:val="00872DDC"/>
    <w:rsid w:val="00873A0D"/>
    <w:rsid w:val="008742A3"/>
    <w:rsid w:val="00876964"/>
    <w:rsid w:val="00877E58"/>
    <w:rsid w:val="0088496C"/>
    <w:rsid w:val="00894AA6"/>
    <w:rsid w:val="008A151D"/>
    <w:rsid w:val="008A2A2D"/>
    <w:rsid w:val="008A380E"/>
    <w:rsid w:val="008A49F8"/>
    <w:rsid w:val="008B632C"/>
    <w:rsid w:val="008C1060"/>
    <w:rsid w:val="008C1568"/>
    <w:rsid w:val="008C15E2"/>
    <w:rsid w:val="008D51E4"/>
    <w:rsid w:val="008E1E4F"/>
    <w:rsid w:val="008E6102"/>
    <w:rsid w:val="008F3217"/>
    <w:rsid w:val="008F7E04"/>
    <w:rsid w:val="0090456D"/>
    <w:rsid w:val="00907EF9"/>
    <w:rsid w:val="009216C0"/>
    <w:rsid w:val="009250E6"/>
    <w:rsid w:val="0092736C"/>
    <w:rsid w:val="009318F7"/>
    <w:rsid w:val="009321C8"/>
    <w:rsid w:val="009324A0"/>
    <w:rsid w:val="00933B63"/>
    <w:rsid w:val="00934823"/>
    <w:rsid w:val="00942E03"/>
    <w:rsid w:val="00943F4D"/>
    <w:rsid w:val="0094484A"/>
    <w:rsid w:val="00951BC7"/>
    <w:rsid w:val="00954CC5"/>
    <w:rsid w:val="00955528"/>
    <w:rsid w:val="00956BC1"/>
    <w:rsid w:val="0096204A"/>
    <w:rsid w:val="00964076"/>
    <w:rsid w:val="00966C30"/>
    <w:rsid w:val="00970B9C"/>
    <w:rsid w:val="00970BB9"/>
    <w:rsid w:val="00971311"/>
    <w:rsid w:val="00977017"/>
    <w:rsid w:val="00977D47"/>
    <w:rsid w:val="0099686E"/>
    <w:rsid w:val="009A401A"/>
    <w:rsid w:val="009A460A"/>
    <w:rsid w:val="009A5297"/>
    <w:rsid w:val="009A64EC"/>
    <w:rsid w:val="009A6F46"/>
    <w:rsid w:val="009B30B3"/>
    <w:rsid w:val="009D00B0"/>
    <w:rsid w:val="009D03A7"/>
    <w:rsid w:val="009D06A5"/>
    <w:rsid w:val="009D1D99"/>
    <w:rsid w:val="009D50E7"/>
    <w:rsid w:val="009E055B"/>
    <w:rsid w:val="009E1B90"/>
    <w:rsid w:val="009E6F4B"/>
    <w:rsid w:val="009E75D5"/>
    <w:rsid w:val="009F698D"/>
    <w:rsid w:val="009F6F95"/>
    <w:rsid w:val="009F710C"/>
    <w:rsid w:val="00A01041"/>
    <w:rsid w:val="00A03652"/>
    <w:rsid w:val="00A1282D"/>
    <w:rsid w:val="00A17C16"/>
    <w:rsid w:val="00A241EA"/>
    <w:rsid w:val="00A249F2"/>
    <w:rsid w:val="00A30E98"/>
    <w:rsid w:val="00A374BA"/>
    <w:rsid w:val="00A40048"/>
    <w:rsid w:val="00A41BFD"/>
    <w:rsid w:val="00A447B1"/>
    <w:rsid w:val="00A4603B"/>
    <w:rsid w:val="00A46B1C"/>
    <w:rsid w:val="00A47648"/>
    <w:rsid w:val="00A5263E"/>
    <w:rsid w:val="00A640EA"/>
    <w:rsid w:val="00A64428"/>
    <w:rsid w:val="00A704F1"/>
    <w:rsid w:val="00A7058D"/>
    <w:rsid w:val="00A7658C"/>
    <w:rsid w:val="00A76F96"/>
    <w:rsid w:val="00A81B1A"/>
    <w:rsid w:val="00A926B6"/>
    <w:rsid w:val="00A940E4"/>
    <w:rsid w:val="00AA14B9"/>
    <w:rsid w:val="00AA16AD"/>
    <w:rsid w:val="00AA547B"/>
    <w:rsid w:val="00AA70CA"/>
    <w:rsid w:val="00AB5B81"/>
    <w:rsid w:val="00AB7448"/>
    <w:rsid w:val="00AC01D8"/>
    <w:rsid w:val="00AC660B"/>
    <w:rsid w:val="00AD2697"/>
    <w:rsid w:val="00AD3792"/>
    <w:rsid w:val="00AD3EC5"/>
    <w:rsid w:val="00AD4CB0"/>
    <w:rsid w:val="00AE09C8"/>
    <w:rsid w:val="00AE3137"/>
    <w:rsid w:val="00AE3B5F"/>
    <w:rsid w:val="00AF0A95"/>
    <w:rsid w:val="00AF4555"/>
    <w:rsid w:val="00AF7B80"/>
    <w:rsid w:val="00AF7EA6"/>
    <w:rsid w:val="00B01B53"/>
    <w:rsid w:val="00B07A86"/>
    <w:rsid w:val="00B11DDD"/>
    <w:rsid w:val="00B14F11"/>
    <w:rsid w:val="00B14F4F"/>
    <w:rsid w:val="00B15CCA"/>
    <w:rsid w:val="00B178C0"/>
    <w:rsid w:val="00B2100B"/>
    <w:rsid w:val="00B21567"/>
    <w:rsid w:val="00B36A0F"/>
    <w:rsid w:val="00B43D6F"/>
    <w:rsid w:val="00B53794"/>
    <w:rsid w:val="00B607BF"/>
    <w:rsid w:val="00B62E2B"/>
    <w:rsid w:val="00B67B97"/>
    <w:rsid w:val="00B711FC"/>
    <w:rsid w:val="00B7187F"/>
    <w:rsid w:val="00B72834"/>
    <w:rsid w:val="00B75270"/>
    <w:rsid w:val="00B77A00"/>
    <w:rsid w:val="00B845EF"/>
    <w:rsid w:val="00B8549D"/>
    <w:rsid w:val="00B86157"/>
    <w:rsid w:val="00BA117B"/>
    <w:rsid w:val="00BA2C88"/>
    <w:rsid w:val="00BB5C37"/>
    <w:rsid w:val="00BC0F0B"/>
    <w:rsid w:val="00BC2FD6"/>
    <w:rsid w:val="00BC374F"/>
    <w:rsid w:val="00BC5861"/>
    <w:rsid w:val="00BC687A"/>
    <w:rsid w:val="00BC7B0D"/>
    <w:rsid w:val="00BC7D84"/>
    <w:rsid w:val="00BD2D01"/>
    <w:rsid w:val="00BD5B1C"/>
    <w:rsid w:val="00BD6307"/>
    <w:rsid w:val="00BE10FA"/>
    <w:rsid w:val="00BE69EE"/>
    <w:rsid w:val="00BF4394"/>
    <w:rsid w:val="00BF7602"/>
    <w:rsid w:val="00C0093B"/>
    <w:rsid w:val="00C0520F"/>
    <w:rsid w:val="00C06522"/>
    <w:rsid w:val="00C1309E"/>
    <w:rsid w:val="00C17073"/>
    <w:rsid w:val="00C20022"/>
    <w:rsid w:val="00C20830"/>
    <w:rsid w:val="00C23DF5"/>
    <w:rsid w:val="00C41D92"/>
    <w:rsid w:val="00C52117"/>
    <w:rsid w:val="00C62873"/>
    <w:rsid w:val="00C65814"/>
    <w:rsid w:val="00C67AF4"/>
    <w:rsid w:val="00C71404"/>
    <w:rsid w:val="00C81C79"/>
    <w:rsid w:val="00C8410C"/>
    <w:rsid w:val="00C9021D"/>
    <w:rsid w:val="00C90711"/>
    <w:rsid w:val="00C95BEF"/>
    <w:rsid w:val="00CA1749"/>
    <w:rsid w:val="00CA4B4E"/>
    <w:rsid w:val="00CA70BE"/>
    <w:rsid w:val="00CB5322"/>
    <w:rsid w:val="00CB7189"/>
    <w:rsid w:val="00CB7FF7"/>
    <w:rsid w:val="00CC1A09"/>
    <w:rsid w:val="00CC20C2"/>
    <w:rsid w:val="00CC4FF9"/>
    <w:rsid w:val="00CD529B"/>
    <w:rsid w:val="00CE22CD"/>
    <w:rsid w:val="00CE3BB4"/>
    <w:rsid w:val="00CE7257"/>
    <w:rsid w:val="00CF08C9"/>
    <w:rsid w:val="00D03763"/>
    <w:rsid w:val="00D05552"/>
    <w:rsid w:val="00D1396A"/>
    <w:rsid w:val="00D142E0"/>
    <w:rsid w:val="00D14C7C"/>
    <w:rsid w:val="00D16B8C"/>
    <w:rsid w:val="00D16E1D"/>
    <w:rsid w:val="00D21F21"/>
    <w:rsid w:val="00D250C5"/>
    <w:rsid w:val="00D3394E"/>
    <w:rsid w:val="00D34FCC"/>
    <w:rsid w:val="00D42518"/>
    <w:rsid w:val="00D46A64"/>
    <w:rsid w:val="00D54AB5"/>
    <w:rsid w:val="00D72F64"/>
    <w:rsid w:val="00D81DFA"/>
    <w:rsid w:val="00D9067D"/>
    <w:rsid w:val="00D92372"/>
    <w:rsid w:val="00D92ED6"/>
    <w:rsid w:val="00DA09A3"/>
    <w:rsid w:val="00DA0E4F"/>
    <w:rsid w:val="00DA46AC"/>
    <w:rsid w:val="00DA553E"/>
    <w:rsid w:val="00DA5925"/>
    <w:rsid w:val="00DA6F93"/>
    <w:rsid w:val="00DA7005"/>
    <w:rsid w:val="00DA7BC5"/>
    <w:rsid w:val="00DB15C8"/>
    <w:rsid w:val="00DB3039"/>
    <w:rsid w:val="00DB32D0"/>
    <w:rsid w:val="00DB360B"/>
    <w:rsid w:val="00DC3B98"/>
    <w:rsid w:val="00DC4209"/>
    <w:rsid w:val="00DD2190"/>
    <w:rsid w:val="00DD31DE"/>
    <w:rsid w:val="00DD6EF9"/>
    <w:rsid w:val="00DE3A23"/>
    <w:rsid w:val="00DE4A0D"/>
    <w:rsid w:val="00DF16EE"/>
    <w:rsid w:val="00DF606B"/>
    <w:rsid w:val="00DF60F5"/>
    <w:rsid w:val="00E010A9"/>
    <w:rsid w:val="00E0653F"/>
    <w:rsid w:val="00E0670F"/>
    <w:rsid w:val="00E073FF"/>
    <w:rsid w:val="00E160F4"/>
    <w:rsid w:val="00E17834"/>
    <w:rsid w:val="00E228B8"/>
    <w:rsid w:val="00E2589A"/>
    <w:rsid w:val="00E25E15"/>
    <w:rsid w:val="00E31B2F"/>
    <w:rsid w:val="00E3294E"/>
    <w:rsid w:val="00E3738D"/>
    <w:rsid w:val="00E40394"/>
    <w:rsid w:val="00E40BA8"/>
    <w:rsid w:val="00E4359B"/>
    <w:rsid w:val="00E45D05"/>
    <w:rsid w:val="00E475A6"/>
    <w:rsid w:val="00E53D04"/>
    <w:rsid w:val="00E54071"/>
    <w:rsid w:val="00E55635"/>
    <w:rsid w:val="00E56598"/>
    <w:rsid w:val="00E67005"/>
    <w:rsid w:val="00E705D0"/>
    <w:rsid w:val="00E713AF"/>
    <w:rsid w:val="00E716D6"/>
    <w:rsid w:val="00E73EC9"/>
    <w:rsid w:val="00E76EEB"/>
    <w:rsid w:val="00E817E8"/>
    <w:rsid w:val="00E81CF8"/>
    <w:rsid w:val="00E87583"/>
    <w:rsid w:val="00E91D8D"/>
    <w:rsid w:val="00E97DD5"/>
    <w:rsid w:val="00EA6FA3"/>
    <w:rsid w:val="00EB5FCA"/>
    <w:rsid w:val="00EC6A16"/>
    <w:rsid w:val="00EC759F"/>
    <w:rsid w:val="00ED1126"/>
    <w:rsid w:val="00ED1BC2"/>
    <w:rsid w:val="00ED2A5F"/>
    <w:rsid w:val="00ED2E1C"/>
    <w:rsid w:val="00ED4268"/>
    <w:rsid w:val="00ED77C3"/>
    <w:rsid w:val="00EE00FC"/>
    <w:rsid w:val="00EE619D"/>
    <w:rsid w:val="00EF1F68"/>
    <w:rsid w:val="00EF53B6"/>
    <w:rsid w:val="00EF63CF"/>
    <w:rsid w:val="00EF749F"/>
    <w:rsid w:val="00EF74AD"/>
    <w:rsid w:val="00F005E1"/>
    <w:rsid w:val="00F0148D"/>
    <w:rsid w:val="00F074C3"/>
    <w:rsid w:val="00F10ED8"/>
    <w:rsid w:val="00F254B6"/>
    <w:rsid w:val="00F25D87"/>
    <w:rsid w:val="00F27945"/>
    <w:rsid w:val="00F31EEB"/>
    <w:rsid w:val="00F40F99"/>
    <w:rsid w:val="00F464AE"/>
    <w:rsid w:val="00F51CC3"/>
    <w:rsid w:val="00F56F4B"/>
    <w:rsid w:val="00F6188F"/>
    <w:rsid w:val="00F61EDD"/>
    <w:rsid w:val="00F636AD"/>
    <w:rsid w:val="00F7005B"/>
    <w:rsid w:val="00F71D52"/>
    <w:rsid w:val="00F8317E"/>
    <w:rsid w:val="00F844C2"/>
    <w:rsid w:val="00F858D9"/>
    <w:rsid w:val="00F93A0F"/>
    <w:rsid w:val="00F97651"/>
    <w:rsid w:val="00FA0C20"/>
    <w:rsid w:val="00FA46F4"/>
    <w:rsid w:val="00FA5F64"/>
    <w:rsid w:val="00FB5BB0"/>
    <w:rsid w:val="00FB603D"/>
    <w:rsid w:val="00FC0769"/>
    <w:rsid w:val="00FC26C8"/>
    <w:rsid w:val="00FC67ED"/>
    <w:rsid w:val="00FD37C4"/>
    <w:rsid w:val="00FD5EC1"/>
    <w:rsid w:val="00FD667F"/>
    <w:rsid w:val="00FE4EC4"/>
    <w:rsid w:val="00FE6C0F"/>
    <w:rsid w:val="00FF0E29"/>
    <w:rsid w:val="00FF441A"/>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DC29"/>
  <w15:docId w15:val="{0DB7CFAF-E1F8-4B04-AB6F-8F66C281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basedOn w:val="Normal"/>
    <w:link w:val="HeaderChar"/>
    <w:uiPriority w:val="99"/>
    <w:unhideWhenUsed/>
    <w:rsid w:val="00F40F99"/>
    <w:pPr>
      <w:tabs>
        <w:tab w:val="center" w:pos="4680"/>
        <w:tab w:val="right" w:pos="9360"/>
      </w:tabs>
    </w:pPr>
  </w:style>
  <w:style w:type="character" w:customStyle="1" w:styleId="HeaderChar">
    <w:name w:val="Header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styleId="CommentReference">
    <w:name w:val="annotation reference"/>
    <w:basedOn w:val="DefaultParagraphFont"/>
    <w:uiPriority w:val="99"/>
    <w:semiHidden/>
    <w:unhideWhenUsed/>
    <w:rsid w:val="00CB7FF7"/>
    <w:rPr>
      <w:sz w:val="16"/>
      <w:szCs w:val="16"/>
    </w:rPr>
  </w:style>
  <w:style w:type="paragraph" w:styleId="CommentText">
    <w:name w:val="annotation text"/>
    <w:basedOn w:val="Normal"/>
    <w:link w:val="CommentTextChar"/>
    <w:uiPriority w:val="99"/>
    <w:semiHidden/>
    <w:unhideWhenUsed/>
    <w:rsid w:val="00CB7FF7"/>
    <w:rPr>
      <w:sz w:val="20"/>
      <w:szCs w:val="20"/>
    </w:rPr>
  </w:style>
  <w:style w:type="character" w:customStyle="1" w:styleId="CommentTextChar">
    <w:name w:val="Comment Text Char"/>
    <w:basedOn w:val="DefaultParagraphFont"/>
    <w:link w:val="CommentText"/>
    <w:uiPriority w:val="99"/>
    <w:semiHidden/>
    <w:rsid w:val="00CB7FF7"/>
    <w:rPr>
      <w:rFonts w:ascii="Times LatArm" w:eastAsia="Times New Roman" w:hAnsi="Times LatArm" w:cs="Times New Roman"/>
      <w:sz w:val="20"/>
      <w:szCs w:val="20"/>
    </w:rPr>
  </w:style>
  <w:style w:type="paragraph" w:styleId="CommentSubject">
    <w:name w:val="annotation subject"/>
    <w:basedOn w:val="CommentText"/>
    <w:next w:val="CommentText"/>
    <w:link w:val="CommentSubjectChar"/>
    <w:uiPriority w:val="99"/>
    <w:semiHidden/>
    <w:unhideWhenUsed/>
    <w:rsid w:val="00CB7FF7"/>
    <w:rPr>
      <w:b/>
      <w:bCs/>
    </w:rPr>
  </w:style>
  <w:style w:type="character" w:customStyle="1" w:styleId="CommentSubjectChar">
    <w:name w:val="Comment Subject Char"/>
    <w:basedOn w:val="CommentTextChar"/>
    <w:link w:val="CommentSubject"/>
    <w:uiPriority w:val="99"/>
    <w:semiHidden/>
    <w:rsid w:val="00CB7FF7"/>
    <w:rPr>
      <w:rFonts w:ascii="Times LatArm" w:eastAsia="Times New Roman" w:hAnsi="Times LatArm" w:cs="Times New Roman"/>
      <w:b/>
      <w:bCs/>
      <w:sz w:val="20"/>
      <w:szCs w:val="20"/>
    </w:rPr>
  </w:style>
  <w:style w:type="paragraph" w:styleId="BalloonText">
    <w:name w:val="Balloon Text"/>
    <w:basedOn w:val="Normal"/>
    <w:link w:val="BalloonTextChar"/>
    <w:uiPriority w:val="99"/>
    <w:semiHidden/>
    <w:unhideWhenUsed/>
    <w:rsid w:val="00CB7F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F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71332-85EA-48DF-A76A-37AC81807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22</Pages>
  <Words>8435</Words>
  <Characters>48083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21</cp:revision>
  <dcterms:created xsi:type="dcterms:W3CDTF">2018-03-17T05:18:00Z</dcterms:created>
  <dcterms:modified xsi:type="dcterms:W3CDTF">2024-02-02T13:30:00Z</dcterms:modified>
</cp:coreProperties>
</file>