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48E11" w14:textId="77777777" w:rsidR="00C00B89" w:rsidRPr="00565F75" w:rsidRDefault="00C00B89" w:rsidP="00C00B89">
      <w:pPr>
        <w:pStyle w:val="Heading1"/>
        <w:spacing w:line="312" w:lineRule="auto"/>
        <w:ind w:right="-3969" w:firstLine="4536"/>
        <w:jc w:val="right"/>
        <w:rPr>
          <w:rFonts w:ascii="Garamond" w:hAnsi="Garamond" w:cs="Sylfaen"/>
          <w:color w:val="1F497D" w:themeColor="text2"/>
          <w:spacing w:val="20"/>
          <w:w w:val="110"/>
          <w:sz w:val="24"/>
          <w:szCs w:val="22"/>
          <w:u w:val="none"/>
          <w:lang w:val="en-US"/>
        </w:rPr>
      </w:pPr>
      <w:r w:rsidRPr="00565F75">
        <w:rPr>
          <w:rFonts w:ascii="Garamond" w:hAnsi="Garamond" w:cs="Sylfaen"/>
          <w:color w:val="1F497D" w:themeColor="text2"/>
          <w:spacing w:val="20"/>
          <w:w w:val="110"/>
          <w:sz w:val="24"/>
          <w:szCs w:val="22"/>
          <w:u w:val="none"/>
          <w:lang w:val="en-US"/>
        </w:rPr>
        <w:t xml:space="preserve"> CENTRAL BANK </w:t>
      </w:r>
    </w:p>
    <w:p w14:paraId="448AEA55" w14:textId="77777777" w:rsidR="003D1442" w:rsidRPr="00565F75" w:rsidRDefault="00C00B89" w:rsidP="00C00B89">
      <w:pPr>
        <w:autoSpaceDE w:val="0"/>
        <w:autoSpaceDN w:val="0"/>
        <w:adjustRightInd w:val="0"/>
        <w:spacing w:after="120" w:line="360" w:lineRule="auto"/>
        <w:jc w:val="right"/>
        <w:rPr>
          <w:rFonts w:ascii="Garamond" w:hAnsi="Garamond" w:cs="Sylfaen"/>
          <w:b/>
          <w:color w:val="1F497D" w:themeColor="text2"/>
          <w:spacing w:val="20"/>
          <w:w w:val="110"/>
          <w:szCs w:val="22"/>
        </w:rPr>
      </w:pPr>
      <w:r w:rsidRPr="00565F75">
        <w:rPr>
          <w:rFonts w:ascii="Garamond" w:hAnsi="Garamond" w:cs="Sylfaen"/>
          <w:b/>
          <w:color w:val="1F497D" w:themeColor="text2"/>
          <w:spacing w:val="20"/>
          <w:w w:val="110"/>
          <w:szCs w:val="22"/>
        </w:rPr>
        <w:t>THE CENTRAL BANK OF THE REPUBLIC OF ARMENIA</w:t>
      </w:r>
    </w:p>
    <w:p w14:paraId="204C95A6" w14:textId="77777777" w:rsidR="00C00B89" w:rsidRPr="00565F75" w:rsidRDefault="00C00B89" w:rsidP="00C00B89">
      <w:pPr>
        <w:autoSpaceDE w:val="0"/>
        <w:autoSpaceDN w:val="0"/>
        <w:adjustRightInd w:val="0"/>
        <w:spacing w:after="120" w:line="360" w:lineRule="auto"/>
        <w:jc w:val="right"/>
        <w:rPr>
          <w:rFonts w:ascii="Garamond" w:hAnsi="Garamond"/>
          <w:b/>
          <w:color w:val="0070C0"/>
          <w:szCs w:val="22"/>
        </w:rPr>
      </w:pPr>
      <w:r w:rsidRPr="00565F75">
        <w:rPr>
          <w:rFonts w:ascii="Garamond" w:hAnsi="Garamond" w:cs="Sylfaen"/>
          <w:b/>
          <w:i/>
          <w:color w:val="002060"/>
          <w:spacing w:val="4"/>
          <w:w w:val="110"/>
          <w:szCs w:val="22"/>
        </w:rPr>
        <w:t>Approved under the Central Bank Board Resolution No. 89A, dated May 29, 2018</w:t>
      </w:r>
    </w:p>
    <w:p w14:paraId="3515C1D2" w14:textId="77777777" w:rsidR="00C00B89" w:rsidRPr="00565F75" w:rsidRDefault="00C00B89" w:rsidP="00EE619D">
      <w:pPr>
        <w:autoSpaceDE w:val="0"/>
        <w:autoSpaceDN w:val="0"/>
        <w:adjustRightInd w:val="0"/>
        <w:spacing w:after="120" w:line="360" w:lineRule="auto"/>
        <w:jc w:val="both"/>
        <w:rPr>
          <w:rFonts w:ascii="Garamond" w:hAnsi="Garamond"/>
          <w:b/>
          <w:color w:val="0070C0"/>
          <w:szCs w:val="22"/>
        </w:rPr>
      </w:pPr>
    </w:p>
    <w:p w14:paraId="1EB957D4" w14:textId="77777777" w:rsidR="00C00B89" w:rsidRPr="00565F75" w:rsidRDefault="00C00B89" w:rsidP="00C00B89">
      <w:pPr>
        <w:autoSpaceDE w:val="0"/>
        <w:autoSpaceDN w:val="0"/>
        <w:adjustRightInd w:val="0"/>
        <w:spacing w:after="120" w:line="360" w:lineRule="auto"/>
        <w:jc w:val="right"/>
        <w:rPr>
          <w:rFonts w:ascii="Garamond" w:hAnsi="Garamond"/>
          <w:b/>
          <w:color w:val="1F497D" w:themeColor="text2"/>
          <w:spacing w:val="40"/>
          <w:w w:val="110"/>
          <w:szCs w:val="22"/>
        </w:rPr>
      </w:pPr>
      <w:r w:rsidRPr="00565F75">
        <w:rPr>
          <w:rFonts w:ascii="Garamond" w:hAnsi="Garamond"/>
          <w:b/>
          <w:color w:val="1F497D" w:themeColor="text2"/>
          <w:spacing w:val="40"/>
          <w:w w:val="110"/>
          <w:szCs w:val="22"/>
        </w:rPr>
        <w:t>Inflation Report</w:t>
      </w:r>
    </w:p>
    <w:p w14:paraId="476B1EE1" w14:textId="77777777" w:rsidR="00C00B89" w:rsidRPr="00565F75" w:rsidRDefault="00C00B89" w:rsidP="00EE619D">
      <w:pPr>
        <w:autoSpaceDE w:val="0"/>
        <w:autoSpaceDN w:val="0"/>
        <w:adjustRightInd w:val="0"/>
        <w:spacing w:after="120" w:line="360" w:lineRule="auto"/>
        <w:jc w:val="both"/>
        <w:rPr>
          <w:rFonts w:ascii="Garamond" w:hAnsi="Garamond"/>
          <w:b/>
          <w:color w:val="1F497D" w:themeColor="text2"/>
          <w:spacing w:val="40"/>
          <w:w w:val="110"/>
          <w:szCs w:val="22"/>
        </w:rPr>
      </w:pPr>
    </w:p>
    <w:p w14:paraId="738C86C9" w14:textId="77777777" w:rsidR="00C00B89" w:rsidRPr="00565F75" w:rsidRDefault="00C00B89" w:rsidP="00C00B89">
      <w:pPr>
        <w:autoSpaceDE w:val="0"/>
        <w:autoSpaceDN w:val="0"/>
        <w:adjustRightInd w:val="0"/>
        <w:spacing w:after="120" w:line="360" w:lineRule="auto"/>
        <w:jc w:val="right"/>
        <w:rPr>
          <w:rFonts w:ascii="Garamond" w:hAnsi="Garamond"/>
          <w:b/>
          <w:color w:val="1F497D" w:themeColor="text2"/>
          <w:szCs w:val="22"/>
        </w:rPr>
      </w:pPr>
      <w:r w:rsidRPr="00565F75">
        <w:rPr>
          <w:rFonts w:ascii="Garamond" w:hAnsi="Garamond"/>
          <w:b/>
          <w:color w:val="1F497D" w:themeColor="text2"/>
          <w:szCs w:val="22"/>
        </w:rPr>
        <w:t>Monetary Policy Program, Q2, 2018</w:t>
      </w:r>
    </w:p>
    <w:p w14:paraId="711BC02F" w14:textId="77777777" w:rsidR="00C00B89" w:rsidRPr="00565F75" w:rsidRDefault="00C00B89" w:rsidP="00C00B89">
      <w:pPr>
        <w:autoSpaceDE w:val="0"/>
        <w:autoSpaceDN w:val="0"/>
        <w:adjustRightInd w:val="0"/>
        <w:spacing w:after="120" w:line="360" w:lineRule="auto"/>
        <w:jc w:val="right"/>
        <w:rPr>
          <w:rFonts w:ascii="Garamond" w:hAnsi="Garamond" w:cs="Sylfaen"/>
          <w:b/>
          <w:color w:val="1F497D" w:themeColor="text2"/>
          <w:szCs w:val="22"/>
        </w:rPr>
      </w:pPr>
      <w:r w:rsidRPr="00565F75">
        <w:rPr>
          <w:rFonts w:ascii="Garamond" w:hAnsi="Garamond" w:cs="Sylfaen"/>
          <w:b/>
          <w:color w:val="1F497D" w:themeColor="text2"/>
          <w:szCs w:val="22"/>
          <w:lang w:val="hy-AM"/>
        </w:rPr>
        <w:sym w:font="Wingdings 2" w:char="F0E7"/>
      </w:r>
    </w:p>
    <w:p w14:paraId="50A8ABF5" w14:textId="77777777" w:rsidR="00C00B89" w:rsidRPr="00565F75" w:rsidRDefault="00C00B89" w:rsidP="00C00B89">
      <w:pPr>
        <w:autoSpaceDE w:val="0"/>
        <w:autoSpaceDN w:val="0"/>
        <w:adjustRightInd w:val="0"/>
        <w:spacing w:after="120" w:line="360" w:lineRule="auto"/>
        <w:jc w:val="right"/>
        <w:rPr>
          <w:rFonts w:ascii="Garamond" w:hAnsi="Garamond"/>
          <w:b/>
          <w:color w:val="0070C0"/>
          <w:szCs w:val="22"/>
        </w:rPr>
      </w:pPr>
      <w:r w:rsidRPr="00565F75">
        <w:rPr>
          <w:rFonts w:ascii="Garamond" w:hAnsi="Garamond"/>
          <w:b/>
          <w:color w:val="1F497D" w:themeColor="text2"/>
          <w:szCs w:val="22"/>
        </w:rPr>
        <w:t>Status Report on Implementation of the Monetary Policy Program, Q1, 2018</w:t>
      </w:r>
    </w:p>
    <w:p w14:paraId="71D9AA98" w14:textId="77777777" w:rsidR="00C00B89" w:rsidRPr="00EE5F0F" w:rsidRDefault="00C00B89" w:rsidP="00EE619D">
      <w:pPr>
        <w:autoSpaceDE w:val="0"/>
        <w:autoSpaceDN w:val="0"/>
        <w:adjustRightInd w:val="0"/>
        <w:spacing w:after="120" w:line="360" w:lineRule="auto"/>
        <w:jc w:val="both"/>
        <w:rPr>
          <w:rFonts w:ascii="Garamond" w:hAnsi="Garamond"/>
          <w:b/>
          <w:color w:val="0070C0"/>
          <w:sz w:val="22"/>
          <w:szCs w:val="22"/>
        </w:rPr>
      </w:pPr>
    </w:p>
    <w:p w14:paraId="46728C31" w14:textId="77777777" w:rsidR="00C00B89" w:rsidRPr="00EE5F0F" w:rsidRDefault="00C00B89" w:rsidP="00565F75">
      <w:pPr>
        <w:autoSpaceDE w:val="0"/>
        <w:autoSpaceDN w:val="0"/>
        <w:adjustRightInd w:val="0"/>
        <w:spacing w:after="120" w:line="280" w:lineRule="atLeast"/>
        <w:jc w:val="center"/>
        <w:rPr>
          <w:rFonts w:ascii="Garamond" w:hAnsi="Garamond" w:cs="Sylfaen"/>
          <w:i/>
          <w:sz w:val="22"/>
          <w:szCs w:val="22"/>
          <w:lang w:val="hy-AM"/>
        </w:rPr>
      </w:pP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inflation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targeting</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strategy</w:t>
      </w:r>
      <w:proofErr w:type="spellEnd"/>
      <w:r w:rsidRPr="00EE5F0F">
        <w:rPr>
          <w:rFonts w:ascii="Garamond" w:hAnsi="Garamond" w:cs="Sylfaen"/>
          <w:i/>
          <w:sz w:val="22"/>
          <w:szCs w:val="22"/>
          <w:lang w:val="hy-AM"/>
        </w:rPr>
        <w:t xml:space="preserve"> of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Central Bank of Armenia </w:t>
      </w:r>
      <w:proofErr w:type="spellStart"/>
      <w:r w:rsidRPr="00EE5F0F">
        <w:rPr>
          <w:rFonts w:ascii="Garamond" w:hAnsi="Garamond" w:cs="Sylfaen"/>
          <w:i/>
          <w:sz w:val="22"/>
          <w:szCs w:val="22"/>
          <w:lang w:val="hy-AM"/>
        </w:rPr>
        <w:t>highlights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importance</w:t>
      </w:r>
      <w:proofErr w:type="spellEnd"/>
      <w:r w:rsidRPr="00EE5F0F">
        <w:rPr>
          <w:rFonts w:ascii="Garamond" w:hAnsi="Garamond" w:cs="Sylfaen"/>
          <w:i/>
          <w:sz w:val="22"/>
          <w:szCs w:val="22"/>
          <w:lang w:val="hy-AM"/>
        </w:rPr>
        <w:t xml:space="preserve"> of </w:t>
      </w:r>
      <w:proofErr w:type="spellStart"/>
      <w:r w:rsidRPr="00EE5F0F">
        <w:rPr>
          <w:rFonts w:ascii="Garamond" w:hAnsi="Garamond" w:cs="Sylfaen"/>
          <w:i/>
          <w:sz w:val="22"/>
          <w:szCs w:val="22"/>
          <w:lang w:val="hy-AM"/>
        </w:rPr>
        <w:t>communicating</w:t>
      </w:r>
      <w:proofErr w:type="spellEnd"/>
      <w:r w:rsidRPr="00EE5F0F">
        <w:rPr>
          <w:rFonts w:ascii="Garamond" w:hAnsi="Garamond" w:cs="Sylfaen"/>
          <w:i/>
          <w:sz w:val="22"/>
          <w:szCs w:val="22"/>
          <w:lang w:val="hy-AM"/>
        </w:rPr>
        <w:t xml:space="preserve"> of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Bank </w:t>
      </w:r>
      <w:proofErr w:type="spellStart"/>
      <w:r w:rsidRPr="00EE5F0F">
        <w:rPr>
          <w:rFonts w:ascii="Garamond" w:hAnsi="Garamond" w:cs="Sylfaen"/>
          <w:i/>
          <w:sz w:val="22"/>
          <w:szCs w:val="22"/>
          <w:lang w:val="hy-AM"/>
        </w:rPr>
        <w:t>to</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general</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public</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by</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publishing</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inter</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alia</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quarterly</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inflation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reports</w:t>
      </w:r>
      <w:proofErr w:type="spellEnd"/>
      <w:r w:rsidRPr="00EE5F0F">
        <w:rPr>
          <w:rFonts w:ascii="Garamond" w:hAnsi="Garamond" w:cs="Sylfaen"/>
          <w:i/>
          <w:sz w:val="22"/>
          <w:szCs w:val="22"/>
          <w:lang w:val="hy-AM"/>
        </w:rPr>
        <w:t>.</w:t>
      </w:r>
    </w:p>
    <w:p w14:paraId="3379211F" w14:textId="77777777" w:rsidR="00C00B89" w:rsidRPr="00EE5F0F" w:rsidRDefault="00C00B89" w:rsidP="00565F75">
      <w:pPr>
        <w:autoSpaceDE w:val="0"/>
        <w:autoSpaceDN w:val="0"/>
        <w:adjustRightInd w:val="0"/>
        <w:spacing w:after="120" w:line="280" w:lineRule="atLeast"/>
        <w:jc w:val="center"/>
        <w:rPr>
          <w:rFonts w:ascii="Garamond" w:hAnsi="Garamond" w:cs="Sylfaen"/>
          <w:i/>
          <w:sz w:val="22"/>
          <w:szCs w:val="22"/>
          <w:lang w:val="hy-AM"/>
        </w:rPr>
      </w:pP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first</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section</w:t>
      </w:r>
      <w:proofErr w:type="spellEnd"/>
      <w:r w:rsidRPr="00EE5F0F">
        <w:rPr>
          <w:rFonts w:ascii="Garamond" w:hAnsi="Garamond" w:cs="Sylfaen"/>
          <w:i/>
          <w:sz w:val="22"/>
          <w:szCs w:val="22"/>
          <w:lang w:val="hy-AM"/>
        </w:rPr>
        <w:t xml:space="preserve"> of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inflation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report</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includes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Monetary</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Policy</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Program</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that</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provides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main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directions</w:t>
      </w:r>
      <w:proofErr w:type="spellEnd"/>
      <w:r w:rsidRPr="00EE5F0F">
        <w:rPr>
          <w:rFonts w:ascii="Garamond" w:hAnsi="Garamond" w:cs="Sylfaen"/>
          <w:i/>
          <w:sz w:val="22"/>
          <w:szCs w:val="22"/>
          <w:lang w:val="hy-AM"/>
        </w:rPr>
        <w:t xml:space="preserve"> of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monetary</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policy</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in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forecast</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horizon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well</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forecasts</w:t>
      </w:r>
      <w:proofErr w:type="spellEnd"/>
      <w:r w:rsidRPr="00EE5F0F">
        <w:rPr>
          <w:rFonts w:ascii="Garamond" w:hAnsi="Garamond" w:cs="Sylfaen"/>
          <w:i/>
          <w:sz w:val="22"/>
          <w:szCs w:val="22"/>
          <w:lang w:val="hy-AM"/>
        </w:rPr>
        <w:t xml:space="preserve"> of </w:t>
      </w:r>
      <w:proofErr w:type="spellStart"/>
      <w:r w:rsidRPr="00EE5F0F">
        <w:rPr>
          <w:rFonts w:ascii="Garamond" w:hAnsi="Garamond" w:cs="Sylfaen"/>
          <w:i/>
          <w:sz w:val="22"/>
          <w:szCs w:val="22"/>
          <w:lang w:val="hy-AM"/>
        </w:rPr>
        <w:t>inflation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and</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other</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macroeconomic</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indicators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These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forecasts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are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based</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on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Bank’s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assessment</w:t>
      </w:r>
      <w:proofErr w:type="spellEnd"/>
      <w:r w:rsidRPr="00EE5F0F">
        <w:rPr>
          <w:rFonts w:ascii="Garamond" w:hAnsi="Garamond" w:cs="Sylfaen"/>
          <w:i/>
          <w:sz w:val="22"/>
          <w:szCs w:val="22"/>
          <w:lang w:val="hy-AM"/>
        </w:rPr>
        <w:t xml:space="preserve"> of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current</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situation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and</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future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assumptions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by</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Bank, </w:t>
      </w:r>
      <w:proofErr w:type="spellStart"/>
      <w:r w:rsidRPr="00EE5F0F">
        <w:rPr>
          <w:rFonts w:ascii="Garamond" w:hAnsi="Garamond" w:cs="Sylfaen"/>
          <w:i/>
          <w:sz w:val="22"/>
          <w:szCs w:val="22"/>
          <w:lang w:val="hy-AM"/>
        </w:rPr>
        <w:t>which</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also</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include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impact</w:t>
      </w:r>
      <w:proofErr w:type="spellEnd"/>
      <w:r w:rsidRPr="00EE5F0F">
        <w:rPr>
          <w:rFonts w:ascii="Garamond" w:hAnsi="Garamond" w:cs="Sylfaen"/>
          <w:i/>
          <w:sz w:val="22"/>
          <w:szCs w:val="22"/>
          <w:lang w:val="hy-AM"/>
        </w:rPr>
        <w:t xml:space="preserve"> of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Bank </w:t>
      </w:r>
      <w:proofErr w:type="spellStart"/>
      <w:r w:rsidRPr="00EE5F0F">
        <w:rPr>
          <w:rFonts w:ascii="Garamond" w:hAnsi="Garamond" w:cs="Sylfaen"/>
          <w:i/>
          <w:sz w:val="22"/>
          <w:szCs w:val="22"/>
          <w:lang w:val="hy-AM"/>
        </w:rPr>
        <w:t>operations</w:t>
      </w:r>
      <w:proofErr w:type="spellEnd"/>
      <w:r w:rsidRPr="00EE5F0F">
        <w:rPr>
          <w:rFonts w:ascii="Garamond" w:hAnsi="Garamond" w:cs="Sylfaen"/>
          <w:i/>
          <w:sz w:val="22"/>
          <w:szCs w:val="22"/>
          <w:lang w:val="hy-AM"/>
        </w:rPr>
        <w:t>.</w:t>
      </w:r>
    </w:p>
    <w:p w14:paraId="48F87CA0" w14:textId="77777777" w:rsidR="00C00B89" w:rsidRPr="00EE5F0F" w:rsidRDefault="00C00B89" w:rsidP="00565F75">
      <w:pPr>
        <w:autoSpaceDE w:val="0"/>
        <w:autoSpaceDN w:val="0"/>
        <w:adjustRightInd w:val="0"/>
        <w:spacing w:after="120" w:line="280" w:lineRule="atLeast"/>
        <w:jc w:val="center"/>
        <w:rPr>
          <w:rFonts w:ascii="Garamond" w:hAnsi="Garamond" w:cs="Sylfaen"/>
          <w:i/>
          <w:sz w:val="22"/>
          <w:szCs w:val="22"/>
          <w:lang w:val="hy-AM"/>
        </w:rPr>
      </w:pP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second</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section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includes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status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report</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on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implementation</w:t>
      </w:r>
      <w:proofErr w:type="spellEnd"/>
      <w:r w:rsidRPr="00EE5F0F">
        <w:rPr>
          <w:rFonts w:ascii="Garamond" w:hAnsi="Garamond" w:cs="Sylfaen"/>
          <w:i/>
          <w:sz w:val="22"/>
          <w:szCs w:val="22"/>
          <w:lang w:val="hy-AM"/>
        </w:rPr>
        <w:t xml:space="preserve"> of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monetary</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policy</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program</w:t>
      </w:r>
      <w:proofErr w:type="spellEnd"/>
      <w:r w:rsidRPr="00EE5F0F">
        <w:rPr>
          <w:rFonts w:ascii="Garamond" w:hAnsi="Garamond" w:cs="Sylfaen"/>
          <w:i/>
          <w:sz w:val="22"/>
          <w:szCs w:val="22"/>
          <w:lang w:val="hy-AM"/>
        </w:rPr>
        <w:t xml:space="preserve"> of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previous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quarter</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which</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presents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results</w:t>
      </w:r>
      <w:proofErr w:type="spellEnd"/>
      <w:r w:rsidRPr="00EE5F0F">
        <w:rPr>
          <w:rFonts w:ascii="Garamond" w:hAnsi="Garamond" w:cs="Sylfaen"/>
          <w:i/>
          <w:sz w:val="22"/>
          <w:szCs w:val="22"/>
          <w:lang w:val="hy-AM"/>
        </w:rPr>
        <w:t xml:space="preserve"> of </w:t>
      </w:r>
      <w:proofErr w:type="spellStart"/>
      <w:r w:rsidRPr="00EE5F0F">
        <w:rPr>
          <w:rFonts w:ascii="Garamond" w:hAnsi="Garamond" w:cs="Sylfaen"/>
          <w:i/>
          <w:sz w:val="22"/>
          <w:szCs w:val="22"/>
          <w:lang w:val="hy-AM"/>
        </w:rPr>
        <w:t>monetary</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policy</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implementation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and</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covers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actual</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developments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in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domestic</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economy</w:t>
      </w:r>
      <w:proofErr w:type="spellEnd"/>
      <w:r w:rsidRPr="00EE5F0F">
        <w:rPr>
          <w:rFonts w:ascii="Garamond" w:hAnsi="Garamond" w:cs="Sylfaen"/>
          <w:i/>
          <w:sz w:val="22"/>
          <w:szCs w:val="22"/>
          <w:lang w:val="hy-AM"/>
        </w:rPr>
        <w:t>.</w:t>
      </w:r>
    </w:p>
    <w:p w14:paraId="7FD1E235" w14:textId="77777777" w:rsidR="00C00B89" w:rsidRPr="00EE5F0F" w:rsidRDefault="00C00B89" w:rsidP="00565F75">
      <w:pPr>
        <w:autoSpaceDE w:val="0"/>
        <w:autoSpaceDN w:val="0"/>
        <w:adjustRightInd w:val="0"/>
        <w:spacing w:after="120" w:line="280" w:lineRule="atLeast"/>
        <w:jc w:val="center"/>
        <w:rPr>
          <w:rFonts w:ascii="Garamond" w:hAnsi="Garamond" w:cs="Sylfaen"/>
          <w:i/>
          <w:sz w:val="22"/>
          <w:szCs w:val="22"/>
          <w:lang w:val="hy-AM"/>
        </w:rPr>
      </w:pPr>
      <w:proofErr w:type="spellStart"/>
      <w:r w:rsidRPr="00EE5F0F">
        <w:rPr>
          <w:rFonts w:ascii="Garamond" w:hAnsi="Garamond" w:cs="Sylfaen"/>
          <w:i/>
          <w:sz w:val="22"/>
          <w:szCs w:val="22"/>
          <w:lang w:val="hy-AM"/>
        </w:rPr>
        <w:t>Publishing</w:t>
      </w:r>
      <w:proofErr w:type="spellEnd"/>
      <w:r w:rsidRPr="00EE5F0F">
        <w:rPr>
          <w:rFonts w:ascii="Garamond" w:hAnsi="Garamond" w:cs="Sylfaen"/>
          <w:i/>
          <w:sz w:val="22"/>
          <w:szCs w:val="22"/>
          <w:lang w:val="hy-AM"/>
        </w:rPr>
        <w:t xml:space="preserve"> of </w:t>
      </w:r>
      <w:proofErr w:type="spellStart"/>
      <w:r w:rsidRPr="00EE5F0F">
        <w:rPr>
          <w:rFonts w:ascii="Garamond" w:hAnsi="Garamond" w:cs="Sylfaen"/>
          <w:i/>
          <w:sz w:val="22"/>
          <w:szCs w:val="22"/>
          <w:lang w:val="hy-AM"/>
        </w:rPr>
        <w:t>inflation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forecast</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and</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assumptions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underlying</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it</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makes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monetary</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policy</w:t>
      </w:r>
      <w:proofErr w:type="spellEnd"/>
      <w:r w:rsidRPr="00EE5F0F">
        <w:rPr>
          <w:rFonts w:ascii="Garamond" w:hAnsi="Garamond" w:cs="Sylfaen"/>
          <w:i/>
          <w:sz w:val="22"/>
          <w:szCs w:val="22"/>
          <w:lang w:val="hy-AM"/>
        </w:rPr>
        <w:t xml:space="preserve"> of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Bank </w:t>
      </w:r>
      <w:proofErr w:type="spellStart"/>
      <w:r w:rsidRPr="00EE5F0F">
        <w:rPr>
          <w:rFonts w:ascii="Garamond" w:hAnsi="Garamond" w:cs="Sylfaen"/>
          <w:i/>
          <w:sz w:val="22"/>
          <w:szCs w:val="22"/>
          <w:lang w:val="hy-AM"/>
        </w:rPr>
        <w:t>more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transparent</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understandable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and</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predictable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which</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considerably</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increases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public</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confidence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in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Bank.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Bank </w:t>
      </w:r>
      <w:proofErr w:type="spellStart"/>
      <w:r w:rsidRPr="00EE5F0F">
        <w:rPr>
          <w:rFonts w:ascii="Garamond" w:hAnsi="Garamond" w:cs="Sylfaen"/>
          <w:i/>
          <w:sz w:val="22"/>
          <w:szCs w:val="22"/>
          <w:lang w:val="hy-AM"/>
        </w:rPr>
        <w:t>believes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that</w:t>
      </w:r>
      <w:proofErr w:type="spellEnd"/>
      <w:r w:rsidRPr="00EE5F0F">
        <w:rPr>
          <w:rFonts w:ascii="Garamond" w:hAnsi="Garamond" w:cs="Sylfaen"/>
          <w:i/>
          <w:sz w:val="22"/>
          <w:szCs w:val="22"/>
          <w:lang w:val="hy-AM"/>
        </w:rPr>
        <w:t xml:space="preserve"> a </w:t>
      </w:r>
      <w:proofErr w:type="spellStart"/>
      <w:r w:rsidRPr="00EE5F0F">
        <w:rPr>
          <w:rFonts w:ascii="Garamond" w:hAnsi="Garamond" w:cs="Sylfaen"/>
          <w:i/>
          <w:sz w:val="22"/>
          <w:szCs w:val="22"/>
          <w:lang w:val="hy-AM"/>
        </w:rPr>
        <w:t>clear</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and</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trusted</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monetary</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policy</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positively</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affects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anchoring</w:t>
      </w:r>
      <w:proofErr w:type="spellEnd"/>
      <w:r w:rsidRPr="00EE5F0F">
        <w:rPr>
          <w:rFonts w:ascii="Garamond" w:hAnsi="Garamond" w:cs="Sylfaen"/>
          <w:i/>
          <w:sz w:val="22"/>
          <w:szCs w:val="22"/>
          <w:lang w:val="hy-AM"/>
        </w:rPr>
        <w:t xml:space="preserve"> of </w:t>
      </w:r>
      <w:proofErr w:type="spellStart"/>
      <w:r w:rsidRPr="00EE5F0F">
        <w:rPr>
          <w:rFonts w:ascii="Garamond" w:hAnsi="Garamond" w:cs="Sylfaen"/>
          <w:i/>
          <w:sz w:val="22"/>
          <w:szCs w:val="22"/>
          <w:lang w:val="hy-AM"/>
        </w:rPr>
        <w:t>inflation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expectations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and</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maintaining</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financial</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stability</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in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terms</w:t>
      </w:r>
      <w:proofErr w:type="spellEnd"/>
      <w:r w:rsidRPr="00EE5F0F">
        <w:rPr>
          <w:rFonts w:ascii="Garamond" w:hAnsi="Garamond" w:cs="Sylfaen"/>
          <w:i/>
          <w:sz w:val="22"/>
          <w:szCs w:val="22"/>
          <w:lang w:val="hy-AM"/>
        </w:rPr>
        <w:t xml:space="preserve"> of </w:t>
      </w:r>
      <w:proofErr w:type="spellStart"/>
      <w:r w:rsidRPr="00EE5F0F">
        <w:rPr>
          <w:rFonts w:ascii="Garamond" w:hAnsi="Garamond" w:cs="Sylfaen"/>
          <w:i/>
          <w:sz w:val="22"/>
          <w:szCs w:val="22"/>
          <w:lang w:val="hy-AM"/>
        </w:rPr>
        <w:t>cost</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reduction</w:t>
      </w:r>
      <w:proofErr w:type="spellEnd"/>
      <w:r w:rsidRPr="00EE5F0F">
        <w:rPr>
          <w:rFonts w:ascii="Garamond" w:hAnsi="Garamond" w:cs="Sylfaen"/>
          <w:i/>
          <w:sz w:val="22"/>
          <w:szCs w:val="22"/>
          <w:lang w:val="hy-AM"/>
        </w:rPr>
        <w:t>.</w:t>
      </w:r>
    </w:p>
    <w:p w14:paraId="31E01486" w14:textId="77777777" w:rsidR="00C00B89" w:rsidRPr="00EE5F0F" w:rsidRDefault="00C00B89" w:rsidP="00565F75">
      <w:pPr>
        <w:autoSpaceDE w:val="0"/>
        <w:autoSpaceDN w:val="0"/>
        <w:adjustRightInd w:val="0"/>
        <w:spacing w:after="120" w:line="280" w:lineRule="atLeast"/>
        <w:jc w:val="center"/>
        <w:rPr>
          <w:rFonts w:ascii="Garamond" w:hAnsi="Garamond" w:cs="Sylfaen"/>
          <w:i/>
          <w:sz w:val="22"/>
          <w:szCs w:val="22"/>
          <w:lang w:val="hy-AM"/>
        </w:rPr>
      </w:pPr>
      <w:proofErr w:type="spellStart"/>
      <w:r w:rsidRPr="00EE5F0F">
        <w:rPr>
          <w:rFonts w:ascii="Garamond" w:hAnsi="Garamond" w:cs="Sylfaen"/>
          <w:i/>
          <w:sz w:val="22"/>
          <w:szCs w:val="22"/>
          <w:lang w:val="hy-AM"/>
        </w:rPr>
        <w:t>According</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to</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rule</w:t>
      </w:r>
      <w:proofErr w:type="spellEnd"/>
      <w:r w:rsidRPr="00EE5F0F">
        <w:rPr>
          <w:rFonts w:ascii="Garamond" w:hAnsi="Garamond" w:cs="Sylfaen"/>
          <w:i/>
          <w:sz w:val="22"/>
          <w:szCs w:val="22"/>
          <w:lang w:val="hy-AM"/>
        </w:rPr>
        <w:t xml:space="preserve"> of </w:t>
      </w:r>
      <w:proofErr w:type="spellStart"/>
      <w:r w:rsidRPr="00EE5F0F">
        <w:rPr>
          <w:rFonts w:ascii="Garamond" w:hAnsi="Garamond" w:cs="Sylfaen"/>
          <w:i/>
          <w:sz w:val="22"/>
          <w:szCs w:val="22"/>
          <w:lang w:val="hy-AM"/>
        </w:rPr>
        <w:t>monetary</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policy</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policy</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is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aimed</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at</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minimizing</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deviations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between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4% </w:t>
      </w:r>
      <w:proofErr w:type="spellStart"/>
      <w:r w:rsidRPr="00EE5F0F">
        <w:rPr>
          <w:rFonts w:ascii="Garamond" w:hAnsi="Garamond" w:cs="Sylfaen"/>
          <w:i/>
          <w:sz w:val="22"/>
          <w:szCs w:val="22"/>
          <w:lang w:val="hy-AM"/>
        </w:rPr>
        <w:t>target</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and</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inflation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forecasts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path</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to</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inflation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rate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shaped</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as</w:t>
      </w:r>
      <w:proofErr w:type="spellEnd"/>
      <w:r w:rsidRPr="00EE5F0F">
        <w:rPr>
          <w:rFonts w:ascii="Garamond" w:hAnsi="Garamond" w:cs="Sylfaen"/>
          <w:i/>
          <w:sz w:val="22"/>
          <w:szCs w:val="22"/>
          <w:lang w:val="hy-AM"/>
        </w:rPr>
        <w:t xml:space="preserve"> a </w:t>
      </w:r>
      <w:proofErr w:type="spellStart"/>
      <w:r w:rsidRPr="00EE5F0F">
        <w:rPr>
          <w:rFonts w:ascii="Garamond" w:hAnsi="Garamond" w:cs="Sylfaen"/>
          <w:i/>
          <w:sz w:val="22"/>
          <w:szCs w:val="22"/>
          <w:lang w:val="hy-AM"/>
        </w:rPr>
        <w:t>result</w:t>
      </w:r>
      <w:proofErr w:type="spellEnd"/>
      <w:r w:rsidRPr="00EE5F0F">
        <w:rPr>
          <w:rFonts w:ascii="Garamond" w:hAnsi="Garamond" w:cs="Sylfaen"/>
          <w:i/>
          <w:sz w:val="22"/>
          <w:szCs w:val="22"/>
          <w:lang w:val="hy-AM"/>
        </w:rPr>
        <w:t xml:space="preserve"> of </w:t>
      </w:r>
      <w:proofErr w:type="spellStart"/>
      <w:r w:rsidRPr="00EE5F0F">
        <w:rPr>
          <w:rFonts w:ascii="Garamond" w:hAnsi="Garamond" w:cs="Sylfaen"/>
          <w:i/>
          <w:sz w:val="22"/>
          <w:szCs w:val="22"/>
          <w:lang w:val="hy-AM"/>
        </w:rPr>
        <w:t>projected</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policy</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directions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is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published</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as</w:t>
      </w:r>
      <w:proofErr w:type="spellEnd"/>
      <w:r w:rsidRPr="00EE5F0F">
        <w:rPr>
          <w:rFonts w:ascii="Garamond" w:hAnsi="Garamond" w:cs="Sylfaen"/>
          <w:i/>
          <w:sz w:val="22"/>
          <w:szCs w:val="22"/>
          <w:lang w:val="hy-AM"/>
        </w:rPr>
        <w:t xml:space="preserve"> a </w:t>
      </w:r>
      <w:proofErr w:type="spellStart"/>
      <w:r w:rsidRPr="00EE5F0F">
        <w:rPr>
          <w:rFonts w:ascii="Garamond" w:hAnsi="Garamond" w:cs="Sylfaen"/>
          <w:i/>
          <w:sz w:val="22"/>
          <w:szCs w:val="22"/>
          <w:lang w:val="hy-AM"/>
        </w:rPr>
        <w:t>forecast</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probability</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distribution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chart</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for</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12-quarter </w:t>
      </w:r>
      <w:proofErr w:type="spellStart"/>
      <w:r w:rsidRPr="00EE5F0F">
        <w:rPr>
          <w:rFonts w:ascii="Garamond" w:hAnsi="Garamond" w:cs="Sylfaen"/>
          <w:i/>
          <w:sz w:val="22"/>
          <w:szCs w:val="22"/>
          <w:lang w:val="hy-AM"/>
        </w:rPr>
        <w:t>time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horizon</w:t>
      </w:r>
      <w:proofErr w:type="spellEnd"/>
      <w:r w:rsidRPr="00EE5F0F">
        <w:rPr>
          <w:rFonts w:ascii="Garamond" w:hAnsi="Garamond" w:cs="Sylfaen"/>
          <w:i/>
          <w:sz w:val="22"/>
          <w:szCs w:val="22"/>
          <w:lang w:val="hy-AM"/>
        </w:rPr>
        <w:t>.</w:t>
      </w:r>
    </w:p>
    <w:p w14:paraId="7C802986" w14:textId="77777777" w:rsidR="00C00B89" w:rsidRPr="00EE5F0F" w:rsidRDefault="00C00B89" w:rsidP="00565F75">
      <w:pPr>
        <w:autoSpaceDE w:val="0"/>
        <w:autoSpaceDN w:val="0"/>
        <w:adjustRightInd w:val="0"/>
        <w:spacing w:after="120" w:line="280" w:lineRule="atLeast"/>
        <w:jc w:val="center"/>
        <w:rPr>
          <w:rFonts w:ascii="Garamond" w:hAnsi="Garamond" w:cs="Sylfaen"/>
          <w:i/>
          <w:sz w:val="22"/>
          <w:szCs w:val="22"/>
          <w:lang w:val="hy-AM"/>
        </w:rPr>
      </w:pPr>
      <w:proofErr w:type="spellStart"/>
      <w:r w:rsidRPr="00EE5F0F">
        <w:rPr>
          <w:rFonts w:ascii="Garamond" w:hAnsi="Garamond" w:cs="Sylfaen"/>
          <w:i/>
          <w:sz w:val="22"/>
          <w:szCs w:val="22"/>
          <w:lang w:val="hy-AM"/>
        </w:rPr>
        <w:t>Projections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in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this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report</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are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based</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on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actual</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information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available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by</w:t>
      </w:r>
      <w:proofErr w:type="spellEnd"/>
      <w:r w:rsidRPr="00EE5F0F">
        <w:rPr>
          <w:rFonts w:ascii="Garamond" w:hAnsi="Garamond" w:cs="Sylfaen"/>
          <w:i/>
          <w:sz w:val="22"/>
          <w:szCs w:val="22"/>
          <w:lang w:val="hy-AM"/>
        </w:rPr>
        <w:t xml:space="preserve"> </w:t>
      </w:r>
      <w:r w:rsidRPr="00EE5F0F">
        <w:rPr>
          <w:rFonts w:ascii="Garamond" w:hAnsi="Garamond" w:cs="Sylfaen"/>
          <w:i/>
          <w:sz w:val="22"/>
          <w:szCs w:val="22"/>
        </w:rPr>
        <w:t>May</w:t>
      </w:r>
      <w:r w:rsidRPr="00EE5F0F">
        <w:rPr>
          <w:rFonts w:ascii="Garamond" w:hAnsi="Garamond" w:cs="Sylfaen"/>
          <w:i/>
          <w:sz w:val="22"/>
          <w:szCs w:val="22"/>
          <w:lang w:val="hy-AM"/>
        </w:rPr>
        <w:t xml:space="preserve"> 1</w:t>
      </w:r>
      <w:r w:rsidRPr="00EE5F0F">
        <w:rPr>
          <w:rFonts w:ascii="Garamond" w:hAnsi="Garamond" w:cs="Sylfaen"/>
          <w:i/>
          <w:sz w:val="22"/>
          <w:szCs w:val="22"/>
        </w:rPr>
        <w:t>5</w:t>
      </w:r>
      <w:r w:rsidRPr="00EE5F0F">
        <w:rPr>
          <w:rFonts w:ascii="Garamond" w:hAnsi="Garamond" w:cs="Sylfaen"/>
          <w:i/>
          <w:sz w:val="22"/>
          <w:szCs w:val="22"/>
          <w:lang w:val="hy-AM"/>
        </w:rPr>
        <w:t xml:space="preserve">, 2018, </w:t>
      </w:r>
      <w:proofErr w:type="spellStart"/>
      <w:r w:rsidRPr="00EE5F0F">
        <w:rPr>
          <w:rFonts w:ascii="Garamond" w:hAnsi="Garamond" w:cs="Sylfaen"/>
          <w:i/>
          <w:sz w:val="22"/>
          <w:szCs w:val="22"/>
          <w:lang w:val="hy-AM"/>
        </w:rPr>
        <w:t>i.e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day</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on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which</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refinancing</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rate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was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set</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results</w:t>
      </w:r>
      <w:proofErr w:type="spellEnd"/>
      <w:r w:rsidRPr="00EE5F0F">
        <w:rPr>
          <w:rFonts w:ascii="Garamond" w:hAnsi="Garamond" w:cs="Sylfaen"/>
          <w:i/>
          <w:sz w:val="22"/>
          <w:szCs w:val="22"/>
          <w:lang w:val="hy-AM"/>
        </w:rPr>
        <w:t xml:space="preserve"> of a </w:t>
      </w:r>
      <w:proofErr w:type="spellStart"/>
      <w:r w:rsidRPr="00EE5F0F">
        <w:rPr>
          <w:rFonts w:ascii="Garamond" w:hAnsi="Garamond" w:cs="Sylfaen"/>
          <w:i/>
          <w:sz w:val="22"/>
          <w:szCs w:val="22"/>
          <w:lang w:val="hy-AM"/>
        </w:rPr>
        <w:t>survey</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conducted</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by</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Bank </w:t>
      </w:r>
      <w:proofErr w:type="spellStart"/>
      <w:r w:rsidRPr="00EE5F0F">
        <w:rPr>
          <w:rFonts w:ascii="Garamond" w:hAnsi="Garamond" w:cs="Sylfaen"/>
          <w:i/>
          <w:sz w:val="22"/>
          <w:szCs w:val="22"/>
          <w:lang w:val="hy-AM"/>
        </w:rPr>
        <w:t>and</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judgment</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made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pursuant</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to</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information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on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future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developments</w:t>
      </w:r>
      <w:proofErr w:type="spellEnd"/>
      <w:r w:rsidRPr="00EE5F0F">
        <w:rPr>
          <w:rFonts w:ascii="Garamond" w:hAnsi="Garamond" w:cs="Sylfaen"/>
          <w:i/>
          <w:sz w:val="22"/>
          <w:szCs w:val="22"/>
          <w:lang w:val="hy-AM"/>
        </w:rPr>
        <w:t xml:space="preserve"> of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macroeconomic</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environment</w:t>
      </w:r>
      <w:proofErr w:type="spellEnd"/>
      <w:r w:rsidRPr="00EE5F0F">
        <w:rPr>
          <w:rFonts w:ascii="Garamond" w:hAnsi="Garamond" w:cs="Sylfaen"/>
          <w:i/>
          <w:sz w:val="22"/>
          <w:szCs w:val="22"/>
          <w:lang w:val="hy-AM"/>
        </w:rPr>
        <w:t>.</w:t>
      </w:r>
    </w:p>
    <w:p w14:paraId="5BC5F982" w14:textId="77777777" w:rsidR="00C00B89" w:rsidRPr="00EE5F0F" w:rsidRDefault="00C00B89" w:rsidP="00565F75">
      <w:pPr>
        <w:autoSpaceDE w:val="0"/>
        <w:autoSpaceDN w:val="0"/>
        <w:adjustRightInd w:val="0"/>
        <w:spacing w:after="120" w:line="360" w:lineRule="auto"/>
        <w:jc w:val="center"/>
        <w:rPr>
          <w:rFonts w:ascii="Garamond" w:hAnsi="Garamond"/>
          <w:b/>
          <w:color w:val="0070C0"/>
          <w:sz w:val="22"/>
          <w:szCs w:val="22"/>
        </w:rPr>
      </w:pPr>
      <w:proofErr w:type="spellStart"/>
      <w:r w:rsidRPr="00EE5F0F">
        <w:rPr>
          <w:rFonts w:ascii="Garamond" w:hAnsi="Garamond" w:cs="Sylfaen"/>
          <w:i/>
          <w:sz w:val="22"/>
          <w:szCs w:val="22"/>
          <w:lang w:val="hy-AM"/>
        </w:rPr>
        <w:t>All</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inflation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reports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which</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have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been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published</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to</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date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are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available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on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Bank’s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website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which</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also</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contains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all</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press-releases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and</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other</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monetary</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policy-related</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publications</w:t>
      </w:r>
      <w:proofErr w:type="spellEnd"/>
      <w:r w:rsidRPr="00EE5F0F">
        <w:rPr>
          <w:rFonts w:ascii="Garamond" w:hAnsi="Garamond" w:cs="Sylfaen"/>
          <w:i/>
          <w:sz w:val="22"/>
          <w:szCs w:val="22"/>
          <w:lang w:val="hy-AM"/>
        </w:rPr>
        <w:t>.</w:t>
      </w:r>
    </w:p>
    <w:p w14:paraId="5501C592" w14:textId="77777777" w:rsidR="00C00B89" w:rsidRDefault="00C00B89" w:rsidP="00EE619D">
      <w:pPr>
        <w:autoSpaceDE w:val="0"/>
        <w:autoSpaceDN w:val="0"/>
        <w:adjustRightInd w:val="0"/>
        <w:spacing w:after="120" w:line="360" w:lineRule="auto"/>
        <w:jc w:val="both"/>
        <w:rPr>
          <w:rFonts w:ascii="Garamond" w:hAnsi="Garamond"/>
          <w:b/>
          <w:color w:val="0070C0"/>
          <w:sz w:val="22"/>
          <w:szCs w:val="22"/>
        </w:rPr>
      </w:pPr>
    </w:p>
    <w:p w14:paraId="4005479C" w14:textId="77777777" w:rsidR="006629EC" w:rsidRDefault="006629EC" w:rsidP="00EE619D">
      <w:pPr>
        <w:autoSpaceDE w:val="0"/>
        <w:autoSpaceDN w:val="0"/>
        <w:adjustRightInd w:val="0"/>
        <w:spacing w:after="120" w:line="360" w:lineRule="auto"/>
        <w:jc w:val="both"/>
        <w:rPr>
          <w:rFonts w:ascii="Garamond" w:hAnsi="Garamond"/>
          <w:b/>
          <w:color w:val="0070C0"/>
          <w:sz w:val="22"/>
          <w:szCs w:val="22"/>
        </w:rPr>
      </w:pPr>
    </w:p>
    <w:p w14:paraId="2598EFC9" w14:textId="77777777" w:rsidR="006629EC" w:rsidRPr="00EE5F0F" w:rsidRDefault="006629EC" w:rsidP="00EE619D">
      <w:pPr>
        <w:autoSpaceDE w:val="0"/>
        <w:autoSpaceDN w:val="0"/>
        <w:adjustRightInd w:val="0"/>
        <w:spacing w:after="120" w:line="360" w:lineRule="auto"/>
        <w:jc w:val="both"/>
        <w:rPr>
          <w:rFonts w:ascii="Garamond" w:hAnsi="Garamond"/>
          <w:b/>
          <w:color w:val="0070C0"/>
          <w:sz w:val="22"/>
          <w:szCs w:val="22"/>
        </w:rPr>
      </w:pPr>
    </w:p>
    <w:tbl>
      <w:tblPr>
        <w:tblW w:w="6345" w:type="dxa"/>
        <w:tblBorders>
          <w:top w:val="nil"/>
          <w:left w:val="nil"/>
          <w:bottom w:val="nil"/>
          <w:right w:val="nil"/>
          <w:insideH w:val="single" w:sz="18" w:space="0" w:color="FFFFFF"/>
          <w:insideV w:val="single" w:sz="18" w:space="0" w:color="FFFFFF"/>
        </w:tblBorders>
        <w:tblLook w:val="00A0" w:firstRow="1" w:lastRow="0" w:firstColumn="1" w:lastColumn="0" w:noHBand="0" w:noVBand="0"/>
      </w:tblPr>
      <w:tblGrid>
        <w:gridCol w:w="6345"/>
      </w:tblGrid>
      <w:tr w:rsidR="007B1D1B" w:rsidRPr="00565F75" w14:paraId="1404A371" w14:textId="77777777" w:rsidTr="00525AE5">
        <w:tc>
          <w:tcPr>
            <w:tcW w:w="6345" w:type="dxa"/>
            <w:shd w:val="clear" w:color="auto" w:fill="D9D9D9"/>
          </w:tcPr>
          <w:p w14:paraId="7733A9C3" w14:textId="77777777" w:rsidR="007B1D1B" w:rsidRPr="00565F75" w:rsidRDefault="007B1D1B" w:rsidP="00525AE5">
            <w:pPr>
              <w:pStyle w:val="Heading1"/>
              <w:spacing w:before="60" w:after="60" w:line="240" w:lineRule="atLeast"/>
              <w:jc w:val="center"/>
              <w:rPr>
                <w:rFonts w:ascii="Garamond" w:hAnsi="Garamond"/>
                <w:bCs/>
                <w:color w:val="auto"/>
                <w:spacing w:val="40"/>
                <w:w w:val="150"/>
                <w:kern w:val="22"/>
                <w:sz w:val="20"/>
                <w:szCs w:val="20"/>
                <w:u w:val="none"/>
              </w:rPr>
            </w:pPr>
            <w:r w:rsidRPr="00565F75">
              <w:rPr>
                <w:rFonts w:ascii="Garamond" w:hAnsi="Garamond"/>
                <w:bCs/>
                <w:color w:val="1F497D" w:themeColor="text2"/>
                <w:spacing w:val="40"/>
                <w:w w:val="150"/>
                <w:kern w:val="22"/>
                <w:sz w:val="20"/>
                <w:szCs w:val="20"/>
                <w:u w:val="none"/>
                <w:lang w:val="en-US"/>
              </w:rPr>
              <w:lastRenderedPageBreak/>
              <w:t>Table of Contents</w:t>
            </w:r>
          </w:p>
        </w:tc>
      </w:tr>
    </w:tbl>
    <w:p w14:paraId="10FED46F" w14:textId="77777777" w:rsidR="007B1D1B" w:rsidRPr="00565F75" w:rsidRDefault="007B1D1B" w:rsidP="007B1D1B">
      <w:pPr>
        <w:pStyle w:val="Header"/>
        <w:autoSpaceDE w:val="0"/>
        <w:autoSpaceDN w:val="0"/>
        <w:rPr>
          <w:rFonts w:ascii="Garamond" w:hAnsi="Garamond"/>
          <w:color w:val="FF0000"/>
          <w:sz w:val="20"/>
          <w:szCs w:val="20"/>
        </w:rPr>
      </w:pPr>
      <w:r w:rsidRPr="00565F75">
        <w:rPr>
          <w:rFonts w:ascii="Garamond" w:hAnsi="Garamond"/>
          <w:noProof/>
          <w:color w:val="FF0000"/>
          <w:sz w:val="20"/>
          <w:szCs w:val="20"/>
        </w:rPr>
        <mc:AlternateContent>
          <mc:Choice Requires="wps">
            <w:drawing>
              <wp:anchor distT="0" distB="0" distL="114300" distR="114300" simplePos="0" relativeHeight="251661312" behindDoc="0" locked="0" layoutInCell="1" allowOverlap="1" wp14:anchorId="1FF6B1D2" wp14:editId="56108FEB">
                <wp:simplePos x="0" y="0"/>
                <wp:positionH relativeFrom="column">
                  <wp:posOffset>3548431</wp:posOffset>
                </wp:positionH>
                <wp:positionV relativeFrom="paragraph">
                  <wp:posOffset>8609965</wp:posOffset>
                </wp:positionV>
                <wp:extent cx="747395" cy="359994"/>
                <wp:effectExtent l="0" t="0" r="0" b="2540"/>
                <wp:wrapNone/>
                <wp:docPr id="4134" name="Text Box 35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7395" cy="3599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C4A1EB" w14:textId="77777777" w:rsidR="007D055F" w:rsidRDefault="007D055F" w:rsidP="007B1D1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F6B1D2" id="_x0000_t202" coordsize="21600,21600" o:spt="202" path="m,l,21600r21600,l21600,xe">
                <v:stroke joinstyle="miter"/>
                <v:path gradientshapeok="t" o:connecttype="rect"/>
              </v:shapetype>
              <v:shape id="Text Box 3592" o:spid="_x0000_s1026" type="#_x0000_t202" style="position:absolute;margin-left:279.4pt;margin-top:677.95pt;width:58.85pt;height:28.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" stroked="f">
                <v:textbox>
                  <w:txbxContent>
                    <w:p w14:paraId="57C4A1EB" w14:textId="77777777" w:rsidR="007D055F" w:rsidRDefault="007D055F" w:rsidP="007B1D1B"/>
                  </w:txbxContent>
                </v:textbox>
              </v:shape>
            </w:pict>
          </mc:Fallback>
        </mc:AlternateContent>
      </w:r>
    </w:p>
    <w:tbl>
      <w:tblPr>
        <w:tblW w:w="6345" w:type="dxa"/>
        <w:tblBorders>
          <w:top w:val="nil"/>
          <w:left w:val="nil"/>
          <w:bottom w:val="nil"/>
          <w:right w:val="nil"/>
          <w:insideH w:val="single" w:sz="18" w:space="0" w:color="FFFFFF"/>
          <w:insideV w:val="single" w:sz="18" w:space="0" w:color="FFFFFF"/>
        </w:tblBorders>
        <w:tblLook w:val="00A0" w:firstRow="1" w:lastRow="0" w:firstColumn="1" w:lastColumn="0" w:noHBand="0" w:noVBand="0"/>
      </w:tblPr>
      <w:tblGrid>
        <w:gridCol w:w="5877"/>
        <w:gridCol w:w="468"/>
      </w:tblGrid>
      <w:tr w:rsidR="007B1D1B" w:rsidRPr="00565F75" w14:paraId="0318A574" w14:textId="77777777" w:rsidTr="00525AE5">
        <w:tc>
          <w:tcPr>
            <w:tcW w:w="5877" w:type="dxa"/>
            <w:shd w:val="pct20" w:color="000000" w:fill="FFFFFF"/>
          </w:tcPr>
          <w:p w14:paraId="1B286A83" w14:textId="77777777" w:rsidR="007B1D1B" w:rsidRPr="00565F75" w:rsidRDefault="007B1D1B" w:rsidP="00525AE5">
            <w:pPr>
              <w:spacing w:before="50" w:after="50"/>
              <w:ind w:left="284" w:right="-113" w:hanging="284"/>
              <w:rPr>
                <w:rFonts w:ascii="Garamond" w:hAnsi="Garamond"/>
                <w:b/>
                <w:color w:val="1F497D" w:themeColor="text2"/>
                <w:sz w:val="20"/>
                <w:szCs w:val="20"/>
              </w:rPr>
            </w:pPr>
            <w:r w:rsidRPr="00565F75">
              <w:rPr>
                <w:rFonts w:ascii="Garamond" w:hAnsi="Garamond"/>
                <w:b/>
                <w:color w:val="1F497D" w:themeColor="text2"/>
                <w:sz w:val="20"/>
                <w:szCs w:val="20"/>
              </w:rPr>
              <w:t>1. Executive summary</w:t>
            </w:r>
            <w:r w:rsidRPr="00565F75">
              <w:rPr>
                <w:rFonts w:ascii="Garamond" w:hAnsi="Garamond"/>
                <w:bCs/>
                <w:color w:val="1F497D" w:themeColor="text2"/>
                <w:sz w:val="20"/>
                <w:szCs w:val="20"/>
              </w:rPr>
              <w:t>...............................................................................</w:t>
            </w:r>
          </w:p>
        </w:tc>
        <w:tc>
          <w:tcPr>
            <w:tcW w:w="468" w:type="dxa"/>
            <w:shd w:val="pct20" w:color="000000" w:fill="FFFFFF"/>
            <w:vAlign w:val="bottom"/>
          </w:tcPr>
          <w:p w14:paraId="788AE24D" w14:textId="77777777" w:rsidR="007B1D1B" w:rsidRPr="00565F75" w:rsidRDefault="007B1D1B" w:rsidP="00525AE5">
            <w:pPr>
              <w:spacing w:before="50" w:after="50"/>
              <w:jc w:val="right"/>
              <w:rPr>
                <w:rFonts w:ascii="Garamond" w:hAnsi="Garamond"/>
                <w:b/>
                <w:bCs/>
                <w:color w:val="1F497D" w:themeColor="text2"/>
                <w:sz w:val="20"/>
                <w:szCs w:val="20"/>
              </w:rPr>
            </w:pPr>
          </w:p>
        </w:tc>
      </w:tr>
      <w:tr w:rsidR="007B1D1B" w:rsidRPr="00565F75" w14:paraId="4B1402EE" w14:textId="77777777" w:rsidTr="00525AE5">
        <w:tc>
          <w:tcPr>
            <w:tcW w:w="5877" w:type="dxa"/>
            <w:shd w:val="pct5" w:color="000000" w:fill="FFFFFF"/>
          </w:tcPr>
          <w:p w14:paraId="639001D2" w14:textId="77777777" w:rsidR="007B1D1B" w:rsidRPr="00565F75" w:rsidRDefault="007B1D1B" w:rsidP="00525AE5">
            <w:pPr>
              <w:spacing w:before="50" w:after="50"/>
              <w:ind w:right="-151"/>
              <w:rPr>
                <w:rFonts w:ascii="Garamond" w:hAnsi="Garamond"/>
                <w:b/>
                <w:color w:val="1F497D" w:themeColor="text2"/>
                <w:sz w:val="20"/>
                <w:szCs w:val="20"/>
              </w:rPr>
            </w:pPr>
            <w:r w:rsidRPr="00565F75">
              <w:rPr>
                <w:rFonts w:ascii="Garamond" w:hAnsi="Garamond" w:cs="Sylfaen"/>
                <w:b/>
                <w:color w:val="1F497D" w:themeColor="text2"/>
                <w:sz w:val="20"/>
                <w:szCs w:val="20"/>
              </w:rPr>
              <w:t>2. Forecast, forecast changes and risks</w:t>
            </w:r>
            <w:r w:rsidRPr="00565F75">
              <w:rPr>
                <w:rFonts w:ascii="Garamond" w:hAnsi="Garamond" w:cs="Sylfaen"/>
                <w:color w:val="1F497D" w:themeColor="text2"/>
                <w:sz w:val="20"/>
                <w:szCs w:val="20"/>
              </w:rPr>
              <w:t>..................................................</w:t>
            </w:r>
          </w:p>
        </w:tc>
        <w:tc>
          <w:tcPr>
            <w:tcW w:w="468" w:type="dxa"/>
            <w:shd w:val="pct5" w:color="000000" w:fill="FFFFFF"/>
            <w:vAlign w:val="bottom"/>
          </w:tcPr>
          <w:p w14:paraId="26A2B55A" w14:textId="77777777" w:rsidR="007B1D1B" w:rsidRPr="00565F75" w:rsidRDefault="007B1D1B" w:rsidP="00525AE5">
            <w:pPr>
              <w:spacing w:before="50" w:after="50"/>
              <w:ind w:hanging="284"/>
              <w:jc w:val="right"/>
              <w:rPr>
                <w:rFonts w:ascii="Garamond" w:hAnsi="Garamond"/>
                <w:b/>
                <w:bCs/>
                <w:color w:val="1F497D" w:themeColor="text2"/>
                <w:sz w:val="20"/>
                <w:szCs w:val="20"/>
              </w:rPr>
            </w:pPr>
          </w:p>
        </w:tc>
      </w:tr>
      <w:tr w:rsidR="007B1D1B" w:rsidRPr="00565F75" w14:paraId="46E59184" w14:textId="77777777" w:rsidTr="00525AE5">
        <w:tc>
          <w:tcPr>
            <w:tcW w:w="5877" w:type="dxa"/>
            <w:shd w:val="pct20" w:color="000000" w:fill="FFFFFF"/>
          </w:tcPr>
          <w:p w14:paraId="59C13801" w14:textId="77777777" w:rsidR="007B1D1B" w:rsidRPr="00565F75" w:rsidRDefault="007B1D1B" w:rsidP="00525AE5">
            <w:pPr>
              <w:spacing w:before="50" w:after="50"/>
              <w:ind w:left="431" w:right="-113" w:hanging="318"/>
              <w:rPr>
                <w:rFonts w:ascii="Garamond" w:hAnsi="Garamond"/>
                <w:color w:val="1F497D" w:themeColor="text2"/>
                <w:sz w:val="20"/>
                <w:szCs w:val="20"/>
              </w:rPr>
            </w:pPr>
            <w:r w:rsidRPr="00565F75">
              <w:rPr>
                <w:rFonts w:ascii="Garamond" w:hAnsi="Garamond" w:cs="Sylfaen"/>
                <w:b/>
                <w:i/>
                <w:color w:val="1F497D" w:themeColor="text2"/>
                <w:sz w:val="20"/>
                <w:szCs w:val="20"/>
              </w:rPr>
              <w:t>2.1. External environment</w:t>
            </w:r>
            <w:r w:rsidRPr="00565F75">
              <w:rPr>
                <w:rFonts w:ascii="Garamond" w:hAnsi="Garamond"/>
                <w:bCs/>
                <w:color w:val="1F497D" w:themeColor="text2"/>
                <w:sz w:val="20"/>
                <w:szCs w:val="20"/>
              </w:rPr>
              <w:t>......................................................................</w:t>
            </w:r>
          </w:p>
        </w:tc>
        <w:tc>
          <w:tcPr>
            <w:tcW w:w="468" w:type="dxa"/>
            <w:shd w:val="pct20" w:color="000000" w:fill="FFFFFF"/>
            <w:vAlign w:val="bottom"/>
          </w:tcPr>
          <w:p w14:paraId="648E6C82" w14:textId="77777777" w:rsidR="007B1D1B" w:rsidRPr="00565F75" w:rsidRDefault="007B1D1B" w:rsidP="00525AE5">
            <w:pPr>
              <w:spacing w:before="50" w:after="50"/>
              <w:ind w:hanging="284"/>
              <w:jc w:val="right"/>
              <w:rPr>
                <w:rFonts w:ascii="Garamond" w:hAnsi="Garamond"/>
                <w:b/>
                <w:bCs/>
                <w:color w:val="1F497D" w:themeColor="text2"/>
                <w:sz w:val="20"/>
                <w:szCs w:val="20"/>
              </w:rPr>
            </w:pPr>
          </w:p>
        </w:tc>
      </w:tr>
      <w:tr w:rsidR="007B1D1B" w:rsidRPr="00565F75" w14:paraId="02CB3A3A" w14:textId="77777777" w:rsidTr="00525AE5">
        <w:tc>
          <w:tcPr>
            <w:tcW w:w="5877" w:type="dxa"/>
            <w:shd w:val="pct20" w:color="000000" w:fill="FFFFFF"/>
          </w:tcPr>
          <w:p w14:paraId="700C4A12" w14:textId="77777777" w:rsidR="007B1D1B" w:rsidRPr="00565F75" w:rsidRDefault="007B1D1B" w:rsidP="00525AE5">
            <w:pPr>
              <w:spacing w:before="50" w:after="50"/>
              <w:ind w:left="431" w:right="-113" w:hanging="318"/>
              <w:rPr>
                <w:rFonts w:ascii="Garamond" w:hAnsi="Garamond"/>
                <w:color w:val="1F497D" w:themeColor="text2"/>
                <w:sz w:val="20"/>
                <w:szCs w:val="20"/>
              </w:rPr>
            </w:pPr>
            <w:r w:rsidRPr="00565F75">
              <w:rPr>
                <w:rFonts w:ascii="Garamond" w:hAnsi="Garamond" w:cs="Sylfaen"/>
                <w:b/>
                <w:i/>
                <w:color w:val="1F497D" w:themeColor="text2"/>
                <w:sz w:val="20"/>
                <w:szCs w:val="20"/>
              </w:rPr>
              <w:t>2.2. Forecasts</w:t>
            </w:r>
            <w:r w:rsidRPr="00565F75">
              <w:rPr>
                <w:rFonts w:ascii="Garamond" w:hAnsi="Garamond"/>
                <w:bCs/>
                <w:color w:val="1F497D" w:themeColor="text2"/>
                <w:sz w:val="20"/>
                <w:szCs w:val="20"/>
              </w:rPr>
              <w:t>..........................................................................................</w:t>
            </w:r>
          </w:p>
        </w:tc>
        <w:tc>
          <w:tcPr>
            <w:tcW w:w="468" w:type="dxa"/>
            <w:shd w:val="pct20" w:color="000000" w:fill="FFFFFF"/>
            <w:vAlign w:val="bottom"/>
          </w:tcPr>
          <w:p w14:paraId="22827B91" w14:textId="77777777" w:rsidR="007B1D1B" w:rsidRPr="00565F75" w:rsidRDefault="007B1D1B" w:rsidP="00525AE5">
            <w:pPr>
              <w:spacing w:before="50" w:after="50"/>
              <w:ind w:hanging="284"/>
              <w:jc w:val="right"/>
              <w:rPr>
                <w:rFonts w:ascii="Garamond" w:hAnsi="Garamond"/>
                <w:b/>
                <w:bCs/>
                <w:color w:val="1F497D" w:themeColor="text2"/>
                <w:sz w:val="20"/>
                <w:szCs w:val="20"/>
              </w:rPr>
            </w:pPr>
          </w:p>
        </w:tc>
      </w:tr>
      <w:tr w:rsidR="007B1D1B" w:rsidRPr="00565F75" w14:paraId="6DB9EB09" w14:textId="77777777" w:rsidTr="00525AE5">
        <w:tc>
          <w:tcPr>
            <w:tcW w:w="5877" w:type="dxa"/>
            <w:shd w:val="pct5" w:color="000000" w:fill="FFFFFF"/>
          </w:tcPr>
          <w:p w14:paraId="498580A9" w14:textId="77777777" w:rsidR="007B1D1B" w:rsidRPr="00565F75" w:rsidRDefault="007B1D1B" w:rsidP="00525AE5">
            <w:pPr>
              <w:spacing w:before="50" w:after="50"/>
              <w:ind w:left="431" w:right="-113" w:hanging="147"/>
              <w:rPr>
                <w:rFonts w:ascii="Garamond" w:hAnsi="Garamond"/>
                <w:color w:val="1F497D" w:themeColor="text2"/>
                <w:sz w:val="20"/>
                <w:szCs w:val="20"/>
              </w:rPr>
            </w:pPr>
            <w:r w:rsidRPr="00565F75">
              <w:rPr>
                <w:rFonts w:ascii="Garamond" w:hAnsi="Garamond" w:cs="Sylfaen"/>
                <w:i/>
                <w:color w:val="1F497D" w:themeColor="text2"/>
                <w:sz w:val="20"/>
                <w:szCs w:val="20"/>
              </w:rPr>
              <w:t>2.2.1. Inflation and monetary policy</w:t>
            </w:r>
            <w:r w:rsidRPr="00565F75">
              <w:rPr>
                <w:rFonts w:ascii="Garamond" w:hAnsi="Garamond"/>
                <w:bCs/>
                <w:color w:val="1F497D" w:themeColor="text2"/>
                <w:sz w:val="20"/>
                <w:szCs w:val="20"/>
              </w:rPr>
              <w:t>.....................................................</w:t>
            </w:r>
          </w:p>
        </w:tc>
        <w:tc>
          <w:tcPr>
            <w:tcW w:w="468" w:type="dxa"/>
            <w:shd w:val="pct5" w:color="000000" w:fill="FFFFFF"/>
            <w:vAlign w:val="bottom"/>
          </w:tcPr>
          <w:p w14:paraId="21A5B914" w14:textId="77777777" w:rsidR="007B1D1B" w:rsidRPr="00565F75" w:rsidRDefault="007B1D1B" w:rsidP="00525AE5">
            <w:pPr>
              <w:spacing w:before="50" w:after="50"/>
              <w:ind w:hanging="284"/>
              <w:jc w:val="right"/>
              <w:rPr>
                <w:rFonts w:ascii="Garamond" w:hAnsi="Garamond"/>
                <w:b/>
                <w:bCs/>
                <w:color w:val="1F497D" w:themeColor="text2"/>
                <w:sz w:val="20"/>
                <w:szCs w:val="20"/>
              </w:rPr>
            </w:pPr>
          </w:p>
        </w:tc>
      </w:tr>
      <w:tr w:rsidR="007B1D1B" w:rsidRPr="00565F75" w14:paraId="3298BAFA" w14:textId="77777777" w:rsidTr="00525AE5">
        <w:tc>
          <w:tcPr>
            <w:tcW w:w="5877" w:type="dxa"/>
            <w:shd w:val="pct20" w:color="000000" w:fill="FFFFFF"/>
          </w:tcPr>
          <w:p w14:paraId="107AB002" w14:textId="77777777" w:rsidR="007B1D1B" w:rsidRPr="00565F75" w:rsidRDefault="007B1D1B" w:rsidP="00525AE5">
            <w:pPr>
              <w:spacing w:before="50" w:after="50"/>
              <w:ind w:left="431" w:right="-113" w:hanging="147"/>
              <w:rPr>
                <w:rFonts w:ascii="Garamond" w:hAnsi="Garamond"/>
                <w:color w:val="1F497D" w:themeColor="text2"/>
                <w:sz w:val="20"/>
                <w:szCs w:val="20"/>
              </w:rPr>
            </w:pPr>
            <w:r w:rsidRPr="00565F75">
              <w:rPr>
                <w:rFonts w:ascii="Garamond" w:hAnsi="Garamond" w:cs="Sylfaen"/>
                <w:i/>
                <w:color w:val="1F497D" w:themeColor="text2"/>
                <w:sz w:val="20"/>
                <w:szCs w:val="20"/>
              </w:rPr>
              <w:t>2.2.2. Economic activity</w:t>
            </w:r>
            <w:r w:rsidRPr="00565F75">
              <w:rPr>
                <w:rFonts w:ascii="Garamond" w:hAnsi="Garamond"/>
                <w:bCs/>
                <w:color w:val="1F497D" w:themeColor="text2"/>
                <w:sz w:val="20"/>
                <w:szCs w:val="20"/>
              </w:rPr>
              <w:t>........................................................................</w:t>
            </w:r>
          </w:p>
        </w:tc>
        <w:tc>
          <w:tcPr>
            <w:tcW w:w="468" w:type="dxa"/>
            <w:shd w:val="pct20" w:color="000000" w:fill="FFFFFF"/>
            <w:vAlign w:val="bottom"/>
          </w:tcPr>
          <w:p w14:paraId="4DBEFA64" w14:textId="77777777" w:rsidR="007B1D1B" w:rsidRPr="00565F75" w:rsidRDefault="007B1D1B" w:rsidP="00525AE5">
            <w:pPr>
              <w:spacing w:before="50" w:after="50"/>
              <w:ind w:hanging="284"/>
              <w:jc w:val="right"/>
              <w:rPr>
                <w:rFonts w:ascii="Garamond" w:hAnsi="Garamond"/>
                <w:b/>
                <w:bCs/>
                <w:color w:val="1F497D" w:themeColor="text2"/>
                <w:sz w:val="20"/>
                <w:szCs w:val="20"/>
              </w:rPr>
            </w:pPr>
          </w:p>
        </w:tc>
      </w:tr>
      <w:tr w:rsidR="007B1D1B" w:rsidRPr="00565F75" w14:paraId="71CDBF55" w14:textId="77777777" w:rsidTr="00525AE5">
        <w:tc>
          <w:tcPr>
            <w:tcW w:w="5877" w:type="dxa"/>
            <w:shd w:val="pct5" w:color="000000" w:fill="FFFFFF"/>
          </w:tcPr>
          <w:p w14:paraId="2849CAD5" w14:textId="77777777" w:rsidR="007B1D1B" w:rsidRPr="00565F75" w:rsidRDefault="007B1D1B" w:rsidP="00525AE5">
            <w:pPr>
              <w:spacing w:before="50" w:after="50"/>
              <w:ind w:left="431" w:right="-113" w:hanging="147"/>
              <w:rPr>
                <w:rFonts w:ascii="Garamond" w:hAnsi="Garamond"/>
                <w:color w:val="1F497D" w:themeColor="text2"/>
                <w:sz w:val="20"/>
                <w:szCs w:val="20"/>
              </w:rPr>
            </w:pPr>
            <w:r w:rsidRPr="00565F75">
              <w:rPr>
                <w:rFonts w:ascii="Garamond" w:hAnsi="Garamond" w:cs="Sylfaen"/>
                <w:i/>
                <w:color w:val="1F497D" w:themeColor="text2"/>
                <w:sz w:val="20"/>
                <w:szCs w:val="20"/>
              </w:rPr>
              <w:t>2.2.3. Comparison with the previous forecast</w:t>
            </w:r>
            <w:r w:rsidRPr="00565F75">
              <w:rPr>
                <w:rFonts w:ascii="Garamond" w:hAnsi="Garamond"/>
                <w:bCs/>
                <w:color w:val="1F497D" w:themeColor="text2"/>
                <w:sz w:val="20"/>
                <w:szCs w:val="20"/>
              </w:rPr>
              <w:t>.......................................</w:t>
            </w:r>
          </w:p>
        </w:tc>
        <w:tc>
          <w:tcPr>
            <w:tcW w:w="468" w:type="dxa"/>
            <w:shd w:val="pct5" w:color="000000" w:fill="FFFFFF"/>
            <w:vAlign w:val="bottom"/>
          </w:tcPr>
          <w:p w14:paraId="31F72831" w14:textId="77777777" w:rsidR="007B1D1B" w:rsidRPr="00565F75" w:rsidRDefault="007B1D1B" w:rsidP="00525AE5">
            <w:pPr>
              <w:spacing w:before="50" w:after="50"/>
              <w:ind w:hanging="284"/>
              <w:jc w:val="right"/>
              <w:rPr>
                <w:rFonts w:ascii="Garamond" w:hAnsi="Garamond"/>
                <w:b/>
                <w:bCs/>
                <w:color w:val="1F497D" w:themeColor="text2"/>
                <w:sz w:val="20"/>
                <w:szCs w:val="20"/>
              </w:rPr>
            </w:pPr>
          </w:p>
        </w:tc>
      </w:tr>
      <w:tr w:rsidR="007B1D1B" w:rsidRPr="00565F75" w14:paraId="75138B07" w14:textId="77777777" w:rsidTr="00525AE5">
        <w:tc>
          <w:tcPr>
            <w:tcW w:w="5877" w:type="dxa"/>
            <w:shd w:val="pct20" w:color="000000" w:fill="FFFFFF"/>
          </w:tcPr>
          <w:p w14:paraId="7D32106B" w14:textId="77777777" w:rsidR="007B1D1B" w:rsidRPr="00565F75" w:rsidRDefault="007B1D1B" w:rsidP="00525AE5">
            <w:pPr>
              <w:spacing w:before="50" w:after="50"/>
              <w:ind w:left="431" w:right="-113" w:hanging="147"/>
              <w:rPr>
                <w:rFonts w:ascii="Garamond" w:hAnsi="Garamond"/>
                <w:color w:val="1F497D" w:themeColor="text2"/>
                <w:sz w:val="20"/>
                <w:szCs w:val="20"/>
              </w:rPr>
            </w:pPr>
            <w:r w:rsidRPr="00565F75">
              <w:rPr>
                <w:rFonts w:ascii="Garamond" w:hAnsi="Garamond" w:cs="Sylfaen"/>
                <w:i/>
                <w:color w:val="1F497D" w:themeColor="text2"/>
                <w:sz w:val="20"/>
                <w:szCs w:val="20"/>
              </w:rPr>
              <w:t>2.2.4. Main assumptions and risks</w:t>
            </w:r>
            <w:r w:rsidRPr="00565F75">
              <w:rPr>
                <w:rFonts w:ascii="Garamond" w:hAnsi="Garamond"/>
                <w:bCs/>
                <w:color w:val="1F497D" w:themeColor="text2"/>
                <w:sz w:val="20"/>
                <w:szCs w:val="20"/>
              </w:rPr>
              <w:t>........................................................</w:t>
            </w:r>
          </w:p>
        </w:tc>
        <w:tc>
          <w:tcPr>
            <w:tcW w:w="468" w:type="dxa"/>
            <w:shd w:val="pct20" w:color="000000" w:fill="FFFFFF"/>
            <w:vAlign w:val="bottom"/>
          </w:tcPr>
          <w:p w14:paraId="04ACD27C" w14:textId="77777777" w:rsidR="007B1D1B" w:rsidRPr="00565F75" w:rsidRDefault="007B1D1B" w:rsidP="00525AE5">
            <w:pPr>
              <w:spacing w:before="50" w:after="50"/>
              <w:ind w:hanging="284"/>
              <w:jc w:val="right"/>
              <w:rPr>
                <w:rFonts w:ascii="Garamond" w:hAnsi="Garamond"/>
                <w:b/>
                <w:bCs/>
                <w:color w:val="1F497D" w:themeColor="text2"/>
                <w:sz w:val="20"/>
                <w:szCs w:val="20"/>
              </w:rPr>
            </w:pPr>
          </w:p>
        </w:tc>
      </w:tr>
      <w:tr w:rsidR="007B1D1B" w:rsidRPr="00565F75" w14:paraId="2CB033AF" w14:textId="77777777" w:rsidTr="00525AE5">
        <w:tc>
          <w:tcPr>
            <w:tcW w:w="5877" w:type="dxa"/>
            <w:shd w:val="pct20" w:color="000000" w:fill="FFFFFF"/>
          </w:tcPr>
          <w:p w14:paraId="09C97D4A" w14:textId="77777777" w:rsidR="007B1D1B" w:rsidRPr="00565F75" w:rsidRDefault="007B1D1B" w:rsidP="00525AE5">
            <w:pPr>
              <w:pStyle w:val="Heading5"/>
              <w:spacing w:before="50" w:after="50"/>
              <w:ind w:left="1204" w:right="-113" w:hanging="920"/>
              <w:rPr>
                <w:rFonts w:ascii="Garamond" w:hAnsi="Garamond"/>
                <w:b/>
                <w:iCs/>
                <w:color w:val="1F497D" w:themeColor="text2"/>
                <w:sz w:val="20"/>
                <w:szCs w:val="20"/>
              </w:rPr>
            </w:pPr>
            <w:r w:rsidRPr="00565F75">
              <w:rPr>
                <w:rFonts w:ascii="Garamond" w:hAnsi="Garamond" w:cs="Sylfaen"/>
                <w:i/>
                <w:color w:val="1F497D" w:themeColor="text2"/>
                <w:sz w:val="20"/>
                <w:szCs w:val="20"/>
              </w:rPr>
              <w:t>Box 1: The results of survey on the expectations by the households and the financial system</w:t>
            </w:r>
            <w:r w:rsidRPr="00565F75">
              <w:rPr>
                <w:rFonts w:ascii="Garamond" w:hAnsi="Garamond" w:cs="Sylfaen"/>
                <w:color w:val="1F497D" w:themeColor="text2"/>
                <w:sz w:val="20"/>
                <w:szCs w:val="20"/>
              </w:rPr>
              <w:t>.....................................................</w:t>
            </w:r>
          </w:p>
        </w:tc>
        <w:tc>
          <w:tcPr>
            <w:tcW w:w="468" w:type="dxa"/>
            <w:shd w:val="pct20" w:color="000000" w:fill="FFFFFF"/>
            <w:vAlign w:val="bottom"/>
          </w:tcPr>
          <w:p w14:paraId="11D8292C" w14:textId="77777777" w:rsidR="007B1D1B" w:rsidRPr="00565F75" w:rsidRDefault="007B1D1B" w:rsidP="00525AE5">
            <w:pPr>
              <w:spacing w:before="50" w:after="50"/>
              <w:ind w:hanging="284"/>
              <w:jc w:val="right"/>
              <w:rPr>
                <w:rFonts w:ascii="Garamond" w:hAnsi="Garamond"/>
                <w:b/>
                <w:bCs/>
                <w:color w:val="1F497D" w:themeColor="text2"/>
                <w:sz w:val="20"/>
                <w:szCs w:val="20"/>
              </w:rPr>
            </w:pPr>
          </w:p>
        </w:tc>
      </w:tr>
      <w:tr w:rsidR="007B1D1B" w:rsidRPr="00565F75" w14:paraId="628DD69F" w14:textId="77777777" w:rsidTr="00525AE5">
        <w:tc>
          <w:tcPr>
            <w:tcW w:w="5877" w:type="dxa"/>
            <w:shd w:val="pct5" w:color="000000" w:fill="FFFFFF"/>
          </w:tcPr>
          <w:p w14:paraId="7EBB8AF9" w14:textId="77777777" w:rsidR="007B1D1B" w:rsidRPr="00565F75" w:rsidRDefault="007B1D1B" w:rsidP="007B1D1B">
            <w:pPr>
              <w:spacing w:before="50" w:after="50"/>
              <w:ind w:left="284" w:right="-113" w:hanging="284"/>
              <w:rPr>
                <w:rFonts w:ascii="Garamond" w:hAnsi="Garamond"/>
                <w:b/>
                <w:color w:val="1F497D" w:themeColor="text2"/>
                <w:sz w:val="20"/>
                <w:szCs w:val="20"/>
              </w:rPr>
            </w:pPr>
            <w:r w:rsidRPr="00565F75">
              <w:rPr>
                <w:rFonts w:ascii="Garamond" w:hAnsi="Garamond"/>
                <w:b/>
                <w:color w:val="1F497D" w:themeColor="text2"/>
                <w:sz w:val="20"/>
                <w:szCs w:val="20"/>
              </w:rPr>
              <w:t>3. Actual developments in Q1, 2018</w:t>
            </w:r>
            <w:r w:rsidRPr="00565F75">
              <w:rPr>
                <w:rFonts w:ascii="Garamond" w:hAnsi="Garamond"/>
                <w:bCs/>
                <w:color w:val="1F497D" w:themeColor="text2"/>
                <w:sz w:val="20"/>
                <w:szCs w:val="20"/>
              </w:rPr>
              <w:t>........................................................</w:t>
            </w:r>
          </w:p>
        </w:tc>
        <w:tc>
          <w:tcPr>
            <w:tcW w:w="468" w:type="dxa"/>
            <w:shd w:val="pct5" w:color="000000" w:fill="FFFFFF"/>
            <w:vAlign w:val="bottom"/>
          </w:tcPr>
          <w:p w14:paraId="7BCF80D1" w14:textId="77777777" w:rsidR="007B1D1B" w:rsidRPr="00565F75" w:rsidRDefault="007B1D1B" w:rsidP="00525AE5">
            <w:pPr>
              <w:spacing w:before="50" w:after="50"/>
              <w:ind w:hanging="284"/>
              <w:jc w:val="right"/>
              <w:rPr>
                <w:rFonts w:ascii="Garamond" w:hAnsi="Garamond"/>
                <w:b/>
                <w:bCs/>
                <w:color w:val="1F497D" w:themeColor="text2"/>
                <w:sz w:val="20"/>
                <w:szCs w:val="20"/>
              </w:rPr>
            </w:pPr>
          </w:p>
        </w:tc>
      </w:tr>
      <w:tr w:rsidR="007B1D1B" w:rsidRPr="00565F75" w14:paraId="00785475" w14:textId="77777777" w:rsidTr="00525AE5">
        <w:tc>
          <w:tcPr>
            <w:tcW w:w="5877" w:type="dxa"/>
            <w:shd w:val="clear" w:color="auto" w:fill="CCCCCC"/>
          </w:tcPr>
          <w:p w14:paraId="766F85F9" w14:textId="77777777" w:rsidR="007B1D1B" w:rsidRPr="00565F75" w:rsidRDefault="007B1D1B" w:rsidP="00525AE5">
            <w:pPr>
              <w:spacing w:before="50" w:after="50"/>
              <w:ind w:left="431" w:right="-113" w:hanging="318"/>
              <w:rPr>
                <w:rFonts w:ascii="Garamond" w:hAnsi="Garamond"/>
                <w:color w:val="1F497D" w:themeColor="text2"/>
                <w:sz w:val="20"/>
                <w:szCs w:val="20"/>
              </w:rPr>
            </w:pPr>
            <w:r w:rsidRPr="00565F75">
              <w:rPr>
                <w:rFonts w:ascii="Garamond" w:hAnsi="Garamond" w:cs="Sylfaen"/>
                <w:b/>
                <w:i/>
                <w:color w:val="1F497D" w:themeColor="text2"/>
                <w:sz w:val="20"/>
                <w:szCs w:val="20"/>
              </w:rPr>
              <w:t>3.1. Inflation</w:t>
            </w:r>
            <w:r w:rsidRPr="00565F75">
              <w:rPr>
                <w:rFonts w:ascii="Garamond" w:hAnsi="Garamond"/>
                <w:bCs/>
                <w:color w:val="1F497D" w:themeColor="text2"/>
                <w:sz w:val="20"/>
                <w:szCs w:val="20"/>
              </w:rPr>
              <w:t>..........................................................................................</w:t>
            </w:r>
          </w:p>
        </w:tc>
        <w:tc>
          <w:tcPr>
            <w:tcW w:w="468" w:type="dxa"/>
            <w:shd w:val="pct20" w:color="000000" w:fill="FFFFFF"/>
            <w:vAlign w:val="bottom"/>
          </w:tcPr>
          <w:p w14:paraId="2F739719" w14:textId="77777777" w:rsidR="007B1D1B" w:rsidRPr="00565F75" w:rsidRDefault="007B1D1B" w:rsidP="00525AE5">
            <w:pPr>
              <w:spacing w:before="50" w:after="50"/>
              <w:ind w:hanging="284"/>
              <w:jc w:val="right"/>
              <w:rPr>
                <w:rFonts w:ascii="Garamond" w:hAnsi="Garamond"/>
                <w:b/>
                <w:bCs/>
                <w:color w:val="1F497D" w:themeColor="text2"/>
                <w:sz w:val="20"/>
                <w:szCs w:val="20"/>
              </w:rPr>
            </w:pPr>
          </w:p>
        </w:tc>
      </w:tr>
      <w:tr w:rsidR="007B1D1B" w:rsidRPr="00565F75" w14:paraId="2568558D" w14:textId="77777777" w:rsidTr="00525AE5">
        <w:tc>
          <w:tcPr>
            <w:tcW w:w="5877" w:type="dxa"/>
            <w:shd w:val="pct5" w:color="000000" w:fill="FFFFFF"/>
          </w:tcPr>
          <w:p w14:paraId="234CACBA" w14:textId="77777777" w:rsidR="007B1D1B" w:rsidRPr="00565F75" w:rsidRDefault="007B1D1B" w:rsidP="00525AE5">
            <w:pPr>
              <w:spacing w:before="50" w:after="50"/>
              <w:ind w:left="431" w:right="-113" w:hanging="147"/>
              <w:rPr>
                <w:rFonts w:ascii="Garamond" w:hAnsi="Garamond"/>
                <w:color w:val="1F497D" w:themeColor="text2"/>
                <w:sz w:val="20"/>
                <w:szCs w:val="20"/>
              </w:rPr>
            </w:pPr>
            <w:r w:rsidRPr="00565F75">
              <w:rPr>
                <w:rFonts w:ascii="Garamond" w:hAnsi="Garamond" w:cs="Sylfaen"/>
                <w:i/>
                <w:color w:val="1F497D" w:themeColor="text2"/>
                <w:sz w:val="20"/>
                <w:szCs w:val="20"/>
              </w:rPr>
              <w:t>3.1.1. Fulfilment of the inflation target</w:t>
            </w:r>
            <w:r w:rsidRPr="00565F75">
              <w:rPr>
                <w:rFonts w:ascii="Garamond" w:hAnsi="Garamond"/>
                <w:bCs/>
                <w:color w:val="1F497D" w:themeColor="text2"/>
                <w:sz w:val="20"/>
                <w:szCs w:val="20"/>
              </w:rPr>
              <w:t>.................................................</w:t>
            </w:r>
          </w:p>
        </w:tc>
        <w:tc>
          <w:tcPr>
            <w:tcW w:w="468" w:type="dxa"/>
            <w:shd w:val="pct5" w:color="000000" w:fill="FFFFFF"/>
            <w:vAlign w:val="bottom"/>
          </w:tcPr>
          <w:p w14:paraId="4F8B1318" w14:textId="77777777" w:rsidR="007B1D1B" w:rsidRPr="00565F75" w:rsidRDefault="007B1D1B" w:rsidP="00525AE5">
            <w:pPr>
              <w:spacing w:before="50" w:after="50"/>
              <w:ind w:hanging="284"/>
              <w:jc w:val="right"/>
              <w:rPr>
                <w:rFonts w:ascii="Garamond" w:hAnsi="Garamond"/>
                <w:b/>
                <w:bCs/>
                <w:color w:val="1F497D" w:themeColor="text2"/>
                <w:sz w:val="20"/>
                <w:szCs w:val="20"/>
              </w:rPr>
            </w:pPr>
          </w:p>
        </w:tc>
      </w:tr>
      <w:tr w:rsidR="007B1D1B" w:rsidRPr="00565F75" w14:paraId="7475BB99" w14:textId="77777777" w:rsidTr="00525AE5">
        <w:tc>
          <w:tcPr>
            <w:tcW w:w="5877" w:type="dxa"/>
            <w:shd w:val="clear" w:color="auto" w:fill="CCCCCC"/>
          </w:tcPr>
          <w:p w14:paraId="2EA6CB81" w14:textId="77777777" w:rsidR="007B1D1B" w:rsidRPr="00565F75" w:rsidRDefault="007B1D1B" w:rsidP="00525AE5">
            <w:pPr>
              <w:spacing w:before="50" w:after="50"/>
              <w:ind w:left="431" w:right="-113" w:hanging="147"/>
              <w:rPr>
                <w:rFonts w:ascii="Garamond" w:hAnsi="Garamond"/>
                <w:color w:val="1F497D" w:themeColor="text2"/>
                <w:sz w:val="20"/>
                <w:szCs w:val="20"/>
              </w:rPr>
            </w:pPr>
            <w:r w:rsidRPr="00565F75">
              <w:rPr>
                <w:rFonts w:ascii="Garamond" w:hAnsi="Garamond" w:cs="Sylfaen"/>
                <w:i/>
                <w:color w:val="1F497D" w:themeColor="text2"/>
                <w:sz w:val="20"/>
                <w:szCs w:val="20"/>
              </w:rPr>
              <w:t>3.1.2. Prices</w:t>
            </w:r>
            <w:r w:rsidRPr="00565F75">
              <w:rPr>
                <w:rFonts w:ascii="Garamond" w:hAnsi="Garamond"/>
                <w:bCs/>
                <w:color w:val="1F497D" w:themeColor="text2"/>
                <w:sz w:val="20"/>
                <w:szCs w:val="20"/>
              </w:rPr>
              <w:t>.........................................................................................</w:t>
            </w:r>
          </w:p>
        </w:tc>
        <w:tc>
          <w:tcPr>
            <w:tcW w:w="468" w:type="dxa"/>
            <w:shd w:val="pct20" w:color="000000" w:fill="FFFFFF"/>
            <w:vAlign w:val="bottom"/>
          </w:tcPr>
          <w:p w14:paraId="4FD9E011" w14:textId="77777777" w:rsidR="007B1D1B" w:rsidRPr="00565F75" w:rsidRDefault="007B1D1B" w:rsidP="00525AE5">
            <w:pPr>
              <w:spacing w:before="50" w:after="50"/>
              <w:ind w:hanging="284"/>
              <w:jc w:val="right"/>
              <w:rPr>
                <w:rFonts w:ascii="Garamond" w:hAnsi="Garamond"/>
                <w:b/>
                <w:bCs/>
                <w:color w:val="1F497D" w:themeColor="text2"/>
                <w:sz w:val="20"/>
                <w:szCs w:val="20"/>
              </w:rPr>
            </w:pPr>
          </w:p>
        </w:tc>
      </w:tr>
      <w:tr w:rsidR="007B1D1B" w:rsidRPr="00565F75" w14:paraId="3A0C8D5D" w14:textId="77777777" w:rsidTr="00525AE5">
        <w:tc>
          <w:tcPr>
            <w:tcW w:w="5877" w:type="dxa"/>
            <w:shd w:val="pct20" w:color="000000" w:fill="FFFFFF"/>
          </w:tcPr>
          <w:p w14:paraId="63AACB19" w14:textId="77777777" w:rsidR="007B1D1B" w:rsidRPr="00565F75" w:rsidRDefault="007B1D1B" w:rsidP="00525AE5">
            <w:pPr>
              <w:spacing w:before="50" w:after="50"/>
              <w:ind w:left="431" w:right="-113" w:hanging="318"/>
              <w:rPr>
                <w:rFonts w:ascii="Garamond" w:hAnsi="Garamond"/>
                <w:color w:val="1F497D" w:themeColor="text2"/>
                <w:sz w:val="20"/>
                <w:szCs w:val="20"/>
              </w:rPr>
            </w:pPr>
            <w:r w:rsidRPr="00565F75">
              <w:rPr>
                <w:rFonts w:ascii="Garamond" w:hAnsi="Garamond" w:cs="Sylfaen"/>
                <w:b/>
                <w:i/>
                <w:color w:val="1F497D" w:themeColor="text2"/>
                <w:sz w:val="20"/>
                <w:szCs w:val="20"/>
              </w:rPr>
              <w:t>3.2. Economic developments</w:t>
            </w:r>
            <w:r w:rsidRPr="00565F75">
              <w:rPr>
                <w:rFonts w:ascii="Garamond" w:hAnsi="Garamond"/>
                <w:bCs/>
                <w:color w:val="1F497D" w:themeColor="text2"/>
                <w:sz w:val="20"/>
                <w:szCs w:val="20"/>
              </w:rPr>
              <w:t>.................................................................</w:t>
            </w:r>
          </w:p>
        </w:tc>
        <w:tc>
          <w:tcPr>
            <w:tcW w:w="468" w:type="dxa"/>
            <w:shd w:val="pct20" w:color="000000" w:fill="FFFFFF"/>
            <w:vAlign w:val="bottom"/>
          </w:tcPr>
          <w:p w14:paraId="2A3E7B4A" w14:textId="77777777" w:rsidR="007B1D1B" w:rsidRPr="00565F75" w:rsidRDefault="007B1D1B" w:rsidP="00525AE5">
            <w:pPr>
              <w:spacing w:before="50" w:after="50"/>
              <w:ind w:hanging="284"/>
              <w:jc w:val="right"/>
              <w:rPr>
                <w:rFonts w:ascii="Garamond" w:hAnsi="Garamond"/>
                <w:b/>
                <w:bCs/>
                <w:color w:val="1F497D" w:themeColor="text2"/>
                <w:sz w:val="20"/>
                <w:szCs w:val="20"/>
              </w:rPr>
            </w:pPr>
          </w:p>
        </w:tc>
      </w:tr>
      <w:tr w:rsidR="007B1D1B" w:rsidRPr="00565F75" w14:paraId="7EA72088" w14:textId="77777777" w:rsidTr="00525AE5">
        <w:tc>
          <w:tcPr>
            <w:tcW w:w="5877" w:type="dxa"/>
            <w:shd w:val="pct5" w:color="000000" w:fill="FFFFFF"/>
          </w:tcPr>
          <w:p w14:paraId="0E980D91" w14:textId="77777777" w:rsidR="007B1D1B" w:rsidRPr="00565F75" w:rsidRDefault="007B1D1B" w:rsidP="00525AE5">
            <w:pPr>
              <w:spacing w:before="50" w:after="50"/>
              <w:ind w:left="431" w:right="-113" w:hanging="147"/>
              <w:rPr>
                <w:rFonts w:ascii="Garamond" w:hAnsi="Garamond"/>
                <w:color w:val="1F497D" w:themeColor="text2"/>
                <w:sz w:val="20"/>
                <w:szCs w:val="20"/>
              </w:rPr>
            </w:pPr>
            <w:r w:rsidRPr="00565F75">
              <w:rPr>
                <w:rFonts w:ascii="Garamond" w:hAnsi="Garamond" w:cs="Sylfaen"/>
                <w:i/>
                <w:color w:val="1F497D" w:themeColor="text2"/>
                <w:sz w:val="20"/>
                <w:szCs w:val="20"/>
              </w:rPr>
              <w:t>3.2.1. Economy position</w:t>
            </w:r>
            <w:r w:rsidRPr="00565F75">
              <w:rPr>
                <w:rFonts w:ascii="Garamond" w:hAnsi="Garamond"/>
                <w:bCs/>
                <w:color w:val="1F497D" w:themeColor="text2"/>
                <w:sz w:val="20"/>
                <w:szCs w:val="20"/>
              </w:rPr>
              <w:t>........................................................................</w:t>
            </w:r>
          </w:p>
        </w:tc>
        <w:tc>
          <w:tcPr>
            <w:tcW w:w="468" w:type="dxa"/>
            <w:shd w:val="pct5" w:color="000000" w:fill="FFFFFF"/>
            <w:vAlign w:val="bottom"/>
          </w:tcPr>
          <w:p w14:paraId="7A4D32E9" w14:textId="77777777" w:rsidR="007B1D1B" w:rsidRPr="00565F75" w:rsidRDefault="007B1D1B" w:rsidP="00525AE5">
            <w:pPr>
              <w:spacing w:before="50" w:after="50"/>
              <w:ind w:hanging="284"/>
              <w:jc w:val="right"/>
              <w:rPr>
                <w:rFonts w:ascii="Garamond" w:hAnsi="Garamond"/>
                <w:b/>
                <w:bCs/>
                <w:color w:val="1F497D" w:themeColor="text2"/>
                <w:sz w:val="20"/>
                <w:szCs w:val="20"/>
              </w:rPr>
            </w:pPr>
          </w:p>
        </w:tc>
      </w:tr>
      <w:tr w:rsidR="007B1D1B" w:rsidRPr="00565F75" w14:paraId="235F554F" w14:textId="77777777" w:rsidTr="00525AE5">
        <w:tc>
          <w:tcPr>
            <w:tcW w:w="5877" w:type="dxa"/>
            <w:shd w:val="pct20" w:color="000000" w:fill="FFFFFF"/>
          </w:tcPr>
          <w:p w14:paraId="6C980667" w14:textId="77777777" w:rsidR="007B1D1B" w:rsidRPr="00565F75" w:rsidRDefault="007B1D1B" w:rsidP="00525AE5">
            <w:pPr>
              <w:spacing w:before="50" w:after="50"/>
              <w:ind w:left="431" w:right="-113" w:hanging="147"/>
              <w:rPr>
                <w:rFonts w:ascii="Garamond" w:hAnsi="Garamond"/>
                <w:color w:val="1F497D" w:themeColor="text2"/>
                <w:sz w:val="20"/>
                <w:szCs w:val="20"/>
              </w:rPr>
            </w:pPr>
            <w:r w:rsidRPr="00565F75">
              <w:rPr>
                <w:rFonts w:ascii="Garamond" w:hAnsi="Garamond" w:cs="Sylfaen"/>
                <w:i/>
                <w:color w:val="1F497D" w:themeColor="text2"/>
                <w:sz w:val="20"/>
                <w:szCs w:val="20"/>
              </w:rPr>
              <w:t xml:space="preserve">3.2.2. The expenditures aspect of the economy </w:t>
            </w:r>
            <w:r w:rsidRPr="00565F75">
              <w:rPr>
                <w:rFonts w:ascii="Garamond" w:hAnsi="Garamond"/>
                <w:bCs/>
                <w:color w:val="1F497D" w:themeColor="text2"/>
                <w:sz w:val="20"/>
                <w:szCs w:val="20"/>
              </w:rPr>
              <w:t>...................................</w:t>
            </w:r>
          </w:p>
        </w:tc>
        <w:tc>
          <w:tcPr>
            <w:tcW w:w="468" w:type="dxa"/>
            <w:shd w:val="pct20" w:color="000000" w:fill="FFFFFF"/>
            <w:vAlign w:val="bottom"/>
          </w:tcPr>
          <w:p w14:paraId="1F3A8725" w14:textId="77777777" w:rsidR="007B1D1B" w:rsidRPr="00565F75" w:rsidRDefault="007B1D1B" w:rsidP="00525AE5">
            <w:pPr>
              <w:spacing w:before="50" w:after="50"/>
              <w:ind w:hanging="284"/>
              <w:jc w:val="right"/>
              <w:rPr>
                <w:rFonts w:ascii="Garamond" w:hAnsi="Garamond"/>
                <w:b/>
                <w:bCs/>
                <w:color w:val="1F497D" w:themeColor="text2"/>
                <w:sz w:val="20"/>
                <w:szCs w:val="20"/>
              </w:rPr>
            </w:pPr>
          </w:p>
        </w:tc>
      </w:tr>
      <w:tr w:rsidR="007B1D1B" w:rsidRPr="00565F75" w14:paraId="5EC9E402" w14:textId="77777777" w:rsidTr="00525AE5">
        <w:tc>
          <w:tcPr>
            <w:tcW w:w="5877" w:type="dxa"/>
            <w:shd w:val="pct5" w:color="000000" w:fill="FFFFFF"/>
          </w:tcPr>
          <w:p w14:paraId="1B587A63" w14:textId="77777777" w:rsidR="007B1D1B" w:rsidRPr="00565F75" w:rsidRDefault="007B1D1B" w:rsidP="00525AE5">
            <w:pPr>
              <w:spacing w:before="50" w:after="50"/>
              <w:ind w:left="431" w:right="-113" w:hanging="147"/>
              <w:rPr>
                <w:rFonts w:ascii="Garamond" w:hAnsi="Garamond"/>
                <w:color w:val="1F497D" w:themeColor="text2"/>
                <w:sz w:val="20"/>
                <w:szCs w:val="20"/>
              </w:rPr>
            </w:pPr>
            <w:r w:rsidRPr="00565F75">
              <w:rPr>
                <w:rFonts w:ascii="Garamond" w:hAnsi="Garamond" w:cs="Sylfaen"/>
                <w:i/>
                <w:color w:val="1F497D" w:themeColor="text2"/>
                <w:sz w:val="20"/>
                <w:szCs w:val="20"/>
              </w:rPr>
              <w:t>3.2.3. The production aspect of the economy</w:t>
            </w:r>
            <w:r w:rsidRPr="00565F75">
              <w:rPr>
                <w:rFonts w:ascii="Garamond" w:hAnsi="Garamond"/>
                <w:bCs/>
                <w:color w:val="1F497D" w:themeColor="text2"/>
                <w:sz w:val="20"/>
                <w:szCs w:val="20"/>
              </w:rPr>
              <w:t>.......................................</w:t>
            </w:r>
          </w:p>
        </w:tc>
        <w:tc>
          <w:tcPr>
            <w:tcW w:w="468" w:type="dxa"/>
            <w:shd w:val="pct5" w:color="000000" w:fill="FFFFFF"/>
            <w:vAlign w:val="bottom"/>
          </w:tcPr>
          <w:p w14:paraId="2C5BF4C5" w14:textId="77777777" w:rsidR="007B1D1B" w:rsidRPr="00565F75" w:rsidRDefault="007B1D1B" w:rsidP="00525AE5">
            <w:pPr>
              <w:spacing w:before="50" w:after="50"/>
              <w:ind w:hanging="284"/>
              <w:jc w:val="right"/>
              <w:rPr>
                <w:rFonts w:ascii="Garamond" w:hAnsi="Garamond"/>
                <w:b/>
                <w:bCs/>
                <w:color w:val="1F497D" w:themeColor="text2"/>
                <w:sz w:val="20"/>
                <w:szCs w:val="20"/>
              </w:rPr>
            </w:pPr>
          </w:p>
        </w:tc>
      </w:tr>
      <w:tr w:rsidR="007B1D1B" w:rsidRPr="00565F75" w14:paraId="4B9947AD" w14:textId="77777777" w:rsidTr="00525AE5">
        <w:tc>
          <w:tcPr>
            <w:tcW w:w="5877" w:type="dxa"/>
            <w:shd w:val="pct20" w:color="000000" w:fill="FFFFFF"/>
          </w:tcPr>
          <w:p w14:paraId="023D14A5" w14:textId="77777777" w:rsidR="007B1D1B" w:rsidRPr="00565F75" w:rsidRDefault="007B1D1B" w:rsidP="00525AE5">
            <w:pPr>
              <w:spacing w:before="50" w:after="50"/>
              <w:ind w:left="431" w:right="-113" w:hanging="147"/>
              <w:rPr>
                <w:rFonts w:ascii="Garamond" w:hAnsi="Garamond"/>
                <w:color w:val="1F497D" w:themeColor="text2"/>
                <w:sz w:val="20"/>
                <w:szCs w:val="20"/>
              </w:rPr>
            </w:pPr>
            <w:r w:rsidRPr="00565F75">
              <w:rPr>
                <w:rFonts w:ascii="Garamond" w:hAnsi="Garamond" w:cs="Sylfaen"/>
                <w:i/>
                <w:color w:val="1F497D" w:themeColor="text2"/>
                <w:sz w:val="20"/>
                <w:szCs w:val="20"/>
              </w:rPr>
              <w:t>3.2.4. Labor market</w:t>
            </w:r>
            <w:r w:rsidRPr="00565F75">
              <w:rPr>
                <w:rFonts w:ascii="Garamond" w:hAnsi="Garamond"/>
                <w:bCs/>
                <w:color w:val="1F497D" w:themeColor="text2"/>
                <w:sz w:val="20"/>
                <w:szCs w:val="20"/>
              </w:rPr>
              <w:t>…..........................................................................</w:t>
            </w:r>
          </w:p>
        </w:tc>
        <w:tc>
          <w:tcPr>
            <w:tcW w:w="468" w:type="dxa"/>
            <w:shd w:val="pct20" w:color="000000" w:fill="FFFFFF"/>
            <w:vAlign w:val="bottom"/>
          </w:tcPr>
          <w:p w14:paraId="7C4DB157" w14:textId="77777777" w:rsidR="007B1D1B" w:rsidRPr="00565F75" w:rsidRDefault="007B1D1B" w:rsidP="00525AE5">
            <w:pPr>
              <w:spacing w:before="50" w:after="50"/>
              <w:ind w:hanging="284"/>
              <w:jc w:val="right"/>
              <w:rPr>
                <w:rFonts w:ascii="Garamond" w:hAnsi="Garamond"/>
                <w:b/>
                <w:bCs/>
                <w:color w:val="1F497D" w:themeColor="text2"/>
                <w:sz w:val="20"/>
                <w:szCs w:val="20"/>
              </w:rPr>
            </w:pPr>
          </w:p>
        </w:tc>
      </w:tr>
      <w:tr w:rsidR="007B1D1B" w:rsidRPr="00565F75" w14:paraId="00D4591F" w14:textId="77777777" w:rsidTr="00525AE5">
        <w:tc>
          <w:tcPr>
            <w:tcW w:w="5877" w:type="dxa"/>
            <w:shd w:val="pct5" w:color="000000" w:fill="FFFFFF"/>
          </w:tcPr>
          <w:p w14:paraId="525F85FF" w14:textId="77777777" w:rsidR="007B1D1B" w:rsidRPr="00565F75" w:rsidRDefault="007B1D1B" w:rsidP="00525AE5">
            <w:pPr>
              <w:spacing w:before="50" w:after="50"/>
              <w:ind w:left="431" w:right="-113" w:hanging="318"/>
              <w:rPr>
                <w:rFonts w:ascii="Garamond" w:hAnsi="Garamond"/>
                <w:color w:val="1F497D" w:themeColor="text2"/>
                <w:sz w:val="20"/>
                <w:szCs w:val="20"/>
              </w:rPr>
            </w:pPr>
            <w:r w:rsidRPr="00565F75">
              <w:rPr>
                <w:rFonts w:ascii="Garamond" w:hAnsi="Garamond" w:cs="Sylfaen"/>
                <w:b/>
                <w:i/>
                <w:color w:val="1F497D" w:themeColor="text2"/>
                <w:sz w:val="20"/>
                <w:szCs w:val="20"/>
              </w:rPr>
              <w:t>3.3. Financial market developments</w:t>
            </w:r>
            <w:r w:rsidRPr="00565F75">
              <w:rPr>
                <w:rFonts w:ascii="Garamond" w:hAnsi="Garamond"/>
                <w:bCs/>
                <w:color w:val="1F497D" w:themeColor="text2"/>
                <w:sz w:val="20"/>
                <w:szCs w:val="20"/>
              </w:rPr>
              <w:t>.....................................................</w:t>
            </w:r>
          </w:p>
        </w:tc>
        <w:tc>
          <w:tcPr>
            <w:tcW w:w="468" w:type="dxa"/>
            <w:shd w:val="pct5" w:color="000000" w:fill="FFFFFF"/>
            <w:vAlign w:val="bottom"/>
          </w:tcPr>
          <w:p w14:paraId="35A472C9" w14:textId="77777777" w:rsidR="007B1D1B" w:rsidRPr="00565F75" w:rsidRDefault="007B1D1B" w:rsidP="00525AE5">
            <w:pPr>
              <w:spacing w:before="50" w:after="50"/>
              <w:ind w:hanging="284"/>
              <w:jc w:val="right"/>
              <w:rPr>
                <w:rFonts w:ascii="Garamond" w:hAnsi="Garamond"/>
                <w:b/>
                <w:bCs/>
                <w:color w:val="1F497D" w:themeColor="text2"/>
                <w:sz w:val="20"/>
                <w:szCs w:val="20"/>
              </w:rPr>
            </w:pPr>
          </w:p>
        </w:tc>
      </w:tr>
      <w:tr w:rsidR="007B1D1B" w:rsidRPr="00565F75" w14:paraId="66225B26" w14:textId="77777777" w:rsidTr="00525AE5">
        <w:tc>
          <w:tcPr>
            <w:tcW w:w="5877" w:type="dxa"/>
            <w:shd w:val="pct20" w:color="000000" w:fill="FFFFFF"/>
          </w:tcPr>
          <w:p w14:paraId="6D6BB467" w14:textId="77777777" w:rsidR="007B1D1B" w:rsidRPr="00565F75" w:rsidRDefault="007B1D1B" w:rsidP="007B1D1B">
            <w:pPr>
              <w:spacing w:before="50" w:after="50"/>
              <w:ind w:left="284" w:right="-113"/>
              <w:rPr>
                <w:rFonts w:ascii="Garamond" w:hAnsi="Garamond"/>
                <w:b/>
                <w:color w:val="1F497D" w:themeColor="text2"/>
                <w:sz w:val="20"/>
                <w:szCs w:val="20"/>
              </w:rPr>
            </w:pPr>
            <w:r w:rsidRPr="00565F75">
              <w:rPr>
                <w:rFonts w:ascii="Garamond" w:hAnsi="Garamond" w:cs="Sylfaen"/>
                <w:bCs/>
                <w:i/>
                <w:color w:val="1F497D" w:themeColor="text2"/>
                <w:sz w:val="20"/>
                <w:szCs w:val="20"/>
              </w:rPr>
              <w:t>Box 2: Developments in the currency market</w:t>
            </w:r>
            <w:r w:rsidRPr="00565F75">
              <w:rPr>
                <w:rFonts w:ascii="Garamond" w:hAnsi="Garamond" w:cs="Sylfaen"/>
                <w:color w:val="1F497D" w:themeColor="text2"/>
                <w:sz w:val="20"/>
                <w:szCs w:val="20"/>
              </w:rPr>
              <w:t>………</w:t>
            </w:r>
            <w:r w:rsidRPr="00565F75">
              <w:rPr>
                <w:rFonts w:ascii="Garamond" w:hAnsi="Garamond"/>
                <w:bCs/>
                <w:color w:val="1F497D" w:themeColor="text2"/>
                <w:sz w:val="20"/>
                <w:szCs w:val="20"/>
              </w:rPr>
              <w:t>............................</w:t>
            </w:r>
          </w:p>
        </w:tc>
        <w:tc>
          <w:tcPr>
            <w:tcW w:w="468" w:type="dxa"/>
            <w:shd w:val="pct20" w:color="000000" w:fill="FFFFFF"/>
            <w:vAlign w:val="bottom"/>
          </w:tcPr>
          <w:p w14:paraId="57F4D1D2" w14:textId="77777777" w:rsidR="007B1D1B" w:rsidRPr="00565F75" w:rsidRDefault="007B1D1B" w:rsidP="00525AE5">
            <w:pPr>
              <w:spacing w:before="50" w:after="50"/>
              <w:ind w:hanging="284"/>
              <w:jc w:val="right"/>
              <w:rPr>
                <w:rFonts w:ascii="Garamond" w:hAnsi="Garamond"/>
                <w:b/>
                <w:bCs/>
                <w:color w:val="1F497D" w:themeColor="text2"/>
                <w:sz w:val="20"/>
                <w:szCs w:val="20"/>
              </w:rPr>
            </w:pPr>
          </w:p>
        </w:tc>
      </w:tr>
      <w:tr w:rsidR="007B1D1B" w:rsidRPr="00565F75" w14:paraId="7BDA6B13" w14:textId="77777777" w:rsidTr="00525AE5">
        <w:tc>
          <w:tcPr>
            <w:tcW w:w="5877" w:type="dxa"/>
            <w:shd w:val="pct20" w:color="000000" w:fill="FFFFFF"/>
          </w:tcPr>
          <w:p w14:paraId="4F0FB64B" w14:textId="77777777" w:rsidR="007B1D1B" w:rsidRPr="00565F75" w:rsidRDefault="007B1D1B" w:rsidP="00525AE5">
            <w:pPr>
              <w:spacing w:before="50" w:after="50"/>
              <w:ind w:left="284" w:right="-113" w:hanging="284"/>
              <w:rPr>
                <w:rFonts w:ascii="Garamond" w:hAnsi="Garamond"/>
                <w:b/>
                <w:color w:val="1F497D" w:themeColor="text2"/>
                <w:sz w:val="20"/>
                <w:szCs w:val="20"/>
              </w:rPr>
            </w:pPr>
            <w:r w:rsidRPr="00565F75">
              <w:rPr>
                <w:rFonts w:ascii="Garamond" w:hAnsi="Garamond"/>
                <w:b/>
                <w:color w:val="1F497D" w:themeColor="text2"/>
                <w:sz w:val="20"/>
                <w:szCs w:val="20"/>
              </w:rPr>
              <w:t>Annex</w:t>
            </w:r>
          </w:p>
        </w:tc>
        <w:tc>
          <w:tcPr>
            <w:tcW w:w="468" w:type="dxa"/>
            <w:shd w:val="pct20" w:color="000000" w:fill="FFFFFF"/>
            <w:vAlign w:val="bottom"/>
          </w:tcPr>
          <w:p w14:paraId="28D12DE5" w14:textId="77777777" w:rsidR="007B1D1B" w:rsidRPr="00565F75" w:rsidRDefault="007B1D1B" w:rsidP="00525AE5">
            <w:pPr>
              <w:spacing w:before="50" w:after="50"/>
              <w:ind w:hanging="284"/>
              <w:jc w:val="right"/>
              <w:rPr>
                <w:rFonts w:ascii="Garamond" w:hAnsi="Garamond"/>
                <w:b/>
                <w:bCs/>
                <w:color w:val="1F497D" w:themeColor="text2"/>
                <w:sz w:val="20"/>
                <w:szCs w:val="20"/>
              </w:rPr>
            </w:pPr>
          </w:p>
        </w:tc>
      </w:tr>
      <w:tr w:rsidR="007B1D1B" w:rsidRPr="00565F75" w14:paraId="60EE9C1B" w14:textId="77777777" w:rsidTr="00525AE5">
        <w:tc>
          <w:tcPr>
            <w:tcW w:w="5877" w:type="dxa"/>
            <w:shd w:val="pct5" w:color="000000" w:fill="FFFFFF"/>
          </w:tcPr>
          <w:p w14:paraId="054AC3A6" w14:textId="77777777" w:rsidR="007B1D1B" w:rsidRPr="00565F75" w:rsidRDefault="007B1D1B" w:rsidP="00525AE5">
            <w:pPr>
              <w:spacing w:before="50" w:after="50"/>
              <w:ind w:left="284" w:right="-113" w:hanging="142"/>
              <w:rPr>
                <w:rFonts w:ascii="Garamond" w:hAnsi="Garamond"/>
                <w:b/>
                <w:i/>
                <w:color w:val="1F497D" w:themeColor="text2"/>
                <w:sz w:val="20"/>
                <w:szCs w:val="20"/>
              </w:rPr>
            </w:pPr>
            <w:r w:rsidRPr="00565F75">
              <w:rPr>
                <w:rFonts w:ascii="Garamond" w:hAnsi="Garamond"/>
                <w:b/>
                <w:i/>
                <w:color w:val="1F497D" w:themeColor="text2"/>
                <w:sz w:val="20"/>
                <w:szCs w:val="20"/>
              </w:rPr>
              <w:t>Minutes</w:t>
            </w:r>
            <w:r w:rsidRPr="00565F75">
              <w:rPr>
                <w:rFonts w:ascii="Garamond" w:hAnsi="Garamond"/>
                <w:bCs/>
                <w:i/>
                <w:color w:val="1F497D" w:themeColor="text2"/>
                <w:sz w:val="20"/>
                <w:szCs w:val="20"/>
              </w:rPr>
              <w:t>...................................................................................................</w:t>
            </w:r>
          </w:p>
        </w:tc>
        <w:tc>
          <w:tcPr>
            <w:tcW w:w="468" w:type="dxa"/>
            <w:shd w:val="pct5" w:color="000000" w:fill="FFFFFF"/>
            <w:vAlign w:val="bottom"/>
          </w:tcPr>
          <w:p w14:paraId="204061A4" w14:textId="77777777" w:rsidR="007B1D1B" w:rsidRPr="00565F75" w:rsidRDefault="007B1D1B" w:rsidP="00525AE5">
            <w:pPr>
              <w:spacing w:before="50" w:after="50"/>
              <w:ind w:hanging="284"/>
              <w:jc w:val="right"/>
              <w:rPr>
                <w:rFonts w:ascii="Garamond" w:hAnsi="Garamond"/>
                <w:b/>
                <w:bCs/>
                <w:color w:val="1F497D" w:themeColor="text2"/>
                <w:sz w:val="20"/>
                <w:szCs w:val="20"/>
              </w:rPr>
            </w:pPr>
          </w:p>
        </w:tc>
      </w:tr>
      <w:tr w:rsidR="007B1D1B" w:rsidRPr="00565F75" w14:paraId="343B50F6" w14:textId="77777777" w:rsidTr="00525AE5">
        <w:tc>
          <w:tcPr>
            <w:tcW w:w="5877" w:type="dxa"/>
            <w:shd w:val="pct20" w:color="000000" w:fill="FFFFFF"/>
          </w:tcPr>
          <w:p w14:paraId="3CE7953F" w14:textId="77777777" w:rsidR="007B1D1B" w:rsidRPr="00565F75" w:rsidRDefault="007B1D1B" w:rsidP="00B53341">
            <w:pPr>
              <w:spacing w:before="50" w:after="50"/>
              <w:ind w:left="284" w:right="-113" w:hanging="142"/>
              <w:rPr>
                <w:rFonts w:ascii="Garamond" w:hAnsi="Garamond"/>
                <w:b/>
                <w:i/>
                <w:color w:val="1F497D" w:themeColor="text2"/>
                <w:sz w:val="20"/>
                <w:szCs w:val="20"/>
              </w:rPr>
            </w:pPr>
            <w:r w:rsidRPr="00565F75">
              <w:rPr>
                <w:rFonts w:ascii="Garamond" w:hAnsi="Garamond"/>
                <w:b/>
                <w:i/>
                <w:color w:val="1F497D" w:themeColor="text2"/>
                <w:sz w:val="20"/>
                <w:szCs w:val="20"/>
              </w:rPr>
              <w:t xml:space="preserve">The CBA Board </w:t>
            </w:r>
            <w:r w:rsidR="00B53341" w:rsidRPr="00565F75">
              <w:rPr>
                <w:rFonts w:ascii="Garamond" w:hAnsi="Garamond"/>
                <w:b/>
                <w:i/>
                <w:color w:val="1F497D" w:themeColor="text2"/>
                <w:sz w:val="20"/>
                <w:szCs w:val="20"/>
              </w:rPr>
              <w:t xml:space="preserve">Decision </w:t>
            </w:r>
            <w:r w:rsidRPr="00565F75">
              <w:rPr>
                <w:rFonts w:ascii="Garamond" w:hAnsi="Garamond"/>
                <w:b/>
                <w:i/>
                <w:color w:val="1F497D" w:themeColor="text2"/>
                <w:sz w:val="20"/>
                <w:szCs w:val="20"/>
              </w:rPr>
              <w:t>on interest rates</w:t>
            </w:r>
            <w:r w:rsidRPr="00565F75">
              <w:rPr>
                <w:rFonts w:ascii="Garamond" w:hAnsi="Garamond"/>
                <w:bCs/>
                <w:i/>
                <w:color w:val="1F497D" w:themeColor="text2"/>
                <w:sz w:val="20"/>
                <w:szCs w:val="20"/>
              </w:rPr>
              <w:t>.......................................</w:t>
            </w:r>
          </w:p>
        </w:tc>
        <w:tc>
          <w:tcPr>
            <w:tcW w:w="468" w:type="dxa"/>
            <w:shd w:val="pct20" w:color="000000" w:fill="FFFFFF"/>
            <w:vAlign w:val="bottom"/>
          </w:tcPr>
          <w:p w14:paraId="1B5558C5" w14:textId="77777777" w:rsidR="007B1D1B" w:rsidRPr="00565F75" w:rsidRDefault="007B1D1B" w:rsidP="00525AE5">
            <w:pPr>
              <w:spacing w:before="50" w:after="50"/>
              <w:ind w:hanging="284"/>
              <w:jc w:val="right"/>
              <w:rPr>
                <w:rFonts w:ascii="Garamond" w:hAnsi="Garamond"/>
                <w:b/>
                <w:bCs/>
                <w:color w:val="1F497D" w:themeColor="text2"/>
                <w:sz w:val="20"/>
                <w:szCs w:val="20"/>
              </w:rPr>
            </w:pPr>
          </w:p>
        </w:tc>
      </w:tr>
      <w:tr w:rsidR="007B1D1B" w:rsidRPr="00565F75" w14:paraId="06B43F33" w14:textId="77777777" w:rsidTr="00525AE5">
        <w:tc>
          <w:tcPr>
            <w:tcW w:w="5877" w:type="dxa"/>
            <w:shd w:val="pct5" w:color="000000" w:fill="FFFFFF"/>
          </w:tcPr>
          <w:p w14:paraId="629DCD93" w14:textId="77777777" w:rsidR="007B1D1B" w:rsidRPr="00565F75" w:rsidRDefault="007B1D1B" w:rsidP="00525AE5">
            <w:pPr>
              <w:spacing w:before="50" w:after="50"/>
              <w:ind w:left="284" w:right="-113" w:hanging="142"/>
              <w:rPr>
                <w:rFonts w:ascii="Garamond" w:hAnsi="Garamond"/>
                <w:b/>
                <w:i/>
                <w:color w:val="1F497D" w:themeColor="text2"/>
                <w:sz w:val="20"/>
                <w:szCs w:val="20"/>
              </w:rPr>
            </w:pPr>
            <w:r w:rsidRPr="00565F75">
              <w:rPr>
                <w:rFonts w:ascii="Garamond" w:hAnsi="Garamond"/>
                <w:b/>
                <w:i/>
                <w:color w:val="1F497D" w:themeColor="text2"/>
                <w:sz w:val="20"/>
                <w:szCs w:val="20"/>
              </w:rPr>
              <w:t>Press release</w:t>
            </w:r>
            <w:r w:rsidRPr="00565F75">
              <w:rPr>
                <w:rFonts w:ascii="Garamond" w:hAnsi="Garamond"/>
                <w:bCs/>
                <w:i/>
                <w:color w:val="1F497D" w:themeColor="text2"/>
                <w:sz w:val="20"/>
                <w:szCs w:val="20"/>
              </w:rPr>
              <w:t>..........................................................................................</w:t>
            </w:r>
          </w:p>
        </w:tc>
        <w:tc>
          <w:tcPr>
            <w:tcW w:w="468" w:type="dxa"/>
            <w:shd w:val="pct5" w:color="000000" w:fill="FFFFFF"/>
            <w:vAlign w:val="bottom"/>
          </w:tcPr>
          <w:p w14:paraId="5AE462EF" w14:textId="77777777" w:rsidR="007B1D1B" w:rsidRPr="00565F75" w:rsidRDefault="007B1D1B" w:rsidP="00525AE5">
            <w:pPr>
              <w:spacing w:before="50" w:after="50"/>
              <w:ind w:hanging="284"/>
              <w:jc w:val="right"/>
              <w:rPr>
                <w:rFonts w:ascii="Garamond" w:hAnsi="Garamond"/>
                <w:b/>
                <w:bCs/>
                <w:color w:val="1F497D" w:themeColor="text2"/>
                <w:sz w:val="20"/>
                <w:szCs w:val="20"/>
              </w:rPr>
            </w:pPr>
          </w:p>
        </w:tc>
      </w:tr>
      <w:tr w:rsidR="007B1D1B" w:rsidRPr="00565F75" w14:paraId="6CB2841E" w14:textId="77777777" w:rsidTr="00525AE5">
        <w:tc>
          <w:tcPr>
            <w:tcW w:w="5877" w:type="dxa"/>
            <w:shd w:val="pct20" w:color="000000" w:fill="FFFFFF"/>
          </w:tcPr>
          <w:p w14:paraId="4BE928DF" w14:textId="77777777" w:rsidR="007B1D1B" w:rsidRPr="00565F75" w:rsidRDefault="007B1D1B" w:rsidP="00525AE5">
            <w:pPr>
              <w:spacing w:before="50" w:after="50"/>
              <w:ind w:left="284" w:right="-113" w:hanging="142"/>
              <w:rPr>
                <w:rFonts w:ascii="Garamond" w:hAnsi="Garamond"/>
                <w:b/>
                <w:i/>
                <w:color w:val="1F497D" w:themeColor="text2"/>
                <w:sz w:val="20"/>
                <w:szCs w:val="20"/>
              </w:rPr>
            </w:pPr>
            <w:r w:rsidRPr="00565F75">
              <w:rPr>
                <w:rFonts w:ascii="Garamond" w:hAnsi="Garamond"/>
                <w:b/>
                <w:i/>
                <w:color w:val="1F497D" w:themeColor="text2"/>
                <w:sz w:val="20"/>
                <w:szCs w:val="20"/>
              </w:rPr>
              <w:t>Main macroeconomic indicators</w:t>
            </w:r>
            <w:r w:rsidRPr="00565F75">
              <w:rPr>
                <w:rFonts w:ascii="Garamond" w:hAnsi="Garamond"/>
                <w:bCs/>
                <w:i/>
                <w:color w:val="1F497D" w:themeColor="text2"/>
                <w:sz w:val="20"/>
                <w:szCs w:val="20"/>
              </w:rPr>
              <w:t>..........................................................</w:t>
            </w:r>
          </w:p>
        </w:tc>
        <w:tc>
          <w:tcPr>
            <w:tcW w:w="468" w:type="dxa"/>
            <w:shd w:val="pct20" w:color="000000" w:fill="FFFFFF"/>
            <w:vAlign w:val="bottom"/>
          </w:tcPr>
          <w:p w14:paraId="4AD1C655" w14:textId="77777777" w:rsidR="007B1D1B" w:rsidRPr="00565F75" w:rsidRDefault="007B1D1B" w:rsidP="00525AE5">
            <w:pPr>
              <w:spacing w:before="50" w:after="50"/>
              <w:ind w:hanging="284"/>
              <w:jc w:val="right"/>
              <w:rPr>
                <w:rFonts w:ascii="Garamond" w:hAnsi="Garamond"/>
                <w:b/>
                <w:bCs/>
                <w:color w:val="1F497D" w:themeColor="text2"/>
                <w:sz w:val="20"/>
                <w:szCs w:val="20"/>
              </w:rPr>
            </w:pPr>
          </w:p>
        </w:tc>
      </w:tr>
      <w:tr w:rsidR="007B1D1B" w:rsidRPr="00565F75" w14:paraId="56A4D150" w14:textId="77777777" w:rsidTr="00525AE5">
        <w:tc>
          <w:tcPr>
            <w:tcW w:w="5877" w:type="dxa"/>
            <w:shd w:val="pct5" w:color="000000" w:fill="FFFFFF"/>
          </w:tcPr>
          <w:p w14:paraId="1783598E" w14:textId="77777777" w:rsidR="007B1D1B" w:rsidRPr="00565F75" w:rsidRDefault="007B1D1B" w:rsidP="00525AE5">
            <w:pPr>
              <w:spacing w:before="50" w:after="50"/>
              <w:ind w:left="284" w:right="-113" w:hanging="142"/>
              <w:rPr>
                <w:rFonts w:ascii="Garamond" w:hAnsi="Garamond"/>
                <w:b/>
                <w:i/>
                <w:color w:val="1F497D" w:themeColor="text2"/>
                <w:sz w:val="20"/>
                <w:szCs w:val="20"/>
              </w:rPr>
            </w:pPr>
            <w:r w:rsidRPr="00565F75">
              <w:rPr>
                <w:rFonts w:ascii="Garamond" w:hAnsi="Garamond"/>
                <w:b/>
                <w:i/>
                <w:color w:val="1F497D" w:themeColor="text2"/>
                <w:sz w:val="20"/>
                <w:szCs w:val="20"/>
              </w:rPr>
              <w:t>Charts</w:t>
            </w:r>
            <w:r w:rsidRPr="00565F75">
              <w:rPr>
                <w:rFonts w:ascii="Garamond" w:hAnsi="Garamond"/>
                <w:bCs/>
                <w:i/>
                <w:color w:val="1F497D" w:themeColor="text2"/>
                <w:sz w:val="20"/>
                <w:szCs w:val="20"/>
              </w:rPr>
              <w:t>.....................................................................................................</w:t>
            </w:r>
          </w:p>
        </w:tc>
        <w:tc>
          <w:tcPr>
            <w:tcW w:w="468" w:type="dxa"/>
            <w:shd w:val="pct5" w:color="000000" w:fill="FFFFFF"/>
            <w:vAlign w:val="bottom"/>
          </w:tcPr>
          <w:p w14:paraId="250F4A5E" w14:textId="77777777" w:rsidR="007B1D1B" w:rsidRPr="00565F75" w:rsidRDefault="007B1D1B" w:rsidP="00525AE5">
            <w:pPr>
              <w:spacing w:before="50" w:after="50"/>
              <w:ind w:hanging="284"/>
              <w:jc w:val="right"/>
              <w:rPr>
                <w:rFonts w:ascii="Garamond" w:hAnsi="Garamond"/>
                <w:b/>
                <w:bCs/>
                <w:color w:val="1F497D" w:themeColor="text2"/>
                <w:sz w:val="20"/>
                <w:szCs w:val="20"/>
              </w:rPr>
            </w:pPr>
          </w:p>
        </w:tc>
      </w:tr>
      <w:tr w:rsidR="007B1D1B" w:rsidRPr="00565F75" w14:paraId="1D4B2BB8" w14:textId="77777777" w:rsidTr="00525AE5">
        <w:tc>
          <w:tcPr>
            <w:tcW w:w="5877" w:type="dxa"/>
            <w:shd w:val="pct20" w:color="000000" w:fill="FFFFFF"/>
          </w:tcPr>
          <w:p w14:paraId="0BFEC9C0" w14:textId="77777777" w:rsidR="007B1D1B" w:rsidRPr="00565F75" w:rsidRDefault="007B1D1B" w:rsidP="00525AE5">
            <w:pPr>
              <w:spacing w:before="50" w:after="50"/>
              <w:ind w:left="284" w:right="-113" w:hanging="142"/>
              <w:rPr>
                <w:rFonts w:ascii="Garamond" w:hAnsi="Garamond"/>
                <w:b/>
                <w:i/>
                <w:color w:val="1F497D" w:themeColor="text2"/>
                <w:sz w:val="20"/>
                <w:szCs w:val="20"/>
              </w:rPr>
            </w:pPr>
            <w:r w:rsidRPr="00565F75">
              <w:rPr>
                <w:rFonts w:ascii="Garamond" w:hAnsi="Garamond"/>
                <w:b/>
                <w:i/>
                <w:color w:val="1F497D" w:themeColor="text2"/>
                <w:sz w:val="20"/>
                <w:szCs w:val="20"/>
              </w:rPr>
              <w:t>Tables</w:t>
            </w:r>
            <w:r w:rsidRPr="00565F75">
              <w:rPr>
                <w:rFonts w:ascii="Garamond" w:hAnsi="Garamond"/>
                <w:bCs/>
                <w:i/>
                <w:color w:val="1F497D" w:themeColor="text2"/>
                <w:sz w:val="20"/>
                <w:szCs w:val="20"/>
              </w:rPr>
              <w:t>.....................................................................................................</w:t>
            </w:r>
          </w:p>
        </w:tc>
        <w:tc>
          <w:tcPr>
            <w:tcW w:w="468" w:type="dxa"/>
            <w:shd w:val="pct20" w:color="000000" w:fill="FFFFFF"/>
            <w:vAlign w:val="bottom"/>
          </w:tcPr>
          <w:p w14:paraId="488E7C81" w14:textId="77777777" w:rsidR="007B1D1B" w:rsidRPr="00565F75" w:rsidRDefault="007B1D1B" w:rsidP="00525AE5">
            <w:pPr>
              <w:spacing w:before="50" w:after="50"/>
              <w:ind w:hanging="284"/>
              <w:jc w:val="right"/>
              <w:rPr>
                <w:rFonts w:ascii="Garamond" w:hAnsi="Garamond"/>
                <w:b/>
                <w:bCs/>
                <w:color w:val="1F497D" w:themeColor="text2"/>
                <w:sz w:val="20"/>
                <w:szCs w:val="20"/>
              </w:rPr>
            </w:pPr>
          </w:p>
        </w:tc>
      </w:tr>
    </w:tbl>
    <w:p w14:paraId="67D8F6ED" w14:textId="77777777" w:rsidR="007B1D1B" w:rsidRPr="00EE5F0F" w:rsidRDefault="007B1D1B" w:rsidP="00EE619D">
      <w:pPr>
        <w:autoSpaceDE w:val="0"/>
        <w:autoSpaceDN w:val="0"/>
        <w:adjustRightInd w:val="0"/>
        <w:spacing w:after="120" w:line="360" w:lineRule="auto"/>
        <w:jc w:val="both"/>
        <w:rPr>
          <w:rFonts w:ascii="Garamond" w:hAnsi="Garamond"/>
          <w:b/>
          <w:color w:val="0070C0"/>
          <w:sz w:val="22"/>
          <w:szCs w:val="22"/>
        </w:rPr>
      </w:pPr>
    </w:p>
    <w:p w14:paraId="0985CE13" w14:textId="77777777" w:rsidR="005F748E" w:rsidRPr="00EE5F0F" w:rsidRDefault="005F748E" w:rsidP="00EE619D">
      <w:pPr>
        <w:autoSpaceDE w:val="0"/>
        <w:autoSpaceDN w:val="0"/>
        <w:adjustRightInd w:val="0"/>
        <w:spacing w:after="120" w:line="360" w:lineRule="auto"/>
        <w:jc w:val="both"/>
        <w:rPr>
          <w:rFonts w:ascii="Garamond" w:hAnsi="Garamond"/>
          <w:b/>
          <w:color w:val="0070C0"/>
          <w:sz w:val="22"/>
          <w:szCs w:val="22"/>
        </w:rPr>
      </w:pPr>
    </w:p>
    <w:p w14:paraId="6D3F588F" w14:textId="77777777" w:rsidR="00565F75" w:rsidRDefault="00565F75" w:rsidP="00EE619D">
      <w:pPr>
        <w:autoSpaceDE w:val="0"/>
        <w:autoSpaceDN w:val="0"/>
        <w:adjustRightInd w:val="0"/>
        <w:spacing w:after="120" w:line="360" w:lineRule="auto"/>
        <w:jc w:val="both"/>
        <w:rPr>
          <w:rFonts w:ascii="Garamond" w:hAnsi="Garamond"/>
          <w:b/>
          <w:color w:val="0070C0"/>
          <w:sz w:val="22"/>
          <w:szCs w:val="22"/>
        </w:rPr>
      </w:pPr>
    </w:p>
    <w:p w14:paraId="323565DA" w14:textId="77777777" w:rsidR="00565F75" w:rsidRDefault="00565F75" w:rsidP="00EE619D">
      <w:pPr>
        <w:autoSpaceDE w:val="0"/>
        <w:autoSpaceDN w:val="0"/>
        <w:adjustRightInd w:val="0"/>
        <w:spacing w:after="120" w:line="360" w:lineRule="auto"/>
        <w:jc w:val="both"/>
        <w:rPr>
          <w:rFonts w:ascii="Garamond" w:hAnsi="Garamond"/>
          <w:b/>
          <w:color w:val="0070C0"/>
          <w:sz w:val="22"/>
          <w:szCs w:val="22"/>
        </w:rPr>
      </w:pPr>
    </w:p>
    <w:p w14:paraId="4591386F" w14:textId="77777777" w:rsidR="00EE619D" w:rsidRPr="00EE5F0F" w:rsidRDefault="00EE619D" w:rsidP="00EE619D">
      <w:pPr>
        <w:autoSpaceDE w:val="0"/>
        <w:autoSpaceDN w:val="0"/>
        <w:adjustRightInd w:val="0"/>
        <w:spacing w:after="120" w:line="360" w:lineRule="auto"/>
        <w:jc w:val="both"/>
        <w:rPr>
          <w:rFonts w:ascii="Garamond" w:hAnsi="Garamond"/>
          <w:b/>
          <w:color w:val="0070C0"/>
          <w:sz w:val="22"/>
          <w:szCs w:val="22"/>
        </w:rPr>
      </w:pPr>
      <w:r w:rsidRPr="00EE5F0F">
        <w:rPr>
          <w:rFonts w:ascii="Garamond" w:hAnsi="Garamond"/>
          <w:b/>
          <w:color w:val="0070C0"/>
          <w:sz w:val="22"/>
          <w:szCs w:val="22"/>
        </w:rPr>
        <w:lastRenderedPageBreak/>
        <w:t>1. EXECUTIVE SUMMARY</w:t>
      </w:r>
    </w:p>
    <w:p w14:paraId="6F2EC4CD" w14:textId="77777777" w:rsidR="00EE619D" w:rsidRPr="00EE5F0F" w:rsidRDefault="003720FB" w:rsidP="00EE619D">
      <w:pPr>
        <w:autoSpaceDE w:val="0"/>
        <w:autoSpaceDN w:val="0"/>
        <w:adjustRightInd w:val="0"/>
        <w:spacing w:after="120" w:line="360" w:lineRule="auto"/>
        <w:jc w:val="both"/>
        <w:rPr>
          <w:rFonts w:ascii="Garamond" w:hAnsi="Garamond"/>
          <w:b/>
          <w:sz w:val="22"/>
          <w:szCs w:val="22"/>
        </w:rPr>
      </w:pPr>
      <w:r>
        <w:rPr>
          <w:rFonts w:ascii="Garamond" w:hAnsi="Garamond"/>
          <w:b/>
          <w:sz w:val="22"/>
          <w:szCs w:val="22"/>
        </w:rPr>
        <w:t>I</w:t>
      </w:r>
      <w:r w:rsidR="001830A1" w:rsidRPr="00EE5F0F">
        <w:rPr>
          <w:rFonts w:ascii="Garamond" w:hAnsi="Garamond"/>
          <w:b/>
          <w:sz w:val="22"/>
          <w:szCs w:val="22"/>
        </w:rPr>
        <w:t xml:space="preserve">nflation </w:t>
      </w:r>
      <w:r w:rsidRPr="00EE5F0F">
        <w:rPr>
          <w:rFonts w:ascii="Garamond" w:hAnsi="Garamond"/>
          <w:b/>
          <w:sz w:val="22"/>
          <w:szCs w:val="22"/>
        </w:rPr>
        <w:t xml:space="preserve">slowed down to a certain extent </w:t>
      </w:r>
      <w:r>
        <w:rPr>
          <w:rFonts w:ascii="Garamond" w:hAnsi="Garamond"/>
          <w:b/>
          <w:sz w:val="22"/>
          <w:szCs w:val="22"/>
        </w:rPr>
        <w:t>i</w:t>
      </w:r>
      <w:r w:rsidRPr="00EE5F0F">
        <w:rPr>
          <w:rFonts w:ascii="Garamond" w:hAnsi="Garamond"/>
          <w:b/>
          <w:sz w:val="22"/>
          <w:szCs w:val="22"/>
        </w:rPr>
        <w:t xml:space="preserve">n the </w:t>
      </w:r>
      <w:r>
        <w:rPr>
          <w:rFonts w:ascii="Garamond" w:hAnsi="Garamond"/>
          <w:b/>
          <w:sz w:val="22"/>
          <w:szCs w:val="22"/>
        </w:rPr>
        <w:t xml:space="preserve">first quarter of 2018, </w:t>
      </w:r>
      <w:r w:rsidR="001830A1" w:rsidRPr="00EE5F0F">
        <w:rPr>
          <w:rFonts w:ascii="Garamond" w:hAnsi="Garamond"/>
          <w:b/>
          <w:sz w:val="22"/>
          <w:szCs w:val="22"/>
        </w:rPr>
        <w:t>driven by the fall in prices of seasonal products. However, under current monetary policy, i</w:t>
      </w:r>
      <w:r>
        <w:rPr>
          <w:rFonts w:ascii="Garamond" w:hAnsi="Garamond"/>
          <w:b/>
          <w:sz w:val="22"/>
          <w:szCs w:val="22"/>
        </w:rPr>
        <w:t xml:space="preserve">nflation </w:t>
      </w:r>
      <w:r w:rsidR="001830A1" w:rsidRPr="00EE5F0F">
        <w:rPr>
          <w:rFonts w:ascii="Garamond" w:hAnsi="Garamond"/>
          <w:b/>
          <w:sz w:val="22"/>
          <w:szCs w:val="22"/>
        </w:rPr>
        <w:t>will continue expanding over 2018, fluctuating within the confidence band; in the forecast horizon it will stabilize around the target.</w:t>
      </w:r>
      <w:r w:rsidR="00463534" w:rsidRPr="00EE5F0F">
        <w:rPr>
          <w:rFonts w:ascii="Garamond" w:hAnsi="Garamond"/>
          <w:b/>
          <w:sz w:val="22"/>
          <w:szCs w:val="22"/>
        </w:rPr>
        <w:t xml:space="preserve"> </w:t>
      </w:r>
    </w:p>
    <w:p w14:paraId="7040DB70" w14:textId="77777777" w:rsidR="00BF11F1" w:rsidRPr="00EE5F0F" w:rsidRDefault="00EE619D" w:rsidP="00EE619D">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 xml:space="preserve">Positive developments in the macroeconomic environment expected in the short run will largely </w:t>
      </w:r>
      <w:r w:rsidR="00463534" w:rsidRPr="00EE5F0F">
        <w:rPr>
          <w:rFonts w:ascii="Garamond" w:hAnsi="Garamond"/>
          <w:sz w:val="22"/>
          <w:szCs w:val="22"/>
        </w:rPr>
        <w:t>facilitate</w:t>
      </w:r>
      <w:r w:rsidRPr="00EE5F0F">
        <w:rPr>
          <w:rFonts w:ascii="Garamond" w:hAnsi="Garamond"/>
          <w:sz w:val="22"/>
          <w:szCs w:val="22"/>
        </w:rPr>
        <w:t xml:space="preserve"> the </w:t>
      </w:r>
      <w:r w:rsidR="00463534" w:rsidRPr="00EE5F0F">
        <w:rPr>
          <w:rFonts w:ascii="Garamond" w:hAnsi="Garamond"/>
          <w:sz w:val="22"/>
          <w:szCs w:val="22"/>
        </w:rPr>
        <w:t>fulfilment of t</w:t>
      </w:r>
      <w:r w:rsidRPr="00EE5F0F">
        <w:rPr>
          <w:rFonts w:ascii="Garamond" w:hAnsi="Garamond"/>
          <w:sz w:val="22"/>
          <w:szCs w:val="22"/>
        </w:rPr>
        <w:t xml:space="preserve">he 12-month inflation </w:t>
      </w:r>
      <w:r w:rsidR="00463534" w:rsidRPr="00EE5F0F">
        <w:rPr>
          <w:rFonts w:ascii="Garamond" w:hAnsi="Garamond"/>
          <w:sz w:val="22"/>
          <w:szCs w:val="22"/>
        </w:rPr>
        <w:t>target</w:t>
      </w:r>
      <w:r w:rsidRPr="00EE5F0F">
        <w:rPr>
          <w:rFonts w:ascii="Garamond" w:hAnsi="Garamond"/>
          <w:sz w:val="22"/>
          <w:szCs w:val="22"/>
        </w:rPr>
        <w:t xml:space="preserve">, owing to </w:t>
      </w:r>
      <w:r w:rsidR="00CC59D6" w:rsidRPr="00EE5F0F">
        <w:rPr>
          <w:rFonts w:ascii="Garamond" w:hAnsi="Garamond"/>
          <w:sz w:val="22"/>
          <w:szCs w:val="22"/>
        </w:rPr>
        <w:t xml:space="preserve">persisting </w:t>
      </w:r>
      <w:r w:rsidRPr="00EE5F0F">
        <w:rPr>
          <w:rFonts w:ascii="Garamond" w:hAnsi="Garamond"/>
          <w:sz w:val="22"/>
          <w:szCs w:val="22"/>
        </w:rPr>
        <w:t xml:space="preserve">influence of expansionary monetary policy and </w:t>
      </w:r>
      <w:r w:rsidR="00CC59D6" w:rsidRPr="00EE5F0F">
        <w:rPr>
          <w:rFonts w:ascii="Garamond" w:hAnsi="Garamond"/>
          <w:sz w:val="22"/>
          <w:szCs w:val="22"/>
        </w:rPr>
        <w:t xml:space="preserve">continued recovery in </w:t>
      </w:r>
      <w:r w:rsidR="00463534" w:rsidRPr="00EE5F0F">
        <w:rPr>
          <w:rFonts w:ascii="Garamond" w:hAnsi="Garamond"/>
          <w:sz w:val="22"/>
          <w:szCs w:val="22"/>
        </w:rPr>
        <w:t xml:space="preserve">demand </w:t>
      </w:r>
      <w:r w:rsidR="00CC59D6" w:rsidRPr="00EE5F0F">
        <w:rPr>
          <w:rFonts w:ascii="Garamond" w:hAnsi="Garamond"/>
          <w:sz w:val="22"/>
          <w:szCs w:val="22"/>
        </w:rPr>
        <w:t xml:space="preserve">in the external </w:t>
      </w:r>
      <w:r w:rsidR="00F31EEB" w:rsidRPr="00EE5F0F">
        <w:rPr>
          <w:rFonts w:ascii="Garamond" w:hAnsi="Garamond"/>
          <w:sz w:val="22"/>
          <w:szCs w:val="22"/>
        </w:rPr>
        <w:t>environment.</w:t>
      </w:r>
      <w:r w:rsidRPr="00EE5F0F">
        <w:rPr>
          <w:rFonts w:ascii="Garamond" w:hAnsi="Garamond"/>
          <w:sz w:val="22"/>
          <w:szCs w:val="22"/>
        </w:rPr>
        <w:t xml:space="preserve"> </w:t>
      </w:r>
      <w:r w:rsidR="00B2219D" w:rsidRPr="00EE5F0F">
        <w:rPr>
          <w:rFonts w:ascii="Garamond" w:hAnsi="Garamond"/>
          <w:sz w:val="22"/>
          <w:szCs w:val="22"/>
        </w:rPr>
        <w:t>Actual develop</w:t>
      </w:r>
      <w:r w:rsidR="00566D4F">
        <w:rPr>
          <w:rFonts w:ascii="Garamond" w:hAnsi="Garamond"/>
          <w:sz w:val="22"/>
          <w:szCs w:val="22"/>
        </w:rPr>
        <w:t>ments over the past period of 20</w:t>
      </w:r>
      <w:r w:rsidR="00B2219D" w:rsidRPr="00EE5F0F">
        <w:rPr>
          <w:rFonts w:ascii="Garamond" w:hAnsi="Garamond"/>
          <w:sz w:val="22"/>
          <w:szCs w:val="22"/>
        </w:rPr>
        <w:t>18 show that the 12-month inflation rate continued increas</w:t>
      </w:r>
      <w:r w:rsidR="00566D4F">
        <w:rPr>
          <w:rFonts w:ascii="Garamond" w:hAnsi="Garamond"/>
          <w:sz w:val="22"/>
          <w:szCs w:val="22"/>
        </w:rPr>
        <w:t>ing</w:t>
      </w:r>
      <w:r w:rsidR="00B2219D" w:rsidRPr="00EE5F0F">
        <w:rPr>
          <w:rFonts w:ascii="Garamond" w:hAnsi="Garamond"/>
          <w:sz w:val="22"/>
          <w:szCs w:val="22"/>
        </w:rPr>
        <w:t xml:space="preserve"> in the first quarter, but declined in the second quarter due to the fall in prices </w:t>
      </w:r>
      <w:r w:rsidR="00954D2F" w:rsidRPr="00EE5F0F">
        <w:rPr>
          <w:rFonts w:ascii="Garamond" w:hAnsi="Garamond"/>
          <w:sz w:val="22"/>
          <w:szCs w:val="22"/>
        </w:rPr>
        <w:t xml:space="preserve">of </w:t>
      </w:r>
      <w:r w:rsidR="00B2219D" w:rsidRPr="00EE5F0F">
        <w:rPr>
          <w:rFonts w:ascii="Garamond" w:hAnsi="Garamond"/>
          <w:sz w:val="22"/>
          <w:szCs w:val="22"/>
        </w:rPr>
        <w:t>seasonal agricultural products.</w:t>
      </w:r>
      <w:r w:rsidR="00954D2F" w:rsidRPr="00EE5F0F">
        <w:rPr>
          <w:rFonts w:ascii="Garamond" w:hAnsi="Garamond"/>
          <w:sz w:val="22"/>
          <w:szCs w:val="22"/>
        </w:rPr>
        <w:t xml:space="preserve"> The estimation is that this has been a seasonality shift and will be restored in the upcoming quarters. In view of the need to strengthen the domestic demand recovery and evaluating that short-term inflation expectations of households have generally stabilized and no additional inflation developments are expected under the current conditions, the </w:t>
      </w:r>
      <w:r w:rsidR="00954D2F" w:rsidRPr="00EE5F0F">
        <w:rPr>
          <w:rFonts w:ascii="Garamond" w:hAnsi="Garamond"/>
          <w:b/>
          <w:sz w:val="22"/>
          <w:szCs w:val="22"/>
        </w:rPr>
        <w:t xml:space="preserve">Board of the Central Bank decided to </w:t>
      </w:r>
      <w:r w:rsidR="00BF11F1" w:rsidRPr="00EE5F0F">
        <w:rPr>
          <w:rFonts w:ascii="Garamond" w:hAnsi="Garamond"/>
          <w:b/>
          <w:sz w:val="22"/>
          <w:szCs w:val="22"/>
        </w:rPr>
        <w:t>keep</w:t>
      </w:r>
      <w:r w:rsidR="00954D2F" w:rsidRPr="00EE5F0F">
        <w:rPr>
          <w:rFonts w:ascii="Garamond" w:hAnsi="Garamond"/>
          <w:b/>
          <w:sz w:val="22"/>
          <w:szCs w:val="22"/>
        </w:rPr>
        <w:t xml:space="preserve"> the refinancing rate unchanged, </w:t>
      </w:r>
      <w:r w:rsidR="00BF11F1" w:rsidRPr="00EE5F0F">
        <w:rPr>
          <w:rFonts w:ascii="Garamond" w:hAnsi="Garamond"/>
          <w:b/>
          <w:sz w:val="22"/>
          <w:szCs w:val="22"/>
        </w:rPr>
        <w:t xml:space="preserve">leaving </w:t>
      </w:r>
      <w:r w:rsidR="00954D2F" w:rsidRPr="00EE5F0F">
        <w:rPr>
          <w:rFonts w:ascii="Garamond" w:hAnsi="Garamond"/>
          <w:b/>
          <w:sz w:val="22"/>
          <w:szCs w:val="22"/>
        </w:rPr>
        <w:t xml:space="preserve">the monetary policy </w:t>
      </w:r>
      <w:r w:rsidR="00BF11F1" w:rsidRPr="00EE5F0F">
        <w:rPr>
          <w:rFonts w:ascii="Garamond" w:hAnsi="Garamond"/>
          <w:b/>
          <w:sz w:val="22"/>
          <w:szCs w:val="22"/>
        </w:rPr>
        <w:t>direction expansionary</w:t>
      </w:r>
      <w:r w:rsidR="00954D2F" w:rsidRPr="00EE5F0F">
        <w:rPr>
          <w:rFonts w:ascii="Garamond" w:hAnsi="Garamond"/>
          <w:b/>
          <w:sz w:val="22"/>
          <w:szCs w:val="22"/>
        </w:rPr>
        <w:t>.</w:t>
      </w:r>
      <w:r w:rsidR="00954D2F" w:rsidRPr="00EE5F0F">
        <w:rPr>
          <w:rFonts w:ascii="Garamond" w:hAnsi="Garamond"/>
          <w:sz w:val="22"/>
          <w:szCs w:val="22"/>
        </w:rPr>
        <w:t xml:space="preserve"> </w:t>
      </w:r>
    </w:p>
    <w:p w14:paraId="032F5858" w14:textId="77777777" w:rsidR="00BF11F1" w:rsidRPr="00EE5F0F" w:rsidRDefault="00BF11F1" w:rsidP="00EE619D">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However, in the light of predicted macroeconomic developments</w:t>
      </w:r>
      <w:r w:rsidR="00566D4F">
        <w:rPr>
          <w:rFonts w:ascii="Garamond" w:hAnsi="Garamond"/>
          <w:sz w:val="22"/>
          <w:szCs w:val="22"/>
        </w:rPr>
        <w:t>,</w:t>
      </w:r>
      <w:r w:rsidRPr="00EE5F0F">
        <w:rPr>
          <w:rFonts w:ascii="Garamond" w:hAnsi="Garamond"/>
          <w:b/>
          <w:sz w:val="22"/>
          <w:szCs w:val="22"/>
        </w:rPr>
        <w:t xml:space="preserve"> expansionary monetary conditions to phase out gradually will be needed</w:t>
      </w:r>
      <w:r w:rsidRPr="00EE5F0F">
        <w:rPr>
          <w:rFonts w:ascii="Garamond" w:hAnsi="Garamond"/>
          <w:sz w:val="22"/>
          <w:szCs w:val="22"/>
        </w:rPr>
        <w:t xml:space="preserve"> in the medium run, in fulfilment of the inflation target.</w:t>
      </w:r>
    </w:p>
    <w:p w14:paraId="4A5CD6CC" w14:textId="77777777" w:rsidR="00BF11F1" w:rsidRPr="00EE5F0F" w:rsidRDefault="00BF11F1" w:rsidP="00BF11F1">
      <w:pPr>
        <w:autoSpaceDE w:val="0"/>
        <w:autoSpaceDN w:val="0"/>
        <w:adjustRightInd w:val="0"/>
        <w:spacing w:after="120" w:line="360" w:lineRule="auto"/>
        <w:jc w:val="both"/>
        <w:rPr>
          <w:rFonts w:ascii="Garamond" w:hAnsi="Garamond"/>
          <w:b/>
          <w:sz w:val="22"/>
          <w:szCs w:val="22"/>
        </w:rPr>
      </w:pPr>
      <w:r w:rsidRPr="00EE5F0F">
        <w:rPr>
          <w:rFonts w:ascii="Garamond" w:hAnsi="Garamond"/>
          <w:b/>
          <w:sz w:val="22"/>
          <w:szCs w:val="22"/>
        </w:rPr>
        <w:t>High economic activity was still persisting over the first quarter of 2018, which will gradually eliminate starting from the second quarter, approaching its long-term equilibrium.</w:t>
      </w:r>
    </w:p>
    <w:p w14:paraId="66A93E1B" w14:textId="77777777" w:rsidR="00BF11F1" w:rsidRPr="00EE5F0F" w:rsidRDefault="00BF11F1" w:rsidP="00BF11F1">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 xml:space="preserve">According to the baseline scenario, mid-term economic growth trends are largely determined by the </w:t>
      </w:r>
      <w:r w:rsidR="00522147" w:rsidRPr="00EE5F0F">
        <w:rPr>
          <w:rFonts w:ascii="Garamond" w:hAnsi="Garamond"/>
          <w:sz w:val="22"/>
          <w:szCs w:val="22"/>
        </w:rPr>
        <w:t>economy’s fundamentals,</w:t>
      </w:r>
      <w:r w:rsidRPr="00EE5F0F">
        <w:rPr>
          <w:rFonts w:ascii="Garamond" w:hAnsi="Garamond"/>
          <w:sz w:val="22"/>
          <w:szCs w:val="22"/>
        </w:rPr>
        <w:t xml:space="preserve"> as well as the implementation of investment programs, the </w:t>
      </w:r>
      <w:r w:rsidR="00522147" w:rsidRPr="00EE5F0F">
        <w:rPr>
          <w:rFonts w:ascii="Garamond" w:hAnsi="Garamond"/>
          <w:sz w:val="22"/>
          <w:szCs w:val="22"/>
        </w:rPr>
        <w:t xml:space="preserve">pace of Government-led </w:t>
      </w:r>
      <w:r w:rsidRPr="00EE5F0F">
        <w:rPr>
          <w:rFonts w:ascii="Garamond" w:hAnsi="Garamond"/>
          <w:sz w:val="22"/>
          <w:szCs w:val="22"/>
        </w:rPr>
        <w:t>structural reforms</w:t>
      </w:r>
      <w:r w:rsidR="00522147" w:rsidRPr="00EE5F0F">
        <w:rPr>
          <w:rFonts w:ascii="Garamond" w:hAnsi="Garamond"/>
          <w:sz w:val="22"/>
          <w:szCs w:val="22"/>
        </w:rPr>
        <w:t>,</w:t>
      </w:r>
      <w:r w:rsidRPr="00EE5F0F">
        <w:rPr>
          <w:rFonts w:ascii="Garamond" w:hAnsi="Garamond"/>
          <w:sz w:val="22"/>
          <w:szCs w:val="22"/>
        </w:rPr>
        <w:t xml:space="preserve"> and </w:t>
      </w:r>
      <w:r w:rsidR="00522147" w:rsidRPr="00EE5F0F">
        <w:rPr>
          <w:rFonts w:ascii="Garamond" w:hAnsi="Garamond"/>
          <w:sz w:val="22"/>
          <w:szCs w:val="22"/>
        </w:rPr>
        <w:t xml:space="preserve">by anticipated </w:t>
      </w:r>
      <w:r w:rsidRPr="00EE5F0F">
        <w:rPr>
          <w:rFonts w:ascii="Garamond" w:hAnsi="Garamond"/>
          <w:sz w:val="22"/>
          <w:szCs w:val="22"/>
        </w:rPr>
        <w:t>potential of economic growth in partner countries.</w:t>
      </w:r>
      <w:r w:rsidR="00522147" w:rsidRPr="00EE5F0F">
        <w:rPr>
          <w:rFonts w:ascii="Garamond" w:hAnsi="Garamond"/>
          <w:sz w:val="22"/>
          <w:szCs w:val="22"/>
        </w:rPr>
        <w:t xml:space="preserve"> It should be noted that the political events in Armenia resulted in a very short-term slowing in growth rates of domestic demand and economic activity in the second quarter, </w:t>
      </w:r>
      <w:r w:rsidR="00566D4F">
        <w:rPr>
          <w:rFonts w:ascii="Garamond" w:hAnsi="Garamond"/>
          <w:sz w:val="22"/>
          <w:szCs w:val="22"/>
        </w:rPr>
        <w:t xml:space="preserve">but </w:t>
      </w:r>
      <w:r w:rsidR="00522147" w:rsidRPr="00EE5F0F">
        <w:rPr>
          <w:rFonts w:ascii="Garamond" w:hAnsi="Garamond"/>
          <w:sz w:val="22"/>
          <w:szCs w:val="22"/>
        </w:rPr>
        <w:t xml:space="preserve">they will not affect macroeconomic developments in the mid-term perspective. </w:t>
      </w:r>
    </w:p>
    <w:tbl>
      <w:tblPr>
        <w:tblStyle w:val="TableGrid"/>
        <w:tblW w:w="0" w:type="auto"/>
        <w:tblLook w:val="04A0" w:firstRow="1" w:lastRow="0" w:firstColumn="1" w:lastColumn="0" w:noHBand="0" w:noVBand="1"/>
      </w:tblPr>
      <w:tblGrid>
        <w:gridCol w:w="9576"/>
      </w:tblGrid>
      <w:tr w:rsidR="00560595" w:rsidRPr="003720FB" w14:paraId="435BA08D" w14:textId="77777777" w:rsidTr="00E67952">
        <w:trPr>
          <w:trHeight w:val="335"/>
        </w:trPr>
        <w:tc>
          <w:tcPr>
            <w:tcW w:w="9576" w:type="dxa"/>
          </w:tcPr>
          <w:p w14:paraId="05C0752B" w14:textId="77777777" w:rsidR="003F6D4A" w:rsidRPr="003720FB" w:rsidRDefault="00560595" w:rsidP="00E67952">
            <w:pPr>
              <w:autoSpaceDE w:val="0"/>
              <w:autoSpaceDN w:val="0"/>
              <w:adjustRightInd w:val="0"/>
              <w:spacing w:after="120" w:line="360" w:lineRule="auto"/>
              <w:jc w:val="both"/>
              <w:rPr>
                <w:rFonts w:ascii="Garamond" w:hAnsi="Garamond"/>
                <w:b/>
                <w:color w:val="FF0000"/>
                <w:sz w:val="18"/>
                <w:szCs w:val="18"/>
              </w:rPr>
            </w:pPr>
            <w:r w:rsidRPr="003720FB">
              <w:rPr>
                <w:rFonts w:ascii="Garamond" w:hAnsi="Garamond"/>
                <w:b/>
                <w:color w:val="FF0000"/>
                <w:sz w:val="18"/>
                <w:szCs w:val="18"/>
              </w:rPr>
              <w:t xml:space="preserve">Footnote 1. </w:t>
            </w:r>
            <w:r w:rsidRPr="003720FB">
              <w:rPr>
                <w:rFonts w:ascii="Garamond" w:hAnsi="Garamond"/>
                <w:color w:val="FF0000"/>
                <w:sz w:val="18"/>
                <w:szCs w:val="18"/>
              </w:rPr>
              <w:t>The growth rate of each quarter is calculated as the cumulative growth rate for the last four quarters.</w:t>
            </w:r>
          </w:p>
        </w:tc>
      </w:tr>
    </w:tbl>
    <w:p w14:paraId="2D2B2853" w14:textId="77777777" w:rsidR="00560595" w:rsidRPr="00EE5F0F" w:rsidRDefault="00560595" w:rsidP="00EE619D">
      <w:pPr>
        <w:autoSpaceDE w:val="0"/>
        <w:autoSpaceDN w:val="0"/>
        <w:adjustRightInd w:val="0"/>
        <w:spacing w:after="120" w:line="360" w:lineRule="auto"/>
        <w:jc w:val="both"/>
        <w:rPr>
          <w:rFonts w:ascii="Garamond" w:hAnsi="Garamond"/>
          <w:b/>
          <w:sz w:val="22"/>
          <w:szCs w:val="22"/>
        </w:rPr>
      </w:pPr>
    </w:p>
    <w:p w14:paraId="6BB6CF97" w14:textId="77777777" w:rsidR="00E67952" w:rsidRPr="00EE5F0F" w:rsidRDefault="00EE619D" w:rsidP="00EE619D">
      <w:pPr>
        <w:autoSpaceDE w:val="0"/>
        <w:autoSpaceDN w:val="0"/>
        <w:adjustRightInd w:val="0"/>
        <w:spacing w:after="120" w:line="360" w:lineRule="auto"/>
        <w:jc w:val="both"/>
        <w:rPr>
          <w:rFonts w:ascii="Garamond" w:hAnsi="Garamond"/>
          <w:sz w:val="22"/>
          <w:szCs w:val="22"/>
        </w:rPr>
      </w:pPr>
      <w:r w:rsidRPr="00EE5F0F">
        <w:rPr>
          <w:rFonts w:ascii="Garamond" w:hAnsi="Garamond"/>
          <w:b/>
          <w:sz w:val="22"/>
          <w:szCs w:val="22"/>
        </w:rPr>
        <w:t>In the short run</w:t>
      </w:r>
      <w:r w:rsidRPr="00EE5F0F">
        <w:rPr>
          <w:rFonts w:ascii="Garamond" w:hAnsi="Garamond"/>
          <w:sz w:val="22"/>
          <w:szCs w:val="22"/>
        </w:rPr>
        <w:t xml:space="preserve">, risks to inflation </w:t>
      </w:r>
      <w:r w:rsidR="00560595" w:rsidRPr="00EE5F0F">
        <w:rPr>
          <w:rFonts w:ascii="Garamond" w:hAnsi="Garamond"/>
          <w:sz w:val="22"/>
          <w:szCs w:val="22"/>
        </w:rPr>
        <w:t xml:space="preserve">and economic growth are mainly dual-sided, and are determined by possible developments in the agricultural sector. </w:t>
      </w:r>
    </w:p>
    <w:p w14:paraId="5F46D315" w14:textId="77777777" w:rsidR="00E67952" w:rsidRPr="00EE5F0F" w:rsidRDefault="00F61EDD" w:rsidP="00EE619D">
      <w:pPr>
        <w:autoSpaceDE w:val="0"/>
        <w:autoSpaceDN w:val="0"/>
        <w:adjustRightInd w:val="0"/>
        <w:spacing w:after="120" w:line="360" w:lineRule="auto"/>
        <w:jc w:val="both"/>
        <w:rPr>
          <w:rFonts w:ascii="Garamond" w:hAnsi="Garamond"/>
          <w:sz w:val="22"/>
          <w:szCs w:val="22"/>
        </w:rPr>
      </w:pPr>
      <w:r w:rsidRPr="00EE5F0F">
        <w:rPr>
          <w:rFonts w:ascii="Garamond" w:hAnsi="Garamond"/>
          <w:b/>
          <w:sz w:val="22"/>
          <w:szCs w:val="22"/>
        </w:rPr>
        <w:t>In the medium run</w:t>
      </w:r>
      <w:r w:rsidRPr="00EE5F0F">
        <w:rPr>
          <w:rFonts w:ascii="Garamond" w:hAnsi="Garamond"/>
          <w:sz w:val="22"/>
          <w:szCs w:val="22"/>
        </w:rPr>
        <w:t xml:space="preserve">, risks to inflation and economic growth are </w:t>
      </w:r>
      <w:r w:rsidR="00E67952" w:rsidRPr="00EE5F0F">
        <w:rPr>
          <w:rFonts w:ascii="Garamond" w:hAnsi="Garamond"/>
          <w:sz w:val="22"/>
          <w:szCs w:val="22"/>
        </w:rPr>
        <w:t xml:space="preserve">estimated to be balanced, in which circumstance the 12-month inflation rate is within the confidence band. </w:t>
      </w:r>
    </w:p>
    <w:p w14:paraId="3B1CB6F4" w14:textId="77777777" w:rsidR="00EE619D" w:rsidRPr="00EE5F0F" w:rsidRDefault="00E67952" w:rsidP="00EE619D">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lastRenderedPageBreak/>
        <w:t>If the aforementioned risks materialize, the Central Bank will react by adjusting its monetary conditions accordingly</w:t>
      </w:r>
      <w:r w:rsidR="00F61EDD" w:rsidRPr="00EE5F0F">
        <w:rPr>
          <w:rFonts w:ascii="Garamond" w:hAnsi="Garamond"/>
          <w:sz w:val="22"/>
          <w:szCs w:val="22"/>
        </w:rPr>
        <w:t xml:space="preserve">. </w:t>
      </w:r>
    </w:p>
    <w:p w14:paraId="57A37ED0" w14:textId="77777777" w:rsidR="003D1442" w:rsidRPr="00EE5F0F" w:rsidRDefault="003D1442" w:rsidP="00EE619D">
      <w:pPr>
        <w:autoSpaceDE w:val="0"/>
        <w:autoSpaceDN w:val="0"/>
        <w:adjustRightInd w:val="0"/>
        <w:spacing w:after="120" w:line="360" w:lineRule="auto"/>
        <w:jc w:val="both"/>
        <w:rPr>
          <w:rFonts w:ascii="Garamond" w:hAnsi="Garamond"/>
          <w:b/>
          <w:color w:val="0070C0"/>
          <w:sz w:val="22"/>
          <w:szCs w:val="22"/>
        </w:rPr>
      </w:pPr>
    </w:p>
    <w:p w14:paraId="3644D90A" w14:textId="77777777" w:rsidR="00EE619D" w:rsidRPr="00EE5F0F" w:rsidRDefault="00EE619D" w:rsidP="00EE619D">
      <w:pPr>
        <w:autoSpaceDE w:val="0"/>
        <w:autoSpaceDN w:val="0"/>
        <w:adjustRightInd w:val="0"/>
        <w:spacing w:after="120" w:line="360" w:lineRule="auto"/>
        <w:jc w:val="both"/>
        <w:rPr>
          <w:rFonts w:ascii="Garamond" w:hAnsi="Garamond"/>
          <w:b/>
          <w:color w:val="0070C0"/>
          <w:sz w:val="22"/>
          <w:szCs w:val="22"/>
        </w:rPr>
      </w:pPr>
      <w:r w:rsidRPr="00EE5F0F">
        <w:rPr>
          <w:rFonts w:ascii="Garamond" w:hAnsi="Garamond"/>
          <w:b/>
          <w:color w:val="0070C0"/>
          <w:sz w:val="22"/>
          <w:szCs w:val="22"/>
        </w:rPr>
        <w:t>2. FORECAST, FORECAST CHANGES AND RISKS</w:t>
      </w:r>
    </w:p>
    <w:p w14:paraId="0A47288E" w14:textId="77777777" w:rsidR="00EE619D" w:rsidRPr="00EE5F0F" w:rsidRDefault="00EE619D" w:rsidP="00EE619D">
      <w:pPr>
        <w:autoSpaceDE w:val="0"/>
        <w:autoSpaceDN w:val="0"/>
        <w:adjustRightInd w:val="0"/>
        <w:spacing w:after="120" w:line="360" w:lineRule="auto"/>
        <w:jc w:val="both"/>
        <w:rPr>
          <w:rFonts w:ascii="Garamond" w:hAnsi="Garamond"/>
          <w:b/>
          <w:color w:val="0070C0"/>
          <w:sz w:val="22"/>
          <w:szCs w:val="22"/>
        </w:rPr>
      </w:pPr>
      <w:r w:rsidRPr="00EE5F0F">
        <w:rPr>
          <w:rFonts w:ascii="Garamond" w:hAnsi="Garamond"/>
          <w:b/>
          <w:color w:val="0070C0"/>
          <w:sz w:val="22"/>
          <w:szCs w:val="22"/>
        </w:rPr>
        <w:t>2.1. External environment</w:t>
      </w:r>
    </w:p>
    <w:p w14:paraId="66EB93D8" w14:textId="77777777" w:rsidR="00EE619D" w:rsidRPr="00EE5F0F" w:rsidRDefault="00DF2AC4" w:rsidP="00EE619D">
      <w:pPr>
        <w:autoSpaceDE w:val="0"/>
        <w:autoSpaceDN w:val="0"/>
        <w:adjustRightInd w:val="0"/>
        <w:spacing w:after="120" w:line="360" w:lineRule="auto"/>
        <w:jc w:val="both"/>
        <w:rPr>
          <w:rFonts w:ascii="Garamond" w:hAnsi="Garamond"/>
          <w:b/>
          <w:sz w:val="22"/>
          <w:szCs w:val="22"/>
        </w:rPr>
      </w:pPr>
      <w:r w:rsidRPr="00EE5F0F">
        <w:rPr>
          <w:rFonts w:ascii="Garamond" w:hAnsi="Garamond"/>
          <w:b/>
          <w:sz w:val="22"/>
          <w:szCs w:val="22"/>
        </w:rPr>
        <w:t xml:space="preserve">The strengthening of the global economy continued in the first quarter of 2018, and this tendency is predicted to carry on throughout the year. </w:t>
      </w:r>
      <w:r w:rsidR="00954241" w:rsidRPr="00EE5F0F">
        <w:rPr>
          <w:rFonts w:ascii="Garamond" w:hAnsi="Garamond"/>
          <w:b/>
          <w:sz w:val="22"/>
          <w:szCs w:val="22"/>
        </w:rPr>
        <w:t xml:space="preserve">As for principal trade partners to Armenia, strong growth rates are expected to persist in the USA and Eurozone, while recovery will be observable in Russia after the </w:t>
      </w:r>
      <w:r w:rsidR="002C4561" w:rsidRPr="00EE5F0F">
        <w:rPr>
          <w:rFonts w:ascii="Garamond" w:hAnsi="Garamond"/>
          <w:b/>
          <w:sz w:val="22"/>
          <w:szCs w:val="22"/>
        </w:rPr>
        <w:t xml:space="preserve">previous quarter’s </w:t>
      </w:r>
      <w:r w:rsidR="00954241" w:rsidRPr="00EE5F0F">
        <w:rPr>
          <w:rFonts w:ascii="Garamond" w:hAnsi="Garamond"/>
          <w:b/>
          <w:sz w:val="22"/>
          <w:szCs w:val="22"/>
        </w:rPr>
        <w:t>slow</w:t>
      </w:r>
      <w:r w:rsidR="002C4561" w:rsidRPr="00EE5F0F">
        <w:rPr>
          <w:rFonts w:ascii="Garamond" w:hAnsi="Garamond"/>
          <w:b/>
          <w:sz w:val="22"/>
          <w:szCs w:val="22"/>
        </w:rPr>
        <w:t xml:space="preserve">ing </w:t>
      </w:r>
      <w:r w:rsidR="00954241" w:rsidRPr="00EE5F0F">
        <w:rPr>
          <w:rFonts w:ascii="Garamond" w:hAnsi="Garamond"/>
          <w:b/>
          <w:sz w:val="22"/>
          <w:szCs w:val="22"/>
        </w:rPr>
        <w:t>in economic growth</w:t>
      </w:r>
      <w:r w:rsidR="00E76EEB" w:rsidRPr="00EE5F0F">
        <w:rPr>
          <w:rFonts w:ascii="Garamond" w:hAnsi="Garamond"/>
          <w:b/>
          <w:sz w:val="22"/>
          <w:szCs w:val="22"/>
        </w:rPr>
        <w:t xml:space="preserve">. </w:t>
      </w:r>
    </w:p>
    <w:p w14:paraId="7693B183" w14:textId="77777777" w:rsidR="00EE619D" w:rsidRPr="00EE5F0F" w:rsidRDefault="002C4561" w:rsidP="00EE619D">
      <w:pPr>
        <w:autoSpaceDE w:val="0"/>
        <w:autoSpaceDN w:val="0"/>
        <w:adjustRightInd w:val="0"/>
        <w:spacing w:after="120" w:line="360" w:lineRule="auto"/>
        <w:jc w:val="both"/>
        <w:rPr>
          <w:rFonts w:ascii="Garamond" w:hAnsi="Garamond"/>
          <w:b/>
          <w:sz w:val="22"/>
          <w:szCs w:val="22"/>
        </w:rPr>
      </w:pPr>
      <w:r w:rsidRPr="00EE5F0F">
        <w:rPr>
          <w:rFonts w:ascii="Garamond" w:hAnsi="Garamond"/>
          <w:b/>
          <w:sz w:val="22"/>
          <w:szCs w:val="22"/>
        </w:rPr>
        <w:t xml:space="preserve">Relatively high prices will be maintained in world commodity markets over 2018 owing to both demand and supply factors: </w:t>
      </w:r>
      <w:r w:rsidR="00240895" w:rsidRPr="00EE5F0F">
        <w:rPr>
          <w:rFonts w:ascii="Garamond" w:hAnsi="Garamond"/>
          <w:b/>
          <w:sz w:val="22"/>
          <w:szCs w:val="22"/>
        </w:rPr>
        <w:t xml:space="preserve">although </w:t>
      </w:r>
      <w:r w:rsidRPr="00EE5F0F">
        <w:rPr>
          <w:rFonts w:ascii="Garamond" w:hAnsi="Garamond"/>
          <w:b/>
          <w:sz w:val="22"/>
          <w:szCs w:val="22"/>
        </w:rPr>
        <w:t>accelerat</w:t>
      </w:r>
      <w:r w:rsidR="00240895" w:rsidRPr="00EE5F0F">
        <w:rPr>
          <w:rFonts w:ascii="Garamond" w:hAnsi="Garamond"/>
          <w:b/>
          <w:sz w:val="22"/>
          <w:szCs w:val="22"/>
        </w:rPr>
        <w:t>ion in</w:t>
      </w:r>
      <w:r w:rsidRPr="00EE5F0F">
        <w:rPr>
          <w:rFonts w:ascii="Garamond" w:hAnsi="Garamond"/>
          <w:b/>
          <w:sz w:val="22"/>
          <w:szCs w:val="22"/>
        </w:rPr>
        <w:t xml:space="preserve"> global economic growth has bolstered the increase in demand, </w:t>
      </w:r>
      <w:r w:rsidR="00240895" w:rsidRPr="00EE5F0F">
        <w:rPr>
          <w:rFonts w:ascii="Garamond" w:hAnsi="Garamond"/>
          <w:b/>
          <w:sz w:val="22"/>
          <w:szCs w:val="22"/>
        </w:rPr>
        <w:t>some raw materials have been affected by limited supply volumes. Weak</w:t>
      </w:r>
      <w:r w:rsidRPr="00EE5F0F">
        <w:rPr>
          <w:rFonts w:ascii="Garamond" w:hAnsi="Garamond"/>
          <w:b/>
          <w:sz w:val="22"/>
          <w:szCs w:val="22"/>
        </w:rPr>
        <w:t xml:space="preserve"> inflation developments will still be </w:t>
      </w:r>
      <w:r w:rsidR="00240895" w:rsidRPr="00EE5F0F">
        <w:rPr>
          <w:rFonts w:ascii="Garamond" w:hAnsi="Garamond"/>
          <w:b/>
          <w:sz w:val="22"/>
          <w:szCs w:val="22"/>
        </w:rPr>
        <w:t xml:space="preserve">observable </w:t>
      </w:r>
      <w:r w:rsidRPr="00EE5F0F">
        <w:rPr>
          <w:rFonts w:ascii="Garamond" w:hAnsi="Garamond"/>
          <w:b/>
          <w:sz w:val="22"/>
          <w:szCs w:val="22"/>
        </w:rPr>
        <w:t xml:space="preserve">in food </w:t>
      </w:r>
      <w:r w:rsidR="00240895" w:rsidRPr="00EE5F0F">
        <w:rPr>
          <w:rFonts w:ascii="Garamond" w:hAnsi="Garamond"/>
          <w:b/>
          <w:sz w:val="22"/>
          <w:szCs w:val="22"/>
        </w:rPr>
        <w:t xml:space="preserve">product </w:t>
      </w:r>
      <w:r w:rsidRPr="00EE5F0F">
        <w:rPr>
          <w:rFonts w:ascii="Garamond" w:hAnsi="Garamond"/>
          <w:b/>
          <w:sz w:val="22"/>
          <w:szCs w:val="22"/>
        </w:rPr>
        <w:t>market</w:t>
      </w:r>
      <w:r w:rsidR="00240895" w:rsidRPr="00EE5F0F">
        <w:rPr>
          <w:rFonts w:ascii="Garamond" w:hAnsi="Garamond"/>
          <w:b/>
          <w:sz w:val="22"/>
          <w:szCs w:val="22"/>
        </w:rPr>
        <w:t>s</w:t>
      </w:r>
      <w:r w:rsidRPr="00EE5F0F">
        <w:rPr>
          <w:rFonts w:ascii="Garamond" w:hAnsi="Garamond"/>
          <w:b/>
          <w:sz w:val="22"/>
          <w:szCs w:val="22"/>
        </w:rPr>
        <w:t xml:space="preserve">. </w:t>
      </w:r>
    </w:p>
    <w:p w14:paraId="1B0DEBF3" w14:textId="77777777" w:rsidR="00EE619D" w:rsidRPr="00EE5F0F" w:rsidRDefault="00EE619D" w:rsidP="00EE619D">
      <w:pPr>
        <w:autoSpaceDE w:val="0"/>
        <w:autoSpaceDN w:val="0"/>
        <w:adjustRightInd w:val="0"/>
        <w:spacing w:after="120" w:line="360" w:lineRule="auto"/>
        <w:jc w:val="both"/>
        <w:rPr>
          <w:rFonts w:ascii="Garamond" w:hAnsi="Garamond"/>
          <w:sz w:val="22"/>
          <w:szCs w:val="22"/>
        </w:rPr>
      </w:pPr>
      <w:r w:rsidRPr="00EE5F0F">
        <w:rPr>
          <w:rFonts w:ascii="Garamond" w:hAnsi="Garamond"/>
          <w:b/>
          <w:sz w:val="22"/>
          <w:szCs w:val="22"/>
        </w:rPr>
        <w:t>Economic developments in the external sector:</w:t>
      </w:r>
      <w:r w:rsidRPr="00EE5F0F">
        <w:rPr>
          <w:rFonts w:ascii="Garamond" w:hAnsi="Garamond"/>
          <w:sz w:val="22"/>
          <w:szCs w:val="22"/>
        </w:rPr>
        <w:t xml:space="preserve"> According to preliminary estimates of the Bureau of Economic Analysis of the U.S. Department of Commerce, economic growth in the </w:t>
      </w:r>
      <w:r w:rsidRPr="00EE5F0F">
        <w:rPr>
          <w:rFonts w:ascii="Garamond" w:hAnsi="Garamond"/>
          <w:b/>
          <w:sz w:val="22"/>
          <w:szCs w:val="22"/>
        </w:rPr>
        <w:t>United States</w:t>
      </w:r>
      <w:r w:rsidRPr="00EE5F0F">
        <w:rPr>
          <w:rFonts w:ascii="Garamond" w:hAnsi="Garamond"/>
          <w:b/>
          <w:sz w:val="22"/>
          <w:szCs w:val="22"/>
          <w:lang w:val="hy-AM"/>
        </w:rPr>
        <w:t xml:space="preserve"> </w:t>
      </w:r>
      <w:r w:rsidR="00506EA5" w:rsidRPr="00EE5F0F">
        <w:rPr>
          <w:rFonts w:ascii="Garamond" w:hAnsi="Garamond"/>
          <w:sz w:val="22"/>
          <w:szCs w:val="22"/>
        </w:rPr>
        <w:t>in the f</w:t>
      </w:r>
      <w:r w:rsidR="00240895" w:rsidRPr="00EE5F0F">
        <w:rPr>
          <w:rFonts w:ascii="Garamond" w:hAnsi="Garamond"/>
          <w:sz w:val="22"/>
          <w:szCs w:val="22"/>
        </w:rPr>
        <w:t xml:space="preserve">irst </w:t>
      </w:r>
      <w:r w:rsidRPr="00EE5F0F">
        <w:rPr>
          <w:rFonts w:ascii="Garamond" w:hAnsi="Garamond"/>
          <w:sz w:val="22"/>
          <w:szCs w:val="22"/>
        </w:rPr>
        <w:t>quarter of 201</w:t>
      </w:r>
      <w:r w:rsidR="00240895" w:rsidRPr="00EE5F0F">
        <w:rPr>
          <w:rFonts w:ascii="Garamond" w:hAnsi="Garamond"/>
          <w:sz w:val="22"/>
          <w:szCs w:val="22"/>
        </w:rPr>
        <w:t>8</w:t>
      </w:r>
      <w:r w:rsidRPr="00EE5F0F">
        <w:rPr>
          <w:rFonts w:ascii="Garamond" w:hAnsi="Garamond"/>
          <w:sz w:val="22"/>
          <w:szCs w:val="22"/>
        </w:rPr>
        <w:t xml:space="preserve"> was 2.</w:t>
      </w:r>
      <w:r w:rsidR="00240895" w:rsidRPr="00EE5F0F">
        <w:rPr>
          <w:rFonts w:ascii="Garamond" w:hAnsi="Garamond"/>
          <w:sz w:val="22"/>
          <w:szCs w:val="22"/>
        </w:rPr>
        <w:t>9</w:t>
      </w:r>
      <w:r w:rsidRPr="00EE5F0F">
        <w:rPr>
          <w:rFonts w:ascii="Garamond" w:hAnsi="Garamond"/>
          <w:sz w:val="22"/>
          <w:szCs w:val="22"/>
        </w:rPr>
        <w:t>% y/y</w:t>
      </w:r>
      <w:r w:rsidR="00506EA5" w:rsidRPr="00EE5F0F">
        <w:rPr>
          <w:rFonts w:ascii="Garamond" w:hAnsi="Garamond"/>
          <w:sz w:val="22"/>
          <w:szCs w:val="22"/>
        </w:rPr>
        <w:t>, with</w:t>
      </w:r>
      <w:r w:rsidRPr="00EE5F0F">
        <w:rPr>
          <w:rFonts w:ascii="Garamond" w:hAnsi="Garamond"/>
          <w:sz w:val="22"/>
          <w:szCs w:val="22"/>
        </w:rPr>
        <w:t xml:space="preserve"> average economic growth projected at 2.</w:t>
      </w:r>
      <w:r w:rsidR="00240895" w:rsidRPr="00EE5F0F">
        <w:rPr>
          <w:rFonts w:ascii="Garamond" w:hAnsi="Garamond"/>
          <w:sz w:val="22"/>
          <w:szCs w:val="22"/>
        </w:rPr>
        <w:t>6</w:t>
      </w:r>
      <w:r w:rsidRPr="00EE5F0F">
        <w:rPr>
          <w:rFonts w:ascii="Garamond" w:hAnsi="Garamond"/>
          <w:sz w:val="22"/>
          <w:szCs w:val="22"/>
        </w:rPr>
        <w:t>% for 201</w:t>
      </w:r>
      <w:r w:rsidR="00240895" w:rsidRPr="00EE5F0F">
        <w:rPr>
          <w:rFonts w:ascii="Garamond" w:hAnsi="Garamond"/>
          <w:sz w:val="22"/>
          <w:szCs w:val="22"/>
        </w:rPr>
        <w:t xml:space="preserve">8 owing to robust external demand and anticipated </w:t>
      </w:r>
      <w:r w:rsidR="0055418A" w:rsidRPr="00EE5F0F">
        <w:rPr>
          <w:rFonts w:ascii="Garamond" w:hAnsi="Garamond"/>
          <w:sz w:val="22"/>
          <w:szCs w:val="22"/>
        </w:rPr>
        <w:t xml:space="preserve">effect from a change in the fiscal policy adopted later in 2017. </w:t>
      </w:r>
      <w:r w:rsidR="008D51E4" w:rsidRPr="00EE5F0F">
        <w:rPr>
          <w:rFonts w:ascii="Garamond" w:hAnsi="Garamond"/>
          <w:sz w:val="22"/>
          <w:szCs w:val="22"/>
        </w:rPr>
        <w:t>In the f</w:t>
      </w:r>
      <w:r w:rsidR="00951313" w:rsidRPr="00EE5F0F">
        <w:rPr>
          <w:rFonts w:ascii="Garamond" w:hAnsi="Garamond"/>
          <w:sz w:val="22"/>
          <w:szCs w:val="22"/>
        </w:rPr>
        <w:t xml:space="preserve">irst </w:t>
      </w:r>
      <w:r w:rsidR="008D51E4" w:rsidRPr="00EE5F0F">
        <w:rPr>
          <w:rFonts w:ascii="Garamond" w:hAnsi="Garamond"/>
          <w:sz w:val="22"/>
          <w:szCs w:val="22"/>
        </w:rPr>
        <w:t>quarter of 201</w:t>
      </w:r>
      <w:r w:rsidR="00951313" w:rsidRPr="00EE5F0F">
        <w:rPr>
          <w:rFonts w:ascii="Garamond" w:hAnsi="Garamond"/>
          <w:sz w:val="22"/>
          <w:szCs w:val="22"/>
        </w:rPr>
        <w:t>8</w:t>
      </w:r>
      <w:r w:rsidR="008D51E4" w:rsidRPr="00EE5F0F">
        <w:rPr>
          <w:rFonts w:ascii="Garamond" w:hAnsi="Garamond"/>
          <w:sz w:val="22"/>
          <w:szCs w:val="22"/>
        </w:rPr>
        <w:t xml:space="preserve"> the u</w:t>
      </w:r>
      <w:r w:rsidR="00506EA5" w:rsidRPr="00EE5F0F">
        <w:rPr>
          <w:rFonts w:ascii="Garamond" w:hAnsi="Garamond"/>
          <w:sz w:val="22"/>
          <w:szCs w:val="22"/>
        </w:rPr>
        <w:t xml:space="preserve">nemployment rate </w:t>
      </w:r>
      <w:r w:rsidR="00951313" w:rsidRPr="00EE5F0F">
        <w:rPr>
          <w:rFonts w:ascii="Garamond" w:hAnsi="Garamond"/>
          <w:sz w:val="22"/>
          <w:szCs w:val="22"/>
        </w:rPr>
        <w:t xml:space="preserve">persisted at a low level, </w:t>
      </w:r>
      <w:r w:rsidR="00506EA5" w:rsidRPr="00EE5F0F">
        <w:rPr>
          <w:rFonts w:ascii="Garamond" w:hAnsi="Garamond"/>
          <w:sz w:val="22"/>
          <w:szCs w:val="22"/>
        </w:rPr>
        <w:t>4.1%.</w:t>
      </w:r>
      <w:r w:rsidR="008D51E4" w:rsidRPr="00EE5F0F">
        <w:rPr>
          <w:rFonts w:ascii="Garamond" w:hAnsi="Garamond"/>
          <w:sz w:val="22"/>
          <w:szCs w:val="22"/>
        </w:rPr>
        <w:t xml:space="preserve"> </w:t>
      </w:r>
    </w:p>
    <w:p w14:paraId="00217869" w14:textId="77777777" w:rsidR="00EE619D" w:rsidRPr="00EE5F0F" w:rsidRDefault="00EE619D" w:rsidP="00EE619D">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According to preliminary estimates provided by the Eurostat, economic growth in the</w:t>
      </w:r>
      <w:r w:rsidRPr="00EE5F0F">
        <w:rPr>
          <w:rFonts w:ascii="Garamond" w:hAnsi="Garamond"/>
          <w:sz w:val="22"/>
          <w:szCs w:val="22"/>
          <w:lang w:val="hy-AM"/>
        </w:rPr>
        <w:t xml:space="preserve"> </w:t>
      </w:r>
      <w:r w:rsidRPr="00EE5F0F">
        <w:rPr>
          <w:rFonts w:ascii="Garamond" w:hAnsi="Garamond"/>
          <w:b/>
          <w:sz w:val="22"/>
          <w:szCs w:val="22"/>
        </w:rPr>
        <w:t>Eurozone</w:t>
      </w:r>
      <w:r w:rsidRPr="00EE5F0F">
        <w:rPr>
          <w:rFonts w:ascii="Garamond" w:hAnsi="Garamond"/>
          <w:b/>
          <w:sz w:val="22"/>
          <w:szCs w:val="22"/>
          <w:lang w:val="hy-AM"/>
        </w:rPr>
        <w:t xml:space="preserve"> </w:t>
      </w:r>
      <w:r w:rsidRPr="00EE5F0F">
        <w:rPr>
          <w:rFonts w:ascii="Garamond" w:hAnsi="Garamond"/>
          <w:sz w:val="22"/>
          <w:szCs w:val="22"/>
        </w:rPr>
        <w:t xml:space="preserve">in the </w:t>
      </w:r>
      <w:r w:rsidR="008F7E04" w:rsidRPr="00EE5F0F">
        <w:rPr>
          <w:rFonts w:ascii="Garamond" w:hAnsi="Garamond"/>
          <w:sz w:val="22"/>
          <w:szCs w:val="22"/>
        </w:rPr>
        <w:t>f</w:t>
      </w:r>
      <w:r w:rsidR="00525AE5" w:rsidRPr="00EE5F0F">
        <w:rPr>
          <w:rFonts w:ascii="Garamond" w:hAnsi="Garamond"/>
          <w:sz w:val="22"/>
          <w:szCs w:val="22"/>
        </w:rPr>
        <w:t>irst quarter of 2018</w:t>
      </w:r>
      <w:r w:rsidRPr="00EE5F0F">
        <w:rPr>
          <w:rFonts w:ascii="Garamond" w:hAnsi="Garamond"/>
          <w:sz w:val="22"/>
          <w:szCs w:val="22"/>
          <w:lang w:val="hy-AM"/>
        </w:rPr>
        <w:t xml:space="preserve"> </w:t>
      </w:r>
      <w:r w:rsidR="00C06522" w:rsidRPr="00EE5F0F">
        <w:rPr>
          <w:rFonts w:ascii="Garamond" w:hAnsi="Garamond"/>
          <w:sz w:val="22"/>
          <w:szCs w:val="22"/>
        </w:rPr>
        <w:t xml:space="preserve">amounted to </w:t>
      </w:r>
      <w:r w:rsidRPr="00EE5F0F">
        <w:rPr>
          <w:rFonts w:ascii="Garamond" w:hAnsi="Garamond"/>
          <w:sz w:val="22"/>
          <w:szCs w:val="22"/>
        </w:rPr>
        <w:t>2.</w:t>
      </w:r>
      <w:r w:rsidR="00525AE5" w:rsidRPr="00EE5F0F">
        <w:rPr>
          <w:rFonts w:ascii="Garamond" w:hAnsi="Garamond"/>
          <w:sz w:val="22"/>
          <w:szCs w:val="22"/>
        </w:rPr>
        <w:t>5</w:t>
      </w:r>
      <w:r w:rsidRPr="00EE5F0F">
        <w:rPr>
          <w:rFonts w:ascii="Garamond" w:hAnsi="Garamond"/>
          <w:sz w:val="22"/>
          <w:szCs w:val="22"/>
        </w:rPr>
        <w:t>% y/y</w:t>
      </w:r>
      <w:r w:rsidR="003B213B" w:rsidRPr="00EE5F0F">
        <w:rPr>
          <w:rFonts w:ascii="Garamond" w:hAnsi="Garamond"/>
          <w:sz w:val="22"/>
          <w:szCs w:val="22"/>
        </w:rPr>
        <w:t>;</w:t>
      </w:r>
      <w:r w:rsidR="00533644" w:rsidRPr="00EE5F0F">
        <w:rPr>
          <w:rFonts w:ascii="Garamond" w:hAnsi="Garamond"/>
          <w:sz w:val="22"/>
          <w:szCs w:val="22"/>
        </w:rPr>
        <w:t xml:space="preserve"> </w:t>
      </w:r>
      <w:r w:rsidR="00525AE5" w:rsidRPr="00EE5F0F">
        <w:rPr>
          <w:rFonts w:ascii="Garamond" w:hAnsi="Garamond"/>
          <w:sz w:val="22"/>
          <w:szCs w:val="22"/>
        </w:rPr>
        <w:t xml:space="preserve">that much is predicted </w:t>
      </w:r>
      <w:r w:rsidR="00533644" w:rsidRPr="00EE5F0F">
        <w:rPr>
          <w:rFonts w:ascii="Garamond" w:hAnsi="Garamond"/>
          <w:sz w:val="22"/>
          <w:szCs w:val="22"/>
        </w:rPr>
        <w:t xml:space="preserve">for the </w:t>
      </w:r>
      <w:r w:rsidR="00525AE5" w:rsidRPr="00EE5F0F">
        <w:rPr>
          <w:rFonts w:ascii="Garamond" w:hAnsi="Garamond"/>
          <w:sz w:val="22"/>
          <w:szCs w:val="22"/>
        </w:rPr>
        <w:t>entire year</w:t>
      </w:r>
      <w:r w:rsidR="00C06522" w:rsidRPr="00EE5F0F">
        <w:rPr>
          <w:rFonts w:ascii="Garamond" w:hAnsi="Garamond"/>
          <w:sz w:val="22"/>
          <w:szCs w:val="22"/>
        </w:rPr>
        <w:t xml:space="preserve">, </w:t>
      </w:r>
      <w:r w:rsidR="003B213B" w:rsidRPr="00EE5F0F">
        <w:rPr>
          <w:rFonts w:ascii="Garamond" w:hAnsi="Garamond"/>
          <w:sz w:val="22"/>
          <w:szCs w:val="22"/>
        </w:rPr>
        <w:t>which will be driven by high domestic demand, expansionary monetary policy, recovering global economy</w:t>
      </w:r>
      <w:r w:rsidR="00E9389F" w:rsidRPr="00EE5F0F">
        <w:rPr>
          <w:rFonts w:ascii="Garamond" w:hAnsi="Garamond"/>
          <w:sz w:val="22"/>
          <w:szCs w:val="22"/>
        </w:rPr>
        <w:t xml:space="preserve"> and </w:t>
      </w:r>
      <w:r w:rsidR="003B213B" w:rsidRPr="00EE5F0F">
        <w:rPr>
          <w:rFonts w:ascii="Garamond" w:hAnsi="Garamond"/>
          <w:sz w:val="22"/>
          <w:szCs w:val="22"/>
        </w:rPr>
        <w:t>favorable conditions in the labor market</w:t>
      </w:r>
      <w:r w:rsidR="00E9389F" w:rsidRPr="00EE5F0F">
        <w:rPr>
          <w:rFonts w:ascii="Garamond" w:hAnsi="Garamond"/>
          <w:sz w:val="22"/>
          <w:szCs w:val="22"/>
        </w:rPr>
        <w:t>,</w:t>
      </w:r>
      <w:r w:rsidR="003B213B" w:rsidRPr="00EE5F0F">
        <w:rPr>
          <w:rFonts w:ascii="Garamond" w:hAnsi="Garamond"/>
          <w:sz w:val="22"/>
          <w:szCs w:val="22"/>
        </w:rPr>
        <w:t xml:space="preserve"> where the unemployment rate </w:t>
      </w:r>
      <w:r w:rsidR="00E9389F" w:rsidRPr="00EE5F0F">
        <w:rPr>
          <w:rFonts w:ascii="Garamond" w:hAnsi="Garamond"/>
          <w:sz w:val="22"/>
          <w:szCs w:val="22"/>
        </w:rPr>
        <w:t xml:space="preserve">has </w:t>
      </w:r>
      <w:r w:rsidR="003B213B" w:rsidRPr="00EE5F0F">
        <w:rPr>
          <w:rFonts w:ascii="Garamond" w:hAnsi="Garamond"/>
          <w:sz w:val="22"/>
          <w:szCs w:val="22"/>
        </w:rPr>
        <w:t>further dropped to 8.5% in March of 2018.</w:t>
      </w:r>
      <w:r w:rsidR="00ED2E1C" w:rsidRPr="00EE5F0F">
        <w:rPr>
          <w:rFonts w:ascii="Garamond" w:hAnsi="Garamond"/>
          <w:sz w:val="22"/>
          <w:szCs w:val="22"/>
        </w:rPr>
        <w:t xml:space="preserve"> </w:t>
      </w:r>
    </w:p>
    <w:p w14:paraId="1F15114A" w14:textId="77777777" w:rsidR="00EE619D" w:rsidRPr="00EE5F0F" w:rsidRDefault="00EE619D" w:rsidP="00EE619D">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 xml:space="preserve">According to preliminary estimates </w:t>
      </w:r>
      <w:r w:rsidR="007B1049" w:rsidRPr="00EE5F0F">
        <w:rPr>
          <w:rFonts w:ascii="Garamond" w:hAnsi="Garamond"/>
          <w:sz w:val="22"/>
          <w:szCs w:val="22"/>
        </w:rPr>
        <w:t>provided by</w:t>
      </w:r>
      <w:r w:rsidRPr="00EE5F0F">
        <w:rPr>
          <w:rFonts w:ascii="Garamond" w:hAnsi="Garamond"/>
          <w:sz w:val="22"/>
          <w:szCs w:val="22"/>
        </w:rPr>
        <w:t xml:space="preserve"> State Statistics Service of the</w:t>
      </w:r>
      <w:r w:rsidRPr="00EE5F0F">
        <w:rPr>
          <w:rFonts w:ascii="Garamond" w:hAnsi="Garamond"/>
          <w:b/>
          <w:sz w:val="22"/>
          <w:szCs w:val="22"/>
        </w:rPr>
        <w:t xml:space="preserve"> Russian Federation</w:t>
      </w:r>
      <w:r w:rsidRPr="00EE5F0F">
        <w:rPr>
          <w:rFonts w:ascii="Garamond" w:hAnsi="Garamond"/>
          <w:sz w:val="22"/>
          <w:szCs w:val="22"/>
        </w:rPr>
        <w:t xml:space="preserve">, economic growth in the </w:t>
      </w:r>
      <w:r w:rsidR="007B1049" w:rsidRPr="00EE5F0F">
        <w:rPr>
          <w:rFonts w:ascii="Garamond" w:hAnsi="Garamond"/>
          <w:sz w:val="22"/>
          <w:szCs w:val="22"/>
        </w:rPr>
        <w:t>f</w:t>
      </w:r>
      <w:r w:rsidR="005776E9" w:rsidRPr="00EE5F0F">
        <w:rPr>
          <w:rFonts w:ascii="Garamond" w:hAnsi="Garamond"/>
          <w:sz w:val="22"/>
          <w:szCs w:val="22"/>
        </w:rPr>
        <w:t xml:space="preserve">irst </w:t>
      </w:r>
      <w:r w:rsidRPr="00EE5F0F">
        <w:rPr>
          <w:rFonts w:ascii="Garamond" w:hAnsi="Garamond"/>
          <w:sz w:val="22"/>
          <w:szCs w:val="22"/>
        </w:rPr>
        <w:t xml:space="preserve">quarter </w:t>
      </w:r>
      <w:r w:rsidR="005776E9" w:rsidRPr="00EE5F0F">
        <w:rPr>
          <w:rFonts w:ascii="Garamond" w:hAnsi="Garamond"/>
          <w:sz w:val="22"/>
          <w:szCs w:val="22"/>
        </w:rPr>
        <w:t xml:space="preserve">of 2018 </w:t>
      </w:r>
      <w:r w:rsidRPr="00EE5F0F">
        <w:rPr>
          <w:rFonts w:ascii="Garamond" w:hAnsi="Garamond"/>
          <w:sz w:val="22"/>
          <w:szCs w:val="22"/>
        </w:rPr>
        <w:t>was 1.</w:t>
      </w:r>
      <w:r w:rsidR="005776E9" w:rsidRPr="00EE5F0F">
        <w:rPr>
          <w:rFonts w:ascii="Garamond" w:hAnsi="Garamond"/>
          <w:sz w:val="22"/>
          <w:szCs w:val="22"/>
        </w:rPr>
        <w:t>3</w:t>
      </w:r>
      <w:r w:rsidRPr="00EE5F0F">
        <w:rPr>
          <w:rFonts w:ascii="Garamond" w:hAnsi="Garamond"/>
          <w:sz w:val="22"/>
          <w:szCs w:val="22"/>
        </w:rPr>
        <w:t>% y/y</w:t>
      </w:r>
      <w:r w:rsidR="005776E9" w:rsidRPr="00EE5F0F">
        <w:rPr>
          <w:rFonts w:ascii="Garamond" w:hAnsi="Garamond"/>
          <w:sz w:val="22"/>
          <w:szCs w:val="22"/>
        </w:rPr>
        <w:t xml:space="preserve"> against </w:t>
      </w:r>
      <w:r w:rsidR="007B1049" w:rsidRPr="00EE5F0F">
        <w:rPr>
          <w:rFonts w:ascii="Garamond" w:hAnsi="Garamond"/>
          <w:sz w:val="22"/>
          <w:szCs w:val="22"/>
        </w:rPr>
        <w:t xml:space="preserve">the previous quarter’s </w:t>
      </w:r>
      <w:r w:rsidR="00CE3BB4" w:rsidRPr="00EE5F0F">
        <w:rPr>
          <w:rFonts w:ascii="Garamond" w:hAnsi="Garamond"/>
          <w:sz w:val="22"/>
          <w:szCs w:val="22"/>
        </w:rPr>
        <w:t xml:space="preserve">respective indicator of </w:t>
      </w:r>
      <w:r w:rsidR="005776E9" w:rsidRPr="00EE5F0F">
        <w:rPr>
          <w:rFonts w:ascii="Garamond" w:hAnsi="Garamond"/>
          <w:sz w:val="22"/>
          <w:szCs w:val="22"/>
        </w:rPr>
        <w:t>0</w:t>
      </w:r>
      <w:r w:rsidR="00CE3BB4" w:rsidRPr="00EE5F0F">
        <w:rPr>
          <w:rFonts w:ascii="Garamond" w:hAnsi="Garamond"/>
          <w:sz w:val="22"/>
          <w:szCs w:val="22"/>
        </w:rPr>
        <w:t>.</w:t>
      </w:r>
      <w:r w:rsidR="005776E9" w:rsidRPr="00EE5F0F">
        <w:rPr>
          <w:rFonts w:ascii="Garamond" w:hAnsi="Garamond"/>
          <w:sz w:val="22"/>
          <w:szCs w:val="22"/>
        </w:rPr>
        <w:t>9</w:t>
      </w:r>
      <w:r w:rsidR="00CE3BB4" w:rsidRPr="00EE5F0F">
        <w:rPr>
          <w:rFonts w:ascii="Garamond" w:hAnsi="Garamond"/>
          <w:sz w:val="22"/>
          <w:szCs w:val="22"/>
        </w:rPr>
        <w:t>%</w:t>
      </w:r>
      <w:r w:rsidR="005776E9" w:rsidRPr="00EE5F0F">
        <w:rPr>
          <w:rFonts w:ascii="Garamond" w:hAnsi="Garamond"/>
          <w:sz w:val="22"/>
          <w:szCs w:val="22"/>
        </w:rPr>
        <w:t xml:space="preserve">. </w:t>
      </w:r>
      <w:r w:rsidR="00CE3BB4" w:rsidRPr="00EE5F0F">
        <w:rPr>
          <w:rFonts w:ascii="Garamond" w:hAnsi="Garamond"/>
          <w:sz w:val="22"/>
          <w:szCs w:val="22"/>
        </w:rPr>
        <w:t>The 2018 economic growth is forecast to reach 1.</w:t>
      </w:r>
      <w:r w:rsidR="005776E9" w:rsidRPr="00EE5F0F">
        <w:rPr>
          <w:rFonts w:ascii="Garamond" w:hAnsi="Garamond"/>
          <w:sz w:val="22"/>
          <w:szCs w:val="22"/>
        </w:rPr>
        <w:t>8</w:t>
      </w:r>
      <w:r w:rsidR="00CE3BB4" w:rsidRPr="00EE5F0F">
        <w:rPr>
          <w:rFonts w:ascii="Garamond" w:hAnsi="Garamond"/>
          <w:sz w:val="22"/>
          <w:szCs w:val="22"/>
        </w:rPr>
        <w:t xml:space="preserve">%, which will </w:t>
      </w:r>
      <w:r w:rsidR="009D03A7" w:rsidRPr="00EE5F0F">
        <w:rPr>
          <w:rFonts w:ascii="Garamond" w:hAnsi="Garamond"/>
          <w:sz w:val="22"/>
          <w:szCs w:val="22"/>
        </w:rPr>
        <w:t xml:space="preserve">further </w:t>
      </w:r>
      <w:r w:rsidR="00CE3BB4" w:rsidRPr="00EE5F0F">
        <w:rPr>
          <w:rFonts w:ascii="Garamond" w:hAnsi="Garamond"/>
          <w:sz w:val="22"/>
          <w:szCs w:val="22"/>
        </w:rPr>
        <w:t xml:space="preserve">be </w:t>
      </w:r>
      <w:r w:rsidR="009D03A7" w:rsidRPr="00EE5F0F">
        <w:rPr>
          <w:rFonts w:ascii="Garamond" w:hAnsi="Garamond"/>
          <w:sz w:val="22"/>
          <w:szCs w:val="22"/>
        </w:rPr>
        <w:t xml:space="preserve">driven </w:t>
      </w:r>
      <w:r w:rsidR="00CE3BB4" w:rsidRPr="00EE5F0F">
        <w:rPr>
          <w:rFonts w:ascii="Garamond" w:hAnsi="Garamond"/>
          <w:sz w:val="22"/>
          <w:szCs w:val="22"/>
        </w:rPr>
        <w:t xml:space="preserve">by </w:t>
      </w:r>
      <w:r w:rsidR="00397BFD" w:rsidRPr="00EE5F0F">
        <w:rPr>
          <w:rFonts w:ascii="Garamond" w:hAnsi="Garamond"/>
          <w:sz w:val="22"/>
          <w:szCs w:val="22"/>
        </w:rPr>
        <w:t xml:space="preserve">a growth of </w:t>
      </w:r>
      <w:r w:rsidR="00CE3BB4" w:rsidRPr="00EE5F0F">
        <w:rPr>
          <w:rFonts w:ascii="Garamond" w:hAnsi="Garamond"/>
          <w:sz w:val="22"/>
          <w:szCs w:val="22"/>
        </w:rPr>
        <w:t xml:space="preserve">domestic demand </w:t>
      </w:r>
      <w:r w:rsidR="005776E9" w:rsidRPr="00EE5F0F">
        <w:rPr>
          <w:rFonts w:ascii="Garamond" w:hAnsi="Garamond"/>
          <w:sz w:val="22"/>
          <w:szCs w:val="22"/>
        </w:rPr>
        <w:t xml:space="preserve">and </w:t>
      </w:r>
      <w:r w:rsidR="00397BFD" w:rsidRPr="00EE5F0F">
        <w:rPr>
          <w:rFonts w:ascii="Garamond" w:hAnsi="Garamond"/>
          <w:sz w:val="22"/>
          <w:szCs w:val="22"/>
        </w:rPr>
        <w:t xml:space="preserve">recovering </w:t>
      </w:r>
      <w:r w:rsidR="005776E9" w:rsidRPr="00EE5F0F">
        <w:rPr>
          <w:rFonts w:ascii="Garamond" w:hAnsi="Garamond"/>
          <w:sz w:val="22"/>
          <w:szCs w:val="22"/>
        </w:rPr>
        <w:t>investments.</w:t>
      </w:r>
      <w:r w:rsidR="009D03A7" w:rsidRPr="00EE5F0F">
        <w:rPr>
          <w:rFonts w:ascii="Garamond" w:hAnsi="Garamond"/>
          <w:sz w:val="22"/>
          <w:szCs w:val="22"/>
        </w:rPr>
        <w:t xml:space="preserve"> </w:t>
      </w:r>
      <w:r w:rsidR="004A2C47" w:rsidRPr="00EE5F0F">
        <w:rPr>
          <w:rFonts w:ascii="Garamond" w:hAnsi="Garamond"/>
          <w:sz w:val="22"/>
          <w:szCs w:val="22"/>
        </w:rPr>
        <w:t xml:space="preserve">With </w:t>
      </w:r>
      <w:r w:rsidR="009D03A7" w:rsidRPr="00EE5F0F">
        <w:rPr>
          <w:rFonts w:ascii="Garamond" w:hAnsi="Garamond"/>
          <w:sz w:val="22"/>
          <w:szCs w:val="22"/>
        </w:rPr>
        <w:t xml:space="preserve">such economic activity, </w:t>
      </w:r>
      <w:r w:rsidR="004A2C47" w:rsidRPr="00EE5F0F">
        <w:rPr>
          <w:rFonts w:ascii="Garamond" w:hAnsi="Garamond"/>
          <w:sz w:val="22"/>
          <w:szCs w:val="22"/>
        </w:rPr>
        <w:t xml:space="preserve">some </w:t>
      </w:r>
      <w:r w:rsidR="000B13F5" w:rsidRPr="00EE5F0F">
        <w:rPr>
          <w:rFonts w:ascii="Garamond" w:hAnsi="Garamond"/>
          <w:sz w:val="22"/>
          <w:szCs w:val="22"/>
        </w:rPr>
        <w:t xml:space="preserve">decline in the unemployment rate continued </w:t>
      </w:r>
      <w:r w:rsidR="004A2C47" w:rsidRPr="00EE5F0F">
        <w:rPr>
          <w:rFonts w:ascii="Garamond" w:hAnsi="Garamond"/>
          <w:sz w:val="22"/>
          <w:szCs w:val="22"/>
        </w:rPr>
        <w:t>over the first quarter of 2018</w:t>
      </w:r>
      <w:r w:rsidR="009D03A7" w:rsidRPr="00EE5F0F">
        <w:rPr>
          <w:rFonts w:ascii="Garamond" w:hAnsi="Garamond"/>
          <w:sz w:val="22"/>
          <w:szCs w:val="22"/>
        </w:rPr>
        <w:t>.</w:t>
      </w:r>
    </w:p>
    <w:p w14:paraId="0644FFC1" w14:textId="77777777" w:rsidR="003B4B24" w:rsidRPr="00EE5F0F" w:rsidRDefault="00EE619D" w:rsidP="00EE619D">
      <w:pPr>
        <w:autoSpaceDE w:val="0"/>
        <w:autoSpaceDN w:val="0"/>
        <w:adjustRightInd w:val="0"/>
        <w:spacing w:after="120" w:line="360" w:lineRule="auto"/>
        <w:jc w:val="both"/>
        <w:rPr>
          <w:rFonts w:ascii="Garamond" w:hAnsi="Garamond"/>
          <w:sz w:val="22"/>
          <w:szCs w:val="22"/>
        </w:rPr>
      </w:pPr>
      <w:r w:rsidRPr="00EE5F0F">
        <w:rPr>
          <w:rFonts w:ascii="Garamond" w:hAnsi="Garamond"/>
          <w:b/>
          <w:sz w:val="22"/>
          <w:szCs w:val="22"/>
        </w:rPr>
        <w:t>Price and financial developments in the external sector:</w:t>
      </w:r>
      <w:r w:rsidRPr="00EE5F0F">
        <w:rPr>
          <w:rFonts w:ascii="Garamond" w:hAnsi="Garamond"/>
          <w:sz w:val="22"/>
          <w:szCs w:val="22"/>
        </w:rPr>
        <w:t xml:space="preserve"> </w:t>
      </w:r>
      <w:r w:rsidR="003B4B24" w:rsidRPr="00EE5F0F">
        <w:rPr>
          <w:rFonts w:ascii="Garamond" w:hAnsi="Garamond"/>
          <w:sz w:val="22"/>
          <w:szCs w:val="22"/>
        </w:rPr>
        <w:t>In the f</w:t>
      </w:r>
      <w:r w:rsidR="007F5B7D" w:rsidRPr="00EE5F0F">
        <w:rPr>
          <w:rFonts w:ascii="Garamond" w:hAnsi="Garamond"/>
          <w:sz w:val="22"/>
          <w:szCs w:val="22"/>
        </w:rPr>
        <w:t xml:space="preserve">irst </w:t>
      </w:r>
      <w:r w:rsidR="003B4B24" w:rsidRPr="00EE5F0F">
        <w:rPr>
          <w:rFonts w:ascii="Garamond" w:hAnsi="Garamond"/>
          <w:sz w:val="22"/>
          <w:szCs w:val="22"/>
        </w:rPr>
        <w:t>quarter of 201</w:t>
      </w:r>
      <w:r w:rsidR="007F5B7D" w:rsidRPr="00EE5F0F">
        <w:rPr>
          <w:rFonts w:ascii="Garamond" w:hAnsi="Garamond"/>
          <w:sz w:val="22"/>
          <w:szCs w:val="22"/>
        </w:rPr>
        <w:t>8</w:t>
      </w:r>
      <w:r w:rsidR="003B4B24" w:rsidRPr="00EE5F0F">
        <w:rPr>
          <w:rFonts w:ascii="Garamond" w:hAnsi="Garamond"/>
          <w:sz w:val="22"/>
          <w:szCs w:val="22"/>
        </w:rPr>
        <w:t xml:space="preserve"> external factors unfolded mostly in line with the previous forecast, with the only exception of </w:t>
      </w:r>
      <w:r w:rsidR="007F5B7D" w:rsidRPr="00EE5F0F">
        <w:rPr>
          <w:rFonts w:ascii="Garamond" w:hAnsi="Garamond"/>
          <w:sz w:val="22"/>
          <w:szCs w:val="22"/>
        </w:rPr>
        <w:t xml:space="preserve">food </w:t>
      </w:r>
      <w:r w:rsidR="003B4B24" w:rsidRPr="00EE5F0F">
        <w:rPr>
          <w:rFonts w:ascii="Garamond" w:hAnsi="Garamond"/>
          <w:sz w:val="22"/>
          <w:szCs w:val="22"/>
        </w:rPr>
        <w:t>prices</w:t>
      </w:r>
      <w:r w:rsidR="007F5B7D" w:rsidRPr="00EE5F0F">
        <w:rPr>
          <w:rFonts w:ascii="Garamond" w:hAnsi="Garamond"/>
          <w:sz w:val="22"/>
          <w:szCs w:val="22"/>
        </w:rPr>
        <w:t xml:space="preserve">, </w:t>
      </w:r>
      <w:r w:rsidR="003B4B24" w:rsidRPr="00EE5F0F">
        <w:rPr>
          <w:rFonts w:ascii="Garamond" w:hAnsi="Garamond"/>
          <w:sz w:val="22"/>
          <w:szCs w:val="22"/>
        </w:rPr>
        <w:t xml:space="preserve">the current and projected levels </w:t>
      </w:r>
      <w:r w:rsidR="007F5B7D" w:rsidRPr="00EE5F0F">
        <w:rPr>
          <w:rFonts w:ascii="Garamond" w:hAnsi="Garamond"/>
          <w:sz w:val="22"/>
          <w:szCs w:val="22"/>
        </w:rPr>
        <w:t>of which are somewhat below the forecast</w:t>
      </w:r>
      <w:r w:rsidR="003B4B24" w:rsidRPr="00EE5F0F">
        <w:rPr>
          <w:rFonts w:ascii="Garamond" w:hAnsi="Garamond"/>
          <w:sz w:val="22"/>
          <w:szCs w:val="22"/>
        </w:rPr>
        <w:t xml:space="preserve">. </w:t>
      </w:r>
    </w:p>
    <w:p w14:paraId="201455FF" w14:textId="77777777" w:rsidR="00EE619D" w:rsidRPr="00EE5F0F" w:rsidRDefault="00EE619D" w:rsidP="00EE619D">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 xml:space="preserve">In the United States in the </w:t>
      </w:r>
      <w:r w:rsidR="003B4B24" w:rsidRPr="00EE5F0F">
        <w:rPr>
          <w:rFonts w:ascii="Garamond" w:hAnsi="Garamond"/>
          <w:sz w:val="22"/>
          <w:szCs w:val="22"/>
        </w:rPr>
        <w:t>f</w:t>
      </w:r>
      <w:r w:rsidR="009F2880" w:rsidRPr="00EE5F0F">
        <w:rPr>
          <w:rFonts w:ascii="Garamond" w:hAnsi="Garamond"/>
          <w:sz w:val="22"/>
          <w:szCs w:val="22"/>
        </w:rPr>
        <w:t xml:space="preserve">irst </w:t>
      </w:r>
      <w:r w:rsidRPr="00EE5F0F">
        <w:rPr>
          <w:rFonts w:ascii="Garamond" w:hAnsi="Garamond"/>
          <w:sz w:val="22"/>
          <w:szCs w:val="22"/>
        </w:rPr>
        <w:t>quarter of 201</w:t>
      </w:r>
      <w:r w:rsidR="009F2880" w:rsidRPr="00EE5F0F">
        <w:rPr>
          <w:rFonts w:ascii="Garamond" w:hAnsi="Garamond"/>
          <w:sz w:val="22"/>
          <w:szCs w:val="22"/>
        </w:rPr>
        <w:t>8</w:t>
      </w:r>
      <w:r w:rsidRPr="00EE5F0F">
        <w:rPr>
          <w:rFonts w:ascii="Garamond" w:hAnsi="Garamond"/>
          <w:sz w:val="22"/>
          <w:szCs w:val="22"/>
        </w:rPr>
        <w:t xml:space="preserve">, compared to the previous quarter, the average quarterly inflation </w:t>
      </w:r>
      <w:r w:rsidR="009F2880" w:rsidRPr="00EE5F0F">
        <w:rPr>
          <w:rFonts w:ascii="Garamond" w:hAnsi="Garamond"/>
          <w:sz w:val="22"/>
          <w:szCs w:val="22"/>
        </w:rPr>
        <w:t xml:space="preserve">kept on </w:t>
      </w:r>
      <w:r w:rsidR="003B4B24" w:rsidRPr="00EE5F0F">
        <w:rPr>
          <w:rFonts w:ascii="Garamond" w:hAnsi="Garamond"/>
          <w:sz w:val="22"/>
          <w:szCs w:val="22"/>
        </w:rPr>
        <w:t>accelerat</w:t>
      </w:r>
      <w:r w:rsidR="009F2880" w:rsidRPr="00EE5F0F">
        <w:rPr>
          <w:rFonts w:ascii="Garamond" w:hAnsi="Garamond"/>
          <w:sz w:val="22"/>
          <w:szCs w:val="22"/>
        </w:rPr>
        <w:t>ing: it amounted to</w:t>
      </w:r>
      <w:r w:rsidRPr="00EE5F0F">
        <w:rPr>
          <w:rFonts w:ascii="Garamond" w:hAnsi="Garamond"/>
          <w:sz w:val="22"/>
          <w:szCs w:val="22"/>
        </w:rPr>
        <w:t xml:space="preserve"> </w:t>
      </w:r>
      <w:r w:rsidR="003B4B24" w:rsidRPr="00EE5F0F">
        <w:rPr>
          <w:rFonts w:ascii="Garamond" w:hAnsi="Garamond"/>
          <w:sz w:val="22"/>
          <w:szCs w:val="22"/>
        </w:rPr>
        <w:t>2</w:t>
      </w:r>
      <w:r w:rsidRPr="00EE5F0F">
        <w:rPr>
          <w:rFonts w:ascii="Garamond" w:hAnsi="Garamond"/>
          <w:sz w:val="22"/>
          <w:szCs w:val="22"/>
        </w:rPr>
        <w:t>.</w:t>
      </w:r>
      <w:r w:rsidR="009F2880" w:rsidRPr="00EE5F0F">
        <w:rPr>
          <w:rFonts w:ascii="Garamond" w:hAnsi="Garamond"/>
          <w:sz w:val="22"/>
          <w:szCs w:val="22"/>
        </w:rPr>
        <w:t>2</w:t>
      </w:r>
      <w:r w:rsidRPr="00EE5F0F">
        <w:rPr>
          <w:rFonts w:ascii="Garamond" w:hAnsi="Garamond"/>
          <w:sz w:val="22"/>
          <w:szCs w:val="22"/>
        </w:rPr>
        <w:t>%</w:t>
      </w:r>
      <w:r w:rsidR="005A6FF7" w:rsidRPr="00EE5F0F">
        <w:rPr>
          <w:rFonts w:ascii="Garamond" w:hAnsi="Garamond"/>
          <w:sz w:val="22"/>
          <w:szCs w:val="22"/>
        </w:rPr>
        <w:t xml:space="preserve">, </w:t>
      </w:r>
      <w:r w:rsidR="009F2880" w:rsidRPr="00EE5F0F">
        <w:rPr>
          <w:rFonts w:ascii="Garamond" w:hAnsi="Garamond"/>
          <w:sz w:val="22"/>
          <w:szCs w:val="22"/>
        </w:rPr>
        <w:t xml:space="preserve">running </w:t>
      </w:r>
      <w:r w:rsidR="005A6FF7" w:rsidRPr="00EE5F0F">
        <w:rPr>
          <w:rFonts w:ascii="Garamond" w:hAnsi="Garamond"/>
          <w:sz w:val="22"/>
          <w:szCs w:val="22"/>
        </w:rPr>
        <w:t xml:space="preserve">slightly above </w:t>
      </w:r>
      <w:r w:rsidRPr="00EE5F0F">
        <w:rPr>
          <w:rFonts w:ascii="Garamond" w:hAnsi="Garamond"/>
          <w:sz w:val="22"/>
          <w:szCs w:val="22"/>
        </w:rPr>
        <w:t xml:space="preserve">its long-term target. </w:t>
      </w:r>
      <w:r w:rsidR="00801BFF" w:rsidRPr="00EE5F0F">
        <w:rPr>
          <w:rFonts w:ascii="Garamond" w:hAnsi="Garamond"/>
          <w:sz w:val="22"/>
          <w:szCs w:val="22"/>
        </w:rPr>
        <w:t xml:space="preserve">In view of </w:t>
      </w:r>
      <w:r w:rsidR="00801BFF" w:rsidRPr="00EE5F0F">
        <w:rPr>
          <w:rFonts w:ascii="Garamond" w:hAnsi="Garamond"/>
          <w:sz w:val="22"/>
          <w:szCs w:val="22"/>
        </w:rPr>
        <w:lastRenderedPageBreak/>
        <w:t xml:space="preserve">such </w:t>
      </w:r>
      <w:r w:rsidRPr="00EE5F0F">
        <w:rPr>
          <w:rFonts w:ascii="Garamond" w:hAnsi="Garamond"/>
          <w:sz w:val="22"/>
          <w:szCs w:val="22"/>
        </w:rPr>
        <w:t>econom</w:t>
      </w:r>
      <w:r w:rsidR="00801BFF" w:rsidRPr="00EE5F0F">
        <w:rPr>
          <w:rFonts w:ascii="Garamond" w:hAnsi="Garamond"/>
          <w:sz w:val="22"/>
          <w:szCs w:val="22"/>
        </w:rPr>
        <w:t>ic</w:t>
      </w:r>
      <w:r w:rsidRPr="00EE5F0F">
        <w:rPr>
          <w:rFonts w:ascii="Garamond" w:hAnsi="Garamond"/>
          <w:sz w:val="22"/>
          <w:szCs w:val="22"/>
        </w:rPr>
        <w:t xml:space="preserve"> and price</w:t>
      </w:r>
      <w:r w:rsidR="00801BFF" w:rsidRPr="00EE5F0F">
        <w:rPr>
          <w:rFonts w:ascii="Garamond" w:hAnsi="Garamond"/>
          <w:sz w:val="22"/>
          <w:szCs w:val="22"/>
        </w:rPr>
        <w:t xml:space="preserve"> development</w:t>
      </w:r>
      <w:r w:rsidRPr="00EE5F0F">
        <w:rPr>
          <w:rFonts w:ascii="Garamond" w:hAnsi="Garamond"/>
          <w:sz w:val="22"/>
          <w:szCs w:val="22"/>
        </w:rPr>
        <w:t>s</w:t>
      </w:r>
      <w:r w:rsidR="00801BFF" w:rsidRPr="00EE5F0F">
        <w:rPr>
          <w:rFonts w:ascii="Garamond" w:hAnsi="Garamond"/>
          <w:sz w:val="22"/>
          <w:szCs w:val="22"/>
        </w:rPr>
        <w:t>,</w:t>
      </w:r>
      <w:r w:rsidRPr="00EE5F0F">
        <w:rPr>
          <w:rFonts w:ascii="Garamond" w:hAnsi="Garamond"/>
          <w:sz w:val="22"/>
          <w:szCs w:val="22"/>
        </w:rPr>
        <w:t xml:space="preserve"> </w:t>
      </w:r>
      <w:r w:rsidR="009652E7" w:rsidRPr="00EE5F0F">
        <w:rPr>
          <w:rFonts w:ascii="Garamond" w:hAnsi="Garamond"/>
          <w:sz w:val="22"/>
          <w:szCs w:val="22"/>
        </w:rPr>
        <w:t xml:space="preserve">in the first quarter </w:t>
      </w:r>
      <w:r w:rsidRPr="00EE5F0F">
        <w:rPr>
          <w:rFonts w:ascii="Garamond" w:hAnsi="Garamond"/>
          <w:sz w:val="22"/>
          <w:szCs w:val="22"/>
        </w:rPr>
        <w:t xml:space="preserve">the US Federal Reserve System </w:t>
      </w:r>
      <w:r w:rsidR="009F2880" w:rsidRPr="00EE5F0F">
        <w:rPr>
          <w:rFonts w:ascii="Garamond" w:hAnsi="Garamond"/>
          <w:sz w:val="22"/>
          <w:szCs w:val="22"/>
        </w:rPr>
        <w:t xml:space="preserve">adjusted </w:t>
      </w:r>
      <w:r w:rsidR="00801BFF" w:rsidRPr="00EE5F0F">
        <w:rPr>
          <w:rFonts w:ascii="Garamond" w:hAnsi="Garamond"/>
          <w:sz w:val="22"/>
          <w:szCs w:val="22"/>
        </w:rPr>
        <w:t>the</w:t>
      </w:r>
      <w:r w:rsidRPr="00EE5F0F">
        <w:rPr>
          <w:rFonts w:ascii="Garamond" w:hAnsi="Garamond"/>
          <w:sz w:val="22"/>
          <w:szCs w:val="22"/>
        </w:rPr>
        <w:t xml:space="preserve"> policy rate </w:t>
      </w:r>
      <w:r w:rsidR="009F2880" w:rsidRPr="00EE5F0F">
        <w:rPr>
          <w:rFonts w:ascii="Garamond" w:hAnsi="Garamond"/>
          <w:sz w:val="22"/>
          <w:szCs w:val="22"/>
        </w:rPr>
        <w:t>upside</w:t>
      </w:r>
      <w:r w:rsidR="009652E7" w:rsidRPr="00EE5F0F">
        <w:rPr>
          <w:rFonts w:ascii="Garamond" w:hAnsi="Garamond"/>
          <w:sz w:val="22"/>
          <w:szCs w:val="22"/>
        </w:rPr>
        <w:t>,</w:t>
      </w:r>
      <w:r w:rsidR="009F2880" w:rsidRPr="00EE5F0F">
        <w:rPr>
          <w:rFonts w:ascii="Garamond" w:hAnsi="Garamond"/>
          <w:sz w:val="22"/>
          <w:szCs w:val="22"/>
        </w:rPr>
        <w:t xml:space="preserve"> </w:t>
      </w:r>
      <w:r w:rsidR="009652E7" w:rsidRPr="00EE5F0F">
        <w:rPr>
          <w:rFonts w:ascii="Garamond" w:hAnsi="Garamond"/>
          <w:sz w:val="22"/>
          <w:szCs w:val="22"/>
        </w:rPr>
        <w:t xml:space="preserve">as was expected, </w:t>
      </w:r>
      <w:r w:rsidR="00801BFF" w:rsidRPr="00EE5F0F">
        <w:rPr>
          <w:rFonts w:ascii="Garamond" w:hAnsi="Garamond"/>
          <w:sz w:val="22"/>
          <w:szCs w:val="22"/>
        </w:rPr>
        <w:t xml:space="preserve">by 0.25 pp, </w:t>
      </w:r>
      <w:r w:rsidR="009652E7" w:rsidRPr="00EE5F0F">
        <w:rPr>
          <w:rFonts w:ascii="Garamond" w:hAnsi="Garamond"/>
          <w:sz w:val="22"/>
          <w:szCs w:val="22"/>
        </w:rPr>
        <w:t xml:space="preserve">setting it in </w:t>
      </w:r>
      <w:r w:rsidR="00B93B04" w:rsidRPr="00EE5F0F">
        <w:rPr>
          <w:rFonts w:ascii="Garamond" w:hAnsi="Garamond"/>
          <w:sz w:val="22"/>
          <w:szCs w:val="22"/>
        </w:rPr>
        <w:t xml:space="preserve">the range of </w:t>
      </w:r>
      <w:r w:rsidR="009652E7" w:rsidRPr="00EE5F0F">
        <w:rPr>
          <w:rFonts w:ascii="Garamond" w:hAnsi="Garamond"/>
          <w:sz w:val="22"/>
          <w:szCs w:val="22"/>
        </w:rPr>
        <w:t>1.5</w:t>
      </w:r>
      <w:r w:rsidR="00B93B04" w:rsidRPr="00EE5F0F">
        <w:rPr>
          <w:rFonts w:ascii="Garamond" w:hAnsi="Garamond"/>
          <w:sz w:val="22"/>
          <w:szCs w:val="22"/>
        </w:rPr>
        <w:t xml:space="preserve"> to 1.</w:t>
      </w:r>
      <w:r w:rsidR="009652E7" w:rsidRPr="00EE5F0F">
        <w:rPr>
          <w:rFonts w:ascii="Garamond" w:hAnsi="Garamond"/>
          <w:sz w:val="22"/>
          <w:szCs w:val="22"/>
        </w:rPr>
        <w:t>75%</w:t>
      </w:r>
      <w:r w:rsidR="00801BFF" w:rsidRPr="00EE5F0F">
        <w:rPr>
          <w:rFonts w:ascii="Garamond" w:hAnsi="Garamond"/>
          <w:sz w:val="22"/>
          <w:szCs w:val="22"/>
        </w:rPr>
        <w:t>.</w:t>
      </w:r>
      <w:r w:rsidRPr="00EE5F0F">
        <w:rPr>
          <w:rFonts w:ascii="Garamond" w:hAnsi="Garamond"/>
          <w:sz w:val="22"/>
          <w:szCs w:val="22"/>
        </w:rPr>
        <w:t xml:space="preserve"> </w:t>
      </w:r>
      <w:r w:rsidR="009F1154" w:rsidRPr="00EE5F0F">
        <w:rPr>
          <w:rFonts w:ascii="Garamond" w:hAnsi="Garamond"/>
          <w:sz w:val="22"/>
          <w:szCs w:val="22"/>
        </w:rPr>
        <w:t>Predictions suggest that t</w:t>
      </w:r>
      <w:r w:rsidR="00801BFF" w:rsidRPr="00EE5F0F">
        <w:rPr>
          <w:rFonts w:ascii="Garamond" w:hAnsi="Garamond"/>
          <w:sz w:val="22"/>
          <w:szCs w:val="22"/>
        </w:rPr>
        <w:t>he US inflation</w:t>
      </w:r>
      <w:r w:rsidR="009F1154" w:rsidRPr="00EE5F0F">
        <w:rPr>
          <w:rFonts w:ascii="Garamond" w:hAnsi="Garamond"/>
          <w:sz w:val="22"/>
          <w:szCs w:val="22"/>
        </w:rPr>
        <w:t xml:space="preserve"> in 2018 </w:t>
      </w:r>
      <w:r w:rsidR="0024318B" w:rsidRPr="00EE5F0F">
        <w:rPr>
          <w:rFonts w:ascii="Garamond" w:hAnsi="Garamond"/>
          <w:sz w:val="22"/>
          <w:szCs w:val="22"/>
        </w:rPr>
        <w:t xml:space="preserve">will </w:t>
      </w:r>
      <w:r w:rsidR="009F1154" w:rsidRPr="00EE5F0F">
        <w:rPr>
          <w:rFonts w:ascii="Garamond" w:hAnsi="Garamond"/>
          <w:sz w:val="22"/>
          <w:szCs w:val="22"/>
        </w:rPr>
        <w:t xml:space="preserve">run slightly above </w:t>
      </w:r>
      <w:r w:rsidR="0024318B" w:rsidRPr="00EE5F0F">
        <w:rPr>
          <w:rFonts w:ascii="Garamond" w:hAnsi="Garamond"/>
          <w:sz w:val="22"/>
          <w:szCs w:val="22"/>
        </w:rPr>
        <w:t xml:space="preserve">its target, in which case, taking into account </w:t>
      </w:r>
      <w:r w:rsidR="00801BFF" w:rsidRPr="00EE5F0F">
        <w:rPr>
          <w:rFonts w:ascii="Garamond" w:hAnsi="Garamond"/>
          <w:sz w:val="22"/>
          <w:szCs w:val="22"/>
        </w:rPr>
        <w:t>the economic developments described above</w:t>
      </w:r>
      <w:r w:rsidR="0024318B" w:rsidRPr="00EE5F0F">
        <w:rPr>
          <w:rFonts w:ascii="Garamond" w:hAnsi="Garamond"/>
          <w:sz w:val="22"/>
          <w:szCs w:val="22"/>
        </w:rPr>
        <w:t>,</w:t>
      </w:r>
      <w:r w:rsidR="00801BFF" w:rsidRPr="00EE5F0F">
        <w:rPr>
          <w:rFonts w:ascii="Garamond" w:hAnsi="Garamond"/>
          <w:sz w:val="22"/>
          <w:szCs w:val="22"/>
        </w:rPr>
        <w:t xml:space="preserve"> </w:t>
      </w:r>
      <w:r w:rsidR="0024318B" w:rsidRPr="00EE5F0F">
        <w:rPr>
          <w:rFonts w:ascii="Garamond" w:hAnsi="Garamond"/>
          <w:sz w:val="22"/>
          <w:szCs w:val="22"/>
        </w:rPr>
        <w:t>the FRS will further pursue a gradually tightening monetary policy.</w:t>
      </w:r>
      <w:r w:rsidR="000C26AF" w:rsidRPr="00EE5F0F">
        <w:rPr>
          <w:rFonts w:ascii="Garamond" w:hAnsi="Garamond"/>
          <w:sz w:val="22"/>
          <w:szCs w:val="22"/>
        </w:rPr>
        <w:t xml:space="preserve"> Note that the risk to capital outflows from emerging economies and subsequent volatilities in the financial markets will persist in the event </w:t>
      </w:r>
      <w:r w:rsidR="00566D4F">
        <w:rPr>
          <w:rFonts w:ascii="Garamond" w:hAnsi="Garamond"/>
          <w:sz w:val="22"/>
          <w:szCs w:val="22"/>
        </w:rPr>
        <w:t xml:space="preserve">the </w:t>
      </w:r>
      <w:r w:rsidR="000C26AF" w:rsidRPr="00EE5F0F">
        <w:rPr>
          <w:rFonts w:ascii="Garamond" w:hAnsi="Garamond"/>
          <w:sz w:val="22"/>
          <w:szCs w:val="22"/>
        </w:rPr>
        <w:t xml:space="preserve">long-term interest rates of US Treasury bonds </w:t>
      </w:r>
      <w:r w:rsidR="00566D4F">
        <w:rPr>
          <w:rFonts w:ascii="Garamond" w:hAnsi="Garamond"/>
          <w:sz w:val="22"/>
          <w:szCs w:val="22"/>
        </w:rPr>
        <w:t>rise in the market</w:t>
      </w:r>
      <w:r w:rsidR="000C26AF" w:rsidRPr="00EE5F0F">
        <w:rPr>
          <w:rFonts w:ascii="Garamond" w:hAnsi="Garamond"/>
          <w:sz w:val="22"/>
          <w:szCs w:val="22"/>
        </w:rPr>
        <w:t>.</w:t>
      </w:r>
      <w:r w:rsidR="007877D5" w:rsidRPr="00EE5F0F">
        <w:rPr>
          <w:rFonts w:ascii="Garamond" w:hAnsi="Garamond"/>
          <w:sz w:val="22"/>
          <w:szCs w:val="22"/>
          <w:highlight w:val="yellow"/>
        </w:rPr>
        <w:t xml:space="preserve"> </w:t>
      </w:r>
    </w:p>
    <w:p w14:paraId="4733EB08" w14:textId="77777777" w:rsidR="00EE619D" w:rsidRPr="00EE5F0F" w:rsidRDefault="000F59C5" w:rsidP="00EE619D">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In the first quarter of 2018</w:t>
      </w:r>
      <w:r w:rsidR="00566D4F">
        <w:rPr>
          <w:rFonts w:ascii="Garamond" w:hAnsi="Garamond"/>
          <w:sz w:val="22"/>
          <w:szCs w:val="22"/>
        </w:rPr>
        <w:t>,</w:t>
      </w:r>
      <w:r w:rsidRPr="00EE5F0F">
        <w:rPr>
          <w:rFonts w:ascii="Garamond" w:hAnsi="Garamond"/>
          <w:sz w:val="22"/>
          <w:szCs w:val="22"/>
        </w:rPr>
        <w:t xml:space="preserve"> t</w:t>
      </w:r>
      <w:r w:rsidR="00671CE7" w:rsidRPr="00EE5F0F">
        <w:rPr>
          <w:rFonts w:ascii="Garamond" w:hAnsi="Garamond"/>
          <w:sz w:val="22"/>
          <w:szCs w:val="22"/>
        </w:rPr>
        <w:t xml:space="preserve">he average quarterly inflation in the Eurozone somehow slowed down </w:t>
      </w:r>
      <w:r w:rsidRPr="00EE5F0F">
        <w:rPr>
          <w:rFonts w:ascii="Garamond" w:hAnsi="Garamond"/>
          <w:sz w:val="22"/>
          <w:szCs w:val="22"/>
        </w:rPr>
        <w:t>to</w:t>
      </w:r>
      <w:r w:rsidR="007877D5" w:rsidRPr="00EE5F0F">
        <w:rPr>
          <w:rFonts w:ascii="Garamond" w:hAnsi="Garamond"/>
          <w:sz w:val="22"/>
          <w:szCs w:val="22"/>
        </w:rPr>
        <w:t xml:space="preserve"> 1.</w:t>
      </w:r>
      <w:r w:rsidRPr="00EE5F0F">
        <w:rPr>
          <w:rFonts w:ascii="Garamond" w:hAnsi="Garamond"/>
          <w:sz w:val="22"/>
          <w:szCs w:val="22"/>
        </w:rPr>
        <w:t>3</w:t>
      </w:r>
      <w:r w:rsidR="00EE619D" w:rsidRPr="00EE5F0F">
        <w:rPr>
          <w:rFonts w:ascii="Garamond" w:hAnsi="Garamond"/>
          <w:sz w:val="22"/>
          <w:szCs w:val="22"/>
        </w:rPr>
        <w:t xml:space="preserve">%, still running below its target. It is expected to reach its target only in the medium run. </w:t>
      </w:r>
      <w:r w:rsidRPr="00EE5F0F">
        <w:rPr>
          <w:rFonts w:ascii="Garamond" w:hAnsi="Garamond"/>
          <w:sz w:val="22"/>
          <w:szCs w:val="22"/>
        </w:rPr>
        <w:t xml:space="preserve">Under such economic conditions, </w:t>
      </w:r>
      <w:r w:rsidR="00EE619D" w:rsidRPr="00EE5F0F">
        <w:rPr>
          <w:rFonts w:ascii="Garamond" w:hAnsi="Garamond"/>
          <w:sz w:val="22"/>
          <w:szCs w:val="22"/>
        </w:rPr>
        <w:t xml:space="preserve">the European Central Bank will </w:t>
      </w:r>
      <w:r w:rsidR="00710622" w:rsidRPr="00EE5F0F">
        <w:rPr>
          <w:rFonts w:ascii="Garamond" w:hAnsi="Garamond"/>
          <w:sz w:val="22"/>
          <w:szCs w:val="22"/>
        </w:rPr>
        <w:t>further</w:t>
      </w:r>
      <w:r w:rsidR="00EE619D" w:rsidRPr="00EE5F0F">
        <w:rPr>
          <w:rFonts w:ascii="Garamond" w:hAnsi="Garamond"/>
          <w:sz w:val="22"/>
          <w:szCs w:val="22"/>
        </w:rPr>
        <w:t xml:space="preserve"> </w:t>
      </w:r>
      <w:r w:rsidR="00710622" w:rsidRPr="00EE5F0F">
        <w:rPr>
          <w:rFonts w:ascii="Garamond" w:hAnsi="Garamond"/>
          <w:sz w:val="22"/>
          <w:szCs w:val="22"/>
        </w:rPr>
        <w:t>conduct</w:t>
      </w:r>
      <w:r w:rsidR="00EE619D" w:rsidRPr="00EE5F0F">
        <w:rPr>
          <w:rFonts w:ascii="Garamond" w:hAnsi="Garamond"/>
          <w:sz w:val="22"/>
          <w:szCs w:val="22"/>
        </w:rPr>
        <w:t xml:space="preserve"> a low interest rate policy, while the asset purchases program </w:t>
      </w:r>
      <w:r w:rsidRPr="00EE5F0F">
        <w:rPr>
          <w:rFonts w:ascii="Garamond" w:hAnsi="Garamond"/>
          <w:sz w:val="22"/>
          <w:szCs w:val="22"/>
        </w:rPr>
        <w:t xml:space="preserve">on a EUR 30 billion-a-month scale </w:t>
      </w:r>
      <w:r w:rsidR="00EE619D" w:rsidRPr="00EE5F0F">
        <w:rPr>
          <w:rFonts w:ascii="Garamond" w:hAnsi="Garamond"/>
          <w:sz w:val="22"/>
          <w:szCs w:val="22"/>
        </w:rPr>
        <w:t>will c</w:t>
      </w:r>
      <w:r w:rsidR="00710622" w:rsidRPr="00EE5F0F">
        <w:rPr>
          <w:rFonts w:ascii="Garamond" w:hAnsi="Garamond"/>
          <w:sz w:val="22"/>
          <w:szCs w:val="22"/>
        </w:rPr>
        <w:t>ontinue up until the end of 2018</w:t>
      </w:r>
      <w:r w:rsidR="00EE619D" w:rsidRPr="00EE5F0F">
        <w:rPr>
          <w:rFonts w:ascii="Garamond" w:hAnsi="Garamond"/>
          <w:sz w:val="22"/>
          <w:szCs w:val="22"/>
        </w:rPr>
        <w:t>.</w:t>
      </w:r>
    </w:p>
    <w:p w14:paraId="2DCC721E" w14:textId="77777777" w:rsidR="00EE619D" w:rsidRPr="00EE5F0F" w:rsidRDefault="00EE619D" w:rsidP="00EE619D">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 xml:space="preserve">The average quarterly inflation in the </w:t>
      </w:r>
      <w:r w:rsidRPr="00EE5F0F">
        <w:rPr>
          <w:rFonts w:ascii="Garamond" w:hAnsi="Garamond"/>
          <w:b/>
          <w:sz w:val="22"/>
          <w:szCs w:val="22"/>
        </w:rPr>
        <w:t>Russian Federation</w:t>
      </w:r>
      <w:r w:rsidR="001B7F81" w:rsidRPr="00EE5F0F">
        <w:rPr>
          <w:rFonts w:ascii="Garamond" w:hAnsi="Garamond"/>
          <w:sz w:val="22"/>
          <w:szCs w:val="22"/>
        </w:rPr>
        <w:t xml:space="preserve"> continued </w:t>
      </w:r>
      <w:r w:rsidR="00241C68" w:rsidRPr="00EE5F0F">
        <w:rPr>
          <w:rFonts w:ascii="Garamond" w:hAnsi="Garamond"/>
          <w:sz w:val="22"/>
          <w:szCs w:val="22"/>
        </w:rPr>
        <w:t>a path to decline</w:t>
      </w:r>
      <w:r w:rsidR="001B7F81" w:rsidRPr="00EE5F0F">
        <w:rPr>
          <w:rFonts w:ascii="Garamond" w:hAnsi="Garamond"/>
          <w:sz w:val="22"/>
          <w:szCs w:val="22"/>
        </w:rPr>
        <w:t xml:space="preserve">: </w:t>
      </w:r>
      <w:r w:rsidRPr="00EE5F0F">
        <w:rPr>
          <w:rFonts w:ascii="Garamond" w:hAnsi="Garamond"/>
          <w:sz w:val="22"/>
          <w:szCs w:val="22"/>
        </w:rPr>
        <w:t xml:space="preserve">in the </w:t>
      </w:r>
      <w:r w:rsidR="001B7F81" w:rsidRPr="00EE5F0F">
        <w:rPr>
          <w:rFonts w:ascii="Garamond" w:hAnsi="Garamond"/>
          <w:sz w:val="22"/>
          <w:szCs w:val="22"/>
        </w:rPr>
        <w:t>f</w:t>
      </w:r>
      <w:r w:rsidR="00241C68" w:rsidRPr="00EE5F0F">
        <w:rPr>
          <w:rFonts w:ascii="Garamond" w:hAnsi="Garamond"/>
          <w:sz w:val="22"/>
          <w:szCs w:val="22"/>
        </w:rPr>
        <w:t>irst</w:t>
      </w:r>
      <w:r w:rsidRPr="00EE5F0F">
        <w:rPr>
          <w:rFonts w:ascii="Garamond" w:hAnsi="Garamond"/>
          <w:sz w:val="22"/>
          <w:szCs w:val="22"/>
        </w:rPr>
        <w:t xml:space="preserve"> quarter of 201</w:t>
      </w:r>
      <w:r w:rsidR="00241C68" w:rsidRPr="00EE5F0F">
        <w:rPr>
          <w:rFonts w:ascii="Garamond" w:hAnsi="Garamond"/>
          <w:sz w:val="22"/>
          <w:szCs w:val="22"/>
        </w:rPr>
        <w:t>8</w:t>
      </w:r>
      <w:r w:rsidRPr="00EE5F0F">
        <w:rPr>
          <w:rFonts w:ascii="Garamond" w:hAnsi="Garamond"/>
          <w:sz w:val="22"/>
          <w:szCs w:val="22"/>
        </w:rPr>
        <w:t xml:space="preserve"> it </w:t>
      </w:r>
      <w:r w:rsidR="00241C68" w:rsidRPr="00EE5F0F">
        <w:rPr>
          <w:rFonts w:ascii="Garamond" w:hAnsi="Garamond"/>
          <w:sz w:val="22"/>
          <w:szCs w:val="22"/>
        </w:rPr>
        <w:t xml:space="preserve">dropped to </w:t>
      </w:r>
      <w:r w:rsidR="001B7F81" w:rsidRPr="00EE5F0F">
        <w:rPr>
          <w:rFonts w:ascii="Garamond" w:hAnsi="Garamond"/>
          <w:sz w:val="22"/>
          <w:szCs w:val="22"/>
        </w:rPr>
        <w:t>2.</w:t>
      </w:r>
      <w:r w:rsidR="00241C68" w:rsidRPr="00EE5F0F">
        <w:rPr>
          <w:rFonts w:ascii="Garamond" w:hAnsi="Garamond"/>
          <w:sz w:val="22"/>
          <w:szCs w:val="22"/>
        </w:rPr>
        <w:t>3</w:t>
      </w:r>
      <w:r w:rsidR="001B7F81" w:rsidRPr="00EE5F0F">
        <w:rPr>
          <w:rFonts w:ascii="Garamond" w:hAnsi="Garamond"/>
          <w:sz w:val="22"/>
          <w:szCs w:val="22"/>
        </w:rPr>
        <w:t xml:space="preserve">%, still </w:t>
      </w:r>
      <w:r w:rsidRPr="00EE5F0F">
        <w:rPr>
          <w:rFonts w:ascii="Garamond" w:hAnsi="Garamond"/>
          <w:sz w:val="22"/>
          <w:szCs w:val="22"/>
        </w:rPr>
        <w:t xml:space="preserve">below its target </w:t>
      </w:r>
      <w:r w:rsidR="001B7F81" w:rsidRPr="00EE5F0F">
        <w:rPr>
          <w:rFonts w:ascii="Garamond" w:hAnsi="Garamond"/>
          <w:sz w:val="22"/>
          <w:szCs w:val="22"/>
        </w:rPr>
        <w:t xml:space="preserve">of </w:t>
      </w:r>
      <w:r w:rsidRPr="00EE5F0F">
        <w:rPr>
          <w:rFonts w:ascii="Garamond" w:hAnsi="Garamond"/>
          <w:sz w:val="22"/>
          <w:szCs w:val="22"/>
        </w:rPr>
        <w:t xml:space="preserve">4%. The decline in </w:t>
      </w:r>
      <w:r w:rsidR="00241C68" w:rsidRPr="00EE5F0F">
        <w:rPr>
          <w:rFonts w:ascii="Garamond" w:hAnsi="Garamond"/>
          <w:sz w:val="22"/>
          <w:szCs w:val="22"/>
        </w:rPr>
        <w:t>food and non-food</w:t>
      </w:r>
      <w:r w:rsidR="00E160F4" w:rsidRPr="00EE5F0F">
        <w:rPr>
          <w:rFonts w:ascii="Garamond" w:hAnsi="Garamond"/>
          <w:sz w:val="22"/>
          <w:szCs w:val="22"/>
        </w:rPr>
        <w:t xml:space="preserve"> prices </w:t>
      </w:r>
      <w:r w:rsidR="002D15EE" w:rsidRPr="00EE5F0F">
        <w:rPr>
          <w:rFonts w:ascii="Garamond" w:hAnsi="Garamond"/>
          <w:sz w:val="22"/>
          <w:szCs w:val="22"/>
        </w:rPr>
        <w:t>has been the main</w:t>
      </w:r>
      <w:r w:rsidRPr="00EE5F0F">
        <w:rPr>
          <w:rFonts w:ascii="Garamond" w:hAnsi="Garamond"/>
          <w:sz w:val="22"/>
          <w:szCs w:val="22"/>
        </w:rPr>
        <w:t xml:space="preserve"> contribut</w:t>
      </w:r>
      <w:r w:rsidR="002D15EE" w:rsidRPr="00EE5F0F">
        <w:rPr>
          <w:rFonts w:ascii="Garamond" w:hAnsi="Garamond"/>
          <w:sz w:val="22"/>
          <w:szCs w:val="22"/>
        </w:rPr>
        <w:t xml:space="preserve">ion to the decrease in </w:t>
      </w:r>
      <w:r w:rsidRPr="00EE5F0F">
        <w:rPr>
          <w:rFonts w:ascii="Garamond" w:hAnsi="Garamond"/>
          <w:sz w:val="22"/>
          <w:szCs w:val="22"/>
        </w:rPr>
        <w:t xml:space="preserve">inflation. In the </w:t>
      </w:r>
      <w:r w:rsidR="002D15EE" w:rsidRPr="00EE5F0F">
        <w:rPr>
          <w:rFonts w:ascii="Garamond" w:hAnsi="Garamond"/>
          <w:sz w:val="22"/>
          <w:szCs w:val="22"/>
        </w:rPr>
        <w:t>f</w:t>
      </w:r>
      <w:r w:rsidR="00241C68" w:rsidRPr="00EE5F0F">
        <w:rPr>
          <w:rFonts w:ascii="Garamond" w:hAnsi="Garamond"/>
          <w:sz w:val="22"/>
          <w:szCs w:val="22"/>
        </w:rPr>
        <w:t>irst</w:t>
      </w:r>
      <w:r w:rsidRPr="00EE5F0F">
        <w:rPr>
          <w:rFonts w:ascii="Garamond" w:hAnsi="Garamond"/>
          <w:sz w:val="22"/>
          <w:szCs w:val="22"/>
        </w:rPr>
        <w:t xml:space="preserve"> quarter of 201</w:t>
      </w:r>
      <w:r w:rsidR="00241C68" w:rsidRPr="00EE5F0F">
        <w:rPr>
          <w:rFonts w:ascii="Garamond" w:hAnsi="Garamond"/>
          <w:sz w:val="22"/>
          <w:szCs w:val="22"/>
        </w:rPr>
        <w:t>8</w:t>
      </w:r>
      <w:r w:rsidRPr="00EE5F0F">
        <w:rPr>
          <w:rFonts w:ascii="Garamond" w:hAnsi="Garamond"/>
          <w:sz w:val="22"/>
          <w:szCs w:val="22"/>
        </w:rPr>
        <w:t xml:space="preserve">, therefore, the Central Bank of Russia lowered the policy rate by </w:t>
      </w:r>
      <w:r w:rsidR="00241C68" w:rsidRPr="00EE5F0F">
        <w:rPr>
          <w:rFonts w:ascii="Garamond" w:hAnsi="Garamond"/>
          <w:sz w:val="22"/>
          <w:szCs w:val="22"/>
        </w:rPr>
        <w:t xml:space="preserve">another </w:t>
      </w:r>
      <w:r w:rsidRPr="00EE5F0F">
        <w:rPr>
          <w:rFonts w:ascii="Garamond" w:hAnsi="Garamond"/>
          <w:sz w:val="22"/>
          <w:szCs w:val="22"/>
        </w:rPr>
        <w:t xml:space="preserve">0.5 pp to </w:t>
      </w:r>
      <w:r w:rsidR="002D15EE" w:rsidRPr="00EE5F0F">
        <w:rPr>
          <w:rFonts w:ascii="Garamond" w:hAnsi="Garamond"/>
          <w:sz w:val="22"/>
          <w:szCs w:val="22"/>
        </w:rPr>
        <w:t>7.</w:t>
      </w:r>
      <w:r w:rsidR="00241C68" w:rsidRPr="00EE5F0F">
        <w:rPr>
          <w:rFonts w:ascii="Garamond" w:hAnsi="Garamond"/>
          <w:sz w:val="22"/>
          <w:szCs w:val="22"/>
        </w:rPr>
        <w:t>2</w:t>
      </w:r>
      <w:r w:rsidR="002D15EE" w:rsidRPr="00EE5F0F">
        <w:rPr>
          <w:rFonts w:ascii="Garamond" w:hAnsi="Garamond"/>
          <w:sz w:val="22"/>
          <w:szCs w:val="22"/>
        </w:rPr>
        <w:t>5%.</w:t>
      </w:r>
      <w:r w:rsidRPr="00EE5F0F">
        <w:rPr>
          <w:rFonts w:ascii="Garamond" w:hAnsi="Garamond"/>
          <w:sz w:val="22"/>
          <w:szCs w:val="22"/>
        </w:rPr>
        <w:t xml:space="preserve"> </w:t>
      </w:r>
      <w:r w:rsidR="002D15EE" w:rsidRPr="00EE5F0F">
        <w:rPr>
          <w:rFonts w:ascii="Garamond" w:hAnsi="Garamond"/>
          <w:sz w:val="22"/>
          <w:szCs w:val="22"/>
        </w:rPr>
        <w:t>Although inflation is below the target, i</w:t>
      </w:r>
      <w:r w:rsidRPr="00EE5F0F">
        <w:rPr>
          <w:rFonts w:ascii="Garamond" w:hAnsi="Garamond"/>
          <w:sz w:val="22"/>
          <w:szCs w:val="22"/>
        </w:rPr>
        <w:t xml:space="preserve">t is expected that the CBR will </w:t>
      </w:r>
      <w:r w:rsidR="002D15EE" w:rsidRPr="00EE5F0F">
        <w:rPr>
          <w:rFonts w:ascii="Garamond" w:hAnsi="Garamond"/>
          <w:sz w:val="22"/>
          <w:szCs w:val="22"/>
        </w:rPr>
        <w:t xml:space="preserve">nevertheless </w:t>
      </w:r>
      <w:r w:rsidRPr="00EE5F0F">
        <w:rPr>
          <w:rFonts w:ascii="Garamond" w:hAnsi="Garamond"/>
          <w:sz w:val="22"/>
          <w:szCs w:val="22"/>
        </w:rPr>
        <w:t>pursue a</w:t>
      </w:r>
      <w:r w:rsidR="002D15EE" w:rsidRPr="00EE5F0F">
        <w:rPr>
          <w:rFonts w:ascii="Garamond" w:hAnsi="Garamond"/>
          <w:sz w:val="22"/>
          <w:szCs w:val="22"/>
        </w:rPr>
        <w:t xml:space="preserve"> moderately </w:t>
      </w:r>
      <w:r w:rsidR="00662B23" w:rsidRPr="00EE5F0F">
        <w:rPr>
          <w:rFonts w:ascii="Garamond" w:hAnsi="Garamond"/>
          <w:sz w:val="22"/>
          <w:szCs w:val="22"/>
        </w:rPr>
        <w:t xml:space="preserve">tight </w:t>
      </w:r>
      <w:r w:rsidRPr="00EE5F0F">
        <w:rPr>
          <w:rFonts w:ascii="Garamond" w:hAnsi="Garamond"/>
          <w:sz w:val="22"/>
          <w:szCs w:val="22"/>
        </w:rPr>
        <w:t>policy</w:t>
      </w:r>
      <w:r w:rsidR="002D15EE" w:rsidRPr="00EE5F0F">
        <w:rPr>
          <w:rFonts w:ascii="Garamond" w:hAnsi="Garamond"/>
          <w:sz w:val="22"/>
          <w:szCs w:val="22"/>
        </w:rPr>
        <w:t xml:space="preserve"> aimed at reducing inflation expectations and anchoring the inflation around the target. </w:t>
      </w:r>
    </w:p>
    <w:p w14:paraId="1742A512" w14:textId="77777777" w:rsidR="00A03652" w:rsidRPr="00EE5F0F" w:rsidRDefault="00A03652" w:rsidP="00EE619D">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Depreciat</w:t>
      </w:r>
      <w:r w:rsidR="0053486E" w:rsidRPr="00EE5F0F">
        <w:rPr>
          <w:rFonts w:ascii="Garamond" w:hAnsi="Garamond"/>
          <w:sz w:val="22"/>
          <w:szCs w:val="22"/>
        </w:rPr>
        <w:t>ion of the US dollar continued over</w:t>
      </w:r>
      <w:r w:rsidR="00EE619D" w:rsidRPr="00EE5F0F">
        <w:rPr>
          <w:rFonts w:ascii="Garamond" w:hAnsi="Garamond"/>
          <w:sz w:val="22"/>
          <w:szCs w:val="22"/>
        </w:rPr>
        <w:t xml:space="preserve"> the </w:t>
      </w:r>
      <w:r w:rsidR="00AF7B80" w:rsidRPr="00EE5F0F">
        <w:rPr>
          <w:rFonts w:ascii="Garamond" w:hAnsi="Garamond"/>
          <w:sz w:val="22"/>
          <w:szCs w:val="22"/>
        </w:rPr>
        <w:t>f</w:t>
      </w:r>
      <w:r w:rsidR="0053486E" w:rsidRPr="00EE5F0F">
        <w:rPr>
          <w:rFonts w:ascii="Garamond" w:hAnsi="Garamond"/>
          <w:sz w:val="22"/>
          <w:szCs w:val="22"/>
        </w:rPr>
        <w:t xml:space="preserve">irst </w:t>
      </w:r>
      <w:r w:rsidR="00EE619D" w:rsidRPr="00EE5F0F">
        <w:rPr>
          <w:rFonts w:ascii="Garamond" w:hAnsi="Garamond"/>
          <w:sz w:val="22"/>
          <w:szCs w:val="22"/>
        </w:rPr>
        <w:t>quarter of 201</w:t>
      </w:r>
      <w:r w:rsidR="0053486E" w:rsidRPr="00EE5F0F">
        <w:rPr>
          <w:rFonts w:ascii="Garamond" w:hAnsi="Garamond"/>
          <w:sz w:val="22"/>
          <w:szCs w:val="22"/>
        </w:rPr>
        <w:t>8, as it was the case in the previous quarter</w:t>
      </w:r>
      <w:r w:rsidRPr="00EE5F0F">
        <w:rPr>
          <w:rFonts w:ascii="Garamond" w:hAnsi="Garamond"/>
          <w:sz w:val="22"/>
          <w:szCs w:val="22"/>
        </w:rPr>
        <w:t>.</w:t>
      </w:r>
      <w:r w:rsidR="00AF7B80" w:rsidRPr="00EE5F0F">
        <w:rPr>
          <w:rFonts w:ascii="Garamond" w:hAnsi="Garamond"/>
          <w:sz w:val="22"/>
          <w:szCs w:val="22"/>
        </w:rPr>
        <w:t xml:space="preserve"> Specifically, in the f</w:t>
      </w:r>
      <w:r w:rsidR="0053486E" w:rsidRPr="00EE5F0F">
        <w:rPr>
          <w:rFonts w:ascii="Garamond" w:hAnsi="Garamond"/>
          <w:sz w:val="22"/>
          <w:szCs w:val="22"/>
        </w:rPr>
        <w:t>irst</w:t>
      </w:r>
      <w:r w:rsidR="00AF7B80" w:rsidRPr="00EE5F0F">
        <w:rPr>
          <w:rFonts w:ascii="Garamond" w:hAnsi="Garamond"/>
          <w:sz w:val="22"/>
          <w:szCs w:val="22"/>
        </w:rPr>
        <w:t xml:space="preserve"> quarter</w:t>
      </w:r>
      <w:r w:rsidRPr="00EE5F0F">
        <w:rPr>
          <w:rFonts w:ascii="Garamond" w:hAnsi="Garamond"/>
          <w:sz w:val="22"/>
          <w:szCs w:val="22"/>
        </w:rPr>
        <w:t>,</w:t>
      </w:r>
      <w:r w:rsidR="00EE619D" w:rsidRPr="00EE5F0F">
        <w:rPr>
          <w:rFonts w:ascii="Garamond" w:hAnsi="Garamond"/>
          <w:sz w:val="22"/>
          <w:szCs w:val="22"/>
        </w:rPr>
        <w:t xml:space="preserve"> the euro </w:t>
      </w:r>
      <w:r w:rsidRPr="00EE5F0F">
        <w:rPr>
          <w:rFonts w:ascii="Garamond" w:hAnsi="Garamond"/>
          <w:sz w:val="22"/>
          <w:szCs w:val="22"/>
        </w:rPr>
        <w:t xml:space="preserve">exchange rate </w:t>
      </w:r>
      <w:r w:rsidR="00AF7B80" w:rsidRPr="00EE5F0F">
        <w:rPr>
          <w:rFonts w:ascii="Garamond" w:hAnsi="Garamond"/>
          <w:sz w:val="22"/>
          <w:szCs w:val="22"/>
        </w:rPr>
        <w:t>versus</w:t>
      </w:r>
      <w:r w:rsidR="00EE619D" w:rsidRPr="00EE5F0F">
        <w:rPr>
          <w:rFonts w:ascii="Garamond" w:hAnsi="Garamond"/>
          <w:sz w:val="22"/>
          <w:szCs w:val="22"/>
        </w:rPr>
        <w:t xml:space="preserve"> the US dollar</w:t>
      </w:r>
      <w:r w:rsidR="00AF7B80" w:rsidRPr="00EE5F0F">
        <w:rPr>
          <w:rFonts w:ascii="Garamond" w:hAnsi="Garamond"/>
          <w:sz w:val="22"/>
          <w:szCs w:val="22"/>
        </w:rPr>
        <w:t xml:space="preserve"> </w:t>
      </w:r>
      <w:r w:rsidRPr="00EE5F0F">
        <w:rPr>
          <w:rFonts w:ascii="Garamond" w:hAnsi="Garamond"/>
          <w:sz w:val="22"/>
          <w:szCs w:val="22"/>
        </w:rPr>
        <w:t xml:space="preserve">appreciated </w:t>
      </w:r>
      <w:r w:rsidR="00AF7B80" w:rsidRPr="00EE5F0F">
        <w:rPr>
          <w:rFonts w:ascii="Garamond" w:hAnsi="Garamond"/>
          <w:sz w:val="22"/>
          <w:szCs w:val="22"/>
        </w:rPr>
        <w:t xml:space="preserve">by </w:t>
      </w:r>
      <w:r w:rsidR="0053486E" w:rsidRPr="00EE5F0F">
        <w:rPr>
          <w:rFonts w:ascii="Garamond" w:hAnsi="Garamond"/>
          <w:sz w:val="22"/>
          <w:szCs w:val="22"/>
        </w:rPr>
        <w:t>15.0</w:t>
      </w:r>
      <w:r w:rsidR="00AF7B80" w:rsidRPr="00EE5F0F">
        <w:rPr>
          <w:rFonts w:ascii="Garamond" w:hAnsi="Garamond"/>
          <w:sz w:val="22"/>
          <w:szCs w:val="22"/>
        </w:rPr>
        <w:t xml:space="preserve">% </w:t>
      </w:r>
      <w:r w:rsidRPr="00EE5F0F">
        <w:rPr>
          <w:rFonts w:ascii="Garamond" w:hAnsi="Garamond"/>
          <w:sz w:val="22"/>
          <w:szCs w:val="22"/>
        </w:rPr>
        <w:t xml:space="preserve">y/y </w:t>
      </w:r>
      <w:r w:rsidR="00AF7B80" w:rsidRPr="00EE5F0F">
        <w:rPr>
          <w:rFonts w:ascii="Garamond" w:hAnsi="Garamond"/>
          <w:sz w:val="22"/>
          <w:szCs w:val="22"/>
        </w:rPr>
        <w:t xml:space="preserve">to </w:t>
      </w:r>
      <w:r w:rsidR="00EE619D" w:rsidRPr="00EE5F0F">
        <w:rPr>
          <w:rFonts w:ascii="Garamond" w:hAnsi="Garamond"/>
          <w:sz w:val="22"/>
          <w:szCs w:val="22"/>
        </w:rPr>
        <w:t>1.</w:t>
      </w:r>
      <w:r w:rsidR="0053486E" w:rsidRPr="00EE5F0F">
        <w:rPr>
          <w:rFonts w:ascii="Garamond" w:hAnsi="Garamond"/>
          <w:sz w:val="22"/>
          <w:szCs w:val="22"/>
        </w:rPr>
        <w:t>23</w:t>
      </w:r>
      <w:r w:rsidR="00EE619D" w:rsidRPr="00EE5F0F">
        <w:rPr>
          <w:rFonts w:ascii="Garamond" w:hAnsi="Garamond"/>
          <w:sz w:val="22"/>
          <w:szCs w:val="22"/>
        </w:rPr>
        <w:t xml:space="preserve"> dollars per euro. </w:t>
      </w:r>
      <w:r w:rsidRPr="00EE5F0F">
        <w:rPr>
          <w:rFonts w:ascii="Garamond" w:hAnsi="Garamond"/>
          <w:sz w:val="22"/>
          <w:szCs w:val="22"/>
        </w:rPr>
        <w:t xml:space="preserve">Such </w:t>
      </w:r>
      <w:r w:rsidR="00EE619D" w:rsidRPr="00EE5F0F">
        <w:rPr>
          <w:rFonts w:ascii="Garamond" w:hAnsi="Garamond"/>
          <w:sz w:val="22"/>
          <w:szCs w:val="22"/>
        </w:rPr>
        <w:t xml:space="preserve">tendency </w:t>
      </w:r>
      <w:r w:rsidR="0053486E" w:rsidRPr="00EE5F0F">
        <w:rPr>
          <w:rFonts w:ascii="Garamond" w:hAnsi="Garamond"/>
          <w:sz w:val="22"/>
          <w:szCs w:val="22"/>
        </w:rPr>
        <w:t>in</w:t>
      </w:r>
      <w:r w:rsidR="00EE619D" w:rsidRPr="00EE5F0F">
        <w:rPr>
          <w:rFonts w:ascii="Garamond" w:hAnsi="Garamond"/>
          <w:sz w:val="22"/>
          <w:szCs w:val="22"/>
        </w:rPr>
        <w:t xml:space="preserve"> the exchange rate reflects </w:t>
      </w:r>
      <w:r w:rsidR="0053486E" w:rsidRPr="00EE5F0F">
        <w:rPr>
          <w:rFonts w:ascii="Garamond" w:hAnsi="Garamond"/>
          <w:sz w:val="22"/>
          <w:szCs w:val="22"/>
        </w:rPr>
        <w:t xml:space="preserve">both the expectations about future monetary policy in the Eurozone and USA and anticipated budget deficit growth as a result of the US tax reduction program. It should be mentioned, however, that the euro/US dollar exchange rate depreciation is anticipated in the short run due to </w:t>
      </w:r>
      <w:r w:rsidR="004301D7" w:rsidRPr="00EE5F0F">
        <w:rPr>
          <w:rFonts w:ascii="Garamond" w:hAnsi="Garamond"/>
          <w:sz w:val="22"/>
          <w:szCs w:val="22"/>
        </w:rPr>
        <w:t>a</w:t>
      </w:r>
      <w:r w:rsidR="0053486E" w:rsidRPr="00EE5F0F">
        <w:rPr>
          <w:rFonts w:ascii="Garamond" w:hAnsi="Garamond"/>
          <w:sz w:val="22"/>
          <w:szCs w:val="22"/>
        </w:rPr>
        <w:t xml:space="preserve"> low </w:t>
      </w:r>
      <w:r w:rsidR="004301D7" w:rsidRPr="00EE5F0F">
        <w:rPr>
          <w:rFonts w:ascii="Garamond" w:hAnsi="Garamond"/>
          <w:sz w:val="22"/>
          <w:szCs w:val="22"/>
        </w:rPr>
        <w:t xml:space="preserve">performance of economic indicators in the </w:t>
      </w:r>
      <w:r w:rsidR="0053486E" w:rsidRPr="00EE5F0F">
        <w:rPr>
          <w:rFonts w:ascii="Garamond" w:hAnsi="Garamond"/>
          <w:sz w:val="22"/>
          <w:szCs w:val="22"/>
        </w:rPr>
        <w:t xml:space="preserve">Eurozone </w:t>
      </w:r>
      <w:r w:rsidR="004301D7" w:rsidRPr="00EE5F0F">
        <w:rPr>
          <w:rFonts w:ascii="Garamond" w:hAnsi="Garamond"/>
          <w:sz w:val="22"/>
          <w:szCs w:val="22"/>
        </w:rPr>
        <w:t xml:space="preserve">as well as political developments </w:t>
      </w:r>
      <w:r w:rsidR="0053486E" w:rsidRPr="00EE5F0F">
        <w:rPr>
          <w:rFonts w:ascii="Garamond" w:hAnsi="Garamond"/>
          <w:sz w:val="22"/>
          <w:szCs w:val="22"/>
        </w:rPr>
        <w:t>in March-April</w:t>
      </w:r>
      <w:r w:rsidR="004301D7" w:rsidRPr="00EE5F0F">
        <w:rPr>
          <w:rFonts w:ascii="Garamond" w:hAnsi="Garamond"/>
          <w:sz w:val="22"/>
          <w:szCs w:val="22"/>
        </w:rPr>
        <w:t xml:space="preserve">. </w:t>
      </w:r>
      <w:r w:rsidRPr="00EE5F0F">
        <w:rPr>
          <w:rFonts w:ascii="Garamond" w:hAnsi="Garamond"/>
          <w:sz w:val="22"/>
          <w:szCs w:val="22"/>
        </w:rPr>
        <w:t>In the f</w:t>
      </w:r>
      <w:r w:rsidR="004301D7" w:rsidRPr="00EE5F0F">
        <w:rPr>
          <w:rFonts w:ascii="Garamond" w:hAnsi="Garamond"/>
          <w:sz w:val="22"/>
          <w:szCs w:val="22"/>
        </w:rPr>
        <w:t>irst</w:t>
      </w:r>
      <w:r w:rsidRPr="00EE5F0F">
        <w:rPr>
          <w:rFonts w:ascii="Garamond" w:hAnsi="Garamond"/>
          <w:sz w:val="22"/>
          <w:szCs w:val="22"/>
        </w:rPr>
        <w:t xml:space="preserve"> quarter of 201</w:t>
      </w:r>
      <w:r w:rsidR="004301D7" w:rsidRPr="00EE5F0F">
        <w:rPr>
          <w:rFonts w:ascii="Garamond" w:hAnsi="Garamond"/>
          <w:sz w:val="22"/>
          <w:szCs w:val="22"/>
        </w:rPr>
        <w:t>8</w:t>
      </w:r>
      <w:r w:rsidRPr="00EE5F0F">
        <w:rPr>
          <w:rFonts w:ascii="Garamond" w:hAnsi="Garamond"/>
          <w:sz w:val="22"/>
          <w:szCs w:val="22"/>
        </w:rPr>
        <w:t xml:space="preserve"> t</w:t>
      </w:r>
      <w:r w:rsidR="00EE619D" w:rsidRPr="00EE5F0F">
        <w:rPr>
          <w:rFonts w:ascii="Garamond" w:hAnsi="Garamond"/>
          <w:sz w:val="22"/>
          <w:szCs w:val="22"/>
        </w:rPr>
        <w:t>he Russian ruble</w:t>
      </w:r>
      <w:r w:rsidRPr="00EE5F0F">
        <w:rPr>
          <w:rFonts w:ascii="Garamond" w:hAnsi="Garamond"/>
          <w:sz w:val="22"/>
          <w:szCs w:val="22"/>
        </w:rPr>
        <w:t xml:space="preserve"> ap</w:t>
      </w:r>
      <w:r w:rsidR="00EE619D" w:rsidRPr="00EE5F0F">
        <w:rPr>
          <w:rFonts w:ascii="Garamond" w:hAnsi="Garamond"/>
          <w:sz w:val="22"/>
          <w:szCs w:val="22"/>
        </w:rPr>
        <w:t xml:space="preserve">preciated by </w:t>
      </w:r>
      <w:r w:rsidR="004301D7" w:rsidRPr="00EE5F0F">
        <w:rPr>
          <w:rFonts w:ascii="Garamond" w:hAnsi="Garamond"/>
          <w:sz w:val="22"/>
          <w:szCs w:val="22"/>
        </w:rPr>
        <w:t>3</w:t>
      </w:r>
      <w:r w:rsidR="00EE619D" w:rsidRPr="00EE5F0F">
        <w:rPr>
          <w:rFonts w:ascii="Garamond" w:hAnsi="Garamond"/>
          <w:sz w:val="22"/>
          <w:szCs w:val="22"/>
        </w:rPr>
        <w:t>.</w:t>
      </w:r>
      <w:r w:rsidR="004301D7" w:rsidRPr="00EE5F0F">
        <w:rPr>
          <w:rFonts w:ascii="Garamond" w:hAnsi="Garamond"/>
          <w:sz w:val="22"/>
          <w:szCs w:val="22"/>
        </w:rPr>
        <w:t>5</w:t>
      </w:r>
      <w:r w:rsidR="00EE619D" w:rsidRPr="00EE5F0F">
        <w:rPr>
          <w:rFonts w:ascii="Garamond" w:hAnsi="Garamond"/>
          <w:sz w:val="22"/>
          <w:szCs w:val="22"/>
        </w:rPr>
        <w:t xml:space="preserve">% </w:t>
      </w:r>
      <w:r w:rsidRPr="00EE5F0F">
        <w:rPr>
          <w:rFonts w:ascii="Garamond" w:hAnsi="Garamond"/>
          <w:sz w:val="22"/>
          <w:szCs w:val="22"/>
        </w:rPr>
        <w:t xml:space="preserve">y/y to an </w:t>
      </w:r>
      <w:r w:rsidR="00EE619D" w:rsidRPr="00EE5F0F">
        <w:rPr>
          <w:rFonts w:ascii="Garamond" w:hAnsi="Garamond"/>
          <w:sz w:val="22"/>
          <w:szCs w:val="22"/>
        </w:rPr>
        <w:t>average RUB 5</w:t>
      </w:r>
      <w:r w:rsidR="004301D7" w:rsidRPr="00EE5F0F">
        <w:rPr>
          <w:rFonts w:ascii="Garamond" w:hAnsi="Garamond"/>
          <w:sz w:val="22"/>
          <w:szCs w:val="22"/>
        </w:rPr>
        <w:t>6</w:t>
      </w:r>
      <w:r w:rsidRPr="00EE5F0F">
        <w:rPr>
          <w:rFonts w:ascii="Garamond" w:hAnsi="Garamond"/>
          <w:sz w:val="22"/>
          <w:szCs w:val="22"/>
        </w:rPr>
        <w:t>.</w:t>
      </w:r>
      <w:r w:rsidR="004301D7" w:rsidRPr="00EE5F0F">
        <w:rPr>
          <w:rFonts w:ascii="Garamond" w:hAnsi="Garamond"/>
          <w:sz w:val="22"/>
          <w:szCs w:val="22"/>
        </w:rPr>
        <w:t>8</w:t>
      </w:r>
      <w:r w:rsidR="00EE619D" w:rsidRPr="00EE5F0F">
        <w:rPr>
          <w:rFonts w:ascii="Garamond" w:hAnsi="Garamond"/>
          <w:sz w:val="22"/>
          <w:szCs w:val="22"/>
        </w:rPr>
        <w:t xml:space="preserve"> per dollar. </w:t>
      </w:r>
      <w:r w:rsidR="00E40B88" w:rsidRPr="00EE5F0F">
        <w:rPr>
          <w:rFonts w:ascii="Garamond" w:hAnsi="Garamond"/>
          <w:sz w:val="22"/>
          <w:szCs w:val="22"/>
        </w:rPr>
        <w:t xml:space="preserve">Nevertheless, the ruble depreciated against the US dollar in April, due to new US sanctions against Russia, which is expected to persist over a short </w:t>
      </w:r>
      <w:proofErr w:type="gramStart"/>
      <w:r w:rsidR="00E40B88" w:rsidRPr="00EE5F0F">
        <w:rPr>
          <w:rFonts w:ascii="Garamond" w:hAnsi="Garamond"/>
          <w:sz w:val="22"/>
          <w:szCs w:val="22"/>
        </w:rPr>
        <w:t>run in</w:t>
      </w:r>
      <w:proofErr w:type="gramEnd"/>
      <w:r w:rsidR="00E40B88" w:rsidRPr="00EE5F0F">
        <w:rPr>
          <w:rFonts w:ascii="Garamond" w:hAnsi="Garamond"/>
          <w:sz w:val="22"/>
          <w:szCs w:val="22"/>
        </w:rPr>
        <w:t xml:space="preserve"> spite of high international oil prices.</w:t>
      </w:r>
    </w:p>
    <w:p w14:paraId="72C3518B" w14:textId="77777777" w:rsidR="00EE619D" w:rsidRPr="00EE5F0F" w:rsidRDefault="00EE619D" w:rsidP="00EE619D">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The r</w:t>
      </w:r>
      <w:r w:rsidR="000B2CE6" w:rsidRPr="00EE5F0F">
        <w:rPr>
          <w:rFonts w:ascii="Garamond" w:hAnsi="Garamond"/>
          <w:sz w:val="22"/>
          <w:szCs w:val="22"/>
        </w:rPr>
        <w:t>ise in</w:t>
      </w:r>
      <w:r w:rsidR="00B53794" w:rsidRPr="00EE5F0F">
        <w:rPr>
          <w:rFonts w:ascii="Garamond" w:hAnsi="Garamond"/>
          <w:sz w:val="22"/>
          <w:szCs w:val="22"/>
        </w:rPr>
        <w:t xml:space="preserve"> prices in </w:t>
      </w:r>
      <w:r w:rsidR="003D2B35" w:rsidRPr="00EE5F0F">
        <w:rPr>
          <w:rFonts w:ascii="Garamond" w:hAnsi="Garamond"/>
          <w:sz w:val="22"/>
          <w:szCs w:val="22"/>
        </w:rPr>
        <w:t xml:space="preserve">commodity markets, a trend </w:t>
      </w:r>
      <w:r w:rsidR="007542DE" w:rsidRPr="00EE5F0F">
        <w:rPr>
          <w:rFonts w:ascii="Garamond" w:hAnsi="Garamond"/>
          <w:sz w:val="22"/>
          <w:szCs w:val="22"/>
        </w:rPr>
        <w:t xml:space="preserve">coming from </w:t>
      </w:r>
      <w:r w:rsidR="00E40B88" w:rsidRPr="00EE5F0F">
        <w:rPr>
          <w:rFonts w:ascii="Garamond" w:hAnsi="Garamond"/>
          <w:sz w:val="22"/>
          <w:szCs w:val="22"/>
        </w:rPr>
        <w:t>previous quarters</w:t>
      </w:r>
      <w:r w:rsidR="003D2B35" w:rsidRPr="00EE5F0F">
        <w:rPr>
          <w:rFonts w:ascii="Garamond" w:hAnsi="Garamond"/>
          <w:sz w:val="22"/>
          <w:szCs w:val="22"/>
        </w:rPr>
        <w:t>, continued during the f</w:t>
      </w:r>
      <w:r w:rsidR="007542DE" w:rsidRPr="00EE5F0F">
        <w:rPr>
          <w:rFonts w:ascii="Garamond" w:hAnsi="Garamond"/>
          <w:sz w:val="22"/>
          <w:szCs w:val="22"/>
        </w:rPr>
        <w:t xml:space="preserve">irst </w:t>
      </w:r>
      <w:r w:rsidR="003D2B35" w:rsidRPr="00EE5F0F">
        <w:rPr>
          <w:rFonts w:ascii="Garamond" w:hAnsi="Garamond"/>
          <w:sz w:val="22"/>
          <w:szCs w:val="22"/>
        </w:rPr>
        <w:t>quarter</w:t>
      </w:r>
      <w:r w:rsidR="007542DE" w:rsidRPr="00EE5F0F">
        <w:rPr>
          <w:rFonts w:ascii="Garamond" w:hAnsi="Garamond"/>
          <w:sz w:val="22"/>
          <w:szCs w:val="22"/>
        </w:rPr>
        <w:t xml:space="preserve"> of 2018</w:t>
      </w:r>
      <w:r w:rsidR="003D2B35" w:rsidRPr="00EE5F0F">
        <w:rPr>
          <w:rFonts w:ascii="Garamond" w:hAnsi="Garamond"/>
          <w:sz w:val="22"/>
          <w:szCs w:val="22"/>
        </w:rPr>
        <w:t xml:space="preserve">. The expectation </w:t>
      </w:r>
      <w:r w:rsidR="002C108E" w:rsidRPr="00EE5F0F">
        <w:rPr>
          <w:rFonts w:ascii="Garamond" w:hAnsi="Garamond"/>
          <w:sz w:val="22"/>
          <w:szCs w:val="22"/>
        </w:rPr>
        <w:t xml:space="preserve">for the forecast horizon </w:t>
      </w:r>
      <w:r w:rsidR="003D2B35" w:rsidRPr="00EE5F0F">
        <w:rPr>
          <w:rFonts w:ascii="Garamond" w:hAnsi="Garamond"/>
          <w:sz w:val="22"/>
          <w:szCs w:val="22"/>
        </w:rPr>
        <w:t xml:space="preserve">is that </w:t>
      </w:r>
      <w:r w:rsidR="007542DE" w:rsidRPr="00EE5F0F">
        <w:rPr>
          <w:rFonts w:ascii="Garamond" w:hAnsi="Garamond"/>
          <w:sz w:val="22"/>
          <w:szCs w:val="22"/>
        </w:rPr>
        <w:t xml:space="preserve">the commodity </w:t>
      </w:r>
      <w:r w:rsidRPr="00EE5F0F">
        <w:rPr>
          <w:rFonts w:ascii="Garamond" w:hAnsi="Garamond"/>
          <w:sz w:val="22"/>
          <w:szCs w:val="22"/>
        </w:rPr>
        <w:t>prices</w:t>
      </w:r>
      <w:r w:rsidR="003D2B35" w:rsidRPr="00EE5F0F">
        <w:rPr>
          <w:rFonts w:ascii="Garamond" w:hAnsi="Garamond"/>
          <w:sz w:val="22"/>
          <w:szCs w:val="22"/>
        </w:rPr>
        <w:t xml:space="preserve"> </w:t>
      </w:r>
      <w:r w:rsidRPr="00EE5F0F">
        <w:rPr>
          <w:rFonts w:ascii="Garamond" w:hAnsi="Garamond"/>
          <w:sz w:val="22"/>
          <w:szCs w:val="22"/>
        </w:rPr>
        <w:t xml:space="preserve">will </w:t>
      </w:r>
      <w:r w:rsidR="0099686E" w:rsidRPr="00EE5F0F">
        <w:rPr>
          <w:rFonts w:ascii="Garamond" w:hAnsi="Garamond"/>
          <w:sz w:val="22"/>
          <w:szCs w:val="22"/>
        </w:rPr>
        <w:t xml:space="preserve">remain elevated. Specifically, the rise in </w:t>
      </w:r>
      <w:r w:rsidRPr="00EE5F0F">
        <w:rPr>
          <w:rFonts w:ascii="Garamond" w:hAnsi="Garamond"/>
          <w:sz w:val="22"/>
          <w:szCs w:val="22"/>
        </w:rPr>
        <w:t xml:space="preserve">international </w:t>
      </w:r>
      <w:r w:rsidR="0099686E" w:rsidRPr="00EE5F0F">
        <w:rPr>
          <w:rFonts w:ascii="Garamond" w:hAnsi="Garamond"/>
          <w:sz w:val="22"/>
          <w:szCs w:val="22"/>
        </w:rPr>
        <w:t>oil</w:t>
      </w:r>
      <w:r w:rsidRPr="00EE5F0F">
        <w:rPr>
          <w:rFonts w:ascii="Garamond" w:hAnsi="Garamond"/>
          <w:sz w:val="22"/>
          <w:szCs w:val="22"/>
        </w:rPr>
        <w:t xml:space="preserve"> prices </w:t>
      </w:r>
      <w:r w:rsidR="007542DE" w:rsidRPr="00EE5F0F">
        <w:rPr>
          <w:rFonts w:ascii="Garamond" w:hAnsi="Garamond"/>
          <w:sz w:val="22"/>
          <w:szCs w:val="22"/>
        </w:rPr>
        <w:t>observable</w:t>
      </w:r>
      <w:r w:rsidR="0099686E" w:rsidRPr="00EE5F0F">
        <w:rPr>
          <w:rFonts w:ascii="Garamond" w:hAnsi="Garamond"/>
          <w:sz w:val="22"/>
          <w:szCs w:val="22"/>
        </w:rPr>
        <w:t xml:space="preserve"> in</w:t>
      </w:r>
      <w:r w:rsidRPr="00EE5F0F">
        <w:rPr>
          <w:rFonts w:ascii="Garamond" w:hAnsi="Garamond"/>
          <w:sz w:val="22"/>
          <w:szCs w:val="22"/>
        </w:rPr>
        <w:t xml:space="preserve"> the </w:t>
      </w:r>
      <w:r w:rsidR="007542DE" w:rsidRPr="00EE5F0F">
        <w:rPr>
          <w:rFonts w:ascii="Garamond" w:hAnsi="Garamond"/>
          <w:sz w:val="22"/>
          <w:szCs w:val="22"/>
        </w:rPr>
        <w:t>previous year and in early 2018</w:t>
      </w:r>
      <w:r w:rsidR="0099686E" w:rsidRPr="00EE5F0F">
        <w:rPr>
          <w:rFonts w:ascii="Garamond" w:hAnsi="Garamond"/>
          <w:sz w:val="22"/>
          <w:szCs w:val="22"/>
        </w:rPr>
        <w:t xml:space="preserve"> will, according to forecasts, continue in the short run as well, </w:t>
      </w:r>
      <w:r w:rsidR="00D442AC" w:rsidRPr="00EE5F0F">
        <w:rPr>
          <w:rFonts w:ascii="Garamond" w:hAnsi="Garamond"/>
          <w:sz w:val="22"/>
          <w:szCs w:val="22"/>
        </w:rPr>
        <w:t xml:space="preserve">due to the resumption of US sanctions against Iran as well as reduced US oil inventories. </w:t>
      </w:r>
      <w:r w:rsidR="00E3738D" w:rsidRPr="00EE5F0F">
        <w:rPr>
          <w:rFonts w:ascii="Garamond" w:hAnsi="Garamond"/>
          <w:sz w:val="22"/>
          <w:szCs w:val="22"/>
        </w:rPr>
        <w:t>The rise in international copper prices in the f</w:t>
      </w:r>
      <w:r w:rsidR="00D442AC" w:rsidRPr="00EE5F0F">
        <w:rPr>
          <w:rFonts w:ascii="Garamond" w:hAnsi="Garamond"/>
          <w:sz w:val="22"/>
          <w:szCs w:val="22"/>
        </w:rPr>
        <w:t>irst</w:t>
      </w:r>
      <w:r w:rsidR="00E3738D" w:rsidRPr="00EE5F0F">
        <w:rPr>
          <w:rFonts w:ascii="Garamond" w:hAnsi="Garamond"/>
          <w:sz w:val="22"/>
          <w:szCs w:val="22"/>
        </w:rPr>
        <w:t xml:space="preserve"> quarter of 2018 was driven by </w:t>
      </w:r>
      <w:r w:rsidR="00D442AC" w:rsidRPr="00EE5F0F">
        <w:rPr>
          <w:rFonts w:ascii="Garamond" w:hAnsi="Garamond"/>
          <w:sz w:val="22"/>
          <w:szCs w:val="22"/>
        </w:rPr>
        <w:t>robust demand, yet, i</w:t>
      </w:r>
      <w:r w:rsidR="0099686E" w:rsidRPr="00EE5F0F">
        <w:rPr>
          <w:rFonts w:ascii="Garamond" w:hAnsi="Garamond"/>
          <w:sz w:val="22"/>
          <w:szCs w:val="22"/>
        </w:rPr>
        <w:t>n the medium-term, a slight</w:t>
      </w:r>
      <w:r w:rsidR="00D442AC" w:rsidRPr="00EE5F0F">
        <w:rPr>
          <w:rFonts w:ascii="Garamond" w:hAnsi="Garamond"/>
          <w:sz w:val="22"/>
          <w:szCs w:val="22"/>
        </w:rPr>
        <w:t xml:space="preserve"> retreat </w:t>
      </w:r>
      <w:r w:rsidR="0099686E" w:rsidRPr="00EE5F0F">
        <w:rPr>
          <w:rFonts w:ascii="Garamond" w:hAnsi="Garamond"/>
          <w:sz w:val="22"/>
          <w:szCs w:val="22"/>
        </w:rPr>
        <w:t>from current</w:t>
      </w:r>
      <w:r w:rsidR="00566D4F">
        <w:rPr>
          <w:rFonts w:ascii="Garamond" w:hAnsi="Garamond"/>
          <w:sz w:val="22"/>
          <w:szCs w:val="22"/>
        </w:rPr>
        <w:t>ly</w:t>
      </w:r>
      <w:r w:rsidR="0099686E" w:rsidRPr="00EE5F0F">
        <w:rPr>
          <w:rFonts w:ascii="Garamond" w:hAnsi="Garamond"/>
          <w:sz w:val="22"/>
          <w:szCs w:val="22"/>
        </w:rPr>
        <w:t xml:space="preserve"> high levels is </w:t>
      </w:r>
      <w:r w:rsidR="00D442AC" w:rsidRPr="00EE5F0F">
        <w:rPr>
          <w:rFonts w:ascii="Garamond" w:hAnsi="Garamond"/>
          <w:sz w:val="22"/>
          <w:szCs w:val="22"/>
        </w:rPr>
        <w:t>anticipated</w:t>
      </w:r>
      <w:r w:rsidR="0099686E" w:rsidRPr="00EE5F0F">
        <w:rPr>
          <w:rFonts w:ascii="Garamond" w:hAnsi="Garamond"/>
          <w:sz w:val="22"/>
          <w:szCs w:val="22"/>
        </w:rPr>
        <w:t>.</w:t>
      </w:r>
      <w:r w:rsidR="006B09B3" w:rsidRPr="00EE5F0F">
        <w:rPr>
          <w:rFonts w:ascii="Garamond" w:hAnsi="Garamond"/>
          <w:sz w:val="22"/>
          <w:szCs w:val="22"/>
        </w:rPr>
        <w:t xml:space="preserve"> </w:t>
      </w:r>
    </w:p>
    <w:p w14:paraId="4A1C2F91" w14:textId="77777777" w:rsidR="00EE619D" w:rsidRPr="00EE5F0F" w:rsidRDefault="00EE619D" w:rsidP="00E3294E">
      <w:pPr>
        <w:autoSpaceDE w:val="0"/>
        <w:autoSpaceDN w:val="0"/>
        <w:adjustRightInd w:val="0"/>
        <w:spacing w:after="120" w:line="360" w:lineRule="auto"/>
        <w:jc w:val="both"/>
        <w:rPr>
          <w:rFonts w:ascii="Garamond" w:hAnsi="Garamond"/>
          <w:b/>
          <w:color w:val="0070C0"/>
          <w:sz w:val="22"/>
          <w:szCs w:val="22"/>
        </w:rPr>
      </w:pPr>
      <w:r w:rsidRPr="00EE5F0F">
        <w:rPr>
          <w:rFonts w:ascii="Garamond" w:hAnsi="Garamond"/>
          <w:sz w:val="22"/>
          <w:szCs w:val="22"/>
        </w:rPr>
        <w:lastRenderedPageBreak/>
        <w:t>In the world food product markets</w:t>
      </w:r>
      <w:r w:rsidR="006B09B3" w:rsidRPr="00EE5F0F">
        <w:rPr>
          <w:rFonts w:ascii="Garamond" w:hAnsi="Garamond"/>
          <w:sz w:val="22"/>
          <w:szCs w:val="22"/>
        </w:rPr>
        <w:t xml:space="preserve"> in the f</w:t>
      </w:r>
      <w:r w:rsidR="00D442AC" w:rsidRPr="00EE5F0F">
        <w:rPr>
          <w:rFonts w:ascii="Garamond" w:hAnsi="Garamond"/>
          <w:sz w:val="22"/>
          <w:szCs w:val="22"/>
        </w:rPr>
        <w:t>irst</w:t>
      </w:r>
      <w:r w:rsidR="006B09B3" w:rsidRPr="00EE5F0F">
        <w:rPr>
          <w:rFonts w:ascii="Garamond" w:hAnsi="Garamond"/>
          <w:sz w:val="22"/>
          <w:szCs w:val="22"/>
        </w:rPr>
        <w:t xml:space="preserve"> quarter of 201</w:t>
      </w:r>
      <w:r w:rsidR="00D442AC" w:rsidRPr="00EE5F0F">
        <w:rPr>
          <w:rFonts w:ascii="Garamond" w:hAnsi="Garamond"/>
          <w:sz w:val="22"/>
          <w:szCs w:val="22"/>
        </w:rPr>
        <w:t>8</w:t>
      </w:r>
      <w:r w:rsidRPr="00EE5F0F">
        <w:rPr>
          <w:rFonts w:ascii="Garamond" w:hAnsi="Garamond"/>
          <w:sz w:val="22"/>
          <w:szCs w:val="22"/>
        </w:rPr>
        <w:t xml:space="preserve">, </w:t>
      </w:r>
      <w:r w:rsidR="006B09B3" w:rsidRPr="00EE5F0F">
        <w:rPr>
          <w:rFonts w:ascii="Garamond" w:hAnsi="Garamond"/>
          <w:sz w:val="22"/>
          <w:szCs w:val="22"/>
        </w:rPr>
        <w:t xml:space="preserve">the price growth rates </w:t>
      </w:r>
      <w:r w:rsidR="00296C8A" w:rsidRPr="00EE5F0F">
        <w:rPr>
          <w:rFonts w:ascii="Garamond" w:hAnsi="Garamond"/>
          <w:sz w:val="22"/>
          <w:szCs w:val="22"/>
        </w:rPr>
        <w:t xml:space="preserve">somewhat </w:t>
      </w:r>
      <w:r w:rsidR="006B09B3" w:rsidRPr="00EE5F0F">
        <w:rPr>
          <w:rFonts w:ascii="Garamond" w:hAnsi="Garamond"/>
          <w:sz w:val="22"/>
          <w:szCs w:val="22"/>
        </w:rPr>
        <w:t xml:space="preserve">decelerated. </w:t>
      </w:r>
      <w:r w:rsidRPr="00EE5F0F">
        <w:rPr>
          <w:rFonts w:ascii="Garamond" w:hAnsi="Garamond"/>
          <w:sz w:val="22"/>
          <w:szCs w:val="22"/>
        </w:rPr>
        <w:t xml:space="preserve">In particular, the </w:t>
      </w:r>
      <w:r w:rsidR="006B09B3" w:rsidRPr="00EE5F0F">
        <w:rPr>
          <w:rFonts w:ascii="Garamond" w:hAnsi="Garamond"/>
          <w:sz w:val="22"/>
          <w:szCs w:val="22"/>
        </w:rPr>
        <w:t>decrease</w:t>
      </w:r>
      <w:r w:rsidRPr="00EE5F0F">
        <w:rPr>
          <w:rFonts w:ascii="Garamond" w:hAnsi="Garamond"/>
          <w:sz w:val="22"/>
          <w:szCs w:val="22"/>
        </w:rPr>
        <w:t xml:space="preserve"> in prices for </w:t>
      </w:r>
      <w:r w:rsidR="006B09B3" w:rsidRPr="00EE5F0F">
        <w:rPr>
          <w:rFonts w:ascii="Garamond" w:hAnsi="Garamond"/>
          <w:sz w:val="22"/>
          <w:szCs w:val="22"/>
        </w:rPr>
        <w:t>sugar</w:t>
      </w:r>
      <w:r w:rsidR="00276564" w:rsidRPr="00EE5F0F">
        <w:rPr>
          <w:rFonts w:ascii="Garamond" w:hAnsi="Garamond"/>
          <w:sz w:val="22"/>
          <w:szCs w:val="22"/>
        </w:rPr>
        <w:t xml:space="preserve"> and meat products </w:t>
      </w:r>
      <w:r w:rsidRPr="00EE5F0F">
        <w:rPr>
          <w:rFonts w:ascii="Garamond" w:hAnsi="Garamond"/>
          <w:sz w:val="22"/>
          <w:szCs w:val="22"/>
        </w:rPr>
        <w:t xml:space="preserve">has </w:t>
      </w:r>
      <w:r w:rsidR="006B09B3" w:rsidRPr="00EE5F0F">
        <w:rPr>
          <w:rFonts w:ascii="Garamond" w:hAnsi="Garamond"/>
          <w:sz w:val="22"/>
          <w:szCs w:val="22"/>
        </w:rPr>
        <w:t xml:space="preserve">resulted in slower growing </w:t>
      </w:r>
      <w:r w:rsidRPr="00EE5F0F">
        <w:rPr>
          <w:rFonts w:ascii="Garamond" w:hAnsi="Garamond"/>
          <w:sz w:val="22"/>
          <w:szCs w:val="22"/>
        </w:rPr>
        <w:t>food prices</w:t>
      </w:r>
      <w:r w:rsidR="00276564" w:rsidRPr="00EE5F0F">
        <w:rPr>
          <w:rFonts w:ascii="Garamond" w:hAnsi="Garamond"/>
          <w:sz w:val="22"/>
          <w:szCs w:val="22"/>
        </w:rPr>
        <w:t>, although the dairy product and wheat prices have risen.</w:t>
      </w:r>
      <w:r w:rsidR="006B09B3" w:rsidRPr="00EE5F0F">
        <w:rPr>
          <w:rFonts w:ascii="Garamond" w:hAnsi="Garamond"/>
          <w:sz w:val="22"/>
          <w:szCs w:val="22"/>
        </w:rPr>
        <w:t xml:space="preserve"> In 2018</w:t>
      </w:r>
      <w:r w:rsidR="00276564" w:rsidRPr="00EE5F0F">
        <w:rPr>
          <w:rFonts w:ascii="Garamond" w:hAnsi="Garamond"/>
          <w:sz w:val="22"/>
          <w:szCs w:val="22"/>
        </w:rPr>
        <w:t>,</w:t>
      </w:r>
      <w:r w:rsidR="006B09B3" w:rsidRPr="00EE5F0F">
        <w:rPr>
          <w:rFonts w:ascii="Garamond" w:hAnsi="Garamond"/>
          <w:sz w:val="22"/>
          <w:szCs w:val="22"/>
        </w:rPr>
        <w:t xml:space="preserve"> however</w:t>
      </w:r>
      <w:r w:rsidR="00276564" w:rsidRPr="00EE5F0F">
        <w:rPr>
          <w:rFonts w:ascii="Garamond" w:hAnsi="Garamond"/>
          <w:sz w:val="22"/>
          <w:szCs w:val="22"/>
        </w:rPr>
        <w:t>,</w:t>
      </w:r>
      <w:r w:rsidR="006B09B3" w:rsidRPr="00EE5F0F">
        <w:rPr>
          <w:rFonts w:ascii="Garamond" w:hAnsi="Garamond"/>
          <w:sz w:val="22"/>
          <w:szCs w:val="22"/>
        </w:rPr>
        <w:t xml:space="preserve"> international </w:t>
      </w:r>
      <w:r w:rsidR="00276564" w:rsidRPr="00EE5F0F">
        <w:rPr>
          <w:rFonts w:ascii="Garamond" w:hAnsi="Garamond"/>
          <w:sz w:val="22"/>
          <w:szCs w:val="22"/>
        </w:rPr>
        <w:t xml:space="preserve">food </w:t>
      </w:r>
      <w:r w:rsidR="006B09B3" w:rsidRPr="00EE5F0F">
        <w:rPr>
          <w:rFonts w:ascii="Garamond" w:hAnsi="Garamond"/>
          <w:sz w:val="22"/>
          <w:szCs w:val="22"/>
        </w:rPr>
        <w:t xml:space="preserve">prices are expected to </w:t>
      </w:r>
      <w:r w:rsidR="00276564" w:rsidRPr="00EE5F0F">
        <w:rPr>
          <w:rFonts w:ascii="Garamond" w:hAnsi="Garamond"/>
          <w:sz w:val="22"/>
          <w:szCs w:val="22"/>
        </w:rPr>
        <w:t>grow at a faster rate.</w:t>
      </w:r>
    </w:p>
    <w:p w14:paraId="3659A112" w14:textId="77777777" w:rsidR="00276564" w:rsidRPr="00EE5F0F" w:rsidRDefault="00276564" w:rsidP="00EE619D">
      <w:pPr>
        <w:autoSpaceDE w:val="0"/>
        <w:autoSpaceDN w:val="0"/>
        <w:adjustRightInd w:val="0"/>
        <w:spacing w:after="120" w:line="360" w:lineRule="auto"/>
        <w:jc w:val="both"/>
        <w:rPr>
          <w:rFonts w:ascii="Garamond" w:hAnsi="Garamond"/>
          <w:b/>
          <w:bCs/>
          <w:iCs/>
          <w:color w:val="0070C0"/>
          <w:sz w:val="22"/>
          <w:szCs w:val="22"/>
        </w:rPr>
      </w:pPr>
    </w:p>
    <w:p w14:paraId="27850FC0" w14:textId="77777777" w:rsidR="00EE619D" w:rsidRPr="00EE5F0F" w:rsidRDefault="00EE619D" w:rsidP="00EE619D">
      <w:pPr>
        <w:autoSpaceDE w:val="0"/>
        <w:autoSpaceDN w:val="0"/>
        <w:adjustRightInd w:val="0"/>
        <w:spacing w:after="120" w:line="360" w:lineRule="auto"/>
        <w:jc w:val="both"/>
        <w:rPr>
          <w:rFonts w:ascii="Garamond" w:hAnsi="Garamond"/>
          <w:sz w:val="22"/>
          <w:szCs w:val="22"/>
        </w:rPr>
      </w:pPr>
      <w:r w:rsidRPr="00EE5F0F">
        <w:rPr>
          <w:rFonts w:ascii="Garamond" w:hAnsi="Garamond"/>
          <w:b/>
          <w:bCs/>
          <w:iCs/>
          <w:color w:val="0070C0"/>
          <w:sz w:val="22"/>
          <w:szCs w:val="22"/>
        </w:rPr>
        <w:t>2.2. Forecasts</w:t>
      </w:r>
      <w:r w:rsidRPr="00EE5F0F">
        <w:rPr>
          <w:rFonts w:ascii="Garamond" w:hAnsi="Garamond"/>
          <w:sz w:val="22"/>
          <w:szCs w:val="22"/>
        </w:rPr>
        <w:t xml:space="preserve"> </w:t>
      </w:r>
    </w:p>
    <w:p w14:paraId="36B9F4EB" w14:textId="77777777" w:rsidR="00EE619D" w:rsidRPr="00EE5F0F" w:rsidRDefault="00EE619D" w:rsidP="00EE619D">
      <w:pPr>
        <w:autoSpaceDE w:val="0"/>
        <w:autoSpaceDN w:val="0"/>
        <w:adjustRightInd w:val="0"/>
        <w:spacing w:after="120" w:line="360" w:lineRule="auto"/>
        <w:jc w:val="both"/>
        <w:rPr>
          <w:rFonts w:ascii="Garamond" w:hAnsi="Garamond"/>
          <w:sz w:val="22"/>
          <w:szCs w:val="22"/>
        </w:rPr>
      </w:pPr>
      <w:r w:rsidRPr="00EE5F0F">
        <w:rPr>
          <w:rFonts w:ascii="Garamond" w:hAnsi="Garamond"/>
          <w:b/>
          <w:bCs/>
          <w:iCs/>
          <w:color w:val="0070C0"/>
          <w:sz w:val="22"/>
          <w:szCs w:val="22"/>
        </w:rPr>
        <w:t>2.2.1. Inflation and monetary policy</w:t>
      </w:r>
      <w:r w:rsidRPr="00EE5F0F">
        <w:rPr>
          <w:rFonts w:ascii="Garamond" w:hAnsi="Garamond"/>
          <w:sz w:val="22"/>
          <w:szCs w:val="22"/>
        </w:rPr>
        <w:t xml:space="preserve"> </w:t>
      </w:r>
    </w:p>
    <w:p w14:paraId="16F5AFBE" w14:textId="77777777" w:rsidR="00EE619D" w:rsidRPr="00EE5F0F" w:rsidRDefault="00846B8F" w:rsidP="00EE619D">
      <w:pPr>
        <w:autoSpaceDE w:val="0"/>
        <w:autoSpaceDN w:val="0"/>
        <w:adjustRightInd w:val="0"/>
        <w:spacing w:after="120" w:line="360" w:lineRule="auto"/>
        <w:jc w:val="both"/>
        <w:rPr>
          <w:rFonts w:ascii="Garamond" w:hAnsi="Garamond"/>
          <w:sz w:val="22"/>
          <w:szCs w:val="22"/>
        </w:rPr>
      </w:pPr>
      <w:r w:rsidRPr="00EE5F0F">
        <w:rPr>
          <w:rFonts w:ascii="Garamond" w:hAnsi="Garamond"/>
          <w:b/>
          <w:sz w:val="22"/>
          <w:szCs w:val="22"/>
        </w:rPr>
        <w:t>Driven by falling prices of seasonal products, inflation slowed down to some extent in the first quarter of 2018. However, g</w:t>
      </w:r>
      <w:r w:rsidR="003B18EA" w:rsidRPr="00EE5F0F">
        <w:rPr>
          <w:rFonts w:ascii="Garamond" w:hAnsi="Garamond"/>
          <w:b/>
          <w:sz w:val="22"/>
          <w:szCs w:val="22"/>
        </w:rPr>
        <w:t>iven</w:t>
      </w:r>
      <w:r w:rsidR="00E3294E" w:rsidRPr="00EE5F0F">
        <w:rPr>
          <w:rFonts w:ascii="Garamond" w:hAnsi="Garamond"/>
          <w:b/>
          <w:sz w:val="22"/>
          <w:szCs w:val="22"/>
        </w:rPr>
        <w:t xml:space="preserve"> the current monetary policy conditions, </w:t>
      </w:r>
      <w:r w:rsidRPr="00EE5F0F">
        <w:rPr>
          <w:rFonts w:ascii="Garamond" w:hAnsi="Garamond"/>
          <w:b/>
          <w:sz w:val="22"/>
          <w:szCs w:val="22"/>
        </w:rPr>
        <w:t>it</w:t>
      </w:r>
      <w:r w:rsidR="00EE619D" w:rsidRPr="00EE5F0F">
        <w:rPr>
          <w:rFonts w:ascii="Garamond" w:hAnsi="Garamond"/>
          <w:b/>
          <w:sz w:val="22"/>
          <w:szCs w:val="22"/>
        </w:rPr>
        <w:t xml:space="preserve"> will continue </w:t>
      </w:r>
      <w:r w:rsidR="00E3294E" w:rsidRPr="00EE5F0F">
        <w:rPr>
          <w:rFonts w:ascii="Garamond" w:hAnsi="Garamond"/>
          <w:b/>
          <w:sz w:val="22"/>
          <w:szCs w:val="22"/>
        </w:rPr>
        <w:t xml:space="preserve">expanding in 2018, staying within </w:t>
      </w:r>
      <w:r w:rsidR="00EE619D" w:rsidRPr="00EE5F0F">
        <w:rPr>
          <w:rFonts w:ascii="Garamond" w:hAnsi="Garamond"/>
          <w:b/>
          <w:sz w:val="22"/>
          <w:szCs w:val="22"/>
        </w:rPr>
        <w:t>the confidence band</w:t>
      </w:r>
      <w:r w:rsidRPr="00EE5F0F">
        <w:rPr>
          <w:rFonts w:ascii="Garamond" w:hAnsi="Garamond"/>
          <w:b/>
          <w:sz w:val="22"/>
          <w:szCs w:val="22"/>
        </w:rPr>
        <w:t>,</w:t>
      </w:r>
      <w:r w:rsidR="00E3294E" w:rsidRPr="00EE5F0F">
        <w:rPr>
          <w:rFonts w:ascii="Garamond" w:hAnsi="Garamond"/>
          <w:b/>
          <w:sz w:val="22"/>
          <w:szCs w:val="22"/>
        </w:rPr>
        <w:t xml:space="preserve"> and </w:t>
      </w:r>
      <w:r w:rsidRPr="00EE5F0F">
        <w:rPr>
          <w:rFonts w:ascii="Garamond" w:hAnsi="Garamond"/>
          <w:b/>
          <w:sz w:val="22"/>
          <w:szCs w:val="22"/>
        </w:rPr>
        <w:t xml:space="preserve">will </w:t>
      </w:r>
      <w:r w:rsidR="00E3294E" w:rsidRPr="00EE5F0F">
        <w:rPr>
          <w:rFonts w:ascii="Garamond" w:hAnsi="Garamond"/>
          <w:b/>
          <w:sz w:val="22"/>
          <w:szCs w:val="22"/>
        </w:rPr>
        <w:t>stabiliz</w:t>
      </w:r>
      <w:r w:rsidRPr="00EE5F0F">
        <w:rPr>
          <w:rFonts w:ascii="Garamond" w:hAnsi="Garamond"/>
          <w:b/>
          <w:sz w:val="22"/>
          <w:szCs w:val="22"/>
        </w:rPr>
        <w:t>e</w:t>
      </w:r>
      <w:r w:rsidR="00E3294E" w:rsidRPr="00EE5F0F">
        <w:rPr>
          <w:rFonts w:ascii="Garamond" w:hAnsi="Garamond"/>
          <w:b/>
          <w:sz w:val="22"/>
          <w:szCs w:val="22"/>
        </w:rPr>
        <w:t xml:space="preserve"> around the target </w:t>
      </w:r>
      <w:r w:rsidRPr="00EE5F0F">
        <w:rPr>
          <w:rFonts w:ascii="Garamond" w:hAnsi="Garamond"/>
          <w:b/>
          <w:sz w:val="22"/>
          <w:szCs w:val="22"/>
        </w:rPr>
        <w:t>in the forecast horizon</w:t>
      </w:r>
      <w:r w:rsidR="00E3294E" w:rsidRPr="00EE5F0F">
        <w:rPr>
          <w:rFonts w:ascii="Garamond" w:hAnsi="Garamond"/>
          <w:b/>
          <w:sz w:val="22"/>
          <w:szCs w:val="22"/>
        </w:rPr>
        <w:t xml:space="preserve">. </w:t>
      </w:r>
    </w:p>
    <w:p w14:paraId="6A63D3BA" w14:textId="77777777" w:rsidR="00D91261" w:rsidRPr="00EE5F0F" w:rsidRDefault="00F63631" w:rsidP="00EE619D">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In the first quarter of 2018</w:t>
      </w:r>
      <w:r w:rsidR="00566D4F">
        <w:rPr>
          <w:rFonts w:ascii="Garamond" w:hAnsi="Garamond"/>
          <w:sz w:val="22"/>
          <w:szCs w:val="22"/>
        </w:rPr>
        <w:t>,</w:t>
      </w:r>
      <w:r w:rsidRPr="00EE5F0F">
        <w:rPr>
          <w:rFonts w:ascii="Garamond" w:hAnsi="Garamond"/>
          <w:sz w:val="22"/>
          <w:szCs w:val="22"/>
        </w:rPr>
        <w:t xml:space="preserve"> core inflation rate kept on increasing</w:t>
      </w:r>
      <w:r w:rsidR="00E3294E" w:rsidRPr="00EE5F0F">
        <w:rPr>
          <w:rFonts w:ascii="Garamond" w:hAnsi="Garamond"/>
          <w:sz w:val="22"/>
          <w:szCs w:val="22"/>
        </w:rPr>
        <w:t xml:space="preserve">, </w:t>
      </w:r>
      <w:r w:rsidRPr="00EE5F0F">
        <w:rPr>
          <w:rFonts w:ascii="Garamond" w:hAnsi="Garamond"/>
          <w:sz w:val="22"/>
          <w:szCs w:val="22"/>
        </w:rPr>
        <w:t xml:space="preserve">yet it is expected to stabilize amid </w:t>
      </w:r>
      <w:r w:rsidR="002647E8" w:rsidRPr="00EE5F0F">
        <w:rPr>
          <w:rFonts w:ascii="Garamond" w:hAnsi="Garamond"/>
          <w:sz w:val="22"/>
          <w:szCs w:val="22"/>
        </w:rPr>
        <w:t xml:space="preserve">a certain slowing of demand. At the same time, </w:t>
      </w:r>
      <w:r w:rsidR="007E77B6" w:rsidRPr="00EE5F0F">
        <w:rPr>
          <w:rFonts w:ascii="Garamond" w:hAnsi="Garamond"/>
          <w:sz w:val="22"/>
          <w:szCs w:val="22"/>
        </w:rPr>
        <w:t xml:space="preserve">with </w:t>
      </w:r>
      <w:r w:rsidR="001B0A66" w:rsidRPr="00EE5F0F">
        <w:rPr>
          <w:rFonts w:ascii="Garamond" w:hAnsi="Garamond"/>
          <w:sz w:val="22"/>
          <w:szCs w:val="22"/>
        </w:rPr>
        <w:t xml:space="preserve">notably decreased </w:t>
      </w:r>
      <w:r w:rsidR="007E77B6" w:rsidRPr="00EE5F0F">
        <w:rPr>
          <w:rFonts w:ascii="Garamond" w:hAnsi="Garamond"/>
          <w:sz w:val="22"/>
          <w:szCs w:val="22"/>
        </w:rPr>
        <w:t xml:space="preserve">prices </w:t>
      </w:r>
      <w:r w:rsidR="001B0A66" w:rsidRPr="00EE5F0F">
        <w:rPr>
          <w:rFonts w:ascii="Garamond" w:hAnsi="Garamond"/>
          <w:sz w:val="22"/>
          <w:szCs w:val="22"/>
        </w:rPr>
        <w:t>of</w:t>
      </w:r>
      <w:r w:rsidR="007E77B6" w:rsidRPr="00EE5F0F">
        <w:rPr>
          <w:rFonts w:ascii="Garamond" w:hAnsi="Garamond"/>
          <w:sz w:val="22"/>
          <w:szCs w:val="22"/>
        </w:rPr>
        <w:t xml:space="preserve"> seasonal agricultural products, headline inflation </w:t>
      </w:r>
      <w:r w:rsidR="001B0A66" w:rsidRPr="00EE5F0F">
        <w:rPr>
          <w:rFonts w:ascii="Garamond" w:hAnsi="Garamond"/>
          <w:sz w:val="22"/>
          <w:szCs w:val="22"/>
        </w:rPr>
        <w:t>will decline in the second quarter</w:t>
      </w:r>
      <w:r w:rsidR="007E77B6" w:rsidRPr="00EE5F0F">
        <w:rPr>
          <w:rFonts w:ascii="Garamond" w:hAnsi="Garamond"/>
          <w:sz w:val="22"/>
          <w:szCs w:val="22"/>
        </w:rPr>
        <w:t xml:space="preserve">. </w:t>
      </w:r>
      <w:r w:rsidR="001B0A66" w:rsidRPr="00EE5F0F">
        <w:rPr>
          <w:rFonts w:ascii="Garamond" w:hAnsi="Garamond"/>
          <w:sz w:val="22"/>
          <w:szCs w:val="22"/>
        </w:rPr>
        <w:t xml:space="preserve">The estimation is that the </w:t>
      </w:r>
      <w:r w:rsidR="00D91261" w:rsidRPr="00EE5F0F">
        <w:rPr>
          <w:rFonts w:ascii="Garamond" w:hAnsi="Garamond"/>
          <w:sz w:val="22"/>
          <w:szCs w:val="22"/>
        </w:rPr>
        <w:t xml:space="preserve">aforementioned </w:t>
      </w:r>
      <w:r w:rsidR="001B0A66" w:rsidRPr="00EE5F0F">
        <w:rPr>
          <w:rFonts w:ascii="Garamond" w:hAnsi="Garamond"/>
          <w:sz w:val="22"/>
          <w:szCs w:val="22"/>
        </w:rPr>
        <w:t>price decline greatly owes to a seasonality shift in production</w:t>
      </w:r>
      <w:r w:rsidR="00D91261" w:rsidRPr="00EE5F0F">
        <w:rPr>
          <w:rFonts w:ascii="Garamond" w:hAnsi="Garamond"/>
          <w:sz w:val="22"/>
          <w:szCs w:val="22"/>
        </w:rPr>
        <w:t xml:space="preserve">, so </w:t>
      </w:r>
      <w:r w:rsidR="001B0A66" w:rsidRPr="00EE5F0F">
        <w:rPr>
          <w:rFonts w:ascii="Garamond" w:hAnsi="Garamond"/>
          <w:sz w:val="22"/>
          <w:szCs w:val="22"/>
        </w:rPr>
        <w:t>the price</w:t>
      </w:r>
      <w:r w:rsidR="00D91261" w:rsidRPr="00EE5F0F">
        <w:rPr>
          <w:rFonts w:ascii="Garamond" w:hAnsi="Garamond"/>
          <w:sz w:val="22"/>
          <w:szCs w:val="22"/>
        </w:rPr>
        <w:t xml:space="preserve"> increase is</w:t>
      </w:r>
      <w:r w:rsidR="001B0A66" w:rsidRPr="00EE5F0F">
        <w:rPr>
          <w:rFonts w:ascii="Garamond" w:hAnsi="Garamond"/>
          <w:sz w:val="22"/>
          <w:szCs w:val="22"/>
        </w:rPr>
        <w:t xml:space="preserve"> thought to recover in the upcoming quarters. </w:t>
      </w:r>
    </w:p>
    <w:p w14:paraId="12BE8042" w14:textId="77777777" w:rsidR="00E11C2C" w:rsidRPr="00EE5F0F" w:rsidRDefault="002B1812" w:rsidP="00EE619D">
      <w:pPr>
        <w:autoSpaceDE w:val="0"/>
        <w:autoSpaceDN w:val="0"/>
        <w:adjustRightInd w:val="0"/>
        <w:spacing w:after="120" w:line="360" w:lineRule="auto"/>
        <w:jc w:val="both"/>
        <w:rPr>
          <w:rFonts w:ascii="Garamond" w:hAnsi="Garamond"/>
          <w:b/>
          <w:sz w:val="22"/>
          <w:szCs w:val="22"/>
        </w:rPr>
      </w:pPr>
      <w:r w:rsidRPr="00EE5F0F">
        <w:rPr>
          <w:rFonts w:ascii="Garamond" w:hAnsi="Garamond"/>
          <w:sz w:val="22"/>
          <w:szCs w:val="22"/>
        </w:rPr>
        <w:t xml:space="preserve">The Central Bank estimates suggest that high economic activity observable earlier the year are largely driven by increased productivity in industry, services and construction. On the other hand, despite signs of slowing demand at the start of the year, the </w:t>
      </w:r>
      <w:r w:rsidR="00E8514A" w:rsidRPr="00EE5F0F">
        <w:rPr>
          <w:rFonts w:ascii="Garamond" w:hAnsi="Garamond"/>
          <w:sz w:val="22"/>
          <w:szCs w:val="22"/>
        </w:rPr>
        <w:t>expansionary</w:t>
      </w:r>
      <w:r w:rsidRPr="00EE5F0F">
        <w:rPr>
          <w:rFonts w:ascii="Garamond" w:hAnsi="Garamond"/>
          <w:sz w:val="22"/>
          <w:szCs w:val="22"/>
        </w:rPr>
        <w:t xml:space="preserve"> monetary environment continues to positively contribute to </w:t>
      </w:r>
      <w:r w:rsidR="00E8514A" w:rsidRPr="00EE5F0F">
        <w:rPr>
          <w:rFonts w:ascii="Garamond" w:hAnsi="Garamond"/>
          <w:sz w:val="22"/>
          <w:szCs w:val="22"/>
        </w:rPr>
        <w:t xml:space="preserve">the </w:t>
      </w:r>
      <w:r w:rsidRPr="00EE5F0F">
        <w:rPr>
          <w:rFonts w:ascii="Garamond" w:hAnsi="Garamond"/>
          <w:sz w:val="22"/>
          <w:szCs w:val="22"/>
        </w:rPr>
        <w:t>demand.</w:t>
      </w:r>
      <w:r w:rsidR="00E8514A" w:rsidRPr="00EE5F0F">
        <w:rPr>
          <w:rFonts w:ascii="Garamond" w:hAnsi="Garamond"/>
          <w:sz w:val="22"/>
          <w:szCs w:val="22"/>
        </w:rPr>
        <w:t xml:space="preserve"> </w:t>
      </w:r>
      <w:r w:rsidR="00725034" w:rsidRPr="00EE5F0F">
        <w:rPr>
          <w:rFonts w:ascii="Garamond" w:hAnsi="Garamond"/>
          <w:sz w:val="22"/>
          <w:szCs w:val="22"/>
        </w:rPr>
        <w:t>As a result, the GDP gap is estimated positive in the f</w:t>
      </w:r>
      <w:r w:rsidR="00E8514A" w:rsidRPr="00EE5F0F">
        <w:rPr>
          <w:rFonts w:ascii="Garamond" w:hAnsi="Garamond"/>
          <w:sz w:val="22"/>
          <w:szCs w:val="22"/>
        </w:rPr>
        <w:t>irst</w:t>
      </w:r>
      <w:r w:rsidR="00725034" w:rsidRPr="00EE5F0F">
        <w:rPr>
          <w:rFonts w:ascii="Garamond" w:hAnsi="Garamond"/>
          <w:sz w:val="22"/>
          <w:szCs w:val="22"/>
        </w:rPr>
        <w:t xml:space="preserve"> quarter of 201</w:t>
      </w:r>
      <w:r w:rsidR="00E8514A" w:rsidRPr="00EE5F0F">
        <w:rPr>
          <w:rFonts w:ascii="Garamond" w:hAnsi="Garamond"/>
          <w:sz w:val="22"/>
          <w:szCs w:val="22"/>
        </w:rPr>
        <w:t>8</w:t>
      </w:r>
      <w:r w:rsidR="008F2A0D" w:rsidRPr="00EE5F0F">
        <w:rPr>
          <w:rFonts w:ascii="Garamond" w:hAnsi="Garamond"/>
          <w:sz w:val="22"/>
          <w:szCs w:val="22"/>
        </w:rPr>
        <w:t xml:space="preserve">. At the same time, political processes in the country are expected to be reflected in both the supply and demand developments in the second quarter, leaving generally a neutral impact on GDP gap and inflation. </w:t>
      </w:r>
      <w:r w:rsidR="00F357AB" w:rsidRPr="00EE5F0F">
        <w:rPr>
          <w:rFonts w:ascii="Garamond" w:hAnsi="Garamond"/>
          <w:sz w:val="22"/>
          <w:szCs w:val="22"/>
        </w:rPr>
        <w:t xml:space="preserve">In the outcome, </w:t>
      </w:r>
      <w:r w:rsidR="00CE30C9" w:rsidRPr="00EE5F0F">
        <w:rPr>
          <w:rFonts w:ascii="Garamond" w:hAnsi="Garamond"/>
          <w:sz w:val="22"/>
          <w:szCs w:val="22"/>
        </w:rPr>
        <w:t xml:space="preserve">as </w:t>
      </w:r>
      <w:r w:rsidR="00F357AB" w:rsidRPr="00EE5F0F">
        <w:rPr>
          <w:rFonts w:ascii="Garamond" w:hAnsi="Garamond"/>
          <w:sz w:val="22"/>
          <w:szCs w:val="22"/>
        </w:rPr>
        <w:t>expansionary monetary conditions gradually eliminat</w:t>
      </w:r>
      <w:r w:rsidR="00CE30C9" w:rsidRPr="00EE5F0F">
        <w:rPr>
          <w:rFonts w:ascii="Garamond" w:hAnsi="Garamond"/>
          <w:sz w:val="22"/>
          <w:szCs w:val="22"/>
        </w:rPr>
        <w:t xml:space="preserve">e and </w:t>
      </w:r>
      <w:r w:rsidR="00D63200" w:rsidRPr="00EE5F0F">
        <w:rPr>
          <w:rFonts w:ascii="Garamond" w:hAnsi="Garamond"/>
          <w:sz w:val="22"/>
          <w:szCs w:val="22"/>
        </w:rPr>
        <w:t xml:space="preserve">in an almost </w:t>
      </w:r>
      <w:r w:rsidR="00CE30C9" w:rsidRPr="00EE5F0F">
        <w:rPr>
          <w:rFonts w:ascii="Garamond" w:hAnsi="Garamond"/>
          <w:sz w:val="22"/>
          <w:szCs w:val="22"/>
        </w:rPr>
        <w:t>neutral fiscal policy</w:t>
      </w:r>
      <w:r w:rsidR="00D63200" w:rsidRPr="00EE5F0F">
        <w:rPr>
          <w:rFonts w:ascii="Garamond" w:hAnsi="Garamond"/>
          <w:sz w:val="22"/>
          <w:szCs w:val="22"/>
        </w:rPr>
        <w:t xml:space="preserve"> environment</w:t>
      </w:r>
      <w:r w:rsidR="00CE30C9" w:rsidRPr="00EE5F0F">
        <w:rPr>
          <w:rFonts w:ascii="Garamond" w:hAnsi="Garamond"/>
          <w:sz w:val="22"/>
          <w:szCs w:val="22"/>
        </w:rPr>
        <w:t xml:space="preserve">, the </w:t>
      </w:r>
      <w:r w:rsidR="00DC4209" w:rsidRPr="00EE5F0F">
        <w:rPr>
          <w:rFonts w:ascii="Garamond" w:hAnsi="Garamond"/>
          <w:sz w:val="22"/>
          <w:szCs w:val="22"/>
        </w:rPr>
        <w:t>positive GDP gap</w:t>
      </w:r>
      <w:r w:rsidR="00CE30C9" w:rsidRPr="00EE5F0F">
        <w:rPr>
          <w:rFonts w:ascii="Garamond" w:hAnsi="Garamond"/>
          <w:sz w:val="22"/>
          <w:szCs w:val="22"/>
        </w:rPr>
        <w:t xml:space="preserve"> will reduce and phase out in the medium-term perspective</w:t>
      </w:r>
      <w:r w:rsidR="00DC4209" w:rsidRPr="00EE5F0F">
        <w:rPr>
          <w:rFonts w:ascii="Garamond" w:hAnsi="Garamond"/>
          <w:sz w:val="22"/>
          <w:szCs w:val="22"/>
        </w:rPr>
        <w:t xml:space="preserve">, </w:t>
      </w:r>
      <w:r w:rsidR="00D63200" w:rsidRPr="00EE5F0F">
        <w:rPr>
          <w:rFonts w:ascii="Garamond" w:hAnsi="Garamond"/>
          <w:sz w:val="22"/>
          <w:szCs w:val="22"/>
        </w:rPr>
        <w:t xml:space="preserve">helping the inflation stabilize </w:t>
      </w:r>
      <w:r w:rsidR="00B14F11" w:rsidRPr="00EE5F0F">
        <w:rPr>
          <w:rFonts w:ascii="Garamond" w:hAnsi="Garamond"/>
          <w:sz w:val="22"/>
          <w:szCs w:val="22"/>
        </w:rPr>
        <w:t xml:space="preserve">around </w:t>
      </w:r>
      <w:r w:rsidR="00DC4209" w:rsidRPr="00EE5F0F">
        <w:rPr>
          <w:rFonts w:ascii="Garamond" w:hAnsi="Garamond"/>
          <w:sz w:val="22"/>
          <w:szCs w:val="22"/>
        </w:rPr>
        <w:t>the target</w:t>
      </w:r>
      <w:r w:rsidR="00B14F11" w:rsidRPr="00EE5F0F">
        <w:rPr>
          <w:rFonts w:ascii="Garamond" w:hAnsi="Garamond"/>
          <w:sz w:val="22"/>
          <w:szCs w:val="22"/>
        </w:rPr>
        <w:t>.</w:t>
      </w:r>
      <w:r w:rsidR="00D63200" w:rsidRPr="00EE5F0F">
        <w:rPr>
          <w:rFonts w:ascii="Garamond" w:hAnsi="Garamond"/>
          <w:sz w:val="22"/>
          <w:szCs w:val="22"/>
        </w:rPr>
        <w:t xml:space="preserve"> In view of current inflation developments, it is estimated that short-term inflation expectations of households have stabilized on the whole. </w:t>
      </w:r>
      <w:r w:rsidR="00D63200" w:rsidRPr="00EE5F0F">
        <w:rPr>
          <w:rFonts w:ascii="Garamond" w:hAnsi="Garamond"/>
          <w:b/>
          <w:sz w:val="22"/>
          <w:szCs w:val="22"/>
        </w:rPr>
        <w:t>Moreover, additional inflation developments in the current situation</w:t>
      </w:r>
      <w:r w:rsidR="00E11C2C" w:rsidRPr="00EE5F0F">
        <w:rPr>
          <w:rFonts w:ascii="Garamond" w:hAnsi="Garamond"/>
          <w:b/>
          <w:sz w:val="22"/>
          <w:szCs w:val="22"/>
        </w:rPr>
        <w:t xml:space="preserve"> are not likely</w:t>
      </w:r>
      <w:r w:rsidR="00D63200" w:rsidRPr="00EE5F0F">
        <w:rPr>
          <w:rFonts w:ascii="Garamond" w:hAnsi="Garamond"/>
          <w:b/>
          <w:sz w:val="22"/>
          <w:szCs w:val="22"/>
        </w:rPr>
        <w:t xml:space="preserve">, so </w:t>
      </w:r>
      <w:r w:rsidR="00E11C2C" w:rsidRPr="00EE5F0F">
        <w:rPr>
          <w:rFonts w:ascii="Garamond" w:hAnsi="Garamond"/>
          <w:b/>
          <w:sz w:val="22"/>
          <w:szCs w:val="22"/>
        </w:rPr>
        <w:t xml:space="preserve">the Board of the Central Bank believes that the policy rate should be left unchanged. </w:t>
      </w:r>
    </w:p>
    <w:p w14:paraId="314B16DB" w14:textId="77777777" w:rsidR="00EF63CF" w:rsidRPr="00EE5F0F" w:rsidRDefault="00E11C2C" w:rsidP="00EE619D">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The</w:t>
      </w:r>
      <w:r w:rsidR="00EF63CF" w:rsidRPr="00EE5F0F">
        <w:rPr>
          <w:rFonts w:ascii="Garamond" w:hAnsi="Garamond"/>
          <w:sz w:val="22"/>
          <w:szCs w:val="22"/>
        </w:rPr>
        <w:t xml:space="preserve"> demand- and inflation-related risks are projected </w:t>
      </w:r>
      <w:r w:rsidRPr="00EE5F0F">
        <w:rPr>
          <w:rFonts w:ascii="Garamond" w:hAnsi="Garamond"/>
          <w:sz w:val="22"/>
          <w:szCs w:val="22"/>
        </w:rPr>
        <w:t>balanced</w:t>
      </w:r>
      <w:r w:rsidR="00860787" w:rsidRPr="00EE5F0F">
        <w:rPr>
          <w:rFonts w:ascii="Garamond" w:hAnsi="Garamond"/>
          <w:sz w:val="22"/>
          <w:szCs w:val="22"/>
        </w:rPr>
        <w:t xml:space="preserve">, and if such risks materialize, the </w:t>
      </w:r>
      <w:r w:rsidR="00EF63CF" w:rsidRPr="00EE5F0F">
        <w:rPr>
          <w:rFonts w:ascii="Garamond" w:hAnsi="Garamond"/>
          <w:sz w:val="22"/>
          <w:szCs w:val="22"/>
        </w:rPr>
        <w:t xml:space="preserve">Central Bank will </w:t>
      </w:r>
      <w:r w:rsidR="00860787" w:rsidRPr="00EE5F0F">
        <w:rPr>
          <w:rFonts w:ascii="Garamond" w:hAnsi="Garamond"/>
          <w:sz w:val="22"/>
          <w:szCs w:val="22"/>
        </w:rPr>
        <w:t xml:space="preserve">react by adjusting </w:t>
      </w:r>
      <w:r w:rsidR="00EF63CF" w:rsidRPr="00EE5F0F">
        <w:rPr>
          <w:rFonts w:ascii="Garamond" w:hAnsi="Garamond"/>
          <w:sz w:val="22"/>
          <w:szCs w:val="22"/>
        </w:rPr>
        <w:t>the monetary conditions</w:t>
      </w:r>
      <w:r w:rsidR="00860787" w:rsidRPr="00EE5F0F">
        <w:rPr>
          <w:rFonts w:ascii="Garamond" w:hAnsi="Garamond"/>
          <w:sz w:val="22"/>
          <w:szCs w:val="22"/>
        </w:rPr>
        <w:t xml:space="preserve"> accordingly</w:t>
      </w:r>
      <w:r w:rsidR="00EF63CF" w:rsidRPr="00EE5F0F">
        <w:rPr>
          <w:rFonts w:ascii="Garamond" w:hAnsi="Garamond"/>
          <w:sz w:val="22"/>
          <w:szCs w:val="22"/>
        </w:rPr>
        <w:t>.</w:t>
      </w:r>
    </w:p>
    <w:p w14:paraId="28B88FD9" w14:textId="77777777" w:rsidR="00860787" w:rsidRPr="00EE5F0F" w:rsidRDefault="00860787" w:rsidP="00EE619D">
      <w:pPr>
        <w:autoSpaceDE w:val="0"/>
        <w:autoSpaceDN w:val="0"/>
        <w:adjustRightInd w:val="0"/>
        <w:spacing w:after="120" w:line="360" w:lineRule="auto"/>
        <w:jc w:val="both"/>
        <w:rPr>
          <w:rFonts w:ascii="Garamond" w:hAnsi="Garamond"/>
          <w:b/>
          <w:bCs/>
          <w:iCs/>
          <w:color w:val="0070C0"/>
          <w:sz w:val="22"/>
          <w:szCs w:val="22"/>
        </w:rPr>
      </w:pPr>
    </w:p>
    <w:p w14:paraId="4B734BD4" w14:textId="77777777" w:rsidR="00EE619D" w:rsidRPr="00EE5F0F" w:rsidRDefault="00EE619D" w:rsidP="00EE619D">
      <w:pPr>
        <w:autoSpaceDE w:val="0"/>
        <w:autoSpaceDN w:val="0"/>
        <w:adjustRightInd w:val="0"/>
        <w:spacing w:after="120" w:line="360" w:lineRule="auto"/>
        <w:jc w:val="both"/>
        <w:rPr>
          <w:rFonts w:ascii="Garamond" w:hAnsi="Garamond"/>
          <w:b/>
          <w:bCs/>
          <w:iCs/>
          <w:color w:val="0070C0"/>
          <w:sz w:val="22"/>
          <w:szCs w:val="22"/>
        </w:rPr>
      </w:pPr>
      <w:r w:rsidRPr="00EE5F0F">
        <w:rPr>
          <w:rFonts w:ascii="Garamond" w:hAnsi="Garamond"/>
          <w:b/>
          <w:bCs/>
          <w:iCs/>
          <w:color w:val="0070C0"/>
          <w:sz w:val="22"/>
          <w:szCs w:val="22"/>
        </w:rPr>
        <w:lastRenderedPageBreak/>
        <w:t>2.2.2. Economic activity</w:t>
      </w:r>
      <w:r w:rsidR="00E11C2C" w:rsidRPr="00EE5F0F">
        <w:rPr>
          <w:rStyle w:val="FootnoteReference"/>
          <w:rFonts w:ascii="Garamond" w:hAnsi="Garamond"/>
          <w:b/>
          <w:bCs/>
          <w:iCs/>
          <w:color w:val="0070C0"/>
          <w:sz w:val="22"/>
          <w:szCs w:val="22"/>
        </w:rPr>
        <w:footnoteReference w:customMarkFollows="1" w:id="1"/>
        <w:t>2</w:t>
      </w:r>
    </w:p>
    <w:p w14:paraId="2130CF3F" w14:textId="77777777" w:rsidR="00EE619D" w:rsidRPr="00EE5F0F" w:rsidRDefault="00EE619D" w:rsidP="00EE619D">
      <w:pPr>
        <w:autoSpaceDE w:val="0"/>
        <w:autoSpaceDN w:val="0"/>
        <w:adjustRightInd w:val="0"/>
        <w:spacing w:after="120" w:line="360" w:lineRule="auto"/>
        <w:jc w:val="both"/>
        <w:rPr>
          <w:rFonts w:ascii="Garamond" w:hAnsi="Garamond"/>
          <w:sz w:val="22"/>
          <w:szCs w:val="22"/>
        </w:rPr>
      </w:pPr>
      <w:r w:rsidRPr="00EE5F0F">
        <w:rPr>
          <w:rFonts w:ascii="Garamond" w:hAnsi="Garamond"/>
          <w:b/>
          <w:sz w:val="22"/>
          <w:szCs w:val="22"/>
        </w:rPr>
        <w:t>Aggregate demand:</w:t>
      </w:r>
      <w:r w:rsidRPr="00EE5F0F">
        <w:rPr>
          <w:rFonts w:ascii="Garamond" w:hAnsi="Garamond"/>
          <w:sz w:val="22"/>
          <w:szCs w:val="22"/>
        </w:rPr>
        <w:t xml:space="preserve"> </w:t>
      </w:r>
      <w:r w:rsidR="00677E52" w:rsidRPr="00EE5F0F">
        <w:rPr>
          <w:rFonts w:ascii="Garamond" w:hAnsi="Garamond"/>
          <w:sz w:val="22"/>
          <w:szCs w:val="22"/>
        </w:rPr>
        <w:t>High economic activity still persisted over the first quarter of 2018</w:t>
      </w:r>
      <w:r w:rsidR="00967B45" w:rsidRPr="00EE5F0F">
        <w:rPr>
          <w:rFonts w:ascii="Garamond" w:hAnsi="Garamond"/>
          <w:sz w:val="22"/>
          <w:szCs w:val="22"/>
        </w:rPr>
        <w:t>; staring from the second quarter, it will gradually defuse to approach its potential level.</w:t>
      </w:r>
      <w:r w:rsidR="00677E52" w:rsidRPr="00EE5F0F">
        <w:rPr>
          <w:rFonts w:ascii="Garamond" w:hAnsi="Garamond"/>
          <w:sz w:val="22"/>
          <w:szCs w:val="22"/>
        </w:rPr>
        <w:t xml:space="preserve"> </w:t>
      </w:r>
      <w:r w:rsidR="00511F0C" w:rsidRPr="00EE5F0F">
        <w:rPr>
          <w:rFonts w:ascii="Garamond" w:hAnsi="Garamond"/>
          <w:sz w:val="22"/>
          <w:szCs w:val="22"/>
        </w:rPr>
        <w:t xml:space="preserve">The 2018 economic growth is largely attributable to the expansionary monetary policy implementation by </w:t>
      </w:r>
      <w:r w:rsidRPr="00EE5F0F">
        <w:rPr>
          <w:rFonts w:ascii="Garamond" w:hAnsi="Garamond"/>
          <w:sz w:val="22"/>
          <w:szCs w:val="22"/>
        </w:rPr>
        <w:t>the Central Bank</w:t>
      </w:r>
      <w:r w:rsidR="00511F0C" w:rsidRPr="00EE5F0F">
        <w:rPr>
          <w:rFonts w:ascii="Garamond" w:hAnsi="Garamond"/>
          <w:sz w:val="22"/>
          <w:szCs w:val="22"/>
        </w:rPr>
        <w:t>,</w:t>
      </w:r>
      <w:r w:rsidR="009F6F95" w:rsidRPr="00EE5F0F">
        <w:rPr>
          <w:rFonts w:ascii="Garamond" w:hAnsi="Garamond"/>
          <w:sz w:val="22"/>
          <w:szCs w:val="22"/>
        </w:rPr>
        <w:t xml:space="preserve"> </w:t>
      </w:r>
      <w:r w:rsidR="00860787" w:rsidRPr="00EE5F0F">
        <w:rPr>
          <w:rFonts w:ascii="Garamond" w:hAnsi="Garamond"/>
          <w:sz w:val="22"/>
          <w:szCs w:val="22"/>
        </w:rPr>
        <w:t>growth of lending to the economy</w:t>
      </w:r>
      <w:r w:rsidR="00511F0C" w:rsidRPr="00EE5F0F">
        <w:rPr>
          <w:rFonts w:ascii="Garamond" w:hAnsi="Garamond"/>
          <w:sz w:val="22"/>
          <w:szCs w:val="22"/>
        </w:rPr>
        <w:t>, high investment activity</w:t>
      </w:r>
      <w:r w:rsidR="00860787" w:rsidRPr="00EE5F0F">
        <w:rPr>
          <w:rFonts w:ascii="Garamond" w:hAnsi="Garamond"/>
          <w:sz w:val="22"/>
          <w:szCs w:val="22"/>
        </w:rPr>
        <w:t xml:space="preserve"> </w:t>
      </w:r>
      <w:r w:rsidR="009F6F95" w:rsidRPr="00EE5F0F">
        <w:rPr>
          <w:rFonts w:ascii="Garamond" w:hAnsi="Garamond"/>
          <w:sz w:val="22"/>
          <w:szCs w:val="22"/>
        </w:rPr>
        <w:t>as well as</w:t>
      </w:r>
      <w:r w:rsidR="00860787" w:rsidRPr="00EE5F0F">
        <w:rPr>
          <w:rFonts w:ascii="Garamond" w:hAnsi="Garamond"/>
          <w:sz w:val="22"/>
          <w:szCs w:val="22"/>
        </w:rPr>
        <w:t xml:space="preserve"> </w:t>
      </w:r>
      <w:r w:rsidR="00511F0C" w:rsidRPr="00EE5F0F">
        <w:rPr>
          <w:rFonts w:ascii="Garamond" w:hAnsi="Garamond"/>
          <w:sz w:val="22"/>
          <w:szCs w:val="22"/>
        </w:rPr>
        <w:t xml:space="preserve">increased </w:t>
      </w:r>
      <w:r w:rsidR="009F6F95" w:rsidRPr="00EE5F0F">
        <w:rPr>
          <w:rFonts w:ascii="Garamond" w:hAnsi="Garamond"/>
          <w:sz w:val="22"/>
          <w:szCs w:val="22"/>
        </w:rPr>
        <w:t>external demand.</w:t>
      </w:r>
      <w:r w:rsidRPr="00EE5F0F">
        <w:rPr>
          <w:rFonts w:ascii="Garamond" w:hAnsi="Garamond"/>
          <w:sz w:val="22"/>
          <w:szCs w:val="22"/>
        </w:rPr>
        <w:t xml:space="preserve"> </w:t>
      </w:r>
    </w:p>
    <w:p w14:paraId="688B6572" w14:textId="77777777" w:rsidR="00EE619D" w:rsidRPr="00EE5F0F" w:rsidRDefault="00EE619D" w:rsidP="00EE619D">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In light of the aforementioned developments, economic growth in 201</w:t>
      </w:r>
      <w:r w:rsidR="00511F0C" w:rsidRPr="00EE5F0F">
        <w:rPr>
          <w:rFonts w:ascii="Garamond" w:hAnsi="Garamond"/>
          <w:sz w:val="22"/>
          <w:szCs w:val="22"/>
        </w:rPr>
        <w:t>8</w:t>
      </w:r>
      <w:r w:rsidRPr="00EE5F0F">
        <w:rPr>
          <w:rFonts w:ascii="Garamond" w:hAnsi="Garamond"/>
          <w:sz w:val="22"/>
          <w:szCs w:val="22"/>
        </w:rPr>
        <w:t xml:space="preserve"> is expected in the range of </w:t>
      </w:r>
      <w:r w:rsidR="00511F0C" w:rsidRPr="00EE5F0F">
        <w:rPr>
          <w:rFonts w:ascii="Garamond" w:hAnsi="Garamond"/>
          <w:b/>
          <w:sz w:val="22"/>
          <w:szCs w:val="22"/>
        </w:rPr>
        <w:t>4</w:t>
      </w:r>
      <w:r w:rsidRPr="00EE5F0F">
        <w:rPr>
          <w:rFonts w:ascii="Garamond" w:hAnsi="Garamond"/>
          <w:b/>
          <w:sz w:val="22"/>
          <w:szCs w:val="22"/>
        </w:rPr>
        <w:t>.</w:t>
      </w:r>
      <w:r w:rsidR="00511F0C" w:rsidRPr="00EE5F0F">
        <w:rPr>
          <w:rFonts w:ascii="Garamond" w:hAnsi="Garamond"/>
          <w:b/>
          <w:sz w:val="22"/>
          <w:szCs w:val="22"/>
        </w:rPr>
        <w:t>5</w:t>
      </w:r>
      <w:r w:rsidRPr="00EE5F0F">
        <w:rPr>
          <w:rFonts w:ascii="Garamond" w:hAnsi="Garamond"/>
          <w:b/>
          <w:sz w:val="22"/>
          <w:szCs w:val="22"/>
        </w:rPr>
        <w:t>-</w:t>
      </w:r>
      <w:r w:rsidR="00511F0C" w:rsidRPr="00EE5F0F">
        <w:rPr>
          <w:rFonts w:ascii="Garamond" w:hAnsi="Garamond"/>
          <w:b/>
          <w:sz w:val="22"/>
          <w:szCs w:val="22"/>
        </w:rPr>
        <w:t>6</w:t>
      </w:r>
      <w:r w:rsidRPr="00EE5F0F">
        <w:rPr>
          <w:rFonts w:ascii="Garamond" w:hAnsi="Garamond"/>
          <w:b/>
          <w:sz w:val="22"/>
          <w:szCs w:val="22"/>
        </w:rPr>
        <w:t>.</w:t>
      </w:r>
      <w:r w:rsidR="00511F0C" w:rsidRPr="00EE5F0F">
        <w:rPr>
          <w:rFonts w:ascii="Garamond" w:hAnsi="Garamond"/>
          <w:b/>
          <w:sz w:val="22"/>
          <w:szCs w:val="22"/>
        </w:rPr>
        <w:t>5</w:t>
      </w:r>
      <w:r w:rsidRPr="00EE5F0F">
        <w:rPr>
          <w:rFonts w:ascii="Garamond" w:hAnsi="Garamond"/>
          <w:b/>
          <w:sz w:val="22"/>
          <w:szCs w:val="22"/>
        </w:rPr>
        <w:t>%</w:t>
      </w:r>
      <w:r w:rsidR="00511F0C" w:rsidRPr="00EE5F0F">
        <w:rPr>
          <w:rFonts w:ascii="Garamond" w:hAnsi="Garamond"/>
          <w:b/>
          <w:sz w:val="22"/>
          <w:szCs w:val="22"/>
        </w:rPr>
        <w:t>.</w:t>
      </w:r>
      <w:r w:rsidRPr="00EE5F0F">
        <w:rPr>
          <w:rFonts w:ascii="Garamond" w:hAnsi="Garamond"/>
          <w:sz w:val="22"/>
          <w:szCs w:val="22"/>
        </w:rPr>
        <w:t xml:space="preserve"> </w:t>
      </w:r>
      <w:r w:rsidR="00511F0C" w:rsidRPr="00EE5F0F">
        <w:rPr>
          <w:rFonts w:ascii="Garamond" w:hAnsi="Garamond"/>
          <w:sz w:val="22"/>
          <w:szCs w:val="22"/>
        </w:rPr>
        <w:t xml:space="preserve">The </w:t>
      </w:r>
      <w:r w:rsidR="00BC5F0A" w:rsidRPr="00EE5F0F">
        <w:rPr>
          <w:rFonts w:ascii="Garamond" w:hAnsi="Garamond"/>
          <w:sz w:val="22"/>
          <w:szCs w:val="22"/>
        </w:rPr>
        <w:t xml:space="preserve">3.7% growth in private consumption and 9.5% growth in investment will make </w:t>
      </w:r>
      <w:r w:rsidR="00263C12" w:rsidRPr="00EE5F0F">
        <w:rPr>
          <w:rFonts w:ascii="Garamond" w:hAnsi="Garamond"/>
          <w:sz w:val="22"/>
          <w:szCs w:val="22"/>
        </w:rPr>
        <w:t xml:space="preserve">a </w:t>
      </w:r>
      <w:r w:rsidR="00BC5F0A" w:rsidRPr="00EE5F0F">
        <w:rPr>
          <w:rFonts w:ascii="Garamond" w:hAnsi="Garamond"/>
          <w:sz w:val="22"/>
          <w:szCs w:val="22"/>
        </w:rPr>
        <w:t xml:space="preserve">4.6 pp contribution to the </w:t>
      </w:r>
      <w:r w:rsidR="00511F0C" w:rsidRPr="00EE5F0F">
        <w:rPr>
          <w:rFonts w:ascii="Garamond" w:hAnsi="Garamond"/>
          <w:sz w:val="22"/>
          <w:szCs w:val="22"/>
        </w:rPr>
        <w:t>growth</w:t>
      </w:r>
      <w:r w:rsidR="00263C12" w:rsidRPr="00EE5F0F">
        <w:rPr>
          <w:rFonts w:ascii="Garamond" w:hAnsi="Garamond"/>
          <w:sz w:val="22"/>
          <w:szCs w:val="22"/>
        </w:rPr>
        <w:t xml:space="preserve">, whereas </w:t>
      </w:r>
      <w:r w:rsidR="00511F0C" w:rsidRPr="00EE5F0F">
        <w:rPr>
          <w:rFonts w:ascii="Garamond" w:hAnsi="Garamond"/>
          <w:sz w:val="22"/>
          <w:szCs w:val="22"/>
        </w:rPr>
        <w:t xml:space="preserve">public spending </w:t>
      </w:r>
      <w:r w:rsidR="00281E1F" w:rsidRPr="00EE5F0F">
        <w:rPr>
          <w:rFonts w:ascii="Garamond" w:hAnsi="Garamond"/>
          <w:sz w:val="22"/>
          <w:szCs w:val="22"/>
        </w:rPr>
        <w:t xml:space="preserve">will </w:t>
      </w:r>
      <w:r w:rsidR="00263C12" w:rsidRPr="00EE5F0F">
        <w:rPr>
          <w:rFonts w:ascii="Garamond" w:hAnsi="Garamond"/>
          <w:sz w:val="22"/>
          <w:szCs w:val="22"/>
        </w:rPr>
        <w:t xml:space="preserve">leave a 1.7 pp </w:t>
      </w:r>
      <w:r w:rsidR="00281E1F" w:rsidRPr="00EE5F0F">
        <w:rPr>
          <w:rFonts w:ascii="Garamond" w:hAnsi="Garamond"/>
          <w:sz w:val="22"/>
          <w:szCs w:val="22"/>
        </w:rPr>
        <w:t xml:space="preserve">negative impact on </w:t>
      </w:r>
      <w:r w:rsidR="00263C12" w:rsidRPr="00EE5F0F">
        <w:rPr>
          <w:rFonts w:ascii="Garamond" w:hAnsi="Garamond"/>
          <w:sz w:val="22"/>
          <w:szCs w:val="22"/>
        </w:rPr>
        <w:t xml:space="preserve">the </w:t>
      </w:r>
      <w:r w:rsidR="00281E1F" w:rsidRPr="00EE5F0F">
        <w:rPr>
          <w:rFonts w:ascii="Garamond" w:hAnsi="Garamond"/>
          <w:sz w:val="22"/>
          <w:szCs w:val="22"/>
        </w:rPr>
        <w:t xml:space="preserve">growth. </w:t>
      </w:r>
      <w:r w:rsidR="00263C12" w:rsidRPr="00EE5F0F">
        <w:rPr>
          <w:rFonts w:ascii="Garamond" w:hAnsi="Garamond"/>
          <w:sz w:val="22"/>
          <w:szCs w:val="22"/>
        </w:rPr>
        <w:t>N</w:t>
      </w:r>
      <w:r w:rsidR="00511F0C" w:rsidRPr="00EE5F0F">
        <w:rPr>
          <w:rFonts w:ascii="Garamond" w:hAnsi="Garamond"/>
          <w:sz w:val="22"/>
          <w:szCs w:val="22"/>
        </w:rPr>
        <w:t xml:space="preserve">et exports </w:t>
      </w:r>
      <w:r w:rsidR="00281E1F" w:rsidRPr="00EE5F0F">
        <w:rPr>
          <w:rFonts w:ascii="Garamond" w:hAnsi="Garamond"/>
          <w:sz w:val="22"/>
          <w:szCs w:val="22"/>
        </w:rPr>
        <w:t xml:space="preserve">will </w:t>
      </w:r>
      <w:r w:rsidR="00206E6A" w:rsidRPr="00EE5F0F">
        <w:rPr>
          <w:rFonts w:ascii="Garamond" w:hAnsi="Garamond"/>
          <w:sz w:val="22"/>
          <w:szCs w:val="22"/>
        </w:rPr>
        <w:t xml:space="preserve">make </w:t>
      </w:r>
      <w:r w:rsidR="00281E1F" w:rsidRPr="00EE5F0F">
        <w:rPr>
          <w:rFonts w:ascii="Garamond" w:hAnsi="Garamond"/>
          <w:sz w:val="22"/>
          <w:szCs w:val="22"/>
        </w:rPr>
        <w:t xml:space="preserve">a </w:t>
      </w:r>
      <w:r w:rsidR="00263C12" w:rsidRPr="00EE5F0F">
        <w:rPr>
          <w:rFonts w:ascii="Garamond" w:hAnsi="Garamond"/>
          <w:sz w:val="22"/>
          <w:szCs w:val="22"/>
        </w:rPr>
        <w:t>2</w:t>
      </w:r>
      <w:r w:rsidR="00281E1F" w:rsidRPr="00EE5F0F">
        <w:rPr>
          <w:rFonts w:ascii="Garamond" w:hAnsi="Garamond"/>
          <w:sz w:val="22"/>
          <w:szCs w:val="22"/>
        </w:rPr>
        <w:t>.</w:t>
      </w:r>
      <w:r w:rsidR="00263C12" w:rsidRPr="00EE5F0F">
        <w:rPr>
          <w:rFonts w:ascii="Garamond" w:hAnsi="Garamond"/>
          <w:sz w:val="22"/>
          <w:szCs w:val="22"/>
        </w:rPr>
        <w:t>6</w:t>
      </w:r>
      <w:r w:rsidR="00281E1F" w:rsidRPr="00EE5F0F">
        <w:rPr>
          <w:rFonts w:ascii="Garamond" w:hAnsi="Garamond"/>
          <w:sz w:val="22"/>
          <w:szCs w:val="22"/>
        </w:rPr>
        <w:t xml:space="preserve"> pp positive </w:t>
      </w:r>
      <w:r w:rsidR="00263C12" w:rsidRPr="00EE5F0F">
        <w:rPr>
          <w:rFonts w:ascii="Garamond" w:hAnsi="Garamond"/>
          <w:sz w:val="22"/>
          <w:szCs w:val="22"/>
        </w:rPr>
        <w:t>contribution to the</w:t>
      </w:r>
      <w:r w:rsidR="00281E1F" w:rsidRPr="00EE5F0F">
        <w:rPr>
          <w:rFonts w:ascii="Garamond" w:hAnsi="Garamond"/>
          <w:sz w:val="22"/>
          <w:szCs w:val="22"/>
        </w:rPr>
        <w:t xml:space="preserve"> </w:t>
      </w:r>
      <w:r w:rsidR="00263C12" w:rsidRPr="00EE5F0F">
        <w:rPr>
          <w:rFonts w:ascii="Garamond" w:hAnsi="Garamond"/>
          <w:sz w:val="22"/>
          <w:szCs w:val="22"/>
        </w:rPr>
        <w:t xml:space="preserve">2018 </w:t>
      </w:r>
      <w:r w:rsidR="00281E1F" w:rsidRPr="00EE5F0F">
        <w:rPr>
          <w:rFonts w:ascii="Garamond" w:hAnsi="Garamond"/>
          <w:sz w:val="22"/>
          <w:szCs w:val="22"/>
        </w:rPr>
        <w:t>economic growth.</w:t>
      </w:r>
    </w:p>
    <w:p w14:paraId="46BFC425" w14:textId="77777777" w:rsidR="00C86872" w:rsidRPr="00EE5F0F" w:rsidRDefault="00C86872" w:rsidP="00EE619D">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 xml:space="preserve">In the medium run, economic growth developments are largely determined by the economy’s fundamentals, as well as investment activity in the period 2017-2018. Thus, the 2019 economic growth is estimated in the range of </w:t>
      </w:r>
      <w:r w:rsidRPr="00EE5F0F">
        <w:rPr>
          <w:rFonts w:ascii="Garamond" w:hAnsi="Garamond"/>
          <w:b/>
          <w:sz w:val="22"/>
          <w:szCs w:val="22"/>
        </w:rPr>
        <w:t>4.1-6.2%</w:t>
      </w:r>
      <w:r w:rsidRPr="00EE5F0F">
        <w:rPr>
          <w:rFonts w:ascii="Garamond" w:hAnsi="Garamond"/>
          <w:sz w:val="22"/>
          <w:szCs w:val="22"/>
        </w:rPr>
        <w:t xml:space="preserve"> and that of 2020 in the range of </w:t>
      </w:r>
      <w:r w:rsidRPr="00EE5F0F">
        <w:rPr>
          <w:rFonts w:ascii="Garamond" w:hAnsi="Garamond"/>
          <w:b/>
          <w:sz w:val="22"/>
          <w:szCs w:val="22"/>
        </w:rPr>
        <w:t>3.9-6.1%.</w:t>
      </w:r>
      <w:r w:rsidRPr="00EE5F0F">
        <w:rPr>
          <w:rFonts w:ascii="Garamond" w:hAnsi="Garamond"/>
          <w:sz w:val="22"/>
          <w:szCs w:val="22"/>
        </w:rPr>
        <w:t xml:space="preserve"> These mid-term growths will be determined by implementation of investment programs, the pace of Government-led structural reforms, and anticipated potential of economic growth in partner countries. </w:t>
      </w:r>
    </w:p>
    <w:p w14:paraId="45D49157" w14:textId="77777777" w:rsidR="000D42F3" w:rsidRPr="00EE5F0F" w:rsidRDefault="00EE619D" w:rsidP="00EE619D">
      <w:pPr>
        <w:autoSpaceDE w:val="0"/>
        <w:autoSpaceDN w:val="0"/>
        <w:adjustRightInd w:val="0"/>
        <w:spacing w:after="120" w:line="360" w:lineRule="auto"/>
        <w:jc w:val="both"/>
        <w:rPr>
          <w:rFonts w:ascii="Garamond" w:hAnsi="Garamond"/>
          <w:sz w:val="22"/>
          <w:szCs w:val="22"/>
        </w:rPr>
      </w:pPr>
      <w:r w:rsidRPr="00EE5F0F">
        <w:rPr>
          <w:rFonts w:ascii="Garamond" w:hAnsi="Garamond"/>
          <w:b/>
          <w:sz w:val="22"/>
          <w:szCs w:val="22"/>
        </w:rPr>
        <w:t xml:space="preserve">External demand: </w:t>
      </w:r>
      <w:r w:rsidR="001C2D10" w:rsidRPr="00EE5F0F">
        <w:rPr>
          <w:rFonts w:ascii="Garamond" w:hAnsi="Garamond"/>
          <w:sz w:val="22"/>
          <w:szCs w:val="22"/>
        </w:rPr>
        <w:t xml:space="preserve">Sustainable global economic growth, persistently high </w:t>
      </w:r>
      <w:r w:rsidR="000D42F3" w:rsidRPr="00EE5F0F">
        <w:rPr>
          <w:rFonts w:ascii="Garamond" w:hAnsi="Garamond"/>
          <w:sz w:val="22"/>
          <w:szCs w:val="22"/>
        </w:rPr>
        <w:t xml:space="preserve">growth </w:t>
      </w:r>
      <w:r w:rsidR="001C2D10" w:rsidRPr="00EE5F0F">
        <w:rPr>
          <w:rFonts w:ascii="Garamond" w:hAnsi="Garamond"/>
          <w:sz w:val="22"/>
          <w:szCs w:val="22"/>
        </w:rPr>
        <w:t>of travel to Armenia</w:t>
      </w:r>
      <w:r w:rsidR="009D06A5" w:rsidRPr="00EE5F0F">
        <w:rPr>
          <w:rFonts w:ascii="Garamond" w:hAnsi="Garamond"/>
          <w:sz w:val="22"/>
          <w:szCs w:val="22"/>
        </w:rPr>
        <w:t>, the Government</w:t>
      </w:r>
      <w:r w:rsidR="000D42F3" w:rsidRPr="00EE5F0F">
        <w:rPr>
          <w:rFonts w:ascii="Garamond" w:hAnsi="Garamond"/>
          <w:sz w:val="22"/>
          <w:szCs w:val="22"/>
        </w:rPr>
        <w:t xml:space="preserve">-led </w:t>
      </w:r>
      <w:r w:rsidR="009D06A5" w:rsidRPr="00EE5F0F">
        <w:rPr>
          <w:rFonts w:ascii="Garamond" w:hAnsi="Garamond"/>
          <w:sz w:val="22"/>
          <w:szCs w:val="22"/>
        </w:rPr>
        <w:t>export promotion</w:t>
      </w:r>
      <w:r w:rsidR="000D42F3" w:rsidRPr="00EE5F0F">
        <w:rPr>
          <w:rFonts w:ascii="Garamond" w:hAnsi="Garamond"/>
          <w:sz w:val="22"/>
          <w:szCs w:val="22"/>
        </w:rPr>
        <w:t xml:space="preserve"> policy all </w:t>
      </w:r>
      <w:r w:rsidR="001F7681" w:rsidRPr="00EE5F0F">
        <w:rPr>
          <w:rFonts w:ascii="Garamond" w:hAnsi="Garamond"/>
          <w:sz w:val="22"/>
          <w:szCs w:val="22"/>
        </w:rPr>
        <w:t xml:space="preserve">positively </w:t>
      </w:r>
      <w:r w:rsidR="000D42F3" w:rsidRPr="00EE5F0F">
        <w:rPr>
          <w:rFonts w:ascii="Garamond" w:hAnsi="Garamond"/>
          <w:sz w:val="22"/>
          <w:szCs w:val="22"/>
        </w:rPr>
        <w:t>contributed to t</w:t>
      </w:r>
      <w:r w:rsidR="009D06A5" w:rsidRPr="00EE5F0F">
        <w:rPr>
          <w:rFonts w:ascii="Garamond" w:hAnsi="Garamond"/>
          <w:sz w:val="22"/>
          <w:szCs w:val="22"/>
        </w:rPr>
        <w:t xml:space="preserve">he </w:t>
      </w:r>
      <w:r w:rsidR="001F7681" w:rsidRPr="00EE5F0F">
        <w:rPr>
          <w:rFonts w:ascii="Garamond" w:hAnsi="Garamond"/>
          <w:sz w:val="22"/>
          <w:szCs w:val="22"/>
        </w:rPr>
        <w:t xml:space="preserve">domestic </w:t>
      </w:r>
      <w:r w:rsidR="009D06A5" w:rsidRPr="00EE5F0F">
        <w:rPr>
          <w:rFonts w:ascii="Garamond" w:hAnsi="Garamond"/>
          <w:sz w:val="22"/>
          <w:szCs w:val="22"/>
        </w:rPr>
        <w:t xml:space="preserve">economic growth </w:t>
      </w:r>
      <w:r w:rsidR="000D42F3" w:rsidRPr="00EE5F0F">
        <w:rPr>
          <w:rFonts w:ascii="Garamond" w:hAnsi="Garamond"/>
          <w:sz w:val="22"/>
          <w:szCs w:val="22"/>
        </w:rPr>
        <w:t xml:space="preserve">in </w:t>
      </w:r>
      <w:r w:rsidR="001C2D10" w:rsidRPr="00EE5F0F">
        <w:rPr>
          <w:rFonts w:ascii="Garamond" w:hAnsi="Garamond"/>
          <w:sz w:val="22"/>
          <w:szCs w:val="22"/>
        </w:rPr>
        <w:t xml:space="preserve">the first quarter of </w:t>
      </w:r>
      <w:r w:rsidR="000D42F3" w:rsidRPr="00EE5F0F">
        <w:rPr>
          <w:rFonts w:ascii="Garamond" w:hAnsi="Garamond"/>
          <w:sz w:val="22"/>
          <w:szCs w:val="22"/>
        </w:rPr>
        <w:t>201</w:t>
      </w:r>
      <w:r w:rsidR="001C2D10" w:rsidRPr="00EE5F0F">
        <w:rPr>
          <w:rFonts w:ascii="Garamond" w:hAnsi="Garamond"/>
          <w:sz w:val="22"/>
          <w:szCs w:val="22"/>
        </w:rPr>
        <w:t>8</w:t>
      </w:r>
      <w:r w:rsidR="000D42F3" w:rsidRPr="00EE5F0F">
        <w:rPr>
          <w:rFonts w:ascii="Garamond" w:hAnsi="Garamond"/>
          <w:sz w:val="22"/>
          <w:szCs w:val="22"/>
        </w:rPr>
        <w:t xml:space="preserve">. </w:t>
      </w:r>
      <w:r w:rsidR="009D06A5" w:rsidRPr="00EE5F0F">
        <w:rPr>
          <w:rFonts w:ascii="Garamond" w:hAnsi="Garamond"/>
          <w:sz w:val="22"/>
          <w:szCs w:val="22"/>
        </w:rPr>
        <w:t xml:space="preserve">However, </w:t>
      </w:r>
      <w:r w:rsidR="000D42F3" w:rsidRPr="00EE5F0F">
        <w:rPr>
          <w:rFonts w:ascii="Garamond" w:hAnsi="Garamond"/>
          <w:sz w:val="22"/>
          <w:szCs w:val="22"/>
        </w:rPr>
        <w:t xml:space="preserve">contribution of </w:t>
      </w:r>
      <w:r w:rsidR="009D06A5" w:rsidRPr="00EE5F0F">
        <w:rPr>
          <w:rFonts w:ascii="Garamond" w:hAnsi="Garamond"/>
          <w:sz w:val="22"/>
          <w:szCs w:val="22"/>
        </w:rPr>
        <w:t xml:space="preserve">net export </w:t>
      </w:r>
      <w:r w:rsidR="000D42F3" w:rsidRPr="00EE5F0F">
        <w:rPr>
          <w:rFonts w:ascii="Garamond" w:hAnsi="Garamond"/>
          <w:sz w:val="22"/>
          <w:szCs w:val="22"/>
        </w:rPr>
        <w:t xml:space="preserve">to </w:t>
      </w:r>
      <w:r w:rsidR="009D06A5" w:rsidRPr="00EE5F0F">
        <w:rPr>
          <w:rFonts w:ascii="Garamond" w:hAnsi="Garamond"/>
          <w:sz w:val="22"/>
          <w:szCs w:val="22"/>
        </w:rPr>
        <w:t xml:space="preserve">economic growth is </w:t>
      </w:r>
      <w:r w:rsidR="000D42F3" w:rsidRPr="00EE5F0F">
        <w:rPr>
          <w:rFonts w:ascii="Garamond" w:hAnsi="Garamond"/>
          <w:sz w:val="22"/>
          <w:szCs w:val="22"/>
        </w:rPr>
        <w:t xml:space="preserve">estimated </w:t>
      </w:r>
      <w:r w:rsidR="009D06A5" w:rsidRPr="00EE5F0F">
        <w:rPr>
          <w:rFonts w:ascii="Garamond" w:hAnsi="Garamond"/>
          <w:sz w:val="22"/>
          <w:szCs w:val="22"/>
        </w:rPr>
        <w:t xml:space="preserve">negative </w:t>
      </w:r>
      <w:r w:rsidR="00D93023" w:rsidRPr="00EE5F0F">
        <w:rPr>
          <w:rFonts w:ascii="Garamond" w:hAnsi="Garamond"/>
          <w:sz w:val="22"/>
          <w:szCs w:val="22"/>
        </w:rPr>
        <w:t>a</w:t>
      </w:r>
      <w:r w:rsidR="000D42F3" w:rsidRPr="00EE5F0F">
        <w:rPr>
          <w:rFonts w:ascii="Garamond" w:hAnsi="Garamond"/>
          <w:sz w:val="22"/>
          <w:szCs w:val="22"/>
        </w:rPr>
        <w:t>s</w:t>
      </w:r>
      <w:r w:rsidR="009D06A5" w:rsidRPr="00EE5F0F">
        <w:rPr>
          <w:rFonts w:ascii="Garamond" w:hAnsi="Garamond"/>
          <w:sz w:val="22"/>
          <w:szCs w:val="22"/>
        </w:rPr>
        <w:t xml:space="preserve"> </w:t>
      </w:r>
      <w:r w:rsidR="000D42F3" w:rsidRPr="00EE5F0F">
        <w:rPr>
          <w:rFonts w:ascii="Garamond" w:hAnsi="Garamond"/>
          <w:sz w:val="22"/>
          <w:szCs w:val="22"/>
        </w:rPr>
        <w:t xml:space="preserve">the </w:t>
      </w:r>
      <w:r w:rsidR="009D06A5" w:rsidRPr="00EE5F0F">
        <w:rPr>
          <w:rFonts w:ascii="Garamond" w:hAnsi="Garamond"/>
          <w:sz w:val="22"/>
          <w:szCs w:val="22"/>
        </w:rPr>
        <w:t xml:space="preserve">growth in consumption and investment in the domestic economy has been </w:t>
      </w:r>
      <w:r w:rsidR="000D42F3" w:rsidRPr="00EE5F0F">
        <w:rPr>
          <w:rFonts w:ascii="Garamond" w:hAnsi="Garamond"/>
          <w:sz w:val="22"/>
          <w:szCs w:val="22"/>
        </w:rPr>
        <w:t xml:space="preserve">concurrent with </w:t>
      </w:r>
      <w:r w:rsidR="009D06A5" w:rsidRPr="00EE5F0F">
        <w:rPr>
          <w:rFonts w:ascii="Garamond" w:hAnsi="Garamond"/>
          <w:sz w:val="22"/>
          <w:szCs w:val="22"/>
        </w:rPr>
        <w:t>a significant increase in import</w:t>
      </w:r>
      <w:r w:rsidR="000D42F3" w:rsidRPr="00EE5F0F">
        <w:rPr>
          <w:rFonts w:ascii="Garamond" w:hAnsi="Garamond"/>
          <w:sz w:val="22"/>
          <w:szCs w:val="22"/>
        </w:rPr>
        <w:t xml:space="preserve"> volumes</w:t>
      </w:r>
      <w:r w:rsidR="009D06A5" w:rsidRPr="00EE5F0F">
        <w:rPr>
          <w:rFonts w:ascii="Garamond" w:hAnsi="Garamond"/>
          <w:sz w:val="22"/>
          <w:szCs w:val="22"/>
        </w:rPr>
        <w:t>.</w:t>
      </w:r>
      <w:r w:rsidR="000D42F3" w:rsidRPr="00EE5F0F">
        <w:rPr>
          <w:rFonts w:ascii="Garamond" w:hAnsi="Garamond"/>
          <w:sz w:val="22"/>
          <w:szCs w:val="22"/>
        </w:rPr>
        <w:t xml:space="preserve"> </w:t>
      </w:r>
    </w:p>
    <w:p w14:paraId="06D87E8A" w14:textId="5662519E" w:rsidR="000D42F3" w:rsidRPr="00EE5F0F" w:rsidRDefault="00D93023" w:rsidP="00EE619D">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The real growth of export of goods and services has been revised upside for the next quarters of 2018 in view of predictions for sustainable revenue growth in principal partner countries on the one hand and maintaining a stable growth rate of the tradable sector in the domestic economy on the other. As a result, t</w:t>
      </w:r>
      <w:r w:rsidR="006909DE" w:rsidRPr="00EE5F0F">
        <w:rPr>
          <w:rFonts w:ascii="Garamond" w:hAnsi="Garamond"/>
          <w:sz w:val="22"/>
          <w:szCs w:val="22"/>
        </w:rPr>
        <w:t xml:space="preserve">he real growth </w:t>
      </w:r>
      <w:r w:rsidRPr="00EE5F0F">
        <w:rPr>
          <w:rFonts w:ascii="Garamond" w:hAnsi="Garamond"/>
          <w:sz w:val="22"/>
          <w:szCs w:val="22"/>
        </w:rPr>
        <w:t>of ex</w:t>
      </w:r>
      <w:r w:rsidR="006909DE" w:rsidRPr="00EE5F0F">
        <w:rPr>
          <w:rFonts w:ascii="Garamond" w:hAnsi="Garamond"/>
          <w:sz w:val="22"/>
          <w:szCs w:val="22"/>
        </w:rPr>
        <w:t xml:space="preserve">port of goods and services </w:t>
      </w:r>
      <w:r w:rsidRPr="00EE5F0F">
        <w:rPr>
          <w:rFonts w:ascii="Garamond" w:hAnsi="Garamond"/>
          <w:sz w:val="22"/>
          <w:szCs w:val="22"/>
        </w:rPr>
        <w:t xml:space="preserve">in 2018 </w:t>
      </w:r>
      <w:r w:rsidR="006909DE" w:rsidRPr="00EE5F0F">
        <w:rPr>
          <w:rFonts w:ascii="Garamond" w:hAnsi="Garamond"/>
          <w:sz w:val="22"/>
          <w:szCs w:val="22"/>
        </w:rPr>
        <w:t xml:space="preserve">is forecast in the range of </w:t>
      </w:r>
      <w:r w:rsidRPr="00EE5F0F">
        <w:rPr>
          <w:rFonts w:ascii="Garamond" w:hAnsi="Garamond"/>
          <w:sz w:val="22"/>
          <w:szCs w:val="22"/>
        </w:rPr>
        <w:t>11</w:t>
      </w:r>
      <w:r w:rsidR="006909DE" w:rsidRPr="00EE5F0F">
        <w:rPr>
          <w:rFonts w:ascii="Garamond" w:hAnsi="Garamond"/>
          <w:sz w:val="22"/>
          <w:szCs w:val="22"/>
        </w:rPr>
        <w:t>.0-</w:t>
      </w:r>
      <w:r w:rsidR="00C95F66" w:rsidRPr="00EE5F0F">
        <w:rPr>
          <w:rFonts w:ascii="Garamond" w:hAnsi="Garamond"/>
          <w:sz w:val="22"/>
          <w:szCs w:val="22"/>
        </w:rPr>
        <w:t>13.0%. With domestic demand demonstrating as high growth rates as currently</w:t>
      </w:r>
      <w:r w:rsidR="006909DE" w:rsidRPr="00EE5F0F">
        <w:rPr>
          <w:rFonts w:ascii="Garamond" w:hAnsi="Garamond"/>
          <w:sz w:val="22"/>
          <w:szCs w:val="22"/>
        </w:rPr>
        <w:t xml:space="preserve">, </w:t>
      </w:r>
      <w:r w:rsidR="00BD6307" w:rsidRPr="00EE5F0F">
        <w:rPr>
          <w:rFonts w:ascii="Garamond" w:hAnsi="Garamond"/>
          <w:sz w:val="22"/>
          <w:szCs w:val="22"/>
        </w:rPr>
        <w:t xml:space="preserve">the real growth of </w:t>
      </w:r>
      <w:r w:rsidR="00C95F66" w:rsidRPr="00EE5F0F">
        <w:rPr>
          <w:rFonts w:ascii="Garamond" w:hAnsi="Garamond"/>
          <w:sz w:val="22"/>
          <w:szCs w:val="22"/>
        </w:rPr>
        <w:t>im</w:t>
      </w:r>
      <w:r w:rsidR="006909DE" w:rsidRPr="00EE5F0F">
        <w:rPr>
          <w:rFonts w:ascii="Garamond" w:hAnsi="Garamond"/>
          <w:sz w:val="22"/>
          <w:szCs w:val="22"/>
        </w:rPr>
        <w:t xml:space="preserve">port of goods and services </w:t>
      </w:r>
      <w:r w:rsidR="00C95F66" w:rsidRPr="00EE5F0F">
        <w:rPr>
          <w:rFonts w:ascii="Garamond" w:hAnsi="Garamond"/>
          <w:sz w:val="22"/>
          <w:szCs w:val="22"/>
        </w:rPr>
        <w:t xml:space="preserve">will be higher than predicted previously, in which case the growth will be </w:t>
      </w:r>
      <w:r w:rsidR="006909DE" w:rsidRPr="00EE5F0F">
        <w:rPr>
          <w:rFonts w:ascii="Garamond" w:hAnsi="Garamond"/>
          <w:sz w:val="22"/>
          <w:szCs w:val="22"/>
        </w:rPr>
        <w:t xml:space="preserve">in the range </w:t>
      </w:r>
      <w:r w:rsidR="00BD6307" w:rsidRPr="00EE5F0F">
        <w:rPr>
          <w:rFonts w:ascii="Garamond" w:hAnsi="Garamond"/>
          <w:sz w:val="22"/>
          <w:szCs w:val="22"/>
        </w:rPr>
        <w:t xml:space="preserve">of </w:t>
      </w:r>
      <w:r w:rsidR="00C95F66" w:rsidRPr="00EE5F0F">
        <w:rPr>
          <w:rFonts w:ascii="Garamond" w:hAnsi="Garamond"/>
          <w:sz w:val="22"/>
          <w:szCs w:val="22"/>
        </w:rPr>
        <w:t>5</w:t>
      </w:r>
      <w:r w:rsidR="006909DE" w:rsidRPr="00EE5F0F">
        <w:rPr>
          <w:rFonts w:ascii="Garamond" w:hAnsi="Garamond"/>
          <w:sz w:val="22"/>
          <w:szCs w:val="22"/>
        </w:rPr>
        <w:t>.</w:t>
      </w:r>
      <w:r w:rsidR="0039026E">
        <w:rPr>
          <w:rFonts w:ascii="Garamond" w:hAnsi="Garamond"/>
          <w:sz w:val="22"/>
          <w:szCs w:val="22"/>
        </w:rPr>
        <w:t>0</w:t>
      </w:r>
      <w:r w:rsidR="006909DE" w:rsidRPr="00EE5F0F">
        <w:rPr>
          <w:rFonts w:ascii="Garamond" w:hAnsi="Garamond"/>
          <w:sz w:val="22"/>
          <w:szCs w:val="22"/>
        </w:rPr>
        <w:t>-</w:t>
      </w:r>
      <w:r w:rsidR="00C95F66" w:rsidRPr="00EE5F0F">
        <w:rPr>
          <w:rFonts w:ascii="Garamond" w:hAnsi="Garamond"/>
          <w:sz w:val="22"/>
          <w:szCs w:val="22"/>
        </w:rPr>
        <w:t>7</w:t>
      </w:r>
      <w:r w:rsidR="006909DE" w:rsidRPr="00EE5F0F">
        <w:rPr>
          <w:rFonts w:ascii="Garamond" w:hAnsi="Garamond"/>
          <w:sz w:val="22"/>
          <w:szCs w:val="22"/>
        </w:rPr>
        <w:t>.0%</w:t>
      </w:r>
      <w:r w:rsidR="00C95F66" w:rsidRPr="00EE5F0F">
        <w:rPr>
          <w:rStyle w:val="FootnoteReference"/>
          <w:rFonts w:ascii="Garamond" w:hAnsi="Garamond"/>
          <w:sz w:val="22"/>
          <w:szCs w:val="22"/>
        </w:rPr>
        <w:footnoteReference w:customMarkFollows="1" w:id="2"/>
        <w:t>3</w:t>
      </w:r>
      <w:r w:rsidR="006909DE" w:rsidRPr="00EE5F0F">
        <w:rPr>
          <w:rFonts w:ascii="Garamond" w:hAnsi="Garamond"/>
          <w:sz w:val="22"/>
          <w:szCs w:val="22"/>
        </w:rPr>
        <w:t>.</w:t>
      </w:r>
      <w:r w:rsidR="00BD6307" w:rsidRPr="00EE5F0F">
        <w:rPr>
          <w:rFonts w:ascii="Garamond" w:hAnsi="Garamond"/>
          <w:sz w:val="22"/>
          <w:szCs w:val="22"/>
        </w:rPr>
        <w:t xml:space="preserve"> </w:t>
      </w:r>
      <w:r w:rsidR="009C1AB1">
        <w:rPr>
          <w:rFonts w:ascii="Garamond" w:hAnsi="Garamond"/>
          <w:sz w:val="22"/>
          <w:szCs w:val="22"/>
        </w:rPr>
        <w:t xml:space="preserve">As a result of these </w:t>
      </w:r>
      <w:proofErr w:type="gramStart"/>
      <w:r w:rsidR="009C1AB1">
        <w:rPr>
          <w:rFonts w:ascii="Garamond" w:hAnsi="Garamond"/>
          <w:sz w:val="22"/>
          <w:szCs w:val="22"/>
        </w:rPr>
        <w:t xml:space="preserve">forecasts </w:t>
      </w:r>
      <w:r w:rsidR="001A456E" w:rsidRPr="00EE5F0F">
        <w:rPr>
          <w:rFonts w:ascii="Garamond" w:hAnsi="Garamond"/>
          <w:sz w:val="22"/>
          <w:szCs w:val="22"/>
        </w:rPr>
        <w:t xml:space="preserve"> net</w:t>
      </w:r>
      <w:proofErr w:type="gramEnd"/>
      <w:r w:rsidR="001A456E" w:rsidRPr="00EE5F0F">
        <w:rPr>
          <w:rFonts w:ascii="Garamond" w:hAnsi="Garamond"/>
          <w:sz w:val="22"/>
          <w:szCs w:val="22"/>
        </w:rPr>
        <w:t xml:space="preserve"> export’s </w:t>
      </w:r>
      <w:r w:rsidR="009C1AB1">
        <w:rPr>
          <w:rFonts w:ascii="Sylfaen" w:hAnsi="Sylfaen"/>
          <w:sz w:val="22"/>
          <w:szCs w:val="22"/>
        </w:rPr>
        <w:t xml:space="preserve">first quarter’s </w:t>
      </w:r>
      <w:r w:rsidR="001A456E" w:rsidRPr="00EE5F0F">
        <w:rPr>
          <w:rFonts w:ascii="Garamond" w:hAnsi="Garamond"/>
          <w:sz w:val="22"/>
          <w:szCs w:val="22"/>
        </w:rPr>
        <w:t xml:space="preserve">negative contribution to the real GDP will </w:t>
      </w:r>
      <w:r w:rsidR="009C1AB1">
        <w:rPr>
          <w:rFonts w:ascii="Garamond" w:hAnsi="Garamond"/>
          <w:sz w:val="22"/>
          <w:szCs w:val="22"/>
        </w:rPr>
        <w:t xml:space="preserve">neutralize </w:t>
      </w:r>
      <w:r w:rsidR="001A456E" w:rsidRPr="00EE5F0F">
        <w:rPr>
          <w:rFonts w:ascii="Garamond" w:hAnsi="Garamond"/>
          <w:sz w:val="22"/>
          <w:szCs w:val="22"/>
        </w:rPr>
        <w:t>over the next quarters.</w:t>
      </w:r>
    </w:p>
    <w:p w14:paraId="3A7B35FF" w14:textId="77777777" w:rsidR="0023452F" w:rsidRPr="00EE5F0F" w:rsidRDefault="0023452F" w:rsidP="00EE619D">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 xml:space="preserve">Remittances of individuals exceeded expectations in the first quarter of 2018. Nevertheless, for the following quarters the growth rates in the remittances have been revised somewhat downside, compared to the previous </w:t>
      </w:r>
      <w:r w:rsidRPr="00EE5F0F">
        <w:rPr>
          <w:rFonts w:ascii="Garamond" w:hAnsi="Garamond"/>
          <w:sz w:val="22"/>
          <w:szCs w:val="22"/>
        </w:rPr>
        <w:lastRenderedPageBreak/>
        <w:t xml:space="preserve">forecast, which is in line with </w:t>
      </w:r>
      <w:r w:rsidR="000C0E3A" w:rsidRPr="00EE5F0F">
        <w:rPr>
          <w:rFonts w:ascii="Garamond" w:hAnsi="Garamond"/>
          <w:sz w:val="22"/>
          <w:szCs w:val="22"/>
        </w:rPr>
        <w:t xml:space="preserve">adjusted </w:t>
      </w:r>
      <w:r w:rsidRPr="00EE5F0F">
        <w:rPr>
          <w:rFonts w:ascii="Garamond" w:hAnsi="Garamond"/>
          <w:sz w:val="22"/>
          <w:szCs w:val="22"/>
        </w:rPr>
        <w:t>forecasts of the ruble depreciation and expected economic developments in Russia. As a result, the growth of individuals</w:t>
      </w:r>
      <w:r w:rsidR="00396B2C" w:rsidRPr="00EE5F0F">
        <w:rPr>
          <w:rFonts w:ascii="Garamond" w:hAnsi="Garamond"/>
          <w:sz w:val="22"/>
          <w:szCs w:val="22"/>
        </w:rPr>
        <w:t>’ remittances will be in the</w:t>
      </w:r>
      <w:r w:rsidRPr="00EE5F0F">
        <w:rPr>
          <w:rFonts w:ascii="Garamond" w:hAnsi="Garamond"/>
          <w:sz w:val="22"/>
          <w:szCs w:val="22"/>
        </w:rPr>
        <w:t xml:space="preserve"> range of 7.0-9.0%, </w:t>
      </w:r>
      <w:r w:rsidR="00396B2C" w:rsidRPr="00EE5F0F">
        <w:rPr>
          <w:rFonts w:ascii="Garamond" w:hAnsi="Garamond"/>
          <w:sz w:val="22"/>
          <w:szCs w:val="22"/>
        </w:rPr>
        <w:t xml:space="preserve">inclusive of the first quarter’s </w:t>
      </w:r>
      <w:r w:rsidRPr="00EE5F0F">
        <w:rPr>
          <w:rFonts w:ascii="Garamond" w:hAnsi="Garamond"/>
          <w:sz w:val="22"/>
          <w:szCs w:val="22"/>
        </w:rPr>
        <w:t>high growth.</w:t>
      </w:r>
    </w:p>
    <w:p w14:paraId="23D34484" w14:textId="77777777" w:rsidR="00167660" w:rsidRPr="00EE5F0F" w:rsidRDefault="00167660" w:rsidP="00EE619D">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As a result of the aforementioned developments, the current account deficit-to-GDP ratio will increase against the previous forecast and will eventually stabilize in the range of 3.0-4.0%, a mid-term equilibrium.</w:t>
      </w:r>
    </w:p>
    <w:p w14:paraId="7AF83D5D" w14:textId="77777777" w:rsidR="00CB7189" w:rsidRPr="00EE5F0F" w:rsidRDefault="00EE619D" w:rsidP="00EE619D">
      <w:pPr>
        <w:autoSpaceDE w:val="0"/>
        <w:autoSpaceDN w:val="0"/>
        <w:adjustRightInd w:val="0"/>
        <w:spacing w:after="120" w:line="360" w:lineRule="auto"/>
        <w:jc w:val="both"/>
        <w:rPr>
          <w:rFonts w:ascii="Garamond" w:hAnsi="Garamond"/>
          <w:sz w:val="22"/>
          <w:szCs w:val="22"/>
        </w:rPr>
      </w:pPr>
      <w:r w:rsidRPr="00EE5F0F">
        <w:rPr>
          <w:rFonts w:ascii="Garamond" w:hAnsi="Garamond"/>
          <w:b/>
          <w:sz w:val="22"/>
          <w:szCs w:val="22"/>
        </w:rPr>
        <w:t>Fiscal policy:</w:t>
      </w:r>
      <w:r w:rsidRPr="00EE5F0F">
        <w:rPr>
          <w:rFonts w:ascii="Garamond" w:hAnsi="Garamond"/>
          <w:sz w:val="22"/>
          <w:szCs w:val="22"/>
        </w:rPr>
        <w:t xml:space="preserve"> </w:t>
      </w:r>
      <w:r w:rsidR="00886B29" w:rsidRPr="00EE5F0F">
        <w:rPr>
          <w:rFonts w:ascii="Garamond" w:hAnsi="Garamond"/>
          <w:sz w:val="22"/>
          <w:szCs w:val="22"/>
        </w:rPr>
        <w:t>In the first quarter of 2018 a</w:t>
      </w:r>
      <w:r w:rsidR="00CB5322" w:rsidRPr="00EE5F0F">
        <w:rPr>
          <w:rFonts w:ascii="Garamond" w:hAnsi="Garamond"/>
          <w:sz w:val="22"/>
          <w:szCs w:val="22"/>
        </w:rPr>
        <w:t xml:space="preserve">ctual developments in the fiscal sector </w:t>
      </w:r>
      <w:r w:rsidR="00886B29" w:rsidRPr="00EE5F0F">
        <w:rPr>
          <w:rFonts w:ascii="Garamond" w:hAnsi="Garamond"/>
          <w:sz w:val="22"/>
          <w:szCs w:val="22"/>
        </w:rPr>
        <w:t xml:space="preserve">deviated from the projections outlined </w:t>
      </w:r>
      <w:r w:rsidR="00CB5322" w:rsidRPr="00EE5F0F">
        <w:rPr>
          <w:rFonts w:ascii="Garamond" w:hAnsi="Garamond"/>
          <w:sz w:val="22"/>
          <w:szCs w:val="22"/>
        </w:rPr>
        <w:t xml:space="preserve">in the </w:t>
      </w:r>
      <w:r w:rsidR="00886B29" w:rsidRPr="00EE5F0F">
        <w:rPr>
          <w:rFonts w:ascii="Garamond" w:hAnsi="Garamond"/>
          <w:sz w:val="22"/>
          <w:szCs w:val="22"/>
        </w:rPr>
        <w:t xml:space="preserve">Q1, 2018 </w:t>
      </w:r>
      <w:r w:rsidR="00CB5322" w:rsidRPr="00EE5F0F">
        <w:rPr>
          <w:rFonts w:ascii="Garamond" w:hAnsi="Garamond"/>
          <w:sz w:val="22"/>
          <w:szCs w:val="22"/>
        </w:rPr>
        <w:t xml:space="preserve">Monetary Policy Program. </w:t>
      </w:r>
      <w:r w:rsidR="00886B29" w:rsidRPr="00EE5F0F">
        <w:rPr>
          <w:rFonts w:ascii="Garamond" w:hAnsi="Garamond"/>
          <w:sz w:val="22"/>
          <w:szCs w:val="22"/>
        </w:rPr>
        <w:t>T</w:t>
      </w:r>
      <w:r w:rsidR="00CB5322" w:rsidRPr="00EE5F0F">
        <w:rPr>
          <w:rFonts w:ascii="Garamond" w:hAnsi="Garamond"/>
          <w:sz w:val="22"/>
          <w:szCs w:val="22"/>
        </w:rPr>
        <w:t xml:space="preserve">he fiscal policy’s impact </w:t>
      </w:r>
      <w:r w:rsidR="00886B29" w:rsidRPr="00EE5F0F">
        <w:rPr>
          <w:rFonts w:ascii="Garamond" w:hAnsi="Garamond"/>
          <w:sz w:val="22"/>
          <w:szCs w:val="22"/>
        </w:rPr>
        <w:t xml:space="preserve">on aggregate demand </w:t>
      </w:r>
      <w:r w:rsidR="00CB5322" w:rsidRPr="00EE5F0F">
        <w:rPr>
          <w:rFonts w:ascii="Garamond" w:hAnsi="Garamond"/>
          <w:sz w:val="22"/>
          <w:szCs w:val="22"/>
        </w:rPr>
        <w:t xml:space="preserve">was </w:t>
      </w:r>
      <w:r w:rsidR="00886B29" w:rsidRPr="00EE5F0F">
        <w:rPr>
          <w:rFonts w:ascii="Garamond" w:hAnsi="Garamond"/>
          <w:sz w:val="22"/>
          <w:szCs w:val="22"/>
        </w:rPr>
        <w:t>1</w:t>
      </w:r>
      <w:r w:rsidR="00CB5322" w:rsidRPr="00EE5F0F">
        <w:rPr>
          <w:rFonts w:ascii="Garamond" w:hAnsi="Garamond"/>
          <w:sz w:val="22"/>
          <w:szCs w:val="22"/>
        </w:rPr>
        <w:t>.0 pp</w:t>
      </w:r>
      <w:r w:rsidR="00CB7189" w:rsidRPr="00EE5F0F">
        <w:rPr>
          <w:rFonts w:ascii="Garamond" w:hAnsi="Garamond"/>
          <w:sz w:val="22"/>
          <w:szCs w:val="22"/>
        </w:rPr>
        <w:t xml:space="preserve"> contractionary,</w:t>
      </w:r>
      <w:r w:rsidR="00CB5322" w:rsidRPr="00EE5F0F">
        <w:rPr>
          <w:rFonts w:ascii="Garamond" w:hAnsi="Garamond"/>
          <w:sz w:val="22"/>
          <w:szCs w:val="22"/>
        </w:rPr>
        <w:t xml:space="preserve"> </w:t>
      </w:r>
      <w:r w:rsidR="00886B29" w:rsidRPr="00EE5F0F">
        <w:rPr>
          <w:rFonts w:ascii="Garamond" w:hAnsi="Garamond"/>
          <w:sz w:val="22"/>
          <w:szCs w:val="22"/>
        </w:rPr>
        <w:t>instead of projected 2.2 pp expansionary</w:t>
      </w:r>
      <w:r w:rsidR="00B5344D" w:rsidRPr="00EE5F0F">
        <w:rPr>
          <w:rFonts w:ascii="Garamond" w:hAnsi="Garamond"/>
          <w:sz w:val="22"/>
          <w:szCs w:val="22"/>
        </w:rPr>
        <w:t>. The deviation occurred as expenditures reported greater contractionary impact and revenues smaller expansionary impact</w:t>
      </w:r>
      <w:r w:rsidR="00CB7189" w:rsidRPr="00EE5F0F">
        <w:rPr>
          <w:rFonts w:ascii="Garamond" w:hAnsi="Garamond"/>
          <w:sz w:val="22"/>
          <w:szCs w:val="22"/>
        </w:rPr>
        <w:t xml:space="preserve">. </w:t>
      </w:r>
    </w:p>
    <w:p w14:paraId="20570895" w14:textId="77777777" w:rsidR="00B5344D" w:rsidRPr="00EE5F0F" w:rsidRDefault="003C7B52" w:rsidP="00EE619D">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 xml:space="preserve">The </w:t>
      </w:r>
      <w:r w:rsidRPr="00EE5F0F">
        <w:rPr>
          <w:rFonts w:ascii="Garamond" w:hAnsi="Garamond"/>
          <w:b/>
          <w:sz w:val="22"/>
          <w:szCs w:val="22"/>
        </w:rPr>
        <w:t>f</w:t>
      </w:r>
      <w:r w:rsidR="00B5344D" w:rsidRPr="00EE5F0F">
        <w:rPr>
          <w:rFonts w:ascii="Garamond" w:hAnsi="Garamond"/>
          <w:b/>
          <w:sz w:val="22"/>
          <w:szCs w:val="22"/>
        </w:rPr>
        <w:t>iscal policy</w:t>
      </w:r>
      <w:r w:rsidRPr="00EE5F0F">
        <w:rPr>
          <w:rFonts w:ascii="Garamond" w:hAnsi="Garamond"/>
          <w:b/>
          <w:sz w:val="22"/>
          <w:szCs w:val="22"/>
        </w:rPr>
        <w:t>’s impact</w:t>
      </w:r>
      <w:r w:rsidR="00B5344D" w:rsidRPr="00EE5F0F">
        <w:rPr>
          <w:rFonts w:ascii="Garamond" w:hAnsi="Garamond"/>
          <w:b/>
          <w:sz w:val="22"/>
          <w:szCs w:val="22"/>
        </w:rPr>
        <w:t xml:space="preserve"> on </w:t>
      </w:r>
      <w:r w:rsidRPr="00EE5F0F">
        <w:rPr>
          <w:rFonts w:ascii="Garamond" w:hAnsi="Garamond"/>
          <w:b/>
          <w:sz w:val="22"/>
          <w:szCs w:val="22"/>
        </w:rPr>
        <w:t xml:space="preserve">aggregate </w:t>
      </w:r>
      <w:r w:rsidR="00B5344D" w:rsidRPr="00EE5F0F">
        <w:rPr>
          <w:rFonts w:ascii="Garamond" w:hAnsi="Garamond"/>
          <w:b/>
          <w:sz w:val="22"/>
          <w:szCs w:val="22"/>
        </w:rPr>
        <w:t>demand</w:t>
      </w:r>
      <w:r w:rsidR="00B5344D" w:rsidRPr="00EE5F0F">
        <w:rPr>
          <w:rFonts w:ascii="Garamond" w:hAnsi="Garamond"/>
          <w:sz w:val="22"/>
          <w:szCs w:val="22"/>
        </w:rPr>
        <w:t xml:space="preserve"> for 2018 has been</w:t>
      </w:r>
      <w:r w:rsidR="00425F29" w:rsidRPr="00EE5F0F">
        <w:rPr>
          <w:rFonts w:ascii="Garamond" w:hAnsi="Garamond"/>
          <w:sz w:val="22"/>
          <w:szCs w:val="22"/>
        </w:rPr>
        <w:t xml:space="preserve"> estimated using </w:t>
      </w:r>
      <w:r w:rsidR="00B5344D" w:rsidRPr="00EE5F0F">
        <w:rPr>
          <w:rFonts w:ascii="Garamond" w:hAnsi="Garamond"/>
          <w:sz w:val="22"/>
          <w:szCs w:val="22"/>
        </w:rPr>
        <w:t>the revenues and expenditure</w:t>
      </w:r>
      <w:r w:rsidR="00425F29" w:rsidRPr="00EE5F0F">
        <w:rPr>
          <w:rFonts w:ascii="Garamond" w:hAnsi="Garamond"/>
          <w:sz w:val="22"/>
          <w:szCs w:val="22"/>
        </w:rPr>
        <w:t>s</w:t>
      </w:r>
      <w:r w:rsidR="00B5344D" w:rsidRPr="00EE5F0F">
        <w:rPr>
          <w:rFonts w:ascii="Garamond" w:hAnsi="Garamond"/>
          <w:sz w:val="22"/>
          <w:szCs w:val="22"/>
        </w:rPr>
        <w:t xml:space="preserve"> indicators set out in the R</w:t>
      </w:r>
      <w:r w:rsidR="00425F29" w:rsidRPr="00EE5F0F">
        <w:rPr>
          <w:rFonts w:ascii="Garamond" w:hAnsi="Garamond"/>
          <w:sz w:val="22"/>
          <w:szCs w:val="22"/>
        </w:rPr>
        <w:t xml:space="preserve">epublic of </w:t>
      </w:r>
      <w:r w:rsidR="00B5344D" w:rsidRPr="00EE5F0F">
        <w:rPr>
          <w:rFonts w:ascii="Garamond" w:hAnsi="Garamond"/>
          <w:sz w:val="22"/>
          <w:szCs w:val="22"/>
        </w:rPr>
        <w:t>A</w:t>
      </w:r>
      <w:r w:rsidR="00425F29" w:rsidRPr="00EE5F0F">
        <w:rPr>
          <w:rFonts w:ascii="Garamond" w:hAnsi="Garamond"/>
          <w:sz w:val="22"/>
          <w:szCs w:val="22"/>
        </w:rPr>
        <w:t>rmenia</w:t>
      </w:r>
      <w:r w:rsidR="00B5344D" w:rsidRPr="00EE5F0F">
        <w:rPr>
          <w:rFonts w:ascii="Garamond" w:hAnsi="Garamond"/>
          <w:sz w:val="22"/>
          <w:szCs w:val="22"/>
        </w:rPr>
        <w:t xml:space="preserve"> Law on </w:t>
      </w:r>
      <w:r w:rsidR="00425F29" w:rsidRPr="00EE5F0F">
        <w:rPr>
          <w:rFonts w:ascii="Garamond" w:hAnsi="Garamond"/>
          <w:sz w:val="22"/>
          <w:szCs w:val="22"/>
        </w:rPr>
        <w:t>“</w:t>
      </w:r>
      <w:r w:rsidR="00B5344D" w:rsidRPr="00EE5F0F">
        <w:rPr>
          <w:rFonts w:ascii="Garamond" w:hAnsi="Garamond"/>
          <w:sz w:val="22"/>
          <w:szCs w:val="22"/>
        </w:rPr>
        <w:t xml:space="preserve">State Budget </w:t>
      </w:r>
      <w:r w:rsidR="00425F29" w:rsidRPr="00EE5F0F">
        <w:rPr>
          <w:rFonts w:ascii="Garamond" w:hAnsi="Garamond"/>
          <w:sz w:val="22"/>
          <w:szCs w:val="22"/>
        </w:rPr>
        <w:t xml:space="preserve">2018” </w:t>
      </w:r>
      <w:r w:rsidR="00B5344D" w:rsidRPr="00EE5F0F">
        <w:rPr>
          <w:rFonts w:ascii="Garamond" w:hAnsi="Garamond"/>
          <w:sz w:val="22"/>
          <w:szCs w:val="22"/>
        </w:rPr>
        <w:t xml:space="preserve">and </w:t>
      </w:r>
      <w:r w:rsidR="00425F29" w:rsidRPr="00EE5F0F">
        <w:rPr>
          <w:rFonts w:ascii="Garamond" w:hAnsi="Garamond"/>
          <w:sz w:val="22"/>
          <w:szCs w:val="22"/>
        </w:rPr>
        <w:t>adjusted</w:t>
      </w:r>
      <w:r w:rsidR="00425F29" w:rsidRPr="00EE5F0F">
        <w:rPr>
          <w:rStyle w:val="FootnoteReference"/>
          <w:rFonts w:ascii="Garamond" w:hAnsi="Garamond"/>
          <w:sz w:val="22"/>
          <w:szCs w:val="22"/>
        </w:rPr>
        <w:footnoteReference w:customMarkFollows="1" w:id="3"/>
        <w:t>4</w:t>
      </w:r>
      <w:r w:rsidR="00425F29" w:rsidRPr="00EE5F0F">
        <w:rPr>
          <w:rFonts w:ascii="Garamond" w:hAnsi="Garamond"/>
          <w:sz w:val="22"/>
          <w:szCs w:val="22"/>
        </w:rPr>
        <w:t xml:space="preserve"> under specific </w:t>
      </w:r>
      <w:r w:rsidR="00B5344D" w:rsidRPr="00EE5F0F">
        <w:rPr>
          <w:rFonts w:ascii="Garamond" w:hAnsi="Garamond"/>
          <w:sz w:val="22"/>
          <w:szCs w:val="22"/>
        </w:rPr>
        <w:t xml:space="preserve">Government </w:t>
      </w:r>
      <w:r w:rsidR="00425F29" w:rsidRPr="00EE5F0F">
        <w:rPr>
          <w:rFonts w:ascii="Garamond" w:hAnsi="Garamond"/>
          <w:sz w:val="22"/>
          <w:szCs w:val="22"/>
        </w:rPr>
        <w:t>of Armenia resolutions</w:t>
      </w:r>
      <w:r w:rsidR="00AF7DDF" w:rsidRPr="00EE5F0F">
        <w:rPr>
          <w:rFonts w:ascii="Garamond" w:hAnsi="Garamond"/>
          <w:sz w:val="22"/>
          <w:szCs w:val="22"/>
        </w:rPr>
        <w:t>.</w:t>
      </w:r>
    </w:p>
    <w:p w14:paraId="45F0EFE8" w14:textId="77777777" w:rsidR="00AF7DDF" w:rsidRPr="00EE5F0F" w:rsidRDefault="00AF7DDF" w:rsidP="00EE619D">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 xml:space="preserve">Relative to the previous MP program, the state budget revenue forecasts did not change and are in line with quarterly revenue plans. However, </w:t>
      </w:r>
      <w:r w:rsidR="00077C44" w:rsidRPr="00EE5F0F">
        <w:rPr>
          <w:rFonts w:ascii="Garamond" w:hAnsi="Garamond"/>
          <w:sz w:val="22"/>
          <w:szCs w:val="22"/>
        </w:rPr>
        <w:t>due to the upside adjustment of the nominal GDP estimate, the share of deficit in GDP has changed</w:t>
      </w:r>
      <w:r w:rsidR="006575D7" w:rsidRPr="00EE5F0F">
        <w:rPr>
          <w:rFonts w:ascii="Garamond" w:hAnsi="Garamond"/>
          <w:sz w:val="22"/>
          <w:szCs w:val="22"/>
        </w:rPr>
        <w:t xml:space="preserve"> and it </w:t>
      </w:r>
      <w:r w:rsidR="00077C44" w:rsidRPr="00EE5F0F">
        <w:rPr>
          <w:rFonts w:ascii="Garamond" w:hAnsi="Garamond"/>
          <w:sz w:val="22"/>
          <w:szCs w:val="22"/>
        </w:rPr>
        <w:t>will make up 2.0%</w:t>
      </w:r>
      <w:r w:rsidR="006575D7" w:rsidRPr="00EE5F0F">
        <w:rPr>
          <w:rFonts w:ascii="Garamond" w:hAnsi="Garamond"/>
          <w:sz w:val="22"/>
          <w:szCs w:val="22"/>
        </w:rPr>
        <w:t>,</w:t>
      </w:r>
      <w:r w:rsidR="00077C44" w:rsidRPr="00EE5F0F">
        <w:rPr>
          <w:rFonts w:ascii="Garamond" w:hAnsi="Garamond"/>
          <w:sz w:val="22"/>
          <w:szCs w:val="22"/>
        </w:rPr>
        <w:t xml:space="preserve"> instead of 2.7% as defined under law</w:t>
      </w:r>
      <w:r w:rsidRPr="00EE5F0F">
        <w:rPr>
          <w:rFonts w:ascii="Garamond" w:hAnsi="Garamond"/>
          <w:sz w:val="22"/>
          <w:szCs w:val="22"/>
        </w:rPr>
        <w:t>, according to the C</w:t>
      </w:r>
      <w:r w:rsidR="00077C44" w:rsidRPr="00EE5F0F">
        <w:rPr>
          <w:rFonts w:ascii="Garamond" w:hAnsi="Garamond"/>
          <w:sz w:val="22"/>
          <w:szCs w:val="22"/>
        </w:rPr>
        <w:t>entral Bank</w:t>
      </w:r>
      <w:r w:rsidRPr="00EE5F0F">
        <w:rPr>
          <w:rFonts w:ascii="Garamond" w:hAnsi="Garamond"/>
          <w:sz w:val="22"/>
          <w:szCs w:val="22"/>
        </w:rPr>
        <w:t xml:space="preserve"> estimat</w:t>
      </w:r>
      <w:r w:rsidR="00077C44" w:rsidRPr="00EE5F0F">
        <w:rPr>
          <w:rFonts w:ascii="Garamond" w:hAnsi="Garamond"/>
          <w:sz w:val="22"/>
          <w:szCs w:val="22"/>
        </w:rPr>
        <w:t>ion.</w:t>
      </w:r>
      <w:r w:rsidR="003B0B41" w:rsidRPr="00EE5F0F">
        <w:rPr>
          <w:rFonts w:ascii="Garamond" w:hAnsi="Garamond"/>
          <w:sz w:val="22"/>
          <w:szCs w:val="22"/>
        </w:rPr>
        <w:t xml:space="preserve"> As a result, the fiscal impulse for 2018 is calculated to be 0.2 pp expansionary.</w:t>
      </w:r>
    </w:p>
    <w:p w14:paraId="47305E77" w14:textId="77777777" w:rsidR="007A1381" w:rsidRPr="00EE5F0F" w:rsidRDefault="007A1381" w:rsidP="00EE619D">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In the period 2019-2020 the fiscal policy is thought to have a neutral impact, but this will mainly be conditioned by which policy of revenue collection and expenditures will be carried out in future.</w:t>
      </w:r>
    </w:p>
    <w:p w14:paraId="25A4C423" w14:textId="77777777" w:rsidR="00EE619D" w:rsidRPr="00EE5F0F" w:rsidRDefault="00EE619D" w:rsidP="00EE619D">
      <w:pPr>
        <w:autoSpaceDE w:val="0"/>
        <w:autoSpaceDN w:val="0"/>
        <w:adjustRightInd w:val="0"/>
        <w:spacing w:after="120" w:line="360" w:lineRule="auto"/>
        <w:jc w:val="both"/>
        <w:rPr>
          <w:rFonts w:ascii="Garamond" w:hAnsi="Garamond"/>
          <w:sz w:val="22"/>
          <w:szCs w:val="22"/>
        </w:rPr>
      </w:pPr>
      <w:r w:rsidRPr="00EE5F0F">
        <w:rPr>
          <w:rFonts w:ascii="Garamond" w:hAnsi="Garamond"/>
          <w:b/>
          <w:sz w:val="22"/>
          <w:szCs w:val="22"/>
        </w:rPr>
        <w:t>Labor market</w:t>
      </w:r>
      <w:r w:rsidR="007C4FF5" w:rsidRPr="00EE5F0F">
        <w:rPr>
          <w:rStyle w:val="FootnoteReference"/>
          <w:rFonts w:ascii="Garamond" w:hAnsi="Garamond"/>
          <w:b/>
          <w:sz w:val="22"/>
          <w:szCs w:val="22"/>
        </w:rPr>
        <w:footnoteReference w:customMarkFollows="1" w:id="4"/>
        <w:t>5</w:t>
      </w:r>
      <w:r w:rsidRPr="00EE5F0F">
        <w:rPr>
          <w:rFonts w:ascii="Garamond" w:hAnsi="Garamond"/>
          <w:b/>
          <w:sz w:val="22"/>
          <w:szCs w:val="22"/>
        </w:rPr>
        <w:t xml:space="preserve">: </w:t>
      </w:r>
      <w:r w:rsidR="00E31B2F" w:rsidRPr="00EE5F0F">
        <w:rPr>
          <w:rFonts w:ascii="Garamond" w:hAnsi="Garamond"/>
          <w:sz w:val="22"/>
          <w:szCs w:val="22"/>
        </w:rPr>
        <w:t xml:space="preserve">In 2018 the </w:t>
      </w:r>
      <w:r w:rsidR="00E31B2F" w:rsidRPr="00EE5F0F">
        <w:rPr>
          <w:rFonts w:ascii="Garamond" w:hAnsi="Garamond"/>
          <w:b/>
          <w:sz w:val="22"/>
          <w:szCs w:val="22"/>
        </w:rPr>
        <w:t>private sector’s</w:t>
      </w:r>
      <w:r w:rsidR="00E31B2F" w:rsidRPr="00EE5F0F">
        <w:rPr>
          <w:rFonts w:ascii="Garamond" w:hAnsi="Garamond"/>
          <w:sz w:val="22"/>
          <w:szCs w:val="22"/>
        </w:rPr>
        <w:t xml:space="preserve"> nominal wage</w:t>
      </w:r>
      <w:r w:rsidR="007C4FF5" w:rsidRPr="00EE5F0F">
        <w:rPr>
          <w:rStyle w:val="FootnoteReference"/>
          <w:rFonts w:ascii="Garamond" w:hAnsi="Garamond"/>
          <w:sz w:val="22"/>
          <w:szCs w:val="22"/>
        </w:rPr>
        <w:footnoteReference w:customMarkFollows="1" w:id="5"/>
        <w:t>6</w:t>
      </w:r>
      <w:r w:rsidR="007C4FF5" w:rsidRPr="00EE5F0F">
        <w:rPr>
          <w:rFonts w:ascii="Garamond" w:hAnsi="Garamond"/>
          <w:sz w:val="22"/>
          <w:szCs w:val="22"/>
        </w:rPr>
        <w:t xml:space="preserve"> </w:t>
      </w:r>
      <w:r w:rsidR="00E31B2F" w:rsidRPr="00EE5F0F">
        <w:rPr>
          <w:rFonts w:ascii="Garamond" w:hAnsi="Garamond"/>
          <w:sz w:val="22"/>
          <w:szCs w:val="22"/>
        </w:rPr>
        <w:t>growth rate will accelerate to 6.</w:t>
      </w:r>
      <w:r w:rsidR="007C4FF5" w:rsidRPr="00EE5F0F">
        <w:rPr>
          <w:rFonts w:ascii="Garamond" w:hAnsi="Garamond"/>
          <w:sz w:val="22"/>
          <w:szCs w:val="22"/>
        </w:rPr>
        <w:t>5</w:t>
      </w:r>
      <w:r w:rsidR="00E31B2F" w:rsidRPr="00EE5F0F">
        <w:rPr>
          <w:rFonts w:ascii="Garamond" w:hAnsi="Garamond"/>
          <w:sz w:val="22"/>
          <w:szCs w:val="22"/>
        </w:rPr>
        <w:t xml:space="preserve">%. In the medium term, the growth of nominal wage in the private sector will be </w:t>
      </w:r>
      <w:r w:rsidR="007D055F" w:rsidRPr="00EE5F0F">
        <w:rPr>
          <w:rFonts w:ascii="Garamond" w:hAnsi="Garamond"/>
          <w:sz w:val="22"/>
          <w:szCs w:val="22"/>
        </w:rPr>
        <w:t>determined by</w:t>
      </w:r>
      <w:r w:rsidR="00E31B2F" w:rsidRPr="00EE5F0F">
        <w:rPr>
          <w:rFonts w:ascii="Garamond" w:hAnsi="Garamond"/>
          <w:sz w:val="22"/>
          <w:szCs w:val="22"/>
        </w:rPr>
        <w:t xml:space="preserve"> fundamental economic growth and inflation developments. </w:t>
      </w:r>
      <w:r w:rsidR="007D055F" w:rsidRPr="00EE5F0F">
        <w:rPr>
          <w:rFonts w:ascii="Garamond" w:hAnsi="Garamond"/>
          <w:sz w:val="22"/>
          <w:szCs w:val="22"/>
        </w:rPr>
        <w:t>In 2019 the private sector’s nominal wage is predicted to increase by about 7.5%, and at the end of forecast horizon it will stabilize around 8.5%.</w:t>
      </w:r>
      <w:r w:rsidR="00E31B2F" w:rsidRPr="00EE5F0F">
        <w:rPr>
          <w:rFonts w:ascii="Garamond" w:hAnsi="Garamond"/>
          <w:sz w:val="22"/>
          <w:szCs w:val="22"/>
        </w:rPr>
        <w:t xml:space="preserve"> </w:t>
      </w:r>
    </w:p>
    <w:p w14:paraId="3D054270" w14:textId="77777777" w:rsidR="007D055F" w:rsidRPr="00EE5F0F" w:rsidRDefault="007D055F" w:rsidP="00EE619D">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lastRenderedPageBreak/>
        <w:t xml:space="preserve">In the context of developments described above, the unemployment rate in 2018 is expected to reach 17.1%. In the medium term, the unemployment rate will decline by about 0.3 pp annually, approaching its mid-term equilibrium at the end of the forecast horizon.      </w:t>
      </w:r>
    </w:p>
    <w:p w14:paraId="0DD2A6B8" w14:textId="77777777" w:rsidR="007D055F" w:rsidRPr="00EE5F0F" w:rsidRDefault="007D055F" w:rsidP="00EE619D">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 xml:space="preserve">In 2018, </w:t>
      </w:r>
      <w:r w:rsidR="00383D4D" w:rsidRPr="00EE5F0F">
        <w:rPr>
          <w:rFonts w:ascii="Garamond" w:hAnsi="Garamond"/>
          <w:sz w:val="22"/>
          <w:szCs w:val="22"/>
        </w:rPr>
        <w:t xml:space="preserve">the growth of </w:t>
      </w:r>
      <w:r w:rsidRPr="00EE5F0F">
        <w:rPr>
          <w:rFonts w:ascii="Garamond" w:hAnsi="Garamond"/>
          <w:sz w:val="22"/>
          <w:szCs w:val="22"/>
        </w:rPr>
        <w:t xml:space="preserve">firms’ unit labor costs will enter a positive territory and at the end of forecast horizon it will stabilize </w:t>
      </w:r>
      <w:r w:rsidR="00383D4D" w:rsidRPr="00EE5F0F">
        <w:rPr>
          <w:rFonts w:ascii="Garamond" w:hAnsi="Garamond"/>
          <w:sz w:val="22"/>
          <w:szCs w:val="22"/>
        </w:rPr>
        <w:t xml:space="preserve">around its fundamental value, </w:t>
      </w:r>
      <w:proofErr w:type="gramStart"/>
      <w:r w:rsidR="00383D4D" w:rsidRPr="00EE5F0F">
        <w:rPr>
          <w:rFonts w:ascii="Garamond" w:hAnsi="Garamond"/>
          <w:sz w:val="22"/>
          <w:szCs w:val="22"/>
        </w:rPr>
        <w:t>i.e.</w:t>
      </w:r>
      <w:proofErr w:type="gramEnd"/>
      <w:r w:rsidR="00383D4D" w:rsidRPr="00EE5F0F">
        <w:rPr>
          <w:rFonts w:ascii="Garamond" w:hAnsi="Garamond"/>
          <w:sz w:val="22"/>
          <w:szCs w:val="22"/>
        </w:rPr>
        <w:t xml:space="preserve"> the 4% inflation target.</w:t>
      </w:r>
      <w:r w:rsidRPr="00EE5F0F">
        <w:rPr>
          <w:rFonts w:ascii="Garamond" w:hAnsi="Garamond"/>
          <w:sz w:val="22"/>
          <w:szCs w:val="22"/>
        </w:rPr>
        <w:t xml:space="preserve">              </w:t>
      </w:r>
    </w:p>
    <w:p w14:paraId="6552A720" w14:textId="77777777" w:rsidR="007D055F" w:rsidRPr="00EE5F0F" w:rsidRDefault="007D055F" w:rsidP="00EE619D">
      <w:pPr>
        <w:autoSpaceDE w:val="0"/>
        <w:autoSpaceDN w:val="0"/>
        <w:adjustRightInd w:val="0"/>
        <w:spacing w:after="120" w:line="360" w:lineRule="auto"/>
        <w:jc w:val="both"/>
        <w:rPr>
          <w:rFonts w:ascii="Garamond" w:hAnsi="Garamond"/>
          <w:sz w:val="22"/>
          <w:szCs w:val="22"/>
        </w:rPr>
      </w:pPr>
    </w:p>
    <w:p w14:paraId="2EE25F00" w14:textId="77777777" w:rsidR="00EE619D" w:rsidRPr="00EE5F0F" w:rsidRDefault="00EE619D" w:rsidP="00EE619D">
      <w:pPr>
        <w:autoSpaceDE w:val="0"/>
        <w:autoSpaceDN w:val="0"/>
        <w:adjustRightInd w:val="0"/>
        <w:spacing w:after="120" w:line="360" w:lineRule="auto"/>
        <w:jc w:val="both"/>
        <w:rPr>
          <w:rFonts w:ascii="Garamond" w:hAnsi="Garamond"/>
          <w:b/>
          <w:bCs/>
          <w:iCs/>
          <w:color w:val="0070C0"/>
          <w:sz w:val="22"/>
          <w:szCs w:val="22"/>
        </w:rPr>
      </w:pPr>
      <w:r w:rsidRPr="00EE5F0F">
        <w:rPr>
          <w:rFonts w:ascii="Garamond" w:hAnsi="Garamond"/>
          <w:b/>
          <w:bCs/>
          <w:iCs/>
          <w:color w:val="0070C0"/>
          <w:sz w:val="22"/>
          <w:szCs w:val="22"/>
        </w:rPr>
        <w:t>2.2.3. Comparison with the previous forecast</w:t>
      </w:r>
    </w:p>
    <w:p w14:paraId="3D635DD0" w14:textId="77777777" w:rsidR="00EE619D" w:rsidRPr="00EE5F0F" w:rsidRDefault="00EE619D" w:rsidP="00EE619D">
      <w:pPr>
        <w:autoSpaceDE w:val="0"/>
        <w:autoSpaceDN w:val="0"/>
        <w:adjustRightInd w:val="0"/>
        <w:spacing w:after="120" w:line="360" w:lineRule="auto"/>
        <w:jc w:val="both"/>
        <w:rPr>
          <w:rFonts w:ascii="Garamond" w:hAnsi="Garamond"/>
          <w:b/>
          <w:sz w:val="22"/>
          <w:szCs w:val="22"/>
        </w:rPr>
      </w:pPr>
      <w:r w:rsidRPr="00EE5F0F">
        <w:rPr>
          <w:rFonts w:ascii="Garamond" w:hAnsi="Garamond"/>
          <w:b/>
          <w:sz w:val="22"/>
          <w:szCs w:val="22"/>
        </w:rPr>
        <w:t>T</w:t>
      </w:r>
      <w:r w:rsidR="00E87583" w:rsidRPr="00EE5F0F">
        <w:rPr>
          <w:rFonts w:ascii="Garamond" w:hAnsi="Garamond"/>
          <w:b/>
          <w:sz w:val="22"/>
          <w:szCs w:val="22"/>
        </w:rPr>
        <w:t xml:space="preserve">rade partners’ </w:t>
      </w:r>
      <w:r w:rsidR="009612DF" w:rsidRPr="00EE5F0F">
        <w:rPr>
          <w:rFonts w:ascii="Garamond" w:hAnsi="Garamond"/>
          <w:b/>
          <w:sz w:val="22"/>
          <w:szCs w:val="22"/>
        </w:rPr>
        <w:t>short</w:t>
      </w:r>
      <w:r w:rsidR="00E87583" w:rsidRPr="00EE5F0F">
        <w:rPr>
          <w:rFonts w:ascii="Garamond" w:hAnsi="Garamond"/>
          <w:b/>
          <w:sz w:val="22"/>
          <w:szCs w:val="22"/>
        </w:rPr>
        <w:t xml:space="preserve">-term </w:t>
      </w:r>
      <w:r w:rsidRPr="00EE5F0F">
        <w:rPr>
          <w:rFonts w:ascii="Garamond" w:hAnsi="Garamond"/>
          <w:b/>
          <w:sz w:val="22"/>
          <w:szCs w:val="22"/>
        </w:rPr>
        <w:t xml:space="preserve">economic growth </w:t>
      </w:r>
      <w:r w:rsidR="00E87583" w:rsidRPr="00EE5F0F">
        <w:rPr>
          <w:rFonts w:ascii="Garamond" w:hAnsi="Garamond"/>
          <w:b/>
          <w:sz w:val="22"/>
          <w:szCs w:val="22"/>
        </w:rPr>
        <w:t xml:space="preserve">indicators </w:t>
      </w:r>
      <w:r w:rsidR="007C2B74" w:rsidRPr="00EE5F0F">
        <w:rPr>
          <w:rFonts w:ascii="Garamond" w:hAnsi="Garamond"/>
          <w:b/>
          <w:sz w:val="22"/>
          <w:szCs w:val="22"/>
        </w:rPr>
        <w:t xml:space="preserve">were </w:t>
      </w:r>
      <w:r w:rsidR="00E87583" w:rsidRPr="00EE5F0F">
        <w:rPr>
          <w:rFonts w:ascii="Garamond" w:hAnsi="Garamond"/>
          <w:b/>
          <w:sz w:val="22"/>
          <w:szCs w:val="22"/>
        </w:rPr>
        <w:t xml:space="preserve">adjusted </w:t>
      </w:r>
      <w:r w:rsidRPr="00EE5F0F">
        <w:rPr>
          <w:rFonts w:ascii="Garamond" w:hAnsi="Garamond"/>
          <w:b/>
          <w:sz w:val="22"/>
          <w:szCs w:val="22"/>
        </w:rPr>
        <w:t xml:space="preserve">upward </w:t>
      </w:r>
      <w:r w:rsidR="00E87583" w:rsidRPr="00EE5F0F">
        <w:rPr>
          <w:rFonts w:ascii="Garamond" w:hAnsi="Garamond"/>
          <w:b/>
          <w:sz w:val="22"/>
          <w:szCs w:val="22"/>
        </w:rPr>
        <w:t xml:space="preserve">against </w:t>
      </w:r>
      <w:r w:rsidRPr="00EE5F0F">
        <w:rPr>
          <w:rFonts w:ascii="Garamond" w:hAnsi="Garamond"/>
          <w:b/>
          <w:sz w:val="22"/>
          <w:szCs w:val="22"/>
        </w:rPr>
        <w:t xml:space="preserve">the previous forecast. </w:t>
      </w:r>
    </w:p>
    <w:p w14:paraId="2812D419" w14:textId="77777777" w:rsidR="00500167" w:rsidRPr="00EE5F0F" w:rsidRDefault="007C2B74" w:rsidP="00EE619D">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 xml:space="preserve">The US economic growth forecasts for 2018 were </w:t>
      </w:r>
      <w:r w:rsidR="00E87583" w:rsidRPr="00EE5F0F">
        <w:rPr>
          <w:rFonts w:ascii="Garamond" w:hAnsi="Garamond"/>
          <w:sz w:val="22"/>
          <w:szCs w:val="22"/>
        </w:rPr>
        <w:t>slightly</w:t>
      </w:r>
      <w:r w:rsidR="00B67B97" w:rsidRPr="00EE5F0F">
        <w:rPr>
          <w:rFonts w:ascii="Garamond" w:hAnsi="Garamond"/>
          <w:sz w:val="22"/>
          <w:szCs w:val="22"/>
        </w:rPr>
        <w:t xml:space="preserve"> </w:t>
      </w:r>
      <w:r w:rsidRPr="00EE5F0F">
        <w:rPr>
          <w:rFonts w:ascii="Garamond" w:hAnsi="Garamond"/>
          <w:sz w:val="22"/>
          <w:szCs w:val="22"/>
        </w:rPr>
        <w:t xml:space="preserve">revised </w:t>
      </w:r>
      <w:r w:rsidR="00B67B97" w:rsidRPr="00EE5F0F">
        <w:rPr>
          <w:rFonts w:ascii="Garamond" w:hAnsi="Garamond"/>
          <w:sz w:val="22"/>
          <w:szCs w:val="22"/>
        </w:rPr>
        <w:t>upward</w:t>
      </w:r>
      <w:r w:rsidRPr="00EE5F0F">
        <w:rPr>
          <w:rFonts w:ascii="Garamond" w:hAnsi="Garamond"/>
          <w:sz w:val="22"/>
          <w:szCs w:val="22"/>
        </w:rPr>
        <w:t xml:space="preserve">, driven by persistently high economic growth indicators </w:t>
      </w:r>
      <w:r w:rsidR="002976FB" w:rsidRPr="00EE5F0F">
        <w:rPr>
          <w:rFonts w:ascii="Garamond" w:hAnsi="Garamond"/>
          <w:sz w:val="22"/>
          <w:szCs w:val="22"/>
        </w:rPr>
        <w:t xml:space="preserve">reported </w:t>
      </w:r>
      <w:r w:rsidR="00B716F4" w:rsidRPr="00EE5F0F">
        <w:rPr>
          <w:rFonts w:ascii="Garamond" w:hAnsi="Garamond"/>
          <w:sz w:val="22"/>
          <w:szCs w:val="22"/>
        </w:rPr>
        <w:t xml:space="preserve">in </w:t>
      </w:r>
      <w:r w:rsidRPr="00EE5F0F">
        <w:rPr>
          <w:rFonts w:ascii="Garamond" w:hAnsi="Garamond"/>
          <w:sz w:val="22"/>
          <w:szCs w:val="22"/>
        </w:rPr>
        <w:t>previous quarter</w:t>
      </w:r>
      <w:r w:rsidR="00B716F4" w:rsidRPr="00EE5F0F">
        <w:rPr>
          <w:rFonts w:ascii="Garamond" w:hAnsi="Garamond"/>
          <w:sz w:val="22"/>
          <w:szCs w:val="22"/>
        </w:rPr>
        <w:t>s</w:t>
      </w:r>
      <w:r w:rsidRPr="00EE5F0F">
        <w:rPr>
          <w:rFonts w:ascii="Garamond" w:hAnsi="Garamond"/>
          <w:sz w:val="22"/>
          <w:szCs w:val="22"/>
        </w:rPr>
        <w:t xml:space="preserve">, </w:t>
      </w:r>
      <w:r w:rsidR="00B716F4" w:rsidRPr="00EE5F0F">
        <w:rPr>
          <w:rFonts w:ascii="Garamond" w:hAnsi="Garamond"/>
          <w:sz w:val="22"/>
          <w:szCs w:val="22"/>
        </w:rPr>
        <w:t>an</w:t>
      </w:r>
      <w:r w:rsidRPr="00EE5F0F">
        <w:rPr>
          <w:rFonts w:ascii="Garamond" w:hAnsi="Garamond"/>
          <w:sz w:val="22"/>
          <w:szCs w:val="22"/>
        </w:rPr>
        <w:t xml:space="preserve"> anticipated positive impact of tax reforms, as well as </w:t>
      </w:r>
      <w:r w:rsidR="00B716F4" w:rsidRPr="00EE5F0F">
        <w:rPr>
          <w:rFonts w:ascii="Garamond" w:hAnsi="Garamond"/>
          <w:sz w:val="22"/>
          <w:szCs w:val="22"/>
        </w:rPr>
        <w:t xml:space="preserve">the first quarter’s </w:t>
      </w:r>
      <w:r w:rsidRPr="00EE5F0F">
        <w:rPr>
          <w:rFonts w:ascii="Garamond" w:hAnsi="Garamond"/>
          <w:sz w:val="22"/>
          <w:szCs w:val="22"/>
        </w:rPr>
        <w:t xml:space="preserve">actual economic growth rate </w:t>
      </w:r>
      <w:r w:rsidR="00B716F4" w:rsidRPr="00EE5F0F">
        <w:rPr>
          <w:rFonts w:ascii="Garamond" w:hAnsi="Garamond"/>
          <w:sz w:val="22"/>
          <w:szCs w:val="22"/>
        </w:rPr>
        <w:t xml:space="preserve">which has been higher </w:t>
      </w:r>
      <w:r w:rsidR="002976FB" w:rsidRPr="00EE5F0F">
        <w:rPr>
          <w:rFonts w:ascii="Garamond" w:hAnsi="Garamond"/>
          <w:sz w:val="22"/>
          <w:szCs w:val="22"/>
        </w:rPr>
        <w:t xml:space="preserve">than </w:t>
      </w:r>
      <w:r w:rsidR="00B716F4" w:rsidRPr="00EE5F0F">
        <w:rPr>
          <w:rFonts w:ascii="Garamond" w:hAnsi="Garamond"/>
          <w:sz w:val="22"/>
          <w:szCs w:val="22"/>
        </w:rPr>
        <w:t>the</w:t>
      </w:r>
      <w:r w:rsidRPr="00EE5F0F">
        <w:rPr>
          <w:rFonts w:ascii="Garamond" w:hAnsi="Garamond"/>
          <w:sz w:val="22"/>
          <w:szCs w:val="22"/>
        </w:rPr>
        <w:t xml:space="preserve"> previous</w:t>
      </w:r>
      <w:r w:rsidR="00B716F4" w:rsidRPr="00EE5F0F">
        <w:rPr>
          <w:rFonts w:ascii="Garamond" w:hAnsi="Garamond"/>
          <w:sz w:val="22"/>
          <w:szCs w:val="22"/>
        </w:rPr>
        <w:t xml:space="preserve"> </w:t>
      </w:r>
      <w:r w:rsidRPr="00EE5F0F">
        <w:rPr>
          <w:rFonts w:ascii="Garamond" w:hAnsi="Garamond"/>
          <w:sz w:val="22"/>
          <w:szCs w:val="22"/>
        </w:rPr>
        <w:t>forecast</w:t>
      </w:r>
      <w:r w:rsidR="00B716F4" w:rsidRPr="00EE5F0F">
        <w:rPr>
          <w:rFonts w:ascii="Garamond" w:hAnsi="Garamond"/>
          <w:sz w:val="22"/>
          <w:szCs w:val="22"/>
        </w:rPr>
        <w:t>.</w:t>
      </w:r>
      <w:r w:rsidR="002976FB" w:rsidRPr="00EE5F0F">
        <w:rPr>
          <w:rFonts w:ascii="Garamond" w:hAnsi="Garamond"/>
          <w:sz w:val="22"/>
          <w:szCs w:val="22"/>
        </w:rPr>
        <w:t xml:space="preserve"> </w:t>
      </w:r>
      <w:r w:rsidR="00272DD8" w:rsidRPr="00EE5F0F">
        <w:rPr>
          <w:rFonts w:ascii="Garamond" w:hAnsi="Garamond"/>
          <w:sz w:val="22"/>
          <w:szCs w:val="22"/>
        </w:rPr>
        <w:t xml:space="preserve">The 2018 upward revision of economic growth forecasts in Eurozone </w:t>
      </w:r>
      <w:r w:rsidR="002976FB" w:rsidRPr="00EE5F0F">
        <w:rPr>
          <w:rFonts w:ascii="Garamond" w:hAnsi="Garamond"/>
          <w:sz w:val="22"/>
          <w:szCs w:val="22"/>
        </w:rPr>
        <w:t xml:space="preserve">owed to expected growth of external demand amid accelerating global economic growth rates, as well as </w:t>
      </w:r>
      <w:r w:rsidR="00C339DE" w:rsidRPr="00EE5F0F">
        <w:rPr>
          <w:rFonts w:ascii="Garamond" w:hAnsi="Garamond"/>
          <w:sz w:val="22"/>
          <w:szCs w:val="22"/>
        </w:rPr>
        <w:t xml:space="preserve">higher-than-predicted economic growth reported in previous quarters. In Russia, a different economic growth rate in relation to the previous period is partly due to the revision of the historical series, while the mid-term change, as compared with the previous one, is attributable to faster recovery of domestic demand in the medium run and revised international oil prices. </w:t>
      </w:r>
    </w:p>
    <w:p w14:paraId="755F8D42" w14:textId="77777777" w:rsidR="003B6FDA" w:rsidRPr="00EE5F0F" w:rsidRDefault="00520816" w:rsidP="00EE619D">
      <w:pPr>
        <w:autoSpaceDE w:val="0"/>
        <w:autoSpaceDN w:val="0"/>
        <w:adjustRightInd w:val="0"/>
        <w:spacing w:after="120" w:line="360" w:lineRule="auto"/>
        <w:jc w:val="both"/>
        <w:rPr>
          <w:rFonts w:ascii="Garamond" w:hAnsi="Garamond"/>
          <w:b/>
          <w:sz w:val="22"/>
          <w:szCs w:val="22"/>
        </w:rPr>
      </w:pPr>
      <w:r w:rsidRPr="00EE5F0F">
        <w:rPr>
          <w:rFonts w:ascii="Garamond" w:hAnsi="Garamond"/>
          <w:b/>
          <w:sz w:val="22"/>
          <w:szCs w:val="22"/>
        </w:rPr>
        <w:t>In the world’s commodity markets</w:t>
      </w:r>
      <w:r w:rsidR="00811961" w:rsidRPr="00EE5F0F">
        <w:rPr>
          <w:rFonts w:ascii="Garamond" w:hAnsi="Garamond"/>
          <w:b/>
          <w:sz w:val="22"/>
          <w:szCs w:val="22"/>
        </w:rPr>
        <w:t>,</w:t>
      </w:r>
      <w:r w:rsidRPr="00EE5F0F">
        <w:rPr>
          <w:rFonts w:ascii="Garamond" w:hAnsi="Garamond"/>
          <w:b/>
          <w:sz w:val="22"/>
          <w:szCs w:val="22"/>
        </w:rPr>
        <w:t xml:space="preserve"> i</w:t>
      </w:r>
      <w:r w:rsidR="003B6FDA" w:rsidRPr="00EE5F0F">
        <w:rPr>
          <w:rFonts w:ascii="Garamond" w:hAnsi="Garamond"/>
          <w:b/>
          <w:sz w:val="22"/>
          <w:szCs w:val="22"/>
        </w:rPr>
        <w:t xml:space="preserve">nflationary </w:t>
      </w:r>
      <w:r w:rsidRPr="00EE5F0F">
        <w:rPr>
          <w:rFonts w:ascii="Garamond" w:hAnsi="Garamond"/>
          <w:b/>
          <w:sz w:val="22"/>
          <w:szCs w:val="22"/>
        </w:rPr>
        <w:t>pattern</w:t>
      </w:r>
      <w:r w:rsidR="003B6FDA" w:rsidRPr="00EE5F0F">
        <w:rPr>
          <w:rFonts w:ascii="Garamond" w:hAnsi="Garamond"/>
          <w:b/>
          <w:sz w:val="22"/>
          <w:szCs w:val="22"/>
        </w:rPr>
        <w:t xml:space="preserve">s are </w:t>
      </w:r>
      <w:r w:rsidR="008C05C0" w:rsidRPr="00EE5F0F">
        <w:rPr>
          <w:rFonts w:ascii="Garamond" w:hAnsi="Garamond"/>
          <w:b/>
          <w:sz w:val="22"/>
          <w:szCs w:val="22"/>
        </w:rPr>
        <w:t>anticipated, as was outlined in previous forecast;</w:t>
      </w:r>
      <w:r w:rsidRPr="00EE5F0F">
        <w:rPr>
          <w:rFonts w:ascii="Garamond" w:hAnsi="Garamond"/>
          <w:b/>
          <w:sz w:val="22"/>
          <w:szCs w:val="22"/>
        </w:rPr>
        <w:t xml:space="preserve"> in food product markets in the forecast horizon, prices will shape at </w:t>
      </w:r>
      <w:r w:rsidR="008C05C0" w:rsidRPr="00EE5F0F">
        <w:rPr>
          <w:rFonts w:ascii="Garamond" w:hAnsi="Garamond"/>
          <w:b/>
          <w:sz w:val="22"/>
          <w:szCs w:val="22"/>
        </w:rPr>
        <w:t xml:space="preserve">the levels </w:t>
      </w:r>
      <w:r w:rsidR="003E01F9" w:rsidRPr="00EE5F0F">
        <w:rPr>
          <w:rFonts w:ascii="Garamond" w:hAnsi="Garamond"/>
          <w:b/>
          <w:sz w:val="22"/>
          <w:szCs w:val="22"/>
        </w:rPr>
        <w:t xml:space="preserve">somewhat </w:t>
      </w:r>
      <w:r w:rsidR="008C05C0" w:rsidRPr="00EE5F0F">
        <w:rPr>
          <w:rFonts w:ascii="Garamond" w:hAnsi="Garamond"/>
          <w:b/>
          <w:sz w:val="22"/>
          <w:szCs w:val="22"/>
        </w:rPr>
        <w:t xml:space="preserve">lower </w:t>
      </w:r>
      <w:r w:rsidRPr="00EE5F0F">
        <w:rPr>
          <w:rFonts w:ascii="Garamond" w:hAnsi="Garamond"/>
          <w:b/>
          <w:sz w:val="22"/>
          <w:szCs w:val="22"/>
        </w:rPr>
        <w:t>than forecasted previously</w:t>
      </w:r>
      <w:r w:rsidR="003B6FDA" w:rsidRPr="00EE5F0F">
        <w:rPr>
          <w:rFonts w:ascii="Garamond" w:hAnsi="Garamond"/>
          <w:b/>
          <w:sz w:val="22"/>
          <w:szCs w:val="22"/>
        </w:rPr>
        <w:t>.</w:t>
      </w:r>
    </w:p>
    <w:p w14:paraId="6DBB166F" w14:textId="77777777" w:rsidR="00500167" w:rsidRPr="00EE5F0F" w:rsidRDefault="003E01F9" w:rsidP="00EE619D">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I</w:t>
      </w:r>
      <w:r w:rsidR="005A3523" w:rsidRPr="00EE5F0F">
        <w:rPr>
          <w:rFonts w:ascii="Garamond" w:hAnsi="Garamond"/>
          <w:sz w:val="22"/>
          <w:szCs w:val="22"/>
        </w:rPr>
        <w:t xml:space="preserve">n the </w:t>
      </w:r>
      <w:r w:rsidR="000B2CE6" w:rsidRPr="00EE5F0F">
        <w:rPr>
          <w:rFonts w:ascii="Garamond" w:hAnsi="Garamond"/>
          <w:sz w:val="22"/>
          <w:szCs w:val="22"/>
        </w:rPr>
        <w:t xml:space="preserve">world’s </w:t>
      </w:r>
      <w:r w:rsidR="005A3523" w:rsidRPr="00EE5F0F">
        <w:rPr>
          <w:rFonts w:ascii="Garamond" w:hAnsi="Garamond"/>
          <w:sz w:val="22"/>
          <w:szCs w:val="22"/>
        </w:rPr>
        <w:t xml:space="preserve">food </w:t>
      </w:r>
      <w:r w:rsidR="000B2CE6" w:rsidRPr="00EE5F0F">
        <w:rPr>
          <w:rFonts w:ascii="Garamond" w:hAnsi="Garamond"/>
          <w:sz w:val="22"/>
          <w:szCs w:val="22"/>
        </w:rPr>
        <w:t xml:space="preserve">product </w:t>
      </w:r>
      <w:r w:rsidR="005A3523" w:rsidRPr="00EE5F0F">
        <w:rPr>
          <w:rFonts w:ascii="Garamond" w:hAnsi="Garamond"/>
          <w:sz w:val="22"/>
          <w:szCs w:val="22"/>
        </w:rPr>
        <w:t>market</w:t>
      </w:r>
      <w:r w:rsidR="000B2CE6" w:rsidRPr="00EE5F0F">
        <w:rPr>
          <w:rFonts w:ascii="Garamond" w:hAnsi="Garamond"/>
          <w:sz w:val="22"/>
          <w:szCs w:val="22"/>
        </w:rPr>
        <w:t>s</w:t>
      </w:r>
      <w:r w:rsidR="005A3523" w:rsidRPr="00EE5F0F">
        <w:rPr>
          <w:rFonts w:ascii="Garamond" w:hAnsi="Garamond"/>
          <w:sz w:val="22"/>
          <w:szCs w:val="22"/>
        </w:rPr>
        <w:t xml:space="preserve">, </w:t>
      </w:r>
      <w:r w:rsidRPr="00EE5F0F">
        <w:rPr>
          <w:rFonts w:ascii="Garamond" w:hAnsi="Garamond"/>
          <w:sz w:val="22"/>
          <w:szCs w:val="22"/>
        </w:rPr>
        <w:t>the prices are expected to increase by the speed as predicted previously, but they will shape at lower levels as the actual first quarter 2018 indicator has been lower from the forecast</w:t>
      </w:r>
      <w:r w:rsidR="006355AE" w:rsidRPr="00EE5F0F">
        <w:rPr>
          <w:rFonts w:ascii="Garamond" w:hAnsi="Garamond"/>
          <w:sz w:val="22"/>
          <w:szCs w:val="22"/>
        </w:rPr>
        <w:t>. I</w:t>
      </w:r>
      <w:r w:rsidRPr="00EE5F0F">
        <w:rPr>
          <w:rFonts w:ascii="Garamond" w:hAnsi="Garamond"/>
          <w:sz w:val="22"/>
          <w:szCs w:val="22"/>
        </w:rPr>
        <w:t xml:space="preserve">n the medium </w:t>
      </w:r>
      <w:r w:rsidR="006355AE" w:rsidRPr="00EE5F0F">
        <w:rPr>
          <w:rFonts w:ascii="Garamond" w:hAnsi="Garamond"/>
          <w:sz w:val="22"/>
          <w:szCs w:val="22"/>
        </w:rPr>
        <w:t>run the</w:t>
      </w:r>
      <w:r w:rsidRPr="00EE5F0F">
        <w:rPr>
          <w:rFonts w:ascii="Garamond" w:hAnsi="Garamond"/>
          <w:sz w:val="22"/>
          <w:szCs w:val="22"/>
        </w:rPr>
        <w:t xml:space="preserve"> prices will </w:t>
      </w:r>
      <w:r w:rsidR="006355AE" w:rsidRPr="00EE5F0F">
        <w:rPr>
          <w:rFonts w:ascii="Garamond" w:hAnsi="Garamond"/>
          <w:sz w:val="22"/>
          <w:szCs w:val="22"/>
        </w:rPr>
        <w:t>behave in line with the previous forecast.</w:t>
      </w:r>
      <w:r w:rsidR="004928D0" w:rsidRPr="00EE5F0F">
        <w:rPr>
          <w:rFonts w:ascii="Garamond" w:hAnsi="Garamond"/>
          <w:sz w:val="22"/>
          <w:szCs w:val="22"/>
        </w:rPr>
        <w:t xml:space="preserve"> </w:t>
      </w:r>
    </w:p>
    <w:p w14:paraId="3D588B19" w14:textId="77777777" w:rsidR="004928D0" w:rsidRPr="00EE5F0F" w:rsidRDefault="004928D0" w:rsidP="00EE619D">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 xml:space="preserve">Relative to previous forecasts, </w:t>
      </w:r>
      <w:r w:rsidR="006355AE" w:rsidRPr="00EE5F0F">
        <w:rPr>
          <w:rFonts w:ascii="Garamond" w:hAnsi="Garamond"/>
          <w:sz w:val="22"/>
          <w:szCs w:val="22"/>
        </w:rPr>
        <w:t xml:space="preserve">international </w:t>
      </w:r>
      <w:r w:rsidRPr="00EE5F0F">
        <w:rPr>
          <w:rFonts w:ascii="Garamond" w:hAnsi="Garamond"/>
          <w:sz w:val="22"/>
          <w:szCs w:val="22"/>
        </w:rPr>
        <w:t>oil prices will rest on somewhat a higher level</w:t>
      </w:r>
      <w:r w:rsidR="00E72006" w:rsidRPr="00EE5F0F">
        <w:rPr>
          <w:rFonts w:ascii="Garamond" w:hAnsi="Garamond"/>
          <w:sz w:val="22"/>
          <w:szCs w:val="22"/>
        </w:rPr>
        <w:t xml:space="preserve">. This </w:t>
      </w:r>
      <w:r w:rsidR="006355AE" w:rsidRPr="00EE5F0F">
        <w:rPr>
          <w:rFonts w:ascii="Garamond" w:hAnsi="Garamond"/>
          <w:sz w:val="22"/>
          <w:szCs w:val="22"/>
        </w:rPr>
        <w:t>will be driven by possible reduction in the supply as a result of the US sanctions on Iran</w:t>
      </w:r>
      <w:r w:rsidR="00E72006" w:rsidRPr="00EE5F0F">
        <w:rPr>
          <w:rFonts w:ascii="Garamond" w:hAnsi="Garamond"/>
          <w:sz w:val="22"/>
          <w:szCs w:val="22"/>
        </w:rPr>
        <w:t>,</w:t>
      </w:r>
      <w:r w:rsidR="006355AE" w:rsidRPr="00EE5F0F">
        <w:rPr>
          <w:rFonts w:ascii="Garamond" w:hAnsi="Garamond"/>
          <w:sz w:val="22"/>
          <w:szCs w:val="22"/>
        </w:rPr>
        <w:t xml:space="preserve"> on the one hand</w:t>
      </w:r>
      <w:r w:rsidR="00E72006" w:rsidRPr="00EE5F0F">
        <w:rPr>
          <w:rFonts w:ascii="Garamond" w:hAnsi="Garamond"/>
          <w:sz w:val="22"/>
          <w:szCs w:val="22"/>
        </w:rPr>
        <w:t>,</w:t>
      </w:r>
      <w:r w:rsidR="006355AE" w:rsidRPr="00EE5F0F">
        <w:rPr>
          <w:rFonts w:ascii="Garamond" w:hAnsi="Garamond"/>
          <w:sz w:val="22"/>
          <w:szCs w:val="22"/>
        </w:rPr>
        <w:t xml:space="preserve"> and as </w:t>
      </w:r>
      <w:r w:rsidR="00E72006" w:rsidRPr="00EE5F0F">
        <w:rPr>
          <w:rFonts w:ascii="Garamond" w:hAnsi="Garamond"/>
          <w:sz w:val="22"/>
          <w:szCs w:val="22"/>
        </w:rPr>
        <w:t xml:space="preserve">the </w:t>
      </w:r>
      <w:r w:rsidR="006355AE" w:rsidRPr="00EE5F0F">
        <w:rPr>
          <w:rFonts w:ascii="Garamond" w:hAnsi="Garamond"/>
          <w:sz w:val="22"/>
          <w:szCs w:val="22"/>
        </w:rPr>
        <w:t xml:space="preserve">world oil demand </w:t>
      </w:r>
      <w:r w:rsidR="00E72006" w:rsidRPr="00EE5F0F">
        <w:rPr>
          <w:rFonts w:ascii="Garamond" w:hAnsi="Garamond"/>
          <w:sz w:val="22"/>
          <w:szCs w:val="22"/>
        </w:rPr>
        <w:t>continues rebounding, on the other</w:t>
      </w:r>
      <w:r w:rsidRPr="00EE5F0F">
        <w:rPr>
          <w:rFonts w:ascii="Garamond" w:hAnsi="Garamond"/>
          <w:sz w:val="22"/>
          <w:szCs w:val="22"/>
        </w:rPr>
        <w:t xml:space="preserve">. </w:t>
      </w:r>
    </w:p>
    <w:p w14:paraId="08DD11C8" w14:textId="77777777" w:rsidR="009E6F4B" w:rsidRPr="00EE5F0F" w:rsidRDefault="00CA1277" w:rsidP="00EE619D">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I</w:t>
      </w:r>
      <w:r w:rsidR="00785B36" w:rsidRPr="00EE5F0F">
        <w:rPr>
          <w:rFonts w:ascii="Garamond" w:hAnsi="Garamond"/>
          <w:sz w:val="22"/>
          <w:szCs w:val="22"/>
        </w:rPr>
        <w:t xml:space="preserve">nternational </w:t>
      </w:r>
      <w:r w:rsidR="009E6F4B" w:rsidRPr="00EE5F0F">
        <w:rPr>
          <w:rFonts w:ascii="Garamond" w:hAnsi="Garamond"/>
          <w:sz w:val="22"/>
          <w:szCs w:val="22"/>
        </w:rPr>
        <w:t xml:space="preserve">copper prices will </w:t>
      </w:r>
      <w:r w:rsidR="00785B36" w:rsidRPr="00EE5F0F">
        <w:rPr>
          <w:rFonts w:ascii="Garamond" w:hAnsi="Garamond"/>
          <w:sz w:val="22"/>
          <w:szCs w:val="22"/>
        </w:rPr>
        <w:t xml:space="preserve">shape </w:t>
      </w:r>
      <w:r w:rsidRPr="00EE5F0F">
        <w:rPr>
          <w:rFonts w:ascii="Garamond" w:hAnsi="Garamond"/>
          <w:sz w:val="22"/>
          <w:szCs w:val="22"/>
        </w:rPr>
        <w:t xml:space="preserve">at the levels close to the ones outlined in the previous forecast, as changes in the structure of supply and demand in the world copper market are negligible compared to previous expectations.  </w:t>
      </w:r>
    </w:p>
    <w:p w14:paraId="23FFD503" w14:textId="77777777" w:rsidR="00C71404" w:rsidRPr="00EE5F0F" w:rsidRDefault="00CA1277" w:rsidP="00EE619D">
      <w:pPr>
        <w:autoSpaceDE w:val="0"/>
        <w:autoSpaceDN w:val="0"/>
        <w:adjustRightInd w:val="0"/>
        <w:spacing w:after="120" w:line="360" w:lineRule="auto"/>
        <w:jc w:val="both"/>
        <w:rPr>
          <w:rFonts w:ascii="Garamond" w:hAnsi="Garamond"/>
          <w:b/>
          <w:sz w:val="22"/>
          <w:szCs w:val="22"/>
          <w:lang w:val="hy-AM"/>
        </w:rPr>
      </w:pPr>
      <w:r w:rsidRPr="00EE5F0F">
        <w:rPr>
          <w:rFonts w:ascii="Garamond" w:hAnsi="Garamond"/>
          <w:b/>
          <w:sz w:val="22"/>
          <w:szCs w:val="22"/>
        </w:rPr>
        <w:t xml:space="preserve">In 2018 </w:t>
      </w:r>
      <w:r w:rsidR="00C71404" w:rsidRPr="00EE5F0F">
        <w:rPr>
          <w:rFonts w:ascii="Garamond" w:hAnsi="Garamond"/>
          <w:b/>
          <w:sz w:val="22"/>
          <w:szCs w:val="22"/>
        </w:rPr>
        <w:t xml:space="preserve">Armenia’s economic growth rate </w:t>
      </w:r>
      <w:r w:rsidRPr="00EE5F0F">
        <w:rPr>
          <w:rFonts w:ascii="Garamond" w:hAnsi="Garamond"/>
          <w:b/>
          <w:sz w:val="22"/>
          <w:szCs w:val="22"/>
        </w:rPr>
        <w:t>was</w:t>
      </w:r>
      <w:r w:rsidR="00C71404" w:rsidRPr="00EE5F0F">
        <w:rPr>
          <w:rFonts w:ascii="Garamond" w:hAnsi="Garamond"/>
          <w:b/>
          <w:sz w:val="22"/>
          <w:szCs w:val="22"/>
        </w:rPr>
        <w:t xml:space="preserve"> revised </w:t>
      </w:r>
      <w:r w:rsidRPr="00EE5F0F">
        <w:rPr>
          <w:rFonts w:ascii="Garamond" w:hAnsi="Garamond"/>
          <w:b/>
          <w:sz w:val="22"/>
          <w:szCs w:val="22"/>
        </w:rPr>
        <w:t xml:space="preserve">slightly </w:t>
      </w:r>
      <w:r w:rsidR="00C71404" w:rsidRPr="00EE5F0F">
        <w:rPr>
          <w:rFonts w:ascii="Garamond" w:hAnsi="Garamond"/>
          <w:b/>
          <w:sz w:val="22"/>
          <w:szCs w:val="22"/>
        </w:rPr>
        <w:t xml:space="preserve">upside </w:t>
      </w:r>
      <w:r w:rsidRPr="00EE5F0F">
        <w:rPr>
          <w:rFonts w:ascii="Garamond" w:hAnsi="Garamond"/>
          <w:b/>
          <w:sz w:val="22"/>
          <w:szCs w:val="22"/>
        </w:rPr>
        <w:t xml:space="preserve">relative to </w:t>
      </w:r>
      <w:r w:rsidR="00C71404" w:rsidRPr="00EE5F0F">
        <w:rPr>
          <w:rFonts w:ascii="Garamond" w:hAnsi="Garamond"/>
          <w:b/>
          <w:sz w:val="22"/>
          <w:szCs w:val="22"/>
        </w:rPr>
        <w:t>previous forecasts</w:t>
      </w:r>
      <w:r w:rsidR="008901DA" w:rsidRPr="00EE5F0F">
        <w:rPr>
          <w:rFonts w:ascii="Garamond" w:hAnsi="Garamond"/>
          <w:b/>
          <w:sz w:val="22"/>
          <w:szCs w:val="22"/>
        </w:rPr>
        <w:t xml:space="preserve">, but </w:t>
      </w:r>
      <w:r w:rsidRPr="00EE5F0F">
        <w:rPr>
          <w:rFonts w:ascii="Garamond" w:hAnsi="Garamond"/>
          <w:b/>
          <w:sz w:val="22"/>
          <w:szCs w:val="22"/>
        </w:rPr>
        <w:t xml:space="preserve">it did not change substantially </w:t>
      </w:r>
      <w:r w:rsidR="00C71404" w:rsidRPr="00EE5F0F">
        <w:rPr>
          <w:rFonts w:ascii="Garamond" w:hAnsi="Garamond"/>
          <w:b/>
          <w:sz w:val="22"/>
          <w:szCs w:val="22"/>
        </w:rPr>
        <w:t xml:space="preserve">along the </w:t>
      </w:r>
      <w:r w:rsidR="008901DA" w:rsidRPr="00EE5F0F">
        <w:rPr>
          <w:rFonts w:ascii="Garamond" w:hAnsi="Garamond"/>
          <w:b/>
          <w:sz w:val="22"/>
          <w:szCs w:val="22"/>
        </w:rPr>
        <w:t xml:space="preserve">path of </w:t>
      </w:r>
      <w:r w:rsidR="00C71404" w:rsidRPr="00EE5F0F">
        <w:rPr>
          <w:rFonts w:ascii="Garamond" w:hAnsi="Garamond"/>
          <w:b/>
          <w:sz w:val="22"/>
          <w:szCs w:val="22"/>
        </w:rPr>
        <w:t>forecast horizon.</w:t>
      </w:r>
    </w:p>
    <w:p w14:paraId="289BA623" w14:textId="77777777" w:rsidR="000007DB" w:rsidRPr="00EE5F0F" w:rsidRDefault="000007DB" w:rsidP="00EE619D">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lastRenderedPageBreak/>
        <w:t xml:space="preserve">Year 2018 began with higher economic activity (see section III. 2. 3) than expected previously, under which circumstance the 2018 economic growth forecasts were slightly revised upside, while the GDP developments anticipated in the medium-term did not change notably. Consistent with previous estimations, </w:t>
      </w:r>
      <w:r w:rsidR="00AA75EC" w:rsidRPr="00EE5F0F">
        <w:rPr>
          <w:rFonts w:ascii="Garamond" w:hAnsi="Garamond"/>
          <w:sz w:val="22"/>
          <w:szCs w:val="22"/>
        </w:rPr>
        <w:t>the industry and service sectors will remain the key drivers to economic growth both over 2018 and the forecast horizon, and the agricultural and construction sectors will make relatively small contribution to the growth.</w:t>
      </w:r>
    </w:p>
    <w:p w14:paraId="76416294" w14:textId="77777777" w:rsidR="00AA75EC" w:rsidRPr="00EE5F0F" w:rsidRDefault="00AA75EC" w:rsidP="00EE619D">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There is expectation that the positive GDP gap will close in the short run, and in the forecast horizon it will approach its potential value.</w:t>
      </w:r>
    </w:p>
    <w:p w14:paraId="456FCE1D" w14:textId="77777777" w:rsidR="00BE69EE" w:rsidRPr="00EE5F0F" w:rsidRDefault="00E713AF" w:rsidP="00EE619D">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In 2018</w:t>
      </w:r>
      <w:r w:rsidR="00AA75EC" w:rsidRPr="00EE5F0F">
        <w:rPr>
          <w:rFonts w:ascii="Garamond" w:hAnsi="Garamond"/>
          <w:sz w:val="22"/>
          <w:szCs w:val="22"/>
        </w:rPr>
        <w:t>,</w:t>
      </w:r>
      <w:r w:rsidRPr="00EE5F0F">
        <w:rPr>
          <w:rFonts w:ascii="Garamond" w:hAnsi="Garamond"/>
          <w:sz w:val="22"/>
          <w:szCs w:val="22"/>
        </w:rPr>
        <w:t xml:space="preserve"> the current account deficit-to-GDP ratio will </w:t>
      </w:r>
      <w:r w:rsidR="00AA75EC" w:rsidRPr="00EE5F0F">
        <w:rPr>
          <w:rFonts w:ascii="Garamond" w:hAnsi="Garamond"/>
          <w:sz w:val="22"/>
          <w:szCs w:val="22"/>
        </w:rPr>
        <w:t>run above the previous forecast due to an upside revision of the GDP growth</w:t>
      </w:r>
      <w:r w:rsidRPr="00EE5F0F">
        <w:rPr>
          <w:rFonts w:ascii="Garamond" w:hAnsi="Garamond"/>
          <w:sz w:val="22"/>
          <w:szCs w:val="22"/>
        </w:rPr>
        <w:t xml:space="preserve">. </w:t>
      </w:r>
      <w:r w:rsidR="00745929" w:rsidRPr="00EE5F0F">
        <w:rPr>
          <w:rFonts w:ascii="Garamond" w:hAnsi="Garamond"/>
          <w:sz w:val="22"/>
          <w:szCs w:val="22"/>
        </w:rPr>
        <w:t xml:space="preserve">At the end of mid-term horizon, </w:t>
      </w:r>
      <w:r w:rsidRPr="00EE5F0F">
        <w:rPr>
          <w:rFonts w:ascii="Garamond" w:hAnsi="Garamond"/>
          <w:sz w:val="22"/>
          <w:szCs w:val="22"/>
        </w:rPr>
        <w:t>th</w:t>
      </w:r>
      <w:r w:rsidR="004D5BD5" w:rsidRPr="00EE5F0F">
        <w:rPr>
          <w:rFonts w:ascii="Garamond" w:hAnsi="Garamond"/>
          <w:sz w:val="22"/>
          <w:szCs w:val="22"/>
        </w:rPr>
        <w:t xml:space="preserve">e </w:t>
      </w:r>
      <w:r w:rsidR="00745929" w:rsidRPr="00EE5F0F">
        <w:rPr>
          <w:rFonts w:ascii="Garamond" w:hAnsi="Garamond"/>
          <w:sz w:val="22"/>
          <w:szCs w:val="22"/>
        </w:rPr>
        <w:t xml:space="preserve">current account deficit </w:t>
      </w:r>
      <w:r w:rsidRPr="00EE5F0F">
        <w:rPr>
          <w:rFonts w:ascii="Garamond" w:hAnsi="Garamond"/>
          <w:sz w:val="22"/>
          <w:szCs w:val="22"/>
        </w:rPr>
        <w:t xml:space="preserve">will be </w:t>
      </w:r>
      <w:r w:rsidR="00745929" w:rsidRPr="00EE5F0F">
        <w:rPr>
          <w:rFonts w:ascii="Garamond" w:hAnsi="Garamond"/>
          <w:sz w:val="22"/>
          <w:szCs w:val="22"/>
        </w:rPr>
        <w:t>within the value forecasted for the previous quarter</w:t>
      </w:r>
      <w:r w:rsidR="004D5BD5" w:rsidRPr="00EE5F0F">
        <w:rPr>
          <w:rFonts w:ascii="Garamond" w:hAnsi="Garamond"/>
          <w:sz w:val="22"/>
          <w:szCs w:val="22"/>
        </w:rPr>
        <w:t xml:space="preserve">. </w:t>
      </w:r>
    </w:p>
    <w:p w14:paraId="6D42FC3C" w14:textId="77777777" w:rsidR="00015947" w:rsidRPr="00EE5F0F" w:rsidRDefault="00BE69EE" w:rsidP="00EE619D">
      <w:pPr>
        <w:autoSpaceDE w:val="0"/>
        <w:autoSpaceDN w:val="0"/>
        <w:adjustRightInd w:val="0"/>
        <w:spacing w:after="120" w:line="360" w:lineRule="auto"/>
        <w:jc w:val="both"/>
        <w:rPr>
          <w:rFonts w:ascii="Garamond" w:hAnsi="Garamond"/>
          <w:b/>
          <w:sz w:val="22"/>
          <w:szCs w:val="22"/>
        </w:rPr>
      </w:pPr>
      <w:r w:rsidRPr="00EE5F0F">
        <w:rPr>
          <w:rFonts w:ascii="Garamond" w:hAnsi="Garamond"/>
          <w:b/>
          <w:sz w:val="22"/>
          <w:szCs w:val="22"/>
        </w:rPr>
        <w:t>Compared to the previous forecast</w:t>
      </w:r>
      <w:r w:rsidR="005260C0" w:rsidRPr="00EE5F0F">
        <w:rPr>
          <w:rFonts w:ascii="Garamond" w:hAnsi="Garamond"/>
          <w:b/>
          <w:sz w:val="22"/>
          <w:szCs w:val="22"/>
        </w:rPr>
        <w:t xml:space="preserve">, the 2018 fiscal sector’s impact has reduced to an estimated 0.2 pp expansionary from </w:t>
      </w:r>
      <w:r w:rsidRPr="00EE5F0F">
        <w:rPr>
          <w:rFonts w:ascii="Garamond" w:hAnsi="Garamond"/>
          <w:b/>
          <w:sz w:val="22"/>
          <w:szCs w:val="22"/>
        </w:rPr>
        <w:t xml:space="preserve">0.9 pp expansionary. </w:t>
      </w:r>
      <w:r w:rsidR="005260C0" w:rsidRPr="00EE5F0F">
        <w:rPr>
          <w:rFonts w:ascii="Garamond" w:hAnsi="Garamond"/>
          <w:b/>
          <w:sz w:val="22"/>
          <w:szCs w:val="22"/>
        </w:rPr>
        <w:t xml:space="preserve">This is attributable to both increased revenues </w:t>
      </w:r>
      <w:r w:rsidR="00D414EB" w:rsidRPr="00EE5F0F">
        <w:rPr>
          <w:rFonts w:ascii="Garamond" w:hAnsi="Garamond"/>
          <w:b/>
          <w:sz w:val="22"/>
          <w:szCs w:val="22"/>
        </w:rPr>
        <w:t xml:space="preserve">in anticipation of </w:t>
      </w:r>
      <w:r w:rsidR="005260C0" w:rsidRPr="00EE5F0F">
        <w:rPr>
          <w:rFonts w:ascii="Garamond" w:hAnsi="Garamond"/>
          <w:b/>
          <w:sz w:val="22"/>
          <w:szCs w:val="22"/>
        </w:rPr>
        <w:t xml:space="preserve">higher economic growth for the year and </w:t>
      </w:r>
      <w:r w:rsidR="00C80994">
        <w:rPr>
          <w:rFonts w:ascii="Garamond" w:hAnsi="Garamond"/>
          <w:b/>
          <w:sz w:val="22"/>
          <w:szCs w:val="22"/>
        </w:rPr>
        <w:t>reduced</w:t>
      </w:r>
      <w:r w:rsidR="00C70148" w:rsidRPr="00EE5F0F">
        <w:rPr>
          <w:rFonts w:ascii="Garamond" w:hAnsi="Garamond"/>
          <w:b/>
          <w:sz w:val="22"/>
          <w:szCs w:val="22"/>
        </w:rPr>
        <w:t xml:space="preserve"> </w:t>
      </w:r>
      <w:r w:rsidR="00D414EB" w:rsidRPr="00EE5F0F">
        <w:rPr>
          <w:rFonts w:ascii="Garamond" w:hAnsi="Garamond"/>
          <w:b/>
          <w:sz w:val="22"/>
          <w:szCs w:val="22"/>
        </w:rPr>
        <w:t xml:space="preserve">expenditures </w:t>
      </w:r>
      <w:r w:rsidR="00583C36" w:rsidRPr="00EE5F0F">
        <w:rPr>
          <w:rFonts w:ascii="Garamond" w:hAnsi="Garamond"/>
          <w:b/>
          <w:sz w:val="22"/>
          <w:szCs w:val="22"/>
        </w:rPr>
        <w:t xml:space="preserve">amid </w:t>
      </w:r>
      <w:r w:rsidR="005260C0" w:rsidRPr="00EE5F0F">
        <w:rPr>
          <w:rFonts w:ascii="Garamond" w:hAnsi="Garamond"/>
          <w:b/>
          <w:sz w:val="22"/>
          <w:szCs w:val="22"/>
        </w:rPr>
        <w:t>certain savings.</w:t>
      </w:r>
    </w:p>
    <w:p w14:paraId="3DD37180" w14:textId="77777777" w:rsidR="00015947" w:rsidRPr="00EE5F0F" w:rsidRDefault="00F51CC3" w:rsidP="00EE619D">
      <w:pPr>
        <w:autoSpaceDE w:val="0"/>
        <w:autoSpaceDN w:val="0"/>
        <w:adjustRightInd w:val="0"/>
        <w:spacing w:after="120" w:line="360" w:lineRule="auto"/>
        <w:jc w:val="both"/>
        <w:rPr>
          <w:rFonts w:ascii="Garamond" w:hAnsi="Garamond"/>
          <w:b/>
          <w:sz w:val="22"/>
          <w:szCs w:val="22"/>
        </w:rPr>
      </w:pPr>
      <w:r w:rsidRPr="00EE5F0F">
        <w:rPr>
          <w:rFonts w:ascii="Garamond" w:hAnsi="Garamond"/>
          <w:b/>
          <w:sz w:val="22"/>
          <w:szCs w:val="22"/>
        </w:rPr>
        <w:t xml:space="preserve">According to the current forecast, </w:t>
      </w:r>
      <w:r w:rsidR="00D922F8" w:rsidRPr="00EE5F0F">
        <w:rPr>
          <w:rFonts w:ascii="Garamond" w:hAnsi="Garamond"/>
          <w:b/>
          <w:sz w:val="22"/>
          <w:szCs w:val="22"/>
        </w:rPr>
        <w:t>in the short run the inflation will run below the previous forecasts due to a lower demand and notably fallen prices of seasonal agricultural products. As the latter phases out, the 12-month inflation rate will somewhat accelerate, stabilizing around the target in the medium-term perspective.</w:t>
      </w:r>
    </w:p>
    <w:p w14:paraId="73B5FDF5" w14:textId="77777777" w:rsidR="002A0418" w:rsidRPr="00EE5F0F" w:rsidRDefault="006817DA" w:rsidP="00EE619D">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The forecast of a relatively weak inflation in the short term is attributable to seasonal product prices</w:t>
      </w:r>
      <w:r w:rsidR="00DF1F2C" w:rsidRPr="00EE5F0F">
        <w:rPr>
          <w:rFonts w:ascii="Garamond" w:hAnsi="Garamond"/>
          <w:sz w:val="22"/>
          <w:szCs w:val="22"/>
        </w:rPr>
        <w:t xml:space="preserve"> which </w:t>
      </w:r>
      <w:r w:rsidRPr="00EE5F0F">
        <w:rPr>
          <w:rFonts w:ascii="Garamond" w:hAnsi="Garamond"/>
          <w:sz w:val="22"/>
          <w:szCs w:val="22"/>
        </w:rPr>
        <w:t xml:space="preserve">suffered a substantial decline </w:t>
      </w:r>
      <w:r w:rsidR="00DF1F2C" w:rsidRPr="00EE5F0F">
        <w:rPr>
          <w:rFonts w:ascii="Garamond" w:hAnsi="Garamond"/>
          <w:sz w:val="22"/>
          <w:szCs w:val="22"/>
        </w:rPr>
        <w:t>explained by</w:t>
      </w:r>
      <w:r w:rsidRPr="00EE5F0F">
        <w:rPr>
          <w:rFonts w:ascii="Garamond" w:hAnsi="Garamond"/>
          <w:sz w:val="22"/>
          <w:szCs w:val="22"/>
        </w:rPr>
        <w:t xml:space="preserve"> a </w:t>
      </w:r>
      <w:r w:rsidR="00DF1F2C" w:rsidRPr="00EE5F0F">
        <w:rPr>
          <w:rFonts w:ascii="Garamond" w:hAnsi="Garamond"/>
          <w:sz w:val="22"/>
          <w:szCs w:val="22"/>
        </w:rPr>
        <w:t xml:space="preserve">certain shift in the </w:t>
      </w:r>
      <w:r w:rsidRPr="00EE5F0F">
        <w:rPr>
          <w:rFonts w:ascii="Garamond" w:hAnsi="Garamond"/>
          <w:sz w:val="22"/>
          <w:szCs w:val="22"/>
        </w:rPr>
        <w:t>seasonality s</w:t>
      </w:r>
      <w:r w:rsidR="00DF1F2C" w:rsidRPr="00EE5F0F">
        <w:rPr>
          <w:rFonts w:ascii="Garamond" w:hAnsi="Garamond"/>
          <w:sz w:val="22"/>
          <w:szCs w:val="22"/>
        </w:rPr>
        <w:t xml:space="preserve">tructure. Consequently, </w:t>
      </w:r>
      <w:r w:rsidR="00037E61" w:rsidRPr="00EE5F0F">
        <w:rPr>
          <w:rFonts w:ascii="Garamond" w:hAnsi="Garamond"/>
          <w:sz w:val="22"/>
          <w:szCs w:val="22"/>
        </w:rPr>
        <w:t>the upcoming quarters will see certain weakening of the seasonally</w:t>
      </w:r>
      <w:r w:rsidR="00832140" w:rsidRPr="00EE5F0F">
        <w:rPr>
          <w:rFonts w:ascii="Garamond" w:hAnsi="Garamond"/>
          <w:sz w:val="22"/>
          <w:szCs w:val="22"/>
        </w:rPr>
        <w:t>,</w:t>
      </w:r>
      <w:r w:rsidR="00037E61" w:rsidRPr="00EE5F0F">
        <w:rPr>
          <w:rFonts w:ascii="Garamond" w:hAnsi="Garamond"/>
          <w:sz w:val="22"/>
          <w:szCs w:val="22"/>
        </w:rPr>
        <w:t xml:space="preserve"> </w:t>
      </w:r>
      <w:r w:rsidR="002C0CFB" w:rsidRPr="00EE5F0F">
        <w:rPr>
          <w:rFonts w:ascii="Garamond" w:hAnsi="Garamond"/>
          <w:sz w:val="22"/>
          <w:szCs w:val="22"/>
        </w:rPr>
        <w:t xml:space="preserve">giving </w:t>
      </w:r>
      <w:r w:rsidR="00DF1F2C" w:rsidRPr="00EE5F0F">
        <w:rPr>
          <w:rFonts w:ascii="Garamond" w:hAnsi="Garamond"/>
          <w:sz w:val="22"/>
          <w:szCs w:val="22"/>
        </w:rPr>
        <w:t xml:space="preserve">agricultural </w:t>
      </w:r>
      <w:r w:rsidR="00037E61" w:rsidRPr="00EE5F0F">
        <w:rPr>
          <w:rFonts w:ascii="Garamond" w:hAnsi="Garamond"/>
          <w:sz w:val="22"/>
          <w:szCs w:val="22"/>
        </w:rPr>
        <w:t xml:space="preserve">product </w:t>
      </w:r>
      <w:r w:rsidR="00DF1F2C" w:rsidRPr="00EE5F0F">
        <w:rPr>
          <w:rFonts w:ascii="Garamond" w:hAnsi="Garamond"/>
          <w:sz w:val="22"/>
          <w:szCs w:val="22"/>
        </w:rPr>
        <w:t xml:space="preserve">prices and </w:t>
      </w:r>
      <w:r w:rsidR="00037E61" w:rsidRPr="00EE5F0F">
        <w:rPr>
          <w:rFonts w:ascii="Garamond" w:hAnsi="Garamond"/>
          <w:sz w:val="22"/>
          <w:szCs w:val="22"/>
        </w:rPr>
        <w:t>headline</w:t>
      </w:r>
      <w:r w:rsidR="00DF1F2C" w:rsidRPr="00EE5F0F">
        <w:rPr>
          <w:rFonts w:ascii="Garamond" w:hAnsi="Garamond"/>
          <w:sz w:val="22"/>
          <w:szCs w:val="22"/>
        </w:rPr>
        <w:t xml:space="preserve"> inflation</w:t>
      </w:r>
      <w:r w:rsidR="00832140" w:rsidRPr="00EE5F0F">
        <w:rPr>
          <w:rFonts w:ascii="Garamond" w:hAnsi="Garamond"/>
          <w:sz w:val="22"/>
          <w:szCs w:val="22"/>
        </w:rPr>
        <w:t xml:space="preserve"> </w:t>
      </w:r>
      <w:r w:rsidR="002C0CFB" w:rsidRPr="00EE5F0F">
        <w:rPr>
          <w:rFonts w:ascii="Garamond" w:hAnsi="Garamond"/>
          <w:sz w:val="22"/>
          <w:szCs w:val="22"/>
        </w:rPr>
        <w:t xml:space="preserve">a room for recovery </w:t>
      </w:r>
      <w:r w:rsidR="00832140" w:rsidRPr="00EE5F0F">
        <w:rPr>
          <w:rFonts w:ascii="Garamond" w:hAnsi="Garamond"/>
          <w:sz w:val="22"/>
          <w:szCs w:val="22"/>
        </w:rPr>
        <w:t xml:space="preserve">while helping the </w:t>
      </w:r>
      <w:r w:rsidR="00DF1F2C" w:rsidRPr="00EE5F0F">
        <w:rPr>
          <w:rFonts w:ascii="Garamond" w:hAnsi="Garamond"/>
          <w:sz w:val="22"/>
          <w:szCs w:val="22"/>
        </w:rPr>
        <w:t xml:space="preserve">12-month inflation rate </w:t>
      </w:r>
      <w:r w:rsidR="002C0CFB" w:rsidRPr="00EE5F0F">
        <w:rPr>
          <w:rFonts w:ascii="Garamond" w:hAnsi="Garamond"/>
          <w:sz w:val="22"/>
          <w:szCs w:val="22"/>
        </w:rPr>
        <w:t xml:space="preserve">to </w:t>
      </w:r>
      <w:r w:rsidR="00832140" w:rsidRPr="00EE5F0F">
        <w:rPr>
          <w:rFonts w:ascii="Garamond" w:hAnsi="Garamond"/>
          <w:sz w:val="22"/>
          <w:szCs w:val="22"/>
        </w:rPr>
        <w:t>run above the previous forecast</w:t>
      </w:r>
      <w:r w:rsidR="00DF1F2C" w:rsidRPr="00EE5F0F">
        <w:rPr>
          <w:rFonts w:ascii="Garamond" w:hAnsi="Garamond"/>
          <w:sz w:val="22"/>
          <w:szCs w:val="22"/>
        </w:rPr>
        <w:t xml:space="preserve">. </w:t>
      </w:r>
      <w:r w:rsidR="00832140" w:rsidRPr="00EE5F0F">
        <w:rPr>
          <w:rFonts w:ascii="Garamond" w:hAnsi="Garamond"/>
          <w:sz w:val="22"/>
          <w:szCs w:val="22"/>
        </w:rPr>
        <w:t>In the forecast horizon however, core</w:t>
      </w:r>
      <w:r w:rsidR="00DF1F2C" w:rsidRPr="00EE5F0F">
        <w:rPr>
          <w:rFonts w:ascii="Garamond" w:hAnsi="Garamond"/>
          <w:sz w:val="22"/>
          <w:szCs w:val="22"/>
        </w:rPr>
        <w:t xml:space="preserve"> inflation will be lower than </w:t>
      </w:r>
      <w:r w:rsidR="00832140" w:rsidRPr="00EE5F0F">
        <w:rPr>
          <w:rFonts w:ascii="Garamond" w:hAnsi="Garamond"/>
          <w:sz w:val="22"/>
          <w:szCs w:val="22"/>
        </w:rPr>
        <w:t xml:space="preserve">envisaged by </w:t>
      </w:r>
      <w:r w:rsidR="00DF1F2C" w:rsidRPr="00EE5F0F">
        <w:rPr>
          <w:rFonts w:ascii="Garamond" w:hAnsi="Garamond"/>
          <w:sz w:val="22"/>
          <w:szCs w:val="22"/>
        </w:rPr>
        <w:t xml:space="preserve">the previous scenario, due to </w:t>
      </w:r>
      <w:r w:rsidR="00832140" w:rsidRPr="00EE5F0F">
        <w:rPr>
          <w:rFonts w:ascii="Garamond" w:hAnsi="Garamond"/>
          <w:sz w:val="22"/>
          <w:szCs w:val="22"/>
        </w:rPr>
        <w:t>a</w:t>
      </w:r>
      <w:r w:rsidR="00DF1F2C" w:rsidRPr="00EE5F0F">
        <w:rPr>
          <w:rFonts w:ascii="Garamond" w:hAnsi="Garamond"/>
          <w:sz w:val="22"/>
          <w:szCs w:val="22"/>
        </w:rPr>
        <w:t xml:space="preserve"> relatively </w:t>
      </w:r>
      <w:r w:rsidR="00832140" w:rsidRPr="00EE5F0F">
        <w:rPr>
          <w:rFonts w:ascii="Garamond" w:hAnsi="Garamond"/>
          <w:sz w:val="22"/>
          <w:szCs w:val="22"/>
        </w:rPr>
        <w:t xml:space="preserve">sluggish aggregate </w:t>
      </w:r>
      <w:r w:rsidR="00DF1F2C" w:rsidRPr="00EE5F0F">
        <w:rPr>
          <w:rFonts w:ascii="Garamond" w:hAnsi="Garamond"/>
          <w:sz w:val="22"/>
          <w:szCs w:val="22"/>
        </w:rPr>
        <w:t xml:space="preserve">demand. Nevertheless, the </w:t>
      </w:r>
      <w:r w:rsidR="001748AA" w:rsidRPr="00EE5F0F">
        <w:rPr>
          <w:rFonts w:ascii="Garamond" w:hAnsi="Garamond"/>
          <w:sz w:val="22"/>
          <w:szCs w:val="22"/>
        </w:rPr>
        <w:t>fulfillment of t</w:t>
      </w:r>
      <w:r w:rsidR="00DF1F2C" w:rsidRPr="00EE5F0F">
        <w:rPr>
          <w:rFonts w:ascii="Garamond" w:hAnsi="Garamond"/>
          <w:sz w:val="22"/>
          <w:szCs w:val="22"/>
        </w:rPr>
        <w:t xml:space="preserve">he inflation target in the medium term will require </w:t>
      </w:r>
      <w:r w:rsidR="001748AA" w:rsidRPr="00EE5F0F">
        <w:rPr>
          <w:rFonts w:ascii="Garamond" w:hAnsi="Garamond"/>
          <w:sz w:val="22"/>
          <w:szCs w:val="22"/>
        </w:rPr>
        <w:t xml:space="preserve">that an expansionary </w:t>
      </w:r>
      <w:r w:rsidR="00DF1F2C" w:rsidRPr="00EE5F0F">
        <w:rPr>
          <w:rFonts w:ascii="Garamond" w:hAnsi="Garamond"/>
          <w:sz w:val="22"/>
          <w:szCs w:val="22"/>
        </w:rPr>
        <w:t xml:space="preserve">monetary </w:t>
      </w:r>
      <w:r w:rsidR="001748AA" w:rsidRPr="00EE5F0F">
        <w:rPr>
          <w:rFonts w:ascii="Garamond" w:hAnsi="Garamond"/>
          <w:sz w:val="22"/>
          <w:szCs w:val="22"/>
        </w:rPr>
        <w:t xml:space="preserve">environment phase out gradually </w:t>
      </w:r>
      <w:r w:rsidR="002C0CFB" w:rsidRPr="00EE5F0F">
        <w:rPr>
          <w:rFonts w:ascii="Garamond" w:hAnsi="Garamond"/>
          <w:sz w:val="22"/>
          <w:szCs w:val="22"/>
        </w:rPr>
        <w:t>in order to buffer the impact of a s</w:t>
      </w:r>
      <w:r w:rsidR="00DF1F2C" w:rsidRPr="00EE5F0F">
        <w:rPr>
          <w:rFonts w:ascii="Garamond" w:hAnsi="Garamond"/>
          <w:sz w:val="22"/>
          <w:szCs w:val="22"/>
        </w:rPr>
        <w:t xml:space="preserve">till </w:t>
      </w:r>
      <w:r w:rsidR="009E33CB" w:rsidRPr="00EE5F0F">
        <w:rPr>
          <w:rFonts w:ascii="Garamond" w:hAnsi="Garamond"/>
          <w:sz w:val="22"/>
          <w:szCs w:val="22"/>
        </w:rPr>
        <w:t xml:space="preserve">robust </w:t>
      </w:r>
      <w:r w:rsidR="00DF1F2C" w:rsidRPr="00EE5F0F">
        <w:rPr>
          <w:rFonts w:ascii="Garamond" w:hAnsi="Garamond"/>
          <w:sz w:val="22"/>
          <w:szCs w:val="22"/>
        </w:rPr>
        <w:t>demand</w:t>
      </w:r>
      <w:r w:rsidR="002A0418" w:rsidRPr="00EE5F0F">
        <w:rPr>
          <w:rFonts w:ascii="Garamond" w:hAnsi="Garamond"/>
          <w:sz w:val="22"/>
          <w:szCs w:val="22"/>
        </w:rPr>
        <w:t xml:space="preserve"> (see the Inflation Forecasts Probability Distribution Chart).</w:t>
      </w:r>
    </w:p>
    <w:p w14:paraId="27DCA4A1" w14:textId="77777777" w:rsidR="002A0418" w:rsidRPr="00EE5F0F" w:rsidRDefault="00C34BCA" w:rsidP="00EE619D">
      <w:pPr>
        <w:autoSpaceDE w:val="0"/>
        <w:autoSpaceDN w:val="0"/>
        <w:adjustRightInd w:val="0"/>
        <w:spacing w:after="120" w:line="360" w:lineRule="auto"/>
        <w:jc w:val="both"/>
        <w:rPr>
          <w:rFonts w:ascii="Garamond" w:hAnsi="Garamond"/>
          <w:sz w:val="22"/>
          <w:szCs w:val="22"/>
        </w:rPr>
      </w:pPr>
      <w:r w:rsidRPr="00EE5F0F">
        <w:rPr>
          <w:rFonts w:ascii="Garamond" w:hAnsi="Garamond"/>
          <w:b/>
          <w:sz w:val="22"/>
          <w:szCs w:val="22"/>
        </w:rPr>
        <w:t xml:space="preserve">Short-term inflation expectations will shape at a lower level than outlined in previous forecasts and will virtually be driven by how core inflation developments unfold. </w:t>
      </w:r>
    </w:p>
    <w:p w14:paraId="56A47B72" w14:textId="77777777" w:rsidR="00565F75" w:rsidRDefault="00565F75" w:rsidP="00EE619D">
      <w:pPr>
        <w:autoSpaceDE w:val="0"/>
        <w:autoSpaceDN w:val="0"/>
        <w:adjustRightInd w:val="0"/>
        <w:spacing w:after="120" w:line="360" w:lineRule="auto"/>
        <w:jc w:val="both"/>
        <w:rPr>
          <w:rFonts w:ascii="Garamond" w:hAnsi="Garamond"/>
          <w:b/>
          <w:color w:val="0070C0"/>
          <w:sz w:val="22"/>
          <w:szCs w:val="22"/>
        </w:rPr>
      </w:pPr>
    </w:p>
    <w:p w14:paraId="7F209EC6" w14:textId="77777777" w:rsidR="00815906" w:rsidRPr="00EE5F0F" w:rsidRDefault="00815906" w:rsidP="00EE619D">
      <w:pPr>
        <w:autoSpaceDE w:val="0"/>
        <w:autoSpaceDN w:val="0"/>
        <w:adjustRightInd w:val="0"/>
        <w:spacing w:after="120" w:line="360" w:lineRule="auto"/>
        <w:jc w:val="both"/>
        <w:rPr>
          <w:rFonts w:ascii="Garamond" w:hAnsi="Garamond"/>
          <w:b/>
          <w:color w:val="0070C0"/>
          <w:sz w:val="22"/>
          <w:szCs w:val="22"/>
        </w:rPr>
      </w:pPr>
      <w:r w:rsidRPr="00EE5F0F">
        <w:rPr>
          <w:rFonts w:ascii="Garamond" w:hAnsi="Garamond"/>
          <w:b/>
          <w:color w:val="0070C0"/>
          <w:sz w:val="22"/>
          <w:szCs w:val="22"/>
        </w:rPr>
        <w:t>2.2.4. Main assumptions and risks</w:t>
      </w:r>
    </w:p>
    <w:p w14:paraId="21781462" w14:textId="77777777" w:rsidR="00815906" w:rsidRPr="00EE5F0F" w:rsidRDefault="00C95BEF" w:rsidP="00EE619D">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 xml:space="preserve">This section </w:t>
      </w:r>
      <w:r w:rsidR="009A6F46" w:rsidRPr="00EE5F0F">
        <w:rPr>
          <w:rFonts w:ascii="Garamond" w:hAnsi="Garamond"/>
          <w:sz w:val="22"/>
          <w:szCs w:val="22"/>
        </w:rPr>
        <w:t>contains</w:t>
      </w:r>
      <w:r w:rsidRPr="00EE5F0F">
        <w:rPr>
          <w:rFonts w:ascii="Garamond" w:hAnsi="Garamond"/>
          <w:sz w:val="22"/>
          <w:szCs w:val="22"/>
        </w:rPr>
        <w:t xml:space="preserve"> the main assumptions underlying the Monetary</w:t>
      </w:r>
      <w:r w:rsidR="00815906" w:rsidRPr="00EE5F0F">
        <w:rPr>
          <w:rFonts w:ascii="Garamond" w:hAnsi="Garamond"/>
          <w:sz w:val="22"/>
          <w:szCs w:val="22"/>
        </w:rPr>
        <w:t xml:space="preserve"> </w:t>
      </w:r>
      <w:r w:rsidRPr="00EE5F0F">
        <w:rPr>
          <w:rFonts w:ascii="Garamond" w:hAnsi="Garamond"/>
          <w:sz w:val="22"/>
          <w:szCs w:val="22"/>
        </w:rPr>
        <w:t>P</w:t>
      </w:r>
      <w:r w:rsidR="00815906" w:rsidRPr="00EE5F0F">
        <w:rPr>
          <w:rFonts w:ascii="Garamond" w:hAnsi="Garamond"/>
          <w:sz w:val="22"/>
          <w:szCs w:val="22"/>
        </w:rPr>
        <w:t xml:space="preserve">olicy </w:t>
      </w:r>
      <w:r w:rsidRPr="00EE5F0F">
        <w:rPr>
          <w:rFonts w:ascii="Garamond" w:hAnsi="Garamond"/>
          <w:sz w:val="22"/>
          <w:szCs w:val="22"/>
        </w:rPr>
        <w:t xml:space="preserve">Program for the </w:t>
      </w:r>
      <w:r w:rsidR="005E2710" w:rsidRPr="00EE5F0F">
        <w:rPr>
          <w:rFonts w:ascii="Garamond" w:hAnsi="Garamond"/>
          <w:sz w:val="22"/>
          <w:szCs w:val="22"/>
        </w:rPr>
        <w:t>second</w:t>
      </w:r>
      <w:r w:rsidRPr="00EE5F0F">
        <w:rPr>
          <w:rFonts w:ascii="Garamond" w:hAnsi="Garamond"/>
          <w:sz w:val="22"/>
          <w:szCs w:val="22"/>
        </w:rPr>
        <w:t xml:space="preserve"> quarter of 201</w:t>
      </w:r>
      <w:r w:rsidR="009A6F46" w:rsidRPr="00EE5F0F">
        <w:rPr>
          <w:rFonts w:ascii="Garamond" w:hAnsi="Garamond"/>
          <w:sz w:val="22"/>
          <w:szCs w:val="22"/>
        </w:rPr>
        <w:t>8</w:t>
      </w:r>
      <w:r w:rsidRPr="00EE5F0F">
        <w:rPr>
          <w:rFonts w:ascii="Garamond" w:hAnsi="Garamond"/>
          <w:sz w:val="22"/>
          <w:szCs w:val="22"/>
        </w:rPr>
        <w:t xml:space="preserve"> and the </w:t>
      </w:r>
      <w:r w:rsidR="00815906" w:rsidRPr="00EE5F0F">
        <w:rPr>
          <w:rFonts w:ascii="Garamond" w:hAnsi="Garamond"/>
          <w:sz w:val="22"/>
          <w:szCs w:val="22"/>
        </w:rPr>
        <w:t xml:space="preserve">risks </w:t>
      </w:r>
      <w:r w:rsidRPr="00EE5F0F">
        <w:rPr>
          <w:rFonts w:ascii="Garamond" w:hAnsi="Garamond"/>
          <w:sz w:val="22"/>
          <w:szCs w:val="22"/>
        </w:rPr>
        <w:t>to implementation of the program</w:t>
      </w:r>
      <w:r w:rsidR="00C90711" w:rsidRPr="00EE5F0F">
        <w:rPr>
          <w:rFonts w:ascii="Garamond" w:hAnsi="Garamond"/>
          <w:sz w:val="22"/>
          <w:szCs w:val="22"/>
        </w:rPr>
        <w:t>, which</w:t>
      </w:r>
      <w:r w:rsidR="00FA0C20" w:rsidRPr="00EE5F0F">
        <w:rPr>
          <w:rFonts w:ascii="Garamond" w:hAnsi="Garamond"/>
          <w:sz w:val="22"/>
          <w:szCs w:val="22"/>
        </w:rPr>
        <w:t xml:space="preserve"> </w:t>
      </w:r>
      <w:r w:rsidR="00815906" w:rsidRPr="00EE5F0F">
        <w:rPr>
          <w:rFonts w:ascii="Garamond" w:hAnsi="Garamond"/>
          <w:sz w:val="22"/>
          <w:szCs w:val="22"/>
        </w:rPr>
        <w:t xml:space="preserve">derive from </w:t>
      </w:r>
      <w:r w:rsidR="00FA0C20" w:rsidRPr="00EE5F0F">
        <w:rPr>
          <w:rFonts w:ascii="Garamond" w:hAnsi="Garamond"/>
          <w:sz w:val="22"/>
          <w:szCs w:val="22"/>
        </w:rPr>
        <w:t xml:space="preserve">the </w:t>
      </w:r>
      <w:r w:rsidR="00815906" w:rsidRPr="00EE5F0F">
        <w:rPr>
          <w:rFonts w:ascii="Garamond" w:hAnsi="Garamond"/>
          <w:sz w:val="22"/>
          <w:szCs w:val="22"/>
        </w:rPr>
        <w:t xml:space="preserve">external sector developments, </w:t>
      </w:r>
      <w:r w:rsidR="00FA0C20" w:rsidRPr="00EE5F0F">
        <w:rPr>
          <w:rFonts w:ascii="Garamond" w:hAnsi="Garamond"/>
          <w:sz w:val="22"/>
          <w:szCs w:val="22"/>
        </w:rPr>
        <w:t xml:space="preserve">the </w:t>
      </w:r>
      <w:r w:rsidR="00815906" w:rsidRPr="00EE5F0F">
        <w:rPr>
          <w:rFonts w:ascii="Garamond" w:hAnsi="Garamond"/>
          <w:sz w:val="22"/>
          <w:szCs w:val="22"/>
        </w:rPr>
        <w:t xml:space="preserve">fiscal policy, </w:t>
      </w:r>
      <w:r w:rsidR="009A6F46" w:rsidRPr="00EE5F0F">
        <w:rPr>
          <w:rFonts w:ascii="Garamond" w:hAnsi="Garamond"/>
          <w:sz w:val="22"/>
          <w:szCs w:val="22"/>
        </w:rPr>
        <w:t>basic</w:t>
      </w:r>
      <w:r w:rsidR="00FA0C20" w:rsidRPr="00EE5F0F">
        <w:rPr>
          <w:rFonts w:ascii="Garamond" w:hAnsi="Garamond"/>
          <w:sz w:val="22"/>
          <w:szCs w:val="22"/>
        </w:rPr>
        <w:t xml:space="preserve"> </w:t>
      </w:r>
      <w:r w:rsidR="00815906" w:rsidRPr="00EE5F0F">
        <w:rPr>
          <w:rFonts w:ascii="Garamond" w:hAnsi="Garamond"/>
          <w:sz w:val="22"/>
          <w:szCs w:val="22"/>
        </w:rPr>
        <w:t xml:space="preserve">trends and short-term forecasts. </w:t>
      </w:r>
    </w:p>
    <w:p w14:paraId="16B2B039" w14:textId="77777777" w:rsidR="005E2710" w:rsidRPr="00EE5F0F" w:rsidRDefault="0084157B" w:rsidP="0084157B">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lastRenderedPageBreak/>
        <w:t>1.</w:t>
      </w:r>
      <w:r w:rsidRPr="00EE5F0F">
        <w:rPr>
          <w:rFonts w:ascii="Garamond" w:hAnsi="Garamond"/>
          <w:sz w:val="22"/>
          <w:szCs w:val="22"/>
        </w:rPr>
        <w:tab/>
      </w:r>
      <w:r w:rsidR="005E2710" w:rsidRPr="00EE5F0F">
        <w:rPr>
          <w:rFonts w:ascii="Garamond" w:hAnsi="Garamond"/>
          <w:sz w:val="22"/>
          <w:szCs w:val="22"/>
        </w:rPr>
        <w:t xml:space="preserve">High economic activity indicators in the first quarter of 2018 are largely driven by </w:t>
      </w:r>
      <w:r w:rsidR="00675279" w:rsidRPr="00EE5F0F">
        <w:rPr>
          <w:rFonts w:ascii="Garamond" w:hAnsi="Garamond"/>
          <w:sz w:val="22"/>
          <w:szCs w:val="22"/>
        </w:rPr>
        <w:t>a strong p</w:t>
      </w:r>
      <w:r w:rsidR="005E2710" w:rsidRPr="00EE5F0F">
        <w:rPr>
          <w:rFonts w:ascii="Garamond" w:hAnsi="Garamond"/>
          <w:sz w:val="22"/>
          <w:szCs w:val="22"/>
        </w:rPr>
        <w:t xml:space="preserve">roductivity growth rate, under which circumstance the positive GDP gap is estimated to be less positive </w:t>
      </w:r>
      <w:r w:rsidR="00675279" w:rsidRPr="00EE5F0F">
        <w:rPr>
          <w:rFonts w:ascii="Garamond" w:hAnsi="Garamond"/>
          <w:sz w:val="22"/>
          <w:szCs w:val="22"/>
        </w:rPr>
        <w:t xml:space="preserve">in relation to </w:t>
      </w:r>
      <w:r w:rsidR="005E2710" w:rsidRPr="00EE5F0F">
        <w:rPr>
          <w:rFonts w:ascii="Garamond" w:hAnsi="Garamond"/>
          <w:sz w:val="22"/>
          <w:szCs w:val="22"/>
        </w:rPr>
        <w:t xml:space="preserve">the previous </w:t>
      </w:r>
      <w:r w:rsidR="00675279" w:rsidRPr="00EE5F0F">
        <w:rPr>
          <w:rFonts w:ascii="Garamond" w:hAnsi="Garamond"/>
          <w:sz w:val="22"/>
          <w:szCs w:val="22"/>
        </w:rPr>
        <w:t>one</w:t>
      </w:r>
      <w:r w:rsidR="005E2710" w:rsidRPr="00EE5F0F">
        <w:rPr>
          <w:rFonts w:ascii="Garamond" w:hAnsi="Garamond"/>
          <w:sz w:val="22"/>
          <w:szCs w:val="22"/>
        </w:rPr>
        <w:t>.</w:t>
      </w:r>
      <w:r w:rsidR="007E524F" w:rsidRPr="00EE5F0F">
        <w:rPr>
          <w:rFonts w:ascii="Garamond" w:hAnsi="Garamond"/>
          <w:sz w:val="22"/>
          <w:szCs w:val="22"/>
        </w:rPr>
        <w:t xml:space="preserve"> </w:t>
      </w:r>
    </w:p>
    <w:p w14:paraId="601F2C28" w14:textId="77777777" w:rsidR="003864AA" w:rsidRPr="00EE5F0F" w:rsidRDefault="0084157B" w:rsidP="0084157B">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2.</w:t>
      </w:r>
      <w:r w:rsidRPr="00EE5F0F">
        <w:rPr>
          <w:rFonts w:ascii="Garamond" w:hAnsi="Garamond"/>
          <w:sz w:val="22"/>
          <w:szCs w:val="22"/>
        </w:rPr>
        <w:tab/>
      </w:r>
      <w:r w:rsidR="005E2710" w:rsidRPr="00EE5F0F">
        <w:rPr>
          <w:rFonts w:ascii="Garamond" w:hAnsi="Garamond"/>
          <w:sz w:val="22"/>
          <w:szCs w:val="22"/>
        </w:rPr>
        <w:t xml:space="preserve">The </w:t>
      </w:r>
      <w:r w:rsidR="007E524F" w:rsidRPr="00EE5F0F">
        <w:rPr>
          <w:rFonts w:ascii="Garamond" w:hAnsi="Garamond"/>
          <w:sz w:val="22"/>
          <w:szCs w:val="22"/>
        </w:rPr>
        <w:t xml:space="preserve">real equilibrium </w:t>
      </w:r>
      <w:r w:rsidR="005E2710" w:rsidRPr="00EE5F0F">
        <w:rPr>
          <w:rFonts w:ascii="Garamond" w:hAnsi="Garamond"/>
          <w:sz w:val="22"/>
          <w:szCs w:val="22"/>
        </w:rPr>
        <w:t>exchange rate</w:t>
      </w:r>
      <w:r w:rsidR="007E524F" w:rsidRPr="00EE5F0F">
        <w:rPr>
          <w:rFonts w:ascii="Garamond" w:hAnsi="Garamond"/>
          <w:sz w:val="22"/>
          <w:szCs w:val="22"/>
        </w:rPr>
        <w:t xml:space="preserve"> seems </w:t>
      </w:r>
      <w:r w:rsidR="005E2710" w:rsidRPr="00EE5F0F">
        <w:rPr>
          <w:rFonts w:ascii="Garamond" w:hAnsi="Garamond"/>
          <w:sz w:val="22"/>
          <w:szCs w:val="22"/>
        </w:rPr>
        <w:t xml:space="preserve">to </w:t>
      </w:r>
      <w:r w:rsidR="007E524F" w:rsidRPr="00EE5F0F">
        <w:rPr>
          <w:rFonts w:ascii="Garamond" w:hAnsi="Garamond"/>
          <w:sz w:val="22"/>
          <w:szCs w:val="22"/>
        </w:rPr>
        <w:t xml:space="preserve">have followed a slightly more appreciation path </w:t>
      </w:r>
      <w:r w:rsidR="005E2710" w:rsidRPr="00EE5F0F">
        <w:rPr>
          <w:rFonts w:ascii="Garamond" w:hAnsi="Garamond"/>
          <w:sz w:val="22"/>
          <w:szCs w:val="22"/>
        </w:rPr>
        <w:t xml:space="preserve">over the past </w:t>
      </w:r>
      <w:r w:rsidR="002C20CF" w:rsidRPr="00EE5F0F">
        <w:rPr>
          <w:rFonts w:ascii="Garamond" w:hAnsi="Garamond"/>
          <w:sz w:val="22"/>
          <w:szCs w:val="22"/>
        </w:rPr>
        <w:t xml:space="preserve">2-3 </w:t>
      </w:r>
      <w:r w:rsidR="005E2710" w:rsidRPr="00EE5F0F">
        <w:rPr>
          <w:rFonts w:ascii="Garamond" w:hAnsi="Garamond"/>
          <w:sz w:val="22"/>
          <w:szCs w:val="22"/>
        </w:rPr>
        <w:t>years</w:t>
      </w:r>
      <w:r w:rsidR="002C20CF" w:rsidRPr="00EE5F0F">
        <w:rPr>
          <w:rFonts w:ascii="Garamond" w:hAnsi="Garamond"/>
          <w:sz w:val="22"/>
          <w:szCs w:val="22"/>
        </w:rPr>
        <w:t xml:space="preserve"> relative to t</w:t>
      </w:r>
      <w:r w:rsidR="005E2710" w:rsidRPr="00EE5F0F">
        <w:rPr>
          <w:rFonts w:ascii="Garamond" w:hAnsi="Garamond"/>
          <w:sz w:val="22"/>
          <w:szCs w:val="22"/>
        </w:rPr>
        <w:t xml:space="preserve">he previous estimate. This revision is </w:t>
      </w:r>
      <w:r w:rsidR="00F86991" w:rsidRPr="00EE5F0F">
        <w:rPr>
          <w:rFonts w:ascii="Garamond" w:hAnsi="Garamond"/>
          <w:sz w:val="22"/>
          <w:szCs w:val="22"/>
        </w:rPr>
        <w:t>driven by t</w:t>
      </w:r>
      <w:r w:rsidR="005E2710" w:rsidRPr="00EE5F0F">
        <w:rPr>
          <w:rFonts w:ascii="Garamond" w:hAnsi="Garamond"/>
          <w:sz w:val="22"/>
          <w:szCs w:val="22"/>
        </w:rPr>
        <w:t xml:space="preserve">he exclusion of the impact of </w:t>
      </w:r>
      <w:r w:rsidR="00F86991" w:rsidRPr="00EE5F0F">
        <w:rPr>
          <w:rFonts w:ascii="Garamond" w:hAnsi="Garamond"/>
          <w:sz w:val="22"/>
          <w:szCs w:val="22"/>
        </w:rPr>
        <w:t>a one-off transaction related to the budget</w:t>
      </w:r>
      <w:r w:rsidR="005E2710" w:rsidRPr="00EE5F0F">
        <w:rPr>
          <w:rFonts w:ascii="Garamond" w:hAnsi="Garamond"/>
          <w:sz w:val="22"/>
          <w:szCs w:val="22"/>
        </w:rPr>
        <w:t xml:space="preserve"> on current account developments, which </w:t>
      </w:r>
      <w:r w:rsidR="00F86991" w:rsidRPr="00EE5F0F">
        <w:rPr>
          <w:rFonts w:ascii="Garamond" w:hAnsi="Garamond"/>
          <w:sz w:val="22"/>
          <w:szCs w:val="22"/>
        </w:rPr>
        <w:t xml:space="preserve">points to </w:t>
      </w:r>
      <w:r w:rsidR="008D6262" w:rsidRPr="00EE5F0F">
        <w:rPr>
          <w:rFonts w:ascii="Garamond" w:hAnsi="Garamond"/>
          <w:sz w:val="22"/>
          <w:szCs w:val="22"/>
        </w:rPr>
        <w:t xml:space="preserve">the fact that net exports have had </w:t>
      </w:r>
      <w:r w:rsidR="005E2710" w:rsidRPr="00EE5F0F">
        <w:rPr>
          <w:rFonts w:ascii="Garamond" w:hAnsi="Garamond"/>
          <w:sz w:val="22"/>
          <w:szCs w:val="22"/>
        </w:rPr>
        <w:t xml:space="preserve">a greater positive contribution to </w:t>
      </w:r>
      <w:r w:rsidR="008D6262" w:rsidRPr="00EE5F0F">
        <w:rPr>
          <w:rFonts w:ascii="Garamond" w:hAnsi="Garamond"/>
          <w:sz w:val="22"/>
          <w:szCs w:val="22"/>
        </w:rPr>
        <w:t>the economic growth</w:t>
      </w:r>
      <w:r w:rsidR="005E2710" w:rsidRPr="00EE5F0F">
        <w:rPr>
          <w:rFonts w:ascii="Garamond" w:hAnsi="Garamond"/>
          <w:sz w:val="22"/>
          <w:szCs w:val="22"/>
        </w:rPr>
        <w:t xml:space="preserve">. As a result, </w:t>
      </w:r>
      <w:r w:rsidR="003864AA" w:rsidRPr="00EE5F0F">
        <w:rPr>
          <w:rFonts w:ascii="Garamond" w:hAnsi="Garamond"/>
          <w:sz w:val="22"/>
          <w:szCs w:val="22"/>
        </w:rPr>
        <w:t xml:space="preserve">in the context of using monetary policy instruments to bolster current aggregate demand, </w:t>
      </w:r>
      <w:r w:rsidR="005E2710" w:rsidRPr="00EE5F0F">
        <w:rPr>
          <w:rFonts w:ascii="Garamond" w:hAnsi="Garamond"/>
          <w:sz w:val="22"/>
          <w:szCs w:val="22"/>
        </w:rPr>
        <w:t xml:space="preserve">the impact of the exchange rate </w:t>
      </w:r>
      <w:r w:rsidR="003864AA" w:rsidRPr="00EE5F0F">
        <w:rPr>
          <w:rFonts w:ascii="Garamond" w:hAnsi="Garamond"/>
          <w:sz w:val="22"/>
          <w:szCs w:val="22"/>
        </w:rPr>
        <w:t>channel has been revised somehow upside, whereas the impact of the interest rate channel, downside.</w:t>
      </w:r>
    </w:p>
    <w:p w14:paraId="26EDF63D" w14:textId="77777777" w:rsidR="0084157B" w:rsidRPr="00EE5F0F" w:rsidRDefault="0084157B" w:rsidP="0084157B">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3.</w:t>
      </w:r>
      <w:r w:rsidRPr="00EE5F0F">
        <w:rPr>
          <w:rFonts w:ascii="Garamond" w:hAnsi="Garamond"/>
          <w:sz w:val="22"/>
          <w:szCs w:val="22"/>
        </w:rPr>
        <w:tab/>
      </w:r>
      <w:r w:rsidR="002B3F46" w:rsidRPr="00EE5F0F">
        <w:rPr>
          <w:rFonts w:ascii="Garamond" w:hAnsi="Garamond"/>
          <w:sz w:val="22"/>
          <w:szCs w:val="22"/>
        </w:rPr>
        <w:t xml:space="preserve">The </w:t>
      </w:r>
      <w:r w:rsidR="005E2710" w:rsidRPr="00EE5F0F">
        <w:rPr>
          <w:rFonts w:ascii="Garamond" w:hAnsi="Garamond"/>
          <w:sz w:val="22"/>
          <w:szCs w:val="22"/>
        </w:rPr>
        <w:t xml:space="preserve">interest rates </w:t>
      </w:r>
      <w:r w:rsidR="003864AA" w:rsidRPr="00EE5F0F">
        <w:rPr>
          <w:rFonts w:ascii="Garamond" w:hAnsi="Garamond"/>
          <w:sz w:val="22"/>
          <w:szCs w:val="22"/>
        </w:rPr>
        <w:t>of</w:t>
      </w:r>
      <w:r w:rsidR="005E2710" w:rsidRPr="00EE5F0F">
        <w:rPr>
          <w:rFonts w:ascii="Garamond" w:hAnsi="Garamond"/>
          <w:sz w:val="22"/>
          <w:szCs w:val="22"/>
        </w:rPr>
        <w:t xml:space="preserve"> mid-term </w:t>
      </w:r>
      <w:r w:rsidR="003864AA" w:rsidRPr="00EE5F0F">
        <w:rPr>
          <w:rFonts w:ascii="Garamond" w:hAnsi="Garamond"/>
          <w:sz w:val="22"/>
          <w:szCs w:val="22"/>
        </w:rPr>
        <w:t xml:space="preserve">Eurobonds </w:t>
      </w:r>
      <w:r w:rsidR="005E2710" w:rsidRPr="00EE5F0F">
        <w:rPr>
          <w:rFonts w:ascii="Garamond" w:hAnsi="Garamond"/>
          <w:sz w:val="22"/>
          <w:szCs w:val="22"/>
        </w:rPr>
        <w:t xml:space="preserve">issued by the Government of Armenia </w:t>
      </w:r>
      <w:r w:rsidR="002B3F46" w:rsidRPr="00EE5F0F">
        <w:rPr>
          <w:rFonts w:ascii="Garamond" w:hAnsi="Garamond"/>
          <w:sz w:val="22"/>
          <w:szCs w:val="22"/>
        </w:rPr>
        <w:t xml:space="preserve">point to </w:t>
      </w:r>
      <w:r w:rsidR="005E2710" w:rsidRPr="00EE5F0F">
        <w:rPr>
          <w:rFonts w:ascii="Garamond" w:hAnsi="Garamond"/>
          <w:sz w:val="22"/>
          <w:szCs w:val="22"/>
        </w:rPr>
        <w:t xml:space="preserve">a certain increase in the risk premium for the current quarter, which is </w:t>
      </w:r>
      <w:r w:rsidR="002B3F46" w:rsidRPr="00EE5F0F">
        <w:rPr>
          <w:rFonts w:ascii="Garamond" w:hAnsi="Garamond"/>
          <w:sz w:val="22"/>
          <w:szCs w:val="22"/>
        </w:rPr>
        <w:t xml:space="preserve">chiefly </w:t>
      </w:r>
      <w:r w:rsidR="005E2710" w:rsidRPr="00EE5F0F">
        <w:rPr>
          <w:rFonts w:ascii="Garamond" w:hAnsi="Garamond"/>
          <w:sz w:val="22"/>
          <w:szCs w:val="22"/>
        </w:rPr>
        <w:t>con</w:t>
      </w:r>
      <w:r w:rsidR="002B3F46" w:rsidRPr="00EE5F0F">
        <w:rPr>
          <w:rFonts w:ascii="Garamond" w:hAnsi="Garamond"/>
          <w:sz w:val="22"/>
          <w:szCs w:val="22"/>
        </w:rPr>
        <w:t xml:space="preserve">comitant with </w:t>
      </w:r>
      <w:r w:rsidR="005E2710" w:rsidRPr="00EE5F0F">
        <w:rPr>
          <w:rFonts w:ascii="Garamond" w:hAnsi="Garamond"/>
          <w:sz w:val="22"/>
          <w:szCs w:val="22"/>
        </w:rPr>
        <w:t>recent trends in emerging economies</w:t>
      </w:r>
      <w:r w:rsidR="002B3F46" w:rsidRPr="00EE5F0F">
        <w:rPr>
          <w:rFonts w:ascii="Garamond" w:hAnsi="Garamond"/>
          <w:sz w:val="22"/>
          <w:szCs w:val="22"/>
        </w:rPr>
        <w:t xml:space="preserve">, </w:t>
      </w:r>
      <w:r w:rsidRPr="00EE5F0F">
        <w:rPr>
          <w:rFonts w:ascii="Garamond" w:hAnsi="Garamond"/>
          <w:sz w:val="22"/>
          <w:szCs w:val="22"/>
        </w:rPr>
        <w:t xml:space="preserve">since </w:t>
      </w:r>
      <w:r w:rsidR="002B3F46" w:rsidRPr="00EE5F0F">
        <w:rPr>
          <w:rFonts w:ascii="Garamond" w:hAnsi="Garamond"/>
          <w:sz w:val="22"/>
          <w:szCs w:val="22"/>
        </w:rPr>
        <w:t xml:space="preserve">assets in such countries get revalued in world capital markets on the brink of an expected rise in interest rates </w:t>
      </w:r>
      <w:r w:rsidR="005E2710" w:rsidRPr="00EE5F0F">
        <w:rPr>
          <w:rFonts w:ascii="Garamond" w:hAnsi="Garamond"/>
          <w:sz w:val="22"/>
          <w:szCs w:val="22"/>
        </w:rPr>
        <w:t xml:space="preserve">by </w:t>
      </w:r>
      <w:r w:rsidR="002B3F46" w:rsidRPr="00EE5F0F">
        <w:rPr>
          <w:rFonts w:ascii="Garamond" w:hAnsi="Garamond"/>
          <w:sz w:val="22"/>
          <w:szCs w:val="22"/>
        </w:rPr>
        <w:t xml:space="preserve">the </w:t>
      </w:r>
      <w:r w:rsidR="005E2710" w:rsidRPr="00EE5F0F">
        <w:rPr>
          <w:rFonts w:ascii="Garamond" w:hAnsi="Garamond"/>
          <w:sz w:val="22"/>
          <w:szCs w:val="22"/>
        </w:rPr>
        <w:t xml:space="preserve">US Federal Reserve </w:t>
      </w:r>
      <w:r w:rsidR="002B3F46" w:rsidRPr="00EE5F0F">
        <w:rPr>
          <w:rFonts w:ascii="Garamond" w:hAnsi="Garamond"/>
          <w:sz w:val="22"/>
          <w:szCs w:val="22"/>
        </w:rPr>
        <w:t>System</w:t>
      </w:r>
      <w:r w:rsidRPr="00EE5F0F">
        <w:rPr>
          <w:rFonts w:ascii="Garamond" w:hAnsi="Garamond"/>
          <w:sz w:val="22"/>
          <w:szCs w:val="22"/>
        </w:rPr>
        <w:t>.</w:t>
      </w:r>
    </w:p>
    <w:p w14:paraId="120C57BB" w14:textId="77777777" w:rsidR="005E2710" w:rsidRPr="00EE5F0F" w:rsidRDefault="0084157B" w:rsidP="0084157B">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4.</w:t>
      </w:r>
      <w:r w:rsidRPr="00EE5F0F">
        <w:rPr>
          <w:rFonts w:ascii="Garamond" w:hAnsi="Garamond"/>
          <w:sz w:val="22"/>
          <w:szCs w:val="22"/>
        </w:rPr>
        <w:tab/>
        <w:t>The domestic p</w:t>
      </w:r>
      <w:r w:rsidR="005E2710" w:rsidRPr="00EE5F0F">
        <w:rPr>
          <w:rFonts w:ascii="Garamond" w:hAnsi="Garamond"/>
          <w:sz w:val="22"/>
          <w:szCs w:val="22"/>
        </w:rPr>
        <w:t xml:space="preserve">olitical events had an impact on economic growth </w:t>
      </w:r>
      <w:r w:rsidRPr="00EE5F0F">
        <w:rPr>
          <w:rFonts w:ascii="Garamond" w:hAnsi="Garamond"/>
          <w:sz w:val="22"/>
          <w:szCs w:val="22"/>
        </w:rPr>
        <w:t>during</w:t>
      </w:r>
      <w:r w:rsidR="005E2710" w:rsidRPr="00EE5F0F">
        <w:rPr>
          <w:rFonts w:ascii="Garamond" w:hAnsi="Garamond"/>
          <w:sz w:val="22"/>
          <w:szCs w:val="22"/>
        </w:rPr>
        <w:t xml:space="preserve"> the second quarter of 2018</w:t>
      </w:r>
      <w:r w:rsidRPr="00EE5F0F">
        <w:rPr>
          <w:rFonts w:ascii="Garamond" w:hAnsi="Garamond"/>
          <w:sz w:val="22"/>
          <w:szCs w:val="22"/>
        </w:rPr>
        <w:t xml:space="preserve"> only</w:t>
      </w:r>
      <w:r w:rsidR="005E2710" w:rsidRPr="00EE5F0F">
        <w:rPr>
          <w:rFonts w:ascii="Garamond" w:hAnsi="Garamond"/>
          <w:sz w:val="22"/>
          <w:szCs w:val="22"/>
        </w:rPr>
        <w:t xml:space="preserve">, </w:t>
      </w:r>
      <w:r w:rsidRPr="00EE5F0F">
        <w:rPr>
          <w:rFonts w:ascii="Garamond" w:hAnsi="Garamond"/>
          <w:sz w:val="22"/>
          <w:szCs w:val="22"/>
        </w:rPr>
        <w:t xml:space="preserve">reflecting </w:t>
      </w:r>
      <w:r w:rsidR="005E2710" w:rsidRPr="00EE5F0F">
        <w:rPr>
          <w:rFonts w:ascii="Garamond" w:hAnsi="Garamond"/>
          <w:sz w:val="22"/>
          <w:szCs w:val="22"/>
        </w:rPr>
        <w:t xml:space="preserve">a slight </w:t>
      </w:r>
      <w:r w:rsidRPr="00EE5F0F">
        <w:rPr>
          <w:rFonts w:ascii="Garamond" w:hAnsi="Garamond"/>
          <w:sz w:val="22"/>
          <w:szCs w:val="22"/>
        </w:rPr>
        <w:t xml:space="preserve">contraction </w:t>
      </w:r>
      <w:r w:rsidR="005E2710" w:rsidRPr="00EE5F0F">
        <w:rPr>
          <w:rFonts w:ascii="Garamond" w:hAnsi="Garamond"/>
          <w:sz w:val="22"/>
          <w:szCs w:val="22"/>
        </w:rPr>
        <w:t>in supply and demand</w:t>
      </w:r>
      <w:r w:rsidRPr="00EE5F0F">
        <w:rPr>
          <w:rFonts w:ascii="Garamond" w:hAnsi="Garamond"/>
          <w:sz w:val="22"/>
          <w:szCs w:val="22"/>
        </w:rPr>
        <w:t>,</w:t>
      </w:r>
      <w:r w:rsidR="005E2710" w:rsidRPr="00EE5F0F">
        <w:rPr>
          <w:rFonts w:ascii="Garamond" w:hAnsi="Garamond"/>
          <w:sz w:val="22"/>
          <w:szCs w:val="22"/>
        </w:rPr>
        <w:t xml:space="preserve"> </w:t>
      </w:r>
      <w:r w:rsidRPr="00EE5F0F">
        <w:rPr>
          <w:rFonts w:ascii="Garamond" w:hAnsi="Garamond"/>
          <w:sz w:val="22"/>
          <w:szCs w:val="22"/>
        </w:rPr>
        <w:t xml:space="preserve">but they </w:t>
      </w:r>
      <w:r w:rsidR="005E2710" w:rsidRPr="00EE5F0F">
        <w:rPr>
          <w:rFonts w:ascii="Garamond" w:hAnsi="Garamond"/>
          <w:sz w:val="22"/>
          <w:szCs w:val="22"/>
        </w:rPr>
        <w:t xml:space="preserve">did not affect </w:t>
      </w:r>
      <w:r w:rsidRPr="00EE5F0F">
        <w:rPr>
          <w:rFonts w:ascii="Garamond" w:hAnsi="Garamond"/>
          <w:sz w:val="22"/>
          <w:szCs w:val="22"/>
        </w:rPr>
        <w:t xml:space="preserve">the </w:t>
      </w:r>
      <w:r w:rsidR="005E2710" w:rsidRPr="00EE5F0F">
        <w:rPr>
          <w:rFonts w:ascii="Garamond" w:hAnsi="Garamond"/>
          <w:sz w:val="22"/>
          <w:szCs w:val="22"/>
        </w:rPr>
        <w:t xml:space="preserve">GDP </w:t>
      </w:r>
      <w:r w:rsidRPr="00EE5F0F">
        <w:rPr>
          <w:rFonts w:ascii="Garamond" w:hAnsi="Garamond"/>
          <w:sz w:val="22"/>
          <w:szCs w:val="22"/>
        </w:rPr>
        <w:t xml:space="preserve">gap </w:t>
      </w:r>
      <w:r w:rsidR="005E2710" w:rsidRPr="00EE5F0F">
        <w:rPr>
          <w:rFonts w:ascii="Garamond" w:hAnsi="Garamond"/>
          <w:sz w:val="22"/>
          <w:szCs w:val="22"/>
        </w:rPr>
        <w:t xml:space="preserve">and inflation. At the same time, the impact of political events in April-May </w:t>
      </w:r>
      <w:r w:rsidRPr="00EE5F0F">
        <w:rPr>
          <w:rFonts w:ascii="Garamond" w:hAnsi="Garamond"/>
          <w:sz w:val="22"/>
          <w:szCs w:val="22"/>
        </w:rPr>
        <w:t>on the financial market is thought to have been e</w:t>
      </w:r>
      <w:r w:rsidR="005E2710" w:rsidRPr="00EE5F0F">
        <w:rPr>
          <w:rFonts w:ascii="Garamond" w:hAnsi="Garamond"/>
          <w:sz w:val="22"/>
          <w:szCs w:val="22"/>
        </w:rPr>
        <w:t xml:space="preserve">ffectively </w:t>
      </w:r>
      <w:r w:rsidRPr="00EE5F0F">
        <w:rPr>
          <w:rFonts w:ascii="Garamond" w:hAnsi="Garamond"/>
          <w:sz w:val="22"/>
          <w:szCs w:val="22"/>
        </w:rPr>
        <w:t>absorbed thanks to adequate action by the Central Bank. Yet, t</w:t>
      </w:r>
      <w:r w:rsidR="005E2710" w:rsidRPr="00EE5F0F">
        <w:rPr>
          <w:rFonts w:ascii="Garamond" w:hAnsi="Garamond"/>
          <w:sz w:val="22"/>
          <w:szCs w:val="22"/>
        </w:rPr>
        <w:t xml:space="preserve">he impact of political events on the economic growth </w:t>
      </w:r>
      <w:r w:rsidRPr="00EE5F0F">
        <w:rPr>
          <w:rFonts w:ascii="Garamond" w:hAnsi="Garamond"/>
          <w:sz w:val="22"/>
          <w:szCs w:val="22"/>
        </w:rPr>
        <w:t xml:space="preserve">in the medium run </w:t>
      </w:r>
      <w:r w:rsidR="005E2710" w:rsidRPr="00EE5F0F">
        <w:rPr>
          <w:rFonts w:ascii="Garamond" w:hAnsi="Garamond"/>
          <w:sz w:val="22"/>
          <w:szCs w:val="22"/>
        </w:rPr>
        <w:t xml:space="preserve">is uncertain and depends on </w:t>
      </w:r>
      <w:r w:rsidR="000C0B9F" w:rsidRPr="00EE5F0F">
        <w:rPr>
          <w:rFonts w:ascii="Garamond" w:hAnsi="Garamond"/>
          <w:sz w:val="22"/>
          <w:szCs w:val="22"/>
        </w:rPr>
        <w:t>f</w:t>
      </w:r>
      <w:r w:rsidR="005E2710" w:rsidRPr="00EE5F0F">
        <w:rPr>
          <w:rFonts w:ascii="Garamond" w:hAnsi="Garamond"/>
          <w:sz w:val="22"/>
          <w:szCs w:val="22"/>
        </w:rPr>
        <w:t>actors</w:t>
      </w:r>
      <w:r w:rsidRPr="00EE5F0F">
        <w:rPr>
          <w:rFonts w:ascii="Garamond" w:hAnsi="Garamond"/>
          <w:sz w:val="22"/>
          <w:szCs w:val="22"/>
        </w:rPr>
        <w:t>,</w:t>
      </w:r>
      <w:r w:rsidR="005E2710" w:rsidRPr="00EE5F0F">
        <w:rPr>
          <w:rFonts w:ascii="Garamond" w:hAnsi="Garamond"/>
          <w:sz w:val="22"/>
          <w:szCs w:val="22"/>
        </w:rPr>
        <w:t xml:space="preserve"> such as:</w:t>
      </w:r>
    </w:p>
    <w:p w14:paraId="7E8E650A" w14:textId="77777777" w:rsidR="005E2710" w:rsidRPr="00EE5F0F" w:rsidRDefault="005E2710" w:rsidP="005E2710">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a</w:t>
      </w:r>
      <w:r w:rsidR="009B112E" w:rsidRPr="00EE5F0F">
        <w:rPr>
          <w:rFonts w:ascii="Garamond" w:hAnsi="Garamond"/>
          <w:sz w:val="22"/>
          <w:szCs w:val="22"/>
        </w:rPr>
        <w:t>/</w:t>
      </w:r>
      <w:r w:rsidR="000C0B9F" w:rsidRPr="00EE5F0F">
        <w:rPr>
          <w:rFonts w:ascii="Garamond" w:hAnsi="Garamond"/>
          <w:sz w:val="22"/>
          <w:szCs w:val="22"/>
        </w:rPr>
        <w:t xml:space="preserve"> t</w:t>
      </w:r>
      <w:r w:rsidRPr="00EE5F0F">
        <w:rPr>
          <w:rFonts w:ascii="Garamond" w:hAnsi="Garamond"/>
          <w:sz w:val="22"/>
          <w:szCs w:val="22"/>
        </w:rPr>
        <w:t>he p</w:t>
      </w:r>
      <w:r w:rsidR="000C0B9F" w:rsidRPr="00EE5F0F">
        <w:rPr>
          <w:rFonts w:ascii="Garamond" w:hAnsi="Garamond"/>
          <w:sz w:val="22"/>
          <w:szCs w:val="22"/>
        </w:rPr>
        <w:t xml:space="preserve">ace by which performance of the budget will go and the change </w:t>
      </w:r>
      <w:r w:rsidRPr="00EE5F0F">
        <w:rPr>
          <w:rFonts w:ascii="Garamond" w:hAnsi="Garamond"/>
          <w:sz w:val="22"/>
          <w:szCs w:val="22"/>
        </w:rPr>
        <w:t xml:space="preserve">in </w:t>
      </w:r>
      <w:r w:rsidR="000C0B9F" w:rsidRPr="00EE5F0F">
        <w:rPr>
          <w:rFonts w:ascii="Garamond" w:hAnsi="Garamond"/>
          <w:sz w:val="22"/>
          <w:szCs w:val="22"/>
        </w:rPr>
        <w:t xml:space="preserve">the ways </w:t>
      </w:r>
      <w:r w:rsidRPr="00EE5F0F">
        <w:rPr>
          <w:rFonts w:ascii="Garamond" w:hAnsi="Garamond"/>
          <w:sz w:val="22"/>
          <w:szCs w:val="22"/>
        </w:rPr>
        <w:t>expenditure</w:t>
      </w:r>
      <w:r w:rsidR="000C0B9F" w:rsidRPr="00EE5F0F">
        <w:rPr>
          <w:rFonts w:ascii="Garamond" w:hAnsi="Garamond"/>
          <w:sz w:val="22"/>
          <w:szCs w:val="22"/>
        </w:rPr>
        <w:t>s will be made</w:t>
      </w:r>
      <w:r w:rsidRPr="00EE5F0F">
        <w:rPr>
          <w:rFonts w:ascii="Garamond" w:hAnsi="Garamond"/>
          <w:sz w:val="22"/>
          <w:szCs w:val="22"/>
        </w:rPr>
        <w:t xml:space="preserve"> and revenue</w:t>
      </w:r>
      <w:r w:rsidR="000C0B9F" w:rsidRPr="00EE5F0F">
        <w:rPr>
          <w:rFonts w:ascii="Garamond" w:hAnsi="Garamond"/>
          <w:sz w:val="22"/>
          <w:szCs w:val="22"/>
        </w:rPr>
        <w:t>s collected</w:t>
      </w:r>
      <w:r w:rsidRPr="00EE5F0F">
        <w:rPr>
          <w:rFonts w:ascii="Garamond" w:hAnsi="Garamond"/>
          <w:sz w:val="22"/>
          <w:szCs w:val="22"/>
        </w:rPr>
        <w:t>,</w:t>
      </w:r>
    </w:p>
    <w:p w14:paraId="37C7351B" w14:textId="77777777" w:rsidR="005E2710" w:rsidRPr="00EE5F0F" w:rsidRDefault="005E2710" w:rsidP="005E2710">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b</w:t>
      </w:r>
      <w:r w:rsidR="009B112E" w:rsidRPr="00EE5F0F">
        <w:rPr>
          <w:rFonts w:ascii="Garamond" w:hAnsi="Garamond"/>
          <w:sz w:val="22"/>
          <w:szCs w:val="22"/>
        </w:rPr>
        <w:t>/</w:t>
      </w:r>
      <w:r w:rsidR="000C0B9F" w:rsidRPr="00EE5F0F">
        <w:rPr>
          <w:rFonts w:ascii="Garamond" w:hAnsi="Garamond"/>
          <w:sz w:val="22"/>
          <w:szCs w:val="22"/>
        </w:rPr>
        <w:t xml:space="preserve"> the pace by which structural r</w:t>
      </w:r>
      <w:r w:rsidRPr="00EE5F0F">
        <w:rPr>
          <w:rFonts w:ascii="Garamond" w:hAnsi="Garamond"/>
          <w:sz w:val="22"/>
          <w:szCs w:val="22"/>
        </w:rPr>
        <w:t>eform</w:t>
      </w:r>
      <w:r w:rsidR="000C0B9F" w:rsidRPr="00EE5F0F">
        <w:rPr>
          <w:rFonts w:ascii="Garamond" w:hAnsi="Garamond"/>
          <w:sz w:val="22"/>
          <w:szCs w:val="22"/>
        </w:rPr>
        <w:t>s</w:t>
      </w:r>
      <w:r w:rsidRPr="00EE5F0F">
        <w:rPr>
          <w:rFonts w:ascii="Garamond" w:hAnsi="Garamond"/>
          <w:sz w:val="22"/>
          <w:szCs w:val="22"/>
        </w:rPr>
        <w:t xml:space="preserve"> </w:t>
      </w:r>
      <w:r w:rsidR="000C0B9F" w:rsidRPr="00EE5F0F">
        <w:rPr>
          <w:rFonts w:ascii="Garamond" w:hAnsi="Garamond"/>
          <w:sz w:val="22"/>
          <w:szCs w:val="22"/>
        </w:rPr>
        <w:t>will be pushed ahead and the extent of their influence</w:t>
      </w:r>
      <w:r w:rsidRPr="00EE5F0F">
        <w:rPr>
          <w:rFonts w:ascii="Garamond" w:hAnsi="Garamond"/>
          <w:sz w:val="22"/>
          <w:szCs w:val="22"/>
        </w:rPr>
        <w:t>,</w:t>
      </w:r>
    </w:p>
    <w:p w14:paraId="704D2C0A" w14:textId="14E1FFEE" w:rsidR="005E2710" w:rsidRPr="00EE5F0F" w:rsidRDefault="005E2710" w:rsidP="005E2710">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c</w:t>
      </w:r>
      <w:r w:rsidR="009B112E" w:rsidRPr="00EE5F0F">
        <w:rPr>
          <w:rFonts w:ascii="Garamond" w:hAnsi="Garamond"/>
          <w:sz w:val="22"/>
          <w:szCs w:val="22"/>
        </w:rPr>
        <w:t>/</w:t>
      </w:r>
      <w:r w:rsidRPr="00EE5F0F">
        <w:rPr>
          <w:rFonts w:ascii="Garamond" w:hAnsi="Garamond"/>
          <w:sz w:val="22"/>
          <w:szCs w:val="22"/>
        </w:rPr>
        <w:t xml:space="preserve"> </w:t>
      </w:r>
      <w:r w:rsidR="000C0B9F" w:rsidRPr="00EE5F0F">
        <w:rPr>
          <w:rFonts w:ascii="Garamond" w:hAnsi="Garamond"/>
          <w:sz w:val="22"/>
          <w:szCs w:val="22"/>
        </w:rPr>
        <w:t>the c</w:t>
      </w:r>
      <w:r w:rsidRPr="00EE5F0F">
        <w:rPr>
          <w:rFonts w:ascii="Garamond" w:hAnsi="Garamond"/>
          <w:sz w:val="22"/>
          <w:szCs w:val="22"/>
        </w:rPr>
        <w:t xml:space="preserve">hange in investment flows and </w:t>
      </w:r>
      <w:r w:rsidR="00EB1C7D">
        <w:rPr>
          <w:rFonts w:ascii="Garamond" w:hAnsi="Garamond"/>
          <w:sz w:val="22"/>
          <w:szCs w:val="22"/>
        </w:rPr>
        <w:t>directions</w:t>
      </w:r>
      <w:r w:rsidRPr="00EE5F0F">
        <w:rPr>
          <w:rFonts w:ascii="Garamond" w:hAnsi="Garamond"/>
          <w:sz w:val="22"/>
          <w:szCs w:val="22"/>
        </w:rPr>
        <w:t>.</w:t>
      </w:r>
    </w:p>
    <w:p w14:paraId="5B9F76AA" w14:textId="29F9E0B7" w:rsidR="00DB3282" w:rsidRPr="00EE5F0F" w:rsidRDefault="00DB3282" w:rsidP="005E2710">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 xml:space="preserve">All these factors are expressed </w:t>
      </w:r>
      <w:r w:rsidR="00B7340F">
        <w:rPr>
          <w:rFonts w:ascii="Garamond" w:hAnsi="Garamond"/>
          <w:sz w:val="22"/>
          <w:szCs w:val="22"/>
        </w:rPr>
        <w:t>as</w:t>
      </w:r>
      <w:r w:rsidR="00B7340F" w:rsidRPr="00EE5F0F">
        <w:rPr>
          <w:rFonts w:ascii="Garamond" w:hAnsi="Garamond"/>
          <w:sz w:val="22"/>
          <w:szCs w:val="22"/>
        </w:rPr>
        <w:t xml:space="preserve"> </w:t>
      </w:r>
      <w:r w:rsidRPr="00EE5F0F">
        <w:rPr>
          <w:rFonts w:ascii="Garamond" w:hAnsi="Garamond"/>
          <w:sz w:val="22"/>
          <w:szCs w:val="22"/>
        </w:rPr>
        <w:t xml:space="preserve">a greater extent of uncertainty in the GDP </w:t>
      </w:r>
      <w:r w:rsidR="00B7340F">
        <w:rPr>
          <w:rFonts w:ascii="Garamond" w:hAnsi="Garamond"/>
          <w:sz w:val="22"/>
          <w:szCs w:val="22"/>
        </w:rPr>
        <w:t>Fan</w:t>
      </w:r>
      <w:r w:rsidRPr="00EE5F0F">
        <w:rPr>
          <w:rFonts w:ascii="Garamond" w:hAnsi="Garamond"/>
          <w:sz w:val="22"/>
          <w:szCs w:val="22"/>
        </w:rPr>
        <w:t xml:space="preserve"> Chart (see chart 18, table 2).</w:t>
      </w:r>
    </w:p>
    <w:tbl>
      <w:tblPr>
        <w:tblStyle w:val="TableGrid"/>
        <w:tblW w:w="0" w:type="auto"/>
        <w:tblLook w:val="04A0" w:firstRow="1" w:lastRow="0" w:firstColumn="1" w:lastColumn="0" w:noHBand="0" w:noVBand="1"/>
      </w:tblPr>
      <w:tblGrid>
        <w:gridCol w:w="9350"/>
      </w:tblGrid>
      <w:tr w:rsidR="00467C2C" w:rsidRPr="00EE5F0F" w14:paraId="5A186850" w14:textId="77777777" w:rsidTr="00467C2C">
        <w:tc>
          <w:tcPr>
            <w:tcW w:w="9350" w:type="dxa"/>
          </w:tcPr>
          <w:p w14:paraId="0F983B7E" w14:textId="77777777" w:rsidR="00467C2C" w:rsidRPr="00EE5F0F" w:rsidRDefault="00467C2C" w:rsidP="006966A5">
            <w:pPr>
              <w:autoSpaceDE w:val="0"/>
              <w:autoSpaceDN w:val="0"/>
              <w:adjustRightInd w:val="0"/>
              <w:spacing w:after="120" w:line="360" w:lineRule="auto"/>
              <w:jc w:val="both"/>
              <w:rPr>
                <w:rFonts w:ascii="Garamond" w:hAnsi="Garamond"/>
                <w:b/>
                <w:color w:val="0070C0"/>
                <w:sz w:val="22"/>
                <w:szCs w:val="22"/>
              </w:rPr>
            </w:pPr>
            <w:r w:rsidRPr="00EE5F0F">
              <w:rPr>
                <w:rFonts w:ascii="Garamond" w:hAnsi="Garamond"/>
                <w:b/>
                <w:color w:val="0070C0"/>
                <w:sz w:val="22"/>
                <w:szCs w:val="22"/>
              </w:rPr>
              <w:t>Box 1:</w:t>
            </w:r>
          </w:p>
          <w:p w14:paraId="5E2EFB2E" w14:textId="77777777" w:rsidR="00467C2C" w:rsidRPr="00EE5F0F" w:rsidRDefault="00467C2C" w:rsidP="006966A5">
            <w:pPr>
              <w:autoSpaceDE w:val="0"/>
              <w:autoSpaceDN w:val="0"/>
              <w:adjustRightInd w:val="0"/>
              <w:spacing w:after="120" w:line="360" w:lineRule="auto"/>
              <w:jc w:val="both"/>
              <w:rPr>
                <w:rFonts w:ascii="Garamond" w:hAnsi="Garamond"/>
                <w:b/>
                <w:color w:val="0070C0"/>
                <w:sz w:val="22"/>
                <w:szCs w:val="22"/>
              </w:rPr>
            </w:pPr>
            <w:r w:rsidRPr="00EE5F0F">
              <w:rPr>
                <w:rFonts w:ascii="Garamond" w:hAnsi="Garamond"/>
                <w:b/>
                <w:color w:val="0070C0"/>
                <w:sz w:val="22"/>
                <w:szCs w:val="22"/>
              </w:rPr>
              <w:t>The results of survey on expectations by the households and the financial system</w:t>
            </w:r>
          </w:p>
          <w:p w14:paraId="4B670C92" w14:textId="77777777" w:rsidR="004C4C65" w:rsidRPr="00EE5F0F" w:rsidRDefault="00467C2C" w:rsidP="006966A5">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 xml:space="preserve">The inflation expectations have </w:t>
            </w:r>
            <w:r w:rsidR="0078431B" w:rsidRPr="00EE5F0F">
              <w:rPr>
                <w:rFonts w:ascii="Garamond" w:hAnsi="Garamond"/>
                <w:sz w:val="22"/>
                <w:szCs w:val="22"/>
              </w:rPr>
              <w:t>generally stabilized</w:t>
            </w:r>
            <w:r w:rsidRPr="00EE5F0F">
              <w:rPr>
                <w:rFonts w:ascii="Garamond" w:hAnsi="Garamond"/>
                <w:sz w:val="22"/>
                <w:szCs w:val="22"/>
              </w:rPr>
              <w:t>, ac</w:t>
            </w:r>
            <w:r w:rsidR="00404293" w:rsidRPr="00EE5F0F">
              <w:rPr>
                <w:rFonts w:ascii="Garamond" w:hAnsi="Garamond"/>
                <w:sz w:val="22"/>
                <w:szCs w:val="22"/>
              </w:rPr>
              <w:t>cording to the results of the Q</w:t>
            </w:r>
            <w:r w:rsidR="00BA3D0E" w:rsidRPr="00EE5F0F">
              <w:rPr>
                <w:rFonts w:ascii="Garamond" w:hAnsi="Garamond"/>
                <w:sz w:val="22"/>
                <w:szCs w:val="22"/>
              </w:rPr>
              <w:t>1</w:t>
            </w:r>
            <w:r w:rsidRPr="00EE5F0F">
              <w:rPr>
                <w:rFonts w:ascii="Garamond" w:hAnsi="Garamond"/>
                <w:sz w:val="22"/>
                <w:szCs w:val="22"/>
              </w:rPr>
              <w:t>, 201</w:t>
            </w:r>
            <w:r w:rsidR="00BA3D0E" w:rsidRPr="00EE5F0F">
              <w:rPr>
                <w:rFonts w:ascii="Garamond" w:hAnsi="Garamond"/>
                <w:sz w:val="22"/>
                <w:szCs w:val="22"/>
              </w:rPr>
              <w:t>8</w:t>
            </w:r>
            <w:r w:rsidRPr="00EE5F0F">
              <w:rPr>
                <w:rFonts w:ascii="Garamond" w:hAnsi="Garamond"/>
                <w:sz w:val="22"/>
                <w:szCs w:val="22"/>
              </w:rPr>
              <w:t xml:space="preserve"> survey on selected macroeconomic indicators, conducted by the Central Bank </w:t>
            </w:r>
            <w:r w:rsidR="003D1442" w:rsidRPr="00EE5F0F">
              <w:rPr>
                <w:rFonts w:ascii="Garamond" w:hAnsi="Garamond"/>
                <w:sz w:val="22"/>
                <w:szCs w:val="22"/>
              </w:rPr>
              <w:t xml:space="preserve">with </w:t>
            </w:r>
            <w:r w:rsidR="00BA3D0E" w:rsidRPr="00EE5F0F">
              <w:rPr>
                <w:rFonts w:ascii="Garamond" w:hAnsi="Garamond"/>
                <w:sz w:val="22"/>
                <w:szCs w:val="22"/>
              </w:rPr>
              <w:t xml:space="preserve">the households as well as companies in </w:t>
            </w:r>
            <w:r w:rsidRPr="00EE5F0F">
              <w:rPr>
                <w:rFonts w:ascii="Garamond" w:hAnsi="Garamond"/>
                <w:sz w:val="22"/>
                <w:szCs w:val="22"/>
              </w:rPr>
              <w:t xml:space="preserve">the financial sector. </w:t>
            </w:r>
            <w:r w:rsidR="00404293" w:rsidRPr="00EE5F0F">
              <w:rPr>
                <w:rFonts w:ascii="Garamond" w:hAnsi="Garamond"/>
                <w:sz w:val="22"/>
                <w:szCs w:val="22"/>
              </w:rPr>
              <w:t xml:space="preserve">Thus, </w:t>
            </w:r>
            <w:r w:rsidR="006573EF" w:rsidRPr="00EE5F0F">
              <w:rPr>
                <w:rFonts w:ascii="Garamond" w:hAnsi="Garamond"/>
                <w:sz w:val="22"/>
                <w:szCs w:val="22"/>
              </w:rPr>
              <w:t xml:space="preserve">the share of those households expecting a very high inflation rate has almost halved, while there has been a </w:t>
            </w:r>
            <w:proofErr w:type="gramStart"/>
            <w:r w:rsidR="006573EF" w:rsidRPr="00EE5F0F">
              <w:rPr>
                <w:rFonts w:ascii="Garamond" w:hAnsi="Garamond"/>
                <w:sz w:val="22"/>
                <w:szCs w:val="22"/>
              </w:rPr>
              <w:t>4 percentage</w:t>
            </w:r>
            <w:proofErr w:type="gramEnd"/>
            <w:r w:rsidR="006573EF" w:rsidRPr="00EE5F0F">
              <w:rPr>
                <w:rFonts w:ascii="Garamond" w:hAnsi="Garamond"/>
                <w:sz w:val="22"/>
                <w:szCs w:val="22"/>
              </w:rPr>
              <w:t xml:space="preserve"> point increase in expectations for stable inflation expectations</w:t>
            </w:r>
            <w:r w:rsidR="004C4C65" w:rsidRPr="00EE5F0F">
              <w:rPr>
                <w:rFonts w:ascii="Garamond" w:hAnsi="Garamond"/>
                <w:sz w:val="22"/>
                <w:szCs w:val="22"/>
              </w:rPr>
              <w:t>.</w:t>
            </w:r>
          </w:p>
          <w:p w14:paraId="4B5A165A" w14:textId="77777777" w:rsidR="00467C2C" w:rsidRPr="00EE5F0F" w:rsidRDefault="00467C2C" w:rsidP="006573EF">
            <w:pPr>
              <w:autoSpaceDE w:val="0"/>
              <w:autoSpaceDN w:val="0"/>
              <w:adjustRightInd w:val="0"/>
              <w:spacing w:after="120" w:line="360" w:lineRule="auto"/>
              <w:jc w:val="both"/>
              <w:rPr>
                <w:rFonts w:ascii="Garamond" w:hAnsi="Garamond"/>
                <w:b/>
                <w:color w:val="0070C0"/>
                <w:sz w:val="22"/>
                <w:szCs w:val="22"/>
              </w:rPr>
            </w:pPr>
            <w:r w:rsidRPr="00EE5F0F">
              <w:rPr>
                <w:rFonts w:ascii="Garamond" w:hAnsi="Garamond"/>
                <w:sz w:val="22"/>
                <w:szCs w:val="22"/>
              </w:rPr>
              <w:t xml:space="preserve">The </w:t>
            </w:r>
            <w:r w:rsidRPr="00EE5F0F">
              <w:rPr>
                <w:rFonts w:ascii="Garamond" w:hAnsi="Garamond"/>
                <w:b/>
                <w:sz w:val="22"/>
                <w:szCs w:val="22"/>
              </w:rPr>
              <w:t>average level of inflation expectations of the financial system</w:t>
            </w:r>
            <w:r w:rsidRPr="00EE5F0F">
              <w:rPr>
                <w:rFonts w:ascii="Garamond" w:hAnsi="Garamond"/>
                <w:sz w:val="22"/>
                <w:szCs w:val="22"/>
              </w:rPr>
              <w:t xml:space="preserve"> in the upcoming one-year horizon </w:t>
            </w:r>
            <w:r w:rsidRPr="00EE5F0F">
              <w:rPr>
                <w:rFonts w:ascii="Garamond" w:hAnsi="Garamond"/>
                <w:sz w:val="22"/>
                <w:szCs w:val="22"/>
              </w:rPr>
              <w:lastRenderedPageBreak/>
              <w:t xml:space="preserve">is </w:t>
            </w:r>
            <w:r w:rsidR="004C4C65" w:rsidRPr="00EE5F0F">
              <w:rPr>
                <w:rFonts w:ascii="Garamond" w:hAnsi="Garamond"/>
                <w:b/>
                <w:sz w:val="22"/>
                <w:szCs w:val="22"/>
              </w:rPr>
              <w:t>3</w:t>
            </w:r>
            <w:r w:rsidRPr="00EE5F0F">
              <w:rPr>
                <w:rFonts w:ascii="Garamond" w:hAnsi="Garamond"/>
                <w:b/>
                <w:sz w:val="22"/>
                <w:szCs w:val="22"/>
              </w:rPr>
              <w:t>.</w:t>
            </w:r>
            <w:r w:rsidR="006573EF" w:rsidRPr="00EE5F0F">
              <w:rPr>
                <w:rFonts w:ascii="Garamond" w:hAnsi="Garamond"/>
                <w:b/>
                <w:sz w:val="22"/>
                <w:szCs w:val="22"/>
              </w:rPr>
              <w:t>5</w:t>
            </w:r>
            <w:r w:rsidRPr="00EE5F0F">
              <w:rPr>
                <w:rFonts w:ascii="Garamond" w:hAnsi="Garamond"/>
                <w:b/>
                <w:sz w:val="22"/>
                <w:szCs w:val="22"/>
              </w:rPr>
              <w:t>%</w:t>
            </w:r>
            <w:r w:rsidR="004C4C65" w:rsidRPr="00EE5F0F">
              <w:rPr>
                <w:rFonts w:ascii="Garamond" w:hAnsi="Garamond"/>
                <w:b/>
                <w:sz w:val="22"/>
                <w:szCs w:val="22"/>
              </w:rPr>
              <w:t xml:space="preserve"> </w:t>
            </w:r>
            <w:r w:rsidR="004C4C65" w:rsidRPr="00EE5F0F">
              <w:rPr>
                <w:rFonts w:ascii="Garamond" w:hAnsi="Garamond"/>
                <w:sz w:val="22"/>
                <w:szCs w:val="22"/>
              </w:rPr>
              <w:t xml:space="preserve">against that of </w:t>
            </w:r>
            <w:r w:rsidR="006573EF" w:rsidRPr="00EE5F0F">
              <w:rPr>
                <w:rFonts w:ascii="Garamond" w:hAnsi="Garamond"/>
                <w:b/>
                <w:sz w:val="22"/>
                <w:szCs w:val="22"/>
              </w:rPr>
              <w:t>3</w:t>
            </w:r>
            <w:r w:rsidR="004C4C65" w:rsidRPr="00EE5F0F">
              <w:rPr>
                <w:rFonts w:ascii="Garamond" w:hAnsi="Garamond"/>
                <w:b/>
                <w:sz w:val="22"/>
                <w:szCs w:val="22"/>
              </w:rPr>
              <w:t>.</w:t>
            </w:r>
            <w:r w:rsidR="006573EF" w:rsidRPr="00EE5F0F">
              <w:rPr>
                <w:rFonts w:ascii="Garamond" w:hAnsi="Garamond"/>
                <w:b/>
                <w:sz w:val="22"/>
                <w:szCs w:val="22"/>
              </w:rPr>
              <w:t>4</w:t>
            </w:r>
            <w:r w:rsidR="004C4C65" w:rsidRPr="00EE5F0F">
              <w:rPr>
                <w:rFonts w:ascii="Garamond" w:hAnsi="Garamond"/>
                <w:b/>
                <w:sz w:val="22"/>
                <w:szCs w:val="22"/>
              </w:rPr>
              <w:t>%</w:t>
            </w:r>
            <w:r w:rsidR="004C4C65" w:rsidRPr="00EE5F0F">
              <w:rPr>
                <w:rFonts w:ascii="Garamond" w:hAnsi="Garamond"/>
                <w:sz w:val="22"/>
                <w:szCs w:val="22"/>
              </w:rPr>
              <w:t>,</w:t>
            </w:r>
            <w:r w:rsidRPr="00EE5F0F">
              <w:rPr>
                <w:rFonts w:ascii="Garamond" w:hAnsi="Garamond"/>
                <w:sz w:val="22"/>
                <w:szCs w:val="22"/>
              </w:rPr>
              <w:t xml:space="preserve"> </w:t>
            </w:r>
            <w:r w:rsidR="00010FBE" w:rsidRPr="00EE5F0F">
              <w:rPr>
                <w:rFonts w:ascii="Garamond" w:hAnsi="Garamond"/>
                <w:sz w:val="22"/>
                <w:szCs w:val="22"/>
              </w:rPr>
              <w:t xml:space="preserve">as </w:t>
            </w:r>
            <w:r w:rsidR="004C4C65" w:rsidRPr="00EE5F0F">
              <w:rPr>
                <w:rFonts w:ascii="Garamond" w:hAnsi="Garamond"/>
                <w:sz w:val="22"/>
                <w:szCs w:val="22"/>
              </w:rPr>
              <w:t>pro</w:t>
            </w:r>
            <w:r w:rsidR="00010FBE" w:rsidRPr="00EE5F0F">
              <w:rPr>
                <w:rFonts w:ascii="Garamond" w:hAnsi="Garamond"/>
                <w:sz w:val="22"/>
                <w:szCs w:val="22"/>
              </w:rPr>
              <w:t>vided in</w:t>
            </w:r>
            <w:r w:rsidR="004C4C65" w:rsidRPr="00EE5F0F">
              <w:rPr>
                <w:rFonts w:ascii="Garamond" w:hAnsi="Garamond"/>
                <w:sz w:val="22"/>
                <w:szCs w:val="22"/>
              </w:rPr>
              <w:t xml:space="preserve"> the</w:t>
            </w:r>
            <w:r w:rsidRPr="00EE5F0F">
              <w:rPr>
                <w:rFonts w:ascii="Garamond" w:hAnsi="Garamond"/>
                <w:sz w:val="22"/>
                <w:szCs w:val="22"/>
              </w:rPr>
              <w:t xml:space="preserve"> previous survey.</w:t>
            </w:r>
          </w:p>
        </w:tc>
      </w:tr>
    </w:tbl>
    <w:p w14:paraId="7566BB4C" w14:textId="77777777" w:rsidR="005C6536" w:rsidRPr="00EE5F0F" w:rsidRDefault="005C6536" w:rsidP="005C6536">
      <w:pPr>
        <w:autoSpaceDE w:val="0"/>
        <w:autoSpaceDN w:val="0"/>
        <w:adjustRightInd w:val="0"/>
        <w:spacing w:after="120" w:line="360" w:lineRule="auto"/>
        <w:jc w:val="both"/>
        <w:rPr>
          <w:rFonts w:ascii="Garamond" w:hAnsi="Garamond"/>
          <w:sz w:val="22"/>
          <w:szCs w:val="22"/>
        </w:rPr>
      </w:pPr>
    </w:p>
    <w:p w14:paraId="012C4494" w14:textId="77777777" w:rsidR="005C6536" w:rsidRPr="00EE5F0F" w:rsidRDefault="005C6536" w:rsidP="005C6536">
      <w:pPr>
        <w:autoSpaceDE w:val="0"/>
        <w:autoSpaceDN w:val="0"/>
        <w:adjustRightInd w:val="0"/>
        <w:spacing w:after="120" w:line="360" w:lineRule="auto"/>
        <w:jc w:val="both"/>
        <w:rPr>
          <w:rFonts w:ascii="Garamond" w:hAnsi="Garamond"/>
          <w:b/>
          <w:sz w:val="22"/>
          <w:szCs w:val="22"/>
        </w:rPr>
      </w:pPr>
      <w:r w:rsidRPr="00EE5F0F">
        <w:rPr>
          <w:rFonts w:ascii="Garamond" w:hAnsi="Garamond"/>
          <w:b/>
          <w:sz w:val="22"/>
          <w:szCs w:val="22"/>
        </w:rPr>
        <w:t>Forecast assumptions and risks</w:t>
      </w:r>
      <w:r w:rsidR="00FA46F4" w:rsidRPr="00EE5F0F">
        <w:rPr>
          <w:rFonts w:ascii="Garamond" w:hAnsi="Garamond"/>
          <w:b/>
          <w:sz w:val="22"/>
          <w:szCs w:val="22"/>
        </w:rPr>
        <w:t xml:space="preserve"> </w:t>
      </w:r>
    </w:p>
    <w:p w14:paraId="1A4F9FE2" w14:textId="77777777" w:rsidR="005C6536" w:rsidRPr="00EE5F0F" w:rsidRDefault="004C4C65" w:rsidP="005C6536">
      <w:pPr>
        <w:autoSpaceDE w:val="0"/>
        <w:autoSpaceDN w:val="0"/>
        <w:adjustRightInd w:val="0"/>
        <w:spacing w:after="120" w:line="360" w:lineRule="auto"/>
        <w:jc w:val="both"/>
        <w:rPr>
          <w:rFonts w:ascii="Garamond" w:hAnsi="Garamond" w:cs="Sylfaen"/>
          <w:b/>
          <w:i/>
          <w:iCs/>
          <w:sz w:val="22"/>
          <w:szCs w:val="22"/>
        </w:rPr>
      </w:pPr>
      <w:r w:rsidRPr="00EE5F0F">
        <w:rPr>
          <w:rFonts w:ascii="Garamond" w:hAnsi="Garamond"/>
          <w:b/>
          <w:sz w:val="22"/>
          <w:szCs w:val="22"/>
        </w:rPr>
        <w:t>Table 3</w:t>
      </w:r>
      <w:r w:rsidR="005C6536" w:rsidRPr="00EE5F0F">
        <w:rPr>
          <w:rFonts w:ascii="Garamond" w:hAnsi="Garamond"/>
          <w:b/>
          <w:sz w:val="22"/>
          <w:szCs w:val="22"/>
        </w:rPr>
        <w:t>:</w:t>
      </w:r>
      <w:r w:rsidR="00DA0E4F" w:rsidRPr="00EE5F0F">
        <w:rPr>
          <w:rFonts w:ascii="Garamond" w:hAnsi="Garamond"/>
          <w:b/>
          <w:sz w:val="22"/>
          <w:szCs w:val="22"/>
        </w:rPr>
        <w:t xml:space="preserve"> </w:t>
      </w:r>
    </w:p>
    <w:tbl>
      <w:tblPr>
        <w:tblStyle w:val="TableGrid"/>
        <w:tblW w:w="6243" w:type="dxa"/>
        <w:tblInd w:w="43" w:type="dxa"/>
        <w:tblLayout w:type="fixed"/>
        <w:tblCellMar>
          <w:left w:w="57" w:type="dxa"/>
          <w:right w:w="57" w:type="dxa"/>
        </w:tblCellMar>
        <w:tblLook w:val="04A0" w:firstRow="1" w:lastRow="0" w:firstColumn="1" w:lastColumn="0" w:noHBand="0" w:noVBand="1"/>
      </w:tblPr>
      <w:tblGrid>
        <w:gridCol w:w="1715"/>
        <w:gridCol w:w="4528"/>
      </w:tblGrid>
      <w:tr w:rsidR="005C6536" w:rsidRPr="00EE5F0F" w14:paraId="79D04887" w14:textId="77777777" w:rsidTr="004D4A0F">
        <w:trPr>
          <w:trHeight w:val="20"/>
        </w:trPr>
        <w:tc>
          <w:tcPr>
            <w:tcW w:w="6243" w:type="dxa"/>
            <w:gridSpan w:val="2"/>
            <w:vAlign w:val="center"/>
          </w:tcPr>
          <w:p w14:paraId="7BB56AD4" w14:textId="77777777" w:rsidR="005C6536" w:rsidRPr="00EE5F0F" w:rsidRDefault="005C6536" w:rsidP="005C6536">
            <w:pPr>
              <w:spacing w:before="40"/>
              <w:jc w:val="center"/>
              <w:rPr>
                <w:rFonts w:ascii="Garamond" w:eastAsia="Calibri" w:hAnsi="Garamond" w:cs="GHEA Grapalat"/>
                <w:i/>
                <w:sz w:val="22"/>
                <w:szCs w:val="22"/>
              </w:rPr>
            </w:pPr>
            <w:r w:rsidRPr="00EE5F0F">
              <w:rPr>
                <w:rFonts w:ascii="Garamond" w:hAnsi="Garamond" w:cs="Sylfaen"/>
                <w:b/>
                <w:sz w:val="22"/>
                <w:szCs w:val="22"/>
              </w:rPr>
              <w:t xml:space="preserve">Main </w:t>
            </w:r>
            <w:proofErr w:type="spellStart"/>
            <w:r w:rsidRPr="00EE5F0F">
              <w:rPr>
                <w:rFonts w:ascii="Garamond" w:hAnsi="Garamond" w:cs="Sylfaen"/>
                <w:b/>
                <w:sz w:val="22"/>
                <w:szCs w:val="22"/>
                <w:lang w:val="hy-AM"/>
              </w:rPr>
              <w:t>judgments</w:t>
            </w:r>
            <w:proofErr w:type="spellEnd"/>
            <w:r w:rsidRPr="00EE5F0F">
              <w:rPr>
                <w:rFonts w:ascii="Garamond" w:hAnsi="Garamond" w:cs="Sylfaen"/>
                <w:b/>
                <w:sz w:val="22"/>
                <w:szCs w:val="22"/>
                <w:lang w:val="hy-AM"/>
              </w:rPr>
              <w:t xml:space="preserve"> </w:t>
            </w:r>
            <w:proofErr w:type="spellStart"/>
            <w:r w:rsidRPr="00EE5F0F">
              <w:rPr>
                <w:rFonts w:ascii="Garamond" w:hAnsi="Garamond" w:cs="Sylfaen"/>
                <w:b/>
                <w:sz w:val="22"/>
                <w:szCs w:val="22"/>
                <w:lang w:val="hy-AM"/>
              </w:rPr>
              <w:t>and</w:t>
            </w:r>
            <w:proofErr w:type="spellEnd"/>
            <w:r w:rsidRPr="00EE5F0F">
              <w:rPr>
                <w:rFonts w:ascii="Garamond" w:hAnsi="Garamond" w:cs="Sylfaen"/>
                <w:b/>
                <w:sz w:val="22"/>
                <w:szCs w:val="22"/>
                <w:lang w:val="hy-AM"/>
              </w:rPr>
              <w:t xml:space="preserve"> </w:t>
            </w:r>
            <w:proofErr w:type="spellStart"/>
            <w:r w:rsidRPr="00EE5F0F">
              <w:rPr>
                <w:rFonts w:ascii="Garamond" w:hAnsi="Garamond" w:cs="Sylfaen"/>
                <w:b/>
                <w:sz w:val="22"/>
                <w:szCs w:val="22"/>
                <w:lang w:val="hy-AM"/>
              </w:rPr>
              <w:t>assumptions</w:t>
            </w:r>
            <w:proofErr w:type="spellEnd"/>
          </w:p>
        </w:tc>
      </w:tr>
      <w:tr w:rsidR="005C6536" w:rsidRPr="00EE5F0F" w14:paraId="612E59F3" w14:textId="77777777" w:rsidTr="004D4A0F">
        <w:trPr>
          <w:trHeight w:val="20"/>
        </w:trPr>
        <w:tc>
          <w:tcPr>
            <w:tcW w:w="1715" w:type="dxa"/>
            <w:vAlign w:val="center"/>
          </w:tcPr>
          <w:p w14:paraId="467B4EDD" w14:textId="77777777" w:rsidR="005C6536" w:rsidRPr="00EE5F0F" w:rsidRDefault="005C6536" w:rsidP="004D4A0F">
            <w:pPr>
              <w:spacing w:before="30" w:after="30"/>
              <w:rPr>
                <w:rFonts w:ascii="Garamond" w:eastAsia="Calibri" w:hAnsi="Garamond" w:cs="GHEA Grapalat"/>
                <w:b/>
                <w:sz w:val="22"/>
                <w:szCs w:val="22"/>
                <w:lang w:val="hy-AM"/>
              </w:rPr>
            </w:pPr>
            <w:r w:rsidRPr="00EE5F0F">
              <w:rPr>
                <w:rFonts w:ascii="Garamond" w:hAnsi="Garamond" w:cs="Sylfaen"/>
                <w:b/>
                <w:sz w:val="22"/>
                <w:szCs w:val="22"/>
              </w:rPr>
              <w:t xml:space="preserve">Main </w:t>
            </w:r>
            <w:proofErr w:type="spellStart"/>
            <w:r w:rsidRPr="00EE5F0F">
              <w:rPr>
                <w:rFonts w:ascii="Garamond" w:hAnsi="Garamond" w:cs="Sylfaen"/>
                <w:b/>
                <w:sz w:val="22"/>
                <w:szCs w:val="22"/>
                <w:lang w:val="hy-AM"/>
              </w:rPr>
              <w:t>judgments</w:t>
            </w:r>
            <w:proofErr w:type="spellEnd"/>
            <w:r w:rsidRPr="00EE5F0F">
              <w:rPr>
                <w:rFonts w:ascii="Garamond" w:hAnsi="Garamond" w:cs="Sylfaen"/>
                <w:b/>
                <w:sz w:val="22"/>
                <w:szCs w:val="22"/>
                <w:lang w:val="hy-AM"/>
              </w:rPr>
              <w:t xml:space="preserve"> </w:t>
            </w:r>
            <w:proofErr w:type="spellStart"/>
            <w:r w:rsidRPr="00EE5F0F">
              <w:rPr>
                <w:rFonts w:ascii="Garamond" w:hAnsi="Garamond" w:cs="Sylfaen"/>
                <w:b/>
                <w:sz w:val="22"/>
                <w:szCs w:val="22"/>
                <w:lang w:val="hy-AM"/>
              </w:rPr>
              <w:t>and</w:t>
            </w:r>
            <w:proofErr w:type="spellEnd"/>
            <w:r w:rsidRPr="00EE5F0F">
              <w:rPr>
                <w:rFonts w:ascii="Garamond" w:hAnsi="Garamond" w:cs="Sylfaen"/>
                <w:b/>
                <w:sz w:val="22"/>
                <w:szCs w:val="22"/>
                <w:lang w:val="hy-AM"/>
              </w:rPr>
              <w:t xml:space="preserve"> </w:t>
            </w:r>
            <w:proofErr w:type="spellStart"/>
            <w:r w:rsidRPr="00EE5F0F">
              <w:rPr>
                <w:rFonts w:ascii="Garamond" w:hAnsi="Garamond" w:cs="Sylfaen"/>
                <w:b/>
                <w:sz w:val="22"/>
                <w:szCs w:val="22"/>
                <w:lang w:val="hy-AM"/>
              </w:rPr>
              <w:t>assumptions</w:t>
            </w:r>
            <w:proofErr w:type="spellEnd"/>
          </w:p>
        </w:tc>
        <w:tc>
          <w:tcPr>
            <w:tcW w:w="4528" w:type="dxa"/>
            <w:vAlign w:val="center"/>
          </w:tcPr>
          <w:p w14:paraId="038D5CD0" w14:textId="77777777" w:rsidR="005C6536" w:rsidRPr="00EE5F0F" w:rsidRDefault="005C6536" w:rsidP="00A241EA">
            <w:pPr>
              <w:spacing w:before="30" w:after="30"/>
              <w:rPr>
                <w:rFonts w:ascii="Garamond" w:eastAsia="Calibri" w:hAnsi="Garamond" w:cs="GHEA Grapalat"/>
                <w:b/>
                <w:sz w:val="22"/>
                <w:szCs w:val="22"/>
              </w:rPr>
            </w:pPr>
            <w:r w:rsidRPr="00EE5F0F">
              <w:rPr>
                <w:rFonts w:ascii="Garamond" w:eastAsia="Calibri" w:hAnsi="Garamond" w:cs="GHEA Grapalat"/>
                <w:b/>
                <w:sz w:val="22"/>
                <w:szCs w:val="22"/>
              </w:rPr>
              <w:t>P</w:t>
            </w:r>
            <w:proofErr w:type="spellStart"/>
            <w:r w:rsidRPr="00EE5F0F">
              <w:rPr>
                <w:rFonts w:ascii="Garamond" w:eastAsia="Calibri" w:hAnsi="Garamond" w:cs="GHEA Grapalat"/>
                <w:b/>
                <w:sz w:val="22"/>
                <w:szCs w:val="22"/>
                <w:lang w:val="hy-AM"/>
              </w:rPr>
              <w:t>ossible</w:t>
            </w:r>
            <w:proofErr w:type="spellEnd"/>
            <w:r w:rsidRPr="00EE5F0F">
              <w:rPr>
                <w:rFonts w:ascii="Garamond" w:eastAsia="Calibri" w:hAnsi="Garamond" w:cs="GHEA Grapalat"/>
                <w:b/>
                <w:sz w:val="22"/>
                <w:szCs w:val="22"/>
                <w:lang w:val="hy-AM"/>
              </w:rPr>
              <w:t xml:space="preserve"> </w:t>
            </w:r>
            <w:proofErr w:type="spellStart"/>
            <w:r w:rsidRPr="00EE5F0F">
              <w:rPr>
                <w:rFonts w:ascii="Garamond" w:eastAsia="Calibri" w:hAnsi="Garamond" w:cs="GHEA Grapalat"/>
                <w:b/>
                <w:sz w:val="22"/>
                <w:szCs w:val="22"/>
                <w:lang w:val="hy-AM"/>
              </w:rPr>
              <w:t>developments</w:t>
            </w:r>
            <w:proofErr w:type="spellEnd"/>
            <w:r w:rsidRPr="00EE5F0F">
              <w:rPr>
                <w:rFonts w:ascii="Garamond" w:eastAsia="Calibri" w:hAnsi="Garamond" w:cs="GHEA Grapalat"/>
                <w:b/>
                <w:sz w:val="22"/>
                <w:szCs w:val="22"/>
                <w:lang w:val="hy-AM"/>
              </w:rPr>
              <w:t xml:space="preserve"> </w:t>
            </w:r>
            <w:proofErr w:type="spellStart"/>
            <w:r w:rsidRPr="00EE5F0F">
              <w:rPr>
                <w:rFonts w:ascii="Garamond" w:eastAsia="Calibri" w:hAnsi="Garamond" w:cs="GHEA Grapalat"/>
                <w:b/>
                <w:sz w:val="22"/>
                <w:szCs w:val="22"/>
                <w:lang w:val="hy-AM"/>
              </w:rPr>
              <w:t>in</w:t>
            </w:r>
            <w:proofErr w:type="spellEnd"/>
            <w:r w:rsidRPr="00EE5F0F">
              <w:rPr>
                <w:rFonts w:ascii="Garamond" w:eastAsia="Calibri" w:hAnsi="Garamond" w:cs="GHEA Grapalat"/>
                <w:b/>
                <w:sz w:val="22"/>
                <w:szCs w:val="22"/>
                <w:lang w:val="hy-AM"/>
              </w:rPr>
              <w:t xml:space="preserve"> </w:t>
            </w:r>
            <w:r w:rsidR="00FA46F4" w:rsidRPr="00EE5F0F">
              <w:rPr>
                <w:rFonts w:ascii="Garamond" w:eastAsia="Calibri" w:hAnsi="Garamond" w:cs="GHEA Grapalat"/>
                <w:b/>
                <w:sz w:val="22"/>
                <w:szCs w:val="22"/>
              </w:rPr>
              <w:t xml:space="preserve">case this assumption </w:t>
            </w:r>
            <w:r w:rsidR="00A241EA" w:rsidRPr="00EE5F0F">
              <w:rPr>
                <w:rFonts w:ascii="Garamond" w:eastAsia="Calibri" w:hAnsi="Garamond" w:cs="GHEA Grapalat"/>
                <w:b/>
                <w:sz w:val="22"/>
                <w:szCs w:val="22"/>
              </w:rPr>
              <w:t>proves to be correct</w:t>
            </w:r>
            <w:r w:rsidRPr="00EE5F0F">
              <w:rPr>
                <w:rFonts w:ascii="Garamond" w:eastAsia="Calibri" w:hAnsi="Garamond" w:cs="GHEA Grapalat"/>
                <w:b/>
                <w:sz w:val="22"/>
                <w:szCs w:val="22"/>
              </w:rPr>
              <w:t xml:space="preserve"> </w:t>
            </w:r>
          </w:p>
        </w:tc>
      </w:tr>
      <w:tr w:rsidR="005C6536" w:rsidRPr="00EE5F0F" w14:paraId="269CC7A5" w14:textId="77777777" w:rsidTr="004D4A0F">
        <w:trPr>
          <w:trHeight w:val="20"/>
        </w:trPr>
        <w:tc>
          <w:tcPr>
            <w:tcW w:w="1715" w:type="dxa"/>
            <w:vAlign w:val="center"/>
          </w:tcPr>
          <w:p w14:paraId="4A3D9692" w14:textId="77777777" w:rsidR="005C6536" w:rsidRPr="00EE5F0F" w:rsidRDefault="00703FA4" w:rsidP="00FA46F4">
            <w:pPr>
              <w:spacing w:before="30" w:after="30"/>
              <w:rPr>
                <w:rFonts w:ascii="Garamond" w:eastAsia="Calibri" w:hAnsi="Garamond" w:cs="GHEA Grapalat"/>
                <w:sz w:val="22"/>
                <w:szCs w:val="22"/>
                <w:lang w:val="hy-AM"/>
              </w:rPr>
            </w:pPr>
            <w:r w:rsidRPr="00EE5F0F">
              <w:rPr>
                <w:rFonts w:ascii="Garamond" w:eastAsia="Calibri" w:hAnsi="Garamond" w:cs="Sylfaen"/>
                <w:sz w:val="22"/>
                <w:szCs w:val="22"/>
              </w:rPr>
              <w:t>I</w:t>
            </w:r>
            <w:r w:rsidRPr="00EE5F0F">
              <w:rPr>
                <w:rFonts w:ascii="Garamond" w:eastAsia="Calibri" w:hAnsi="Garamond" w:cs="Sylfaen"/>
                <w:sz w:val="22"/>
                <w:szCs w:val="22"/>
                <w:lang w:val="hy-AM"/>
              </w:rPr>
              <w:t xml:space="preserve">n </w:t>
            </w:r>
            <w:proofErr w:type="spellStart"/>
            <w:r w:rsidRPr="00EE5F0F">
              <w:rPr>
                <w:rFonts w:ascii="Garamond" w:eastAsia="Calibri" w:hAnsi="Garamond" w:cs="Sylfaen"/>
                <w:sz w:val="22"/>
                <w:szCs w:val="22"/>
                <w:lang w:val="hy-AM"/>
              </w:rPr>
              <w:t>the</w:t>
            </w:r>
            <w:proofErr w:type="spellEnd"/>
            <w:r w:rsidRPr="00EE5F0F">
              <w:rPr>
                <w:rFonts w:ascii="Garamond" w:eastAsia="Calibri" w:hAnsi="Garamond" w:cs="Sylfaen"/>
                <w:sz w:val="22"/>
                <w:szCs w:val="22"/>
                <w:lang w:val="hy-AM"/>
              </w:rPr>
              <w:t xml:space="preserve"> </w:t>
            </w:r>
            <w:proofErr w:type="spellStart"/>
            <w:r w:rsidRPr="00EE5F0F">
              <w:rPr>
                <w:rFonts w:ascii="Garamond" w:eastAsia="Calibri" w:hAnsi="Garamond" w:cs="Sylfaen"/>
                <w:sz w:val="22"/>
                <w:szCs w:val="22"/>
                <w:lang w:val="hy-AM"/>
              </w:rPr>
              <w:t>external</w:t>
            </w:r>
            <w:proofErr w:type="spellEnd"/>
            <w:r w:rsidRPr="00EE5F0F">
              <w:rPr>
                <w:rFonts w:ascii="Garamond" w:eastAsia="Calibri" w:hAnsi="Garamond" w:cs="Sylfaen"/>
                <w:sz w:val="22"/>
                <w:szCs w:val="22"/>
                <w:lang w:val="hy-AM"/>
              </w:rPr>
              <w:t xml:space="preserve"> </w:t>
            </w:r>
            <w:proofErr w:type="spellStart"/>
            <w:r w:rsidRPr="00EE5F0F">
              <w:rPr>
                <w:rFonts w:ascii="Garamond" w:eastAsia="Calibri" w:hAnsi="Garamond" w:cs="Sylfaen"/>
                <w:sz w:val="22"/>
                <w:szCs w:val="22"/>
                <w:lang w:val="hy-AM"/>
              </w:rPr>
              <w:t>sector</w:t>
            </w:r>
            <w:proofErr w:type="spellEnd"/>
            <w:r w:rsidR="006573EF" w:rsidRPr="00EE5F0F">
              <w:rPr>
                <w:rFonts w:ascii="Garamond" w:eastAsia="Calibri" w:hAnsi="Garamond" w:cs="Sylfaen"/>
                <w:sz w:val="22"/>
                <w:szCs w:val="22"/>
              </w:rPr>
              <w:t>,</w:t>
            </w:r>
            <w:r w:rsidRPr="00EE5F0F">
              <w:rPr>
                <w:rFonts w:ascii="Garamond" w:eastAsia="Calibri" w:hAnsi="Garamond" w:cs="Sylfaen"/>
                <w:sz w:val="22"/>
                <w:szCs w:val="22"/>
              </w:rPr>
              <w:t xml:space="preserve"> e</w:t>
            </w:r>
            <w:proofErr w:type="spellStart"/>
            <w:r w:rsidRPr="00EE5F0F">
              <w:rPr>
                <w:rFonts w:ascii="Garamond" w:eastAsia="Calibri" w:hAnsi="Garamond" w:cs="Sylfaen"/>
                <w:sz w:val="22"/>
                <w:szCs w:val="22"/>
                <w:lang w:val="hy-AM"/>
              </w:rPr>
              <w:t>conomic</w:t>
            </w:r>
            <w:proofErr w:type="spellEnd"/>
            <w:r w:rsidRPr="00EE5F0F">
              <w:rPr>
                <w:rFonts w:ascii="Garamond" w:eastAsia="Calibri" w:hAnsi="Garamond" w:cs="Sylfaen"/>
                <w:sz w:val="22"/>
                <w:szCs w:val="22"/>
                <w:lang w:val="hy-AM"/>
              </w:rPr>
              <w:t xml:space="preserve"> </w:t>
            </w:r>
            <w:r w:rsidR="00FA46F4" w:rsidRPr="00EE5F0F">
              <w:rPr>
                <w:rFonts w:ascii="Garamond" w:eastAsia="Calibri" w:hAnsi="Garamond" w:cs="Sylfaen"/>
                <w:sz w:val="22"/>
                <w:szCs w:val="22"/>
              </w:rPr>
              <w:t xml:space="preserve">activity keeps on </w:t>
            </w:r>
            <w:r w:rsidRPr="00EE5F0F">
              <w:rPr>
                <w:rFonts w:ascii="Garamond" w:eastAsia="Calibri" w:hAnsi="Garamond" w:cs="Sylfaen"/>
                <w:sz w:val="22"/>
                <w:szCs w:val="22"/>
              </w:rPr>
              <w:t>recover</w:t>
            </w:r>
            <w:r w:rsidR="00FA46F4" w:rsidRPr="00EE5F0F">
              <w:rPr>
                <w:rFonts w:ascii="Garamond" w:eastAsia="Calibri" w:hAnsi="Garamond" w:cs="Sylfaen"/>
                <w:sz w:val="22"/>
                <w:szCs w:val="22"/>
              </w:rPr>
              <w:t xml:space="preserve">ing </w:t>
            </w:r>
            <w:r w:rsidRPr="00EE5F0F">
              <w:rPr>
                <w:rFonts w:ascii="Garamond" w:eastAsia="Calibri" w:hAnsi="Garamond" w:cs="Sylfaen"/>
                <w:sz w:val="22"/>
                <w:szCs w:val="22"/>
              </w:rPr>
              <w:t>at steady rates</w:t>
            </w:r>
            <w:r w:rsidR="006573EF" w:rsidRPr="00EE5F0F">
              <w:rPr>
                <w:rFonts w:ascii="Garamond" w:eastAsia="Calibri" w:hAnsi="Garamond" w:cs="Sylfaen"/>
                <w:sz w:val="22"/>
                <w:szCs w:val="22"/>
              </w:rPr>
              <w:t>, and prices grow at faster rates</w:t>
            </w:r>
            <w:r w:rsidRPr="00EE5F0F">
              <w:rPr>
                <w:rFonts w:ascii="Garamond" w:eastAsia="Calibri" w:hAnsi="Garamond" w:cs="Sylfaen"/>
                <w:sz w:val="22"/>
                <w:szCs w:val="22"/>
                <w:lang w:val="hy-AM"/>
              </w:rPr>
              <w:t xml:space="preserve"> </w:t>
            </w:r>
          </w:p>
        </w:tc>
        <w:tc>
          <w:tcPr>
            <w:tcW w:w="4528" w:type="dxa"/>
            <w:vAlign w:val="center"/>
          </w:tcPr>
          <w:p w14:paraId="37C629F8" w14:textId="77777777" w:rsidR="00703FA4" w:rsidRPr="00EE5F0F" w:rsidRDefault="003E35C5" w:rsidP="003E35C5">
            <w:pPr>
              <w:pStyle w:val="ListParagraph"/>
              <w:numPr>
                <w:ilvl w:val="0"/>
                <w:numId w:val="5"/>
              </w:numPr>
              <w:spacing w:before="30" w:after="30"/>
              <w:rPr>
                <w:rFonts w:ascii="Garamond" w:hAnsi="Garamond" w:cs="Sylfaen"/>
                <w:sz w:val="22"/>
                <w:szCs w:val="22"/>
                <w:lang w:val="hy-AM"/>
              </w:rPr>
            </w:pPr>
            <w:r w:rsidRPr="00EE5F0F">
              <w:rPr>
                <w:rFonts w:ascii="Garamond" w:hAnsi="Garamond" w:cs="Sylfaen"/>
                <w:sz w:val="22"/>
                <w:szCs w:val="22"/>
              </w:rPr>
              <w:t xml:space="preserve">As </w:t>
            </w:r>
            <w:proofErr w:type="spellStart"/>
            <w:r w:rsidRPr="00EE5F0F">
              <w:rPr>
                <w:rFonts w:ascii="Garamond" w:hAnsi="Garamond" w:cs="Sylfaen"/>
                <w:sz w:val="22"/>
                <w:szCs w:val="22"/>
                <w:lang w:val="hy-AM"/>
              </w:rPr>
              <w:t>econom</w:t>
            </w:r>
            <w:proofErr w:type="spellEnd"/>
            <w:r w:rsidRPr="00EE5F0F">
              <w:rPr>
                <w:rFonts w:ascii="Garamond" w:hAnsi="Garamond" w:cs="Sylfaen"/>
                <w:sz w:val="22"/>
                <w:szCs w:val="22"/>
              </w:rPr>
              <w:t>y continues to rebound, d</w:t>
            </w:r>
            <w:proofErr w:type="spellStart"/>
            <w:r w:rsidR="00703FA4" w:rsidRPr="00EE5F0F">
              <w:rPr>
                <w:rFonts w:ascii="Garamond" w:hAnsi="Garamond" w:cs="Sylfaen"/>
                <w:sz w:val="22"/>
                <w:szCs w:val="22"/>
                <w:lang w:val="hy-AM"/>
              </w:rPr>
              <w:t>emand</w:t>
            </w:r>
            <w:proofErr w:type="spellEnd"/>
            <w:r w:rsidR="00703FA4" w:rsidRPr="00EE5F0F">
              <w:rPr>
                <w:rFonts w:ascii="Garamond" w:hAnsi="Garamond" w:cs="Sylfaen"/>
                <w:sz w:val="22"/>
                <w:szCs w:val="22"/>
                <w:lang w:val="hy-AM"/>
              </w:rPr>
              <w:t xml:space="preserve"> </w:t>
            </w:r>
            <w:r w:rsidR="00703FA4" w:rsidRPr="00EE5F0F">
              <w:rPr>
                <w:rFonts w:ascii="Garamond" w:hAnsi="Garamond" w:cs="Sylfaen"/>
                <w:sz w:val="22"/>
                <w:szCs w:val="22"/>
              </w:rPr>
              <w:t xml:space="preserve">will keep on recovering </w:t>
            </w:r>
            <w:proofErr w:type="spellStart"/>
            <w:r w:rsidRPr="00EE5F0F">
              <w:rPr>
                <w:rFonts w:ascii="Garamond" w:hAnsi="Garamond" w:cs="Sylfaen"/>
                <w:sz w:val="22"/>
                <w:szCs w:val="22"/>
                <w:lang w:val="hy-AM"/>
              </w:rPr>
              <w:t>in</w:t>
            </w:r>
            <w:proofErr w:type="spellEnd"/>
            <w:r w:rsidRPr="00EE5F0F">
              <w:rPr>
                <w:rFonts w:ascii="Garamond" w:hAnsi="Garamond" w:cs="Sylfaen"/>
                <w:sz w:val="22"/>
                <w:szCs w:val="22"/>
                <w:lang w:val="hy-AM"/>
              </w:rPr>
              <w:t xml:space="preserve"> </w:t>
            </w:r>
            <w:r w:rsidRPr="00EE5F0F">
              <w:rPr>
                <w:rFonts w:ascii="Garamond" w:hAnsi="Garamond" w:cs="Sylfaen"/>
                <w:sz w:val="22"/>
                <w:szCs w:val="22"/>
              </w:rPr>
              <w:t xml:space="preserve">trade </w:t>
            </w:r>
            <w:proofErr w:type="spellStart"/>
            <w:r w:rsidRPr="00EE5F0F">
              <w:rPr>
                <w:rFonts w:ascii="Garamond" w:hAnsi="Garamond" w:cs="Sylfaen"/>
                <w:sz w:val="22"/>
                <w:szCs w:val="22"/>
                <w:lang w:val="hy-AM"/>
              </w:rPr>
              <w:t>partner</w:t>
            </w:r>
            <w:proofErr w:type="spellEnd"/>
            <w:r w:rsidRPr="00EE5F0F">
              <w:rPr>
                <w:rFonts w:ascii="Garamond" w:hAnsi="Garamond" w:cs="Sylfaen"/>
                <w:sz w:val="22"/>
                <w:szCs w:val="22"/>
                <w:lang w:val="hy-AM"/>
              </w:rPr>
              <w:t xml:space="preserve"> </w:t>
            </w:r>
            <w:proofErr w:type="spellStart"/>
            <w:r w:rsidRPr="00EE5F0F">
              <w:rPr>
                <w:rFonts w:ascii="Garamond" w:hAnsi="Garamond" w:cs="Sylfaen"/>
                <w:sz w:val="22"/>
                <w:szCs w:val="22"/>
                <w:lang w:val="hy-AM"/>
              </w:rPr>
              <w:t>countries</w:t>
            </w:r>
            <w:proofErr w:type="spellEnd"/>
            <w:r w:rsidRPr="00EE5F0F">
              <w:rPr>
                <w:rFonts w:ascii="Garamond" w:hAnsi="Garamond" w:cs="Sylfaen"/>
                <w:sz w:val="22"/>
                <w:szCs w:val="22"/>
              </w:rPr>
              <w:t>. In this case, developing countries are expected to gradually tighten their monetary policy conditions.</w:t>
            </w:r>
          </w:p>
          <w:p w14:paraId="4844DB25" w14:textId="77777777" w:rsidR="003E35C5" w:rsidRPr="00EE5F0F" w:rsidRDefault="003E35C5" w:rsidP="003E35C5">
            <w:pPr>
              <w:pStyle w:val="ListParagraph"/>
              <w:numPr>
                <w:ilvl w:val="0"/>
                <w:numId w:val="5"/>
              </w:numPr>
              <w:spacing w:before="30" w:after="30"/>
              <w:rPr>
                <w:rFonts w:ascii="Garamond" w:hAnsi="Garamond" w:cs="Sylfaen"/>
                <w:sz w:val="22"/>
                <w:szCs w:val="22"/>
                <w:lang w:val="hy-AM"/>
              </w:rPr>
            </w:pPr>
            <w:r w:rsidRPr="00EE5F0F">
              <w:rPr>
                <w:rFonts w:ascii="Garamond" w:hAnsi="Garamond" w:cs="Sylfaen"/>
                <w:sz w:val="22"/>
                <w:szCs w:val="22"/>
              </w:rPr>
              <w:t>In spite of expected high oil prices, the Russian ruble depreciated as a result of the US sanctions imposed on Russia may contribute to the acceleration of inflation, in which circumstance a more cautious approach to lowering policy rates are likely.</w:t>
            </w:r>
          </w:p>
          <w:p w14:paraId="1498024C" w14:textId="77777777" w:rsidR="005C6536" w:rsidRPr="00EE5F0F" w:rsidRDefault="003E35C5" w:rsidP="00517352">
            <w:pPr>
              <w:pStyle w:val="ListParagraph"/>
              <w:numPr>
                <w:ilvl w:val="0"/>
                <w:numId w:val="5"/>
              </w:numPr>
              <w:spacing w:before="30" w:after="30"/>
              <w:rPr>
                <w:rFonts w:ascii="Garamond" w:hAnsi="Garamond" w:cs="GHEA Grapalat"/>
                <w:sz w:val="22"/>
                <w:szCs w:val="22"/>
                <w:lang w:val="hy-AM"/>
              </w:rPr>
            </w:pPr>
            <w:r w:rsidRPr="00EE5F0F">
              <w:rPr>
                <w:rFonts w:ascii="Garamond" w:hAnsi="Garamond" w:cs="Sylfaen"/>
                <w:sz w:val="22"/>
                <w:szCs w:val="22"/>
              </w:rPr>
              <w:t>As supply volumes are possible to contract, increased prices on raw materials will</w:t>
            </w:r>
            <w:r w:rsidR="00517352" w:rsidRPr="00EE5F0F">
              <w:rPr>
                <w:rFonts w:ascii="Garamond" w:hAnsi="Garamond" w:cs="Sylfaen"/>
                <w:sz w:val="22"/>
                <w:szCs w:val="22"/>
              </w:rPr>
              <w:t xml:space="preserve"> keep high.</w:t>
            </w:r>
            <w:r w:rsidR="00703FA4" w:rsidRPr="00EE5F0F">
              <w:rPr>
                <w:rFonts w:ascii="Garamond" w:hAnsi="Garamond" w:cs="Sylfaen"/>
                <w:sz w:val="22"/>
                <w:szCs w:val="22"/>
                <w:lang w:val="hy-AM"/>
              </w:rPr>
              <w:t xml:space="preserve"> </w:t>
            </w:r>
          </w:p>
        </w:tc>
      </w:tr>
      <w:tr w:rsidR="00A241EA" w:rsidRPr="00EE5F0F" w14:paraId="5829077B" w14:textId="77777777" w:rsidTr="004D4A0F">
        <w:trPr>
          <w:trHeight w:val="20"/>
        </w:trPr>
        <w:tc>
          <w:tcPr>
            <w:tcW w:w="1715" w:type="dxa"/>
            <w:vAlign w:val="center"/>
          </w:tcPr>
          <w:p w14:paraId="67A3DAF5" w14:textId="77777777" w:rsidR="00A241EA" w:rsidRPr="00EE5F0F" w:rsidRDefault="00517352" w:rsidP="00517352">
            <w:pPr>
              <w:spacing w:before="30" w:after="30"/>
              <w:rPr>
                <w:rFonts w:ascii="Garamond" w:eastAsia="Calibri" w:hAnsi="Garamond" w:cs="Sylfaen"/>
                <w:sz w:val="22"/>
                <w:szCs w:val="22"/>
              </w:rPr>
            </w:pPr>
            <w:r w:rsidRPr="00EE5F0F">
              <w:rPr>
                <w:rFonts w:ascii="Garamond" w:eastAsia="Calibri" w:hAnsi="Garamond" w:cs="Sylfaen"/>
                <w:sz w:val="22"/>
                <w:szCs w:val="22"/>
              </w:rPr>
              <w:t>Armenia’s real exchange rate equilibrium revalues</w:t>
            </w:r>
          </w:p>
        </w:tc>
        <w:tc>
          <w:tcPr>
            <w:tcW w:w="4528" w:type="dxa"/>
            <w:vAlign w:val="center"/>
          </w:tcPr>
          <w:p w14:paraId="1413D6ED" w14:textId="77777777" w:rsidR="00A241EA" w:rsidRPr="00EE5F0F" w:rsidRDefault="00517352" w:rsidP="00517352">
            <w:pPr>
              <w:pStyle w:val="ListParagraph"/>
              <w:numPr>
                <w:ilvl w:val="0"/>
                <w:numId w:val="5"/>
              </w:numPr>
              <w:spacing w:before="30" w:after="30"/>
              <w:rPr>
                <w:rFonts w:ascii="Garamond" w:hAnsi="Garamond" w:cs="Sylfaen"/>
                <w:sz w:val="22"/>
                <w:szCs w:val="22"/>
              </w:rPr>
            </w:pPr>
            <w:r w:rsidRPr="00EE5F0F">
              <w:rPr>
                <w:rFonts w:ascii="Garamond" w:hAnsi="Garamond" w:cs="Sylfaen"/>
                <w:sz w:val="22"/>
                <w:szCs w:val="22"/>
              </w:rPr>
              <w:t>In recent years, the real exchange rate equilibrium has demonstrated slightly more appreciation patterns, compared to previous estimates.</w:t>
            </w:r>
          </w:p>
        </w:tc>
      </w:tr>
      <w:tr w:rsidR="00517352" w:rsidRPr="00EE5F0F" w14:paraId="6F3CBFEE" w14:textId="77777777" w:rsidTr="004D4A0F">
        <w:trPr>
          <w:trHeight w:val="20"/>
        </w:trPr>
        <w:tc>
          <w:tcPr>
            <w:tcW w:w="1715" w:type="dxa"/>
            <w:vAlign w:val="center"/>
          </w:tcPr>
          <w:p w14:paraId="3910DB2B" w14:textId="77777777" w:rsidR="00517352" w:rsidRPr="00EE5F0F" w:rsidRDefault="00517352" w:rsidP="00517352">
            <w:pPr>
              <w:spacing w:before="30" w:after="30"/>
              <w:rPr>
                <w:rFonts w:ascii="Garamond" w:eastAsia="Calibri" w:hAnsi="Garamond" w:cs="Sylfaen"/>
                <w:sz w:val="22"/>
                <w:szCs w:val="22"/>
              </w:rPr>
            </w:pPr>
            <w:r w:rsidRPr="00EE5F0F">
              <w:rPr>
                <w:rFonts w:ascii="Garamond" w:eastAsia="Calibri" w:hAnsi="Garamond" w:cs="Sylfaen"/>
                <w:sz w:val="22"/>
                <w:szCs w:val="22"/>
              </w:rPr>
              <w:t>Armenia’s risk premium grows</w:t>
            </w:r>
          </w:p>
        </w:tc>
        <w:tc>
          <w:tcPr>
            <w:tcW w:w="4528" w:type="dxa"/>
            <w:vAlign w:val="center"/>
          </w:tcPr>
          <w:p w14:paraId="56B4C029" w14:textId="77777777" w:rsidR="00517352" w:rsidRPr="00EE5F0F" w:rsidRDefault="00517352" w:rsidP="00134A51">
            <w:pPr>
              <w:pStyle w:val="ListParagraph"/>
              <w:numPr>
                <w:ilvl w:val="0"/>
                <w:numId w:val="5"/>
              </w:numPr>
              <w:spacing w:before="30" w:after="30"/>
              <w:rPr>
                <w:rFonts w:ascii="Garamond" w:hAnsi="Garamond" w:cs="Sylfaen"/>
                <w:sz w:val="22"/>
                <w:szCs w:val="22"/>
              </w:rPr>
            </w:pPr>
            <w:r w:rsidRPr="00EE5F0F">
              <w:rPr>
                <w:rFonts w:ascii="Garamond" w:hAnsi="Garamond" w:cs="Sylfaen"/>
                <w:sz w:val="22"/>
                <w:szCs w:val="22"/>
              </w:rPr>
              <w:t xml:space="preserve">In the second quarter of 2018, the </w:t>
            </w:r>
            <w:r w:rsidR="00134A51" w:rsidRPr="00EE5F0F">
              <w:rPr>
                <w:rFonts w:ascii="Garamond" w:hAnsi="Garamond" w:cs="Sylfaen"/>
                <w:sz w:val="22"/>
                <w:szCs w:val="22"/>
              </w:rPr>
              <w:t xml:space="preserve">spread of interest rates of </w:t>
            </w:r>
            <w:r w:rsidRPr="00EE5F0F">
              <w:rPr>
                <w:rFonts w:ascii="Garamond" w:hAnsi="Garamond" w:cs="Sylfaen"/>
                <w:sz w:val="22"/>
                <w:szCs w:val="22"/>
              </w:rPr>
              <w:t>10-year Eurobond</w:t>
            </w:r>
            <w:r w:rsidR="00134A51" w:rsidRPr="00EE5F0F">
              <w:rPr>
                <w:rFonts w:ascii="Garamond" w:hAnsi="Garamond" w:cs="Sylfaen"/>
                <w:sz w:val="22"/>
                <w:szCs w:val="22"/>
              </w:rPr>
              <w:t>s</w:t>
            </w:r>
            <w:r w:rsidRPr="00EE5F0F">
              <w:rPr>
                <w:rFonts w:ascii="Garamond" w:hAnsi="Garamond" w:cs="Sylfaen"/>
                <w:sz w:val="22"/>
                <w:szCs w:val="22"/>
              </w:rPr>
              <w:t xml:space="preserve"> </w:t>
            </w:r>
            <w:r w:rsidR="00134A51" w:rsidRPr="00EE5F0F">
              <w:rPr>
                <w:rFonts w:ascii="Garamond" w:hAnsi="Garamond" w:cs="Sylfaen"/>
                <w:sz w:val="22"/>
                <w:szCs w:val="22"/>
              </w:rPr>
              <w:t xml:space="preserve">issued by </w:t>
            </w:r>
            <w:r w:rsidRPr="00EE5F0F">
              <w:rPr>
                <w:rFonts w:ascii="Garamond" w:hAnsi="Garamond" w:cs="Sylfaen"/>
                <w:sz w:val="22"/>
                <w:szCs w:val="22"/>
              </w:rPr>
              <w:t>t</w:t>
            </w:r>
            <w:r w:rsidR="00134A51" w:rsidRPr="00EE5F0F">
              <w:rPr>
                <w:rFonts w:ascii="Garamond" w:hAnsi="Garamond" w:cs="Sylfaen"/>
                <w:sz w:val="22"/>
                <w:szCs w:val="22"/>
              </w:rPr>
              <w:t>he</w:t>
            </w:r>
            <w:r w:rsidRPr="00EE5F0F">
              <w:rPr>
                <w:rFonts w:ascii="Garamond" w:hAnsi="Garamond" w:cs="Sylfaen"/>
                <w:sz w:val="22"/>
                <w:szCs w:val="22"/>
              </w:rPr>
              <w:t xml:space="preserve"> Armenian </w:t>
            </w:r>
            <w:r w:rsidR="00134A51" w:rsidRPr="00EE5F0F">
              <w:rPr>
                <w:rFonts w:ascii="Garamond" w:hAnsi="Garamond" w:cs="Sylfaen"/>
                <w:sz w:val="22"/>
                <w:szCs w:val="22"/>
              </w:rPr>
              <w:t>G</w:t>
            </w:r>
            <w:r w:rsidRPr="00EE5F0F">
              <w:rPr>
                <w:rFonts w:ascii="Garamond" w:hAnsi="Garamond" w:cs="Sylfaen"/>
                <w:sz w:val="22"/>
                <w:szCs w:val="22"/>
              </w:rPr>
              <w:t>overnment will increase by 70 basis points</w:t>
            </w:r>
            <w:r w:rsidR="00134A51" w:rsidRPr="00EE5F0F">
              <w:rPr>
                <w:rFonts w:ascii="Garamond" w:hAnsi="Garamond" w:cs="Sylfaen"/>
                <w:sz w:val="22"/>
                <w:szCs w:val="22"/>
              </w:rPr>
              <w:t>,</w:t>
            </w:r>
            <w:r w:rsidRPr="00EE5F0F">
              <w:rPr>
                <w:rFonts w:ascii="Garamond" w:hAnsi="Garamond" w:cs="Sylfaen"/>
                <w:sz w:val="22"/>
                <w:szCs w:val="22"/>
              </w:rPr>
              <w:t xml:space="preserve"> </w:t>
            </w:r>
            <w:r w:rsidR="00134A51" w:rsidRPr="00EE5F0F">
              <w:rPr>
                <w:rFonts w:ascii="Garamond" w:hAnsi="Garamond" w:cs="Sylfaen"/>
                <w:sz w:val="22"/>
                <w:szCs w:val="22"/>
              </w:rPr>
              <w:t xml:space="preserve">relative to the similar maturity-US assets, </w:t>
            </w:r>
            <w:r w:rsidRPr="00EE5F0F">
              <w:rPr>
                <w:rFonts w:ascii="Garamond" w:hAnsi="Garamond" w:cs="Sylfaen"/>
                <w:sz w:val="22"/>
                <w:szCs w:val="22"/>
              </w:rPr>
              <w:t xml:space="preserve">compared to the previous quarter, </w:t>
            </w:r>
            <w:r w:rsidR="00134A51" w:rsidRPr="00EE5F0F">
              <w:rPr>
                <w:rFonts w:ascii="Garamond" w:hAnsi="Garamond" w:cs="Sylfaen"/>
                <w:sz w:val="22"/>
                <w:szCs w:val="22"/>
              </w:rPr>
              <w:t xml:space="preserve">amounting nearly </w:t>
            </w:r>
            <w:r w:rsidRPr="00EE5F0F">
              <w:rPr>
                <w:rFonts w:ascii="Garamond" w:hAnsi="Garamond" w:cs="Sylfaen"/>
                <w:sz w:val="22"/>
                <w:szCs w:val="22"/>
              </w:rPr>
              <w:t>t</w:t>
            </w:r>
            <w:r w:rsidR="00134A51" w:rsidRPr="00EE5F0F">
              <w:rPr>
                <w:rFonts w:ascii="Garamond" w:hAnsi="Garamond" w:cs="Sylfaen"/>
                <w:sz w:val="22"/>
                <w:szCs w:val="22"/>
              </w:rPr>
              <w:t>o</w:t>
            </w:r>
            <w:r w:rsidRPr="00EE5F0F">
              <w:rPr>
                <w:rFonts w:ascii="Garamond" w:hAnsi="Garamond" w:cs="Sylfaen"/>
                <w:sz w:val="22"/>
                <w:szCs w:val="22"/>
              </w:rPr>
              <w:t xml:space="preserve"> 3%. </w:t>
            </w:r>
            <w:r w:rsidR="00134A51" w:rsidRPr="00EE5F0F">
              <w:rPr>
                <w:rFonts w:ascii="Garamond" w:hAnsi="Garamond" w:cs="Sylfaen"/>
                <w:sz w:val="22"/>
                <w:szCs w:val="22"/>
              </w:rPr>
              <w:t xml:space="preserve">Armenia’s </w:t>
            </w:r>
            <w:r w:rsidRPr="00EE5F0F">
              <w:rPr>
                <w:rFonts w:ascii="Garamond" w:hAnsi="Garamond" w:cs="Sylfaen"/>
                <w:sz w:val="22"/>
                <w:szCs w:val="22"/>
              </w:rPr>
              <w:t xml:space="preserve">risk premium is also assessed </w:t>
            </w:r>
            <w:r w:rsidR="00134A51" w:rsidRPr="00EE5F0F">
              <w:rPr>
                <w:rFonts w:ascii="Garamond" w:hAnsi="Garamond" w:cs="Sylfaen"/>
                <w:sz w:val="22"/>
                <w:szCs w:val="22"/>
              </w:rPr>
              <w:t>accordingly</w:t>
            </w:r>
            <w:r w:rsidRPr="00EE5F0F">
              <w:rPr>
                <w:rFonts w:ascii="Garamond" w:hAnsi="Garamond" w:cs="Sylfaen"/>
                <w:sz w:val="22"/>
                <w:szCs w:val="22"/>
              </w:rPr>
              <w:t>.</w:t>
            </w:r>
          </w:p>
        </w:tc>
      </w:tr>
      <w:tr w:rsidR="00134A51" w:rsidRPr="00EE5F0F" w14:paraId="616F67F5" w14:textId="77777777" w:rsidTr="004D4A0F">
        <w:trPr>
          <w:trHeight w:val="20"/>
        </w:trPr>
        <w:tc>
          <w:tcPr>
            <w:tcW w:w="1715" w:type="dxa"/>
            <w:vAlign w:val="center"/>
          </w:tcPr>
          <w:p w14:paraId="089C01E7" w14:textId="77777777" w:rsidR="00134A51" w:rsidRPr="00EE5F0F" w:rsidRDefault="00134A51" w:rsidP="002265CD">
            <w:pPr>
              <w:spacing w:before="30" w:after="30"/>
              <w:rPr>
                <w:rFonts w:ascii="Garamond" w:eastAsia="Calibri" w:hAnsi="Garamond" w:cs="Sylfaen"/>
                <w:sz w:val="22"/>
                <w:szCs w:val="22"/>
              </w:rPr>
            </w:pPr>
            <w:r w:rsidRPr="00EE5F0F">
              <w:rPr>
                <w:rFonts w:ascii="Garamond" w:eastAsia="Calibri" w:hAnsi="Garamond" w:cs="Sylfaen"/>
                <w:sz w:val="22"/>
                <w:szCs w:val="22"/>
              </w:rPr>
              <w:t>The effects of political events in April and May</w:t>
            </w:r>
            <w:r w:rsidR="002265CD" w:rsidRPr="00EE5F0F">
              <w:rPr>
                <w:rFonts w:ascii="Garamond" w:eastAsia="Calibri" w:hAnsi="Garamond" w:cs="Sylfaen"/>
                <w:sz w:val="22"/>
                <w:szCs w:val="22"/>
              </w:rPr>
              <w:t xml:space="preserve"> of 2018</w:t>
            </w:r>
          </w:p>
        </w:tc>
        <w:tc>
          <w:tcPr>
            <w:tcW w:w="4528" w:type="dxa"/>
            <w:vAlign w:val="center"/>
          </w:tcPr>
          <w:p w14:paraId="6401B8E2" w14:textId="77777777" w:rsidR="00134A51" w:rsidRPr="00EE5F0F" w:rsidRDefault="002265CD" w:rsidP="002265CD">
            <w:pPr>
              <w:pStyle w:val="ListParagraph"/>
              <w:numPr>
                <w:ilvl w:val="0"/>
                <w:numId w:val="5"/>
              </w:numPr>
              <w:spacing w:before="30" w:after="30"/>
              <w:rPr>
                <w:rFonts w:ascii="Garamond" w:hAnsi="Garamond" w:cs="Sylfaen"/>
                <w:sz w:val="22"/>
                <w:szCs w:val="22"/>
              </w:rPr>
            </w:pPr>
            <w:r w:rsidRPr="00EE5F0F">
              <w:rPr>
                <w:rFonts w:ascii="Garamond" w:hAnsi="Garamond" w:cs="Sylfaen"/>
                <w:sz w:val="22"/>
                <w:szCs w:val="22"/>
              </w:rPr>
              <w:t>Direct and indirect effects of political events on economic growth showed up during the second quarter of 2018 only.</w:t>
            </w:r>
          </w:p>
          <w:p w14:paraId="311E9842" w14:textId="77777777" w:rsidR="002265CD" w:rsidRPr="00EE5F0F" w:rsidRDefault="002265CD" w:rsidP="002265CD">
            <w:pPr>
              <w:pStyle w:val="ListParagraph"/>
              <w:numPr>
                <w:ilvl w:val="0"/>
                <w:numId w:val="5"/>
              </w:numPr>
              <w:spacing w:before="30" w:after="30"/>
              <w:rPr>
                <w:rFonts w:ascii="Garamond" w:hAnsi="Garamond" w:cs="Sylfaen"/>
                <w:sz w:val="22"/>
                <w:szCs w:val="22"/>
              </w:rPr>
            </w:pPr>
            <w:r w:rsidRPr="00EE5F0F">
              <w:rPr>
                <w:rFonts w:ascii="Garamond" w:hAnsi="Garamond" w:cs="Sylfaen"/>
                <w:sz w:val="22"/>
                <w:szCs w:val="22"/>
              </w:rPr>
              <w:t>No impact on the GDP gap and inflation.</w:t>
            </w:r>
          </w:p>
          <w:p w14:paraId="7DC3F3DD" w14:textId="77777777" w:rsidR="002265CD" w:rsidRPr="00EE5F0F" w:rsidRDefault="002265CD" w:rsidP="002265CD">
            <w:pPr>
              <w:pStyle w:val="ListParagraph"/>
              <w:numPr>
                <w:ilvl w:val="0"/>
                <w:numId w:val="5"/>
              </w:numPr>
              <w:spacing w:before="30" w:after="30"/>
              <w:rPr>
                <w:rFonts w:ascii="Garamond" w:hAnsi="Garamond" w:cs="Sylfaen"/>
                <w:sz w:val="22"/>
                <w:szCs w:val="22"/>
              </w:rPr>
            </w:pPr>
            <w:r w:rsidRPr="00EE5F0F">
              <w:rPr>
                <w:rFonts w:ascii="Garamond" w:hAnsi="Garamond" w:cs="Sylfaen"/>
                <w:sz w:val="22"/>
                <w:szCs w:val="22"/>
              </w:rPr>
              <w:t>The impacts on the financial market have been effectively absorbed by adequate action of the Central Bank.</w:t>
            </w:r>
          </w:p>
        </w:tc>
      </w:tr>
      <w:tr w:rsidR="002265CD" w:rsidRPr="00EE5F0F" w14:paraId="338135BC" w14:textId="77777777" w:rsidTr="004D4A0F">
        <w:trPr>
          <w:trHeight w:val="20"/>
        </w:trPr>
        <w:tc>
          <w:tcPr>
            <w:tcW w:w="1715" w:type="dxa"/>
            <w:vAlign w:val="center"/>
          </w:tcPr>
          <w:p w14:paraId="09F419D1" w14:textId="77777777" w:rsidR="002265CD" w:rsidRPr="00EE5F0F" w:rsidRDefault="002265CD" w:rsidP="008176B8">
            <w:pPr>
              <w:spacing w:before="40" w:after="40"/>
              <w:rPr>
                <w:rFonts w:ascii="Garamond" w:eastAsia="Calibri" w:hAnsi="Garamond" w:cs="GHEA Grapalat"/>
                <w:sz w:val="22"/>
                <w:szCs w:val="22"/>
                <w:lang w:val="hy-AM"/>
              </w:rPr>
            </w:pPr>
            <w:proofErr w:type="spellStart"/>
            <w:r w:rsidRPr="00EE5F0F">
              <w:rPr>
                <w:rFonts w:ascii="Garamond" w:eastAsia="Calibri" w:hAnsi="Garamond" w:cs="Sylfaen"/>
                <w:sz w:val="22"/>
                <w:szCs w:val="22"/>
                <w:lang w:val="hy-AM"/>
              </w:rPr>
              <w:t>Fiscal</w:t>
            </w:r>
            <w:proofErr w:type="spellEnd"/>
            <w:r w:rsidRPr="00EE5F0F">
              <w:rPr>
                <w:rFonts w:ascii="Garamond" w:eastAsia="Calibri" w:hAnsi="Garamond" w:cs="Sylfaen"/>
                <w:sz w:val="22"/>
                <w:szCs w:val="22"/>
                <w:lang w:val="hy-AM"/>
              </w:rPr>
              <w:t xml:space="preserve"> </w:t>
            </w:r>
            <w:r w:rsidRPr="00EE5F0F">
              <w:rPr>
                <w:rFonts w:ascii="Garamond" w:eastAsia="Calibri" w:hAnsi="Garamond" w:cs="Sylfaen"/>
                <w:sz w:val="22"/>
                <w:szCs w:val="22"/>
              </w:rPr>
              <w:t>p</w:t>
            </w:r>
            <w:proofErr w:type="spellStart"/>
            <w:r w:rsidRPr="00EE5F0F">
              <w:rPr>
                <w:rFonts w:ascii="Garamond" w:eastAsia="Calibri" w:hAnsi="Garamond" w:cs="Sylfaen"/>
                <w:sz w:val="22"/>
                <w:szCs w:val="22"/>
                <w:lang w:val="hy-AM"/>
              </w:rPr>
              <w:t>olicy</w:t>
            </w:r>
            <w:proofErr w:type="spellEnd"/>
            <w:r w:rsidRPr="00EE5F0F">
              <w:rPr>
                <w:rFonts w:ascii="Garamond" w:eastAsia="Calibri" w:hAnsi="Garamond" w:cs="Sylfaen"/>
                <w:sz w:val="22"/>
                <w:szCs w:val="22"/>
              </w:rPr>
              <w:t xml:space="preserve"> conditions</w:t>
            </w:r>
          </w:p>
        </w:tc>
        <w:tc>
          <w:tcPr>
            <w:tcW w:w="4528" w:type="dxa"/>
            <w:vAlign w:val="center"/>
          </w:tcPr>
          <w:p w14:paraId="748F2B68" w14:textId="77777777" w:rsidR="002265CD" w:rsidRPr="00EE5F0F" w:rsidRDefault="002265CD" w:rsidP="002265CD">
            <w:pPr>
              <w:pStyle w:val="ListParagraph"/>
              <w:numPr>
                <w:ilvl w:val="0"/>
                <w:numId w:val="5"/>
              </w:numPr>
              <w:spacing w:before="30" w:after="30"/>
              <w:rPr>
                <w:rFonts w:ascii="Garamond" w:hAnsi="Garamond" w:cs="Sylfaen"/>
                <w:sz w:val="22"/>
                <w:szCs w:val="22"/>
              </w:rPr>
            </w:pPr>
            <w:r w:rsidRPr="00EE5F0F">
              <w:rPr>
                <w:rFonts w:ascii="Garamond" w:hAnsi="Garamond" w:cs="Sylfaen"/>
                <w:color w:val="000000" w:themeColor="text1"/>
                <w:sz w:val="22"/>
                <w:szCs w:val="22"/>
              </w:rPr>
              <w:t>The fiscal sector’s impact on aggregate demand is small, an estimated 0</w:t>
            </w:r>
            <w:r w:rsidRPr="00EE5F0F">
              <w:rPr>
                <w:rFonts w:ascii="Garamond" w:hAnsi="Garamond" w:cs="Sylfaen"/>
                <w:color w:val="000000" w:themeColor="text1"/>
                <w:sz w:val="22"/>
                <w:szCs w:val="22"/>
                <w:lang w:val="hy-AM"/>
              </w:rPr>
              <w:t>.</w:t>
            </w:r>
            <w:r w:rsidRPr="00EE5F0F">
              <w:rPr>
                <w:rFonts w:ascii="Garamond" w:hAnsi="Garamond" w:cs="Sylfaen"/>
                <w:color w:val="000000" w:themeColor="text1"/>
                <w:sz w:val="22"/>
                <w:szCs w:val="22"/>
              </w:rPr>
              <w:t>2</w:t>
            </w:r>
            <w:r w:rsidRPr="00EE5F0F">
              <w:rPr>
                <w:rFonts w:ascii="Garamond" w:hAnsi="Garamond" w:cs="Sylfaen"/>
                <w:color w:val="000000" w:themeColor="text1"/>
                <w:sz w:val="22"/>
                <w:szCs w:val="22"/>
                <w:lang w:val="hy-AM"/>
              </w:rPr>
              <w:t xml:space="preserve"> </w:t>
            </w:r>
            <w:r w:rsidRPr="00EE5F0F">
              <w:rPr>
                <w:rFonts w:ascii="Garamond" w:hAnsi="Garamond" w:cs="Sylfaen"/>
                <w:color w:val="000000" w:themeColor="text1"/>
                <w:sz w:val="22"/>
                <w:szCs w:val="22"/>
              </w:rPr>
              <w:t xml:space="preserve">pp expansionary, in </w:t>
            </w:r>
            <w:r w:rsidRPr="00EE5F0F">
              <w:rPr>
                <w:rFonts w:ascii="Garamond" w:hAnsi="Garamond" w:cs="Sylfaen"/>
                <w:color w:val="000000" w:themeColor="text1"/>
                <w:sz w:val="22"/>
                <w:szCs w:val="22"/>
                <w:lang w:val="hy-AM"/>
              </w:rPr>
              <w:t>201</w:t>
            </w:r>
            <w:r w:rsidRPr="00EE5F0F">
              <w:rPr>
                <w:rFonts w:ascii="Garamond" w:hAnsi="Garamond" w:cs="Sylfaen"/>
                <w:color w:val="000000" w:themeColor="text1"/>
                <w:sz w:val="22"/>
                <w:szCs w:val="22"/>
              </w:rPr>
              <w:t>8</w:t>
            </w:r>
            <w:r w:rsidRPr="00EE5F0F">
              <w:rPr>
                <w:rFonts w:ascii="Garamond" w:hAnsi="Garamond" w:cs="Sylfaen"/>
                <w:color w:val="000000" w:themeColor="text1"/>
                <w:sz w:val="22"/>
                <w:szCs w:val="22"/>
                <w:lang w:val="hy-AM"/>
              </w:rPr>
              <w:t>.</w:t>
            </w:r>
          </w:p>
        </w:tc>
      </w:tr>
      <w:tr w:rsidR="002265CD" w:rsidRPr="00EE5F0F" w14:paraId="540DB070" w14:textId="77777777" w:rsidTr="004D4A0F">
        <w:trPr>
          <w:trHeight w:val="20"/>
        </w:trPr>
        <w:tc>
          <w:tcPr>
            <w:tcW w:w="1715" w:type="dxa"/>
            <w:vAlign w:val="center"/>
          </w:tcPr>
          <w:p w14:paraId="7EF737FF" w14:textId="77777777" w:rsidR="002265CD" w:rsidRPr="00EE5F0F" w:rsidRDefault="002265CD" w:rsidP="002265CD">
            <w:pPr>
              <w:spacing w:before="40" w:after="40"/>
              <w:rPr>
                <w:rFonts w:ascii="Garamond" w:eastAsia="Calibri" w:hAnsi="Garamond" w:cs="Sylfaen"/>
                <w:sz w:val="22"/>
                <w:szCs w:val="22"/>
                <w:lang w:val="hy-AM"/>
              </w:rPr>
            </w:pPr>
            <w:r w:rsidRPr="00EE5F0F">
              <w:rPr>
                <w:rFonts w:ascii="Garamond" w:eastAsia="Calibri" w:hAnsi="Garamond" w:cs="Sylfaen"/>
                <w:sz w:val="22"/>
                <w:szCs w:val="22"/>
              </w:rPr>
              <w:t>Action to tackle t</w:t>
            </w:r>
            <w:proofErr w:type="spellStart"/>
            <w:r w:rsidRPr="00EE5F0F">
              <w:rPr>
                <w:rFonts w:ascii="Garamond" w:eastAsia="Calibri" w:hAnsi="Garamond" w:cs="Sylfaen"/>
                <w:sz w:val="22"/>
                <w:szCs w:val="22"/>
                <w:lang w:val="hy-AM"/>
              </w:rPr>
              <w:t>he</w:t>
            </w:r>
            <w:proofErr w:type="spellEnd"/>
            <w:r w:rsidRPr="00EE5F0F">
              <w:rPr>
                <w:rFonts w:ascii="Garamond" w:eastAsia="Calibri" w:hAnsi="Garamond" w:cs="Sylfaen"/>
                <w:sz w:val="22"/>
                <w:szCs w:val="22"/>
                <w:lang w:val="hy-AM"/>
              </w:rPr>
              <w:t xml:space="preserve"> </w:t>
            </w:r>
            <w:proofErr w:type="spellStart"/>
            <w:r w:rsidRPr="00EE5F0F">
              <w:rPr>
                <w:rFonts w:ascii="Garamond" w:eastAsia="Calibri" w:hAnsi="Garamond" w:cs="Sylfaen"/>
                <w:sz w:val="22"/>
                <w:szCs w:val="22"/>
                <w:lang w:val="hy-AM"/>
              </w:rPr>
              <w:t>growth</w:t>
            </w:r>
            <w:proofErr w:type="spellEnd"/>
            <w:r w:rsidRPr="00EE5F0F">
              <w:rPr>
                <w:rFonts w:ascii="Garamond" w:eastAsia="Calibri" w:hAnsi="Garamond" w:cs="Sylfaen"/>
                <w:sz w:val="22"/>
                <w:szCs w:val="22"/>
                <w:lang w:val="hy-AM"/>
              </w:rPr>
              <w:t xml:space="preserve"> of </w:t>
            </w:r>
            <w:r w:rsidRPr="00EE5F0F">
              <w:rPr>
                <w:rFonts w:ascii="Garamond" w:eastAsia="Calibri" w:hAnsi="Garamond" w:cs="Sylfaen"/>
                <w:sz w:val="22"/>
                <w:szCs w:val="22"/>
              </w:rPr>
              <w:lastRenderedPageBreak/>
              <w:t xml:space="preserve">GDP </w:t>
            </w:r>
            <w:proofErr w:type="spellStart"/>
            <w:r w:rsidRPr="00EE5F0F">
              <w:rPr>
                <w:rFonts w:ascii="Garamond" w:eastAsia="Calibri" w:hAnsi="Garamond" w:cs="Sylfaen"/>
                <w:sz w:val="22"/>
                <w:szCs w:val="22"/>
                <w:lang w:val="hy-AM"/>
              </w:rPr>
              <w:t>potential</w:t>
            </w:r>
            <w:proofErr w:type="spellEnd"/>
          </w:p>
        </w:tc>
        <w:tc>
          <w:tcPr>
            <w:tcW w:w="4528" w:type="dxa"/>
            <w:vAlign w:val="center"/>
          </w:tcPr>
          <w:p w14:paraId="6D2C3582" w14:textId="77777777" w:rsidR="002265CD" w:rsidRPr="00EE5F0F" w:rsidRDefault="002265CD" w:rsidP="00292E52">
            <w:pPr>
              <w:pStyle w:val="ListParagraph"/>
              <w:numPr>
                <w:ilvl w:val="0"/>
                <w:numId w:val="5"/>
              </w:numPr>
              <w:spacing w:before="30" w:after="30"/>
              <w:rPr>
                <w:rFonts w:ascii="Garamond" w:hAnsi="Garamond" w:cs="Sylfaen"/>
                <w:color w:val="000000" w:themeColor="text1"/>
                <w:sz w:val="22"/>
                <w:szCs w:val="22"/>
              </w:rPr>
            </w:pPr>
            <w:r w:rsidRPr="00EE5F0F">
              <w:rPr>
                <w:rFonts w:ascii="Garamond" w:hAnsi="Garamond" w:cs="Sylfaen"/>
                <w:color w:val="000000" w:themeColor="text1"/>
                <w:sz w:val="22"/>
                <w:szCs w:val="22"/>
              </w:rPr>
              <w:lastRenderedPageBreak/>
              <w:t xml:space="preserve">Growth of GDP potential will </w:t>
            </w:r>
            <w:r w:rsidR="00292E52" w:rsidRPr="00EE5F0F">
              <w:rPr>
                <w:rFonts w:ascii="Garamond" w:hAnsi="Garamond" w:cs="Sylfaen"/>
                <w:color w:val="000000" w:themeColor="text1"/>
                <w:sz w:val="22"/>
                <w:szCs w:val="22"/>
              </w:rPr>
              <w:t xml:space="preserve">show up </w:t>
            </w:r>
            <w:r w:rsidRPr="00EE5F0F">
              <w:rPr>
                <w:rFonts w:ascii="Garamond" w:hAnsi="Garamond" w:cs="Sylfaen"/>
                <w:color w:val="000000" w:themeColor="text1"/>
                <w:sz w:val="22"/>
                <w:szCs w:val="22"/>
              </w:rPr>
              <w:t xml:space="preserve">mainly in continuous growth of private investment in </w:t>
            </w:r>
            <w:r w:rsidRPr="00EE5F0F">
              <w:rPr>
                <w:rFonts w:ascii="Garamond" w:hAnsi="Garamond" w:cs="Sylfaen"/>
                <w:color w:val="000000" w:themeColor="text1"/>
                <w:sz w:val="22"/>
                <w:szCs w:val="22"/>
              </w:rPr>
              <w:lastRenderedPageBreak/>
              <w:t xml:space="preserve">the </w:t>
            </w:r>
            <w:r w:rsidR="00292E52" w:rsidRPr="00EE5F0F">
              <w:rPr>
                <w:rFonts w:ascii="Garamond" w:hAnsi="Garamond" w:cs="Sylfaen"/>
                <w:color w:val="000000" w:themeColor="text1"/>
                <w:sz w:val="22"/>
                <w:szCs w:val="22"/>
              </w:rPr>
              <w:t xml:space="preserve">tradable </w:t>
            </w:r>
            <w:r w:rsidRPr="00EE5F0F">
              <w:rPr>
                <w:rFonts w:ascii="Garamond" w:hAnsi="Garamond" w:cs="Sylfaen"/>
                <w:color w:val="000000" w:themeColor="text1"/>
                <w:sz w:val="22"/>
                <w:szCs w:val="22"/>
              </w:rPr>
              <w:t xml:space="preserve">sector by increasing </w:t>
            </w:r>
            <w:r w:rsidR="00292E52" w:rsidRPr="00EE5F0F">
              <w:rPr>
                <w:rFonts w:ascii="Garamond" w:hAnsi="Garamond" w:cs="Sylfaen"/>
                <w:color w:val="000000" w:themeColor="text1"/>
                <w:sz w:val="22"/>
                <w:szCs w:val="22"/>
              </w:rPr>
              <w:t xml:space="preserve">output capacities for both </w:t>
            </w:r>
            <w:r w:rsidRPr="00EE5F0F">
              <w:rPr>
                <w:rFonts w:ascii="Garamond" w:hAnsi="Garamond" w:cs="Sylfaen"/>
                <w:color w:val="000000" w:themeColor="text1"/>
                <w:sz w:val="22"/>
                <w:szCs w:val="22"/>
              </w:rPr>
              <w:t xml:space="preserve">goods and services, ensuring </w:t>
            </w:r>
            <w:r w:rsidR="00292E52" w:rsidRPr="00EE5F0F">
              <w:rPr>
                <w:rFonts w:ascii="Garamond" w:hAnsi="Garamond" w:cs="Sylfaen"/>
                <w:color w:val="000000" w:themeColor="text1"/>
                <w:sz w:val="22"/>
                <w:szCs w:val="22"/>
              </w:rPr>
              <w:t xml:space="preserve">an </w:t>
            </w:r>
            <w:r w:rsidRPr="00EE5F0F">
              <w:rPr>
                <w:rFonts w:ascii="Garamond" w:hAnsi="Garamond" w:cs="Sylfaen"/>
                <w:color w:val="000000" w:themeColor="text1"/>
                <w:sz w:val="22"/>
                <w:szCs w:val="22"/>
              </w:rPr>
              <w:t>annual growth of 4.5-5.0%</w:t>
            </w:r>
            <w:r w:rsidR="00292E52" w:rsidRPr="00EE5F0F">
              <w:rPr>
                <w:rFonts w:ascii="Garamond" w:hAnsi="Garamond" w:cs="Sylfaen"/>
                <w:color w:val="000000" w:themeColor="text1"/>
                <w:sz w:val="22"/>
                <w:szCs w:val="22"/>
              </w:rPr>
              <w:t>.</w:t>
            </w:r>
          </w:p>
        </w:tc>
      </w:tr>
    </w:tbl>
    <w:p w14:paraId="2C36AE67" w14:textId="77777777" w:rsidR="00B15CCA" w:rsidRPr="00EE5F0F" w:rsidRDefault="00B15CCA" w:rsidP="005C6536">
      <w:pPr>
        <w:autoSpaceDE w:val="0"/>
        <w:autoSpaceDN w:val="0"/>
        <w:adjustRightInd w:val="0"/>
        <w:spacing w:after="120" w:line="360" w:lineRule="auto"/>
        <w:jc w:val="both"/>
        <w:rPr>
          <w:rFonts w:ascii="Garamond" w:hAnsi="Garamond"/>
          <w:sz w:val="22"/>
          <w:szCs w:val="22"/>
        </w:rPr>
      </w:pPr>
    </w:p>
    <w:p w14:paraId="48CD669B" w14:textId="77777777" w:rsidR="006150AC" w:rsidRPr="00EE5F0F" w:rsidRDefault="006150AC" w:rsidP="005C6536">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 xml:space="preserve">In the short run, the risks to inflation and economic growth forecasts are generally dual-sided, depending on the developments in the agricultural sector. </w:t>
      </w:r>
    </w:p>
    <w:p w14:paraId="0AE62333" w14:textId="77777777" w:rsidR="00292E52" w:rsidRPr="00EE5F0F" w:rsidRDefault="00B15CCA" w:rsidP="005C6536">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 xml:space="preserve">In the </w:t>
      </w:r>
      <w:r w:rsidR="006150AC" w:rsidRPr="00EE5F0F">
        <w:rPr>
          <w:rFonts w:ascii="Garamond" w:hAnsi="Garamond"/>
          <w:sz w:val="22"/>
          <w:szCs w:val="22"/>
        </w:rPr>
        <w:t>medium run</w:t>
      </w:r>
      <w:r w:rsidRPr="00EE5F0F">
        <w:rPr>
          <w:rFonts w:ascii="Garamond" w:hAnsi="Garamond"/>
          <w:sz w:val="22"/>
          <w:szCs w:val="22"/>
        </w:rPr>
        <w:t xml:space="preserve">, the risks to </w:t>
      </w:r>
      <w:r w:rsidR="006150AC" w:rsidRPr="00EE5F0F">
        <w:rPr>
          <w:rFonts w:ascii="Garamond" w:hAnsi="Garamond"/>
          <w:sz w:val="22"/>
          <w:szCs w:val="22"/>
        </w:rPr>
        <w:t xml:space="preserve">inflation are </w:t>
      </w:r>
      <w:r w:rsidR="00292E52" w:rsidRPr="00EE5F0F">
        <w:rPr>
          <w:rFonts w:ascii="Garamond" w:hAnsi="Garamond"/>
          <w:sz w:val="22"/>
          <w:szCs w:val="22"/>
        </w:rPr>
        <w:t xml:space="preserve">currently assessed as balanced, as the 12-month inflation rate is within the confidence band </w:t>
      </w:r>
      <w:r w:rsidR="006150AC" w:rsidRPr="00EE5F0F">
        <w:rPr>
          <w:rFonts w:ascii="Garamond" w:hAnsi="Garamond"/>
          <w:sz w:val="22"/>
          <w:szCs w:val="22"/>
        </w:rPr>
        <w:t xml:space="preserve">(see the Inflation Forecasts Probability Distribution Chart). </w:t>
      </w:r>
    </w:p>
    <w:p w14:paraId="39E11BAB" w14:textId="77777777" w:rsidR="009E1B90" w:rsidRPr="00EE5F0F" w:rsidRDefault="006150AC" w:rsidP="005C6536">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 xml:space="preserve">This is determined by a bunch of key factors and developments taking place in relevant sectors of the economy. </w:t>
      </w:r>
    </w:p>
    <w:p w14:paraId="0BEF352F" w14:textId="77777777" w:rsidR="009A460A" w:rsidRPr="00EE5F0F" w:rsidRDefault="0072461A" w:rsidP="009A460A">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F</w:t>
      </w:r>
      <w:r w:rsidR="009A460A" w:rsidRPr="00EE5F0F">
        <w:rPr>
          <w:rFonts w:ascii="Garamond" w:hAnsi="Garamond"/>
          <w:sz w:val="22"/>
          <w:szCs w:val="22"/>
        </w:rPr>
        <w:t xml:space="preserve">irst group factors are </w:t>
      </w:r>
      <w:r w:rsidR="00E45D05" w:rsidRPr="00EE5F0F">
        <w:rPr>
          <w:rFonts w:ascii="Garamond" w:hAnsi="Garamond"/>
          <w:sz w:val="22"/>
          <w:szCs w:val="22"/>
        </w:rPr>
        <w:t xml:space="preserve">pertinent to </w:t>
      </w:r>
      <w:r w:rsidR="009A460A" w:rsidRPr="00EE5F0F">
        <w:rPr>
          <w:rFonts w:ascii="Garamond" w:hAnsi="Garamond"/>
          <w:sz w:val="22"/>
          <w:szCs w:val="22"/>
        </w:rPr>
        <w:t xml:space="preserve">the acceleration of economic recovery in the external </w:t>
      </w:r>
      <w:r w:rsidR="006150AC" w:rsidRPr="00EE5F0F">
        <w:rPr>
          <w:rFonts w:ascii="Garamond" w:hAnsi="Garamond"/>
          <w:sz w:val="22"/>
          <w:szCs w:val="22"/>
        </w:rPr>
        <w:t xml:space="preserve">environment and its </w:t>
      </w:r>
      <w:r w:rsidR="00E45D05" w:rsidRPr="00EE5F0F">
        <w:rPr>
          <w:rFonts w:ascii="Garamond" w:hAnsi="Garamond"/>
          <w:sz w:val="22"/>
          <w:szCs w:val="22"/>
        </w:rPr>
        <w:t xml:space="preserve">impact </w:t>
      </w:r>
      <w:r w:rsidR="006150AC" w:rsidRPr="00EE5F0F">
        <w:rPr>
          <w:rFonts w:ascii="Garamond" w:hAnsi="Garamond"/>
          <w:sz w:val="22"/>
          <w:szCs w:val="22"/>
        </w:rPr>
        <w:t>s</w:t>
      </w:r>
      <w:r w:rsidR="00E45D05" w:rsidRPr="00EE5F0F">
        <w:rPr>
          <w:rFonts w:ascii="Garamond" w:hAnsi="Garamond"/>
          <w:sz w:val="22"/>
          <w:szCs w:val="22"/>
        </w:rPr>
        <w:t>pillover to the Armenian economy.</w:t>
      </w:r>
      <w:r w:rsidR="009A460A" w:rsidRPr="00EE5F0F">
        <w:rPr>
          <w:rFonts w:ascii="Garamond" w:hAnsi="Garamond"/>
          <w:sz w:val="22"/>
          <w:szCs w:val="22"/>
        </w:rPr>
        <w:t xml:space="preserve"> Specifically, the following key factors can be </w:t>
      </w:r>
      <w:r w:rsidR="00E45D05" w:rsidRPr="00EE5F0F">
        <w:rPr>
          <w:rFonts w:ascii="Garamond" w:hAnsi="Garamond"/>
          <w:sz w:val="22"/>
          <w:szCs w:val="22"/>
        </w:rPr>
        <w:t>highlighted</w:t>
      </w:r>
      <w:r w:rsidR="009A460A" w:rsidRPr="00EE5F0F">
        <w:rPr>
          <w:rFonts w:ascii="Garamond" w:hAnsi="Garamond"/>
          <w:sz w:val="22"/>
          <w:szCs w:val="22"/>
        </w:rPr>
        <w:t>:</w:t>
      </w:r>
    </w:p>
    <w:p w14:paraId="72D7F92E" w14:textId="77777777" w:rsidR="009A460A" w:rsidRPr="00EE5F0F" w:rsidRDefault="002D15E1" w:rsidP="00E45D05">
      <w:pPr>
        <w:pStyle w:val="ListParagraph"/>
        <w:numPr>
          <w:ilvl w:val="0"/>
          <w:numId w:val="6"/>
        </w:num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Quicker r</w:t>
      </w:r>
      <w:r w:rsidR="009A460A" w:rsidRPr="00EE5F0F">
        <w:rPr>
          <w:rFonts w:ascii="Garamond" w:hAnsi="Garamond"/>
          <w:sz w:val="22"/>
          <w:szCs w:val="22"/>
        </w:rPr>
        <w:t>ecover</w:t>
      </w:r>
      <w:r w:rsidRPr="00EE5F0F">
        <w:rPr>
          <w:rFonts w:ascii="Garamond" w:hAnsi="Garamond"/>
          <w:sz w:val="22"/>
          <w:szCs w:val="22"/>
        </w:rPr>
        <w:t xml:space="preserve">y of </w:t>
      </w:r>
      <w:r w:rsidR="009A460A" w:rsidRPr="00EE5F0F">
        <w:rPr>
          <w:rFonts w:ascii="Garamond" w:hAnsi="Garamond"/>
          <w:sz w:val="22"/>
          <w:szCs w:val="22"/>
        </w:rPr>
        <w:t>external demand a</w:t>
      </w:r>
      <w:r w:rsidRPr="00EE5F0F">
        <w:rPr>
          <w:rFonts w:ascii="Garamond" w:hAnsi="Garamond"/>
          <w:sz w:val="22"/>
          <w:szCs w:val="22"/>
        </w:rPr>
        <w:t xml:space="preserve">nd </w:t>
      </w:r>
      <w:r w:rsidR="009A460A" w:rsidRPr="00EE5F0F">
        <w:rPr>
          <w:rFonts w:ascii="Garamond" w:hAnsi="Garamond"/>
          <w:sz w:val="22"/>
          <w:szCs w:val="22"/>
        </w:rPr>
        <w:t>inflationary risks</w:t>
      </w:r>
      <w:r w:rsidR="00E45D05" w:rsidRPr="00EE5F0F">
        <w:rPr>
          <w:rFonts w:ascii="Garamond" w:hAnsi="Garamond"/>
          <w:sz w:val="22"/>
          <w:szCs w:val="22"/>
        </w:rPr>
        <w:t xml:space="preserve"> resulting therefrom</w:t>
      </w:r>
      <w:r w:rsidR="009A460A" w:rsidRPr="00EE5F0F">
        <w:rPr>
          <w:rFonts w:ascii="Garamond" w:hAnsi="Garamond"/>
          <w:sz w:val="22"/>
          <w:szCs w:val="22"/>
        </w:rPr>
        <w:t xml:space="preserve">, including </w:t>
      </w:r>
      <w:r w:rsidR="00E45D05" w:rsidRPr="00EE5F0F">
        <w:rPr>
          <w:rFonts w:ascii="Garamond" w:hAnsi="Garamond"/>
          <w:sz w:val="22"/>
          <w:szCs w:val="22"/>
        </w:rPr>
        <w:t xml:space="preserve">faster-than-expected rise in </w:t>
      </w:r>
      <w:r w:rsidR="009A460A" w:rsidRPr="00EE5F0F">
        <w:rPr>
          <w:rFonts w:ascii="Garamond" w:hAnsi="Garamond"/>
          <w:sz w:val="22"/>
          <w:szCs w:val="22"/>
        </w:rPr>
        <w:t xml:space="preserve">international prices in raw </w:t>
      </w:r>
      <w:r w:rsidR="00E45D05" w:rsidRPr="00EE5F0F">
        <w:rPr>
          <w:rFonts w:ascii="Garamond" w:hAnsi="Garamond"/>
          <w:sz w:val="22"/>
          <w:szCs w:val="22"/>
        </w:rPr>
        <w:t xml:space="preserve">materials </w:t>
      </w:r>
      <w:r w:rsidR="009A460A" w:rsidRPr="00EE5F0F">
        <w:rPr>
          <w:rFonts w:ascii="Garamond" w:hAnsi="Garamond"/>
          <w:sz w:val="22"/>
          <w:szCs w:val="22"/>
        </w:rPr>
        <w:t xml:space="preserve">and food </w:t>
      </w:r>
      <w:r w:rsidR="00E45D05" w:rsidRPr="00EE5F0F">
        <w:rPr>
          <w:rFonts w:ascii="Garamond" w:hAnsi="Garamond"/>
          <w:sz w:val="22"/>
          <w:szCs w:val="22"/>
        </w:rPr>
        <w:t>product markets</w:t>
      </w:r>
      <w:r w:rsidR="009A460A" w:rsidRPr="00EE5F0F">
        <w:rPr>
          <w:rFonts w:ascii="Garamond" w:hAnsi="Garamond"/>
          <w:sz w:val="22"/>
          <w:szCs w:val="22"/>
        </w:rPr>
        <w:t>.</w:t>
      </w:r>
    </w:p>
    <w:p w14:paraId="627F40E3" w14:textId="77777777" w:rsidR="009A460A" w:rsidRPr="00EE5F0F" w:rsidRDefault="009A460A" w:rsidP="00E45D05">
      <w:pPr>
        <w:pStyle w:val="ListParagraph"/>
        <w:numPr>
          <w:ilvl w:val="0"/>
          <w:numId w:val="6"/>
        </w:num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 xml:space="preserve">Risks </w:t>
      </w:r>
      <w:r w:rsidR="00E45D05" w:rsidRPr="00EE5F0F">
        <w:rPr>
          <w:rFonts w:ascii="Garamond" w:hAnsi="Garamond"/>
          <w:sz w:val="22"/>
          <w:szCs w:val="22"/>
        </w:rPr>
        <w:t>to</w:t>
      </w:r>
      <w:r w:rsidRPr="00EE5F0F">
        <w:rPr>
          <w:rFonts w:ascii="Garamond" w:hAnsi="Garamond"/>
          <w:sz w:val="22"/>
          <w:szCs w:val="22"/>
        </w:rPr>
        <w:t xml:space="preserve"> capital outflow from developing countries </w:t>
      </w:r>
      <w:r w:rsidR="00770142" w:rsidRPr="00EE5F0F">
        <w:rPr>
          <w:rFonts w:ascii="Garamond" w:hAnsi="Garamond"/>
          <w:sz w:val="22"/>
          <w:szCs w:val="22"/>
        </w:rPr>
        <w:t xml:space="preserve">if developed countries attempt </w:t>
      </w:r>
      <w:r w:rsidR="00E45D05" w:rsidRPr="00EE5F0F">
        <w:rPr>
          <w:rFonts w:ascii="Garamond" w:hAnsi="Garamond"/>
          <w:sz w:val="22"/>
          <w:szCs w:val="22"/>
        </w:rPr>
        <w:t>further</w:t>
      </w:r>
      <w:r w:rsidRPr="00EE5F0F">
        <w:rPr>
          <w:rFonts w:ascii="Garamond" w:hAnsi="Garamond"/>
          <w:sz w:val="22"/>
          <w:szCs w:val="22"/>
        </w:rPr>
        <w:t xml:space="preserve"> t</w:t>
      </w:r>
      <w:r w:rsidR="00E45D05" w:rsidRPr="00EE5F0F">
        <w:rPr>
          <w:rFonts w:ascii="Garamond" w:hAnsi="Garamond"/>
          <w:sz w:val="22"/>
          <w:szCs w:val="22"/>
        </w:rPr>
        <w:t>ighten</w:t>
      </w:r>
      <w:r w:rsidR="00292E52" w:rsidRPr="00EE5F0F">
        <w:rPr>
          <w:rFonts w:ascii="Garamond" w:hAnsi="Garamond"/>
          <w:sz w:val="22"/>
          <w:szCs w:val="22"/>
        </w:rPr>
        <w:t>ing of</w:t>
      </w:r>
      <w:r w:rsidR="00E45D05" w:rsidRPr="00EE5F0F">
        <w:rPr>
          <w:rFonts w:ascii="Garamond" w:hAnsi="Garamond"/>
          <w:sz w:val="22"/>
          <w:szCs w:val="22"/>
        </w:rPr>
        <w:t xml:space="preserve"> </w:t>
      </w:r>
      <w:r w:rsidR="00770142" w:rsidRPr="00EE5F0F">
        <w:rPr>
          <w:rFonts w:ascii="Garamond" w:hAnsi="Garamond"/>
          <w:sz w:val="22"/>
          <w:szCs w:val="22"/>
        </w:rPr>
        <w:t xml:space="preserve">their </w:t>
      </w:r>
      <w:r w:rsidRPr="00EE5F0F">
        <w:rPr>
          <w:rFonts w:ascii="Garamond" w:hAnsi="Garamond"/>
          <w:sz w:val="22"/>
          <w:szCs w:val="22"/>
        </w:rPr>
        <w:t>monetary policy conditions.</w:t>
      </w:r>
    </w:p>
    <w:p w14:paraId="46E922F3" w14:textId="77777777" w:rsidR="00A30FBE" w:rsidRPr="00EE5F0F" w:rsidRDefault="00A30FBE" w:rsidP="00E45D05">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Risks of domestic economic development are currently assessed as balanced.</w:t>
      </w:r>
    </w:p>
    <w:p w14:paraId="78EE9FFD" w14:textId="77777777" w:rsidR="008104A3" w:rsidRPr="00EE5F0F" w:rsidRDefault="008104A3" w:rsidP="00E45D05">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 xml:space="preserve">As indicated in the previous monetary policy program of the Central Bank, there might be risks </w:t>
      </w:r>
      <w:r w:rsidR="00AB0A0E" w:rsidRPr="00EE5F0F">
        <w:rPr>
          <w:rFonts w:ascii="Garamond" w:hAnsi="Garamond"/>
          <w:sz w:val="22"/>
          <w:szCs w:val="22"/>
        </w:rPr>
        <w:t>to</w:t>
      </w:r>
      <w:r w:rsidRPr="00EE5F0F">
        <w:rPr>
          <w:rFonts w:ascii="Garamond" w:hAnsi="Garamond"/>
          <w:sz w:val="22"/>
          <w:szCs w:val="22"/>
        </w:rPr>
        <w:t xml:space="preserve"> domestic demand with high growth rates persisting in the medium run. Now these risks have largely eliminated, and the risks to </w:t>
      </w:r>
      <w:r w:rsidR="00AB0A0E" w:rsidRPr="00EE5F0F">
        <w:rPr>
          <w:rFonts w:ascii="Garamond" w:hAnsi="Garamond"/>
          <w:sz w:val="22"/>
          <w:szCs w:val="22"/>
        </w:rPr>
        <w:t xml:space="preserve">the </w:t>
      </w:r>
      <w:r w:rsidRPr="00EE5F0F">
        <w:rPr>
          <w:rFonts w:ascii="Garamond" w:hAnsi="Garamond"/>
          <w:sz w:val="22"/>
          <w:szCs w:val="22"/>
        </w:rPr>
        <w:t>domestic demand growth along the forecast horizon are more balanced.</w:t>
      </w:r>
    </w:p>
    <w:p w14:paraId="757C9356" w14:textId="77777777" w:rsidR="00AB0A0E" w:rsidRPr="00EE5F0F" w:rsidRDefault="00AB0A0E" w:rsidP="00E45D05">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In the context of how the fiscal policy will pace further, there have been some more uncertainties as to which influence revenue collection and expenditures policy</w:t>
      </w:r>
      <w:r w:rsidR="00872F1A" w:rsidRPr="00EE5F0F">
        <w:rPr>
          <w:rFonts w:ascii="Garamond" w:hAnsi="Garamond"/>
          <w:sz w:val="22"/>
          <w:szCs w:val="22"/>
        </w:rPr>
        <w:t xml:space="preserve">, contraction of shadow economy </w:t>
      </w:r>
      <w:r w:rsidRPr="00EE5F0F">
        <w:rPr>
          <w:rFonts w:ascii="Garamond" w:hAnsi="Garamond"/>
          <w:sz w:val="22"/>
          <w:szCs w:val="22"/>
        </w:rPr>
        <w:t xml:space="preserve">will </w:t>
      </w:r>
      <w:r w:rsidR="00872F1A" w:rsidRPr="00EE5F0F">
        <w:rPr>
          <w:rFonts w:ascii="Garamond" w:hAnsi="Garamond"/>
          <w:sz w:val="22"/>
          <w:szCs w:val="22"/>
        </w:rPr>
        <w:t>make</w:t>
      </w:r>
      <w:r w:rsidRPr="00EE5F0F">
        <w:rPr>
          <w:rFonts w:ascii="Garamond" w:hAnsi="Garamond"/>
          <w:sz w:val="22"/>
          <w:szCs w:val="22"/>
        </w:rPr>
        <w:t xml:space="preserve"> on the demand and inflation.</w:t>
      </w:r>
    </w:p>
    <w:p w14:paraId="472D2FC5" w14:textId="77777777" w:rsidR="008104A3" w:rsidRPr="00EE5F0F" w:rsidRDefault="008104A3" w:rsidP="00E45D05">
      <w:pPr>
        <w:autoSpaceDE w:val="0"/>
        <w:autoSpaceDN w:val="0"/>
        <w:adjustRightInd w:val="0"/>
        <w:spacing w:after="120" w:line="360" w:lineRule="auto"/>
        <w:jc w:val="both"/>
        <w:rPr>
          <w:rFonts w:ascii="Garamond" w:hAnsi="Garamond"/>
          <w:sz w:val="22"/>
          <w:szCs w:val="22"/>
        </w:rPr>
      </w:pPr>
    </w:p>
    <w:p w14:paraId="2B8E7734" w14:textId="77777777" w:rsidR="00EE00FC" w:rsidRPr="00EE5F0F" w:rsidRDefault="003F7BD8" w:rsidP="00EE00FC">
      <w:pPr>
        <w:autoSpaceDE w:val="0"/>
        <w:autoSpaceDN w:val="0"/>
        <w:adjustRightInd w:val="0"/>
        <w:spacing w:after="120" w:line="360" w:lineRule="auto"/>
        <w:jc w:val="both"/>
        <w:rPr>
          <w:rFonts w:ascii="Garamond" w:hAnsi="Garamond"/>
          <w:b/>
          <w:sz w:val="22"/>
          <w:szCs w:val="22"/>
        </w:rPr>
      </w:pPr>
      <w:r w:rsidRPr="00EE5F0F">
        <w:rPr>
          <w:rFonts w:ascii="Garamond" w:hAnsi="Garamond"/>
          <w:b/>
          <w:sz w:val="22"/>
          <w:szCs w:val="22"/>
        </w:rPr>
        <w:t>In the forecast horizon, th</w:t>
      </w:r>
      <w:r w:rsidR="00EE00FC" w:rsidRPr="00EE5F0F">
        <w:rPr>
          <w:rFonts w:ascii="Garamond" w:hAnsi="Garamond"/>
          <w:b/>
          <w:sz w:val="22"/>
          <w:szCs w:val="22"/>
        </w:rPr>
        <w:t xml:space="preserve">e risks </w:t>
      </w:r>
      <w:r w:rsidRPr="00EE5F0F">
        <w:rPr>
          <w:rFonts w:ascii="Garamond" w:hAnsi="Garamond"/>
          <w:b/>
          <w:sz w:val="22"/>
          <w:szCs w:val="22"/>
        </w:rPr>
        <w:t>to</w:t>
      </w:r>
      <w:r w:rsidR="00EE00FC" w:rsidRPr="00EE5F0F">
        <w:rPr>
          <w:rFonts w:ascii="Garamond" w:hAnsi="Garamond"/>
          <w:b/>
          <w:sz w:val="22"/>
          <w:szCs w:val="22"/>
        </w:rPr>
        <w:t xml:space="preserve"> economic growth are </w:t>
      </w:r>
      <w:r w:rsidR="00872F1A" w:rsidRPr="00EE5F0F">
        <w:rPr>
          <w:rFonts w:ascii="Garamond" w:hAnsi="Garamond"/>
          <w:b/>
          <w:sz w:val="22"/>
          <w:szCs w:val="22"/>
        </w:rPr>
        <w:t>dual-sided. However, the extent of uncertainty arising from these risks is greater than described in previous predictions.</w:t>
      </w:r>
      <w:r w:rsidR="0072461A" w:rsidRPr="00EE5F0F">
        <w:rPr>
          <w:rFonts w:ascii="Garamond" w:hAnsi="Garamond"/>
          <w:b/>
          <w:sz w:val="22"/>
          <w:szCs w:val="22"/>
        </w:rPr>
        <w:t xml:space="preserve"> </w:t>
      </w:r>
    </w:p>
    <w:p w14:paraId="137FC92E" w14:textId="77777777" w:rsidR="00EE00FC" w:rsidRPr="00EE5F0F" w:rsidRDefault="00D05552" w:rsidP="00EE00FC">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In addition to the above medium-term cyclical risks to inflation and economic growth, more mid-term risks associated with economic growth potential include</w:t>
      </w:r>
      <w:r w:rsidR="00EE00FC" w:rsidRPr="00EE5F0F">
        <w:rPr>
          <w:rFonts w:ascii="Garamond" w:hAnsi="Garamond"/>
          <w:sz w:val="22"/>
          <w:szCs w:val="22"/>
        </w:rPr>
        <w:t>:</w:t>
      </w:r>
    </w:p>
    <w:p w14:paraId="2855A189" w14:textId="77777777" w:rsidR="00EE00FC" w:rsidRPr="00EE5F0F" w:rsidRDefault="00872F1A" w:rsidP="00EE00FC">
      <w:pPr>
        <w:pStyle w:val="ListParagraph"/>
        <w:numPr>
          <w:ilvl w:val="0"/>
          <w:numId w:val="6"/>
        </w:num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 xml:space="preserve">further pace of structural reforms and the extent of </w:t>
      </w:r>
      <w:r w:rsidR="00D05552" w:rsidRPr="00EE5F0F">
        <w:rPr>
          <w:rFonts w:ascii="Garamond" w:hAnsi="Garamond"/>
          <w:sz w:val="22"/>
          <w:szCs w:val="22"/>
        </w:rPr>
        <w:t>the</w:t>
      </w:r>
      <w:r w:rsidRPr="00EE5F0F">
        <w:rPr>
          <w:rFonts w:ascii="Garamond" w:hAnsi="Garamond"/>
          <w:sz w:val="22"/>
          <w:szCs w:val="22"/>
        </w:rPr>
        <w:t xml:space="preserve">ir </w:t>
      </w:r>
      <w:r w:rsidR="00D05552" w:rsidRPr="00EE5F0F">
        <w:rPr>
          <w:rFonts w:ascii="Garamond" w:hAnsi="Garamond"/>
          <w:sz w:val="22"/>
          <w:szCs w:val="22"/>
        </w:rPr>
        <w:t xml:space="preserve">impact </w:t>
      </w:r>
      <w:r w:rsidRPr="00EE5F0F">
        <w:rPr>
          <w:rFonts w:ascii="Garamond" w:hAnsi="Garamond"/>
          <w:sz w:val="22"/>
          <w:szCs w:val="22"/>
        </w:rPr>
        <w:t xml:space="preserve">on </w:t>
      </w:r>
      <w:r w:rsidR="00D05552" w:rsidRPr="00EE5F0F">
        <w:rPr>
          <w:rFonts w:ascii="Garamond" w:hAnsi="Garamond"/>
          <w:sz w:val="22"/>
          <w:szCs w:val="22"/>
        </w:rPr>
        <w:t>investment</w:t>
      </w:r>
      <w:r w:rsidRPr="00EE5F0F">
        <w:rPr>
          <w:rFonts w:ascii="Garamond" w:hAnsi="Garamond"/>
          <w:sz w:val="22"/>
          <w:szCs w:val="22"/>
        </w:rPr>
        <w:t>s</w:t>
      </w:r>
      <w:r w:rsidR="00D05552" w:rsidRPr="00EE5F0F">
        <w:rPr>
          <w:rFonts w:ascii="Garamond" w:hAnsi="Garamond"/>
          <w:sz w:val="22"/>
          <w:szCs w:val="22"/>
        </w:rPr>
        <w:t>,</w:t>
      </w:r>
    </w:p>
    <w:p w14:paraId="68DD6538" w14:textId="4C9C9958" w:rsidR="00565F75" w:rsidRPr="00DB3DF0" w:rsidRDefault="00D05552" w:rsidP="00DB3DF0">
      <w:pPr>
        <w:autoSpaceDE w:val="0"/>
        <w:autoSpaceDN w:val="0"/>
        <w:adjustRightInd w:val="0"/>
        <w:spacing w:after="120" w:line="360" w:lineRule="auto"/>
        <w:jc w:val="both"/>
        <w:rPr>
          <w:rFonts w:ascii="Garamond" w:hAnsi="Garamond"/>
          <w:b/>
          <w:color w:val="0070C0"/>
          <w:sz w:val="22"/>
          <w:szCs w:val="22"/>
        </w:rPr>
      </w:pPr>
      <w:r w:rsidRPr="00DB3DF0">
        <w:rPr>
          <w:rFonts w:ascii="Garamond" w:hAnsi="Garamond"/>
          <w:sz w:val="22"/>
          <w:szCs w:val="22"/>
        </w:rPr>
        <w:t>uncertainties</w:t>
      </w:r>
      <w:r w:rsidR="00DB3DF0" w:rsidRPr="00DB3DF0">
        <w:rPr>
          <w:rFonts w:ascii="Garamond" w:hAnsi="Garamond"/>
          <w:sz w:val="22"/>
          <w:szCs w:val="22"/>
        </w:rPr>
        <w:t xml:space="preserve"> related to continuous exploration of new export markets and creation of new products by businesses</w:t>
      </w:r>
      <w:r w:rsidR="00DB3DF0">
        <w:rPr>
          <w:rFonts w:ascii="Garamond" w:hAnsi="Garamond"/>
          <w:sz w:val="22"/>
          <w:szCs w:val="22"/>
        </w:rPr>
        <w:t>.</w:t>
      </w:r>
    </w:p>
    <w:p w14:paraId="1080F960" w14:textId="77777777" w:rsidR="00565F75" w:rsidRDefault="00565F75" w:rsidP="00933B63">
      <w:pPr>
        <w:autoSpaceDE w:val="0"/>
        <w:autoSpaceDN w:val="0"/>
        <w:adjustRightInd w:val="0"/>
        <w:spacing w:after="120" w:line="360" w:lineRule="auto"/>
        <w:jc w:val="both"/>
        <w:rPr>
          <w:rFonts w:ascii="Garamond" w:hAnsi="Garamond"/>
          <w:b/>
          <w:color w:val="0070C0"/>
          <w:sz w:val="22"/>
          <w:szCs w:val="22"/>
        </w:rPr>
      </w:pPr>
    </w:p>
    <w:p w14:paraId="3EEB9E28" w14:textId="77777777" w:rsidR="00565F75" w:rsidRDefault="00565F75" w:rsidP="00933B63">
      <w:pPr>
        <w:autoSpaceDE w:val="0"/>
        <w:autoSpaceDN w:val="0"/>
        <w:adjustRightInd w:val="0"/>
        <w:spacing w:after="120" w:line="360" w:lineRule="auto"/>
        <w:jc w:val="both"/>
        <w:rPr>
          <w:rFonts w:ascii="Garamond" w:hAnsi="Garamond"/>
          <w:b/>
          <w:color w:val="0070C0"/>
          <w:sz w:val="22"/>
          <w:szCs w:val="22"/>
        </w:rPr>
      </w:pPr>
    </w:p>
    <w:p w14:paraId="701F4CE7" w14:textId="77777777" w:rsidR="00933B63" w:rsidRPr="00EE5F0F" w:rsidRDefault="00933B63" w:rsidP="00933B63">
      <w:pPr>
        <w:autoSpaceDE w:val="0"/>
        <w:autoSpaceDN w:val="0"/>
        <w:adjustRightInd w:val="0"/>
        <w:spacing w:after="120" w:line="360" w:lineRule="auto"/>
        <w:jc w:val="both"/>
        <w:rPr>
          <w:rFonts w:ascii="Garamond" w:hAnsi="Garamond"/>
          <w:b/>
          <w:color w:val="0070C0"/>
          <w:sz w:val="22"/>
          <w:szCs w:val="22"/>
        </w:rPr>
      </w:pPr>
      <w:r w:rsidRPr="00EE5F0F">
        <w:rPr>
          <w:rFonts w:ascii="Garamond" w:hAnsi="Garamond"/>
          <w:b/>
          <w:color w:val="0070C0"/>
          <w:sz w:val="22"/>
          <w:szCs w:val="22"/>
        </w:rPr>
        <w:t>3. ACTUAL DEVELOPMENTS IN Q</w:t>
      </w:r>
      <w:r w:rsidR="00872F1A" w:rsidRPr="00EE5F0F">
        <w:rPr>
          <w:rFonts w:ascii="Garamond" w:hAnsi="Garamond"/>
          <w:b/>
          <w:color w:val="0070C0"/>
          <w:sz w:val="22"/>
          <w:szCs w:val="22"/>
        </w:rPr>
        <w:t>1</w:t>
      </w:r>
      <w:r w:rsidRPr="00EE5F0F">
        <w:rPr>
          <w:rFonts w:ascii="Garamond" w:hAnsi="Garamond"/>
          <w:b/>
          <w:color w:val="0070C0"/>
          <w:sz w:val="22"/>
          <w:szCs w:val="22"/>
        </w:rPr>
        <w:t>, 201</w:t>
      </w:r>
      <w:r w:rsidR="00872F1A" w:rsidRPr="00EE5F0F">
        <w:rPr>
          <w:rFonts w:ascii="Garamond" w:hAnsi="Garamond"/>
          <w:b/>
          <w:color w:val="0070C0"/>
          <w:sz w:val="22"/>
          <w:szCs w:val="22"/>
        </w:rPr>
        <w:t>8</w:t>
      </w:r>
    </w:p>
    <w:p w14:paraId="7BD63B17" w14:textId="77777777" w:rsidR="00933B63" w:rsidRPr="00EE5F0F" w:rsidRDefault="00933B63" w:rsidP="00933B63">
      <w:pPr>
        <w:autoSpaceDE w:val="0"/>
        <w:autoSpaceDN w:val="0"/>
        <w:adjustRightInd w:val="0"/>
        <w:spacing w:after="120" w:line="360" w:lineRule="auto"/>
        <w:jc w:val="both"/>
        <w:rPr>
          <w:rFonts w:ascii="Garamond" w:hAnsi="Garamond"/>
          <w:b/>
          <w:color w:val="0070C0"/>
          <w:sz w:val="22"/>
          <w:szCs w:val="22"/>
        </w:rPr>
      </w:pPr>
      <w:r w:rsidRPr="00EE5F0F">
        <w:rPr>
          <w:rFonts w:ascii="Garamond" w:hAnsi="Garamond"/>
          <w:b/>
          <w:color w:val="0070C0"/>
          <w:sz w:val="22"/>
          <w:szCs w:val="22"/>
        </w:rPr>
        <w:t>3.1. Inflation</w:t>
      </w:r>
    </w:p>
    <w:p w14:paraId="64A5E740" w14:textId="77777777" w:rsidR="00933B63" w:rsidRPr="00EE5F0F" w:rsidRDefault="00933B63" w:rsidP="00933B63">
      <w:pPr>
        <w:autoSpaceDE w:val="0"/>
        <w:autoSpaceDN w:val="0"/>
        <w:adjustRightInd w:val="0"/>
        <w:spacing w:after="120" w:line="360" w:lineRule="auto"/>
        <w:jc w:val="both"/>
        <w:rPr>
          <w:rFonts w:ascii="Garamond" w:hAnsi="Garamond"/>
          <w:b/>
          <w:color w:val="0070C0"/>
          <w:sz w:val="22"/>
          <w:szCs w:val="22"/>
        </w:rPr>
      </w:pPr>
      <w:r w:rsidRPr="00EE5F0F">
        <w:rPr>
          <w:rFonts w:ascii="Garamond" w:hAnsi="Garamond"/>
          <w:b/>
          <w:color w:val="0070C0"/>
          <w:sz w:val="22"/>
          <w:szCs w:val="22"/>
        </w:rPr>
        <w:t>3.1.1. Fulfilment of the inflation target</w:t>
      </w:r>
    </w:p>
    <w:p w14:paraId="4BA572DE" w14:textId="77777777" w:rsidR="00A374BA" w:rsidRPr="00EE5F0F" w:rsidRDefault="00A374BA" w:rsidP="00933B63">
      <w:pPr>
        <w:autoSpaceDE w:val="0"/>
        <w:autoSpaceDN w:val="0"/>
        <w:adjustRightInd w:val="0"/>
        <w:spacing w:after="120" w:line="360" w:lineRule="auto"/>
        <w:jc w:val="both"/>
        <w:rPr>
          <w:rFonts w:ascii="Garamond" w:hAnsi="Garamond"/>
          <w:sz w:val="22"/>
          <w:szCs w:val="22"/>
        </w:rPr>
      </w:pPr>
      <w:r w:rsidRPr="00EE5F0F">
        <w:rPr>
          <w:rFonts w:ascii="Garamond" w:hAnsi="Garamond"/>
          <w:b/>
          <w:sz w:val="22"/>
          <w:szCs w:val="22"/>
        </w:rPr>
        <w:t>For the previous</w:t>
      </w:r>
      <w:r w:rsidR="00530CFA" w:rsidRPr="00EE5F0F">
        <w:rPr>
          <w:rFonts w:ascii="Garamond" w:hAnsi="Garamond"/>
          <w:b/>
          <w:sz w:val="22"/>
          <w:szCs w:val="22"/>
        </w:rPr>
        <w:t xml:space="preserve"> one-year horizon, which </w:t>
      </w:r>
      <w:r w:rsidR="00957F0D" w:rsidRPr="00EE5F0F">
        <w:rPr>
          <w:rFonts w:ascii="Garamond" w:hAnsi="Garamond"/>
          <w:b/>
          <w:sz w:val="22"/>
          <w:szCs w:val="22"/>
        </w:rPr>
        <w:t xml:space="preserve">comprises a period </w:t>
      </w:r>
      <w:r w:rsidR="000A5DFE" w:rsidRPr="00EE5F0F">
        <w:rPr>
          <w:rFonts w:ascii="Garamond" w:hAnsi="Garamond"/>
          <w:b/>
          <w:sz w:val="22"/>
          <w:szCs w:val="22"/>
        </w:rPr>
        <w:t xml:space="preserve">from </w:t>
      </w:r>
      <w:r w:rsidR="00957F0D" w:rsidRPr="00EE5F0F">
        <w:rPr>
          <w:rFonts w:ascii="Garamond" w:hAnsi="Garamond"/>
          <w:b/>
          <w:sz w:val="22"/>
          <w:szCs w:val="22"/>
        </w:rPr>
        <w:t xml:space="preserve">the second quarter of </w:t>
      </w:r>
      <w:r w:rsidR="00872F1A" w:rsidRPr="00EE5F0F">
        <w:rPr>
          <w:rFonts w:ascii="Garamond" w:hAnsi="Garamond"/>
          <w:b/>
          <w:sz w:val="22"/>
          <w:szCs w:val="22"/>
        </w:rPr>
        <w:t xml:space="preserve">2017 to </w:t>
      </w:r>
      <w:r w:rsidR="00957F0D" w:rsidRPr="00EE5F0F">
        <w:rPr>
          <w:rFonts w:ascii="Garamond" w:hAnsi="Garamond"/>
          <w:b/>
          <w:sz w:val="22"/>
          <w:szCs w:val="22"/>
        </w:rPr>
        <w:t xml:space="preserve">the second quarter of </w:t>
      </w:r>
      <w:r w:rsidR="000A5DFE" w:rsidRPr="00EE5F0F">
        <w:rPr>
          <w:rFonts w:ascii="Garamond" w:hAnsi="Garamond"/>
          <w:b/>
          <w:sz w:val="22"/>
          <w:szCs w:val="22"/>
        </w:rPr>
        <w:t>2018</w:t>
      </w:r>
      <w:r w:rsidR="00530CFA" w:rsidRPr="00EE5F0F">
        <w:rPr>
          <w:rFonts w:ascii="Garamond" w:hAnsi="Garamond"/>
          <w:b/>
          <w:sz w:val="22"/>
          <w:szCs w:val="22"/>
        </w:rPr>
        <w:t xml:space="preserve">, </w:t>
      </w:r>
      <w:r w:rsidRPr="00EE5F0F">
        <w:rPr>
          <w:rFonts w:ascii="Garamond" w:hAnsi="Garamond"/>
          <w:sz w:val="22"/>
          <w:szCs w:val="22"/>
        </w:rPr>
        <w:t xml:space="preserve">the </w:t>
      </w:r>
      <w:r w:rsidR="00957F0D" w:rsidRPr="00EE5F0F">
        <w:rPr>
          <w:rFonts w:ascii="Garamond" w:hAnsi="Garamond"/>
          <w:sz w:val="22"/>
          <w:szCs w:val="22"/>
        </w:rPr>
        <w:t>Q2</w:t>
      </w:r>
      <w:r w:rsidR="00C80994">
        <w:rPr>
          <w:rFonts w:ascii="Garamond" w:hAnsi="Garamond"/>
          <w:sz w:val="22"/>
          <w:szCs w:val="22"/>
        </w:rPr>
        <w:t>,</w:t>
      </w:r>
      <w:r w:rsidR="00957F0D" w:rsidRPr="00EE5F0F">
        <w:rPr>
          <w:rFonts w:ascii="Garamond" w:hAnsi="Garamond"/>
          <w:sz w:val="22"/>
          <w:szCs w:val="22"/>
        </w:rPr>
        <w:t xml:space="preserve"> 2017 Monetary Policy Program provided for an </w:t>
      </w:r>
      <w:r w:rsidR="00530CFA" w:rsidRPr="00EE5F0F">
        <w:rPr>
          <w:rFonts w:ascii="Garamond" w:hAnsi="Garamond"/>
          <w:sz w:val="22"/>
          <w:szCs w:val="22"/>
        </w:rPr>
        <w:t xml:space="preserve">inflation environment </w:t>
      </w:r>
      <w:r w:rsidR="00957F0D" w:rsidRPr="00EE5F0F">
        <w:rPr>
          <w:rFonts w:ascii="Garamond" w:hAnsi="Garamond"/>
          <w:sz w:val="22"/>
          <w:szCs w:val="22"/>
        </w:rPr>
        <w:t xml:space="preserve">that </w:t>
      </w:r>
      <w:r w:rsidR="00530CFA" w:rsidRPr="00EE5F0F">
        <w:rPr>
          <w:rFonts w:ascii="Garamond" w:hAnsi="Garamond"/>
          <w:sz w:val="22"/>
          <w:szCs w:val="22"/>
        </w:rPr>
        <w:t>would continue to expand in line with anticipated macroeconomic developments</w:t>
      </w:r>
      <w:r w:rsidR="00957F0D" w:rsidRPr="00EE5F0F">
        <w:rPr>
          <w:rFonts w:ascii="Garamond" w:hAnsi="Garamond"/>
          <w:sz w:val="22"/>
          <w:szCs w:val="22"/>
        </w:rPr>
        <w:t>. According to current estimates, the policy rate of the Central Bank</w:t>
      </w:r>
      <w:r w:rsidR="00233922" w:rsidRPr="00EE5F0F">
        <w:rPr>
          <w:rFonts w:ascii="Garamond" w:hAnsi="Garamond"/>
          <w:sz w:val="22"/>
          <w:szCs w:val="22"/>
        </w:rPr>
        <w:t xml:space="preserve"> was still expansionary</w:t>
      </w:r>
      <w:r w:rsidR="00957F0D" w:rsidRPr="00EE5F0F">
        <w:rPr>
          <w:rFonts w:ascii="Garamond" w:hAnsi="Garamond"/>
          <w:sz w:val="22"/>
          <w:szCs w:val="22"/>
        </w:rPr>
        <w:t xml:space="preserve">, </w:t>
      </w:r>
      <w:r w:rsidR="00233922" w:rsidRPr="00EE5F0F">
        <w:rPr>
          <w:rFonts w:ascii="Garamond" w:hAnsi="Garamond"/>
          <w:sz w:val="22"/>
          <w:szCs w:val="22"/>
        </w:rPr>
        <w:t>facilitating aggregate demand to recover while helping the</w:t>
      </w:r>
      <w:r w:rsidR="00957F0D" w:rsidRPr="00EE5F0F">
        <w:rPr>
          <w:rFonts w:ascii="Garamond" w:hAnsi="Garamond"/>
          <w:sz w:val="22"/>
          <w:szCs w:val="22"/>
        </w:rPr>
        <w:t xml:space="preserve"> inflation </w:t>
      </w:r>
      <w:r w:rsidR="00233922" w:rsidRPr="00EE5F0F">
        <w:rPr>
          <w:rFonts w:ascii="Garamond" w:hAnsi="Garamond"/>
          <w:sz w:val="22"/>
          <w:szCs w:val="22"/>
        </w:rPr>
        <w:t xml:space="preserve">return to the target. In this situation, as well as taking into account the impact of the Government’s 2017 contractionary fiscal policy on domestic demand, </w:t>
      </w:r>
      <w:r w:rsidR="00233922" w:rsidRPr="00EE5F0F">
        <w:rPr>
          <w:rFonts w:ascii="Garamond" w:hAnsi="Garamond"/>
          <w:b/>
          <w:sz w:val="22"/>
          <w:szCs w:val="22"/>
        </w:rPr>
        <w:t>leaving the monetary conditions unchanged in the second quarter of 2017 was still reasonable.</w:t>
      </w:r>
      <w:r w:rsidR="00293D56" w:rsidRPr="00EE5F0F">
        <w:rPr>
          <w:rFonts w:ascii="Garamond" w:hAnsi="Garamond"/>
          <w:sz w:val="22"/>
          <w:szCs w:val="22"/>
        </w:rPr>
        <w:t xml:space="preserve"> The estimation was that </w:t>
      </w:r>
      <w:r w:rsidR="00233922" w:rsidRPr="00EE5F0F">
        <w:rPr>
          <w:rFonts w:ascii="Garamond" w:hAnsi="Garamond"/>
          <w:sz w:val="22"/>
          <w:szCs w:val="22"/>
        </w:rPr>
        <w:t xml:space="preserve">such a policy would push the 12-month inflation rate into </w:t>
      </w:r>
      <w:r w:rsidR="00293D56" w:rsidRPr="00EE5F0F">
        <w:rPr>
          <w:rFonts w:ascii="Garamond" w:hAnsi="Garamond"/>
          <w:sz w:val="22"/>
          <w:szCs w:val="22"/>
        </w:rPr>
        <w:t>the</w:t>
      </w:r>
      <w:r w:rsidR="00233922" w:rsidRPr="00EE5F0F">
        <w:rPr>
          <w:rFonts w:ascii="Garamond" w:hAnsi="Garamond"/>
          <w:sz w:val="22"/>
          <w:szCs w:val="22"/>
        </w:rPr>
        <w:t xml:space="preserve"> lower part of the confidence band </w:t>
      </w:r>
      <w:r w:rsidR="00771FA4" w:rsidRPr="00EE5F0F">
        <w:rPr>
          <w:rFonts w:ascii="Garamond" w:hAnsi="Garamond"/>
          <w:sz w:val="22"/>
          <w:szCs w:val="22"/>
        </w:rPr>
        <w:t xml:space="preserve">at the end of the year and </w:t>
      </w:r>
      <w:r w:rsidR="00293D56" w:rsidRPr="00EE5F0F">
        <w:rPr>
          <w:rFonts w:ascii="Garamond" w:hAnsi="Garamond"/>
          <w:sz w:val="22"/>
          <w:szCs w:val="22"/>
        </w:rPr>
        <w:t xml:space="preserve">help it </w:t>
      </w:r>
      <w:r w:rsidR="00771FA4" w:rsidRPr="00EE5F0F">
        <w:rPr>
          <w:rFonts w:ascii="Garamond" w:hAnsi="Garamond"/>
          <w:sz w:val="22"/>
          <w:szCs w:val="22"/>
        </w:rPr>
        <w:t>gradually stabilize around the 4% target in the forecast</w:t>
      </w:r>
      <w:r w:rsidR="00233922" w:rsidRPr="00EE5F0F">
        <w:rPr>
          <w:rFonts w:ascii="Garamond" w:hAnsi="Garamond"/>
          <w:sz w:val="22"/>
          <w:szCs w:val="22"/>
        </w:rPr>
        <w:t xml:space="preserve"> horizon</w:t>
      </w:r>
      <w:r w:rsidR="00771FA4" w:rsidRPr="00EE5F0F">
        <w:rPr>
          <w:rFonts w:ascii="Garamond" w:hAnsi="Garamond"/>
          <w:sz w:val="22"/>
          <w:szCs w:val="22"/>
        </w:rPr>
        <w:t>.</w:t>
      </w:r>
      <w:r w:rsidR="00233922" w:rsidRPr="00EE5F0F">
        <w:rPr>
          <w:rFonts w:ascii="Garamond" w:hAnsi="Garamond"/>
          <w:sz w:val="22"/>
          <w:szCs w:val="22"/>
        </w:rPr>
        <w:t xml:space="preserve"> </w:t>
      </w:r>
    </w:p>
    <w:p w14:paraId="253488B7" w14:textId="77777777" w:rsidR="00676DF1" w:rsidRPr="00EE5F0F" w:rsidRDefault="00A1282D" w:rsidP="00933B63">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According to t</w:t>
      </w:r>
      <w:r w:rsidR="006C6A27" w:rsidRPr="00EE5F0F">
        <w:rPr>
          <w:rFonts w:ascii="Garamond" w:hAnsi="Garamond"/>
          <w:sz w:val="22"/>
          <w:szCs w:val="22"/>
        </w:rPr>
        <w:t xml:space="preserve">he </w:t>
      </w:r>
      <w:r w:rsidR="004C2F59" w:rsidRPr="00EE5F0F">
        <w:rPr>
          <w:rFonts w:ascii="Garamond" w:hAnsi="Garamond"/>
          <w:sz w:val="22"/>
          <w:szCs w:val="22"/>
        </w:rPr>
        <w:t xml:space="preserve">actual </w:t>
      </w:r>
      <w:r w:rsidR="00AE27BC" w:rsidRPr="00EE5F0F">
        <w:rPr>
          <w:rFonts w:ascii="Garamond" w:hAnsi="Garamond"/>
          <w:sz w:val="22"/>
          <w:szCs w:val="22"/>
        </w:rPr>
        <w:t>second</w:t>
      </w:r>
      <w:r w:rsidR="006C6A27" w:rsidRPr="00EE5F0F">
        <w:rPr>
          <w:rFonts w:ascii="Garamond" w:hAnsi="Garamond"/>
          <w:sz w:val="22"/>
          <w:szCs w:val="22"/>
        </w:rPr>
        <w:t xml:space="preserve"> quarter 201</w:t>
      </w:r>
      <w:r w:rsidRPr="00EE5F0F">
        <w:rPr>
          <w:rFonts w:ascii="Garamond" w:hAnsi="Garamond"/>
          <w:sz w:val="22"/>
          <w:szCs w:val="22"/>
        </w:rPr>
        <w:t>7 results</w:t>
      </w:r>
      <w:r w:rsidR="006C6A27" w:rsidRPr="00EE5F0F">
        <w:rPr>
          <w:rFonts w:ascii="Garamond" w:hAnsi="Garamond"/>
          <w:sz w:val="22"/>
          <w:szCs w:val="22"/>
        </w:rPr>
        <w:t xml:space="preserve">, the 12-month inflation rate has increased, </w:t>
      </w:r>
      <w:r w:rsidR="006E31BD" w:rsidRPr="00EE5F0F">
        <w:rPr>
          <w:rFonts w:ascii="Garamond" w:hAnsi="Garamond"/>
          <w:sz w:val="22"/>
          <w:szCs w:val="22"/>
        </w:rPr>
        <w:t xml:space="preserve">as was expected, </w:t>
      </w:r>
      <w:r w:rsidR="00AE27BC" w:rsidRPr="00EE5F0F">
        <w:rPr>
          <w:rFonts w:ascii="Garamond" w:hAnsi="Garamond"/>
          <w:b/>
          <w:sz w:val="22"/>
          <w:szCs w:val="22"/>
        </w:rPr>
        <w:t>entering the positive territory since April; it was 1</w:t>
      </w:r>
      <w:r w:rsidR="006E31BD" w:rsidRPr="00EE5F0F">
        <w:rPr>
          <w:rFonts w:ascii="Garamond" w:hAnsi="Garamond"/>
          <w:b/>
          <w:sz w:val="22"/>
          <w:szCs w:val="22"/>
        </w:rPr>
        <w:t>.</w:t>
      </w:r>
      <w:r w:rsidR="00AE27BC" w:rsidRPr="00EE5F0F">
        <w:rPr>
          <w:rFonts w:ascii="Garamond" w:hAnsi="Garamond"/>
          <w:b/>
          <w:sz w:val="22"/>
          <w:szCs w:val="22"/>
        </w:rPr>
        <w:t>2</w:t>
      </w:r>
      <w:r w:rsidR="006E31BD" w:rsidRPr="00EE5F0F">
        <w:rPr>
          <w:rFonts w:ascii="Garamond" w:hAnsi="Garamond"/>
          <w:b/>
          <w:sz w:val="22"/>
          <w:szCs w:val="22"/>
        </w:rPr>
        <w:t xml:space="preserve">% </w:t>
      </w:r>
      <w:r w:rsidR="006C6A27" w:rsidRPr="00EE5F0F">
        <w:rPr>
          <w:rFonts w:ascii="Garamond" w:hAnsi="Garamond"/>
          <w:b/>
          <w:sz w:val="22"/>
          <w:szCs w:val="22"/>
        </w:rPr>
        <w:t xml:space="preserve">at the end of </w:t>
      </w:r>
      <w:r w:rsidR="00AE27BC" w:rsidRPr="00EE5F0F">
        <w:rPr>
          <w:rFonts w:ascii="Garamond" w:hAnsi="Garamond"/>
          <w:b/>
          <w:sz w:val="22"/>
          <w:szCs w:val="22"/>
        </w:rPr>
        <w:t>April</w:t>
      </w:r>
      <w:r w:rsidR="00AE27BC" w:rsidRPr="00EE5F0F">
        <w:rPr>
          <w:rFonts w:ascii="Garamond" w:hAnsi="Garamond"/>
          <w:sz w:val="22"/>
          <w:szCs w:val="22"/>
        </w:rPr>
        <w:t>.</w:t>
      </w:r>
      <w:r w:rsidR="00676DF1" w:rsidRPr="00EE5F0F">
        <w:rPr>
          <w:rFonts w:ascii="Garamond" w:hAnsi="Garamond"/>
          <w:sz w:val="22"/>
          <w:szCs w:val="22"/>
        </w:rPr>
        <w:t xml:space="preserve"> In the third quarter</w:t>
      </w:r>
      <w:r w:rsidR="008F7DEB" w:rsidRPr="00EE5F0F">
        <w:rPr>
          <w:rFonts w:ascii="Garamond" w:hAnsi="Garamond"/>
          <w:sz w:val="22"/>
          <w:szCs w:val="22"/>
        </w:rPr>
        <w:t>,</w:t>
      </w:r>
      <w:r w:rsidR="00676DF1" w:rsidRPr="00EE5F0F">
        <w:rPr>
          <w:rFonts w:ascii="Garamond" w:hAnsi="Garamond"/>
          <w:sz w:val="22"/>
          <w:szCs w:val="22"/>
        </w:rPr>
        <w:t xml:space="preserve"> the 12-month growth rates in fruit and vegetable prices slowed down; this has halted the recovering of inflation which averaged 1.0%.</w:t>
      </w:r>
      <w:r w:rsidR="008F7DEB" w:rsidRPr="00EE5F0F">
        <w:rPr>
          <w:rFonts w:ascii="Garamond" w:hAnsi="Garamond"/>
          <w:sz w:val="22"/>
          <w:szCs w:val="22"/>
        </w:rPr>
        <w:t xml:space="preserve"> Nonetheless, the Central Bank saw the slowing of growth rates in seasonal prices of agricultural products a temporary phenomenon, anticipating that such growth rates would accelerate and certain inflation risks accumulate up until the end of the year. The anticipation materialized in the fourth quarter when headline inflation expanded notably to 2.6% in the yearend. At the same time, relatively high inflation observed during the quarter was largely attributable to inflation expectations that were growing even faster with the population due to increased prices for some products in food markets in the world.</w:t>
      </w:r>
      <w:r w:rsidR="00CB204B" w:rsidRPr="00EE5F0F">
        <w:rPr>
          <w:rFonts w:ascii="Garamond" w:hAnsi="Garamond"/>
          <w:sz w:val="22"/>
          <w:szCs w:val="22"/>
        </w:rPr>
        <w:t xml:space="preserve"> During the year, incurring the impact of the expansionary monetary policy, core inflation </w:t>
      </w:r>
      <w:r w:rsidR="001C5977" w:rsidRPr="00EE5F0F">
        <w:rPr>
          <w:rFonts w:ascii="Garamond" w:hAnsi="Garamond"/>
          <w:sz w:val="22"/>
          <w:szCs w:val="22"/>
        </w:rPr>
        <w:t xml:space="preserve">took </w:t>
      </w:r>
      <w:r w:rsidR="00CB204B" w:rsidRPr="00EE5F0F">
        <w:rPr>
          <w:rFonts w:ascii="Garamond" w:hAnsi="Garamond"/>
          <w:sz w:val="22"/>
          <w:szCs w:val="22"/>
        </w:rPr>
        <w:t>gradually increasing</w:t>
      </w:r>
      <w:r w:rsidR="001C5977" w:rsidRPr="00EE5F0F">
        <w:rPr>
          <w:rFonts w:ascii="Garamond" w:hAnsi="Garamond"/>
          <w:sz w:val="22"/>
          <w:szCs w:val="22"/>
        </w:rPr>
        <w:t xml:space="preserve"> patterns. </w:t>
      </w:r>
      <w:r w:rsidR="00CB204B" w:rsidRPr="00EE5F0F">
        <w:rPr>
          <w:rFonts w:ascii="Garamond" w:hAnsi="Garamond"/>
          <w:sz w:val="22"/>
          <w:szCs w:val="22"/>
        </w:rPr>
        <w:t xml:space="preserve">Thus, </w:t>
      </w:r>
      <w:r w:rsidR="00781ACF" w:rsidRPr="00EE5F0F">
        <w:rPr>
          <w:rFonts w:ascii="Garamond" w:hAnsi="Garamond"/>
          <w:sz w:val="22"/>
          <w:szCs w:val="22"/>
        </w:rPr>
        <w:t>starting from the second quarter</w:t>
      </w:r>
      <w:r w:rsidR="00397003" w:rsidRPr="00EE5F0F">
        <w:rPr>
          <w:rFonts w:ascii="Garamond" w:hAnsi="Garamond"/>
          <w:sz w:val="22"/>
          <w:szCs w:val="22"/>
        </w:rPr>
        <w:t>,</w:t>
      </w:r>
      <w:r w:rsidR="00781ACF" w:rsidRPr="00EE5F0F">
        <w:rPr>
          <w:rFonts w:ascii="Garamond" w:hAnsi="Garamond"/>
          <w:sz w:val="22"/>
          <w:szCs w:val="22"/>
        </w:rPr>
        <w:t xml:space="preserve"> </w:t>
      </w:r>
      <w:r w:rsidR="00CB204B" w:rsidRPr="00EE5F0F">
        <w:rPr>
          <w:rFonts w:ascii="Garamond" w:hAnsi="Garamond"/>
          <w:sz w:val="22"/>
          <w:szCs w:val="22"/>
        </w:rPr>
        <w:t xml:space="preserve">the 12-month </w:t>
      </w:r>
      <w:r w:rsidR="00781ACF" w:rsidRPr="00EE5F0F">
        <w:rPr>
          <w:rFonts w:ascii="Garamond" w:hAnsi="Garamond"/>
          <w:sz w:val="22"/>
          <w:szCs w:val="22"/>
        </w:rPr>
        <w:t xml:space="preserve">core inflation has entered </w:t>
      </w:r>
      <w:r w:rsidR="00CB204B" w:rsidRPr="00EE5F0F">
        <w:rPr>
          <w:rFonts w:ascii="Garamond" w:hAnsi="Garamond"/>
          <w:sz w:val="22"/>
          <w:szCs w:val="22"/>
        </w:rPr>
        <w:t xml:space="preserve">a positive </w:t>
      </w:r>
      <w:r w:rsidR="00781ACF" w:rsidRPr="00EE5F0F">
        <w:rPr>
          <w:rFonts w:ascii="Garamond" w:hAnsi="Garamond"/>
          <w:sz w:val="22"/>
          <w:szCs w:val="22"/>
        </w:rPr>
        <w:t xml:space="preserve">territory </w:t>
      </w:r>
      <w:r w:rsidR="00CB204B" w:rsidRPr="00EE5F0F">
        <w:rPr>
          <w:rFonts w:ascii="Garamond" w:hAnsi="Garamond"/>
          <w:sz w:val="22"/>
          <w:szCs w:val="22"/>
        </w:rPr>
        <w:t>and increased by 4.6 p</w:t>
      </w:r>
      <w:r w:rsidR="00781ACF" w:rsidRPr="00EE5F0F">
        <w:rPr>
          <w:rFonts w:ascii="Garamond" w:hAnsi="Garamond"/>
          <w:sz w:val="22"/>
          <w:szCs w:val="22"/>
        </w:rPr>
        <w:t xml:space="preserve">p </w:t>
      </w:r>
      <w:r w:rsidR="00CB204B" w:rsidRPr="00EE5F0F">
        <w:rPr>
          <w:rFonts w:ascii="Garamond" w:hAnsi="Garamond"/>
          <w:sz w:val="22"/>
          <w:szCs w:val="22"/>
        </w:rPr>
        <w:t xml:space="preserve">by the end of the year, making </w:t>
      </w:r>
      <w:r w:rsidR="00781ACF" w:rsidRPr="00EE5F0F">
        <w:rPr>
          <w:rFonts w:ascii="Garamond" w:hAnsi="Garamond"/>
          <w:sz w:val="22"/>
          <w:szCs w:val="22"/>
        </w:rPr>
        <w:t xml:space="preserve">up </w:t>
      </w:r>
      <w:r w:rsidR="00CB204B" w:rsidRPr="00EE5F0F">
        <w:rPr>
          <w:rFonts w:ascii="Garamond" w:hAnsi="Garamond"/>
          <w:sz w:val="22"/>
          <w:szCs w:val="22"/>
        </w:rPr>
        <w:t xml:space="preserve">3.7% at the end of December. As for </w:t>
      </w:r>
      <w:r w:rsidR="00397003" w:rsidRPr="00EE5F0F">
        <w:rPr>
          <w:rFonts w:ascii="Garamond" w:hAnsi="Garamond"/>
          <w:sz w:val="22"/>
          <w:szCs w:val="22"/>
        </w:rPr>
        <w:t>a</w:t>
      </w:r>
      <w:r w:rsidR="00CB204B" w:rsidRPr="00EE5F0F">
        <w:rPr>
          <w:rFonts w:ascii="Garamond" w:hAnsi="Garamond"/>
          <w:sz w:val="22"/>
          <w:szCs w:val="22"/>
        </w:rPr>
        <w:t xml:space="preserve"> slower pace of </w:t>
      </w:r>
      <w:r w:rsidR="00966AB0" w:rsidRPr="00EE5F0F">
        <w:rPr>
          <w:rFonts w:ascii="Garamond" w:hAnsi="Garamond"/>
          <w:sz w:val="22"/>
          <w:szCs w:val="22"/>
        </w:rPr>
        <w:t>headline</w:t>
      </w:r>
      <w:r w:rsidR="00CB204B" w:rsidRPr="00EE5F0F">
        <w:rPr>
          <w:rFonts w:ascii="Garamond" w:hAnsi="Garamond"/>
          <w:sz w:val="22"/>
          <w:szCs w:val="22"/>
        </w:rPr>
        <w:t xml:space="preserve"> inflation</w:t>
      </w:r>
      <w:r w:rsidR="00966AB0" w:rsidRPr="00EE5F0F">
        <w:rPr>
          <w:rFonts w:ascii="Garamond" w:hAnsi="Garamond"/>
          <w:sz w:val="22"/>
          <w:szCs w:val="22"/>
        </w:rPr>
        <w:t xml:space="preserve"> relative to that of core</w:t>
      </w:r>
      <w:r w:rsidR="00CB204B" w:rsidRPr="00EE5F0F">
        <w:rPr>
          <w:rFonts w:ascii="Garamond" w:hAnsi="Garamond"/>
          <w:sz w:val="22"/>
          <w:szCs w:val="22"/>
        </w:rPr>
        <w:t xml:space="preserve"> inflation, the impact of </w:t>
      </w:r>
      <w:r w:rsidR="00966AB0" w:rsidRPr="00EE5F0F">
        <w:rPr>
          <w:rFonts w:ascii="Garamond" w:hAnsi="Garamond"/>
          <w:sz w:val="22"/>
          <w:szCs w:val="22"/>
        </w:rPr>
        <w:t xml:space="preserve">expansionary </w:t>
      </w:r>
      <w:r w:rsidR="00CB204B" w:rsidRPr="00EE5F0F">
        <w:rPr>
          <w:rFonts w:ascii="Garamond" w:hAnsi="Garamond"/>
          <w:sz w:val="22"/>
          <w:szCs w:val="22"/>
        </w:rPr>
        <w:t xml:space="preserve">monetary </w:t>
      </w:r>
      <w:r w:rsidR="00966AB0" w:rsidRPr="00EE5F0F">
        <w:rPr>
          <w:rFonts w:ascii="Garamond" w:hAnsi="Garamond"/>
          <w:sz w:val="22"/>
          <w:szCs w:val="22"/>
        </w:rPr>
        <w:t xml:space="preserve">policy </w:t>
      </w:r>
      <w:r w:rsidR="00CB204B" w:rsidRPr="00EE5F0F">
        <w:rPr>
          <w:rFonts w:ascii="Garamond" w:hAnsi="Garamond"/>
          <w:sz w:val="22"/>
          <w:szCs w:val="22"/>
        </w:rPr>
        <w:t xml:space="preserve">has been somewhat </w:t>
      </w:r>
      <w:r w:rsidR="00966AB0" w:rsidRPr="00EE5F0F">
        <w:rPr>
          <w:rFonts w:ascii="Garamond" w:hAnsi="Garamond"/>
          <w:sz w:val="22"/>
          <w:szCs w:val="22"/>
        </w:rPr>
        <w:t xml:space="preserve">absorbed </w:t>
      </w:r>
      <w:r w:rsidR="00CB204B" w:rsidRPr="00EE5F0F">
        <w:rPr>
          <w:rFonts w:ascii="Garamond" w:hAnsi="Garamond"/>
          <w:sz w:val="22"/>
          <w:szCs w:val="22"/>
        </w:rPr>
        <w:t xml:space="preserve">by </w:t>
      </w:r>
      <w:r w:rsidR="00397003" w:rsidRPr="00EE5F0F">
        <w:rPr>
          <w:rFonts w:ascii="Garamond" w:hAnsi="Garamond"/>
          <w:sz w:val="22"/>
          <w:szCs w:val="22"/>
        </w:rPr>
        <w:t>a sluggish</w:t>
      </w:r>
      <w:r w:rsidR="00CB204B" w:rsidRPr="00EE5F0F">
        <w:rPr>
          <w:rFonts w:ascii="Garamond" w:hAnsi="Garamond"/>
          <w:sz w:val="22"/>
          <w:szCs w:val="22"/>
        </w:rPr>
        <w:t xml:space="preserve"> growth in prices </w:t>
      </w:r>
      <w:r w:rsidR="00966AB0" w:rsidRPr="00EE5F0F">
        <w:rPr>
          <w:rFonts w:ascii="Garamond" w:hAnsi="Garamond"/>
          <w:sz w:val="22"/>
          <w:szCs w:val="22"/>
        </w:rPr>
        <w:t>of</w:t>
      </w:r>
      <w:r w:rsidR="00CB204B" w:rsidRPr="00EE5F0F">
        <w:rPr>
          <w:rFonts w:ascii="Garamond" w:hAnsi="Garamond"/>
          <w:sz w:val="22"/>
          <w:szCs w:val="22"/>
        </w:rPr>
        <w:t xml:space="preserve"> agricultural products.</w:t>
      </w:r>
    </w:p>
    <w:p w14:paraId="6B6D94B1" w14:textId="77777777" w:rsidR="00676DF1" w:rsidRPr="00EE5F0F" w:rsidRDefault="00397003" w:rsidP="00933B63">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 xml:space="preserve">In the first quarter of 2018 too, the 12-month inflation rate increased, in line with expectations, amounting to 3.7% at the end of March, primarily driven by the rise in food product prices. </w:t>
      </w:r>
    </w:p>
    <w:p w14:paraId="65EE3DB0" w14:textId="77777777" w:rsidR="009321C8" w:rsidRPr="00EE5F0F" w:rsidRDefault="00397003" w:rsidP="00933B63">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In view of the macroeconomic situation and inflationary developments mentioned above, the Central Bank ha</w:t>
      </w:r>
      <w:r w:rsidR="00AF7719" w:rsidRPr="00EE5F0F">
        <w:rPr>
          <w:rFonts w:ascii="Garamond" w:hAnsi="Garamond"/>
          <w:sz w:val="22"/>
          <w:szCs w:val="22"/>
        </w:rPr>
        <w:t>d</w:t>
      </w:r>
      <w:r w:rsidRPr="00EE5F0F">
        <w:rPr>
          <w:rFonts w:ascii="Garamond" w:hAnsi="Garamond"/>
          <w:sz w:val="22"/>
          <w:szCs w:val="22"/>
        </w:rPr>
        <w:t xml:space="preserve"> left the monetary conditions unchanged for the previous </w:t>
      </w:r>
      <w:r w:rsidR="00AF7719" w:rsidRPr="00EE5F0F">
        <w:rPr>
          <w:rFonts w:ascii="Garamond" w:hAnsi="Garamond"/>
          <w:sz w:val="22"/>
          <w:szCs w:val="22"/>
        </w:rPr>
        <w:t>one-</w:t>
      </w:r>
      <w:r w:rsidRPr="00EE5F0F">
        <w:rPr>
          <w:rFonts w:ascii="Garamond" w:hAnsi="Garamond"/>
          <w:sz w:val="22"/>
          <w:szCs w:val="22"/>
        </w:rPr>
        <w:t>year</w:t>
      </w:r>
      <w:r w:rsidR="00AF7719" w:rsidRPr="00EE5F0F">
        <w:rPr>
          <w:rFonts w:ascii="Garamond" w:hAnsi="Garamond"/>
          <w:sz w:val="22"/>
          <w:szCs w:val="22"/>
        </w:rPr>
        <w:t xml:space="preserve"> period</w:t>
      </w:r>
      <w:r w:rsidRPr="00EE5F0F">
        <w:rPr>
          <w:rFonts w:ascii="Garamond" w:hAnsi="Garamond"/>
          <w:sz w:val="22"/>
          <w:szCs w:val="22"/>
        </w:rPr>
        <w:t xml:space="preserve">, </w:t>
      </w:r>
      <w:r w:rsidRPr="00EE5F0F">
        <w:rPr>
          <w:rFonts w:ascii="Garamond" w:hAnsi="Garamond"/>
          <w:b/>
          <w:sz w:val="22"/>
          <w:szCs w:val="22"/>
        </w:rPr>
        <w:t xml:space="preserve">keeping the refinancing rate </w:t>
      </w:r>
      <w:r w:rsidRPr="00EE5F0F">
        <w:rPr>
          <w:rFonts w:ascii="Garamond" w:hAnsi="Garamond"/>
          <w:b/>
          <w:sz w:val="22"/>
          <w:szCs w:val="22"/>
        </w:rPr>
        <w:lastRenderedPageBreak/>
        <w:t>at 6%.</w:t>
      </w:r>
      <w:r w:rsidRPr="00EE5F0F">
        <w:rPr>
          <w:rFonts w:ascii="Garamond" w:hAnsi="Garamond"/>
          <w:sz w:val="22"/>
          <w:szCs w:val="22"/>
        </w:rPr>
        <w:t xml:space="preserve"> The </w:t>
      </w:r>
      <w:r w:rsidR="00AF7719" w:rsidRPr="00EE5F0F">
        <w:rPr>
          <w:rFonts w:ascii="Garamond" w:hAnsi="Garamond"/>
          <w:sz w:val="22"/>
          <w:szCs w:val="22"/>
        </w:rPr>
        <w:t>monetary policy conducted</w:t>
      </w:r>
      <w:r w:rsidRPr="00EE5F0F">
        <w:rPr>
          <w:rFonts w:ascii="Garamond" w:hAnsi="Garamond"/>
          <w:sz w:val="22"/>
          <w:szCs w:val="22"/>
        </w:rPr>
        <w:t xml:space="preserve"> previously</w:t>
      </w:r>
      <w:r w:rsidR="00AF7719" w:rsidRPr="00EE5F0F">
        <w:rPr>
          <w:rFonts w:ascii="Garamond" w:hAnsi="Garamond"/>
          <w:sz w:val="22"/>
          <w:szCs w:val="22"/>
        </w:rPr>
        <w:t>,</w:t>
      </w:r>
      <w:r w:rsidRPr="00EE5F0F">
        <w:rPr>
          <w:rFonts w:ascii="Garamond" w:hAnsi="Garamond"/>
          <w:sz w:val="22"/>
          <w:szCs w:val="22"/>
        </w:rPr>
        <w:t xml:space="preserve"> </w:t>
      </w:r>
      <w:r w:rsidR="00AF7719" w:rsidRPr="00EE5F0F">
        <w:rPr>
          <w:rFonts w:ascii="Garamond" w:hAnsi="Garamond"/>
          <w:sz w:val="22"/>
          <w:szCs w:val="22"/>
        </w:rPr>
        <w:t xml:space="preserve">the Central Bank reckoned, has </w:t>
      </w:r>
      <w:r w:rsidR="009321C8" w:rsidRPr="00EE5F0F">
        <w:rPr>
          <w:rFonts w:ascii="Garamond" w:hAnsi="Garamond"/>
          <w:sz w:val="22"/>
          <w:szCs w:val="22"/>
        </w:rPr>
        <w:t xml:space="preserve">proved rather expansionary for the inflation to recover and would still </w:t>
      </w:r>
      <w:r w:rsidR="00AF7719" w:rsidRPr="00EE5F0F">
        <w:rPr>
          <w:rFonts w:ascii="Garamond" w:hAnsi="Garamond"/>
          <w:sz w:val="22"/>
          <w:szCs w:val="22"/>
        </w:rPr>
        <w:t>carry</w:t>
      </w:r>
      <w:r w:rsidR="009321C8" w:rsidRPr="00EE5F0F">
        <w:rPr>
          <w:rFonts w:ascii="Garamond" w:hAnsi="Garamond"/>
          <w:sz w:val="22"/>
          <w:szCs w:val="22"/>
        </w:rPr>
        <w:t xml:space="preserve"> its impact </w:t>
      </w:r>
      <w:r w:rsidR="00AF7719" w:rsidRPr="00EE5F0F">
        <w:rPr>
          <w:rFonts w:ascii="Garamond" w:hAnsi="Garamond"/>
          <w:sz w:val="22"/>
          <w:szCs w:val="22"/>
        </w:rPr>
        <w:t>on. Moreover</w:t>
      </w:r>
      <w:r w:rsidR="009321C8" w:rsidRPr="00EE5F0F">
        <w:rPr>
          <w:rFonts w:ascii="Garamond" w:hAnsi="Garamond"/>
          <w:sz w:val="22"/>
          <w:szCs w:val="22"/>
        </w:rPr>
        <w:t xml:space="preserve">, </w:t>
      </w:r>
      <w:r w:rsidR="00E17834" w:rsidRPr="00EE5F0F">
        <w:rPr>
          <w:rFonts w:ascii="Garamond" w:hAnsi="Garamond"/>
          <w:sz w:val="22"/>
          <w:szCs w:val="22"/>
        </w:rPr>
        <w:t xml:space="preserve">as the inflation environment </w:t>
      </w:r>
      <w:r w:rsidR="00AF7719" w:rsidRPr="00EE5F0F">
        <w:rPr>
          <w:rFonts w:ascii="Garamond" w:hAnsi="Garamond"/>
          <w:sz w:val="22"/>
          <w:szCs w:val="22"/>
        </w:rPr>
        <w:t xml:space="preserve">somewhat </w:t>
      </w:r>
      <w:r w:rsidR="00E17834" w:rsidRPr="00EE5F0F">
        <w:rPr>
          <w:rFonts w:ascii="Garamond" w:hAnsi="Garamond"/>
          <w:sz w:val="22"/>
          <w:szCs w:val="22"/>
        </w:rPr>
        <w:t xml:space="preserve">expanded and inflation </w:t>
      </w:r>
      <w:r w:rsidR="009321C8" w:rsidRPr="00EE5F0F">
        <w:rPr>
          <w:rFonts w:ascii="Garamond" w:hAnsi="Garamond"/>
          <w:sz w:val="22"/>
          <w:szCs w:val="22"/>
        </w:rPr>
        <w:t>expectations</w:t>
      </w:r>
      <w:r w:rsidR="00E17834" w:rsidRPr="00EE5F0F">
        <w:rPr>
          <w:rFonts w:ascii="Garamond" w:hAnsi="Garamond"/>
          <w:sz w:val="22"/>
          <w:szCs w:val="22"/>
        </w:rPr>
        <w:t xml:space="preserve"> grew</w:t>
      </w:r>
      <w:r w:rsidR="009321C8" w:rsidRPr="00EE5F0F">
        <w:rPr>
          <w:rFonts w:ascii="Garamond" w:hAnsi="Garamond"/>
          <w:sz w:val="22"/>
          <w:szCs w:val="22"/>
        </w:rPr>
        <w:t xml:space="preserve">, </w:t>
      </w:r>
      <w:r w:rsidR="00977017" w:rsidRPr="00EE5F0F">
        <w:rPr>
          <w:rFonts w:ascii="Garamond" w:hAnsi="Garamond"/>
          <w:sz w:val="22"/>
          <w:szCs w:val="22"/>
        </w:rPr>
        <w:t xml:space="preserve">this </w:t>
      </w:r>
      <w:r w:rsidR="004D45BE" w:rsidRPr="00EE5F0F">
        <w:rPr>
          <w:rFonts w:ascii="Garamond" w:hAnsi="Garamond"/>
          <w:sz w:val="22"/>
          <w:szCs w:val="22"/>
        </w:rPr>
        <w:t xml:space="preserve">also </w:t>
      </w:r>
      <w:r w:rsidR="00977017" w:rsidRPr="00EE5F0F">
        <w:rPr>
          <w:rFonts w:ascii="Garamond" w:hAnsi="Garamond"/>
          <w:sz w:val="22"/>
          <w:szCs w:val="22"/>
        </w:rPr>
        <w:t>justified the need to ensure sustained recovery of demand.</w:t>
      </w:r>
      <w:r w:rsidR="009321C8" w:rsidRPr="00EE5F0F">
        <w:rPr>
          <w:rFonts w:ascii="Garamond" w:hAnsi="Garamond"/>
          <w:sz w:val="22"/>
          <w:szCs w:val="22"/>
        </w:rPr>
        <w:t xml:space="preserve"> </w:t>
      </w:r>
      <w:r w:rsidR="00CC4FF9" w:rsidRPr="00EE5F0F">
        <w:rPr>
          <w:rFonts w:ascii="Garamond" w:hAnsi="Garamond"/>
          <w:sz w:val="22"/>
          <w:szCs w:val="22"/>
        </w:rPr>
        <w:t>At the end of the year</w:t>
      </w:r>
      <w:r w:rsidR="00AF7719" w:rsidRPr="00EE5F0F">
        <w:rPr>
          <w:rFonts w:ascii="Garamond" w:hAnsi="Garamond"/>
          <w:sz w:val="22"/>
          <w:szCs w:val="22"/>
        </w:rPr>
        <w:t>,</w:t>
      </w:r>
      <w:r w:rsidR="00CC4FF9" w:rsidRPr="00EE5F0F">
        <w:rPr>
          <w:rFonts w:ascii="Garamond" w:hAnsi="Garamond"/>
          <w:sz w:val="22"/>
          <w:szCs w:val="22"/>
        </w:rPr>
        <w:t xml:space="preserve"> the Central Bank signaled </w:t>
      </w:r>
      <w:r w:rsidR="009321C8" w:rsidRPr="00EE5F0F">
        <w:rPr>
          <w:rFonts w:ascii="Garamond" w:hAnsi="Garamond"/>
          <w:sz w:val="22"/>
          <w:szCs w:val="22"/>
        </w:rPr>
        <w:t xml:space="preserve">the financial market </w:t>
      </w:r>
      <w:r w:rsidR="00AF7719" w:rsidRPr="00EE5F0F">
        <w:rPr>
          <w:rFonts w:ascii="Garamond" w:hAnsi="Garamond"/>
          <w:b/>
          <w:sz w:val="22"/>
          <w:szCs w:val="22"/>
        </w:rPr>
        <w:t xml:space="preserve">that </w:t>
      </w:r>
      <w:r w:rsidR="00C80994">
        <w:rPr>
          <w:rFonts w:ascii="Garamond" w:hAnsi="Garamond"/>
          <w:b/>
          <w:sz w:val="22"/>
          <w:szCs w:val="22"/>
        </w:rPr>
        <w:t xml:space="preserve">expansionary </w:t>
      </w:r>
      <w:r w:rsidR="00E17834" w:rsidRPr="00EE5F0F">
        <w:rPr>
          <w:rFonts w:ascii="Garamond" w:hAnsi="Garamond"/>
          <w:b/>
          <w:sz w:val="22"/>
          <w:szCs w:val="22"/>
        </w:rPr>
        <w:t xml:space="preserve">monetary conditions </w:t>
      </w:r>
      <w:r w:rsidR="00314E55" w:rsidRPr="00EE5F0F">
        <w:rPr>
          <w:rFonts w:ascii="Garamond" w:hAnsi="Garamond"/>
          <w:b/>
          <w:sz w:val="22"/>
          <w:szCs w:val="22"/>
        </w:rPr>
        <w:t xml:space="preserve">would </w:t>
      </w:r>
      <w:r w:rsidR="00E17834" w:rsidRPr="00EE5F0F">
        <w:rPr>
          <w:rFonts w:ascii="Garamond" w:hAnsi="Garamond"/>
          <w:b/>
          <w:sz w:val="22"/>
          <w:szCs w:val="22"/>
        </w:rPr>
        <w:t xml:space="preserve">need to </w:t>
      </w:r>
      <w:r w:rsidR="00481E7A" w:rsidRPr="00EE5F0F">
        <w:rPr>
          <w:rFonts w:ascii="Garamond" w:hAnsi="Garamond"/>
          <w:b/>
          <w:sz w:val="22"/>
          <w:szCs w:val="22"/>
        </w:rPr>
        <w:t xml:space="preserve">phase out </w:t>
      </w:r>
      <w:r w:rsidR="00E17834" w:rsidRPr="00EE5F0F">
        <w:rPr>
          <w:rFonts w:ascii="Garamond" w:hAnsi="Garamond"/>
          <w:b/>
          <w:sz w:val="22"/>
          <w:szCs w:val="22"/>
        </w:rPr>
        <w:t>gradually</w:t>
      </w:r>
      <w:r w:rsidR="00AF7719" w:rsidRPr="00EE5F0F">
        <w:rPr>
          <w:rFonts w:ascii="Garamond" w:hAnsi="Garamond"/>
          <w:sz w:val="22"/>
          <w:szCs w:val="22"/>
        </w:rPr>
        <w:t xml:space="preserve"> amid the </w:t>
      </w:r>
      <w:r w:rsidR="00B36A0F" w:rsidRPr="00EE5F0F">
        <w:rPr>
          <w:rFonts w:ascii="Garamond" w:hAnsi="Garamond"/>
          <w:sz w:val="22"/>
          <w:szCs w:val="22"/>
        </w:rPr>
        <w:t>developments</w:t>
      </w:r>
      <w:r w:rsidR="00AF7719" w:rsidRPr="00EE5F0F">
        <w:rPr>
          <w:rFonts w:ascii="Garamond" w:hAnsi="Garamond"/>
          <w:sz w:val="22"/>
          <w:szCs w:val="22"/>
        </w:rPr>
        <w:t xml:space="preserve"> predicted</w:t>
      </w:r>
      <w:r w:rsidR="00E17834" w:rsidRPr="00EE5F0F">
        <w:rPr>
          <w:rFonts w:ascii="Garamond" w:hAnsi="Garamond"/>
          <w:sz w:val="22"/>
          <w:szCs w:val="22"/>
        </w:rPr>
        <w:t>.</w:t>
      </w:r>
      <w:r w:rsidR="00B36A0F" w:rsidRPr="00EE5F0F">
        <w:rPr>
          <w:rFonts w:ascii="Garamond" w:hAnsi="Garamond"/>
          <w:sz w:val="22"/>
          <w:szCs w:val="22"/>
        </w:rPr>
        <w:t xml:space="preserve"> </w:t>
      </w:r>
      <w:r w:rsidR="00AF7719" w:rsidRPr="00EE5F0F">
        <w:rPr>
          <w:rFonts w:ascii="Garamond" w:hAnsi="Garamond"/>
          <w:sz w:val="22"/>
          <w:szCs w:val="22"/>
        </w:rPr>
        <w:t xml:space="preserve">Influenced by </w:t>
      </w:r>
      <w:r w:rsidR="00D1396A" w:rsidRPr="00EE5F0F">
        <w:rPr>
          <w:rFonts w:ascii="Garamond" w:hAnsi="Garamond"/>
          <w:sz w:val="22"/>
          <w:szCs w:val="22"/>
        </w:rPr>
        <w:t>such a monetary policy</w:t>
      </w:r>
      <w:r w:rsidR="009321C8" w:rsidRPr="00EE5F0F">
        <w:rPr>
          <w:rFonts w:ascii="Garamond" w:hAnsi="Garamond"/>
          <w:sz w:val="22"/>
          <w:szCs w:val="22"/>
        </w:rPr>
        <w:t xml:space="preserve">, </w:t>
      </w:r>
      <w:r w:rsidR="00AF7719" w:rsidRPr="00EE5F0F">
        <w:rPr>
          <w:rFonts w:ascii="Garamond" w:hAnsi="Garamond"/>
          <w:sz w:val="22"/>
          <w:szCs w:val="22"/>
        </w:rPr>
        <w:t xml:space="preserve">the 12-month inflation rate </w:t>
      </w:r>
      <w:r w:rsidR="00184075" w:rsidRPr="00EE5F0F">
        <w:rPr>
          <w:rFonts w:ascii="Garamond" w:hAnsi="Garamond"/>
          <w:sz w:val="22"/>
          <w:szCs w:val="22"/>
        </w:rPr>
        <w:t xml:space="preserve">will somehow grow; in the forecast horizon it will be staying within the confidence band </w:t>
      </w:r>
      <w:r w:rsidR="00AF7719" w:rsidRPr="00EE5F0F">
        <w:rPr>
          <w:rFonts w:ascii="Garamond" w:hAnsi="Garamond"/>
          <w:sz w:val="22"/>
          <w:szCs w:val="22"/>
        </w:rPr>
        <w:t xml:space="preserve">and stabilizing </w:t>
      </w:r>
      <w:r w:rsidR="00184075" w:rsidRPr="00EE5F0F">
        <w:rPr>
          <w:rFonts w:ascii="Garamond" w:hAnsi="Garamond"/>
          <w:sz w:val="22"/>
          <w:szCs w:val="22"/>
        </w:rPr>
        <w:t xml:space="preserve">around </w:t>
      </w:r>
      <w:r w:rsidR="00AF7719" w:rsidRPr="00EE5F0F">
        <w:rPr>
          <w:rFonts w:ascii="Garamond" w:hAnsi="Garamond"/>
          <w:sz w:val="22"/>
          <w:szCs w:val="22"/>
        </w:rPr>
        <w:t>the target.</w:t>
      </w:r>
      <w:r w:rsidR="00184075" w:rsidRPr="00EE5F0F">
        <w:rPr>
          <w:rFonts w:ascii="Garamond" w:hAnsi="Garamond"/>
          <w:sz w:val="22"/>
          <w:szCs w:val="22"/>
        </w:rPr>
        <w:t xml:space="preserve"> </w:t>
      </w:r>
    </w:p>
    <w:p w14:paraId="7FC17EA5" w14:textId="77777777" w:rsidR="001E301B" w:rsidRPr="00EE5F0F" w:rsidRDefault="001E301B" w:rsidP="00933B63">
      <w:pPr>
        <w:autoSpaceDE w:val="0"/>
        <w:autoSpaceDN w:val="0"/>
        <w:adjustRightInd w:val="0"/>
        <w:spacing w:after="120" w:line="360" w:lineRule="auto"/>
        <w:jc w:val="both"/>
        <w:rPr>
          <w:rFonts w:ascii="Garamond" w:hAnsi="Garamond"/>
          <w:b/>
          <w:color w:val="0070C0"/>
          <w:sz w:val="22"/>
          <w:szCs w:val="22"/>
        </w:rPr>
      </w:pPr>
      <w:r w:rsidRPr="00EE5F0F">
        <w:rPr>
          <w:rFonts w:ascii="Garamond" w:hAnsi="Garamond"/>
          <w:b/>
          <w:color w:val="0070C0"/>
          <w:sz w:val="22"/>
          <w:szCs w:val="22"/>
        </w:rPr>
        <w:t>3.1.2. Prices</w:t>
      </w:r>
    </w:p>
    <w:p w14:paraId="3D248DDB" w14:textId="77777777" w:rsidR="00781ACF" w:rsidRPr="00EE5F0F" w:rsidRDefault="00781ACF" w:rsidP="00781ACF">
      <w:pPr>
        <w:autoSpaceDE w:val="0"/>
        <w:autoSpaceDN w:val="0"/>
        <w:adjustRightInd w:val="0"/>
        <w:spacing w:after="120" w:line="360" w:lineRule="auto"/>
        <w:jc w:val="both"/>
        <w:rPr>
          <w:rFonts w:ascii="Garamond" w:hAnsi="Garamond"/>
          <w:sz w:val="22"/>
          <w:szCs w:val="22"/>
        </w:rPr>
      </w:pPr>
      <w:r w:rsidRPr="00EE5F0F">
        <w:rPr>
          <w:rFonts w:ascii="Garamond" w:hAnsi="Garamond"/>
          <w:b/>
          <w:sz w:val="22"/>
          <w:szCs w:val="22"/>
        </w:rPr>
        <w:t>Consumer prices:</w:t>
      </w:r>
      <w:r w:rsidRPr="00EE5F0F">
        <w:rPr>
          <w:rFonts w:ascii="Garamond" w:hAnsi="Garamond"/>
          <w:sz w:val="22"/>
          <w:szCs w:val="22"/>
        </w:rPr>
        <w:t xml:space="preserve"> There was </w:t>
      </w:r>
      <w:r w:rsidRPr="00EE5F0F">
        <w:rPr>
          <w:rFonts w:ascii="Garamond" w:hAnsi="Garamond"/>
          <w:b/>
          <w:sz w:val="22"/>
          <w:szCs w:val="22"/>
        </w:rPr>
        <w:t>2.5% inflation</w:t>
      </w:r>
      <w:r w:rsidRPr="00EE5F0F">
        <w:rPr>
          <w:rFonts w:ascii="Garamond" w:hAnsi="Garamond"/>
          <w:sz w:val="22"/>
          <w:szCs w:val="22"/>
        </w:rPr>
        <w:t xml:space="preserve"> recorded in the first quarter of 2018, </w:t>
      </w:r>
      <w:r w:rsidR="003720FB">
        <w:rPr>
          <w:rFonts w:ascii="Garamond" w:hAnsi="Garamond"/>
          <w:sz w:val="22"/>
          <w:szCs w:val="22"/>
        </w:rPr>
        <w:t xml:space="preserve">largely </w:t>
      </w:r>
      <w:r w:rsidRPr="00EE5F0F">
        <w:rPr>
          <w:rFonts w:ascii="Garamond" w:hAnsi="Garamond"/>
          <w:sz w:val="22"/>
          <w:szCs w:val="22"/>
        </w:rPr>
        <w:t xml:space="preserve">driven by 15.5% increase in seasonally-sensitive food prices, which has been mostly attributable to price rise in groups </w:t>
      </w:r>
      <w:r w:rsidRPr="00EE5F0F">
        <w:rPr>
          <w:rFonts w:ascii="Garamond" w:hAnsi="Garamond"/>
          <w:b/>
          <w:sz w:val="22"/>
          <w:szCs w:val="22"/>
        </w:rPr>
        <w:t>Fruit</w:t>
      </w:r>
      <w:r w:rsidRPr="00EE5F0F">
        <w:rPr>
          <w:rFonts w:ascii="Garamond" w:hAnsi="Garamond"/>
          <w:sz w:val="22"/>
          <w:szCs w:val="22"/>
        </w:rPr>
        <w:t xml:space="preserve"> (16.71%) and </w:t>
      </w:r>
      <w:r w:rsidRPr="00EE5F0F">
        <w:rPr>
          <w:rFonts w:ascii="Garamond" w:hAnsi="Garamond"/>
          <w:b/>
          <w:sz w:val="22"/>
          <w:szCs w:val="22"/>
        </w:rPr>
        <w:t xml:space="preserve">Vegetable </w:t>
      </w:r>
      <w:r w:rsidRPr="00EE5F0F">
        <w:rPr>
          <w:rFonts w:ascii="Garamond" w:hAnsi="Garamond"/>
          <w:sz w:val="22"/>
          <w:szCs w:val="22"/>
        </w:rPr>
        <w:t>and</w:t>
      </w:r>
      <w:r w:rsidRPr="00EE5F0F">
        <w:rPr>
          <w:rFonts w:ascii="Garamond" w:hAnsi="Garamond"/>
          <w:b/>
          <w:sz w:val="22"/>
          <w:szCs w:val="22"/>
        </w:rPr>
        <w:t xml:space="preserve"> Potato </w:t>
      </w:r>
      <w:r w:rsidRPr="00EE5F0F">
        <w:rPr>
          <w:rFonts w:ascii="Garamond" w:hAnsi="Garamond"/>
          <w:sz w:val="22"/>
          <w:szCs w:val="22"/>
        </w:rPr>
        <w:t xml:space="preserve">(20.27%), with their combined contribution to the quarter’s inflation reaching 1.6 pp. </w:t>
      </w:r>
    </w:p>
    <w:p w14:paraId="3E62E599" w14:textId="77777777" w:rsidR="00781ACF" w:rsidRPr="00EE5F0F" w:rsidRDefault="00781ACF" w:rsidP="00781ACF">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 xml:space="preserve">Meanwhile, core inflation rate has decelerated to 1.4% from the previous quarter’s 1.8%, driven by increased prices in groups </w:t>
      </w:r>
      <w:r w:rsidRPr="00EE5F0F">
        <w:rPr>
          <w:rFonts w:ascii="Garamond" w:hAnsi="Garamond"/>
          <w:b/>
          <w:sz w:val="22"/>
          <w:szCs w:val="22"/>
        </w:rPr>
        <w:t>Meat products</w:t>
      </w:r>
      <w:r w:rsidRPr="00EE5F0F">
        <w:rPr>
          <w:rFonts w:ascii="Garamond" w:hAnsi="Garamond"/>
          <w:sz w:val="22"/>
          <w:szCs w:val="22"/>
        </w:rPr>
        <w:t>,</w:t>
      </w:r>
      <w:r w:rsidRPr="00EE5F0F">
        <w:rPr>
          <w:rFonts w:ascii="Garamond" w:hAnsi="Garamond"/>
          <w:b/>
          <w:sz w:val="22"/>
          <w:szCs w:val="22"/>
        </w:rPr>
        <w:t xml:space="preserve"> Fish</w:t>
      </w:r>
      <w:r w:rsidRPr="00EE5F0F">
        <w:rPr>
          <w:rFonts w:ascii="Garamond" w:hAnsi="Garamond"/>
          <w:sz w:val="22"/>
          <w:szCs w:val="22"/>
        </w:rPr>
        <w:t xml:space="preserve">, </w:t>
      </w:r>
      <w:r w:rsidRPr="00EE5F0F">
        <w:rPr>
          <w:rFonts w:ascii="Garamond" w:hAnsi="Garamond"/>
          <w:b/>
          <w:sz w:val="22"/>
          <w:szCs w:val="22"/>
        </w:rPr>
        <w:t>Dairy products</w:t>
      </w:r>
      <w:r w:rsidRPr="00EE5F0F">
        <w:rPr>
          <w:rFonts w:ascii="Garamond" w:hAnsi="Garamond"/>
          <w:sz w:val="22"/>
          <w:szCs w:val="22"/>
        </w:rPr>
        <w:t>,</w:t>
      </w:r>
      <w:r w:rsidRPr="00EE5F0F">
        <w:rPr>
          <w:rFonts w:ascii="Garamond" w:hAnsi="Garamond"/>
          <w:b/>
          <w:sz w:val="22"/>
          <w:szCs w:val="22"/>
        </w:rPr>
        <w:t xml:space="preserve"> Fuel</w:t>
      </w:r>
      <w:r w:rsidRPr="00EE5F0F">
        <w:rPr>
          <w:rFonts w:ascii="Garamond" w:hAnsi="Garamond"/>
          <w:sz w:val="22"/>
          <w:szCs w:val="22"/>
        </w:rPr>
        <w:t xml:space="preserve">, and </w:t>
      </w:r>
      <w:r w:rsidRPr="00EE5F0F">
        <w:rPr>
          <w:rFonts w:ascii="Garamond" w:hAnsi="Garamond"/>
          <w:b/>
          <w:sz w:val="22"/>
          <w:szCs w:val="22"/>
        </w:rPr>
        <w:t xml:space="preserve">Medicine </w:t>
      </w:r>
      <w:r w:rsidRPr="00EE5F0F">
        <w:rPr>
          <w:rFonts w:ascii="Garamond" w:hAnsi="Garamond"/>
          <w:sz w:val="22"/>
          <w:szCs w:val="22"/>
        </w:rPr>
        <w:t>by 2.85%, 2.9</w:t>
      </w:r>
      <w:proofErr w:type="gramStart"/>
      <w:r w:rsidRPr="00EE5F0F">
        <w:rPr>
          <w:rFonts w:ascii="Garamond" w:hAnsi="Garamond"/>
          <w:sz w:val="22"/>
          <w:szCs w:val="22"/>
        </w:rPr>
        <w:t>% ,</w:t>
      </w:r>
      <w:proofErr w:type="gramEnd"/>
      <w:r w:rsidRPr="00EE5F0F">
        <w:rPr>
          <w:rFonts w:ascii="Garamond" w:hAnsi="Garamond"/>
          <w:sz w:val="22"/>
          <w:szCs w:val="22"/>
        </w:rPr>
        <w:t xml:space="preserve"> 0.67%, 10.6% and 2.0%, respectively (combined contribution to the quarter’s inflation: about 2.5 pp). On the contrary, price inflation in groups </w:t>
      </w:r>
      <w:r w:rsidRPr="00EE5F0F">
        <w:rPr>
          <w:rFonts w:ascii="Garamond" w:hAnsi="Garamond"/>
          <w:b/>
          <w:sz w:val="22"/>
          <w:szCs w:val="22"/>
        </w:rPr>
        <w:t>Clothes</w:t>
      </w:r>
      <w:r w:rsidRPr="00EE5F0F">
        <w:rPr>
          <w:rFonts w:ascii="Garamond" w:hAnsi="Garamond"/>
          <w:sz w:val="22"/>
          <w:szCs w:val="22"/>
        </w:rPr>
        <w:t xml:space="preserve"> and </w:t>
      </w:r>
      <w:r w:rsidRPr="00EE5F0F">
        <w:rPr>
          <w:rFonts w:ascii="Garamond" w:hAnsi="Garamond"/>
          <w:b/>
          <w:sz w:val="22"/>
          <w:szCs w:val="22"/>
        </w:rPr>
        <w:t>Footwear</w:t>
      </w:r>
      <w:r w:rsidRPr="00EE5F0F">
        <w:rPr>
          <w:rFonts w:ascii="Garamond" w:hAnsi="Garamond"/>
          <w:sz w:val="22"/>
          <w:szCs w:val="22"/>
        </w:rPr>
        <w:t xml:space="preserve"> amounted to -3.0% and -6.0%, reducing the overall positive dynamics of inflation by around 0.2 pp. </w:t>
      </w:r>
    </w:p>
    <w:p w14:paraId="730EECA8" w14:textId="77777777" w:rsidR="00781ACF" w:rsidRPr="00EE5F0F" w:rsidRDefault="00781ACF" w:rsidP="00781ACF">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With the developments mentioned above, the 12-month inflation rate amounted to 3.7% in March of 2018 instead of predicted 3.5%.</w:t>
      </w:r>
    </w:p>
    <w:p w14:paraId="1E99CD36" w14:textId="77777777" w:rsidR="00781ACF" w:rsidRPr="00EE5F0F" w:rsidRDefault="00781ACF" w:rsidP="00781ACF">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 xml:space="preserve">According to the data issued by the National Statistics Service of Armenia, there was 0.3% deflation in April of 2018, mainly due to decreased prices in groups </w:t>
      </w:r>
      <w:r w:rsidRPr="00EE5F0F">
        <w:rPr>
          <w:rFonts w:ascii="Garamond" w:hAnsi="Garamond"/>
          <w:b/>
          <w:sz w:val="22"/>
          <w:szCs w:val="22"/>
        </w:rPr>
        <w:t xml:space="preserve">Vegetable </w:t>
      </w:r>
      <w:r w:rsidRPr="00EE5F0F">
        <w:rPr>
          <w:rFonts w:ascii="Garamond" w:hAnsi="Garamond"/>
          <w:sz w:val="22"/>
          <w:szCs w:val="22"/>
        </w:rPr>
        <w:t>and</w:t>
      </w:r>
      <w:r w:rsidRPr="00EE5F0F">
        <w:rPr>
          <w:rFonts w:ascii="Garamond" w:hAnsi="Garamond"/>
          <w:b/>
          <w:sz w:val="22"/>
          <w:szCs w:val="22"/>
        </w:rPr>
        <w:t xml:space="preserve"> Potato </w:t>
      </w:r>
      <w:r w:rsidRPr="00EE5F0F">
        <w:rPr>
          <w:rFonts w:ascii="Garamond" w:hAnsi="Garamond"/>
          <w:sz w:val="22"/>
          <w:szCs w:val="22"/>
        </w:rPr>
        <w:t xml:space="preserve">(5.3%), </w:t>
      </w:r>
      <w:r w:rsidRPr="00EE5F0F">
        <w:rPr>
          <w:rFonts w:ascii="Garamond" w:hAnsi="Garamond"/>
          <w:b/>
          <w:sz w:val="22"/>
          <w:szCs w:val="22"/>
        </w:rPr>
        <w:t xml:space="preserve">Egg </w:t>
      </w:r>
      <w:r w:rsidRPr="00EE5F0F">
        <w:rPr>
          <w:rFonts w:ascii="Garamond" w:hAnsi="Garamond"/>
          <w:sz w:val="22"/>
          <w:szCs w:val="22"/>
        </w:rPr>
        <w:t xml:space="preserve">(11.9%), </w:t>
      </w:r>
      <w:r w:rsidRPr="00EE5F0F">
        <w:rPr>
          <w:rFonts w:ascii="Garamond" w:hAnsi="Garamond"/>
          <w:b/>
          <w:sz w:val="22"/>
          <w:szCs w:val="22"/>
        </w:rPr>
        <w:t>Bread products</w:t>
      </w:r>
      <w:r w:rsidRPr="00EE5F0F">
        <w:rPr>
          <w:rFonts w:ascii="Garamond" w:hAnsi="Garamond"/>
          <w:sz w:val="22"/>
          <w:szCs w:val="22"/>
        </w:rPr>
        <w:t xml:space="preserve"> (0.3%), </w:t>
      </w:r>
      <w:r w:rsidRPr="00EE5F0F">
        <w:rPr>
          <w:rFonts w:ascii="Garamond" w:hAnsi="Garamond"/>
          <w:b/>
          <w:sz w:val="22"/>
          <w:szCs w:val="22"/>
        </w:rPr>
        <w:t>Meat products</w:t>
      </w:r>
      <w:r w:rsidRPr="00EE5F0F">
        <w:rPr>
          <w:rFonts w:ascii="Garamond" w:hAnsi="Garamond"/>
          <w:sz w:val="22"/>
          <w:szCs w:val="22"/>
        </w:rPr>
        <w:t xml:space="preserve"> (0.2%), </w:t>
      </w:r>
      <w:r w:rsidRPr="00EE5F0F">
        <w:rPr>
          <w:rFonts w:ascii="Garamond" w:hAnsi="Garamond"/>
          <w:b/>
          <w:sz w:val="22"/>
          <w:szCs w:val="22"/>
        </w:rPr>
        <w:t>Dairy products</w:t>
      </w:r>
      <w:r w:rsidRPr="00EE5F0F">
        <w:rPr>
          <w:rFonts w:ascii="Garamond" w:hAnsi="Garamond"/>
          <w:sz w:val="22"/>
          <w:szCs w:val="22"/>
        </w:rPr>
        <w:t xml:space="preserve"> (0.6%), and </w:t>
      </w:r>
      <w:r w:rsidRPr="00EE5F0F">
        <w:rPr>
          <w:rFonts w:ascii="Garamond" w:hAnsi="Garamond"/>
          <w:b/>
          <w:sz w:val="22"/>
          <w:szCs w:val="22"/>
        </w:rPr>
        <w:t xml:space="preserve">Fuel </w:t>
      </w:r>
      <w:r w:rsidRPr="00EE5F0F">
        <w:rPr>
          <w:rFonts w:ascii="Garamond" w:hAnsi="Garamond"/>
          <w:sz w:val="22"/>
          <w:szCs w:val="22"/>
        </w:rPr>
        <w:t xml:space="preserve">(0.4%), with their combined contribution to inflation reaching -0.5 pp. </w:t>
      </w:r>
    </w:p>
    <w:p w14:paraId="0D6264EA" w14:textId="77777777" w:rsidR="00781ACF" w:rsidRPr="00EE5F0F" w:rsidRDefault="00781ACF" w:rsidP="00781ACF">
      <w:pPr>
        <w:autoSpaceDE w:val="0"/>
        <w:autoSpaceDN w:val="0"/>
        <w:adjustRightInd w:val="0"/>
        <w:spacing w:after="120" w:line="360" w:lineRule="auto"/>
        <w:jc w:val="both"/>
        <w:rPr>
          <w:rFonts w:ascii="Garamond" w:hAnsi="Garamond"/>
          <w:sz w:val="22"/>
          <w:szCs w:val="22"/>
        </w:rPr>
      </w:pPr>
      <w:r w:rsidRPr="00EE5F0F">
        <w:rPr>
          <w:rFonts w:ascii="Garamond" w:hAnsi="Garamond"/>
          <w:b/>
          <w:sz w:val="22"/>
          <w:szCs w:val="22"/>
        </w:rPr>
        <w:t>Import prices:</w:t>
      </w:r>
      <w:r w:rsidRPr="00EE5F0F">
        <w:rPr>
          <w:rFonts w:ascii="Garamond" w:hAnsi="Garamond"/>
          <w:sz w:val="22"/>
          <w:szCs w:val="22"/>
        </w:rPr>
        <w:t xml:space="preserve"> The dollar prices of import of goods and services to Armenia grew faster during the first quarter of 2018, posting an average 3.9% increase q/q, and the growth against the same quarter of the previous year amounted to 9.3%. The growth rates have accelerated mainly due to the growth of intermediate consumption goods and especially oil prices. </w:t>
      </w:r>
    </w:p>
    <w:p w14:paraId="12C625C0" w14:textId="77777777" w:rsidR="00781ACF" w:rsidRPr="00EE5F0F" w:rsidRDefault="00781ACF" w:rsidP="00781ACF">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The rise in dollar prices of import of consumer goods in the first quarter of 2018 has been driven mainly by increased dollar prices in the European Union and China, reflecting appreciation of their exchange rates against the US dollar. The total contribution of consumer goods to the y/y rise in dollar prices of overall imports amounted to 1.8 pp.</w:t>
      </w:r>
    </w:p>
    <w:p w14:paraId="56A2E7D4" w14:textId="77777777" w:rsidR="000142B6" w:rsidRDefault="000142B6" w:rsidP="00781ACF">
      <w:pPr>
        <w:autoSpaceDE w:val="0"/>
        <w:autoSpaceDN w:val="0"/>
        <w:adjustRightInd w:val="0"/>
        <w:spacing w:after="120" w:line="360" w:lineRule="auto"/>
        <w:jc w:val="both"/>
        <w:rPr>
          <w:rFonts w:ascii="Garamond" w:hAnsi="Garamond"/>
          <w:b/>
          <w:color w:val="0070C0"/>
          <w:sz w:val="22"/>
          <w:szCs w:val="22"/>
        </w:rPr>
      </w:pPr>
    </w:p>
    <w:p w14:paraId="42A488E1" w14:textId="77777777" w:rsidR="000142B6" w:rsidRDefault="000142B6" w:rsidP="00781ACF">
      <w:pPr>
        <w:autoSpaceDE w:val="0"/>
        <w:autoSpaceDN w:val="0"/>
        <w:adjustRightInd w:val="0"/>
        <w:spacing w:after="120" w:line="360" w:lineRule="auto"/>
        <w:jc w:val="both"/>
        <w:rPr>
          <w:rFonts w:ascii="Garamond" w:hAnsi="Garamond"/>
          <w:b/>
          <w:color w:val="0070C0"/>
          <w:sz w:val="22"/>
          <w:szCs w:val="22"/>
        </w:rPr>
      </w:pPr>
    </w:p>
    <w:p w14:paraId="3D2409EA" w14:textId="77777777" w:rsidR="000142B6" w:rsidRDefault="000142B6" w:rsidP="00781ACF">
      <w:pPr>
        <w:autoSpaceDE w:val="0"/>
        <w:autoSpaceDN w:val="0"/>
        <w:adjustRightInd w:val="0"/>
        <w:spacing w:after="120" w:line="360" w:lineRule="auto"/>
        <w:jc w:val="both"/>
        <w:rPr>
          <w:rFonts w:ascii="Garamond" w:hAnsi="Garamond"/>
          <w:b/>
          <w:color w:val="0070C0"/>
          <w:sz w:val="22"/>
          <w:szCs w:val="22"/>
        </w:rPr>
      </w:pPr>
    </w:p>
    <w:p w14:paraId="2A9D183F" w14:textId="77777777" w:rsidR="00781ACF" w:rsidRPr="00EE5F0F" w:rsidRDefault="00781ACF" w:rsidP="00781ACF">
      <w:pPr>
        <w:autoSpaceDE w:val="0"/>
        <w:autoSpaceDN w:val="0"/>
        <w:adjustRightInd w:val="0"/>
        <w:spacing w:after="120" w:line="360" w:lineRule="auto"/>
        <w:jc w:val="both"/>
        <w:rPr>
          <w:rFonts w:ascii="Garamond" w:hAnsi="Garamond"/>
          <w:b/>
          <w:color w:val="0070C0"/>
          <w:sz w:val="22"/>
          <w:szCs w:val="22"/>
        </w:rPr>
      </w:pPr>
      <w:r w:rsidRPr="00EE5F0F">
        <w:rPr>
          <w:rFonts w:ascii="Garamond" w:hAnsi="Garamond"/>
          <w:b/>
          <w:color w:val="0070C0"/>
          <w:sz w:val="22"/>
          <w:szCs w:val="22"/>
        </w:rPr>
        <w:t>3.2 Economic developments</w:t>
      </w:r>
    </w:p>
    <w:p w14:paraId="67B7F23D" w14:textId="77777777" w:rsidR="00781ACF" w:rsidRPr="00EE5F0F" w:rsidRDefault="00781ACF" w:rsidP="00781ACF">
      <w:pPr>
        <w:autoSpaceDE w:val="0"/>
        <w:autoSpaceDN w:val="0"/>
        <w:adjustRightInd w:val="0"/>
        <w:spacing w:after="120" w:line="360" w:lineRule="auto"/>
        <w:jc w:val="both"/>
        <w:rPr>
          <w:rFonts w:ascii="Garamond" w:hAnsi="Garamond"/>
          <w:b/>
          <w:color w:val="0070C0"/>
          <w:sz w:val="22"/>
          <w:szCs w:val="22"/>
        </w:rPr>
      </w:pPr>
      <w:r w:rsidRPr="00EE5F0F">
        <w:rPr>
          <w:rFonts w:ascii="Garamond" w:hAnsi="Garamond"/>
          <w:b/>
          <w:color w:val="0070C0"/>
          <w:sz w:val="22"/>
          <w:szCs w:val="22"/>
        </w:rPr>
        <w:t>3.2.1. Economy position</w:t>
      </w:r>
    </w:p>
    <w:p w14:paraId="16D507B2" w14:textId="2EB39033" w:rsidR="00781ACF" w:rsidRPr="00EE5F0F" w:rsidRDefault="00781ACF" w:rsidP="00781ACF">
      <w:pPr>
        <w:autoSpaceDE w:val="0"/>
        <w:autoSpaceDN w:val="0"/>
        <w:adjustRightInd w:val="0"/>
        <w:spacing w:after="120" w:line="360" w:lineRule="auto"/>
        <w:jc w:val="both"/>
        <w:rPr>
          <w:rFonts w:ascii="Garamond" w:hAnsi="Garamond"/>
          <w:sz w:val="22"/>
          <w:szCs w:val="22"/>
        </w:rPr>
      </w:pPr>
      <w:r w:rsidRPr="00EE5F0F">
        <w:rPr>
          <w:rFonts w:ascii="Garamond" w:hAnsi="Garamond"/>
          <w:b/>
          <w:sz w:val="22"/>
          <w:szCs w:val="22"/>
        </w:rPr>
        <w:t xml:space="preserve">In the period under review, the </w:t>
      </w:r>
      <w:r w:rsidR="00E157AB" w:rsidRPr="00EE5F0F">
        <w:rPr>
          <w:rFonts w:ascii="Garamond" w:hAnsi="Garamond"/>
          <w:b/>
          <w:sz w:val="22"/>
          <w:szCs w:val="22"/>
        </w:rPr>
        <w:t xml:space="preserve">GDP </w:t>
      </w:r>
      <w:r w:rsidR="00E157AB">
        <w:rPr>
          <w:rFonts w:ascii="Garamond" w:hAnsi="Garamond"/>
          <w:b/>
          <w:sz w:val="22"/>
          <w:szCs w:val="22"/>
        </w:rPr>
        <w:t xml:space="preserve">gap </w:t>
      </w:r>
      <w:r w:rsidRPr="00EE5F0F">
        <w:rPr>
          <w:rFonts w:ascii="Garamond" w:hAnsi="Garamond"/>
          <w:b/>
          <w:sz w:val="22"/>
          <w:szCs w:val="22"/>
        </w:rPr>
        <w:t>estimation</w:t>
      </w:r>
      <w:r w:rsidR="00E157AB">
        <w:rPr>
          <w:rFonts w:ascii="Garamond" w:hAnsi="Garamond"/>
          <w:b/>
          <w:sz w:val="22"/>
          <w:szCs w:val="22"/>
        </w:rPr>
        <w:t>s</w:t>
      </w:r>
      <w:r w:rsidRPr="00EE5F0F">
        <w:rPr>
          <w:rFonts w:ascii="Garamond" w:hAnsi="Garamond"/>
          <w:b/>
          <w:sz w:val="22"/>
          <w:szCs w:val="22"/>
        </w:rPr>
        <w:t xml:space="preserve"> </w:t>
      </w:r>
      <w:r w:rsidR="00E157AB">
        <w:rPr>
          <w:rFonts w:ascii="Garamond" w:hAnsi="Garamond"/>
          <w:b/>
          <w:sz w:val="22"/>
          <w:szCs w:val="22"/>
        </w:rPr>
        <w:t xml:space="preserve">have </w:t>
      </w:r>
      <w:r w:rsidR="00E157AB" w:rsidRPr="00E157AB">
        <w:rPr>
          <w:rFonts w:ascii="Garamond" w:hAnsi="Garamond"/>
          <w:b/>
          <w:color w:val="FF0000"/>
          <w:sz w:val="22"/>
          <w:szCs w:val="22"/>
        </w:rPr>
        <w:t>reduced</w:t>
      </w:r>
      <w:r w:rsidR="00E157AB">
        <w:rPr>
          <w:rFonts w:ascii="Garamond" w:hAnsi="Garamond"/>
          <w:b/>
          <w:color w:val="FF0000"/>
          <w:sz w:val="22"/>
          <w:szCs w:val="22"/>
        </w:rPr>
        <w:t>.</w:t>
      </w:r>
      <w:r w:rsidR="00E157AB">
        <w:rPr>
          <w:rFonts w:ascii="Garamond" w:hAnsi="Garamond"/>
          <w:b/>
          <w:sz w:val="22"/>
          <w:szCs w:val="22"/>
        </w:rPr>
        <w:t xml:space="preserve"> (</w:t>
      </w:r>
      <w:r w:rsidR="00E157AB" w:rsidRPr="00C70EF0">
        <w:rPr>
          <w:rFonts w:ascii="GHEA Grapalat" w:hAnsi="GHEA Grapalat" w:cs="Sylfaen"/>
          <w:b/>
          <w:bCs/>
          <w:i/>
          <w:iCs/>
          <w:sz w:val="20"/>
          <w:szCs w:val="20"/>
          <w:lang w:val="hy-AM"/>
        </w:rPr>
        <w:t>Հաշվետու եռամսյակում ՀՆԱ ճեղք</w:t>
      </w:r>
      <w:proofErr w:type="spellStart"/>
      <w:r w:rsidR="00E157AB" w:rsidRPr="00C70EF0">
        <w:rPr>
          <w:rFonts w:ascii="GHEA Grapalat" w:hAnsi="GHEA Grapalat" w:cs="Sylfaen"/>
          <w:b/>
          <w:bCs/>
          <w:i/>
          <w:iCs/>
          <w:sz w:val="20"/>
          <w:szCs w:val="20"/>
        </w:rPr>
        <w:t>վածք</w:t>
      </w:r>
      <w:proofErr w:type="spellEnd"/>
      <w:r w:rsidR="00E157AB" w:rsidRPr="00C70EF0">
        <w:rPr>
          <w:rFonts w:ascii="GHEA Grapalat" w:hAnsi="GHEA Grapalat" w:cs="Sylfaen"/>
          <w:b/>
          <w:bCs/>
          <w:i/>
          <w:iCs/>
          <w:sz w:val="20"/>
          <w:szCs w:val="20"/>
          <w:lang w:val="hy-AM"/>
        </w:rPr>
        <w:t>ի գնահատական</w:t>
      </w:r>
      <w:r w:rsidR="00E157AB">
        <w:rPr>
          <w:rFonts w:ascii="GHEA Grapalat" w:hAnsi="GHEA Grapalat" w:cs="Sylfaen"/>
          <w:b/>
          <w:bCs/>
          <w:i/>
          <w:iCs/>
          <w:sz w:val="20"/>
          <w:szCs w:val="20"/>
          <w:lang w:val="hy-AM"/>
        </w:rPr>
        <w:softHyphen/>
      </w:r>
      <w:r w:rsidR="00E157AB" w:rsidRPr="00C70EF0">
        <w:rPr>
          <w:rFonts w:ascii="GHEA Grapalat" w:hAnsi="GHEA Grapalat" w:cs="Sylfaen"/>
          <w:b/>
          <w:bCs/>
          <w:i/>
          <w:iCs/>
          <w:sz w:val="20"/>
          <w:szCs w:val="20"/>
          <w:lang w:val="hy-AM"/>
        </w:rPr>
        <w:t xml:space="preserve">ները </w:t>
      </w:r>
      <w:r w:rsidR="00E157AB" w:rsidRPr="00E157AB">
        <w:rPr>
          <w:rFonts w:ascii="GHEA Grapalat" w:hAnsi="GHEA Grapalat" w:cs="Sylfaen"/>
          <w:b/>
          <w:bCs/>
          <w:i/>
          <w:iCs/>
          <w:color w:val="FF0000"/>
          <w:sz w:val="20"/>
          <w:szCs w:val="20"/>
          <w:lang w:val="hy-AM"/>
        </w:rPr>
        <w:t>նվ</w:t>
      </w:r>
      <w:r w:rsidR="00E157AB" w:rsidRPr="00E157AB">
        <w:rPr>
          <w:rFonts w:ascii="GHEA Grapalat" w:hAnsi="GHEA Grapalat" w:cs="Sylfaen"/>
          <w:b/>
          <w:bCs/>
          <w:i/>
          <w:iCs/>
          <w:color w:val="FF0000"/>
          <w:sz w:val="20"/>
          <w:szCs w:val="20"/>
        </w:rPr>
        <w:t>ա</w:t>
      </w:r>
      <w:proofErr w:type="spellStart"/>
      <w:r w:rsidR="00E157AB" w:rsidRPr="00E157AB">
        <w:rPr>
          <w:rFonts w:ascii="GHEA Grapalat" w:hAnsi="GHEA Grapalat" w:cs="Sylfaen"/>
          <w:b/>
          <w:bCs/>
          <w:i/>
          <w:iCs/>
          <w:color w:val="FF0000"/>
          <w:sz w:val="20"/>
          <w:szCs w:val="20"/>
          <w:lang w:val="hy-AM"/>
        </w:rPr>
        <w:t>զել</w:t>
      </w:r>
      <w:proofErr w:type="spellEnd"/>
      <w:r w:rsidR="00E157AB" w:rsidRPr="00E157AB">
        <w:rPr>
          <w:rFonts w:ascii="GHEA Grapalat" w:hAnsi="GHEA Grapalat" w:cs="Sylfaen"/>
          <w:b/>
          <w:bCs/>
          <w:i/>
          <w:iCs/>
          <w:color w:val="FF0000"/>
          <w:sz w:val="20"/>
          <w:szCs w:val="20"/>
          <w:lang w:val="hy-AM"/>
        </w:rPr>
        <w:t xml:space="preserve"> են</w:t>
      </w:r>
      <w:r w:rsidR="00E157AB">
        <w:rPr>
          <w:rFonts w:ascii="GHEA Grapalat" w:hAnsi="GHEA Grapalat" w:cs="Sylfaen"/>
          <w:b/>
          <w:bCs/>
          <w:i/>
          <w:iCs/>
          <w:sz w:val="20"/>
          <w:szCs w:val="20"/>
        </w:rPr>
        <w:t>)</w:t>
      </w:r>
      <w:r w:rsidRPr="00EE5F0F">
        <w:rPr>
          <w:rFonts w:ascii="Garamond" w:hAnsi="Garamond"/>
          <w:b/>
          <w:sz w:val="22"/>
          <w:szCs w:val="22"/>
        </w:rPr>
        <w:t xml:space="preserve">. </w:t>
      </w:r>
      <w:r w:rsidRPr="00EE5F0F">
        <w:rPr>
          <w:rFonts w:ascii="Garamond" w:hAnsi="Garamond"/>
          <w:sz w:val="22"/>
          <w:szCs w:val="22"/>
        </w:rPr>
        <w:t>The expansionary monetary policy the Central Bank has been implementing since 2016, the growth in external demand, money transfers and lending all have contributed to the notable reduction in the GDP gap and, starting from the end-2017, facilitated the shaping of the positive gap. In the first quarter of 2018, high rates of economic growth were largely due to productivity growth (see section 3.2.4), in which circumstance the positive GDP gap has declined and is estimated to be about 1%, softening the inflationary pressures in the consumer market. The slowdown in domestic demand in the first quarter of 2018 (see section 3.2.2) as well as stabilized core inflation rate in March-April (see section 2.2.1) also point to the contracted GDP gap. It is expected that this positive gap – a fallout of a restored demand after reported contraction in previous years – will eliminate in the course of the next quarters.</w:t>
      </w:r>
    </w:p>
    <w:p w14:paraId="059502F9" w14:textId="77777777" w:rsidR="00781ACF" w:rsidRPr="00EE5F0F" w:rsidRDefault="00781ACF" w:rsidP="00781ACF">
      <w:pPr>
        <w:autoSpaceDE w:val="0"/>
        <w:autoSpaceDN w:val="0"/>
        <w:adjustRightInd w:val="0"/>
        <w:spacing w:after="120" w:line="360" w:lineRule="auto"/>
        <w:jc w:val="both"/>
        <w:rPr>
          <w:rFonts w:ascii="Garamond" w:hAnsi="Garamond"/>
          <w:b/>
          <w:color w:val="0070C0"/>
          <w:sz w:val="22"/>
          <w:szCs w:val="22"/>
        </w:rPr>
      </w:pPr>
      <w:r w:rsidRPr="00EE5F0F">
        <w:rPr>
          <w:rFonts w:ascii="Garamond" w:hAnsi="Garamond"/>
          <w:b/>
          <w:color w:val="0070C0"/>
          <w:sz w:val="22"/>
          <w:szCs w:val="22"/>
        </w:rPr>
        <w:t>3.2.2. The expenditures aspect of the economy</w:t>
      </w:r>
    </w:p>
    <w:p w14:paraId="409FACA0" w14:textId="77777777" w:rsidR="00781ACF" w:rsidRPr="00EE5F0F" w:rsidRDefault="00781ACF" w:rsidP="00781ACF">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 xml:space="preserve">In the private sector in the first quarter of 2018, the growth rate of demand remained high enough. With an anticipated 9.5% economic growth, private spending is expected to grow by 7.9% in the first quarter of 2018, which is nearly 3 pp higher than previous predictions by the Central Bank.  </w:t>
      </w:r>
    </w:p>
    <w:p w14:paraId="48AE495F" w14:textId="77777777" w:rsidR="00781ACF" w:rsidRPr="00EE5F0F" w:rsidRDefault="00781ACF" w:rsidP="00781ACF">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 xml:space="preserve">The 7.9% growth of private spending in the first quarter of 2018 is a result of increased private consumption (4.7%) and private investment (35%). The strong private spending growth owed to an expansionary monetary policy carried out by the Central Bank, high lending growth rates and grown remittances from abroad. The growth rate of private consumption has slightly decreased in comparison with the relevant 2017 indicator, and the 3.7% slowing in retail trade turnover in the first quarter is indicative of the above deceleration. In the period under review, private consumption was still higher than its equilibrium. An estimated high growth in investments in the private sector has been also attributable to strong growth in the construction sector and almost a twice as much increase of investment goods imported during the quarter. </w:t>
      </w:r>
    </w:p>
    <w:p w14:paraId="614193C8" w14:textId="77777777" w:rsidR="00781ACF" w:rsidRPr="00EE5F0F" w:rsidRDefault="00781ACF" w:rsidP="00781ACF">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The pace of growth of private spending in the first quarter of 2018 is still above its equilibrium, which has been the case since 2017. The first quarter 2018 growth rate of private spending has slowed down relative to that of the fourth quarter 2017. As a result, although the gap in private spending has narrowed over the reporting period, it is still running positive, which brought about minor inflationary pressures during the quarter.</w:t>
      </w:r>
    </w:p>
    <w:p w14:paraId="2BCF4A6E" w14:textId="77777777" w:rsidR="00781ACF" w:rsidRPr="00EE5F0F" w:rsidRDefault="00781ACF" w:rsidP="00781ACF">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lastRenderedPageBreak/>
        <w:t xml:space="preserve">In the first quarter of 2018, according to the Central Bank estimates, net real export affected the GDP growth negatively as a result of faster growth of real import over export. </w:t>
      </w:r>
      <w:r w:rsidR="00FE565D" w:rsidRPr="00EE5F0F">
        <w:rPr>
          <w:rFonts w:ascii="Garamond" w:hAnsi="Garamond"/>
          <w:sz w:val="22"/>
          <w:szCs w:val="22"/>
        </w:rPr>
        <w:t>It should be n</w:t>
      </w:r>
      <w:r w:rsidRPr="00EE5F0F">
        <w:rPr>
          <w:rFonts w:ascii="Garamond" w:hAnsi="Garamond"/>
          <w:sz w:val="22"/>
          <w:szCs w:val="22"/>
        </w:rPr>
        <w:t>ote</w:t>
      </w:r>
      <w:r w:rsidR="00FE565D" w:rsidRPr="00EE5F0F">
        <w:rPr>
          <w:rFonts w:ascii="Garamond" w:hAnsi="Garamond"/>
          <w:sz w:val="22"/>
          <w:szCs w:val="22"/>
        </w:rPr>
        <w:t>d</w:t>
      </w:r>
      <w:r w:rsidRPr="00EE5F0F">
        <w:rPr>
          <w:rFonts w:ascii="Garamond" w:hAnsi="Garamond"/>
          <w:sz w:val="22"/>
          <w:szCs w:val="22"/>
        </w:rPr>
        <w:t xml:space="preserve"> that while the real growth of export of goods and services reached 17.0%, the real growth of import exceeded the expectations sizably, amounting to 21.4%</w:t>
      </w:r>
      <w:r w:rsidRPr="00EE5F0F">
        <w:rPr>
          <w:rStyle w:val="FootnoteReference"/>
          <w:rFonts w:ascii="Garamond" w:hAnsi="Garamond"/>
          <w:sz w:val="22"/>
          <w:szCs w:val="22"/>
        </w:rPr>
        <w:footnoteReference w:customMarkFollows="1" w:id="6"/>
        <w:t>8</w:t>
      </w:r>
      <w:r w:rsidRPr="00EE5F0F">
        <w:rPr>
          <w:rFonts w:ascii="Garamond" w:hAnsi="Garamond"/>
          <w:sz w:val="22"/>
          <w:szCs w:val="22"/>
        </w:rPr>
        <w:t xml:space="preserve"> over the quarter.</w:t>
      </w:r>
    </w:p>
    <w:p w14:paraId="4A673195" w14:textId="77777777" w:rsidR="00781ACF" w:rsidRPr="00EE5F0F" w:rsidRDefault="00781ACF" w:rsidP="00781ACF">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In the first quarter of 2018, the growth rates in dollar value of net remittances of individuals (seasonal workers’ income and personal transfers inclusive) accelerated to an estimated 15.3% y/y, as the Russian economy reported positive developments and the ruble exchange rate appreciated versus the US dollar.</w:t>
      </w:r>
    </w:p>
    <w:p w14:paraId="73E5EFE0" w14:textId="39AFB617" w:rsidR="00781ACF" w:rsidRPr="00EE5F0F" w:rsidRDefault="00781ACF" w:rsidP="00781ACF">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 xml:space="preserve">According to Q1, 2018 estimates, the impact of net external demand on real GDP is negative, as real import of goods and services has been faster compared to that of export of goods and services, which was attributable to the domestic demand having grown quicker than anticipated. It should be noted that most growth of domestic demand was reflected in the growth of import of investment goods. In addition to other factors, the domestic demand has been </w:t>
      </w:r>
      <w:proofErr w:type="spellStart"/>
      <w:r w:rsidRPr="00EE5F0F">
        <w:rPr>
          <w:rFonts w:ascii="Garamond" w:hAnsi="Garamond"/>
          <w:sz w:val="22"/>
          <w:szCs w:val="22"/>
        </w:rPr>
        <w:t>fuelled</w:t>
      </w:r>
      <w:proofErr w:type="spellEnd"/>
      <w:r w:rsidRPr="00EE5F0F">
        <w:rPr>
          <w:rFonts w:ascii="Garamond" w:hAnsi="Garamond"/>
          <w:sz w:val="22"/>
          <w:szCs w:val="22"/>
        </w:rPr>
        <w:t xml:space="preserve"> by high growth of remittances of individuals. The increase in private money transfers notwithstanding, in the first quarter of 2018 the current account deficit-to-GDP ratio rose by about 4 pp as a result of </w:t>
      </w:r>
      <w:r w:rsidR="00E848D7">
        <w:rPr>
          <w:rFonts w:ascii="Garamond" w:hAnsi="Garamond"/>
          <w:sz w:val="22"/>
          <w:szCs w:val="22"/>
        </w:rPr>
        <w:t xml:space="preserve">increase </w:t>
      </w:r>
      <w:proofErr w:type="gramStart"/>
      <w:r w:rsidR="00E848D7">
        <w:rPr>
          <w:rFonts w:ascii="Garamond" w:hAnsi="Garamond"/>
          <w:sz w:val="22"/>
          <w:szCs w:val="22"/>
        </w:rPr>
        <w:t xml:space="preserve">in </w:t>
      </w:r>
      <w:r w:rsidRPr="00EE5F0F">
        <w:rPr>
          <w:rFonts w:ascii="Garamond" w:hAnsi="Garamond"/>
          <w:sz w:val="22"/>
          <w:szCs w:val="22"/>
        </w:rPr>
        <w:t xml:space="preserve"> trade</w:t>
      </w:r>
      <w:proofErr w:type="gramEnd"/>
      <w:r w:rsidRPr="00EE5F0F">
        <w:rPr>
          <w:rFonts w:ascii="Garamond" w:hAnsi="Garamond"/>
          <w:sz w:val="22"/>
          <w:szCs w:val="22"/>
        </w:rPr>
        <w:t xml:space="preserve"> balance deficit and net factor income balance estimations. </w:t>
      </w:r>
    </w:p>
    <w:p w14:paraId="573060E8" w14:textId="77777777" w:rsidR="00F40F99" w:rsidRPr="00EE5F0F" w:rsidRDefault="00781ACF" w:rsidP="00781ACF">
      <w:pPr>
        <w:autoSpaceDE w:val="0"/>
        <w:autoSpaceDN w:val="0"/>
        <w:adjustRightInd w:val="0"/>
        <w:spacing w:after="120" w:line="360" w:lineRule="auto"/>
        <w:jc w:val="both"/>
        <w:rPr>
          <w:rFonts w:ascii="Garamond" w:hAnsi="Garamond"/>
          <w:b/>
          <w:sz w:val="22"/>
          <w:szCs w:val="22"/>
        </w:rPr>
      </w:pPr>
      <w:r w:rsidRPr="00EE5F0F">
        <w:rPr>
          <w:rFonts w:ascii="Garamond" w:hAnsi="Garamond"/>
          <w:b/>
          <w:sz w:val="22"/>
          <w:szCs w:val="22"/>
        </w:rPr>
        <w:t>Fiscal policy</w:t>
      </w:r>
      <w:r w:rsidRPr="00EE5F0F">
        <w:rPr>
          <w:rStyle w:val="FootnoteReference"/>
          <w:rFonts w:ascii="Garamond" w:hAnsi="Garamond"/>
          <w:b/>
          <w:sz w:val="22"/>
          <w:szCs w:val="22"/>
        </w:rPr>
        <w:footnoteReference w:customMarkFollows="1" w:id="7"/>
        <w:t>9</w:t>
      </w:r>
      <w:r w:rsidRPr="00EE5F0F">
        <w:rPr>
          <w:rFonts w:ascii="Garamond" w:hAnsi="Garamond"/>
          <w:b/>
          <w:sz w:val="22"/>
          <w:szCs w:val="22"/>
        </w:rPr>
        <w:t xml:space="preserve">: </w:t>
      </w:r>
      <w:r w:rsidRPr="00EE5F0F">
        <w:rPr>
          <w:rFonts w:ascii="Garamond" w:hAnsi="Garamond"/>
          <w:sz w:val="22"/>
          <w:szCs w:val="22"/>
        </w:rPr>
        <w:t>In the first quarter of 2018, the State Budget was performed with actual expenditures and revenues deviated from the Central Bank’s projections</w:t>
      </w:r>
      <w:r w:rsidRPr="00EE5F0F">
        <w:rPr>
          <w:rStyle w:val="FootnoteReference"/>
          <w:rFonts w:ascii="Garamond" w:hAnsi="Garamond"/>
          <w:sz w:val="22"/>
          <w:szCs w:val="22"/>
        </w:rPr>
        <w:footnoteReference w:customMarkFollows="1" w:id="8"/>
        <w:t>10</w:t>
      </w:r>
      <w:r w:rsidRPr="00EE5F0F">
        <w:rPr>
          <w:rFonts w:ascii="Garamond" w:hAnsi="Garamond"/>
          <w:sz w:val="22"/>
          <w:szCs w:val="22"/>
        </w:rPr>
        <w:t>. The fiscal policy impulse on aggregate demand was an estimated 1.0 pp contractionary for the quarter, instead of the predicted 2.2 pp expansionary, attributable to both the revenues and expenditures with their deviated impact and the nominal GDP forecast adjusted upward.</w:t>
      </w:r>
    </w:p>
    <w:p w14:paraId="760279EC" w14:textId="77777777" w:rsidR="00242EA6" w:rsidRPr="00EE5F0F" w:rsidRDefault="00242EA6" w:rsidP="00242EA6">
      <w:pPr>
        <w:autoSpaceDE w:val="0"/>
        <w:autoSpaceDN w:val="0"/>
        <w:adjustRightInd w:val="0"/>
        <w:spacing w:after="120" w:line="360" w:lineRule="auto"/>
        <w:jc w:val="both"/>
        <w:rPr>
          <w:rFonts w:ascii="Garamond" w:hAnsi="Garamond"/>
          <w:color w:val="000000"/>
          <w:sz w:val="22"/>
          <w:szCs w:val="22"/>
        </w:rPr>
      </w:pPr>
      <w:r w:rsidRPr="00EE5F0F">
        <w:rPr>
          <w:rFonts w:ascii="Garamond" w:hAnsi="Garamond"/>
          <w:color w:val="000000"/>
          <w:sz w:val="22"/>
          <w:szCs w:val="22"/>
        </w:rPr>
        <w:t xml:space="preserve">In the first quarter of 2018, budget revenues were about 94% of the projection. Tax revenues amounted to 93.7% of the plan if the unified tax account balance is excluded, and the adjusted program was performed by 105.9% if the unified tax account balance is included. </w:t>
      </w:r>
    </w:p>
    <w:p w14:paraId="580C442D" w14:textId="77777777" w:rsidR="00242EA6" w:rsidRPr="00EE5F0F" w:rsidRDefault="00242EA6" w:rsidP="00242EA6">
      <w:pPr>
        <w:autoSpaceDE w:val="0"/>
        <w:autoSpaceDN w:val="0"/>
        <w:adjustRightInd w:val="0"/>
        <w:spacing w:after="120" w:line="360" w:lineRule="auto"/>
        <w:jc w:val="both"/>
        <w:rPr>
          <w:rFonts w:ascii="Garamond" w:hAnsi="Garamond"/>
          <w:color w:val="000000"/>
          <w:sz w:val="22"/>
          <w:szCs w:val="22"/>
        </w:rPr>
      </w:pPr>
      <w:r w:rsidRPr="00EE5F0F">
        <w:rPr>
          <w:rFonts w:ascii="Garamond" w:hAnsi="Garamond"/>
          <w:color w:val="000000"/>
          <w:sz w:val="22"/>
          <w:szCs w:val="22"/>
        </w:rPr>
        <w:t>The revenue impulse proved smaller, amounting to 1.5 pp expansionary instead of the forecast 2.6 pp contractionary, pointing to a higher nominal GDP indicator expected for the quarter and to the fact that the unified tax account balance (AMD 31.2 billion) has been treated as a means of resources actually collected from the economy. Although not qualified as tax revenues of the state budget in the law point of view, this has been actually paid by the taxpayers.</w:t>
      </w:r>
    </w:p>
    <w:p w14:paraId="69A04C7C" w14:textId="77777777" w:rsidR="00242EA6" w:rsidRPr="00EE5F0F" w:rsidRDefault="00242EA6" w:rsidP="00242EA6">
      <w:pPr>
        <w:autoSpaceDE w:val="0"/>
        <w:autoSpaceDN w:val="0"/>
        <w:adjustRightInd w:val="0"/>
        <w:spacing w:after="120" w:line="360" w:lineRule="auto"/>
        <w:jc w:val="both"/>
        <w:rPr>
          <w:rFonts w:ascii="Garamond" w:hAnsi="Garamond"/>
          <w:color w:val="000000"/>
          <w:sz w:val="22"/>
          <w:szCs w:val="22"/>
        </w:rPr>
      </w:pPr>
      <w:r w:rsidRPr="00EE5F0F">
        <w:rPr>
          <w:rFonts w:ascii="Garamond" w:hAnsi="Garamond"/>
          <w:sz w:val="22"/>
          <w:szCs w:val="22"/>
        </w:rPr>
        <w:t>The state budget expenditures constituted 96.6% of the projection by the Central Bank.</w:t>
      </w:r>
    </w:p>
    <w:p w14:paraId="45A31E98" w14:textId="77777777" w:rsidR="00242EA6" w:rsidRPr="00EE5F0F" w:rsidRDefault="00242EA6" w:rsidP="00242EA6">
      <w:pPr>
        <w:autoSpaceDE w:val="0"/>
        <w:autoSpaceDN w:val="0"/>
        <w:adjustRightInd w:val="0"/>
        <w:spacing w:after="120" w:line="360" w:lineRule="auto"/>
        <w:jc w:val="both"/>
        <w:rPr>
          <w:rFonts w:ascii="Garamond" w:hAnsi="Garamond"/>
          <w:sz w:val="22"/>
          <w:szCs w:val="22"/>
        </w:rPr>
      </w:pPr>
      <w:r w:rsidRPr="00EE5F0F">
        <w:rPr>
          <w:rFonts w:ascii="Garamond" w:hAnsi="Garamond"/>
          <w:color w:val="000000"/>
          <w:sz w:val="22"/>
          <w:szCs w:val="22"/>
        </w:rPr>
        <w:lastRenderedPageBreak/>
        <w:t xml:space="preserve">In the expenditures structure in the </w:t>
      </w:r>
      <w:r w:rsidRPr="00EE5F0F">
        <w:rPr>
          <w:rFonts w:ascii="Garamond" w:hAnsi="Garamond"/>
          <w:sz w:val="22"/>
          <w:szCs w:val="22"/>
        </w:rPr>
        <w:t xml:space="preserve">first quarter of 2018, </w:t>
      </w:r>
      <w:r w:rsidRPr="00EE5F0F">
        <w:rPr>
          <w:rFonts w:ascii="Garamond" w:hAnsi="Garamond"/>
          <w:b/>
          <w:sz w:val="22"/>
          <w:szCs w:val="22"/>
        </w:rPr>
        <w:t>government consumption</w:t>
      </w:r>
      <w:r w:rsidRPr="00EE5F0F">
        <w:rPr>
          <w:rFonts w:ascii="Garamond" w:hAnsi="Garamond"/>
          <w:sz w:val="22"/>
          <w:szCs w:val="22"/>
        </w:rPr>
        <w:t xml:space="preserve"> was below the predicted figure by 7.3% while expenditures on item </w:t>
      </w:r>
      <w:r w:rsidRPr="00EE5F0F">
        <w:rPr>
          <w:rFonts w:ascii="Garamond" w:hAnsi="Garamond"/>
          <w:b/>
          <w:sz w:val="22"/>
          <w:szCs w:val="22"/>
        </w:rPr>
        <w:t>“Transactions with non-financial assets”</w:t>
      </w:r>
      <w:r w:rsidRPr="00EE5F0F">
        <w:rPr>
          <w:rFonts w:ascii="Garamond" w:hAnsi="Garamond"/>
          <w:sz w:val="22"/>
          <w:szCs w:val="22"/>
        </w:rPr>
        <w:t xml:space="preserve"> were in line with the projection. For the quarter, the expenditures impulse was 2.5 pp contractionary instead of the forecast 0.4 pp contractionary. The deviation also owed to net lending after a loan recovery instead of provision of loan so anticipated for the quarter. </w:t>
      </w:r>
    </w:p>
    <w:p w14:paraId="1DD97620" w14:textId="77777777" w:rsidR="00242EA6" w:rsidRPr="00EE5F0F" w:rsidRDefault="00242EA6" w:rsidP="00242EA6">
      <w:pPr>
        <w:autoSpaceDE w:val="0"/>
        <w:autoSpaceDN w:val="0"/>
        <w:adjustRightInd w:val="0"/>
        <w:spacing w:after="120" w:line="360" w:lineRule="auto"/>
        <w:jc w:val="both"/>
        <w:rPr>
          <w:rFonts w:ascii="Garamond" w:hAnsi="Garamond"/>
          <w:bCs/>
          <w:iCs/>
          <w:color w:val="000000"/>
          <w:sz w:val="22"/>
          <w:szCs w:val="22"/>
        </w:rPr>
      </w:pPr>
      <w:r w:rsidRPr="00EE5F0F">
        <w:rPr>
          <w:rFonts w:ascii="Garamond" w:hAnsi="Garamond"/>
          <w:sz w:val="22"/>
          <w:szCs w:val="22"/>
        </w:rPr>
        <w:t xml:space="preserve">With </w:t>
      </w:r>
      <w:r w:rsidRPr="00EE5F0F">
        <w:rPr>
          <w:rFonts w:ascii="Garamond" w:hAnsi="Garamond"/>
          <w:bCs/>
          <w:iCs/>
          <w:color w:val="000000"/>
          <w:sz w:val="22"/>
          <w:szCs w:val="22"/>
        </w:rPr>
        <w:t>revenues and expenditures performance described above, the state budget generated a deficit of AMD 26.3 billion in the first quarter of 2018.</w:t>
      </w:r>
    </w:p>
    <w:p w14:paraId="3A957959" w14:textId="77777777" w:rsidR="00242EA6" w:rsidRPr="00EE5F0F" w:rsidRDefault="00242EA6" w:rsidP="00242EA6">
      <w:pPr>
        <w:autoSpaceDE w:val="0"/>
        <w:autoSpaceDN w:val="0"/>
        <w:adjustRightInd w:val="0"/>
        <w:spacing w:after="120" w:line="360" w:lineRule="auto"/>
        <w:jc w:val="both"/>
        <w:rPr>
          <w:rFonts w:ascii="Garamond" w:hAnsi="Garamond"/>
          <w:b/>
          <w:bCs/>
          <w:iCs/>
          <w:color w:val="0070C0"/>
          <w:sz w:val="22"/>
          <w:szCs w:val="22"/>
        </w:rPr>
      </w:pPr>
    </w:p>
    <w:p w14:paraId="135D2F5D" w14:textId="77777777" w:rsidR="00242EA6" w:rsidRPr="00EE5F0F" w:rsidRDefault="00242EA6" w:rsidP="00242EA6">
      <w:pPr>
        <w:autoSpaceDE w:val="0"/>
        <w:autoSpaceDN w:val="0"/>
        <w:adjustRightInd w:val="0"/>
        <w:spacing w:after="120" w:line="360" w:lineRule="auto"/>
        <w:jc w:val="both"/>
        <w:rPr>
          <w:rFonts w:ascii="Garamond" w:hAnsi="Garamond"/>
          <w:b/>
          <w:color w:val="0070C0"/>
          <w:sz w:val="22"/>
          <w:szCs w:val="22"/>
        </w:rPr>
      </w:pPr>
      <w:r w:rsidRPr="00EE5F0F">
        <w:rPr>
          <w:rFonts w:ascii="Garamond" w:hAnsi="Garamond"/>
          <w:b/>
          <w:bCs/>
          <w:iCs/>
          <w:color w:val="0070C0"/>
          <w:sz w:val="22"/>
          <w:szCs w:val="22"/>
        </w:rPr>
        <w:t xml:space="preserve">3.2.3. The production </w:t>
      </w:r>
      <w:r w:rsidRPr="00EE5F0F">
        <w:rPr>
          <w:rFonts w:ascii="Garamond" w:hAnsi="Garamond"/>
          <w:b/>
          <w:color w:val="0070C0"/>
          <w:sz w:val="22"/>
          <w:szCs w:val="22"/>
        </w:rPr>
        <w:t>aspect of the economy</w:t>
      </w:r>
    </w:p>
    <w:p w14:paraId="78EEC911" w14:textId="77777777" w:rsidR="00242EA6" w:rsidRPr="00EE5F0F" w:rsidRDefault="00242EA6" w:rsidP="00242EA6">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 xml:space="preserve">Economic activity in January-March 2018 has increased by 10.6%, and the GDP growth for the first quarter of 2018 is an estimated 9.4-9.6%, which is considerably above the previous Central Bank forecasts. </w:t>
      </w:r>
    </w:p>
    <w:p w14:paraId="7BA4798C" w14:textId="77777777" w:rsidR="00242EA6" w:rsidRPr="00EE5F0F" w:rsidRDefault="00242EA6" w:rsidP="00242EA6">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 xml:space="preserve">In the period under review, reporting quarter, the forecast growth of all sectors of the economy, except the agriculture sector, has been revised upside. In particular, the construction sector is estimated to have increased by 16.1% thanks to invigorated investment activity that time, while the industry and services sectors reported, respectively, 7.0% and 10.4% growths, attributable to the external demand growing high and to the domestic demand still keeping elevated. </w:t>
      </w:r>
    </w:p>
    <w:p w14:paraId="6FD7F11C" w14:textId="77777777" w:rsidR="00242EA6" w:rsidRPr="00EE5F0F" w:rsidRDefault="00242EA6" w:rsidP="00242EA6">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There is a moderate 2.1% growth</w:t>
      </w:r>
      <w:r w:rsidR="00E827A5">
        <w:rPr>
          <w:rFonts w:ascii="Garamond" w:hAnsi="Garamond"/>
          <w:sz w:val="22"/>
          <w:szCs w:val="22"/>
        </w:rPr>
        <w:t xml:space="preserve"> in economic activity</w:t>
      </w:r>
      <w:r w:rsidRPr="00EE5F0F">
        <w:rPr>
          <w:rFonts w:ascii="Garamond" w:hAnsi="Garamond"/>
          <w:sz w:val="22"/>
          <w:szCs w:val="22"/>
        </w:rPr>
        <w:t xml:space="preserve"> reported in agriculture, in which case the growth of the sector in the first quarter is estimated at 1.5%, which is slightly lower than the previous forecast. </w:t>
      </w:r>
    </w:p>
    <w:p w14:paraId="4A49A5C0" w14:textId="77777777" w:rsidR="00242EA6" w:rsidRPr="00EE5F0F" w:rsidRDefault="00242EA6" w:rsidP="00242EA6">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The productivity, which was calculated as real output per worker per hour, has demonstrated strong growth rates since the start of 2017, which persisted over the first quarter of 2018 too. The productivity growth rate reached 6.5% in the first quarter, according to the Central Bank estimates, and this has in part determined the economic growth in the period under review.</w:t>
      </w:r>
    </w:p>
    <w:p w14:paraId="066883DB" w14:textId="77777777" w:rsidR="00242EA6" w:rsidRPr="00EE5F0F" w:rsidRDefault="00242EA6" w:rsidP="00242EA6">
      <w:pPr>
        <w:autoSpaceDE w:val="0"/>
        <w:autoSpaceDN w:val="0"/>
        <w:adjustRightInd w:val="0"/>
        <w:spacing w:after="120" w:line="360" w:lineRule="auto"/>
        <w:jc w:val="both"/>
        <w:rPr>
          <w:rFonts w:ascii="Garamond" w:hAnsi="Garamond"/>
          <w:b/>
          <w:color w:val="0070C0"/>
          <w:sz w:val="22"/>
          <w:szCs w:val="22"/>
        </w:rPr>
      </w:pPr>
      <w:r w:rsidRPr="00EE5F0F">
        <w:rPr>
          <w:rFonts w:ascii="Garamond" w:hAnsi="Garamond"/>
          <w:b/>
          <w:color w:val="0070C0"/>
          <w:sz w:val="22"/>
          <w:szCs w:val="22"/>
        </w:rPr>
        <w:t>3.2.4. Labor market</w:t>
      </w:r>
      <w:r w:rsidRPr="00EE5F0F">
        <w:rPr>
          <w:rStyle w:val="FootnoteReference"/>
          <w:rFonts w:ascii="Garamond" w:hAnsi="Garamond"/>
          <w:b/>
          <w:color w:val="0070C0"/>
          <w:sz w:val="22"/>
          <w:szCs w:val="22"/>
        </w:rPr>
        <w:footnoteReference w:customMarkFollows="1" w:id="9"/>
        <w:t>11</w:t>
      </w:r>
    </w:p>
    <w:p w14:paraId="72971883" w14:textId="77777777" w:rsidR="00242EA6" w:rsidRPr="00EE5F0F" w:rsidRDefault="00242EA6" w:rsidP="00242EA6">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 xml:space="preserve">In the first quarter of 2018, the private sector nominal wage growth rate amounted to 6.5%, which is 0.8 pp higher from previous forecasts by the Central Bank. The nominal wage growth rate did not pace in line with the GDP growth rate, which is attributable to the rigidities in the labor market. In the period under review, the private sector real wage growth rate was 3.2%, which was lower than the productivity growth rate. The productivity growth outpacing the real wage growth has facilitated the labor market to create minor deflationary pressures. </w:t>
      </w:r>
    </w:p>
    <w:p w14:paraId="29943D05" w14:textId="77777777" w:rsidR="00242EA6" w:rsidRPr="00EE5F0F" w:rsidRDefault="00242EA6" w:rsidP="00242EA6">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lastRenderedPageBreak/>
        <w:t>The unemployment rate is an estimated 18.2% in the first quarter of 2018, which is consistent with previous forecast by the Central Bank. This is due to the fact that the economic growth has largely been driven by increased productivity, and there has been no significant change in the employment. Relative to the same reference period last year, the unemployment has declined by 0.8 pp.</w:t>
      </w:r>
    </w:p>
    <w:p w14:paraId="36F5C428" w14:textId="77777777" w:rsidR="00242EA6" w:rsidRPr="00EE5F0F" w:rsidRDefault="00242EA6" w:rsidP="00242EA6">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In the period under review, unit labor costs of the firms have reduced by 2.6%, reflecting the acceleration of output growth rate per unit of labor in relation to private sector wage growth.</w:t>
      </w:r>
    </w:p>
    <w:p w14:paraId="0D72F61F" w14:textId="77777777" w:rsidR="00242EA6" w:rsidRPr="00EE5F0F" w:rsidRDefault="00242EA6" w:rsidP="00242EA6">
      <w:pPr>
        <w:autoSpaceDE w:val="0"/>
        <w:autoSpaceDN w:val="0"/>
        <w:adjustRightInd w:val="0"/>
        <w:spacing w:after="120" w:line="360" w:lineRule="auto"/>
        <w:jc w:val="both"/>
        <w:rPr>
          <w:rFonts w:ascii="Garamond" w:hAnsi="Garamond"/>
          <w:b/>
          <w:color w:val="0070C0"/>
          <w:sz w:val="22"/>
          <w:szCs w:val="22"/>
        </w:rPr>
      </w:pPr>
    </w:p>
    <w:p w14:paraId="0E58B099" w14:textId="77777777" w:rsidR="00242EA6" w:rsidRPr="00EE5F0F" w:rsidRDefault="00242EA6" w:rsidP="00242EA6">
      <w:pPr>
        <w:autoSpaceDE w:val="0"/>
        <w:autoSpaceDN w:val="0"/>
        <w:adjustRightInd w:val="0"/>
        <w:spacing w:after="120" w:line="360" w:lineRule="auto"/>
        <w:jc w:val="both"/>
        <w:rPr>
          <w:rFonts w:ascii="Garamond" w:hAnsi="Garamond"/>
          <w:b/>
          <w:color w:val="0070C0"/>
          <w:sz w:val="22"/>
          <w:szCs w:val="22"/>
        </w:rPr>
      </w:pPr>
      <w:r w:rsidRPr="00EE5F0F">
        <w:rPr>
          <w:rFonts w:ascii="Garamond" w:hAnsi="Garamond"/>
          <w:b/>
          <w:color w:val="0070C0"/>
          <w:sz w:val="22"/>
          <w:szCs w:val="22"/>
        </w:rPr>
        <w:t>3.3. Financial market developments</w:t>
      </w:r>
    </w:p>
    <w:p w14:paraId="7B7B8CEF" w14:textId="77777777" w:rsidR="00242EA6" w:rsidRPr="00EE5F0F" w:rsidRDefault="00242EA6" w:rsidP="00242EA6">
      <w:pPr>
        <w:autoSpaceDE w:val="0"/>
        <w:autoSpaceDN w:val="0"/>
        <w:adjustRightInd w:val="0"/>
        <w:spacing w:after="120" w:line="360" w:lineRule="auto"/>
        <w:jc w:val="both"/>
        <w:rPr>
          <w:rFonts w:ascii="Garamond" w:hAnsi="Garamond"/>
          <w:b/>
          <w:sz w:val="22"/>
          <w:szCs w:val="22"/>
        </w:rPr>
      </w:pPr>
      <w:r w:rsidRPr="00EE5F0F">
        <w:rPr>
          <w:rFonts w:ascii="Garamond" w:hAnsi="Garamond"/>
          <w:b/>
          <w:sz w:val="22"/>
          <w:szCs w:val="22"/>
        </w:rPr>
        <w:t>In the first quarter of 2018, the Board of the Central Bank decided to leave the refinancing rate unchanged, at a 6% level.</w:t>
      </w:r>
    </w:p>
    <w:p w14:paraId="4DDAA53C" w14:textId="77777777" w:rsidR="00242EA6" w:rsidRPr="00EE5F0F" w:rsidRDefault="00242EA6" w:rsidP="00242EA6">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 xml:space="preserve">Both in February and March, the Board preferred to keeping the policy rate unchanged thus contributing to the sustained recovery of domestic demand. At the same time, the Board reiterated the possibility for the expansionary impact of monetary conditions to phase out in the light of predicted developments in future, in fulfillment of the inflation target. </w:t>
      </w:r>
    </w:p>
    <w:p w14:paraId="5801C4BD" w14:textId="77777777" w:rsidR="00CE22CD" w:rsidRPr="00EE5F0F" w:rsidRDefault="00242EA6" w:rsidP="00242EA6">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In the first quarter of 2018, the Central Bank carried on using the toolkit it had for the financial market over the previous quarter. Managing the banking system’s excess liquidity through the instruments either to inject or absorb liquidity, the Central Bank succeeded in keeping short-term interest rates closer to the policy rate. Thus, the quarterly interbank repo rate has increased by 0.04 pp against the previous quarter to 5.94%; the average monthly repo rate in end-March was 5.99%, having dropped by 0.16 pp against December.</w:t>
      </w:r>
    </w:p>
    <w:tbl>
      <w:tblPr>
        <w:tblStyle w:val="TableGrid"/>
        <w:tblW w:w="0" w:type="auto"/>
        <w:tblLook w:val="04A0" w:firstRow="1" w:lastRow="0" w:firstColumn="1" w:lastColumn="0" w:noHBand="0" w:noVBand="1"/>
      </w:tblPr>
      <w:tblGrid>
        <w:gridCol w:w="9350"/>
      </w:tblGrid>
      <w:tr w:rsidR="00A64428" w:rsidRPr="00EE5F0F" w14:paraId="335ED0C6" w14:textId="77777777" w:rsidTr="00A64428">
        <w:tc>
          <w:tcPr>
            <w:tcW w:w="9350" w:type="dxa"/>
          </w:tcPr>
          <w:p w14:paraId="56E56D9C" w14:textId="77777777" w:rsidR="00242EA6" w:rsidRPr="00EE5F0F" w:rsidRDefault="00242EA6" w:rsidP="00242EA6">
            <w:pPr>
              <w:autoSpaceDE w:val="0"/>
              <w:autoSpaceDN w:val="0"/>
              <w:adjustRightInd w:val="0"/>
              <w:spacing w:after="120" w:line="360" w:lineRule="auto"/>
              <w:jc w:val="both"/>
              <w:rPr>
                <w:rFonts w:ascii="Garamond" w:hAnsi="Garamond"/>
                <w:b/>
                <w:color w:val="0070C0"/>
                <w:sz w:val="22"/>
                <w:szCs w:val="22"/>
              </w:rPr>
            </w:pPr>
            <w:r w:rsidRPr="00EE5F0F">
              <w:rPr>
                <w:rFonts w:ascii="Garamond" w:hAnsi="Garamond"/>
                <w:b/>
                <w:color w:val="0070C0"/>
                <w:sz w:val="22"/>
                <w:szCs w:val="22"/>
              </w:rPr>
              <w:t>Box 2:</w:t>
            </w:r>
          </w:p>
          <w:p w14:paraId="3AAAE98A" w14:textId="77777777" w:rsidR="00242EA6" w:rsidRPr="00EE5F0F" w:rsidRDefault="00242EA6" w:rsidP="00242EA6">
            <w:pPr>
              <w:autoSpaceDE w:val="0"/>
              <w:autoSpaceDN w:val="0"/>
              <w:adjustRightInd w:val="0"/>
              <w:spacing w:after="120" w:line="360" w:lineRule="auto"/>
              <w:jc w:val="both"/>
              <w:rPr>
                <w:rFonts w:ascii="Garamond" w:hAnsi="Garamond"/>
                <w:b/>
                <w:color w:val="0070C0"/>
                <w:sz w:val="22"/>
                <w:szCs w:val="22"/>
              </w:rPr>
            </w:pPr>
            <w:r w:rsidRPr="00EE5F0F">
              <w:rPr>
                <w:rFonts w:ascii="Garamond" w:hAnsi="Garamond"/>
                <w:b/>
                <w:color w:val="0070C0"/>
                <w:sz w:val="22"/>
                <w:szCs w:val="22"/>
              </w:rPr>
              <w:t xml:space="preserve">Developments in the currency market </w:t>
            </w:r>
          </w:p>
          <w:p w14:paraId="49CE343D" w14:textId="293CF61B" w:rsidR="00242EA6" w:rsidRPr="00EE5F0F" w:rsidRDefault="00242EA6" w:rsidP="00242EA6">
            <w:pPr>
              <w:autoSpaceDE w:val="0"/>
              <w:autoSpaceDN w:val="0"/>
              <w:adjustRightInd w:val="0"/>
              <w:spacing w:after="120" w:line="360" w:lineRule="auto"/>
              <w:jc w:val="both"/>
              <w:rPr>
                <w:rFonts w:ascii="Garamond" w:hAnsi="Garamond"/>
                <w:sz w:val="22"/>
                <w:szCs w:val="22"/>
                <w:lang w:val="hy-AM"/>
              </w:rPr>
            </w:pPr>
            <w:r w:rsidRPr="00EE5F0F">
              <w:rPr>
                <w:rFonts w:ascii="Garamond" w:hAnsi="Garamond"/>
                <w:sz w:val="22"/>
                <w:szCs w:val="22"/>
              </w:rPr>
              <w:t>In the first quarter of 2018, interbank MM rates posted a negligible increase compared to the previous quarter, practically stepping in the</w:t>
            </w:r>
            <w:r w:rsidR="00576DA1">
              <w:rPr>
                <w:rFonts w:ascii="Sylfaen" w:hAnsi="Sylfaen"/>
                <w:sz w:val="22"/>
                <w:szCs w:val="22"/>
              </w:rPr>
              <w:t xml:space="preserve"> </w:t>
            </w:r>
            <w:r w:rsidR="00576DA1">
              <w:rPr>
                <w:rFonts w:ascii="Garamond" w:hAnsi="Garamond"/>
                <w:sz w:val="22"/>
                <w:szCs w:val="22"/>
              </w:rPr>
              <w:t>li</w:t>
            </w:r>
            <w:r w:rsidR="00576DA1" w:rsidRPr="00576DA1">
              <w:rPr>
                <w:rFonts w:ascii="Garamond" w:hAnsi="Garamond"/>
                <w:sz w:val="22"/>
                <w:szCs w:val="22"/>
              </w:rPr>
              <w:t>ne with the policy rates</w:t>
            </w:r>
            <w:r w:rsidR="00576DA1">
              <w:rPr>
                <w:rFonts w:ascii="Garamond" w:hAnsi="Garamond"/>
                <w:sz w:val="22"/>
                <w:szCs w:val="22"/>
              </w:rPr>
              <w:t xml:space="preserve"> </w:t>
            </w:r>
            <w:r w:rsidRPr="00EE5F0F">
              <w:rPr>
                <w:rFonts w:ascii="Garamond" w:hAnsi="Garamond"/>
                <w:sz w:val="22"/>
                <w:szCs w:val="22"/>
              </w:rPr>
              <w:t xml:space="preserve">at the end of the quarter. In the meanwhile, the US Federal Reserve System continued tightening monetary conditions by </w:t>
            </w:r>
            <w:r w:rsidRPr="00EE5F0F">
              <w:rPr>
                <w:rFonts w:ascii="Garamond" w:hAnsi="Garamond"/>
                <w:color w:val="FF0000"/>
                <w:sz w:val="22"/>
                <w:szCs w:val="22"/>
              </w:rPr>
              <w:t>raising</w:t>
            </w:r>
            <w:r w:rsidRPr="00EE5F0F">
              <w:rPr>
                <w:rFonts w:ascii="Garamond" w:hAnsi="Garamond"/>
                <w:sz w:val="22"/>
                <w:szCs w:val="22"/>
              </w:rPr>
              <w:t xml:space="preserve"> the federal funds rate to 1.75%. </w:t>
            </w:r>
            <w:r w:rsidR="00DE414B">
              <w:rPr>
                <w:rFonts w:ascii="Garamond" w:hAnsi="Garamond"/>
                <w:sz w:val="22"/>
                <w:szCs w:val="22"/>
              </w:rPr>
              <w:t>(</w:t>
            </w:r>
            <w:r w:rsidRPr="00DE414B">
              <w:rPr>
                <w:rFonts w:ascii="Times New Roman" w:eastAsia="Calibri" w:hAnsi="Times New Roman"/>
                <w:i/>
                <w:sz w:val="22"/>
                <w:szCs w:val="22"/>
                <w:lang w:val="hy-AM"/>
              </w:rPr>
              <w:t>տոկոսադրույքները</w:t>
            </w:r>
            <w:r w:rsidRPr="00EE5F0F">
              <w:rPr>
                <w:rFonts w:ascii="Garamond" w:eastAsia="Calibri" w:hAnsi="Garamond"/>
                <w:i/>
                <w:color w:val="FF0000"/>
                <w:sz w:val="22"/>
                <w:szCs w:val="22"/>
                <w:lang w:val="hy-AM"/>
              </w:rPr>
              <w:t xml:space="preserve"> </w:t>
            </w:r>
            <w:r w:rsidRPr="00EE5F0F">
              <w:rPr>
                <w:rFonts w:ascii="Times New Roman" w:eastAsia="Calibri" w:hAnsi="Times New Roman"/>
                <w:i/>
                <w:color w:val="FF0000"/>
                <w:sz w:val="22"/>
                <w:szCs w:val="22"/>
                <w:lang w:val="hy-AM"/>
              </w:rPr>
              <w:t>հասցնելով</w:t>
            </w:r>
            <w:r w:rsidRPr="00EE5F0F">
              <w:rPr>
                <w:rFonts w:ascii="Garamond" w:eastAsia="Calibri" w:hAnsi="Garamond"/>
                <w:i/>
                <w:color w:val="FF0000"/>
                <w:sz w:val="22"/>
                <w:szCs w:val="22"/>
                <w:lang w:val="hy-AM"/>
              </w:rPr>
              <w:t xml:space="preserve"> </w:t>
            </w:r>
            <w:r w:rsidRPr="00DE414B">
              <w:rPr>
                <w:rFonts w:ascii="Garamond" w:eastAsia="Calibri" w:hAnsi="Garamond"/>
                <w:i/>
                <w:sz w:val="22"/>
                <w:szCs w:val="22"/>
                <w:lang w:val="hy-AM"/>
              </w:rPr>
              <w:t>1</w:t>
            </w:r>
            <w:r w:rsidRPr="00DE414B">
              <w:rPr>
                <w:rFonts w:ascii="Times New Roman" w:eastAsia="Calibri" w:hAnsi="Times New Roman"/>
                <w:i/>
                <w:sz w:val="22"/>
                <w:szCs w:val="22"/>
                <w:lang w:val="hy-AM"/>
              </w:rPr>
              <w:t>․</w:t>
            </w:r>
            <w:r w:rsidRPr="00DE414B">
              <w:rPr>
                <w:rFonts w:ascii="Garamond" w:eastAsia="Calibri" w:hAnsi="Garamond"/>
                <w:i/>
                <w:sz w:val="22"/>
                <w:szCs w:val="22"/>
                <w:lang w:val="hy-AM"/>
              </w:rPr>
              <w:t>75%-</w:t>
            </w:r>
            <w:r w:rsidRPr="00DE414B">
              <w:rPr>
                <w:rFonts w:ascii="Times New Roman" w:eastAsia="Calibri" w:hAnsi="Times New Roman"/>
                <w:i/>
                <w:sz w:val="22"/>
                <w:szCs w:val="22"/>
                <w:lang w:val="hy-AM"/>
              </w:rPr>
              <w:t>ի</w:t>
            </w:r>
            <w:r w:rsidRPr="00DE414B">
              <w:rPr>
                <w:rFonts w:ascii="Garamond" w:hAnsi="Garamond"/>
                <w:i/>
                <w:sz w:val="22"/>
                <w:szCs w:val="22"/>
              </w:rPr>
              <w:t>)</w:t>
            </w:r>
            <w:r w:rsidRPr="00DE414B">
              <w:rPr>
                <w:rFonts w:ascii="Garamond" w:hAnsi="Garamond"/>
                <w:i/>
                <w:sz w:val="22"/>
                <w:szCs w:val="22"/>
                <w:lang w:val="hy-AM"/>
              </w:rPr>
              <w:t>:</w:t>
            </w:r>
          </w:p>
          <w:p w14:paraId="06B6F197" w14:textId="13344209" w:rsidR="00A64428" w:rsidRPr="00EE5F0F" w:rsidRDefault="00576DA1" w:rsidP="00576DA1">
            <w:pPr>
              <w:autoSpaceDE w:val="0"/>
              <w:autoSpaceDN w:val="0"/>
              <w:adjustRightInd w:val="0"/>
              <w:spacing w:after="120" w:line="360" w:lineRule="auto"/>
              <w:jc w:val="both"/>
              <w:rPr>
                <w:rFonts w:ascii="Garamond" w:hAnsi="Garamond"/>
                <w:sz w:val="22"/>
                <w:szCs w:val="22"/>
              </w:rPr>
            </w:pPr>
            <w:r w:rsidRPr="00576DA1">
              <w:rPr>
                <w:rFonts w:ascii="Garamond" w:hAnsi="Garamond"/>
                <w:sz w:val="22"/>
                <w:szCs w:val="22"/>
              </w:rPr>
              <w:t>Given the spread between domestic and external interest rates</w:t>
            </w:r>
            <w:r>
              <w:rPr>
                <w:rFonts w:ascii="Garamond" w:hAnsi="Garamond"/>
                <w:sz w:val="22"/>
                <w:szCs w:val="22"/>
              </w:rPr>
              <w:t xml:space="preserve"> </w:t>
            </w:r>
            <w:r w:rsidR="00242EA6" w:rsidRPr="00EE5F0F">
              <w:rPr>
                <w:rFonts w:ascii="Garamond" w:hAnsi="Garamond"/>
                <w:sz w:val="22"/>
                <w:szCs w:val="22"/>
              </w:rPr>
              <w:t xml:space="preserve">and Armenia’s average quarterly country risk premium reducing </w:t>
            </w:r>
            <w:r>
              <w:rPr>
                <w:rFonts w:ascii="Garamond" w:hAnsi="Garamond"/>
                <w:sz w:val="22"/>
                <w:szCs w:val="22"/>
              </w:rPr>
              <w:t xml:space="preserve">with </w:t>
            </w:r>
            <w:r w:rsidR="00242EA6" w:rsidRPr="00EE5F0F">
              <w:rPr>
                <w:rFonts w:ascii="Garamond" w:hAnsi="Garamond"/>
                <w:sz w:val="22"/>
                <w:szCs w:val="22"/>
              </w:rPr>
              <w:t xml:space="preserve">even </w:t>
            </w:r>
            <w:r w:rsidRPr="00576DA1">
              <w:rPr>
                <w:rFonts w:ascii="Garamond" w:hAnsi="Garamond"/>
                <w:sz w:val="22"/>
                <w:szCs w:val="22"/>
              </w:rPr>
              <w:t xml:space="preserve">a faster </w:t>
            </w:r>
            <w:proofErr w:type="gramStart"/>
            <w:r w:rsidRPr="00576DA1">
              <w:rPr>
                <w:rFonts w:ascii="Garamond" w:hAnsi="Garamond"/>
                <w:sz w:val="22"/>
                <w:szCs w:val="22"/>
              </w:rPr>
              <w:t>pace</w:t>
            </w:r>
            <w:r w:rsidR="00242EA6" w:rsidRPr="00EE5F0F">
              <w:rPr>
                <w:rFonts w:ascii="Garamond" w:hAnsi="Garamond"/>
                <w:sz w:val="22"/>
                <w:szCs w:val="22"/>
              </w:rPr>
              <w:t>(</w:t>
            </w:r>
            <w:proofErr w:type="gramEnd"/>
            <w:r w:rsidR="00242EA6" w:rsidRPr="00EE5F0F">
              <w:rPr>
                <w:rFonts w:ascii="Garamond" w:hAnsi="Garamond"/>
                <w:sz w:val="22"/>
                <w:szCs w:val="22"/>
              </w:rPr>
              <w:t>coupled with patterns of recovery, starting from February, driven by global factors), short-term exchange rate appreciation pressures (net of seasonality)</w:t>
            </w:r>
            <w:r>
              <w:rPr>
                <w:rFonts w:ascii="Garamond" w:hAnsi="Garamond"/>
                <w:sz w:val="22"/>
                <w:szCs w:val="22"/>
              </w:rPr>
              <w:t xml:space="preserve"> were observed</w:t>
            </w:r>
            <w:r w:rsidR="00242EA6" w:rsidRPr="00EE5F0F">
              <w:rPr>
                <w:rFonts w:ascii="Garamond" w:hAnsi="Garamond"/>
                <w:sz w:val="22"/>
                <w:szCs w:val="22"/>
              </w:rPr>
              <w:t xml:space="preserve">, and the Central Bank purchased about USD 47 million (net) from the foreign exchange market. Under such conditions, the nominal exchange rate of the Armenian dram against the US dollar </w:t>
            </w:r>
            <w:r>
              <w:rPr>
                <w:rFonts w:ascii="Garamond" w:hAnsi="Garamond"/>
                <w:sz w:val="22"/>
                <w:szCs w:val="22"/>
              </w:rPr>
              <w:t>was</w:t>
            </w:r>
            <w:r w:rsidRPr="00EE5F0F">
              <w:rPr>
                <w:rFonts w:ascii="Garamond" w:hAnsi="Garamond"/>
                <w:sz w:val="22"/>
                <w:szCs w:val="22"/>
              </w:rPr>
              <w:t xml:space="preserve"> </w:t>
            </w:r>
            <w:r w:rsidR="00242EA6" w:rsidRPr="00EE5F0F">
              <w:rPr>
                <w:rFonts w:ascii="Garamond" w:hAnsi="Garamond"/>
                <w:sz w:val="22"/>
                <w:szCs w:val="22"/>
              </w:rPr>
              <w:t>stabl</w:t>
            </w:r>
            <w:r>
              <w:rPr>
                <w:rFonts w:ascii="Garamond" w:hAnsi="Garamond"/>
                <w:sz w:val="22"/>
                <w:szCs w:val="22"/>
              </w:rPr>
              <w:t>e</w:t>
            </w:r>
            <w:r w:rsidR="00242EA6" w:rsidRPr="00EE5F0F">
              <w:rPr>
                <w:rFonts w:ascii="Garamond" w:hAnsi="Garamond"/>
                <w:sz w:val="22"/>
                <w:szCs w:val="22"/>
              </w:rPr>
              <w:t xml:space="preserve">, appreciating by nearly 0.4%. </w:t>
            </w:r>
            <w:r w:rsidR="00151C36" w:rsidRPr="00EE5F0F">
              <w:rPr>
                <w:rFonts w:ascii="Garamond" w:hAnsi="Garamond"/>
                <w:sz w:val="22"/>
                <w:szCs w:val="22"/>
              </w:rPr>
              <w:t xml:space="preserve">Note also that with most trade partners’ </w:t>
            </w:r>
            <w:r w:rsidR="006A541E" w:rsidRPr="00EE5F0F">
              <w:rPr>
                <w:rFonts w:ascii="Garamond" w:hAnsi="Garamond"/>
                <w:sz w:val="22"/>
                <w:szCs w:val="22"/>
              </w:rPr>
              <w:t xml:space="preserve">currencies </w:t>
            </w:r>
            <w:r w:rsidR="00151C36" w:rsidRPr="00EE5F0F">
              <w:rPr>
                <w:rFonts w:ascii="Garamond" w:hAnsi="Garamond"/>
                <w:sz w:val="22"/>
                <w:szCs w:val="22"/>
              </w:rPr>
              <w:t xml:space="preserve">having demonstrated </w:t>
            </w:r>
            <w:r w:rsidR="00151C36" w:rsidRPr="00EE5F0F">
              <w:rPr>
                <w:rFonts w:ascii="Garamond" w:hAnsi="Garamond"/>
                <w:sz w:val="22"/>
                <w:szCs w:val="22"/>
              </w:rPr>
              <w:lastRenderedPageBreak/>
              <w:t>faster appreciation versus</w:t>
            </w:r>
            <w:r w:rsidR="006A541E" w:rsidRPr="00EE5F0F">
              <w:rPr>
                <w:rFonts w:ascii="Garamond" w:hAnsi="Garamond"/>
                <w:sz w:val="22"/>
                <w:szCs w:val="22"/>
              </w:rPr>
              <w:t xml:space="preserve"> </w:t>
            </w:r>
            <w:r w:rsidR="00FD667F" w:rsidRPr="00EE5F0F">
              <w:rPr>
                <w:rFonts w:ascii="Garamond" w:hAnsi="Garamond"/>
                <w:sz w:val="22"/>
                <w:szCs w:val="22"/>
              </w:rPr>
              <w:t>the US dollar</w:t>
            </w:r>
            <w:r w:rsidR="006A541E" w:rsidRPr="00EE5F0F">
              <w:rPr>
                <w:rFonts w:ascii="Garamond" w:hAnsi="Garamond"/>
                <w:sz w:val="22"/>
                <w:szCs w:val="22"/>
              </w:rPr>
              <w:t xml:space="preserve">, </w:t>
            </w:r>
            <w:r w:rsidR="00242EA6" w:rsidRPr="00EE5F0F">
              <w:rPr>
                <w:rFonts w:ascii="Garamond" w:hAnsi="Garamond"/>
                <w:sz w:val="22"/>
                <w:szCs w:val="22"/>
              </w:rPr>
              <w:t xml:space="preserve">the nominal effective exchange rate of the Armenian dram depreciated by about 2% in the first quarter, which has been totally offset by the difference in acceleration of inflation rates recorded in Armenia and </w:t>
            </w:r>
            <w:r w:rsidR="00B93B98" w:rsidRPr="00EE5F0F">
              <w:rPr>
                <w:rFonts w:ascii="Garamond" w:hAnsi="Garamond"/>
                <w:sz w:val="22"/>
                <w:szCs w:val="22"/>
              </w:rPr>
              <w:t xml:space="preserve">the </w:t>
            </w:r>
            <w:r w:rsidR="00242EA6" w:rsidRPr="00EE5F0F">
              <w:rPr>
                <w:rFonts w:ascii="Garamond" w:hAnsi="Garamond"/>
                <w:sz w:val="22"/>
                <w:szCs w:val="22"/>
              </w:rPr>
              <w:t>main trade partner countries</w:t>
            </w:r>
            <w:r w:rsidR="00B93B98" w:rsidRPr="00EE5F0F">
              <w:rPr>
                <w:rFonts w:ascii="Garamond" w:hAnsi="Garamond"/>
                <w:sz w:val="22"/>
                <w:szCs w:val="22"/>
              </w:rPr>
              <w:t>. In the meantime, t</w:t>
            </w:r>
            <w:r w:rsidR="00FD667F" w:rsidRPr="00EE5F0F">
              <w:rPr>
                <w:rFonts w:ascii="Garamond" w:hAnsi="Garamond"/>
                <w:sz w:val="22"/>
                <w:szCs w:val="22"/>
              </w:rPr>
              <w:t xml:space="preserve">he real effective exchange rate </w:t>
            </w:r>
            <w:r w:rsidR="009250E6" w:rsidRPr="00EE5F0F">
              <w:rPr>
                <w:rFonts w:ascii="Garamond" w:hAnsi="Garamond"/>
                <w:sz w:val="22"/>
                <w:szCs w:val="22"/>
              </w:rPr>
              <w:t xml:space="preserve">has appreciated by </w:t>
            </w:r>
            <w:r w:rsidR="00FD667F" w:rsidRPr="00EE5F0F">
              <w:rPr>
                <w:rFonts w:ascii="Garamond" w:hAnsi="Garamond"/>
                <w:sz w:val="22"/>
                <w:szCs w:val="22"/>
              </w:rPr>
              <w:t>about 1.</w:t>
            </w:r>
            <w:r w:rsidR="00B93B98" w:rsidRPr="00EE5F0F">
              <w:rPr>
                <w:rFonts w:ascii="Garamond" w:hAnsi="Garamond"/>
                <w:sz w:val="22"/>
                <w:szCs w:val="22"/>
              </w:rPr>
              <w:t>0</w:t>
            </w:r>
            <w:r w:rsidR="00FD667F" w:rsidRPr="00EE5F0F">
              <w:rPr>
                <w:rFonts w:ascii="Garamond" w:hAnsi="Garamond"/>
                <w:sz w:val="22"/>
                <w:szCs w:val="22"/>
              </w:rPr>
              <w:t>%.</w:t>
            </w:r>
          </w:p>
        </w:tc>
      </w:tr>
    </w:tbl>
    <w:p w14:paraId="577C0821" w14:textId="77777777" w:rsidR="00A64428" w:rsidRPr="00EE5F0F" w:rsidRDefault="00A64428" w:rsidP="00A64428">
      <w:pPr>
        <w:spacing w:line="360" w:lineRule="auto"/>
        <w:jc w:val="both"/>
        <w:rPr>
          <w:rFonts w:ascii="Garamond" w:hAnsi="Garamond"/>
          <w:b/>
          <w:sz w:val="22"/>
          <w:szCs w:val="22"/>
        </w:rPr>
      </w:pPr>
    </w:p>
    <w:p w14:paraId="4C50CFC6" w14:textId="77777777" w:rsidR="00A64428" w:rsidRPr="00EE5F0F" w:rsidRDefault="001574F6" w:rsidP="00B178C0">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R</w:t>
      </w:r>
      <w:r w:rsidR="00B93B98" w:rsidRPr="00EE5F0F">
        <w:rPr>
          <w:rFonts w:ascii="Garamond" w:hAnsi="Garamond"/>
          <w:sz w:val="22"/>
          <w:szCs w:val="22"/>
        </w:rPr>
        <w:t>elatively steady expectations of the financial market participants, expansionary monetary policy pursued by the Central Bank a</w:t>
      </w:r>
      <w:r w:rsidRPr="00EE5F0F">
        <w:rPr>
          <w:rFonts w:ascii="Garamond" w:hAnsi="Garamond"/>
          <w:sz w:val="22"/>
          <w:szCs w:val="22"/>
        </w:rPr>
        <w:t xml:space="preserve">nd </w:t>
      </w:r>
      <w:r w:rsidR="00B93B98" w:rsidRPr="00EE5F0F">
        <w:rPr>
          <w:rFonts w:ascii="Garamond" w:hAnsi="Garamond"/>
          <w:sz w:val="22"/>
          <w:szCs w:val="22"/>
        </w:rPr>
        <w:t xml:space="preserve">strong liquidity in the banking system all further contributed over the quarter to the shaping </w:t>
      </w:r>
      <w:r w:rsidRPr="00EE5F0F">
        <w:rPr>
          <w:rFonts w:ascii="Garamond" w:hAnsi="Garamond"/>
          <w:sz w:val="22"/>
          <w:szCs w:val="22"/>
        </w:rPr>
        <w:t>of</w:t>
      </w:r>
      <w:r w:rsidR="00306152" w:rsidRPr="00EE5F0F">
        <w:rPr>
          <w:rFonts w:ascii="Garamond" w:hAnsi="Garamond"/>
          <w:sz w:val="22"/>
          <w:szCs w:val="22"/>
        </w:rPr>
        <w:t xml:space="preserve"> </w:t>
      </w:r>
      <w:r w:rsidR="00B93B98" w:rsidRPr="00EE5F0F">
        <w:rPr>
          <w:rFonts w:ascii="Garamond" w:hAnsi="Garamond"/>
          <w:sz w:val="22"/>
          <w:szCs w:val="22"/>
        </w:rPr>
        <w:t xml:space="preserve">high demand for bonds and reducing </w:t>
      </w:r>
      <w:r w:rsidRPr="00EE5F0F">
        <w:rPr>
          <w:rFonts w:ascii="Garamond" w:hAnsi="Garamond"/>
          <w:sz w:val="22"/>
          <w:szCs w:val="22"/>
        </w:rPr>
        <w:t xml:space="preserve">of </w:t>
      </w:r>
      <w:r w:rsidR="00306152" w:rsidRPr="00EE5F0F">
        <w:rPr>
          <w:rFonts w:ascii="Garamond" w:hAnsi="Garamond"/>
          <w:sz w:val="22"/>
          <w:szCs w:val="22"/>
        </w:rPr>
        <w:t>the</w:t>
      </w:r>
      <w:r w:rsidR="00B93B98" w:rsidRPr="00EE5F0F">
        <w:rPr>
          <w:rFonts w:ascii="Garamond" w:hAnsi="Garamond"/>
          <w:sz w:val="22"/>
          <w:szCs w:val="22"/>
        </w:rPr>
        <w:t xml:space="preserve"> yields, primarily in the mid-term and long-term segments</w:t>
      </w:r>
      <w:r w:rsidR="00306152" w:rsidRPr="00EE5F0F">
        <w:rPr>
          <w:rFonts w:ascii="Garamond" w:hAnsi="Garamond"/>
          <w:sz w:val="22"/>
          <w:szCs w:val="22"/>
        </w:rPr>
        <w:t>; short-term bond interest rates, incurring th</w:t>
      </w:r>
      <w:r w:rsidR="00B93B98" w:rsidRPr="00EE5F0F">
        <w:rPr>
          <w:rFonts w:ascii="Garamond" w:hAnsi="Garamond"/>
          <w:sz w:val="22"/>
          <w:szCs w:val="22"/>
        </w:rPr>
        <w:t>e impact of the developments</w:t>
      </w:r>
      <w:r w:rsidR="00306152" w:rsidRPr="00EE5F0F">
        <w:rPr>
          <w:rFonts w:ascii="Garamond" w:hAnsi="Garamond"/>
          <w:sz w:val="22"/>
          <w:szCs w:val="22"/>
        </w:rPr>
        <w:t xml:space="preserve"> in the money market,</w:t>
      </w:r>
      <w:r w:rsidR="00B93B98" w:rsidRPr="00EE5F0F">
        <w:rPr>
          <w:rFonts w:ascii="Garamond" w:hAnsi="Garamond"/>
          <w:sz w:val="22"/>
          <w:szCs w:val="22"/>
        </w:rPr>
        <w:t xml:space="preserve"> ha</w:t>
      </w:r>
      <w:r w:rsidR="00306152" w:rsidRPr="00EE5F0F">
        <w:rPr>
          <w:rFonts w:ascii="Garamond" w:hAnsi="Garamond"/>
          <w:sz w:val="22"/>
          <w:szCs w:val="22"/>
        </w:rPr>
        <w:t xml:space="preserve">ve </w:t>
      </w:r>
      <w:r w:rsidR="00B93B98" w:rsidRPr="00EE5F0F">
        <w:rPr>
          <w:rFonts w:ascii="Garamond" w:hAnsi="Garamond"/>
          <w:sz w:val="22"/>
          <w:szCs w:val="22"/>
        </w:rPr>
        <w:t>shaped around the C</w:t>
      </w:r>
      <w:r w:rsidR="00306152" w:rsidRPr="00EE5F0F">
        <w:rPr>
          <w:rFonts w:ascii="Garamond" w:hAnsi="Garamond"/>
          <w:sz w:val="22"/>
          <w:szCs w:val="22"/>
        </w:rPr>
        <w:t xml:space="preserve">entral </w:t>
      </w:r>
      <w:r w:rsidR="00B93B98" w:rsidRPr="00EE5F0F">
        <w:rPr>
          <w:rFonts w:ascii="Garamond" w:hAnsi="Garamond"/>
          <w:sz w:val="22"/>
          <w:szCs w:val="22"/>
        </w:rPr>
        <w:t>B</w:t>
      </w:r>
      <w:r w:rsidR="00306152" w:rsidRPr="00EE5F0F">
        <w:rPr>
          <w:rFonts w:ascii="Garamond" w:hAnsi="Garamond"/>
          <w:sz w:val="22"/>
          <w:szCs w:val="22"/>
        </w:rPr>
        <w:t>ank’s</w:t>
      </w:r>
      <w:r w:rsidR="00B93B98" w:rsidRPr="00EE5F0F">
        <w:rPr>
          <w:rFonts w:ascii="Garamond" w:hAnsi="Garamond"/>
          <w:sz w:val="22"/>
          <w:szCs w:val="22"/>
        </w:rPr>
        <w:t xml:space="preserve"> policy rate.</w:t>
      </w:r>
      <w:r w:rsidR="00480548" w:rsidRPr="00EE5F0F">
        <w:rPr>
          <w:rFonts w:ascii="Garamond" w:hAnsi="Garamond"/>
          <w:sz w:val="22"/>
          <w:szCs w:val="22"/>
        </w:rPr>
        <w:t xml:space="preserve"> A</w:t>
      </w:r>
      <w:r w:rsidRPr="00EE5F0F">
        <w:rPr>
          <w:rFonts w:ascii="Garamond" w:hAnsi="Garamond"/>
          <w:sz w:val="22"/>
          <w:szCs w:val="22"/>
        </w:rPr>
        <w:t>t</w:t>
      </w:r>
      <w:r w:rsidR="00F40B63" w:rsidRPr="00EE5F0F">
        <w:rPr>
          <w:rFonts w:ascii="Garamond" w:hAnsi="Garamond"/>
          <w:sz w:val="22"/>
          <w:szCs w:val="22"/>
        </w:rPr>
        <w:t xml:space="preserve"> </w:t>
      </w:r>
      <w:r w:rsidR="00480548" w:rsidRPr="00EE5F0F">
        <w:rPr>
          <w:rFonts w:ascii="Garamond" w:hAnsi="Garamond"/>
          <w:sz w:val="22"/>
          <w:szCs w:val="22"/>
        </w:rPr>
        <w:t>the end of March</w:t>
      </w:r>
      <w:r w:rsidR="00306152" w:rsidRPr="00EE5F0F">
        <w:rPr>
          <w:rFonts w:ascii="Garamond" w:hAnsi="Garamond"/>
          <w:sz w:val="22"/>
          <w:szCs w:val="22"/>
        </w:rPr>
        <w:t>, t</w:t>
      </w:r>
      <w:r w:rsidR="00AF7EA6" w:rsidRPr="00EE5F0F">
        <w:rPr>
          <w:rFonts w:ascii="Garamond" w:hAnsi="Garamond"/>
          <w:sz w:val="22"/>
          <w:szCs w:val="22"/>
        </w:rPr>
        <w:t xml:space="preserve">he average quarterly </w:t>
      </w:r>
      <w:r w:rsidR="00827912" w:rsidRPr="00EE5F0F">
        <w:rPr>
          <w:rFonts w:ascii="Garamond" w:hAnsi="Garamond"/>
          <w:sz w:val="22"/>
          <w:szCs w:val="22"/>
        </w:rPr>
        <w:t xml:space="preserve">yield </w:t>
      </w:r>
      <w:r w:rsidR="00F40B63" w:rsidRPr="00EE5F0F">
        <w:rPr>
          <w:rFonts w:ascii="Garamond" w:hAnsi="Garamond"/>
          <w:sz w:val="22"/>
          <w:szCs w:val="22"/>
        </w:rPr>
        <w:t>of</w:t>
      </w:r>
      <w:r w:rsidR="00827912" w:rsidRPr="00EE5F0F">
        <w:rPr>
          <w:rFonts w:ascii="Garamond" w:hAnsi="Garamond"/>
          <w:sz w:val="22"/>
          <w:szCs w:val="22"/>
        </w:rPr>
        <w:t xml:space="preserve"> short-term </w:t>
      </w:r>
      <w:r w:rsidR="00F40B63" w:rsidRPr="00EE5F0F">
        <w:rPr>
          <w:rFonts w:ascii="Garamond" w:hAnsi="Garamond"/>
          <w:sz w:val="22"/>
          <w:szCs w:val="22"/>
        </w:rPr>
        <w:t xml:space="preserve">bonds </w:t>
      </w:r>
      <w:r w:rsidRPr="00EE5F0F">
        <w:rPr>
          <w:rFonts w:ascii="Garamond" w:hAnsi="Garamond"/>
          <w:sz w:val="22"/>
          <w:szCs w:val="22"/>
        </w:rPr>
        <w:t>amounted to</w:t>
      </w:r>
      <w:r w:rsidR="00F40B63" w:rsidRPr="00EE5F0F">
        <w:rPr>
          <w:rFonts w:ascii="Garamond" w:hAnsi="Garamond"/>
          <w:sz w:val="22"/>
          <w:szCs w:val="22"/>
        </w:rPr>
        <w:t xml:space="preserve"> 6.05%, </w:t>
      </w:r>
      <w:r w:rsidRPr="00EE5F0F">
        <w:rPr>
          <w:rFonts w:ascii="Garamond" w:hAnsi="Garamond"/>
          <w:sz w:val="22"/>
          <w:szCs w:val="22"/>
        </w:rPr>
        <w:t>which was a</w:t>
      </w:r>
      <w:r w:rsidR="00827912" w:rsidRPr="00EE5F0F">
        <w:rPr>
          <w:rFonts w:ascii="Garamond" w:hAnsi="Garamond"/>
          <w:sz w:val="22"/>
          <w:szCs w:val="22"/>
        </w:rPr>
        <w:t xml:space="preserve"> </w:t>
      </w:r>
      <w:r w:rsidR="00AF7EA6" w:rsidRPr="00EE5F0F">
        <w:rPr>
          <w:rFonts w:ascii="Garamond" w:hAnsi="Garamond"/>
          <w:sz w:val="22"/>
          <w:szCs w:val="22"/>
        </w:rPr>
        <w:t>0.</w:t>
      </w:r>
      <w:r w:rsidR="00306152" w:rsidRPr="00EE5F0F">
        <w:rPr>
          <w:rFonts w:ascii="Garamond" w:hAnsi="Garamond"/>
          <w:sz w:val="22"/>
          <w:szCs w:val="22"/>
        </w:rPr>
        <w:t>18</w:t>
      </w:r>
      <w:r w:rsidR="00AF7EA6" w:rsidRPr="00EE5F0F">
        <w:rPr>
          <w:rFonts w:ascii="Garamond" w:hAnsi="Garamond"/>
          <w:sz w:val="22"/>
          <w:szCs w:val="22"/>
        </w:rPr>
        <w:t xml:space="preserve"> p</w:t>
      </w:r>
      <w:r w:rsidR="00827912" w:rsidRPr="00EE5F0F">
        <w:rPr>
          <w:rFonts w:ascii="Garamond" w:hAnsi="Garamond"/>
          <w:sz w:val="22"/>
          <w:szCs w:val="22"/>
        </w:rPr>
        <w:t>p</w:t>
      </w:r>
      <w:r w:rsidR="00306152" w:rsidRPr="00EE5F0F">
        <w:rPr>
          <w:rFonts w:ascii="Garamond" w:hAnsi="Garamond"/>
          <w:sz w:val="22"/>
          <w:szCs w:val="22"/>
        </w:rPr>
        <w:t xml:space="preserve"> </w:t>
      </w:r>
      <w:r w:rsidRPr="00EE5F0F">
        <w:rPr>
          <w:rFonts w:ascii="Garamond" w:hAnsi="Garamond"/>
          <w:sz w:val="22"/>
          <w:szCs w:val="22"/>
        </w:rPr>
        <w:t xml:space="preserve">increase </w:t>
      </w:r>
      <w:r w:rsidR="00306152" w:rsidRPr="00EE5F0F">
        <w:rPr>
          <w:rFonts w:ascii="Garamond" w:hAnsi="Garamond"/>
          <w:sz w:val="22"/>
          <w:szCs w:val="22"/>
        </w:rPr>
        <w:t>against December</w:t>
      </w:r>
      <w:r w:rsidRPr="00EE5F0F">
        <w:rPr>
          <w:rFonts w:ascii="Garamond" w:hAnsi="Garamond"/>
          <w:sz w:val="22"/>
          <w:szCs w:val="22"/>
        </w:rPr>
        <w:t>. A</w:t>
      </w:r>
      <w:r w:rsidR="00827912" w:rsidRPr="00EE5F0F">
        <w:rPr>
          <w:rFonts w:ascii="Garamond" w:hAnsi="Garamond"/>
          <w:sz w:val="22"/>
          <w:szCs w:val="22"/>
        </w:rPr>
        <w:t xml:space="preserve">verage </w:t>
      </w:r>
      <w:r w:rsidR="00AF7EA6" w:rsidRPr="00EE5F0F">
        <w:rPr>
          <w:rFonts w:ascii="Garamond" w:hAnsi="Garamond"/>
          <w:sz w:val="22"/>
          <w:szCs w:val="22"/>
        </w:rPr>
        <w:t>yield</w:t>
      </w:r>
      <w:r w:rsidRPr="00EE5F0F">
        <w:rPr>
          <w:rFonts w:ascii="Garamond" w:hAnsi="Garamond"/>
          <w:sz w:val="22"/>
          <w:szCs w:val="22"/>
        </w:rPr>
        <w:t>s</w:t>
      </w:r>
      <w:r w:rsidR="00AF7EA6" w:rsidRPr="00EE5F0F">
        <w:rPr>
          <w:rFonts w:ascii="Garamond" w:hAnsi="Garamond"/>
          <w:sz w:val="22"/>
          <w:szCs w:val="22"/>
        </w:rPr>
        <w:t xml:space="preserve"> of mid-term and long-term bonds ha</w:t>
      </w:r>
      <w:r w:rsidRPr="00EE5F0F">
        <w:rPr>
          <w:rFonts w:ascii="Garamond" w:hAnsi="Garamond"/>
          <w:sz w:val="22"/>
          <w:szCs w:val="22"/>
        </w:rPr>
        <w:t>ve</w:t>
      </w:r>
      <w:r w:rsidR="00AF7EA6" w:rsidRPr="00EE5F0F">
        <w:rPr>
          <w:rFonts w:ascii="Garamond" w:hAnsi="Garamond"/>
          <w:sz w:val="22"/>
          <w:szCs w:val="22"/>
        </w:rPr>
        <w:t xml:space="preserve"> </w:t>
      </w:r>
      <w:r w:rsidR="00827912" w:rsidRPr="00EE5F0F">
        <w:rPr>
          <w:rFonts w:ascii="Garamond" w:hAnsi="Garamond"/>
          <w:sz w:val="22"/>
          <w:szCs w:val="22"/>
        </w:rPr>
        <w:t xml:space="preserve">reduced </w:t>
      </w:r>
      <w:r w:rsidR="00AF7EA6" w:rsidRPr="00EE5F0F">
        <w:rPr>
          <w:rFonts w:ascii="Garamond" w:hAnsi="Garamond"/>
          <w:sz w:val="22"/>
          <w:szCs w:val="22"/>
        </w:rPr>
        <w:t>by 0.</w:t>
      </w:r>
      <w:r w:rsidR="00F40B63" w:rsidRPr="00EE5F0F">
        <w:rPr>
          <w:rFonts w:ascii="Garamond" w:hAnsi="Garamond"/>
          <w:sz w:val="22"/>
          <w:szCs w:val="22"/>
        </w:rPr>
        <w:t>11</w:t>
      </w:r>
      <w:r w:rsidR="00AF7EA6" w:rsidRPr="00EE5F0F">
        <w:rPr>
          <w:rFonts w:ascii="Garamond" w:hAnsi="Garamond"/>
          <w:sz w:val="22"/>
          <w:szCs w:val="22"/>
        </w:rPr>
        <w:t xml:space="preserve"> </w:t>
      </w:r>
      <w:r w:rsidR="00F40B63" w:rsidRPr="00EE5F0F">
        <w:rPr>
          <w:rFonts w:ascii="Garamond" w:hAnsi="Garamond"/>
          <w:sz w:val="22"/>
          <w:szCs w:val="22"/>
        </w:rPr>
        <w:t xml:space="preserve">pp and 0.60 </w:t>
      </w:r>
      <w:r w:rsidR="00AF7EA6" w:rsidRPr="00EE5F0F">
        <w:rPr>
          <w:rFonts w:ascii="Garamond" w:hAnsi="Garamond"/>
          <w:sz w:val="22"/>
          <w:szCs w:val="22"/>
        </w:rPr>
        <w:t>p</w:t>
      </w:r>
      <w:r w:rsidR="00637B52" w:rsidRPr="00EE5F0F">
        <w:rPr>
          <w:rFonts w:ascii="Garamond" w:hAnsi="Garamond"/>
          <w:sz w:val="22"/>
          <w:szCs w:val="22"/>
        </w:rPr>
        <w:t>p</w:t>
      </w:r>
      <w:r w:rsidR="00F40B63" w:rsidRPr="00EE5F0F">
        <w:rPr>
          <w:rFonts w:ascii="Garamond" w:hAnsi="Garamond"/>
          <w:sz w:val="22"/>
          <w:szCs w:val="22"/>
        </w:rPr>
        <w:t>, respectively</w:t>
      </w:r>
      <w:r w:rsidR="00AF7EA6" w:rsidRPr="00EE5F0F">
        <w:rPr>
          <w:rFonts w:ascii="Garamond" w:hAnsi="Garamond"/>
          <w:sz w:val="22"/>
          <w:szCs w:val="22"/>
        </w:rPr>
        <w:t>.</w:t>
      </w:r>
    </w:p>
    <w:p w14:paraId="533FCD73" w14:textId="77777777" w:rsidR="00964076" w:rsidRPr="00EE5F0F" w:rsidRDefault="002B44D9" w:rsidP="00B178C0">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 xml:space="preserve">Although the policy rate of the Central Bank remains unchanged for quite a long time, the interest rates of funds attracted and allocated by commercial banks further tended to decrease over the first quarter of 2018. Competition between financial institutions, existing liquidity in the banking system, as well as relative stability in money and foreign exchange markets remained among factors that pushed interest rates down. </w:t>
      </w:r>
      <w:r w:rsidR="0013157E" w:rsidRPr="00EE5F0F">
        <w:rPr>
          <w:rFonts w:ascii="Garamond" w:hAnsi="Garamond"/>
          <w:b/>
          <w:sz w:val="22"/>
          <w:szCs w:val="22"/>
        </w:rPr>
        <w:t>During the quarter, interest rates reduced as the growth of attracted funds slowed down, mostly owing to attracted foreign currency funds.</w:t>
      </w:r>
      <w:r w:rsidR="0013157E" w:rsidRPr="00EE5F0F">
        <w:rPr>
          <w:rFonts w:ascii="Garamond" w:hAnsi="Garamond"/>
          <w:sz w:val="22"/>
          <w:szCs w:val="22"/>
        </w:rPr>
        <w:t xml:space="preserve"> The quarter saw foreign currency deposits reducing by 0.84% whereas d</w:t>
      </w:r>
      <w:r w:rsidR="00964076" w:rsidRPr="00EE5F0F">
        <w:rPr>
          <w:rFonts w:ascii="Garamond" w:hAnsi="Garamond"/>
          <w:sz w:val="22"/>
          <w:szCs w:val="22"/>
        </w:rPr>
        <w:t xml:space="preserve">ram deposits </w:t>
      </w:r>
      <w:r w:rsidR="0013157E" w:rsidRPr="00EE5F0F">
        <w:rPr>
          <w:rFonts w:ascii="Garamond" w:hAnsi="Garamond"/>
          <w:sz w:val="22"/>
          <w:szCs w:val="22"/>
        </w:rPr>
        <w:t>continued growing (by 3.6%). As a result, t</w:t>
      </w:r>
      <w:r w:rsidR="00964076" w:rsidRPr="00EE5F0F">
        <w:rPr>
          <w:rFonts w:ascii="Garamond" w:hAnsi="Garamond"/>
          <w:sz w:val="22"/>
          <w:szCs w:val="22"/>
        </w:rPr>
        <w:t xml:space="preserve">he level of dollarization – the ratio of foreign currency deposits to total deposits – </w:t>
      </w:r>
      <w:r w:rsidR="0013157E" w:rsidRPr="00EE5F0F">
        <w:rPr>
          <w:rFonts w:ascii="Garamond" w:hAnsi="Garamond"/>
          <w:sz w:val="22"/>
          <w:szCs w:val="22"/>
        </w:rPr>
        <w:t xml:space="preserve">amounted to </w:t>
      </w:r>
      <w:r w:rsidR="00964076" w:rsidRPr="00EE5F0F">
        <w:rPr>
          <w:rFonts w:ascii="Garamond" w:hAnsi="Garamond"/>
          <w:sz w:val="22"/>
          <w:szCs w:val="22"/>
        </w:rPr>
        <w:t>5</w:t>
      </w:r>
      <w:r w:rsidR="0013157E" w:rsidRPr="00EE5F0F">
        <w:rPr>
          <w:rFonts w:ascii="Garamond" w:hAnsi="Garamond"/>
          <w:sz w:val="22"/>
          <w:szCs w:val="22"/>
        </w:rPr>
        <w:t>3</w:t>
      </w:r>
      <w:r w:rsidR="00964076" w:rsidRPr="00EE5F0F">
        <w:rPr>
          <w:rFonts w:ascii="Garamond" w:hAnsi="Garamond"/>
          <w:sz w:val="22"/>
          <w:szCs w:val="22"/>
        </w:rPr>
        <w:t>.</w:t>
      </w:r>
      <w:r w:rsidR="0013157E" w:rsidRPr="00EE5F0F">
        <w:rPr>
          <w:rFonts w:ascii="Garamond" w:hAnsi="Garamond"/>
          <w:sz w:val="22"/>
          <w:szCs w:val="22"/>
        </w:rPr>
        <w:t>8</w:t>
      </w:r>
      <w:r w:rsidR="00964076" w:rsidRPr="00EE5F0F">
        <w:rPr>
          <w:rFonts w:ascii="Garamond" w:hAnsi="Garamond"/>
          <w:sz w:val="22"/>
          <w:szCs w:val="22"/>
        </w:rPr>
        <w:t>%, dropping by 1.</w:t>
      </w:r>
      <w:r w:rsidR="0013157E" w:rsidRPr="00EE5F0F">
        <w:rPr>
          <w:rFonts w:ascii="Garamond" w:hAnsi="Garamond"/>
          <w:sz w:val="22"/>
          <w:szCs w:val="22"/>
        </w:rPr>
        <w:t>4</w:t>
      </w:r>
      <w:r w:rsidR="00964076" w:rsidRPr="00EE5F0F">
        <w:rPr>
          <w:rFonts w:ascii="Garamond" w:hAnsi="Garamond"/>
          <w:sz w:val="22"/>
          <w:szCs w:val="22"/>
        </w:rPr>
        <w:t xml:space="preserve"> p</w:t>
      </w:r>
      <w:r w:rsidR="002A38BF" w:rsidRPr="00EE5F0F">
        <w:rPr>
          <w:rFonts w:ascii="Garamond" w:hAnsi="Garamond"/>
          <w:sz w:val="22"/>
          <w:szCs w:val="22"/>
        </w:rPr>
        <w:t xml:space="preserve">p </w:t>
      </w:r>
      <w:r w:rsidR="00964076" w:rsidRPr="00EE5F0F">
        <w:rPr>
          <w:rFonts w:ascii="Garamond" w:hAnsi="Garamond"/>
          <w:sz w:val="22"/>
          <w:szCs w:val="22"/>
        </w:rPr>
        <w:t>compared to the previous quarter.</w:t>
      </w:r>
    </w:p>
    <w:p w14:paraId="51B98B8B" w14:textId="77777777" w:rsidR="002A38BF" w:rsidRPr="00EE5F0F" w:rsidRDefault="002A38BF" w:rsidP="00B178C0">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 xml:space="preserve">The growth of lending continued during the quarter. With interest rates reducing, lending terms and procedures further improving, the growth of lending amounted to </w:t>
      </w:r>
      <w:r w:rsidR="005E5095" w:rsidRPr="00EE5F0F">
        <w:rPr>
          <w:rFonts w:ascii="Garamond" w:hAnsi="Garamond"/>
          <w:sz w:val="22"/>
          <w:szCs w:val="22"/>
        </w:rPr>
        <w:t>4</w:t>
      </w:r>
      <w:r w:rsidRPr="00EE5F0F">
        <w:rPr>
          <w:rFonts w:ascii="Garamond" w:hAnsi="Garamond"/>
          <w:sz w:val="22"/>
          <w:szCs w:val="22"/>
        </w:rPr>
        <w:t>.</w:t>
      </w:r>
      <w:r w:rsidR="005E5095" w:rsidRPr="00EE5F0F">
        <w:rPr>
          <w:rFonts w:ascii="Garamond" w:hAnsi="Garamond"/>
          <w:sz w:val="22"/>
          <w:szCs w:val="22"/>
        </w:rPr>
        <w:t>6</w:t>
      </w:r>
      <w:r w:rsidRPr="00EE5F0F">
        <w:rPr>
          <w:rFonts w:ascii="Garamond" w:hAnsi="Garamond"/>
          <w:sz w:val="22"/>
          <w:szCs w:val="22"/>
        </w:rPr>
        <w:t xml:space="preserve">% over the quarter. </w:t>
      </w:r>
      <w:r w:rsidR="005E5095" w:rsidRPr="00EE5F0F">
        <w:rPr>
          <w:rFonts w:ascii="Garamond" w:hAnsi="Garamond"/>
          <w:sz w:val="22"/>
          <w:szCs w:val="22"/>
        </w:rPr>
        <w:t>In particular</w:t>
      </w:r>
      <w:r w:rsidRPr="00EE5F0F">
        <w:rPr>
          <w:rFonts w:ascii="Garamond" w:hAnsi="Garamond"/>
          <w:sz w:val="22"/>
          <w:szCs w:val="22"/>
        </w:rPr>
        <w:t xml:space="preserve">, dram loans have grown by </w:t>
      </w:r>
      <w:r w:rsidR="005E5095" w:rsidRPr="00EE5F0F">
        <w:rPr>
          <w:rFonts w:ascii="Garamond" w:hAnsi="Garamond"/>
          <w:sz w:val="22"/>
          <w:szCs w:val="22"/>
        </w:rPr>
        <w:t>6</w:t>
      </w:r>
      <w:r w:rsidRPr="00EE5F0F">
        <w:rPr>
          <w:rFonts w:ascii="Garamond" w:hAnsi="Garamond"/>
          <w:sz w:val="22"/>
          <w:szCs w:val="22"/>
        </w:rPr>
        <w:t xml:space="preserve">.2% and foreign currency loans, by </w:t>
      </w:r>
      <w:r w:rsidR="005E5095" w:rsidRPr="00EE5F0F">
        <w:rPr>
          <w:rFonts w:ascii="Garamond" w:hAnsi="Garamond"/>
          <w:sz w:val="22"/>
          <w:szCs w:val="22"/>
        </w:rPr>
        <w:t>2</w:t>
      </w:r>
      <w:r w:rsidRPr="00EE5F0F">
        <w:rPr>
          <w:rFonts w:ascii="Garamond" w:hAnsi="Garamond"/>
          <w:sz w:val="22"/>
          <w:szCs w:val="22"/>
        </w:rPr>
        <w:t>.</w:t>
      </w:r>
      <w:r w:rsidR="005E5095" w:rsidRPr="00EE5F0F">
        <w:rPr>
          <w:rFonts w:ascii="Garamond" w:hAnsi="Garamond"/>
          <w:sz w:val="22"/>
          <w:szCs w:val="22"/>
        </w:rPr>
        <w:t>7</w:t>
      </w:r>
      <w:r w:rsidRPr="00EE5F0F">
        <w:rPr>
          <w:rFonts w:ascii="Garamond" w:hAnsi="Garamond"/>
          <w:sz w:val="22"/>
          <w:szCs w:val="22"/>
        </w:rPr>
        <w:t xml:space="preserve">%. The 12-month growth of total lending to the economy in </w:t>
      </w:r>
      <w:r w:rsidR="005E5095" w:rsidRPr="00EE5F0F">
        <w:rPr>
          <w:rFonts w:ascii="Garamond" w:hAnsi="Garamond"/>
          <w:sz w:val="22"/>
          <w:szCs w:val="22"/>
        </w:rPr>
        <w:t>March</w:t>
      </w:r>
      <w:r w:rsidRPr="00EE5F0F">
        <w:rPr>
          <w:rFonts w:ascii="Garamond" w:hAnsi="Garamond"/>
          <w:sz w:val="22"/>
          <w:szCs w:val="22"/>
        </w:rPr>
        <w:t xml:space="preserve"> 201</w:t>
      </w:r>
      <w:r w:rsidR="005E5095" w:rsidRPr="00EE5F0F">
        <w:rPr>
          <w:rFonts w:ascii="Garamond" w:hAnsi="Garamond"/>
          <w:sz w:val="22"/>
          <w:szCs w:val="22"/>
        </w:rPr>
        <w:t>8</w:t>
      </w:r>
      <w:r w:rsidRPr="00EE5F0F">
        <w:rPr>
          <w:rFonts w:ascii="Garamond" w:hAnsi="Garamond"/>
          <w:sz w:val="22"/>
          <w:szCs w:val="22"/>
        </w:rPr>
        <w:t xml:space="preserve"> </w:t>
      </w:r>
      <w:r w:rsidR="005E5095" w:rsidRPr="00EE5F0F">
        <w:rPr>
          <w:rFonts w:ascii="Garamond" w:hAnsi="Garamond"/>
          <w:sz w:val="22"/>
          <w:szCs w:val="22"/>
        </w:rPr>
        <w:t>reached</w:t>
      </w:r>
      <w:r w:rsidRPr="00EE5F0F">
        <w:rPr>
          <w:rFonts w:ascii="Garamond" w:hAnsi="Garamond"/>
          <w:sz w:val="22"/>
          <w:szCs w:val="22"/>
        </w:rPr>
        <w:t xml:space="preserve"> </w:t>
      </w:r>
      <w:r w:rsidR="005E5095" w:rsidRPr="00EE5F0F">
        <w:rPr>
          <w:rFonts w:ascii="Garamond" w:hAnsi="Garamond"/>
          <w:sz w:val="22"/>
          <w:szCs w:val="22"/>
        </w:rPr>
        <w:t>20</w:t>
      </w:r>
      <w:r w:rsidRPr="00EE5F0F">
        <w:rPr>
          <w:rFonts w:ascii="Garamond" w:hAnsi="Garamond"/>
          <w:sz w:val="22"/>
          <w:szCs w:val="22"/>
        </w:rPr>
        <w:t>.</w:t>
      </w:r>
      <w:r w:rsidR="005E5095" w:rsidRPr="00EE5F0F">
        <w:rPr>
          <w:rFonts w:ascii="Garamond" w:hAnsi="Garamond"/>
          <w:sz w:val="22"/>
          <w:szCs w:val="22"/>
        </w:rPr>
        <w:t>0</w:t>
      </w:r>
      <w:r w:rsidRPr="00EE5F0F">
        <w:rPr>
          <w:rFonts w:ascii="Garamond" w:hAnsi="Garamond"/>
          <w:sz w:val="22"/>
          <w:szCs w:val="22"/>
        </w:rPr>
        <w:t xml:space="preserve">%, which is </w:t>
      </w:r>
      <w:r w:rsidR="005E5095" w:rsidRPr="00EE5F0F">
        <w:rPr>
          <w:rFonts w:ascii="Garamond" w:hAnsi="Garamond"/>
          <w:sz w:val="22"/>
          <w:szCs w:val="22"/>
        </w:rPr>
        <w:t xml:space="preserve">commensurate with </w:t>
      </w:r>
      <w:r w:rsidRPr="00EE5F0F">
        <w:rPr>
          <w:rFonts w:ascii="Garamond" w:hAnsi="Garamond"/>
          <w:sz w:val="22"/>
          <w:szCs w:val="22"/>
        </w:rPr>
        <w:t>the Central Bank’s estimat</w:t>
      </w:r>
      <w:r w:rsidR="00B75270" w:rsidRPr="00EE5F0F">
        <w:rPr>
          <w:rFonts w:ascii="Garamond" w:hAnsi="Garamond"/>
          <w:sz w:val="22"/>
          <w:szCs w:val="22"/>
        </w:rPr>
        <w:t>ion</w:t>
      </w:r>
      <w:r w:rsidRPr="00EE5F0F">
        <w:rPr>
          <w:rFonts w:ascii="Garamond" w:hAnsi="Garamond"/>
          <w:sz w:val="22"/>
          <w:szCs w:val="22"/>
        </w:rPr>
        <w:t>.</w:t>
      </w:r>
    </w:p>
    <w:p w14:paraId="562B3A5F" w14:textId="77777777" w:rsidR="00ED1126" w:rsidRPr="00EE5F0F" w:rsidRDefault="00ED1126" w:rsidP="00F40F99">
      <w:pPr>
        <w:spacing w:line="360" w:lineRule="auto"/>
        <w:jc w:val="both"/>
        <w:rPr>
          <w:rFonts w:ascii="Garamond" w:hAnsi="Garamond"/>
          <w:b/>
          <w:sz w:val="22"/>
          <w:szCs w:val="22"/>
        </w:rPr>
      </w:pPr>
    </w:p>
    <w:p w14:paraId="536B3769" w14:textId="77777777" w:rsidR="00ED1126" w:rsidRPr="00EE5F0F" w:rsidRDefault="00ED1126" w:rsidP="00F40F99">
      <w:pPr>
        <w:spacing w:line="360" w:lineRule="auto"/>
        <w:jc w:val="both"/>
        <w:rPr>
          <w:rFonts w:ascii="Garamond" w:hAnsi="Garamond"/>
          <w:b/>
          <w:sz w:val="22"/>
          <w:szCs w:val="22"/>
        </w:rPr>
      </w:pPr>
    </w:p>
    <w:p w14:paraId="53399C5F" w14:textId="77777777" w:rsidR="00ED1126" w:rsidRPr="00EE5F0F" w:rsidRDefault="00ED1126" w:rsidP="00F40F99">
      <w:pPr>
        <w:spacing w:line="360" w:lineRule="auto"/>
        <w:jc w:val="both"/>
        <w:rPr>
          <w:rFonts w:ascii="Garamond" w:hAnsi="Garamond"/>
          <w:b/>
          <w:sz w:val="22"/>
          <w:szCs w:val="22"/>
        </w:rPr>
      </w:pPr>
    </w:p>
    <w:p w14:paraId="6430D18F" w14:textId="77777777" w:rsidR="00ED1126" w:rsidRPr="00EE5F0F" w:rsidRDefault="00ED1126" w:rsidP="00F40F99">
      <w:pPr>
        <w:spacing w:line="360" w:lineRule="auto"/>
        <w:jc w:val="both"/>
        <w:rPr>
          <w:rFonts w:ascii="Garamond" w:hAnsi="Garamond"/>
          <w:b/>
          <w:sz w:val="22"/>
          <w:szCs w:val="22"/>
        </w:rPr>
      </w:pPr>
    </w:p>
    <w:p w14:paraId="3FE44E1D" w14:textId="77777777" w:rsidR="00ED1126" w:rsidRPr="00EE5F0F" w:rsidRDefault="00ED1126" w:rsidP="00F40F99">
      <w:pPr>
        <w:spacing w:line="360" w:lineRule="auto"/>
        <w:jc w:val="both"/>
        <w:rPr>
          <w:rFonts w:ascii="Garamond" w:hAnsi="Garamond"/>
          <w:b/>
          <w:sz w:val="22"/>
          <w:szCs w:val="22"/>
        </w:rPr>
      </w:pPr>
    </w:p>
    <w:p w14:paraId="34958F58" w14:textId="77777777" w:rsidR="00ED1126" w:rsidRPr="00EE5F0F" w:rsidRDefault="00ED1126" w:rsidP="00F40F99">
      <w:pPr>
        <w:spacing w:line="360" w:lineRule="auto"/>
        <w:jc w:val="both"/>
        <w:rPr>
          <w:rFonts w:ascii="Garamond" w:hAnsi="Garamond"/>
          <w:b/>
          <w:sz w:val="22"/>
          <w:szCs w:val="22"/>
        </w:rPr>
      </w:pPr>
    </w:p>
    <w:p w14:paraId="68A8F084" w14:textId="77777777" w:rsidR="002D541D" w:rsidRPr="00EE5F0F" w:rsidRDefault="002D541D" w:rsidP="00AE3B5F">
      <w:pPr>
        <w:spacing w:line="360" w:lineRule="auto"/>
        <w:jc w:val="center"/>
        <w:rPr>
          <w:rFonts w:ascii="Garamond" w:hAnsi="Garamond"/>
          <w:b/>
          <w:bCs/>
          <w:color w:val="0070C0"/>
          <w:sz w:val="22"/>
          <w:szCs w:val="22"/>
        </w:rPr>
      </w:pPr>
    </w:p>
    <w:p w14:paraId="341FF815" w14:textId="77777777" w:rsidR="002D541D" w:rsidRPr="00EE5F0F" w:rsidRDefault="002D541D" w:rsidP="00AE3B5F">
      <w:pPr>
        <w:spacing w:line="360" w:lineRule="auto"/>
        <w:jc w:val="center"/>
        <w:rPr>
          <w:rFonts w:ascii="Garamond" w:hAnsi="Garamond"/>
          <w:b/>
          <w:bCs/>
          <w:color w:val="0070C0"/>
          <w:sz w:val="22"/>
          <w:szCs w:val="22"/>
        </w:rPr>
      </w:pPr>
    </w:p>
    <w:p w14:paraId="497D0855" w14:textId="77777777" w:rsidR="002D541D" w:rsidRPr="00EE5F0F" w:rsidRDefault="002D541D" w:rsidP="00AE3B5F">
      <w:pPr>
        <w:spacing w:line="360" w:lineRule="auto"/>
        <w:jc w:val="center"/>
        <w:rPr>
          <w:rFonts w:ascii="Garamond" w:hAnsi="Garamond"/>
          <w:b/>
          <w:bCs/>
          <w:color w:val="0070C0"/>
          <w:sz w:val="22"/>
          <w:szCs w:val="22"/>
        </w:rPr>
      </w:pPr>
    </w:p>
    <w:p w14:paraId="5CB58263" w14:textId="77777777" w:rsidR="00AE3B5F" w:rsidRPr="00EE5F0F" w:rsidRDefault="00AE3B5F" w:rsidP="00AE3B5F">
      <w:pPr>
        <w:spacing w:line="360" w:lineRule="auto"/>
        <w:jc w:val="center"/>
        <w:rPr>
          <w:rFonts w:ascii="Garamond" w:hAnsi="Garamond"/>
          <w:b/>
          <w:bCs/>
          <w:color w:val="0070C0"/>
          <w:sz w:val="22"/>
          <w:szCs w:val="22"/>
        </w:rPr>
      </w:pPr>
      <w:r w:rsidRPr="00EE5F0F">
        <w:rPr>
          <w:rFonts w:ascii="Garamond" w:hAnsi="Garamond"/>
          <w:b/>
          <w:bCs/>
          <w:color w:val="0070C0"/>
          <w:sz w:val="22"/>
          <w:szCs w:val="22"/>
        </w:rPr>
        <w:t>BOARD OF THE CBA</w:t>
      </w:r>
    </w:p>
    <w:p w14:paraId="3A58042E" w14:textId="77777777" w:rsidR="00AE3B5F" w:rsidRPr="00EE5F0F" w:rsidRDefault="00AE3B5F" w:rsidP="00AE3B5F">
      <w:pPr>
        <w:spacing w:line="360" w:lineRule="auto"/>
        <w:jc w:val="center"/>
        <w:rPr>
          <w:rFonts w:ascii="Garamond" w:hAnsi="Garamond"/>
          <w:b/>
          <w:bCs/>
          <w:color w:val="0070C0"/>
          <w:sz w:val="22"/>
          <w:szCs w:val="22"/>
        </w:rPr>
      </w:pPr>
    </w:p>
    <w:p w14:paraId="5DA527FC" w14:textId="77777777" w:rsidR="00AE3B5F" w:rsidRPr="00EE5F0F" w:rsidRDefault="00AE3B5F" w:rsidP="00AE3B5F">
      <w:pPr>
        <w:spacing w:line="360" w:lineRule="auto"/>
        <w:jc w:val="center"/>
        <w:rPr>
          <w:rFonts w:ascii="Garamond" w:hAnsi="Garamond"/>
          <w:b/>
          <w:bCs/>
          <w:color w:val="0070C0"/>
          <w:sz w:val="22"/>
          <w:szCs w:val="22"/>
        </w:rPr>
      </w:pPr>
      <w:r w:rsidRPr="00EE5F0F">
        <w:rPr>
          <w:rFonts w:ascii="Garamond" w:hAnsi="Garamond"/>
          <w:b/>
          <w:bCs/>
          <w:color w:val="0070C0"/>
          <w:sz w:val="22"/>
          <w:szCs w:val="22"/>
        </w:rPr>
        <w:t>MINUTES</w:t>
      </w:r>
    </w:p>
    <w:p w14:paraId="23FBCF22" w14:textId="77777777" w:rsidR="00AE3B5F" w:rsidRPr="00EE5F0F" w:rsidRDefault="00AE3B5F" w:rsidP="00AE3B5F">
      <w:pPr>
        <w:spacing w:line="360" w:lineRule="auto"/>
        <w:jc w:val="center"/>
        <w:rPr>
          <w:rFonts w:ascii="Garamond" w:hAnsi="Garamond"/>
          <w:b/>
          <w:bCs/>
          <w:sz w:val="22"/>
          <w:szCs w:val="22"/>
        </w:rPr>
      </w:pPr>
      <w:r w:rsidRPr="00EE5F0F">
        <w:rPr>
          <w:rFonts w:ascii="Garamond" w:hAnsi="Garamond"/>
          <w:b/>
          <w:bCs/>
          <w:color w:val="0070C0"/>
          <w:sz w:val="22"/>
          <w:szCs w:val="22"/>
        </w:rPr>
        <w:t>(1</w:t>
      </w:r>
      <w:r w:rsidR="00B0020C" w:rsidRPr="00EE5F0F">
        <w:rPr>
          <w:rFonts w:ascii="Garamond" w:hAnsi="Garamond"/>
          <w:b/>
          <w:bCs/>
          <w:color w:val="0070C0"/>
          <w:sz w:val="22"/>
          <w:szCs w:val="22"/>
        </w:rPr>
        <w:t>5</w:t>
      </w:r>
      <w:r w:rsidRPr="00EE5F0F">
        <w:rPr>
          <w:rFonts w:ascii="Garamond" w:hAnsi="Garamond"/>
          <w:b/>
          <w:bCs/>
          <w:color w:val="0070C0"/>
          <w:sz w:val="22"/>
          <w:szCs w:val="22"/>
        </w:rPr>
        <w:t>.0</w:t>
      </w:r>
      <w:r w:rsidR="00B0020C" w:rsidRPr="00EE5F0F">
        <w:rPr>
          <w:rFonts w:ascii="Garamond" w:hAnsi="Garamond"/>
          <w:b/>
          <w:bCs/>
          <w:color w:val="0070C0"/>
          <w:sz w:val="22"/>
          <w:szCs w:val="22"/>
        </w:rPr>
        <w:t>5</w:t>
      </w:r>
      <w:r w:rsidRPr="00EE5F0F">
        <w:rPr>
          <w:rFonts w:ascii="Garamond" w:hAnsi="Garamond"/>
          <w:b/>
          <w:bCs/>
          <w:color w:val="0070C0"/>
          <w:sz w:val="22"/>
          <w:szCs w:val="22"/>
        </w:rPr>
        <w:t>.2018)</w:t>
      </w:r>
    </w:p>
    <w:p w14:paraId="0E460400" w14:textId="77777777" w:rsidR="00AE3B5F" w:rsidRPr="00EE5F0F" w:rsidRDefault="00AE3B5F" w:rsidP="00AE3B5F">
      <w:pPr>
        <w:spacing w:line="360" w:lineRule="auto"/>
        <w:jc w:val="center"/>
        <w:rPr>
          <w:rFonts w:ascii="Garamond" w:hAnsi="Garamond"/>
          <w:b/>
          <w:bCs/>
          <w:sz w:val="22"/>
          <w:szCs w:val="22"/>
        </w:rPr>
      </w:pPr>
    </w:p>
    <w:p w14:paraId="2F1433C4" w14:textId="77777777" w:rsidR="00AE3B5F" w:rsidRPr="00EE5F0F" w:rsidRDefault="00B0020C" w:rsidP="00AE3B5F">
      <w:pPr>
        <w:spacing w:line="360" w:lineRule="auto"/>
        <w:jc w:val="center"/>
        <w:rPr>
          <w:rFonts w:ascii="Garamond" w:hAnsi="Garamond"/>
          <w:color w:val="0070C0"/>
          <w:sz w:val="22"/>
          <w:szCs w:val="22"/>
        </w:rPr>
      </w:pPr>
      <w:r w:rsidRPr="00EE5F0F">
        <w:rPr>
          <w:rFonts w:ascii="Garamond" w:hAnsi="Garamond"/>
          <w:b/>
          <w:bCs/>
          <w:color w:val="0070C0"/>
          <w:sz w:val="22"/>
          <w:szCs w:val="22"/>
        </w:rPr>
        <w:t xml:space="preserve">The </w:t>
      </w:r>
      <w:r w:rsidR="00AE3B5F" w:rsidRPr="00EE5F0F">
        <w:rPr>
          <w:rFonts w:ascii="Garamond" w:hAnsi="Garamond"/>
          <w:b/>
          <w:bCs/>
          <w:color w:val="0070C0"/>
          <w:sz w:val="22"/>
          <w:szCs w:val="22"/>
        </w:rPr>
        <w:t>Refinancing Rate</w:t>
      </w:r>
    </w:p>
    <w:p w14:paraId="3512AFC9" w14:textId="77777777" w:rsidR="00AE3B5F" w:rsidRPr="00EE5F0F" w:rsidRDefault="00AE3B5F" w:rsidP="00AE3B5F">
      <w:pPr>
        <w:spacing w:line="360" w:lineRule="auto"/>
        <w:jc w:val="center"/>
        <w:rPr>
          <w:rFonts w:ascii="Garamond" w:hAnsi="Garamond"/>
          <w:sz w:val="22"/>
          <w:szCs w:val="22"/>
        </w:rPr>
      </w:pPr>
    </w:p>
    <w:p w14:paraId="28EE73BC" w14:textId="77777777" w:rsidR="00AE3B5F" w:rsidRPr="00EE5F0F" w:rsidRDefault="00AE3B5F" w:rsidP="00AE3B5F">
      <w:pPr>
        <w:pStyle w:val="BodyText"/>
        <w:spacing w:line="360" w:lineRule="auto"/>
        <w:jc w:val="center"/>
        <w:rPr>
          <w:rFonts w:ascii="Garamond" w:hAnsi="Garamond"/>
          <w:b/>
        </w:rPr>
      </w:pPr>
      <w:r w:rsidRPr="00EE5F0F">
        <w:rPr>
          <w:rFonts w:ascii="Garamond" w:hAnsi="Garamond"/>
          <w:b/>
        </w:rPr>
        <w:t xml:space="preserve">The CBA Board Meeting of </w:t>
      </w:r>
      <w:r w:rsidR="00B0020C" w:rsidRPr="00EE5F0F">
        <w:rPr>
          <w:rFonts w:ascii="Garamond" w:hAnsi="Garamond"/>
          <w:b/>
        </w:rPr>
        <w:t>Ma</w:t>
      </w:r>
      <w:r w:rsidRPr="00EE5F0F">
        <w:rPr>
          <w:rFonts w:ascii="Garamond" w:hAnsi="Garamond"/>
          <w:b/>
        </w:rPr>
        <w:t>y</w:t>
      </w:r>
      <w:r w:rsidRPr="00EE5F0F">
        <w:rPr>
          <w:rFonts w:ascii="Garamond" w:hAnsi="Garamond"/>
          <w:b/>
          <w:bCs/>
        </w:rPr>
        <w:t xml:space="preserve"> 1</w:t>
      </w:r>
      <w:r w:rsidR="00B0020C" w:rsidRPr="00EE5F0F">
        <w:rPr>
          <w:rFonts w:ascii="Garamond" w:hAnsi="Garamond"/>
          <w:b/>
          <w:bCs/>
        </w:rPr>
        <w:t>5</w:t>
      </w:r>
      <w:r w:rsidRPr="00EE5F0F">
        <w:rPr>
          <w:rFonts w:ascii="Garamond" w:hAnsi="Garamond"/>
          <w:b/>
          <w:bCs/>
        </w:rPr>
        <w:t>, 2018</w:t>
      </w:r>
      <w:r w:rsidRPr="00EE5F0F">
        <w:rPr>
          <w:rFonts w:ascii="Garamond" w:hAnsi="Garamond"/>
          <w:b/>
        </w:rPr>
        <w:t xml:space="preserve"> attended by Chairman</w:t>
      </w:r>
      <w:r w:rsidR="00B0020C" w:rsidRPr="00EE5F0F">
        <w:rPr>
          <w:rFonts w:ascii="Garamond" w:hAnsi="Garamond"/>
          <w:b/>
        </w:rPr>
        <w:t xml:space="preserve"> Arthur Javadyan, Deputy Chairman </w:t>
      </w:r>
      <w:r w:rsidRPr="00EE5F0F">
        <w:rPr>
          <w:rFonts w:ascii="Garamond" w:hAnsi="Garamond"/>
          <w:b/>
        </w:rPr>
        <w:t xml:space="preserve">Vakhtang </w:t>
      </w:r>
      <w:proofErr w:type="spellStart"/>
      <w:r w:rsidRPr="00EE5F0F">
        <w:rPr>
          <w:rFonts w:ascii="Garamond" w:hAnsi="Garamond"/>
          <w:b/>
        </w:rPr>
        <w:t>Abrahamyan</w:t>
      </w:r>
      <w:proofErr w:type="spellEnd"/>
      <w:r w:rsidRPr="00EE5F0F">
        <w:rPr>
          <w:rFonts w:ascii="Garamond" w:hAnsi="Garamond"/>
          <w:b/>
        </w:rPr>
        <w:t xml:space="preserve">, and Board Members Ashot Mkrtchyan, Arthur Stepanyan, </w:t>
      </w:r>
      <w:r w:rsidR="00B0020C" w:rsidRPr="00EE5F0F">
        <w:rPr>
          <w:rFonts w:ascii="Garamond" w:hAnsi="Garamond"/>
          <w:b/>
        </w:rPr>
        <w:t xml:space="preserve">and </w:t>
      </w:r>
      <w:proofErr w:type="spellStart"/>
      <w:r w:rsidR="00B0020C" w:rsidRPr="00EE5F0F">
        <w:rPr>
          <w:rFonts w:ascii="Garamond" w:hAnsi="Garamond"/>
          <w:b/>
        </w:rPr>
        <w:t>Arkady</w:t>
      </w:r>
      <w:proofErr w:type="spellEnd"/>
      <w:r w:rsidR="00B0020C" w:rsidRPr="00EE5F0F">
        <w:rPr>
          <w:rFonts w:ascii="Garamond" w:hAnsi="Garamond"/>
          <w:b/>
        </w:rPr>
        <w:t xml:space="preserve"> Khachatryan</w:t>
      </w:r>
    </w:p>
    <w:p w14:paraId="5EDAB23C" w14:textId="77777777" w:rsidR="00AE3B5F" w:rsidRPr="00EE5F0F" w:rsidRDefault="00AE3B5F" w:rsidP="00AE3B5F">
      <w:pPr>
        <w:spacing w:line="360" w:lineRule="auto"/>
        <w:jc w:val="both"/>
        <w:rPr>
          <w:rFonts w:ascii="Garamond" w:hAnsi="Garamond"/>
          <w:sz w:val="22"/>
          <w:szCs w:val="22"/>
        </w:rPr>
      </w:pPr>
    </w:p>
    <w:p w14:paraId="06F497D2" w14:textId="77777777" w:rsidR="00AE3B5F" w:rsidRPr="00EE5F0F" w:rsidRDefault="00AE3B5F" w:rsidP="00AE3B5F">
      <w:pPr>
        <w:spacing w:line="360" w:lineRule="auto"/>
        <w:jc w:val="both"/>
        <w:rPr>
          <w:rFonts w:ascii="Garamond" w:hAnsi="Garamond"/>
          <w:sz w:val="22"/>
          <w:szCs w:val="22"/>
        </w:rPr>
      </w:pPr>
      <w:r w:rsidRPr="00EE5F0F">
        <w:rPr>
          <w:rFonts w:ascii="Garamond" w:hAnsi="Garamond"/>
          <w:sz w:val="22"/>
          <w:szCs w:val="22"/>
        </w:rPr>
        <w:t xml:space="preserve">The Board meeting opened with presentation of Situation Report as of </w:t>
      </w:r>
      <w:r w:rsidR="00B0020C" w:rsidRPr="00EE5F0F">
        <w:rPr>
          <w:rFonts w:ascii="Garamond" w:hAnsi="Garamond"/>
          <w:sz w:val="22"/>
          <w:szCs w:val="22"/>
        </w:rPr>
        <w:t>May</w:t>
      </w:r>
      <w:r w:rsidRPr="00EE5F0F">
        <w:rPr>
          <w:rFonts w:ascii="Garamond" w:hAnsi="Garamond"/>
          <w:sz w:val="22"/>
          <w:szCs w:val="22"/>
        </w:rPr>
        <w:t xml:space="preserve"> </w:t>
      </w:r>
      <w:r w:rsidRPr="00EE5F0F">
        <w:rPr>
          <w:rFonts w:ascii="Garamond" w:hAnsi="Garamond"/>
          <w:bCs/>
          <w:sz w:val="22"/>
          <w:szCs w:val="22"/>
        </w:rPr>
        <w:t>1</w:t>
      </w:r>
      <w:r w:rsidR="00B0020C" w:rsidRPr="00EE5F0F">
        <w:rPr>
          <w:rFonts w:ascii="Garamond" w:hAnsi="Garamond"/>
          <w:bCs/>
          <w:sz w:val="22"/>
          <w:szCs w:val="22"/>
        </w:rPr>
        <w:t>5</w:t>
      </w:r>
      <w:r w:rsidRPr="00EE5F0F">
        <w:rPr>
          <w:rFonts w:ascii="Garamond" w:hAnsi="Garamond"/>
          <w:bCs/>
          <w:sz w:val="22"/>
          <w:szCs w:val="22"/>
        </w:rPr>
        <w:t>, 2018</w:t>
      </w:r>
      <w:r w:rsidRPr="00EE5F0F">
        <w:rPr>
          <w:rFonts w:ascii="Garamond" w:hAnsi="Garamond"/>
          <w:sz w:val="22"/>
          <w:szCs w:val="22"/>
        </w:rPr>
        <w:t xml:space="preserve">. It addressed current developments on inflation, external environment and real, fiscal and monetary sectors of the economy. </w:t>
      </w:r>
    </w:p>
    <w:p w14:paraId="7070F59B" w14:textId="77777777" w:rsidR="00AE3B5F" w:rsidRPr="00EE5F0F" w:rsidRDefault="00AE3B5F" w:rsidP="00AE3B5F">
      <w:pPr>
        <w:spacing w:line="360" w:lineRule="auto"/>
        <w:jc w:val="both"/>
        <w:rPr>
          <w:rFonts w:ascii="Garamond" w:hAnsi="Garamond"/>
          <w:sz w:val="22"/>
          <w:szCs w:val="22"/>
        </w:rPr>
      </w:pPr>
    </w:p>
    <w:p w14:paraId="388B1C7E" w14:textId="77777777" w:rsidR="00AE3B5F" w:rsidRPr="00EE5F0F" w:rsidRDefault="00AE3B5F" w:rsidP="00AE3B5F">
      <w:pPr>
        <w:spacing w:line="360" w:lineRule="auto"/>
        <w:jc w:val="both"/>
        <w:rPr>
          <w:rFonts w:ascii="Garamond" w:hAnsi="Garamond"/>
          <w:sz w:val="22"/>
          <w:szCs w:val="22"/>
        </w:rPr>
      </w:pPr>
      <w:r w:rsidRPr="00EE5F0F">
        <w:rPr>
          <w:rFonts w:ascii="Garamond" w:hAnsi="Garamond"/>
          <w:sz w:val="22"/>
          <w:szCs w:val="22"/>
        </w:rPr>
        <w:t xml:space="preserve">In </w:t>
      </w:r>
      <w:r w:rsidR="00B0020C" w:rsidRPr="00EE5F0F">
        <w:rPr>
          <w:rFonts w:ascii="Garamond" w:hAnsi="Garamond"/>
          <w:sz w:val="22"/>
          <w:szCs w:val="22"/>
        </w:rPr>
        <w:t xml:space="preserve">April </w:t>
      </w:r>
      <w:r w:rsidRPr="00EE5F0F">
        <w:rPr>
          <w:rFonts w:ascii="Garamond" w:hAnsi="Garamond"/>
          <w:sz w:val="22"/>
          <w:szCs w:val="22"/>
        </w:rPr>
        <w:t>201</w:t>
      </w:r>
      <w:r w:rsidR="00B0020C" w:rsidRPr="00EE5F0F">
        <w:rPr>
          <w:rFonts w:ascii="Garamond" w:hAnsi="Garamond"/>
          <w:sz w:val="22"/>
          <w:szCs w:val="22"/>
        </w:rPr>
        <w:t>8</w:t>
      </w:r>
      <w:r w:rsidRPr="00EE5F0F">
        <w:rPr>
          <w:rFonts w:ascii="Garamond" w:hAnsi="Garamond"/>
          <w:sz w:val="22"/>
          <w:szCs w:val="22"/>
        </w:rPr>
        <w:t xml:space="preserve">, it was noted, the 12-month inflation rate </w:t>
      </w:r>
      <w:r w:rsidR="00B0020C" w:rsidRPr="00EE5F0F">
        <w:rPr>
          <w:rFonts w:ascii="Garamond" w:hAnsi="Garamond"/>
          <w:sz w:val="22"/>
          <w:szCs w:val="22"/>
        </w:rPr>
        <w:t>reduced considerably</w:t>
      </w:r>
      <w:r w:rsidRPr="00EE5F0F">
        <w:rPr>
          <w:rFonts w:ascii="Garamond" w:hAnsi="Garamond"/>
          <w:sz w:val="22"/>
          <w:szCs w:val="22"/>
        </w:rPr>
        <w:t>, amounting to 2.</w:t>
      </w:r>
      <w:r w:rsidR="00B0020C" w:rsidRPr="00EE5F0F">
        <w:rPr>
          <w:rFonts w:ascii="Garamond" w:hAnsi="Garamond"/>
          <w:sz w:val="22"/>
          <w:szCs w:val="22"/>
        </w:rPr>
        <w:t>4</w:t>
      </w:r>
      <w:r w:rsidRPr="00EE5F0F">
        <w:rPr>
          <w:rFonts w:ascii="Garamond" w:hAnsi="Garamond"/>
          <w:sz w:val="22"/>
          <w:szCs w:val="22"/>
        </w:rPr>
        <w:t xml:space="preserve">% </w:t>
      </w:r>
      <w:r w:rsidR="00B0020C" w:rsidRPr="00EE5F0F">
        <w:rPr>
          <w:rFonts w:ascii="Garamond" w:hAnsi="Garamond"/>
          <w:sz w:val="22"/>
          <w:szCs w:val="22"/>
        </w:rPr>
        <w:t>at the end of the month</w:t>
      </w:r>
      <w:r w:rsidRPr="00EE5F0F">
        <w:rPr>
          <w:rFonts w:ascii="Garamond" w:hAnsi="Garamond"/>
          <w:sz w:val="22"/>
          <w:szCs w:val="22"/>
        </w:rPr>
        <w:t xml:space="preserve">. </w:t>
      </w:r>
      <w:r w:rsidR="00B0020C" w:rsidRPr="00EE5F0F">
        <w:rPr>
          <w:rFonts w:ascii="Garamond" w:hAnsi="Garamond"/>
          <w:sz w:val="22"/>
          <w:szCs w:val="22"/>
        </w:rPr>
        <w:t xml:space="preserve">The reduction </w:t>
      </w:r>
      <w:r w:rsidR="00C97938" w:rsidRPr="00EE5F0F">
        <w:rPr>
          <w:rFonts w:ascii="Garamond" w:hAnsi="Garamond"/>
          <w:sz w:val="22"/>
          <w:szCs w:val="22"/>
        </w:rPr>
        <w:t xml:space="preserve">largely owed to </w:t>
      </w:r>
      <w:r w:rsidRPr="00EE5F0F">
        <w:rPr>
          <w:rFonts w:ascii="Garamond" w:hAnsi="Garamond"/>
          <w:sz w:val="22"/>
          <w:szCs w:val="22"/>
        </w:rPr>
        <w:t xml:space="preserve">the </w:t>
      </w:r>
      <w:r w:rsidR="00B0020C" w:rsidRPr="00EE5F0F">
        <w:rPr>
          <w:rFonts w:ascii="Garamond" w:hAnsi="Garamond"/>
          <w:sz w:val="22"/>
          <w:szCs w:val="22"/>
        </w:rPr>
        <w:t xml:space="preserve">change in prices </w:t>
      </w:r>
      <w:r w:rsidR="00C97938" w:rsidRPr="00EE5F0F">
        <w:rPr>
          <w:rFonts w:ascii="Garamond" w:hAnsi="Garamond"/>
          <w:sz w:val="22"/>
          <w:szCs w:val="22"/>
        </w:rPr>
        <w:t xml:space="preserve">of </w:t>
      </w:r>
      <w:r w:rsidR="00B0020C" w:rsidRPr="00EE5F0F">
        <w:rPr>
          <w:rFonts w:ascii="Garamond" w:hAnsi="Garamond"/>
          <w:sz w:val="22"/>
          <w:szCs w:val="22"/>
        </w:rPr>
        <w:t>food products</w:t>
      </w:r>
      <w:r w:rsidR="00C97938" w:rsidRPr="00EE5F0F">
        <w:rPr>
          <w:rFonts w:ascii="Garamond" w:hAnsi="Garamond"/>
          <w:sz w:val="22"/>
          <w:szCs w:val="22"/>
        </w:rPr>
        <w:t xml:space="preserve">, since groups such as “Vegetable and Potato” and “Egg” posted a decrease in prices by </w:t>
      </w:r>
      <w:r w:rsidR="00B0020C" w:rsidRPr="00EE5F0F">
        <w:rPr>
          <w:rFonts w:ascii="Garamond" w:hAnsi="Garamond"/>
          <w:sz w:val="22"/>
          <w:szCs w:val="22"/>
        </w:rPr>
        <w:t>5.3% and 11.9%</w:t>
      </w:r>
      <w:r w:rsidR="00C97938" w:rsidRPr="00EE5F0F">
        <w:rPr>
          <w:rFonts w:ascii="Garamond" w:hAnsi="Garamond"/>
          <w:sz w:val="22"/>
          <w:szCs w:val="22"/>
        </w:rPr>
        <w:t xml:space="preserve">, respectively, </w:t>
      </w:r>
      <w:r w:rsidR="00B0020C" w:rsidRPr="00EE5F0F">
        <w:rPr>
          <w:rFonts w:ascii="Garamond" w:hAnsi="Garamond"/>
          <w:sz w:val="22"/>
          <w:szCs w:val="22"/>
        </w:rPr>
        <w:t xml:space="preserve">during the month. </w:t>
      </w:r>
      <w:r w:rsidR="00C97938" w:rsidRPr="00EE5F0F">
        <w:rPr>
          <w:rFonts w:ascii="Garamond" w:hAnsi="Garamond"/>
          <w:sz w:val="22"/>
          <w:szCs w:val="22"/>
        </w:rPr>
        <w:t xml:space="preserve">It is estimated that the fall in prices of agricultural products is largely driven by a seasonal shift in </w:t>
      </w:r>
      <w:r w:rsidR="002E7DF3" w:rsidRPr="00EE5F0F">
        <w:rPr>
          <w:rFonts w:ascii="Garamond" w:hAnsi="Garamond"/>
          <w:sz w:val="22"/>
          <w:szCs w:val="22"/>
        </w:rPr>
        <w:t xml:space="preserve">the </w:t>
      </w:r>
      <w:r w:rsidR="00C97938" w:rsidRPr="00EE5F0F">
        <w:rPr>
          <w:rFonts w:ascii="Garamond" w:hAnsi="Garamond"/>
          <w:sz w:val="22"/>
          <w:szCs w:val="22"/>
        </w:rPr>
        <w:t xml:space="preserve">harvest, and the growth of prices is believed to rebound over the forthcoming quarters, under which circumstance </w:t>
      </w:r>
      <w:r w:rsidRPr="00EE5F0F">
        <w:rPr>
          <w:rFonts w:ascii="Garamond" w:hAnsi="Garamond"/>
          <w:sz w:val="22"/>
          <w:szCs w:val="22"/>
        </w:rPr>
        <w:t xml:space="preserve">the 12-month inflation rate will </w:t>
      </w:r>
      <w:r w:rsidR="00C97938" w:rsidRPr="00EE5F0F">
        <w:rPr>
          <w:rFonts w:ascii="Garamond" w:hAnsi="Garamond"/>
          <w:sz w:val="22"/>
          <w:szCs w:val="22"/>
        </w:rPr>
        <w:t xml:space="preserve">remain within the lower part of </w:t>
      </w:r>
      <w:r w:rsidRPr="00EE5F0F">
        <w:rPr>
          <w:rFonts w:ascii="Garamond" w:hAnsi="Garamond"/>
          <w:sz w:val="22"/>
          <w:szCs w:val="22"/>
        </w:rPr>
        <w:t>the confidence band</w:t>
      </w:r>
      <w:r w:rsidR="002E7DF3" w:rsidRPr="00EE5F0F">
        <w:rPr>
          <w:rFonts w:ascii="Garamond" w:hAnsi="Garamond"/>
          <w:sz w:val="22"/>
          <w:szCs w:val="22"/>
        </w:rPr>
        <w:t xml:space="preserve"> in the near future</w:t>
      </w:r>
      <w:r w:rsidRPr="00EE5F0F">
        <w:rPr>
          <w:rFonts w:ascii="Garamond" w:hAnsi="Garamond"/>
          <w:sz w:val="22"/>
          <w:szCs w:val="22"/>
        </w:rPr>
        <w:t xml:space="preserve">. </w:t>
      </w:r>
    </w:p>
    <w:p w14:paraId="4BD0D7E1" w14:textId="77777777" w:rsidR="00AE3B5F" w:rsidRPr="00EE5F0F" w:rsidRDefault="00AE3B5F" w:rsidP="00AE3B5F">
      <w:pPr>
        <w:spacing w:line="360" w:lineRule="auto"/>
        <w:jc w:val="both"/>
        <w:rPr>
          <w:rFonts w:ascii="Garamond" w:hAnsi="Garamond"/>
          <w:sz w:val="22"/>
          <w:szCs w:val="22"/>
        </w:rPr>
      </w:pPr>
    </w:p>
    <w:p w14:paraId="25F69EDE" w14:textId="77777777" w:rsidR="00AE3B5F" w:rsidRPr="00EE5F0F" w:rsidRDefault="00AE3B5F" w:rsidP="00AE3B5F">
      <w:pPr>
        <w:spacing w:line="360" w:lineRule="auto"/>
        <w:jc w:val="both"/>
        <w:rPr>
          <w:rFonts w:ascii="Garamond" w:hAnsi="Garamond"/>
          <w:sz w:val="22"/>
          <w:szCs w:val="22"/>
        </w:rPr>
      </w:pPr>
      <w:r w:rsidRPr="00EE5F0F">
        <w:rPr>
          <w:rFonts w:ascii="Garamond" w:hAnsi="Garamond"/>
          <w:sz w:val="22"/>
          <w:szCs w:val="22"/>
        </w:rPr>
        <w:t xml:space="preserve">Addressing the current economic situation, the Board stated that economic activity </w:t>
      </w:r>
      <w:r w:rsidR="002E7DF3" w:rsidRPr="00EE5F0F">
        <w:rPr>
          <w:rFonts w:ascii="Garamond" w:hAnsi="Garamond"/>
          <w:sz w:val="22"/>
          <w:szCs w:val="22"/>
        </w:rPr>
        <w:t>remained relatively high in the first</w:t>
      </w:r>
      <w:r w:rsidRPr="00EE5F0F">
        <w:rPr>
          <w:rFonts w:ascii="Garamond" w:hAnsi="Garamond"/>
          <w:sz w:val="22"/>
          <w:szCs w:val="22"/>
        </w:rPr>
        <w:t xml:space="preserve"> quarter of 201</w:t>
      </w:r>
      <w:r w:rsidR="002E7DF3" w:rsidRPr="00EE5F0F">
        <w:rPr>
          <w:rFonts w:ascii="Garamond" w:hAnsi="Garamond"/>
          <w:sz w:val="22"/>
          <w:szCs w:val="22"/>
        </w:rPr>
        <w:t>8 too</w:t>
      </w:r>
      <w:r w:rsidRPr="00EE5F0F">
        <w:rPr>
          <w:rFonts w:ascii="Garamond" w:hAnsi="Garamond"/>
          <w:sz w:val="22"/>
          <w:szCs w:val="22"/>
        </w:rPr>
        <w:t xml:space="preserve">, mainly driven by high </w:t>
      </w:r>
      <w:r w:rsidR="00C107CC" w:rsidRPr="00EE5F0F">
        <w:rPr>
          <w:rFonts w:ascii="Garamond" w:hAnsi="Garamond"/>
          <w:sz w:val="22"/>
          <w:szCs w:val="22"/>
        </w:rPr>
        <w:t xml:space="preserve">productivity </w:t>
      </w:r>
      <w:r w:rsidRPr="00EE5F0F">
        <w:rPr>
          <w:rFonts w:ascii="Garamond" w:hAnsi="Garamond"/>
          <w:sz w:val="22"/>
          <w:szCs w:val="22"/>
        </w:rPr>
        <w:t>growth registered in the industry</w:t>
      </w:r>
      <w:r w:rsidR="00C107CC" w:rsidRPr="00EE5F0F">
        <w:rPr>
          <w:rFonts w:ascii="Garamond" w:hAnsi="Garamond"/>
          <w:sz w:val="22"/>
          <w:szCs w:val="22"/>
        </w:rPr>
        <w:t>, construction</w:t>
      </w:r>
      <w:r w:rsidRPr="00EE5F0F">
        <w:rPr>
          <w:rFonts w:ascii="Garamond" w:hAnsi="Garamond"/>
          <w:sz w:val="22"/>
          <w:szCs w:val="22"/>
        </w:rPr>
        <w:t xml:space="preserve"> and services sectors. </w:t>
      </w:r>
      <w:r w:rsidR="00C107CC" w:rsidRPr="00EE5F0F">
        <w:rPr>
          <w:rFonts w:ascii="Garamond" w:hAnsi="Garamond"/>
          <w:sz w:val="22"/>
          <w:szCs w:val="22"/>
        </w:rPr>
        <w:t xml:space="preserve">According to the quarter’s </w:t>
      </w:r>
      <w:r w:rsidR="00642C67" w:rsidRPr="00EE5F0F">
        <w:rPr>
          <w:rFonts w:ascii="Garamond" w:hAnsi="Garamond"/>
          <w:sz w:val="22"/>
          <w:szCs w:val="22"/>
        </w:rPr>
        <w:t xml:space="preserve">actual preliminary </w:t>
      </w:r>
      <w:r w:rsidRPr="00EE5F0F">
        <w:rPr>
          <w:rFonts w:ascii="Garamond" w:hAnsi="Garamond"/>
          <w:sz w:val="22"/>
          <w:szCs w:val="22"/>
        </w:rPr>
        <w:t xml:space="preserve">results, the </w:t>
      </w:r>
      <w:r w:rsidRPr="00EE5F0F">
        <w:rPr>
          <w:rFonts w:ascii="Garamond" w:hAnsi="Garamond"/>
          <w:b/>
          <w:sz w:val="22"/>
          <w:szCs w:val="22"/>
        </w:rPr>
        <w:t xml:space="preserve">Economic Activity Indicator </w:t>
      </w:r>
      <w:r w:rsidR="00642C67" w:rsidRPr="00EE5F0F">
        <w:rPr>
          <w:rFonts w:ascii="Garamond" w:hAnsi="Garamond"/>
          <w:b/>
          <w:sz w:val="22"/>
          <w:szCs w:val="22"/>
        </w:rPr>
        <w:t>is estimated to have been 9.4-9.6%</w:t>
      </w:r>
      <w:r w:rsidRPr="00EE5F0F">
        <w:rPr>
          <w:rFonts w:ascii="Garamond" w:hAnsi="Garamond"/>
          <w:sz w:val="22"/>
          <w:szCs w:val="22"/>
        </w:rPr>
        <w:t xml:space="preserve"> in January-</w:t>
      </w:r>
      <w:r w:rsidR="00642C67" w:rsidRPr="00EE5F0F">
        <w:rPr>
          <w:rFonts w:ascii="Garamond" w:hAnsi="Garamond"/>
          <w:sz w:val="22"/>
          <w:szCs w:val="22"/>
        </w:rPr>
        <w:t>March</w:t>
      </w:r>
      <w:r w:rsidRPr="00EE5F0F">
        <w:rPr>
          <w:rFonts w:ascii="Garamond" w:hAnsi="Garamond"/>
          <w:sz w:val="22"/>
          <w:szCs w:val="22"/>
        </w:rPr>
        <w:t xml:space="preserve"> compared to the same period of the previous year</w:t>
      </w:r>
      <w:r w:rsidR="00642C67" w:rsidRPr="00EE5F0F">
        <w:rPr>
          <w:rFonts w:ascii="Garamond" w:hAnsi="Garamond"/>
          <w:sz w:val="22"/>
          <w:szCs w:val="22"/>
        </w:rPr>
        <w:t xml:space="preserve">. </w:t>
      </w:r>
      <w:r w:rsidR="006A54E5" w:rsidRPr="00EE5F0F">
        <w:rPr>
          <w:rFonts w:ascii="Garamond" w:hAnsi="Garamond"/>
          <w:sz w:val="22"/>
          <w:szCs w:val="22"/>
        </w:rPr>
        <w:t xml:space="preserve">On the other hand, </w:t>
      </w:r>
      <w:r w:rsidR="004A0FD4" w:rsidRPr="00EE5F0F">
        <w:rPr>
          <w:rFonts w:ascii="Garamond" w:hAnsi="Garamond"/>
          <w:sz w:val="22"/>
          <w:szCs w:val="22"/>
        </w:rPr>
        <w:t>in spite of some w</w:t>
      </w:r>
      <w:r w:rsidR="006A54E5" w:rsidRPr="00EE5F0F">
        <w:rPr>
          <w:rFonts w:ascii="Garamond" w:hAnsi="Garamond"/>
          <w:sz w:val="22"/>
          <w:szCs w:val="22"/>
        </w:rPr>
        <w:t xml:space="preserve">eakening of demand </w:t>
      </w:r>
      <w:r w:rsidR="004A0FD4" w:rsidRPr="00EE5F0F">
        <w:rPr>
          <w:rFonts w:ascii="Garamond" w:hAnsi="Garamond"/>
          <w:sz w:val="22"/>
          <w:szCs w:val="22"/>
        </w:rPr>
        <w:t xml:space="preserve">observable since </w:t>
      </w:r>
      <w:r w:rsidR="006A54E5" w:rsidRPr="00EE5F0F">
        <w:rPr>
          <w:rFonts w:ascii="Garamond" w:hAnsi="Garamond"/>
          <w:sz w:val="22"/>
          <w:szCs w:val="22"/>
        </w:rPr>
        <w:t xml:space="preserve">the beginning of the year, which also reflected a certain decline in </w:t>
      </w:r>
      <w:r w:rsidR="004A0FD4" w:rsidRPr="00EE5F0F">
        <w:rPr>
          <w:rFonts w:ascii="Garamond" w:hAnsi="Garamond"/>
          <w:sz w:val="22"/>
          <w:szCs w:val="22"/>
        </w:rPr>
        <w:t>core</w:t>
      </w:r>
      <w:r w:rsidR="006A54E5" w:rsidRPr="00EE5F0F">
        <w:rPr>
          <w:rFonts w:ascii="Garamond" w:hAnsi="Garamond"/>
          <w:sz w:val="22"/>
          <w:szCs w:val="22"/>
        </w:rPr>
        <w:t xml:space="preserve"> inflation in April, the </w:t>
      </w:r>
      <w:r w:rsidR="004A0FD4" w:rsidRPr="00EE5F0F">
        <w:rPr>
          <w:rFonts w:ascii="Garamond" w:hAnsi="Garamond"/>
          <w:sz w:val="22"/>
          <w:szCs w:val="22"/>
        </w:rPr>
        <w:t xml:space="preserve">expansionary </w:t>
      </w:r>
      <w:r w:rsidR="006A54E5" w:rsidRPr="00EE5F0F">
        <w:rPr>
          <w:rFonts w:ascii="Garamond" w:hAnsi="Garamond"/>
          <w:sz w:val="22"/>
          <w:szCs w:val="22"/>
        </w:rPr>
        <w:t>monetary environment</w:t>
      </w:r>
      <w:r w:rsidR="004A0FD4" w:rsidRPr="00EE5F0F">
        <w:rPr>
          <w:rFonts w:ascii="Garamond" w:hAnsi="Garamond"/>
          <w:sz w:val="22"/>
          <w:szCs w:val="22"/>
        </w:rPr>
        <w:t>, it was stated,</w:t>
      </w:r>
      <w:r w:rsidR="006A54E5" w:rsidRPr="00EE5F0F">
        <w:rPr>
          <w:rFonts w:ascii="Garamond" w:hAnsi="Garamond"/>
          <w:sz w:val="22"/>
          <w:szCs w:val="22"/>
        </w:rPr>
        <w:t xml:space="preserve"> continues to positively contribute to demand. At the same time, </w:t>
      </w:r>
      <w:r w:rsidR="00D96A1C" w:rsidRPr="00EE5F0F">
        <w:rPr>
          <w:rFonts w:ascii="Garamond" w:hAnsi="Garamond"/>
          <w:sz w:val="22"/>
          <w:szCs w:val="22"/>
        </w:rPr>
        <w:t xml:space="preserve">it is estimated that </w:t>
      </w:r>
      <w:r w:rsidR="006A54E5" w:rsidRPr="00EE5F0F">
        <w:rPr>
          <w:rFonts w:ascii="Garamond" w:hAnsi="Garamond"/>
          <w:sz w:val="22"/>
          <w:szCs w:val="22"/>
        </w:rPr>
        <w:t xml:space="preserve">the political processes that took place in the country during the second quarter did not </w:t>
      </w:r>
      <w:r w:rsidR="00D96A1C" w:rsidRPr="00EE5F0F">
        <w:rPr>
          <w:rFonts w:ascii="Garamond" w:hAnsi="Garamond"/>
          <w:sz w:val="22"/>
          <w:szCs w:val="22"/>
        </w:rPr>
        <w:t xml:space="preserve">affect the </w:t>
      </w:r>
      <w:r w:rsidR="006A54E5" w:rsidRPr="00EE5F0F">
        <w:rPr>
          <w:rFonts w:ascii="Garamond" w:hAnsi="Garamond"/>
          <w:sz w:val="22"/>
          <w:szCs w:val="22"/>
        </w:rPr>
        <w:t>inflation developments.</w:t>
      </w:r>
      <w:r w:rsidR="00D96A1C" w:rsidRPr="00EE5F0F">
        <w:rPr>
          <w:rFonts w:ascii="Garamond" w:hAnsi="Garamond"/>
          <w:sz w:val="22"/>
          <w:szCs w:val="22"/>
        </w:rPr>
        <w:t xml:space="preserve"> </w:t>
      </w:r>
    </w:p>
    <w:p w14:paraId="0139731C" w14:textId="77777777" w:rsidR="00AE3B5F" w:rsidRPr="00EE5F0F" w:rsidRDefault="00AE3B5F" w:rsidP="00AE3B5F">
      <w:pPr>
        <w:spacing w:line="360" w:lineRule="auto"/>
        <w:jc w:val="both"/>
        <w:rPr>
          <w:rFonts w:ascii="Garamond" w:hAnsi="Garamond"/>
          <w:sz w:val="22"/>
          <w:szCs w:val="22"/>
        </w:rPr>
      </w:pPr>
    </w:p>
    <w:p w14:paraId="14019F17" w14:textId="77777777" w:rsidR="00AE3B5F" w:rsidRPr="00EE5F0F" w:rsidRDefault="00AE3B5F" w:rsidP="00AE3B5F">
      <w:pPr>
        <w:spacing w:line="360" w:lineRule="auto"/>
        <w:jc w:val="both"/>
        <w:rPr>
          <w:rFonts w:ascii="Garamond" w:hAnsi="Garamond"/>
          <w:sz w:val="22"/>
          <w:szCs w:val="22"/>
        </w:rPr>
      </w:pPr>
      <w:r w:rsidRPr="00EE5F0F">
        <w:rPr>
          <w:rFonts w:ascii="Garamond" w:hAnsi="Garamond"/>
          <w:sz w:val="22"/>
          <w:szCs w:val="22"/>
        </w:rPr>
        <w:lastRenderedPageBreak/>
        <w:t>The Board also discussed the external sector developments</w:t>
      </w:r>
      <w:r w:rsidR="00D96A1C" w:rsidRPr="00EE5F0F">
        <w:rPr>
          <w:rFonts w:ascii="Garamond" w:hAnsi="Garamond"/>
          <w:sz w:val="22"/>
          <w:szCs w:val="22"/>
        </w:rPr>
        <w:t>, which were mostly in line with the Central Bank expectations</w:t>
      </w:r>
      <w:r w:rsidR="00097822" w:rsidRPr="00EE5F0F">
        <w:rPr>
          <w:rFonts w:ascii="Garamond" w:hAnsi="Garamond"/>
          <w:sz w:val="22"/>
          <w:szCs w:val="22"/>
        </w:rPr>
        <w:t xml:space="preserve">: the global economic growth continued rebounding and inflation trends in the world’s main commodity markets persisted. </w:t>
      </w:r>
      <w:r w:rsidRPr="00EE5F0F">
        <w:rPr>
          <w:rFonts w:ascii="Garamond" w:hAnsi="Garamond"/>
          <w:sz w:val="22"/>
          <w:szCs w:val="22"/>
        </w:rPr>
        <w:t xml:space="preserve">Taking into account the aforementioned developments </w:t>
      </w:r>
      <w:r w:rsidR="00097822" w:rsidRPr="00EE5F0F">
        <w:rPr>
          <w:rFonts w:ascii="Garamond" w:hAnsi="Garamond"/>
          <w:sz w:val="22"/>
          <w:szCs w:val="22"/>
        </w:rPr>
        <w:t>and that such</w:t>
      </w:r>
      <w:r w:rsidRPr="00EE5F0F">
        <w:rPr>
          <w:rFonts w:ascii="Garamond" w:hAnsi="Garamond"/>
          <w:sz w:val="22"/>
          <w:szCs w:val="22"/>
        </w:rPr>
        <w:t xml:space="preserve"> trend</w:t>
      </w:r>
      <w:r w:rsidR="00097822" w:rsidRPr="00EE5F0F">
        <w:rPr>
          <w:rFonts w:ascii="Garamond" w:hAnsi="Garamond"/>
          <w:sz w:val="22"/>
          <w:szCs w:val="22"/>
        </w:rPr>
        <w:t>s may</w:t>
      </w:r>
      <w:r w:rsidRPr="00EE5F0F">
        <w:rPr>
          <w:rFonts w:ascii="Garamond" w:hAnsi="Garamond"/>
          <w:sz w:val="22"/>
          <w:szCs w:val="22"/>
        </w:rPr>
        <w:t xml:space="preserve"> </w:t>
      </w:r>
      <w:r w:rsidR="00097822" w:rsidRPr="00EE5F0F">
        <w:rPr>
          <w:rFonts w:ascii="Garamond" w:hAnsi="Garamond"/>
          <w:sz w:val="22"/>
          <w:szCs w:val="22"/>
        </w:rPr>
        <w:t xml:space="preserve">carry on </w:t>
      </w:r>
      <w:r w:rsidR="00DA0465" w:rsidRPr="00EE5F0F">
        <w:rPr>
          <w:rFonts w:ascii="Garamond" w:hAnsi="Garamond"/>
          <w:sz w:val="22"/>
          <w:szCs w:val="22"/>
        </w:rPr>
        <w:t>over</w:t>
      </w:r>
      <w:r w:rsidRPr="00EE5F0F">
        <w:rPr>
          <w:rFonts w:ascii="Garamond" w:hAnsi="Garamond"/>
          <w:sz w:val="22"/>
          <w:szCs w:val="22"/>
        </w:rPr>
        <w:t xml:space="preserve"> the upcoming months, the Board considers that minor inflationary effects from the external sector are likely. </w:t>
      </w:r>
    </w:p>
    <w:p w14:paraId="1D40E563" w14:textId="77777777" w:rsidR="00AE3B5F" w:rsidRPr="00EE5F0F" w:rsidRDefault="00AE3B5F" w:rsidP="00AE3B5F">
      <w:pPr>
        <w:spacing w:line="360" w:lineRule="auto"/>
        <w:jc w:val="both"/>
        <w:rPr>
          <w:rFonts w:ascii="Garamond" w:hAnsi="Garamond"/>
          <w:sz w:val="22"/>
          <w:szCs w:val="22"/>
        </w:rPr>
      </w:pPr>
    </w:p>
    <w:p w14:paraId="5DACD680" w14:textId="77777777" w:rsidR="00AE3B5F" w:rsidRPr="00EE5F0F" w:rsidRDefault="00AE3B5F" w:rsidP="00AE3B5F">
      <w:pPr>
        <w:spacing w:line="360" w:lineRule="auto"/>
        <w:jc w:val="both"/>
        <w:rPr>
          <w:rFonts w:ascii="Garamond" w:hAnsi="Garamond"/>
          <w:sz w:val="22"/>
          <w:szCs w:val="22"/>
        </w:rPr>
      </w:pPr>
      <w:r w:rsidRPr="00EE5F0F">
        <w:rPr>
          <w:rFonts w:ascii="Garamond" w:hAnsi="Garamond"/>
          <w:sz w:val="22"/>
          <w:szCs w:val="22"/>
        </w:rPr>
        <w:t>The Board looked into the developments in the domestic financial market</w:t>
      </w:r>
      <w:r w:rsidR="00DA0465" w:rsidRPr="00EE5F0F">
        <w:rPr>
          <w:rFonts w:ascii="Garamond" w:hAnsi="Garamond"/>
          <w:sz w:val="22"/>
          <w:szCs w:val="22"/>
        </w:rPr>
        <w:t>. The Central Bank,</w:t>
      </w:r>
      <w:r w:rsidRPr="00EE5F0F">
        <w:rPr>
          <w:rFonts w:ascii="Garamond" w:hAnsi="Garamond"/>
          <w:sz w:val="22"/>
          <w:szCs w:val="22"/>
        </w:rPr>
        <w:t xml:space="preserve"> it was noted</w:t>
      </w:r>
      <w:r w:rsidR="00DA0465" w:rsidRPr="00EE5F0F">
        <w:rPr>
          <w:rFonts w:ascii="Garamond" w:hAnsi="Garamond"/>
          <w:sz w:val="22"/>
          <w:szCs w:val="22"/>
        </w:rPr>
        <w:t xml:space="preserve">, continued using </w:t>
      </w:r>
      <w:r w:rsidRPr="00EE5F0F">
        <w:rPr>
          <w:rFonts w:ascii="Garamond" w:hAnsi="Garamond"/>
          <w:sz w:val="22"/>
          <w:szCs w:val="22"/>
        </w:rPr>
        <w:t>instruments</w:t>
      </w:r>
      <w:r w:rsidR="00DA0465" w:rsidRPr="00EE5F0F">
        <w:rPr>
          <w:rFonts w:ascii="Garamond" w:hAnsi="Garamond"/>
          <w:sz w:val="22"/>
          <w:szCs w:val="22"/>
        </w:rPr>
        <w:t xml:space="preserve"> to absorb excess liquidity in April</w:t>
      </w:r>
      <w:r w:rsidRPr="00EE5F0F">
        <w:rPr>
          <w:rFonts w:ascii="Garamond" w:hAnsi="Garamond"/>
          <w:sz w:val="22"/>
          <w:szCs w:val="22"/>
        </w:rPr>
        <w:t xml:space="preserve">, which facilitated the </w:t>
      </w:r>
      <w:r w:rsidR="00DA0465" w:rsidRPr="00EE5F0F">
        <w:rPr>
          <w:rFonts w:ascii="Garamond" w:hAnsi="Garamond"/>
          <w:sz w:val="22"/>
          <w:szCs w:val="22"/>
        </w:rPr>
        <w:t xml:space="preserve">stabilizing </w:t>
      </w:r>
      <w:r w:rsidRPr="00EE5F0F">
        <w:rPr>
          <w:rFonts w:ascii="Garamond" w:hAnsi="Garamond"/>
          <w:sz w:val="22"/>
          <w:szCs w:val="22"/>
        </w:rPr>
        <w:t>of</w:t>
      </w:r>
      <w:r w:rsidR="00DA0465" w:rsidRPr="00EE5F0F">
        <w:rPr>
          <w:rFonts w:ascii="Garamond" w:hAnsi="Garamond"/>
          <w:sz w:val="22"/>
          <w:szCs w:val="22"/>
        </w:rPr>
        <w:t xml:space="preserve"> short-term </w:t>
      </w:r>
      <w:r w:rsidRPr="00EE5F0F">
        <w:rPr>
          <w:rFonts w:ascii="Garamond" w:hAnsi="Garamond"/>
          <w:sz w:val="22"/>
          <w:szCs w:val="22"/>
        </w:rPr>
        <w:t xml:space="preserve">interest rates </w:t>
      </w:r>
      <w:r w:rsidR="00DA0465" w:rsidRPr="00EE5F0F">
        <w:rPr>
          <w:rFonts w:ascii="Garamond" w:hAnsi="Garamond"/>
          <w:sz w:val="22"/>
          <w:szCs w:val="22"/>
        </w:rPr>
        <w:t>around t</w:t>
      </w:r>
      <w:r w:rsidRPr="00EE5F0F">
        <w:rPr>
          <w:rFonts w:ascii="Garamond" w:hAnsi="Garamond"/>
          <w:sz w:val="22"/>
          <w:szCs w:val="22"/>
        </w:rPr>
        <w:t>he policy rate.</w:t>
      </w:r>
      <w:r w:rsidR="003316A8" w:rsidRPr="00EE5F0F">
        <w:rPr>
          <w:rFonts w:ascii="Garamond" w:hAnsi="Garamond"/>
          <w:sz w:val="22"/>
          <w:szCs w:val="22"/>
        </w:rPr>
        <w:t xml:space="preserve"> It should be noted that the impact of political events in April and May on the financial market was effectively neutralized through pro</w:t>
      </w:r>
      <w:r w:rsidR="00746EFB" w:rsidRPr="00EE5F0F">
        <w:rPr>
          <w:rFonts w:ascii="Garamond" w:hAnsi="Garamond"/>
          <w:sz w:val="22"/>
          <w:szCs w:val="22"/>
        </w:rPr>
        <w:t xml:space="preserve">per and timely action </w:t>
      </w:r>
      <w:r w:rsidR="003316A8" w:rsidRPr="00EE5F0F">
        <w:rPr>
          <w:rFonts w:ascii="Garamond" w:hAnsi="Garamond"/>
          <w:sz w:val="22"/>
          <w:szCs w:val="22"/>
        </w:rPr>
        <w:t xml:space="preserve">by the Central Bank. In particular, </w:t>
      </w:r>
      <w:r w:rsidR="00746EFB" w:rsidRPr="00EE5F0F">
        <w:rPr>
          <w:rFonts w:ascii="Garamond" w:hAnsi="Garamond"/>
          <w:sz w:val="22"/>
          <w:szCs w:val="22"/>
        </w:rPr>
        <w:t xml:space="preserve">in response to </w:t>
      </w:r>
      <w:r w:rsidR="003316A8" w:rsidRPr="00EE5F0F">
        <w:rPr>
          <w:rFonts w:ascii="Garamond" w:hAnsi="Garamond"/>
          <w:sz w:val="22"/>
          <w:szCs w:val="22"/>
        </w:rPr>
        <w:t xml:space="preserve">tension in different </w:t>
      </w:r>
      <w:r w:rsidR="00746EFB" w:rsidRPr="00EE5F0F">
        <w:rPr>
          <w:rFonts w:ascii="Garamond" w:hAnsi="Garamond"/>
          <w:sz w:val="22"/>
          <w:szCs w:val="22"/>
        </w:rPr>
        <w:t>segments of</w:t>
      </w:r>
      <w:r w:rsidR="003316A8" w:rsidRPr="00EE5F0F">
        <w:rPr>
          <w:rFonts w:ascii="Garamond" w:hAnsi="Garamond"/>
          <w:sz w:val="22"/>
          <w:szCs w:val="22"/>
        </w:rPr>
        <w:t xml:space="preserve"> the financial market, the C</w:t>
      </w:r>
      <w:r w:rsidR="00746EFB" w:rsidRPr="00EE5F0F">
        <w:rPr>
          <w:rFonts w:ascii="Garamond" w:hAnsi="Garamond"/>
          <w:sz w:val="22"/>
          <w:szCs w:val="22"/>
        </w:rPr>
        <w:t xml:space="preserve">entral </w:t>
      </w:r>
      <w:r w:rsidR="003316A8" w:rsidRPr="00EE5F0F">
        <w:rPr>
          <w:rFonts w:ascii="Garamond" w:hAnsi="Garamond"/>
          <w:sz w:val="22"/>
          <w:szCs w:val="22"/>
        </w:rPr>
        <w:t>B</w:t>
      </w:r>
      <w:r w:rsidR="00746EFB" w:rsidRPr="00EE5F0F">
        <w:rPr>
          <w:rFonts w:ascii="Garamond" w:hAnsi="Garamond"/>
          <w:sz w:val="22"/>
          <w:szCs w:val="22"/>
        </w:rPr>
        <w:t>ank</w:t>
      </w:r>
      <w:r w:rsidR="003316A8" w:rsidRPr="00EE5F0F">
        <w:rPr>
          <w:rFonts w:ascii="Garamond" w:hAnsi="Garamond"/>
          <w:sz w:val="22"/>
          <w:szCs w:val="22"/>
        </w:rPr>
        <w:t xml:space="preserve"> has injected the ne</w:t>
      </w:r>
      <w:r w:rsidR="00746EFB" w:rsidRPr="00EE5F0F">
        <w:rPr>
          <w:rFonts w:ascii="Garamond" w:hAnsi="Garamond"/>
          <w:sz w:val="22"/>
          <w:szCs w:val="22"/>
        </w:rPr>
        <w:t>eded</w:t>
      </w:r>
      <w:r w:rsidR="003316A8" w:rsidRPr="00EE5F0F">
        <w:rPr>
          <w:rFonts w:ascii="Garamond" w:hAnsi="Garamond"/>
          <w:sz w:val="22"/>
          <w:szCs w:val="22"/>
        </w:rPr>
        <w:t xml:space="preserve"> </w:t>
      </w:r>
      <w:r w:rsidR="00746EFB" w:rsidRPr="00EE5F0F">
        <w:rPr>
          <w:rFonts w:ascii="Garamond" w:hAnsi="Garamond"/>
          <w:sz w:val="22"/>
          <w:szCs w:val="22"/>
        </w:rPr>
        <w:t xml:space="preserve">amount </w:t>
      </w:r>
      <w:r w:rsidR="003316A8" w:rsidRPr="00EE5F0F">
        <w:rPr>
          <w:rFonts w:ascii="Garamond" w:hAnsi="Garamond"/>
          <w:sz w:val="22"/>
          <w:szCs w:val="22"/>
        </w:rPr>
        <w:t xml:space="preserve">of liquidity </w:t>
      </w:r>
      <w:r w:rsidR="00746EFB" w:rsidRPr="00EE5F0F">
        <w:rPr>
          <w:rFonts w:ascii="Garamond" w:hAnsi="Garamond"/>
          <w:sz w:val="22"/>
          <w:szCs w:val="22"/>
        </w:rPr>
        <w:t xml:space="preserve">in the system </w:t>
      </w:r>
      <w:r w:rsidR="003316A8" w:rsidRPr="00EE5F0F">
        <w:rPr>
          <w:rFonts w:ascii="Garamond" w:hAnsi="Garamond"/>
          <w:sz w:val="22"/>
          <w:szCs w:val="22"/>
        </w:rPr>
        <w:t xml:space="preserve">through various tools </w:t>
      </w:r>
      <w:r w:rsidR="00746EFB" w:rsidRPr="00EE5F0F">
        <w:rPr>
          <w:rFonts w:ascii="Garamond" w:hAnsi="Garamond"/>
          <w:sz w:val="22"/>
          <w:szCs w:val="22"/>
        </w:rPr>
        <w:t xml:space="preserve">in order </w:t>
      </w:r>
      <w:r w:rsidR="003316A8" w:rsidRPr="00EE5F0F">
        <w:rPr>
          <w:rFonts w:ascii="Garamond" w:hAnsi="Garamond"/>
          <w:sz w:val="22"/>
          <w:szCs w:val="22"/>
        </w:rPr>
        <w:t xml:space="preserve">to </w:t>
      </w:r>
      <w:r w:rsidR="00746EFB" w:rsidRPr="00EE5F0F">
        <w:rPr>
          <w:rFonts w:ascii="Garamond" w:hAnsi="Garamond"/>
          <w:sz w:val="22"/>
          <w:szCs w:val="22"/>
        </w:rPr>
        <w:t xml:space="preserve">maintain the </w:t>
      </w:r>
      <w:r w:rsidR="003316A8" w:rsidRPr="00EE5F0F">
        <w:rPr>
          <w:rFonts w:ascii="Garamond" w:hAnsi="Garamond"/>
          <w:sz w:val="22"/>
          <w:szCs w:val="22"/>
        </w:rPr>
        <w:t xml:space="preserve">financial stability. At the same time, in macroeconomic terms, no significant fluctuations </w:t>
      </w:r>
      <w:r w:rsidR="00746EFB" w:rsidRPr="00EE5F0F">
        <w:rPr>
          <w:rFonts w:ascii="Garamond" w:hAnsi="Garamond"/>
          <w:sz w:val="22"/>
          <w:szCs w:val="22"/>
        </w:rPr>
        <w:t xml:space="preserve">were </w:t>
      </w:r>
      <w:r w:rsidR="00386779" w:rsidRPr="00EE5F0F">
        <w:rPr>
          <w:rFonts w:ascii="Garamond" w:hAnsi="Garamond"/>
          <w:sz w:val="22"/>
          <w:szCs w:val="22"/>
        </w:rPr>
        <w:t>seen</w:t>
      </w:r>
      <w:r w:rsidR="00746EFB" w:rsidRPr="00EE5F0F">
        <w:rPr>
          <w:rFonts w:ascii="Garamond" w:hAnsi="Garamond"/>
          <w:sz w:val="22"/>
          <w:szCs w:val="22"/>
        </w:rPr>
        <w:t xml:space="preserve"> </w:t>
      </w:r>
      <w:r w:rsidR="003316A8" w:rsidRPr="00EE5F0F">
        <w:rPr>
          <w:rFonts w:ascii="Garamond" w:hAnsi="Garamond"/>
          <w:sz w:val="22"/>
          <w:szCs w:val="22"/>
        </w:rPr>
        <w:t xml:space="preserve">in the </w:t>
      </w:r>
      <w:r w:rsidR="00746EFB" w:rsidRPr="00EE5F0F">
        <w:rPr>
          <w:rFonts w:ascii="Garamond" w:hAnsi="Garamond"/>
          <w:sz w:val="22"/>
          <w:szCs w:val="22"/>
        </w:rPr>
        <w:t xml:space="preserve">dram’s </w:t>
      </w:r>
      <w:r w:rsidR="003316A8" w:rsidRPr="00EE5F0F">
        <w:rPr>
          <w:rFonts w:ascii="Garamond" w:hAnsi="Garamond"/>
          <w:sz w:val="22"/>
          <w:szCs w:val="22"/>
        </w:rPr>
        <w:t xml:space="preserve">exchange rate and market interest rates, which </w:t>
      </w:r>
      <w:r w:rsidR="00857BEC" w:rsidRPr="00EE5F0F">
        <w:rPr>
          <w:rFonts w:ascii="Garamond" w:hAnsi="Garamond"/>
          <w:sz w:val="22"/>
          <w:szCs w:val="22"/>
        </w:rPr>
        <w:t xml:space="preserve">has been a </w:t>
      </w:r>
      <w:r w:rsidR="003316A8" w:rsidRPr="00EE5F0F">
        <w:rPr>
          <w:rFonts w:ascii="Garamond" w:hAnsi="Garamond"/>
          <w:sz w:val="22"/>
          <w:szCs w:val="22"/>
        </w:rPr>
        <w:t>result</w:t>
      </w:r>
      <w:r w:rsidR="00857BEC" w:rsidRPr="00EE5F0F">
        <w:rPr>
          <w:rFonts w:ascii="Garamond" w:hAnsi="Garamond"/>
          <w:sz w:val="22"/>
          <w:szCs w:val="22"/>
        </w:rPr>
        <w:t xml:space="preserve"> of strong</w:t>
      </w:r>
      <w:r w:rsidR="003316A8" w:rsidRPr="00EE5F0F">
        <w:rPr>
          <w:rFonts w:ascii="Garamond" w:hAnsi="Garamond"/>
          <w:sz w:val="22"/>
          <w:szCs w:val="22"/>
        </w:rPr>
        <w:t xml:space="preserve"> confidence </w:t>
      </w:r>
      <w:r w:rsidR="00857BEC" w:rsidRPr="00EE5F0F">
        <w:rPr>
          <w:rFonts w:ascii="Garamond" w:hAnsi="Garamond"/>
          <w:sz w:val="22"/>
          <w:szCs w:val="22"/>
        </w:rPr>
        <w:t xml:space="preserve">of the market participants </w:t>
      </w:r>
      <w:r w:rsidR="003316A8" w:rsidRPr="00EE5F0F">
        <w:rPr>
          <w:rFonts w:ascii="Garamond" w:hAnsi="Garamond"/>
          <w:sz w:val="22"/>
          <w:szCs w:val="22"/>
        </w:rPr>
        <w:t xml:space="preserve">in </w:t>
      </w:r>
      <w:r w:rsidR="00857BEC" w:rsidRPr="00EE5F0F">
        <w:rPr>
          <w:rFonts w:ascii="Garamond" w:hAnsi="Garamond"/>
          <w:sz w:val="22"/>
          <w:szCs w:val="22"/>
        </w:rPr>
        <w:t xml:space="preserve">both </w:t>
      </w:r>
      <w:r w:rsidR="003316A8" w:rsidRPr="00EE5F0F">
        <w:rPr>
          <w:rFonts w:ascii="Garamond" w:hAnsi="Garamond"/>
          <w:sz w:val="22"/>
          <w:szCs w:val="22"/>
        </w:rPr>
        <w:t xml:space="preserve">the </w:t>
      </w:r>
      <w:r w:rsidR="00857BEC" w:rsidRPr="00EE5F0F">
        <w:rPr>
          <w:rFonts w:ascii="Garamond" w:hAnsi="Garamond"/>
          <w:sz w:val="22"/>
          <w:szCs w:val="22"/>
        </w:rPr>
        <w:t>toolkit applied a</w:t>
      </w:r>
      <w:r w:rsidR="003316A8" w:rsidRPr="00EE5F0F">
        <w:rPr>
          <w:rFonts w:ascii="Garamond" w:hAnsi="Garamond"/>
          <w:sz w:val="22"/>
          <w:szCs w:val="22"/>
        </w:rPr>
        <w:t>nd the polic</w:t>
      </w:r>
      <w:r w:rsidR="00386779" w:rsidRPr="00EE5F0F">
        <w:rPr>
          <w:rFonts w:ascii="Garamond" w:hAnsi="Garamond"/>
          <w:sz w:val="22"/>
          <w:szCs w:val="22"/>
        </w:rPr>
        <w:t xml:space="preserve">y pursued that time, since </w:t>
      </w:r>
      <w:r w:rsidR="003316A8" w:rsidRPr="00EE5F0F">
        <w:rPr>
          <w:rFonts w:ascii="Garamond" w:hAnsi="Garamond"/>
          <w:sz w:val="22"/>
          <w:szCs w:val="22"/>
        </w:rPr>
        <w:t xml:space="preserve">most of the funds withdrawn </w:t>
      </w:r>
      <w:r w:rsidR="00386779" w:rsidRPr="00EE5F0F">
        <w:rPr>
          <w:rFonts w:ascii="Garamond" w:hAnsi="Garamond"/>
          <w:sz w:val="22"/>
          <w:szCs w:val="22"/>
        </w:rPr>
        <w:t xml:space="preserve">from the financial system was brought back </w:t>
      </w:r>
      <w:r w:rsidR="003316A8" w:rsidRPr="00EE5F0F">
        <w:rPr>
          <w:rFonts w:ascii="Garamond" w:hAnsi="Garamond"/>
          <w:sz w:val="22"/>
          <w:szCs w:val="22"/>
        </w:rPr>
        <w:t xml:space="preserve">after a short </w:t>
      </w:r>
      <w:r w:rsidR="00386779" w:rsidRPr="00EE5F0F">
        <w:rPr>
          <w:rFonts w:ascii="Garamond" w:hAnsi="Garamond"/>
          <w:sz w:val="22"/>
          <w:szCs w:val="22"/>
        </w:rPr>
        <w:t>while</w:t>
      </w:r>
      <w:r w:rsidR="003316A8" w:rsidRPr="00EE5F0F">
        <w:rPr>
          <w:rFonts w:ascii="Garamond" w:hAnsi="Garamond"/>
          <w:sz w:val="22"/>
          <w:szCs w:val="22"/>
        </w:rPr>
        <w:t>.</w:t>
      </w:r>
      <w:r w:rsidRPr="00EE5F0F">
        <w:rPr>
          <w:rFonts w:ascii="Garamond" w:hAnsi="Garamond"/>
          <w:sz w:val="22"/>
          <w:szCs w:val="22"/>
        </w:rPr>
        <w:t xml:space="preserve"> </w:t>
      </w:r>
    </w:p>
    <w:p w14:paraId="4AADD24A" w14:textId="77777777" w:rsidR="00AE3B5F" w:rsidRPr="00EE5F0F" w:rsidRDefault="00AE3B5F" w:rsidP="00AE3B5F">
      <w:pPr>
        <w:spacing w:line="360" w:lineRule="auto"/>
        <w:jc w:val="both"/>
        <w:rPr>
          <w:rFonts w:ascii="Garamond" w:hAnsi="Garamond"/>
          <w:sz w:val="22"/>
          <w:szCs w:val="22"/>
        </w:rPr>
      </w:pPr>
    </w:p>
    <w:p w14:paraId="096944B1" w14:textId="77777777" w:rsidR="00AE3B5F" w:rsidRPr="00EE5F0F" w:rsidRDefault="00AE3B5F" w:rsidP="00AE3B5F">
      <w:pPr>
        <w:spacing w:line="360" w:lineRule="auto"/>
        <w:jc w:val="both"/>
        <w:rPr>
          <w:rFonts w:ascii="Garamond" w:hAnsi="Garamond"/>
          <w:sz w:val="22"/>
          <w:szCs w:val="22"/>
        </w:rPr>
      </w:pPr>
      <w:r w:rsidRPr="00EE5F0F">
        <w:rPr>
          <w:rFonts w:ascii="Garamond" w:hAnsi="Garamond"/>
          <w:sz w:val="22"/>
          <w:szCs w:val="22"/>
        </w:rPr>
        <w:t>Following presentation of the Situation Report and the developments in external and domestic macroeconomic environments, the Board began addressing the monetary policy directions and making decision on the interest rate. T</w:t>
      </w:r>
      <w:r w:rsidR="00386779" w:rsidRPr="00EE5F0F">
        <w:rPr>
          <w:rFonts w:ascii="Garamond" w:hAnsi="Garamond"/>
          <w:sz w:val="22"/>
          <w:szCs w:val="22"/>
        </w:rPr>
        <w:t xml:space="preserve">he </w:t>
      </w:r>
      <w:r w:rsidRPr="00EE5F0F">
        <w:rPr>
          <w:rFonts w:ascii="Garamond" w:hAnsi="Garamond"/>
          <w:sz w:val="22"/>
          <w:szCs w:val="22"/>
        </w:rPr>
        <w:t xml:space="preserve">options </w:t>
      </w:r>
      <w:r w:rsidR="00386779" w:rsidRPr="00EE5F0F">
        <w:rPr>
          <w:rFonts w:ascii="Garamond" w:hAnsi="Garamond"/>
          <w:sz w:val="22"/>
          <w:szCs w:val="22"/>
        </w:rPr>
        <w:t>of</w:t>
      </w:r>
      <w:r w:rsidRPr="00EE5F0F">
        <w:rPr>
          <w:rFonts w:ascii="Garamond" w:hAnsi="Garamond"/>
          <w:sz w:val="22"/>
          <w:szCs w:val="22"/>
        </w:rPr>
        <w:t xml:space="preserve"> leav</w:t>
      </w:r>
      <w:r w:rsidR="00386779" w:rsidRPr="00EE5F0F">
        <w:rPr>
          <w:rFonts w:ascii="Garamond" w:hAnsi="Garamond"/>
          <w:sz w:val="22"/>
          <w:szCs w:val="22"/>
        </w:rPr>
        <w:t>ing</w:t>
      </w:r>
      <w:r w:rsidRPr="00EE5F0F">
        <w:rPr>
          <w:rFonts w:ascii="Garamond" w:hAnsi="Garamond"/>
          <w:sz w:val="22"/>
          <w:szCs w:val="22"/>
        </w:rPr>
        <w:t xml:space="preserve"> the refinancing rate unchanged or rais</w:t>
      </w:r>
      <w:r w:rsidR="00386779" w:rsidRPr="00EE5F0F">
        <w:rPr>
          <w:rFonts w:ascii="Garamond" w:hAnsi="Garamond"/>
          <w:sz w:val="22"/>
          <w:szCs w:val="22"/>
        </w:rPr>
        <w:t>ing</w:t>
      </w:r>
      <w:r w:rsidRPr="00EE5F0F">
        <w:rPr>
          <w:rFonts w:ascii="Garamond" w:hAnsi="Garamond"/>
          <w:sz w:val="22"/>
          <w:szCs w:val="22"/>
        </w:rPr>
        <w:t xml:space="preserve"> it</w:t>
      </w:r>
      <w:r w:rsidR="00386779" w:rsidRPr="00EE5F0F">
        <w:rPr>
          <w:rFonts w:ascii="Garamond" w:hAnsi="Garamond"/>
          <w:sz w:val="22"/>
          <w:szCs w:val="22"/>
        </w:rPr>
        <w:t xml:space="preserve"> were discussed</w:t>
      </w:r>
      <w:r w:rsidRPr="00EE5F0F">
        <w:rPr>
          <w:rFonts w:ascii="Garamond" w:hAnsi="Garamond"/>
          <w:sz w:val="22"/>
          <w:szCs w:val="22"/>
        </w:rPr>
        <w:t xml:space="preserve">. </w:t>
      </w:r>
      <w:r w:rsidR="00386779" w:rsidRPr="00EE5F0F">
        <w:rPr>
          <w:rFonts w:ascii="Garamond" w:hAnsi="Garamond"/>
          <w:sz w:val="22"/>
          <w:szCs w:val="22"/>
        </w:rPr>
        <w:t xml:space="preserve">Taking into account weak inflationary expectations from the external and domestic </w:t>
      </w:r>
      <w:r w:rsidR="00ED11A9" w:rsidRPr="00EE5F0F">
        <w:rPr>
          <w:rFonts w:ascii="Garamond" w:hAnsi="Garamond"/>
          <w:sz w:val="22"/>
          <w:szCs w:val="22"/>
        </w:rPr>
        <w:t>e</w:t>
      </w:r>
      <w:r w:rsidR="00386779" w:rsidRPr="00EE5F0F">
        <w:rPr>
          <w:rFonts w:ascii="Garamond" w:hAnsi="Garamond"/>
          <w:sz w:val="22"/>
          <w:szCs w:val="22"/>
        </w:rPr>
        <w:t xml:space="preserve">conomies, as well as the signs that the growth rates of domestic demand are slowing and </w:t>
      </w:r>
      <w:r w:rsidR="00ED11A9" w:rsidRPr="00EE5F0F">
        <w:rPr>
          <w:rFonts w:ascii="Garamond" w:hAnsi="Garamond"/>
          <w:sz w:val="22"/>
          <w:szCs w:val="22"/>
        </w:rPr>
        <w:t>stabilizing</w:t>
      </w:r>
      <w:r w:rsidR="00386779" w:rsidRPr="00EE5F0F">
        <w:rPr>
          <w:rFonts w:ascii="Garamond" w:hAnsi="Garamond"/>
          <w:sz w:val="22"/>
          <w:szCs w:val="22"/>
        </w:rPr>
        <w:t xml:space="preserve">, the Board </w:t>
      </w:r>
      <w:r w:rsidR="00ED11A9" w:rsidRPr="00EE5F0F">
        <w:rPr>
          <w:rFonts w:ascii="Garamond" w:hAnsi="Garamond"/>
          <w:sz w:val="22"/>
          <w:szCs w:val="22"/>
        </w:rPr>
        <w:t xml:space="preserve">again preferred </w:t>
      </w:r>
      <w:r w:rsidR="00386779" w:rsidRPr="00EE5F0F">
        <w:rPr>
          <w:rFonts w:ascii="Garamond" w:hAnsi="Garamond"/>
          <w:sz w:val="22"/>
          <w:szCs w:val="22"/>
        </w:rPr>
        <w:t>to leav</w:t>
      </w:r>
      <w:r w:rsidR="00ED11A9" w:rsidRPr="00EE5F0F">
        <w:rPr>
          <w:rFonts w:ascii="Garamond" w:hAnsi="Garamond"/>
          <w:sz w:val="22"/>
          <w:szCs w:val="22"/>
        </w:rPr>
        <w:t>e</w:t>
      </w:r>
      <w:r w:rsidR="00386779" w:rsidRPr="00EE5F0F">
        <w:rPr>
          <w:rFonts w:ascii="Garamond" w:hAnsi="Garamond"/>
          <w:sz w:val="22"/>
          <w:szCs w:val="22"/>
        </w:rPr>
        <w:t xml:space="preserve"> the refinancing rate unchanged.</w:t>
      </w:r>
      <w:r w:rsidR="00ED11A9" w:rsidRPr="00EE5F0F">
        <w:rPr>
          <w:rFonts w:ascii="Garamond" w:hAnsi="Garamond"/>
          <w:sz w:val="22"/>
          <w:szCs w:val="22"/>
        </w:rPr>
        <w:t xml:space="preserve"> </w:t>
      </w:r>
      <w:r w:rsidRPr="00EE5F0F">
        <w:rPr>
          <w:rFonts w:ascii="Garamond" w:hAnsi="Garamond"/>
          <w:sz w:val="22"/>
          <w:szCs w:val="22"/>
        </w:rPr>
        <w:t>The Board</w:t>
      </w:r>
      <w:r w:rsidR="00ED11A9" w:rsidRPr="00EE5F0F">
        <w:rPr>
          <w:rFonts w:ascii="Garamond" w:hAnsi="Garamond"/>
          <w:sz w:val="22"/>
          <w:szCs w:val="22"/>
        </w:rPr>
        <w:t>, however,</w:t>
      </w:r>
      <w:r w:rsidRPr="00EE5F0F">
        <w:rPr>
          <w:rFonts w:ascii="Garamond" w:hAnsi="Garamond"/>
          <w:sz w:val="22"/>
          <w:szCs w:val="22"/>
        </w:rPr>
        <w:t xml:space="preserve"> believes that</w:t>
      </w:r>
      <w:r w:rsidR="00ED11A9" w:rsidRPr="00EE5F0F">
        <w:rPr>
          <w:rFonts w:ascii="Garamond" w:hAnsi="Garamond"/>
          <w:sz w:val="22"/>
          <w:szCs w:val="22"/>
        </w:rPr>
        <w:t>,</w:t>
      </w:r>
      <w:r w:rsidRPr="00EE5F0F">
        <w:rPr>
          <w:rFonts w:ascii="Garamond" w:hAnsi="Garamond"/>
          <w:sz w:val="22"/>
          <w:szCs w:val="22"/>
        </w:rPr>
        <w:t xml:space="preserve"> in the light of predicted developments, expansionary monetary policy conditions would need to phase out gradually </w:t>
      </w:r>
      <w:r w:rsidRPr="00EE5F0F">
        <w:rPr>
          <w:rFonts w:ascii="Garamond" w:hAnsi="Garamond"/>
          <w:b/>
          <w:sz w:val="22"/>
          <w:szCs w:val="22"/>
        </w:rPr>
        <w:t xml:space="preserve">in the </w:t>
      </w:r>
      <w:r w:rsidR="00ED11A9" w:rsidRPr="00EE5F0F">
        <w:rPr>
          <w:rFonts w:ascii="Garamond" w:hAnsi="Garamond"/>
          <w:b/>
          <w:sz w:val="22"/>
          <w:szCs w:val="22"/>
        </w:rPr>
        <w:t>future</w:t>
      </w:r>
      <w:r w:rsidRPr="00EE5F0F">
        <w:rPr>
          <w:rFonts w:ascii="Garamond" w:hAnsi="Garamond"/>
          <w:sz w:val="22"/>
          <w:szCs w:val="22"/>
        </w:rPr>
        <w:t xml:space="preserve"> in order to fulfill the inflation target. As a result, </w:t>
      </w:r>
      <w:r w:rsidRPr="00EE5F0F">
        <w:rPr>
          <w:rFonts w:ascii="Garamond" w:hAnsi="Garamond"/>
          <w:b/>
          <w:sz w:val="22"/>
          <w:szCs w:val="22"/>
        </w:rPr>
        <w:t xml:space="preserve">the 12-month inflation rate </w:t>
      </w:r>
      <w:r w:rsidR="00ED11A9" w:rsidRPr="00EE5F0F">
        <w:rPr>
          <w:rFonts w:ascii="Garamond" w:hAnsi="Garamond"/>
          <w:b/>
          <w:sz w:val="22"/>
          <w:szCs w:val="22"/>
        </w:rPr>
        <w:t xml:space="preserve">is expected to remain within the lower part of </w:t>
      </w:r>
      <w:r w:rsidRPr="00EE5F0F">
        <w:rPr>
          <w:rFonts w:ascii="Garamond" w:hAnsi="Garamond"/>
          <w:b/>
          <w:sz w:val="22"/>
          <w:szCs w:val="22"/>
        </w:rPr>
        <w:t xml:space="preserve">the confidence band and will </w:t>
      </w:r>
      <w:r w:rsidR="00ED11A9" w:rsidRPr="00EE5F0F">
        <w:rPr>
          <w:rFonts w:ascii="Garamond" w:hAnsi="Garamond"/>
          <w:b/>
          <w:sz w:val="22"/>
          <w:szCs w:val="22"/>
        </w:rPr>
        <w:t xml:space="preserve">then continue increasing gradually to </w:t>
      </w:r>
      <w:r w:rsidRPr="00EE5F0F">
        <w:rPr>
          <w:rFonts w:ascii="Garamond" w:hAnsi="Garamond"/>
          <w:b/>
          <w:sz w:val="22"/>
          <w:szCs w:val="22"/>
        </w:rPr>
        <w:t>stabilize around the target.</w:t>
      </w:r>
      <w:r w:rsidRPr="00EE5F0F">
        <w:rPr>
          <w:rFonts w:ascii="Garamond" w:hAnsi="Garamond"/>
          <w:sz w:val="22"/>
          <w:szCs w:val="22"/>
        </w:rPr>
        <w:t xml:space="preserve"> </w:t>
      </w:r>
    </w:p>
    <w:p w14:paraId="267CEBAE" w14:textId="77777777" w:rsidR="00AE3B5F" w:rsidRPr="00EE5F0F" w:rsidRDefault="00AE3B5F" w:rsidP="00AE3B5F">
      <w:pPr>
        <w:spacing w:line="360" w:lineRule="auto"/>
        <w:jc w:val="both"/>
        <w:rPr>
          <w:rFonts w:ascii="Garamond" w:hAnsi="Garamond"/>
          <w:sz w:val="22"/>
          <w:szCs w:val="22"/>
        </w:rPr>
      </w:pPr>
    </w:p>
    <w:p w14:paraId="216A4097" w14:textId="77777777" w:rsidR="00AE3B5F" w:rsidRPr="00EE5F0F" w:rsidRDefault="00AE3B5F" w:rsidP="00AE3B5F">
      <w:pPr>
        <w:spacing w:line="360" w:lineRule="auto"/>
        <w:jc w:val="both"/>
        <w:rPr>
          <w:rFonts w:ascii="Garamond" w:hAnsi="Garamond"/>
          <w:sz w:val="22"/>
          <w:szCs w:val="22"/>
        </w:rPr>
      </w:pPr>
      <w:r w:rsidRPr="00EE5F0F">
        <w:rPr>
          <w:rFonts w:ascii="Garamond" w:hAnsi="Garamond"/>
          <w:sz w:val="22"/>
          <w:szCs w:val="22"/>
        </w:rPr>
        <w:t>The Board approved the decision on interest rates of monetary instruments of the Central Bank and the proposed press release, which are attached hereto.</w:t>
      </w:r>
    </w:p>
    <w:p w14:paraId="043C942F" w14:textId="77777777" w:rsidR="00AE3B5F" w:rsidRPr="00EE5F0F" w:rsidRDefault="00AE3B5F" w:rsidP="00AE3B5F">
      <w:pPr>
        <w:spacing w:line="360" w:lineRule="auto"/>
        <w:jc w:val="center"/>
        <w:rPr>
          <w:rFonts w:ascii="Garamond" w:hAnsi="Garamond"/>
          <w:b/>
          <w:sz w:val="22"/>
          <w:szCs w:val="22"/>
        </w:rPr>
      </w:pPr>
    </w:p>
    <w:p w14:paraId="230D92D0" w14:textId="77777777" w:rsidR="00AE3B5F" w:rsidRPr="00EE5F0F" w:rsidRDefault="00AE3B5F" w:rsidP="00AE3B5F">
      <w:pPr>
        <w:spacing w:line="360" w:lineRule="auto"/>
        <w:jc w:val="center"/>
        <w:rPr>
          <w:rFonts w:ascii="Garamond" w:hAnsi="Garamond"/>
          <w:b/>
          <w:sz w:val="22"/>
          <w:szCs w:val="22"/>
        </w:rPr>
      </w:pPr>
    </w:p>
    <w:p w14:paraId="5AC5F0D4" w14:textId="77777777" w:rsidR="00AE3B5F" w:rsidRPr="00EE5F0F" w:rsidRDefault="00AE3B5F" w:rsidP="00AE3B5F">
      <w:pPr>
        <w:spacing w:line="360" w:lineRule="auto"/>
        <w:jc w:val="center"/>
        <w:rPr>
          <w:rFonts w:ascii="Garamond" w:hAnsi="Garamond"/>
          <w:b/>
          <w:sz w:val="22"/>
          <w:szCs w:val="22"/>
        </w:rPr>
      </w:pPr>
    </w:p>
    <w:p w14:paraId="76B4E8DA" w14:textId="77777777" w:rsidR="00ED11A9" w:rsidRPr="00EE5F0F" w:rsidRDefault="00ED11A9" w:rsidP="00AE3B5F">
      <w:pPr>
        <w:spacing w:line="360" w:lineRule="auto"/>
        <w:jc w:val="center"/>
        <w:rPr>
          <w:rFonts w:ascii="Garamond" w:hAnsi="Garamond"/>
          <w:b/>
          <w:color w:val="0070C0"/>
          <w:sz w:val="22"/>
          <w:szCs w:val="22"/>
        </w:rPr>
      </w:pPr>
    </w:p>
    <w:p w14:paraId="1555EC5B" w14:textId="77777777" w:rsidR="00ED11A9" w:rsidRPr="00EE5F0F" w:rsidRDefault="00ED11A9" w:rsidP="00AE3B5F">
      <w:pPr>
        <w:spacing w:line="360" w:lineRule="auto"/>
        <w:jc w:val="center"/>
        <w:rPr>
          <w:rFonts w:ascii="Garamond" w:hAnsi="Garamond"/>
          <w:b/>
          <w:color w:val="0070C0"/>
          <w:sz w:val="22"/>
          <w:szCs w:val="22"/>
        </w:rPr>
      </w:pPr>
    </w:p>
    <w:p w14:paraId="1C592DF6" w14:textId="77777777" w:rsidR="00ED11A9" w:rsidRPr="00EE5F0F" w:rsidRDefault="00ED11A9" w:rsidP="00AE3B5F">
      <w:pPr>
        <w:spacing w:line="360" w:lineRule="auto"/>
        <w:jc w:val="center"/>
        <w:rPr>
          <w:rFonts w:ascii="Garamond" w:hAnsi="Garamond"/>
          <w:b/>
          <w:color w:val="0070C0"/>
          <w:sz w:val="22"/>
          <w:szCs w:val="22"/>
        </w:rPr>
      </w:pPr>
    </w:p>
    <w:p w14:paraId="2444F41C" w14:textId="77777777" w:rsidR="00ED11A9" w:rsidRPr="00EE5F0F" w:rsidRDefault="00ED11A9" w:rsidP="00AE3B5F">
      <w:pPr>
        <w:spacing w:line="360" w:lineRule="auto"/>
        <w:jc w:val="center"/>
        <w:rPr>
          <w:rFonts w:ascii="Garamond" w:hAnsi="Garamond"/>
          <w:b/>
          <w:color w:val="0070C0"/>
          <w:sz w:val="22"/>
          <w:szCs w:val="22"/>
        </w:rPr>
      </w:pPr>
    </w:p>
    <w:p w14:paraId="0455A36D" w14:textId="77777777" w:rsidR="00AE3B5F" w:rsidRPr="00EE5F0F" w:rsidRDefault="00AE3B5F" w:rsidP="00AE3B5F">
      <w:pPr>
        <w:spacing w:line="360" w:lineRule="auto"/>
        <w:jc w:val="center"/>
        <w:rPr>
          <w:rFonts w:ascii="Garamond" w:hAnsi="Garamond"/>
          <w:b/>
          <w:color w:val="0070C0"/>
          <w:sz w:val="22"/>
          <w:szCs w:val="22"/>
        </w:rPr>
      </w:pPr>
      <w:r w:rsidRPr="00EE5F0F">
        <w:rPr>
          <w:rFonts w:ascii="Garamond" w:hAnsi="Garamond"/>
          <w:b/>
          <w:color w:val="0070C0"/>
          <w:sz w:val="22"/>
          <w:szCs w:val="22"/>
        </w:rPr>
        <w:t>THE CENTRAL BANK OF THE REPUBLIC OF ARMENIA</w:t>
      </w:r>
    </w:p>
    <w:p w14:paraId="646B4A7D" w14:textId="77777777" w:rsidR="00AE3B5F" w:rsidRPr="00EE5F0F" w:rsidRDefault="00AE3B5F" w:rsidP="00AE3B5F">
      <w:pPr>
        <w:spacing w:line="360" w:lineRule="auto"/>
        <w:jc w:val="center"/>
        <w:rPr>
          <w:rFonts w:ascii="Garamond" w:hAnsi="Garamond"/>
          <w:b/>
          <w:sz w:val="22"/>
          <w:szCs w:val="22"/>
        </w:rPr>
      </w:pPr>
      <w:r w:rsidRPr="00EE5F0F">
        <w:rPr>
          <w:rFonts w:ascii="Garamond" w:hAnsi="Garamond"/>
          <w:b/>
          <w:color w:val="0070C0"/>
          <w:sz w:val="22"/>
          <w:szCs w:val="22"/>
        </w:rPr>
        <w:t xml:space="preserve">BOARD </w:t>
      </w:r>
      <w:r w:rsidR="00B53341" w:rsidRPr="00EE5F0F">
        <w:rPr>
          <w:rFonts w:ascii="Garamond" w:hAnsi="Garamond"/>
          <w:b/>
          <w:color w:val="0070C0"/>
          <w:sz w:val="22"/>
          <w:szCs w:val="22"/>
        </w:rPr>
        <w:t>DECISION</w:t>
      </w:r>
    </w:p>
    <w:p w14:paraId="0315789A" w14:textId="77777777" w:rsidR="00AE3B5F" w:rsidRPr="00EE5F0F" w:rsidRDefault="00AE3B5F" w:rsidP="00AE3B5F">
      <w:pPr>
        <w:spacing w:line="360" w:lineRule="auto"/>
        <w:jc w:val="center"/>
        <w:rPr>
          <w:rFonts w:ascii="Garamond" w:hAnsi="Garamond"/>
          <w:b/>
          <w:sz w:val="22"/>
          <w:szCs w:val="22"/>
        </w:rPr>
      </w:pPr>
    </w:p>
    <w:p w14:paraId="69C06197" w14:textId="77777777" w:rsidR="00AE3B5F" w:rsidRPr="00EE5F0F" w:rsidRDefault="00AE3B5F" w:rsidP="00AE3B5F">
      <w:pPr>
        <w:spacing w:line="360" w:lineRule="auto"/>
        <w:jc w:val="center"/>
        <w:rPr>
          <w:rFonts w:ascii="Garamond" w:hAnsi="Garamond"/>
          <w:b/>
          <w:color w:val="0070C0"/>
          <w:sz w:val="22"/>
          <w:szCs w:val="22"/>
        </w:rPr>
      </w:pPr>
      <w:r w:rsidRPr="00EE5F0F">
        <w:rPr>
          <w:rFonts w:ascii="Garamond" w:hAnsi="Garamond"/>
          <w:b/>
          <w:color w:val="0070C0"/>
          <w:sz w:val="22"/>
          <w:szCs w:val="22"/>
        </w:rPr>
        <w:t xml:space="preserve">Interest rates of operations by the Central Bank in the financial market </w:t>
      </w:r>
    </w:p>
    <w:p w14:paraId="146CE029" w14:textId="77777777" w:rsidR="00AE3B5F" w:rsidRPr="00EE5F0F" w:rsidRDefault="00AE3B5F" w:rsidP="00AE3B5F">
      <w:pPr>
        <w:spacing w:line="360" w:lineRule="auto"/>
        <w:jc w:val="center"/>
        <w:rPr>
          <w:rFonts w:ascii="Garamond" w:hAnsi="Garamond"/>
          <w:sz w:val="22"/>
          <w:szCs w:val="22"/>
        </w:rPr>
      </w:pPr>
    </w:p>
    <w:p w14:paraId="2FE04A81" w14:textId="77777777" w:rsidR="00AE3B5F" w:rsidRPr="00EE5F0F" w:rsidRDefault="00AE3B5F" w:rsidP="00AE3B5F">
      <w:pPr>
        <w:spacing w:line="360" w:lineRule="auto"/>
        <w:jc w:val="both"/>
        <w:rPr>
          <w:rFonts w:ascii="Garamond" w:hAnsi="Garamond"/>
          <w:sz w:val="22"/>
          <w:szCs w:val="22"/>
        </w:rPr>
      </w:pPr>
      <w:r w:rsidRPr="00EE5F0F">
        <w:rPr>
          <w:rFonts w:ascii="Garamond" w:hAnsi="Garamond"/>
          <w:sz w:val="22"/>
          <w:szCs w:val="22"/>
        </w:rPr>
        <w:t xml:space="preserve">By virtue of Article 20 (c) of the Republic of Armenia Law on the Central Bank, the Board of the Central Bank of the Republic of Armenia </w:t>
      </w:r>
      <w:r w:rsidRPr="00EE5F0F">
        <w:rPr>
          <w:rFonts w:ascii="Garamond" w:hAnsi="Garamond"/>
          <w:b/>
          <w:sz w:val="22"/>
          <w:szCs w:val="22"/>
        </w:rPr>
        <w:t>enacts:</w:t>
      </w:r>
    </w:p>
    <w:p w14:paraId="4A9706E3" w14:textId="77777777" w:rsidR="00AE3B5F" w:rsidRPr="00EE5F0F" w:rsidRDefault="00AE3B5F" w:rsidP="00AE3B5F">
      <w:pPr>
        <w:spacing w:line="360" w:lineRule="auto"/>
        <w:jc w:val="both"/>
        <w:rPr>
          <w:rFonts w:ascii="Garamond" w:hAnsi="Garamond"/>
          <w:sz w:val="22"/>
          <w:szCs w:val="22"/>
        </w:rPr>
      </w:pPr>
      <w:r w:rsidRPr="00EE5F0F">
        <w:rPr>
          <w:rFonts w:ascii="Garamond" w:hAnsi="Garamond"/>
          <w:sz w:val="22"/>
          <w:szCs w:val="22"/>
        </w:rPr>
        <w:t>1.</w:t>
      </w:r>
      <w:r w:rsidRPr="00EE5F0F">
        <w:rPr>
          <w:rFonts w:ascii="Garamond" w:hAnsi="Garamond"/>
          <w:sz w:val="22"/>
          <w:szCs w:val="22"/>
        </w:rPr>
        <w:tab/>
        <w:t>Leave the refinancing rate of the Central Bank of the Republic of Armenia unchanged, at 6.0%.</w:t>
      </w:r>
    </w:p>
    <w:p w14:paraId="1EF00C02" w14:textId="77777777" w:rsidR="00AE3B5F" w:rsidRPr="00EE5F0F" w:rsidRDefault="00AE3B5F" w:rsidP="00AE3B5F">
      <w:pPr>
        <w:spacing w:line="360" w:lineRule="auto"/>
        <w:jc w:val="both"/>
        <w:rPr>
          <w:rFonts w:ascii="Garamond" w:hAnsi="Garamond"/>
          <w:sz w:val="22"/>
          <w:szCs w:val="22"/>
        </w:rPr>
      </w:pPr>
      <w:r w:rsidRPr="00EE5F0F">
        <w:rPr>
          <w:rFonts w:ascii="Garamond" w:hAnsi="Garamond"/>
          <w:sz w:val="22"/>
          <w:szCs w:val="22"/>
        </w:rPr>
        <w:t>2.</w:t>
      </w:r>
      <w:r w:rsidRPr="00EE5F0F">
        <w:rPr>
          <w:rFonts w:ascii="Garamond" w:hAnsi="Garamond"/>
          <w:sz w:val="22"/>
          <w:szCs w:val="22"/>
        </w:rPr>
        <w:tab/>
        <w:t xml:space="preserve">To the Financial Department of the Central Bank of the Republic of Armenia to carry out operations in the financial market of the Republic of Armenia, using the </w:t>
      </w:r>
      <w:r w:rsidR="00EE5F0F" w:rsidRPr="00EE5F0F">
        <w:rPr>
          <w:rFonts w:ascii="Garamond" w:hAnsi="Garamond"/>
          <w:sz w:val="22"/>
          <w:szCs w:val="22"/>
        </w:rPr>
        <w:t xml:space="preserve">following </w:t>
      </w:r>
      <w:r w:rsidRPr="00EE5F0F">
        <w:rPr>
          <w:rFonts w:ascii="Garamond" w:hAnsi="Garamond"/>
          <w:sz w:val="22"/>
          <w:szCs w:val="22"/>
        </w:rPr>
        <w:t>interest rates:</w:t>
      </w:r>
    </w:p>
    <w:p w14:paraId="7A095E86" w14:textId="77777777" w:rsidR="00AE3B5F" w:rsidRPr="00EE5F0F" w:rsidRDefault="00AE3B5F" w:rsidP="00AE3B5F">
      <w:pPr>
        <w:spacing w:line="360" w:lineRule="auto"/>
        <w:jc w:val="both"/>
        <w:rPr>
          <w:rFonts w:ascii="Garamond" w:hAnsi="Garamond"/>
          <w:sz w:val="22"/>
          <w:szCs w:val="22"/>
        </w:rPr>
      </w:pPr>
      <w:r w:rsidRPr="00EE5F0F">
        <w:rPr>
          <w:rFonts w:ascii="Garamond" w:hAnsi="Garamond"/>
          <w:sz w:val="22"/>
          <w:szCs w:val="22"/>
        </w:rPr>
        <w:t>2.1</w:t>
      </w:r>
      <w:r w:rsidRPr="00EE5F0F">
        <w:rPr>
          <w:rFonts w:ascii="Garamond" w:hAnsi="Garamond"/>
          <w:sz w:val="22"/>
          <w:szCs w:val="22"/>
        </w:rPr>
        <w:tab/>
        <w:t>Lombard facility rate offered by the Central Bank to be 7.5%.</w:t>
      </w:r>
    </w:p>
    <w:p w14:paraId="547C248D" w14:textId="77777777" w:rsidR="00AE3B5F" w:rsidRPr="00EE5F0F" w:rsidRDefault="00AE3B5F" w:rsidP="00AE3B5F">
      <w:pPr>
        <w:spacing w:line="360" w:lineRule="auto"/>
        <w:jc w:val="both"/>
        <w:rPr>
          <w:rFonts w:ascii="Garamond" w:hAnsi="Garamond"/>
          <w:sz w:val="22"/>
          <w:szCs w:val="22"/>
        </w:rPr>
      </w:pPr>
      <w:r w:rsidRPr="00EE5F0F">
        <w:rPr>
          <w:rFonts w:ascii="Garamond" w:hAnsi="Garamond"/>
          <w:sz w:val="22"/>
          <w:szCs w:val="22"/>
        </w:rPr>
        <w:t>2.2.</w:t>
      </w:r>
      <w:r w:rsidRPr="00EE5F0F">
        <w:rPr>
          <w:rFonts w:ascii="Garamond" w:hAnsi="Garamond"/>
          <w:sz w:val="22"/>
          <w:szCs w:val="22"/>
        </w:rPr>
        <w:tab/>
        <w:t>Deposit facility rate offered by the Central Bank to be 4.5%.</w:t>
      </w:r>
    </w:p>
    <w:p w14:paraId="39932863" w14:textId="77777777" w:rsidR="00AE3B5F" w:rsidRPr="00EE5F0F" w:rsidRDefault="00AE3B5F" w:rsidP="00AE3B5F">
      <w:pPr>
        <w:spacing w:line="360" w:lineRule="auto"/>
        <w:jc w:val="both"/>
        <w:rPr>
          <w:rFonts w:ascii="Garamond" w:hAnsi="Garamond"/>
          <w:sz w:val="22"/>
          <w:szCs w:val="22"/>
        </w:rPr>
      </w:pPr>
      <w:r w:rsidRPr="00EE5F0F">
        <w:rPr>
          <w:rFonts w:ascii="Garamond" w:hAnsi="Garamond"/>
          <w:sz w:val="22"/>
          <w:szCs w:val="22"/>
        </w:rPr>
        <w:t>3.</w:t>
      </w:r>
      <w:r w:rsidRPr="00EE5F0F">
        <w:rPr>
          <w:rFonts w:ascii="Garamond" w:hAnsi="Garamond"/>
          <w:sz w:val="22"/>
          <w:szCs w:val="22"/>
        </w:rPr>
        <w:tab/>
        <w:t xml:space="preserve">This </w:t>
      </w:r>
      <w:r w:rsidR="00EE5F0F" w:rsidRPr="00EE5F0F">
        <w:rPr>
          <w:rFonts w:ascii="Garamond" w:hAnsi="Garamond"/>
          <w:sz w:val="22"/>
          <w:szCs w:val="22"/>
        </w:rPr>
        <w:t>decision</w:t>
      </w:r>
      <w:r w:rsidRPr="00EE5F0F">
        <w:rPr>
          <w:rFonts w:ascii="Garamond" w:hAnsi="Garamond"/>
          <w:sz w:val="22"/>
          <w:szCs w:val="22"/>
        </w:rPr>
        <w:t xml:space="preserve"> shall take force on the day following the adoption thereof.</w:t>
      </w:r>
    </w:p>
    <w:p w14:paraId="5D813EC5" w14:textId="77777777" w:rsidR="00AE3B5F" w:rsidRPr="00EE5F0F" w:rsidRDefault="00AE3B5F" w:rsidP="00AE3B5F">
      <w:pPr>
        <w:spacing w:line="360" w:lineRule="auto"/>
        <w:jc w:val="both"/>
        <w:rPr>
          <w:rFonts w:ascii="Garamond" w:hAnsi="Garamond"/>
          <w:sz w:val="22"/>
          <w:szCs w:val="22"/>
        </w:rPr>
      </w:pPr>
    </w:p>
    <w:p w14:paraId="4251FF7B" w14:textId="77777777" w:rsidR="00AE3B5F" w:rsidRPr="00EE5F0F" w:rsidRDefault="00AE3B5F" w:rsidP="00AE3B5F">
      <w:pPr>
        <w:spacing w:line="360" w:lineRule="auto"/>
        <w:jc w:val="both"/>
        <w:rPr>
          <w:rFonts w:ascii="Garamond" w:hAnsi="Garamond"/>
          <w:b/>
          <w:sz w:val="22"/>
          <w:szCs w:val="22"/>
        </w:rPr>
      </w:pPr>
      <w:r w:rsidRPr="00EE5F0F">
        <w:rPr>
          <w:rFonts w:ascii="Garamond" w:hAnsi="Garamond"/>
          <w:b/>
          <w:sz w:val="22"/>
          <w:szCs w:val="22"/>
        </w:rPr>
        <w:t>Arthur Javadyan,</w:t>
      </w:r>
    </w:p>
    <w:p w14:paraId="5EC2EB72" w14:textId="77777777" w:rsidR="00AE3B5F" w:rsidRPr="00EE5F0F" w:rsidRDefault="00AE3B5F" w:rsidP="00AE3B5F">
      <w:pPr>
        <w:spacing w:line="360" w:lineRule="auto"/>
        <w:jc w:val="both"/>
        <w:rPr>
          <w:rFonts w:ascii="Garamond" w:hAnsi="Garamond"/>
          <w:b/>
          <w:sz w:val="22"/>
          <w:szCs w:val="22"/>
        </w:rPr>
      </w:pPr>
      <w:r w:rsidRPr="00EE5F0F">
        <w:rPr>
          <w:rFonts w:ascii="Garamond" w:hAnsi="Garamond"/>
          <w:b/>
          <w:sz w:val="22"/>
          <w:szCs w:val="22"/>
        </w:rPr>
        <w:t>Chairman of the CBA</w:t>
      </w:r>
    </w:p>
    <w:p w14:paraId="76CF657A" w14:textId="77777777" w:rsidR="00AE3B5F" w:rsidRPr="00EE5F0F" w:rsidRDefault="00AE3B5F" w:rsidP="00AE3B5F">
      <w:pPr>
        <w:spacing w:line="360" w:lineRule="auto"/>
        <w:jc w:val="both"/>
        <w:rPr>
          <w:rFonts w:ascii="Garamond" w:hAnsi="Garamond"/>
          <w:b/>
          <w:sz w:val="22"/>
          <w:szCs w:val="22"/>
        </w:rPr>
      </w:pPr>
    </w:p>
    <w:p w14:paraId="0D74FD33" w14:textId="77777777" w:rsidR="00AE3B5F" w:rsidRPr="00EE5F0F" w:rsidRDefault="00EE5F0F" w:rsidP="00AE3B5F">
      <w:pPr>
        <w:spacing w:line="360" w:lineRule="auto"/>
        <w:jc w:val="both"/>
        <w:rPr>
          <w:rFonts w:ascii="Garamond" w:hAnsi="Garamond"/>
          <w:sz w:val="22"/>
          <w:szCs w:val="22"/>
        </w:rPr>
      </w:pPr>
      <w:r w:rsidRPr="00EE5F0F">
        <w:rPr>
          <w:rFonts w:ascii="Garamond" w:hAnsi="Garamond"/>
          <w:b/>
          <w:sz w:val="22"/>
          <w:szCs w:val="22"/>
        </w:rPr>
        <w:t>Ma</w:t>
      </w:r>
      <w:r w:rsidR="00AE3B5F" w:rsidRPr="00EE5F0F">
        <w:rPr>
          <w:rFonts w:ascii="Garamond" w:hAnsi="Garamond"/>
          <w:b/>
          <w:sz w:val="22"/>
          <w:szCs w:val="22"/>
        </w:rPr>
        <w:t>y 1</w:t>
      </w:r>
      <w:r w:rsidRPr="00EE5F0F">
        <w:rPr>
          <w:rFonts w:ascii="Garamond" w:hAnsi="Garamond"/>
          <w:b/>
          <w:sz w:val="22"/>
          <w:szCs w:val="22"/>
        </w:rPr>
        <w:t>5</w:t>
      </w:r>
      <w:r w:rsidR="00AE3B5F" w:rsidRPr="00EE5F0F">
        <w:rPr>
          <w:rFonts w:ascii="Garamond" w:hAnsi="Garamond"/>
          <w:b/>
          <w:sz w:val="22"/>
          <w:szCs w:val="22"/>
        </w:rPr>
        <w:t>, 2018</w:t>
      </w:r>
    </w:p>
    <w:p w14:paraId="5C223503" w14:textId="77777777" w:rsidR="00AE3B5F" w:rsidRPr="00EE5F0F" w:rsidRDefault="00AE3B5F" w:rsidP="00AE3B5F">
      <w:pPr>
        <w:spacing w:line="360" w:lineRule="auto"/>
        <w:jc w:val="both"/>
        <w:rPr>
          <w:rFonts w:ascii="Garamond" w:hAnsi="Garamond"/>
          <w:sz w:val="22"/>
          <w:szCs w:val="22"/>
        </w:rPr>
      </w:pPr>
    </w:p>
    <w:p w14:paraId="2758A9BB" w14:textId="77777777" w:rsidR="00AE3B5F" w:rsidRPr="00EE5F0F" w:rsidRDefault="00AE3B5F" w:rsidP="00AE3B5F">
      <w:pPr>
        <w:spacing w:line="360" w:lineRule="auto"/>
        <w:jc w:val="center"/>
        <w:rPr>
          <w:rFonts w:ascii="Garamond" w:hAnsi="Garamond"/>
          <w:b/>
          <w:color w:val="0070C0"/>
          <w:sz w:val="22"/>
          <w:szCs w:val="22"/>
        </w:rPr>
      </w:pPr>
    </w:p>
    <w:p w14:paraId="0F742528" w14:textId="77777777" w:rsidR="00AE3B5F" w:rsidRPr="00EE5F0F" w:rsidRDefault="00AE3B5F" w:rsidP="00AE3B5F">
      <w:pPr>
        <w:spacing w:line="360" w:lineRule="auto"/>
        <w:jc w:val="center"/>
        <w:rPr>
          <w:rFonts w:ascii="Garamond" w:hAnsi="Garamond"/>
          <w:b/>
          <w:color w:val="0070C0"/>
          <w:sz w:val="22"/>
          <w:szCs w:val="22"/>
        </w:rPr>
      </w:pPr>
    </w:p>
    <w:p w14:paraId="75C2282D" w14:textId="77777777" w:rsidR="00AE3B5F" w:rsidRPr="00EE5F0F" w:rsidRDefault="00AE3B5F" w:rsidP="00AE3B5F">
      <w:pPr>
        <w:spacing w:line="360" w:lineRule="auto"/>
        <w:jc w:val="center"/>
        <w:rPr>
          <w:rFonts w:ascii="Garamond" w:hAnsi="Garamond"/>
          <w:b/>
          <w:color w:val="0070C0"/>
          <w:sz w:val="22"/>
          <w:szCs w:val="22"/>
        </w:rPr>
      </w:pPr>
    </w:p>
    <w:p w14:paraId="348C2C7A" w14:textId="77777777" w:rsidR="00EE5F0F" w:rsidRPr="00EE5F0F" w:rsidRDefault="00EE5F0F" w:rsidP="00EE5F0F">
      <w:pPr>
        <w:jc w:val="center"/>
        <w:rPr>
          <w:rFonts w:ascii="Garamond" w:hAnsi="Garamond"/>
          <w:b/>
          <w:color w:val="0070C0"/>
          <w:sz w:val="22"/>
          <w:szCs w:val="22"/>
        </w:rPr>
      </w:pPr>
      <w:r w:rsidRPr="00EE5F0F">
        <w:rPr>
          <w:rFonts w:ascii="Garamond" w:hAnsi="Garamond"/>
          <w:b/>
          <w:color w:val="0070C0"/>
          <w:sz w:val="22"/>
          <w:szCs w:val="22"/>
        </w:rPr>
        <w:t>PRESS RELEASE</w:t>
      </w:r>
    </w:p>
    <w:p w14:paraId="00930DFB" w14:textId="77777777" w:rsidR="00EE5F0F" w:rsidRPr="00EE5F0F" w:rsidRDefault="00EE5F0F" w:rsidP="00EE5F0F">
      <w:pPr>
        <w:jc w:val="center"/>
        <w:rPr>
          <w:rFonts w:ascii="Garamond" w:hAnsi="Garamond"/>
          <w:sz w:val="22"/>
          <w:szCs w:val="22"/>
        </w:rPr>
      </w:pPr>
      <w:r w:rsidRPr="00EE5F0F">
        <w:rPr>
          <w:rFonts w:ascii="Garamond" w:hAnsi="Garamond"/>
          <w:b/>
          <w:color w:val="0070C0"/>
          <w:sz w:val="22"/>
          <w:szCs w:val="22"/>
        </w:rPr>
        <w:t>15.05.2018</w:t>
      </w:r>
    </w:p>
    <w:p w14:paraId="248BF881" w14:textId="77777777" w:rsidR="00EE5F0F" w:rsidRPr="00EE5F0F" w:rsidRDefault="00EE5F0F" w:rsidP="00EE5F0F">
      <w:pPr>
        <w:jc w:val="both"/>
        <w:rPr>
          <w:rFonts w:ascii="Garamond" w:hAnsi="Garamond"/>
          <w:sz w:val="22"/>
          <w:szCs w:val="22"/>
        </w:rPr>
      </w:pPr>
    </w:p>
    <w:p w14:paraId="28C927AF" w14:textId="77777777" w:rsidR="00EE5F0F" w:rsidRPr="00EE5F0F" w:rsidRDefault="00EE5F0F" w:rsidP="00EE5F0F">
      <w:pPr>
        <w:jc w:val="both"/>
        <w:rPr>
          <w:rFonts w:ascii="Garamond" w:hAnsi="Garamond"/>
          <w:sz w:val="22"/>
          <w:szCs w:val="22"/>
        </w:rPr>
      </w:pPr>
      <w:r w:rsidRPr="00EE5F0F">
        <w:rPr>
          <w:rFonts w:ascii="Garamond" w:hAnsi="Garamond"/>
          <w:sz w:val="22"/>
          <w:szCs w:val="22"/>
        </w:rPr>
        <w:t>At the May 15th of 2018 meeting, the Board of the Central Bank of Armenia (the CBA) decided to leave the refinancing rate unchanged, at the level of 6.0%.</w:t>
      </w:r>
    </w:p>
    <w:p w14:paraId="48043A1B" w14:textId="77777777" w:rsidR="00EE5F0F" w:rsidRDefault="00EE5F0F" w:rsidP="00EE5F0F">
      <w:pPr>
        <w:jc w:val="both"/>
        <w:rPr>
          <w:rFonts w:ascii="Garamond" w:hAnsi="Garamond"/>
          <w:sz w:val="22"/>
          <w:szCs w:val="22"/>
        </w:rPr>
      </w:pPr>
    </w:p>
    <w:p w14:paraId="6535F19D" w14:textId="77777777" w:rsidR="00EE5F0F" w:rsidRPr="00EE5F0F" w:rsidRDefault="00EE5F0F" w:rsidP="00EE5F0F">
      <w:pPr>
        <w:jc w:val="both"/>
        <w:rPr>
          <w:rFonts w:ascii="Garamond" w:hAnsi="Garamond"/>
          <w:sz w:val="22"/>
          <w:szCs w:val="22"/>
        </w:rPr>
      </w:pPr>
      <w:r w:rsidRPr="00EE5F0F">
        <w:rPr>
          <w:rFonts w:ascii="Garamond" w:hAnsi="Garamond"/>
          <w:sz w:val="22"/>
          <w:szCs w:val="22"/>
        </w:rPr>
        <w:t xml:space="preserve">There was 0.3% deflation in April of 2018 against 1.0% inflation registered in the same month of the previous year, and the 12-month inflation rate notably reduced during the month amounting to 2.4%. The low inflation environment owed to both the slowing of core inflation rate and the decline in seasonal prices. In the upcoming months, the CBA Board estimates, the inflation will remain within the lower part of the confidence band. </w:t>
      </w:r>
    </w:p>
    <w:p w14:paraId="6183076C" w14:textId="77777777" w:rsidR="00EE5F0F" w:rsidRDefault="00EE5F0F" w:rsidP="00EE5F0F">
      <w:pPr>
        <w:jc w:val="both"/>
        <w:rPr>
          <w:rFonts w:ascii="Garamond" w:hAnsi="Garamond"/>
          <w:sz w:val="22"/>
          <w:szCs w:val="22"/>
        </w:rPr>
      </w:pPr>
    </w:p>
    <w:p w14:paraId="7AC0AFF2" w14:textId="77777777" w:rsidR="00EE5F0F" w:rsidRPr="00EE5F0F" w:rsidRDefault="00EE5F0F" w:rsidP="00EE5F0F">
      <w:pPr>
        <w:jc w:val="both"/>
        <w:rPr>
          <w:rFonts w:ascii="Garamond" w:hAnsi="Garamond"/>
          <w:sz w:val="22"/>
          <w:szCs w:val="22"/>
        </w:rPr>
      </w:pPr>
      <w:r w:rsidRPr="00EE5F0F">
        <w:rPr>
          <w:rFonts w:ascii="Garamond" w:hAnsi="Garamond"/>
          <w:sz w:val="22"/>
          <w:szCs w:val="22"/>
        </w:rPr>
        <w:t xml:space="preserve">The actual developments in the external sector in April demonstrate that trends for improving global economic growth and minor inflationary patterns in the main commodity markets of the world continued. In view of such developments, the CBA Board keeps anticipating inflationary effects proportional with expanding demand in the external sector. </w:t>
      </w:r>
    </w:p>
    <w:p w14:paraId="4D2ABE77" w14:textId="77777777" w:rsidR="00EE5F0F" w:rsidRDefault="00EE5F0F" w:rsidP="00EE5F0F">
      <w:pPr>
        <w:jc w:val="both"/>
        <w:rPr>
          <w:rFonts w:ascii="Garamond" w:hAnsi="Garamond"/>
          <w:sz w:val="22"/>
          <w:szCs w:val="22"/>
        </w:rPr>
      </w:pPr>
    </w:p>
    <w:p w14:paraId="7BD9B644" w14:textId="77777777" w:rsidR="00EE5F0F" w:rsidRPr="00EE5F0F" w:rsidRDefault="00EE5F0F" w:rsidP="00EE5F0F">
      <w:pPr>
        <w:jc w:val="both"/>
        <w:rPr>
          <w:rFonts w:ascii="Garamond" w:hAnsi="Garamond"/>
          <w:sz w:val="22"/>
          <w:szCs w:val="22"/>
        </w:rPr>
      </w:pPr>
      <w:r w:rsidRPr="00EE5F0F">
        <w:rPr>
          <w:rFonts w:ascii="Garamond" w:hAnsi="Garamond"/>
          <w:sz w:val="22"/>
          <w:szCs w:val="22"/>
        </w:rPr>
        <w:t>The CBA Board notes that economic activity in the first quarter of 2018 was relatively strong, driven by high productivity growths reported in industry, construction and services sectors. This was also concomitant with high rates by which the domestic demand recovered, and it is expected that the growth of the latter will, since the second quarter, decelerate to some extent, gradually approaching its equilibrium. The Board believes that inflation expectations have stabilized over the past period of the year and no additional inflationary pressures are expected in the upcoming months. At the same time, the Board reckons that the impact of political events in April and May on the financial market has been effectively absorbed thanks to the adequate toolkit the CBA used under its independence mandate.</w:t>
      </w:r>
    </w:p>
    <w:p w14:paraId="6A324324" w14:textId="77777777" w:rsidR="00EE5F0F" w:rsidRDefault="00EE5F0F" w:rsidP="00EE5F0F">
      <w:pPr>
        <w:jc w:val="both"/>
        <w:rPr>
          <w:rFonts w:ascii="Garamond" w:hAnsi="Garamond"/>
          <w:sz w:val="22"/>
          <w:szCs w:val="22"/>
        </w:rPr>
      </w:pPr>
    </w:p>
    <w:p w14:paraId="2546A069" w14:textId="77777777" w:rsidR="00EE5F0F" w:rsidRPr="00EE5F0F" w:rsidRDefault="00EE5F0F" w:rsidP="00EE5F0F">
      <w:pPr>
        <w:jc w:val="both"/>
        <w:rPr>
          <w:rFonts w:ascii="Garamond" w:hAnsi="Garamond"/>
          <w:sz w:val="22"/>
          <w:szCs w:val="22"/>
        </w:rPr>
      </w:pPr>
      <w:r w:rsidRPr="00EE5F0F">
        <w:rPr>
          <w:rFonts w:ascii="Garamond" w:hAnsi="Garamond"/>
          <w:sz w:val="22"/>
          <w:szCs w:val="22"/>
        </w:rPr>
        <w:t xml:space="preserve">Taking the abovementioned into account, the Board finds it appropriate that current monetary conditions will still be maintained, while considering that, in light of predicted developments, a gradual offsetting of expansionary monetary conditions would be needed in the future to fulfill the inflation target. As a result, the expectation is that the 12-month inflation rate will fluctuate within the confidence band in the forecast horizon, stabilizing around the 4% target.      </w:t>
      </w:r>
    </w:p>
    <w:p w14:paraId="218497F1" w14:textId="77777777" w:rsidR="00EE5F0F" w:rsidRDefault="00EE5F0F" w:rsidP="00EE5F0F">
      <w:pPr>
        <w:jc w:val="both"/>
        <w:rPr>
          <w:rFonts w:ascii="Garamond" w:hAnsi="Garamond"/>
          <w:sz w:val="22"/>
          <w:szCs w:val="22"/>
        </w:rPr>
      </w:pPr>
    </w:p>
    <w:p w14:paraId="76C5AA13" w14:textId="77777777" w:rsidR="00EE5F0F" w:rsidRPr="00C17211" w:rsidRDefault="00EE5F0F" w:rsidP="00EE5F0F">
      <w:pPr>
        <w:jc w:val="both"/>
        <w:rPr>
          <w:rFonts w:ascii="Garamond" w:hAnsi="Garamond"/>
          <w:b/>
          <w:sz w:val="22"/>
          <w:szCs w:val="22"/>
        </w:rPr>
      </w:pPr>
      <w:r w:rsidRPr="00C17211">
        <w:rPr>
          <w:rFonts w:ascii="Garamond" w:hAnsi="Garamond"/>
          <w:b/>
          <w:sz w:val="22"/>
          <w:szCs w:val="22"/>
        </w:rPr>
        <w:t>The risks to economic growth outlook and to the inflation deviating from its recovery path are estimated to be more balanced. Should there emerge such risks, the CBA will adjust the monetary policy directions accordingly, while ensuring the price stability.</w:t>
      </w:r>
    </w:p>
    <w:p w14:paraId="181A9D94" w14:textId="77777777" w:rsidR="00EE5F0F" w:rsidRDefault="00EE5F0F" w:rsidP="00EE5F0F">
      <w:pPr>
        <w:jc w:val="both"/>
        <w:rPr>
          <w:rFonts w:ascii="Garamond" w:hAnsi="Garamond"/>
          <w:b/>
          <w:sz w:val="22"/>
          <w:szCs w:val="22"/>
        </w:rPr>
      </w:pPr>
    </w:p>
    <w:p w14:paraId="501C0836" w14:textId="77777777" w:rsidR="00EE5F0F" w:rsidRDefault="00EE5F0F" w:rsidP="00EE5F0F">
      <w:pPr>
        <w:jc w:val="both"/>
        <w:rPr>
          <w:rFonts w:ascii="Garamond" w:hAnsi="Garamond"/>
          <w:sz w:val="22"/>
          <w:szCs w:val="22"/>
        </w:rPr>
      </w:pPr>
      <w:r>
        <w:rPr>
          <w:rFonts w:ascii="Garamond" w:hAnsi="Garamond"/>
          <w:sz w:val="22"/>
          <w:szCs w:val="22"/>
        </w:rPr>
        <w:t>…………………………………………………………………………………………………………</w:t>
      </w:r>
    </w:p>
    <w:p w14:paraId="5E73EA77" w14:textId="77777777" w:rsidR="00EE5F0F" w:rsidRPr="00EE5F0F" w:rsidRDefault="00EE5F0F" w:rsidP="00EE5F0F">
      <w:pPr>
        <w:jc w:val="both"/>
        <w:rPr>
          <w:rFonts w:ascii="Garamond" w:hAnsi="Garamond"/>
          <w:sz w:val="22"/>
          <w:szCs w:val="22"/>
        </w:rPr>
      </w:pPr>
      <w:r w:rsidRPr="00EE5F0F">
        <w:rPr>
          <w:rFonts w:ascii="Garamond" w:hAnsi="Garamond"/>
          <w:sz w:val="22"/>
          <w:szCs w:val="22"/>
        </w:rPr>
        <w:t>Press Service of the Central Bank of Armenia</w:t>
      </w:r>
    </w:p>
    <w:sectPr w:rsidR="00EE5F0F" w:rsidRPr="00EE5F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2748C" w14:textId="77777777" w:rsidR="00B6766D" w:rsidRDefault="00B6766D" w:rsidP="00EE619D">
      <w:r>
        <w:separator/>
      </w:r>
    </w:p>
  </w:endnote>
  <w:endnote w:type="continuationSeparator" w:id="0">
    <w:p w14:paraId="5E7A4AB9" w14:textId="77777777" w:rsidR="00B6766D" w:rsidRDefault="00B6766D" w:rsidP="00EE6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GHEA Grapalat">
    <w:panose1 w:val="02000506050000020003"/>
    <w:charset w:val="00"/>
    <w:family w:val="modern"/>
    <w:notTrueType/>
    <w:pitch w:val="variable"/>
    <w:sig w:usb0="A00006AF" w:usb1="5000204B" w:usb2="00000000" w:usb3="00000000" w:csb0="0000009F" w:csb1="00000000"/>
  </w:font>
  <w:font w:name="Calibri">
    <w:panose1 w:val="020F0502020204030204"/>
    <w:charset w:val="00"/>
    <w:family w:val="swiss"/>
    <w:pitch w:val="variable"/>
    <w:sig w:usb0="E0002EFF" w:usb1="C000247B" w:usb2="00000009" w:usb3="00000000" w:csb0="000001FF" w:csb1="00000000"/>
  </w:font>
  <w:font w:name="Times LatArm">
    <w:panose1 w:val="00000000000000000000"/>
    <w:charset w:val="00"/>
    <w:family w:val="auto"/>
    <w:pitch w:val="variable"/>
    <w:sig w:usb0="00000003" w:usb1="00000000" w:usb2="00000000" w:usb3="00000000" w:csb0="00000001" w:csb1="00000000"/>
  </w:font>
  <w:font w:name="Times Armenian">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Armenian">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ylfaen">
    <w:panose1 w:val="010A0502050306030303"/>
    <w:charset w:val="00"/>
    <w:family w:val="roman"/>
    <w:pitch w:val="variable"/>
    <w:sig w:usb0="04000687" w:usb1="00000000" w:usb2="00000000" w:usb3="00000000" w:csb0="0000009F" w:csb1="00000000"/>
  </w:font>
  <w:font w:name="Wingdings 2">
    <w:altName w:val="Webdings"/>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E00EA" w14:textId="77777777" w:rsidR="00B6766D" w:rsidRDefault="00B6766D" w:rsidP="00EE619D">
      <w:r>
        <w:separator/>
      </w:r>
    </w:p>
  </w:footnote>
  <w:footnote w:type="continuationSeparator" w:id="0">
    <w:p w14:paraId="17818616" w14:textId="77777777" w:rsidR="00B6766D" w:rsidRDefault="00B6766D" w:rsidP="00EE619D">
      <w:r>
        <w:continuationSeparator/>
      </w:r>
    </w:p>
  </w:footnote>
  <w:footnote w:id="1">
    <w:p w14:paraId="5BA7B804" w14:textId="77777777" w:rsidR="007D055F" w:rsidRPr="0074684B" w:rsidRDefault="007D055F" w:rsidP="00EE619D">
      <w:pPr>
        <w:pStyle w:val="FootnoteText"/>
        <w:jc w:val="both"/>
        <w:rPr>
          <w:rFonts w:ascii="Garamond" w:hAnsi="Garamond"/>
        </w:rPr>
      </w:pPr>
      <w:r>
        <w:rPr>
          <w:rStyle w:val="FootnoteReference"/>
        </w:rPr>
        <w:t>2</w:t>
      </w:r>
      <w:r w:rsidRPr="0074684B">
        <w:rPr>
          <w:rFonts w:ascii="Garamond" w:hAnsi="Garamond"/>
        </w:rPr>
        <w:t xml:space="preserve"> For a detailed account of economic growth forecasts, see the </w:t>
      </w:r>
      <w:r>
        <w:rPr>
          <w:rFonts w:ascii="Garamond" w:hAnsi="Garamond"/>
        </w:rPr>
        <w:t>“</w:t>
      </w:r>
      <w:r w:rsidRPr="0074684B">
        <w:rPr>
          <w:rFonts w:ascii="Garamond" w:hAnsi="Garamond"/>
        </w:rPr>
        <w:t xml:space="preserve">GDP </w:t>
      </w:r>
      <w:r>
        <w:rPr>
          <w:rFonts w:ascii="Garamond" w:hAnsi="Garamond"/>
        </w:rPr>
        <w:t>P</w:t>
      </w:r>
      <w:r w:rsidRPr="0074684B">
        <w:rPr>
          <w:rFonts w:ascii="Garamond" w:hAnsi="Garamond"/>
        </w:rPr>
        <w:t xml:space="preserve">rojection </w:t>
      </w:r>
      <w:r>
        <w:rPr>
          <w:rFonts w:ascii="Garamond" w:hAnsi="Garamond"/>
        </w:rPr>
        <w:t>P</w:t>
      </w:r>
      <w:r w:rsidRPr="0074684B">
        <w:rPr>
          <w:rFonts w:ascii="Garamond" w:hAnsi="Garamond"/>
        </w:rPr>
        <w:t xml:space="preserve">robability </w:t>
      </w:r>
      <w:r>
        <w:rPr>
          <w:rFonts w:ascii="Garamond" w:hAnsi="Garamond"/>
        </w:rPr>
        <w:t>D</w:t>
      </w:r>
      <w:r w:rsidRPr="0074684B">
        <w:rPr>
          <w:rFonts w:ascii="Garamond" w:hAnsi="Garamond"/>
        </w:rPr>
        <w:t>istribution</w:t>
      </w:r>
      <w:r>
        <w:rPr>
          <w:rFonts w:ascii="Garamond" w:hAnsi="Garamond"/>
        </w:rPr>
        <w:t>”,</w:t>
      </w:r>
      <w:r w:rsidRPr="0074684B">
        <w:rPr>
          <w:rFonts w:ascii="Garamond" w:hAnsi="Garamond"/>
        </w:rPr>
        <w:t xml:space="preserve"> chart</w:t>
      </w:r>
      <w:r>
        <w:rPr>
          <w:rFonts w:ascii="Garamond" w:hAnsi="Garamond"/>
        </w:rPr>
        <w:t xml:space="preserve"> 18, table 2</w:t>
      </w:r>
      <w:r w:rsidRPr="0074684B">
        <w:rPr>
          <w:rFonts w:ascii="Garamond" w:hAnsi="Garamond"/>
        </w:rPr>
        <w:t>.</w:t>
      </w:r>
    </w:p>
  </w:footnote>
  <w:footnote w:id="2">
    <w:p w14:paraId="4C4B4AEB" w14:textId="77777777" w:rsidR="007D055F" w:rsidRPr="00425F29" w:rsidRDefault="007D055F" w:rsidP="00C95F66">
      <w:pPr>
        <w:pStyle w:val="FootnoteText"/>
        <w:jc w:val="both"/>
        <w:rPr>
          <w:rFonts w:ascii="Garamond" w:hAnsi="Garamond"/>
        </w:rPr>
      </w:pPr>
      <w:r w:rsidRPr="00C95F66">
        <w:rPr>
          <w:rStyle w:val="FootnoteReference"/>
          <w:rFonts w:ascii="Garamond" w:hAnsi="Garamond"/>
        </w:rPr>
        <w:t>3</w:t>
      </w:r>
      <w:r w:rsidRPr="00C95F66">
        <w:rPr>
          <w:rFonts w:ascii="Garamond" w:hAnsi="Garamond"/>
        </w:rPr>
        <w:t xml:space="preserve"> </w:t>
      </w:r>
      <w:r>
        <w:rPr>
          <w:rFonts w:ascii="Garamond" w:hAnsi="Garamond"/>
        </w:rPr>
        <w:t xml:space="preserve">If </w:t>
      </w:r>
      <w:r w:rsidRPr="00C95F66">
        <w:rPr>
          <w:rFonts w:ascii="Garamond" w:hAnsi="Garamond"/>
        </w:rPr>
        <w:t>the impact of a one-</w:t>
      </w:r>
      <w:r>
        <w:rPr>
          <w:rFonts w:ascii="Garamond" w:hAnsi="Garamond"/>
        </w:rPr>
        <w:t>off</w:t>
      </w:r>
      <w:r w:rsidRPr="00C95F66">
        <w:rPr>
          <w:rFonts w:ascii="Garamond" w:hAnsi="Garamond"/>
        </w:rPr>
        <w:t xml:space="preserve"> </w:t>
      </w:r>
      <w:r>
        <w:rPr>
          <w:rFonts w:ascii="Garamond" w:hAnsi="Garamond"/>
        </w:rPr>
        <w:t xml:space="preserve">transaction related to the 2017 </w:t>
      </w:r>
      <w:r w:rsidRPr="00C95F66">
        <w:rPr>
          <w:rFonts w:ascii="Garamond" w:hAnsi="Garamond"/>
        </w:rPr>
        <w:t>budget</w:t>
      </w:r>
      <w:r>
        <w:rPr>
          <w:rFonts w:ascii="Garamond" w:hAnsi="Garamond"/>
        </w:rPr>
        <w:t xml:space="preserve"> was excluded, the </w:t>
      </w:r>
      <w:r w:rsidRPr="00C95F66">
        <w:rPr>
          <w:rFonts w:ascii="Garamond" w:hAnsi="Garamond"/>
        </w:rPr>
        <w:t xml:space="preserve">real </w:t>
      </w:r>
      <w:r>
        <w:rPr>
          <w:rFonts w:ascii="Garamond" w:hAnsi="Garamond"/>
        </w:rPr>
        <w:t xml:space="preserve">growth of </w:t>
      </w:r>
      <w:r w:rsidRPr="00C95F66">
        <w:rPr>
          <w:rFonts w:ascii="Garamond" w:hAnsi="Garamond"/>
        </w:rPr>
        <w:t xml:space="preserve">import of goods and </w:t>
      </w:r>
      <w:r w:rsidRPr="00425F29">
        <w:rPr>
          <w:rFonts w:ascii="Garamond" w:hAnsi="Garamond"/>
        </w:rPr>
        <w:t>services for 2018 would amount to 8.0-10.0%, instead of the previous forecast of 6.0-8.0%.</w:t>
      </w:r>
    </w:p>
  </w:footnote>
  <w:footnote w:id="3">
    <w:p w14:paraId="7F85EE90" w14:textId="77777777" w:rsidR="007D055F" w:rsidRPr="00AF7DDF" w:rsidRDefault="007D055F" w:rsidP="00425F29">
      <w:pPr>
        <w:pStyle w:val="FootnoteText"/>
        <w:jc w:val="both"/>
        <w:rPr>
          <w:rFonts w:ascii="Garamond" w:hAnsi="Garamond"/>
        </w:rPr>
      </w:pPr>
      <w:r w:rsidRPr="00425F29">
        <w:rPr>
          <w:rStyle w:val="FootnoteReference"/>
          <w:rFonts w:ascii="Garamond" w:hAnsi="Garamond"/>
        </w:rPr>
        <w:t>4</w:t>
      </w:r>
      <w:r w:rsidRPr="00425F29">
        <w:rPr>
          <w:rFonts w:ascii="Garamond" w:hAnsi="Garamond"/>
        </w:rPr>
        <w:t xml:space="preserve"> </w:t>
      </w:r>
      <w:r>
        <w:rPr>
          <w:rFonts w:ascii="Garamond" w:hAnsi="Garamond"/>
        </w:rPr>
        <w:t xml:space="preserve">The indicators set out in the </w:t>
      </w:r>
      <w:r w:rsidRPr="00425F29">
        <w:rPr>
          <w:rFonts w:ascii="Garamond" w:hAnsi="Garamond"/>
        </w:rPr>
        <w:t>R</w:t>
      </w:r>
      <w:r>
        <w:rPr>
          <w:rFonts w:ascii="Garamond" w:hAnsi="Garamond"/>
        </w:rPr>
        <w:t xml:space="preserve">epublic of </w:t>
      </w:r>
      <w:r w:rsidRPr="00425F29">
        <w:rPr>
          <w:rFonts w:ascii="Garamond" w:hAnsi="Garamond"/>
        </w:rPr>
        <w:t>A</w:t>
      </w:r>
      <w:r>
        <w:rPr>
          <w:rFonts w:ascii="Garamond" w:hAnsi="Garamond"/>
        </w:rPr>
        <w:t>rmenia laws</w:t>
      </w:r>
      <w:r w:rsidRPr="00425F29">
        <w:rPr>
          <w:rFonts w:ascii="Garamond" w:hAnsi="Garamond"/>
        </w:rPr>
        <w:t xml:space="preserve"> </w:t>
      </w:r>
      <w:r>
        <w:rPr>
          <w:rFonts w:ascii="Garamond" w:hAnsi="Garamond"/>
        </w:rPr>
        <w:t>on the s</w:t>
      </w:r>
      <w:r w:rsidRPr="00425F29">
        <w:rPr>
          <w:rFonts w:ascii="Garamond" w:hAnsi="Garamond"/>
        </w:rPr>
        <w:t xml:space="preserve">tate </w:t>
      </w:r>
      <w:r>
        <w:rPr>
          <w:rFonts w:ascii="Garamond" w:hAnsi="Garamond"/>
        </w:rPr>
        <w:t>b</w:t>
      </w:r>
      <w:r w:rsidRPr="00425F29">
        <w:rPr>
          <w:rFonts w:ascii="Garamond" w:hAnsi="Garamond"/>
        </w:rPr>
        <w:t xml:space="preserve">udget </w:t>
      </w:r>
      <w:r>
        <w:rPr>
          <w:rFonts w:ascii="Garamond" w:hAnsi="Garamond"/>
        </w:rPr>
        <w:t xml:space="preserve">have to be adjusted under </w:t>
      </w:r>
      <w:r w:rsidRPr="00425F29">
        <w:rPr>
          <w:rFonts w:ascii="Garamond" w:hAnsi="Garamond"/>
        </w:rPr>
        <w:t xml:space="preserve">separate Government </w:t>
      </w:r>
      <w:r>
        <w:rPr>
          <w:rFonts w:ascii="Garamond" w:hAnsi="Garamond"/>
        </w:rPr>
        <w:t xml:space="preserve">of Armenia </w:t>
      </w:r>
      <w:r w:rsidRPr="00425F29">
        <w:rPr>
          <w:rFonts w:ascii="Garamond" w:hAnsi="Garamond"/>
        </w:rPr>
        <w:t xml:space="preserve">resolutions </w:t>
      </w:r>
      <w:r>
        <w:rPr>
          <w:rFonts w:ascii="Garamond" w:hAnsi="Garamond"/>
        </w:rPr>
        <w:t xml:space="preserve">during the year, for which the Government of Armenia has a relevant mandate; these resolutions are </w:t>
      </w:r>
      <w:r w:rsidRPr="00AF7DDF">
        <w:rPr>
          <w:rFonts w:ascii="Garamond" w:hAnsi="Garamond"/>
        </w:rPr>
        <w:t>p</w:t>
      </w:r>
      <w:r>
        <w:rPr>
          <w:rFonts w:ascii="Garamond" w:hAnsi="Garamond"/>
        </w:rPr>
        <w:t>ublished</w:t>
      </w:r>
      <w:r w:rsidRPr="00AF7DDF">
        <w:rPr>
          <w:rFonts w:ascii="Garamond" w:hAnsi="Garamond"/>
        </w:rPr>
        <w:t xml:space="preserve"> on </w:t>
      </w:r>
      <w:hyperlink r:id="rId1" w:history="1">
        <w:r w:rsidRPr="00AF7DDF">
          <w:rPr>
            <w:rFonts w:ascii="Garamond" w:hAnsi="Garamond" w:cs="Sylfaen"/>
            <w:iCs/>
            <w:lang w:val="es-AR"/>
          </w:rPr>
          <w:t>https://www.e-gov.am</w:t>
        </w:r>
      </w:hyperlink>
      <w:r>
        <w:rPr>
          <w:rFonts w:ascii="Garamond" w:hAnsi="Garamond"/>
        </w:rPr>
        <w:t>.</w:t>
      </w:r>
    </w:p>
  </w:footnote>
  <w:footnote w:id="4">
    <w:p w14:paraId="501DF84E" w14:textId="77777777" w:rsidR="007D055F" w:rsidRPr="00331DDB" w:rsidRDefault="007D055F" w:rsidP="007C4FF5">
      <w:pPr>
        <w:pStyle w:val="FootnoteText"/>
        <w:jc w:val="both"/>
        <w:rPr>
          <w:rFonts w:ascii="Garamond" w:hAnsi="Garamond"/>
        </w:rPr>
      </w:pPr>
      <w:r>
        <w:rPr>
          <w:rStyle w:val="FootnoteReference"/>
        </w:rPr>
        <w:t>5</w:t>
      </w:r>
      <w:r w:rsidRPr="00331DDB">
        <w:rPr>
          <w:rFonts w:ascii="Garamond" w:hAnsi="Garamond"/>
        </w:rPr>
        <w:t xml:space="preserve"> The labor market data for 201</w:t>
      </w:r>
      <w:r>
        <w:rPr>
          <w:rFonts w:ascii="Garamond" w:hAnsi="Garamond"/>
        </w:rPr>
        <w:t>8</w:t>
      </w:r>
      <w:r w:rsidRPr="00331DDB">
        <w:rPr>
          <w:rFonts w:ascii="Garamond" w:hAnsi="Garamond"/>
        </w:rPr>
        <w:t>-202</w:t>
      </w:r>
      <w:r>
        <w:rPr>
          <w:rFonts w:ascii="Garamond" w:hAnsi="Garamond"/>
        </w:rPr>
        <w:t>1</w:t>
      </w:r>
      <w:r w:rsidRPr="00331DDB">
        <w:rPr>
          <w:rFonts w:ascii="Garamond" w:hAnsi="Garamond"/>
        </w:rPr>
        <w:t xml:space="preserve"> are the Central Bank projections which are based on the </w:t>
      </w:r>
      <w:r>
        <w:rPr>
          <w:rFonts w:ascii="Garamond" w:hAnsi="Garamond"/>
        </w:rPr>
        <w:t xml:space="preserve">fourth </w:t>
      </w:r>
      <w:r w:rsidRPr="00331DDB">
        <w:rPr>
          <w:rFonts w:ascii="Garamond" w:hAnsi="Garamond"/>
        </w:rPr>
        <w:t>quarter of 2017 data and actual January-</w:t>
      </w:r>
      <w:r>
        <w:rPr>
          <w:rFonts w:ascii="Garamond" w:hAnsi="Garamond"/>
        </w:rPr>
        <w:t>February</w:t>
      </w:r>
      <w:r w:rsidRPr="00331DDB">
        <w:rPr>
          <w:rFonts w:ascii="Garamond" w:hAnsi="Garamond"/>
        </w:rPr>
        <w:t xml:space="preserve"> 201</w:t>
      </w:r>
      <w:r>
        <w:rPr>
          <w:rFonts w:ascii="Garamond" w:hAnsi="Garamond"/>
        </w:rPr>
        <w:t>8</w:t>
      </w:r>
      <w:r w:rsidRPr="00331DDB">
        <w:rPr>
          <w:rFonts w:ascii="Garamond" w:hAnsi="Garamond"/>
        </w:rPr>
        <w:t xml:space="preserve"> figures. The growth indicators presented in this sub-section are relative to the same reference period last year, unless otherwise specified.</w:t>
      </w:r>
    </w:p>
  </w:footnote>
  <w:footnote w:id="5">
    <w:p w14:paraId="28CBBB0E" w14:textId="77777777" w:rsidR="007D055F" w:rsidRPr="007C4FF5" w:rsidRDefault="007D055F" w:rsidP="007C4FF5">
      <w:pPr>
        <w:pStyle w:val="FootnoteText"/>
        <w:jc w:val="both"/>
        <w:rPr>
          <w:rFonts w:ascii="Garamond" w:hAnsi="Garamond"/>
        </w:rPr>
      </w:pPr>
      <w:r w:rsidRPr="007C4FF5">
        <w:rPr>
          <w:rStyle w:val="FootnoteReference"/>
          <w:rFonts w:ascii="Garamond" w:hAnsi="Garamond"/>
        </w:rPr>
        <w:t>6</w:t>
      </w:r>
      <w:r w:rsidRPr="007C4FF5">
        <w:rPr>
          <w:rFonts w:ascii="Garamond" w:hAnsi="Garamond"/>
        </w:rPr>
        <w:t xml:space="preserve"> Starting from January 2018, the N</w:t>
      </w:r>
      <w:r>
        <w:rPr>
          <w:rFonts w:ascii="Garamond" w:hAnsi="Garamond"/>
        </w:rPr>
        <w:t xml:space="preserve">ational </w:t>
      </w:r>
      <w:r w:rsidRPr="007C4FF5">
        <w:rPr>
          <w:rFonts w:ascii="Garamond" w:hAnsi="Garamond"/>
        </w:rPr>
        <w:t>S</w:t>
      </w:r>
      <w:r>
        <w:rPr>
          <w:rFonts w:ascii="Garamond" w:hAnsi="Garamond"/>
        </w:rPr>
        <w:t xml:space="preserve">tatistics </w:t>
      </w:r>
      <w:r w:rsidRPr="007C4FF5">
        <w:rPr>
          <w:rFonts w:ascii="Garamond" w:hAnsi="Garamond"/>
        </w:rPr>
        <w:t>S</w:t>
      </w:r>
      <w:r>
        <w:rPr>
          <w:rFonts w:ascii="Garamond" w:hAnsi="Garamond"/>
        </w:rPr>
        <w:t>ervice</w:t>
      </w:r>
      <w:r w:rsidRPr="007C4FF5">
        <w:rPr>
          <w:rFonts w:ascii="Garamond" w:hAnsi="Garamond"/>
        </w:rPr>
        <w:t xml:space="preserve"> </w:t>
      </w:r>
      <w:r>
        <w:rPr>
          <w:rFonts w:ascii="Garamond" w:hAnsi="Garamond"/>
        </w:rPr>
        <w:t xml:space="preserve">of Armenia began </w:t>
      </w:r>
      <w:r w:rsidRPr="007C4FF5">
        <w:rPr>
          <w:rFonts w:ascii="Garamond" w:hAnsi="Garamond"/>
        </w:rPr>
        <w:t>publish</w:t>
      </w:r>
      <w:r>
        <w:rPr>
          <w:rFonts w:ascii="Garamond" w:hAnsi="Garamond"/>
        </w:rPr>
        <w:t>ing</w:t>
      </w:r>
      <w:r w:rsidRPr="007C4FF5">
        <w:rPr>
          <w:rFonts w:ascii="Garamond" w:hAnsi="Garamond"/>
        </w:rPr>
        <w:t xml:space="preserve"> the nominal wage</w:t>
      </w:r>
      <w:r>
        <w:rPr>
          <w:rFonts w:ascii="Garamond" w:hAnsi="Garamond"/>
        </w:rPr>
        <w:t xml:space="preserve">, using </w:t>
      </w:r>
      <w:r w:rsidRPr="007C4FF5">
        <w:rPr>
          <w:rFonts w:ascii="Garamond" w:hAnsi="Garamond"/>
        </w:rPr>
        <w:t xml:space="preserve">data of </w:t>
      </w:r>
      <w:r>
        <w:rPr>
          <w:rFonts w:ascii="Garamond" w:hAnsi="Garamond"/>
        </w:rPr>
        <w:t xml:space="preserve">commercial undertakings </w:t>
      </w:r>
      <w:r w:rsidRPr="007C4FF5">
        <w:rPr>
          <w:rFonts w:ascii="Garamond" w:hAnsi="Garamond"/>
        </w:rPr>
        <w:t xml:space="preserve">with 1 or more employees. Previously, </w:t>
      </w:r>
      <w:r>
        <w:rPr>
          <w:rFonts w:ascii="Garamond" w:hAnsi="Garamond"/>
        </w:rPr>
        <w:t xml:space="preserve">the NSSA published </w:t>
      </w:r>
      <w:r w:rsidRPr="007C4FF5">
        <w:rPr>
          <w:rFonts w:ascii="Garamond" w:hAnsi="Garamond"/>
        </w:rPr>
        <w:t>data o</w:t>
      </w:r>
      <w:r>
        <w:rPr>
          <w:rFonts w:ascii="Garamond" w:hAnsi="Garamond"/>
        </w:rPr>
        <w:t>f</w:t>
      </w:r>
      <w:r w:rsidRPr="007C4FF5">
        <w:rPr>
          <w:rFonts w:ascii="Garamond" w:hAnsi="Garamond"/>
        </w:rPr>
        <w:t xml:space="preserve"> </w:t>
      </w:r>
      <w:r>
        <w:rPr>
          <w:rFonts w:ascii="Garamond" w:hAnsi="Garamond"/>
        </w:rPr>
        <w:t>commercial undertakings</w:t>
      </w:r>
      <w:r w:rsidRPr="007C4FF5">
        <w:rPr>
          <w:rFonts w:ascii="Garamond" w:hAnsi="Garamond"/>
        </w:rPr>
        <w:t xml:space="preserve"> with more than 50 employees. </w:t>
      </w:r>
      <w:r>
        <w:rPr>
          <w:rFonts w:ascii="Garamond" w:hAnsi="Garamond"/>
        </w:rPr>
        <w:t xml:space="preserve">Because the 2017 figures on </w:t>
      </w:r>
      <w:r w:rsidRPr="007C4FF5">
        <w:rPr>
          <w:rFonts w:ascii="Garamond" w:hAnsi="Garamond"/>
        </w:rPr>
        <w:t xml:space="preserve">average monthly wage </w:t>
      </w:r>
      <w:r>
        <w:rPr>
          <w:rFonts w:ascii="Garamond" w:hAnsi="Garamond"/>
        </w:rPr>
        <w:t>of</w:t>
      </w:r>
      <w:r w:rsidRPr="007C4FF5">
        <w:rPr>
          <w:rFonts w:ascii="Garamond" w:hAnsi="Garamond"/>
        </w:rPr>
        <w:t xml:space="preserve"> </w:t>
      </w:r>
      <w:r>
        <w:rPr>
          <w:rFonts w:ascii="Garamond" w:hAnsi="Garamond"/>
        </w:rPr>
        <w:t>commercial undertakings</w:t>
      </w:r>
      <w:r w:rsidRPr="007C4FF5">
        <w:rPr>
          <w:rFonts w:ascii="Garamond" w:hAnsi="Garamond"/>
        </w:rPr>
        <w:t xml:space="preserve"> with 1 or more employees</w:t>
      </w:r>
      <w:r>
        <w:rPr>
          <w:rFonts w:ascii="Garamond" w:hAnsi="Garamond"/>
        </w:rPr>
        <w:t xml:space="preserve"> are not available for now, the </w:t>
      </w:r>
      <w:r w:rsidRPr="007C4FF5">
        <w:rPr>
          <w:rFonts w:ascii="Garamond" w:hAnsi="Garamond"/>
        </w:rPr>
        <w:t>C</w:t>
      </w:r>
      <w:r>
        <w:rPr>
          <w:rFonts w:ascii="Garamond" w:hAnsi="Garamond"/>
        </w:rPr>
        <w:t xml:space="preserve">entral </w:t>
      </w:r>
      <w:r w:rsidRPr="007C4FF5">
        <w:rPr>
          <w:rFonts w:ascii="Garamond" w:hAnsi="Garamond"/>
        </w:rPr>
        <w:t>B</w:t>
      </w:r>
      <w:r>
        <w:rPr>
          <w:rFonts w:ascii="Garamond" w:hAnsi="Garamond"/>
        </w:rPr>
        <w:t xml:space="preserve">ank will, for its predictions, look to </w:t>
      </w:r>
      <w:r w:rsidRPr="007C4FF5">
        <w:rPr>
          <w:rFonts w:ascii="Garamond" w:hAnsi="Garamond"/>
        </w:rPr>
        <w:t>previous methodology</w:t>
      </w:r>
      <w:r>
        <w:rPr>
          <w:rFonts w:ascii="Garamond" w:hAnsi="Garamond"/>
        </w:rPr>
        <w:t xml:space="preserve"> of calculating </w:t>
      </w:r>
      <w:r w:rsidRPr="007C4FF5">
        <w:rPr>
          <w:rFonts w:ascii="Garamond" w:hAnsi="Garamond"/>
        </w:rPr>
        <w:t>the average salary</w:t>
      </w:r>
      <w:r>
        <w:rPr>
          <w:rFonts w:ascii="Garamond" w:hAnsi="Garamond"/>
        </w:rPr>
        <w:t>, in order to maintain c</w:t>
      </w:r>
      <w:r w:rsidRPr="007E7FD6">
        <w:rPr>
          <w:rFonts w:ascii="Garamond" w:hAnsi="Garamond"/>
        </w:rPr>
        <w:t>omparability</w:t>
      </w:r>
      <w:r>
        <w:rPr>
          <w:rFonts w:ascii="Garamond" w:hAnsi="Garamond"/>
        </w:rPr>
        <w:t xml:space="preserve">. </w:t>
      </w:r>
      <w:r w:rsidRPr="007C4FF5">
        <w:rPr>
          <w:rFonts w:ascii="Garamond" w:hAnsi="Garamond"/>
        </w:rPr>
        <w:t>Starting from 2019, the C</w:t>
      </w:r>
      <w:r>
        <w:rPr>
          <w:rFonts w:ascii="Garamond" w:hAnsi="Garamond"/>
        </w:rPr>
        <w:t xml:space="preserve">entral </w:t>
      </w:r>
      <w:r w:rsidRPr="007C4FF5">
        <w:rPr>
          <w:rFonts w:ascii="Garamond" w:hAnsi="Garamond"/>
        </w:rPr>
        <w:t>B</w:t>
      </w:r>
      <w:r>
        <w:rPr>
          <w:rFonts w:ascii="Garamond" w:hAnsi="Garamond"/>
        </w:rPr>
        <w:t xml:space="preserve">ank </w:t>
      </w:r>
      <w:r w:rsidRPr="007C4FF5">
        <w:rPr>
          <w:rFonts w:ascii="Garamond" w:hAnsi="Garamond"/>
        </w:rPr>
        <w:t xml:space="preserve">will forecast the average nominal wage of </w:t>
      </w:r>
      <w:r>
        <w:rPr>
          <w:rFonts w:ascii="Garamond" w:hAnsi="Garamond"/>
        </w:rPr>
        <w:t xml:space="preserve">commercial undertakings </w:t>
      </w:r>
      <w:r w:rsidRPr="007C4FF5">
        <w:rPr>
          <w:rFonts w:ascii="Garamond" w:hAnsi="Garamond"/>
        </w:rPr>
        <w:t>with 1 or more employees</w:t>
      </w:r>
      <w:r>
        <w:rPr>
          <w:rFonts w:ascii="Garamond" w:hAnsi="Garamond"/>
        </w:rPr>
        <w:t xml:space="preserve"> in </w:t>
      </w:r>
      <w:r w:rsidRPr="007C4FF5">
        <w:rPr>
          <w:rFonts w:ascii="Garamond" w:hAnsi="Garamond"/>
        </w:rPr>
        <w:t>the private sector.</w:t>
      </w:r>
    </w:p>
  </w:footnote>
  <w:footnote w:id="6">
    <w:p w14:paraId="2AD3BF16" w14:textId="77777777" w:rsidR="00781ACF" w:rsidRDefault="00781ACF" w:rsidP="00781ACF">
      <w:pPr>
        <w:pStyle w:val="FootnoteText"/>
        <w:jc w:val="both"/>
        <w:rPr>
          <w:rFonts w:ascii="Garamond" w:hAnsi="Garamond"/>
        </w:rPr>
      </w:pPr>
      <w:r>
        <w:rPr>
          <w:rStyle w:val="FootnoteReference"/>
        </w:rPr>
        <w:t>8</w:t>
      </w:r>
      <w:r>
        <w:rPr>
          <w:rFonts w:ascii="Garamond" w:hAnsi="Garamond"/>
        </w:rPr>
        <w:t xml:space="preserve"> </w:t>
      </w:r>
      <w:r>
        <w:rPr>
          <w:rFonts w:ascii="Garamond" w:hAnsi="Garamond"/>
          <w:lang w:val="pt-BR"/>
        </w:rPr>
        <w:t>The real export and import growth indicators are the Central Bank estimates</w:t>
      </w:r>
      <w:r>
        <w:rPr>
          <w:rFonts w:ascii="Garamond" w:hAnsi="Garamond"/>
          <w:color w:val="000000"/>
        </w:rPr>
        <w:t>.</w:t>
      </w:r>
    </w:p>
  </w:footnote>
  <w:footnote w:id="7">
    <w:p w14:paraId="18566EE9" w14:textId="03758368" w:rsidR="00781ACF" w:rsidRDefault="00781ACF" w:rsidP="00781ACF">
      <w:pPr>
        <w:pStyle w:val="FootnoteText"/>
        <w:jc w:val="both"/>
        <w:rPr>
          <w:rFonts w:ascii="Garamond" w:hAnsi="Garamond"/>
        </w:rPr>
      </w:pPr>
      <w:r>
        <w:rPr>
          <w:rStyle w:val="FootnoteReference"/>
        </w:rPr>
        <w:t>9</w:t>
      </w:r>
      <w:r>
        <w:rPr>
          <w:rFonts w:ascii="Garamond" w:hAnsi="Garamond"/>
        </w:rPr>
        <w:t xml:space="preserve"> </w:t>
      </w:r>
      <w:r>
        <w:rPr>
          <w:rFonts w:ascii="Garamond" w:hAnsi="Garamond"/>
          <w:iCs/>
        </w:rPr>
        <w:t xml:space="preserve">The review of the fiscal sector was done using preliminary actual consolidated budget indicators (local budgets as an estimate) prepared on the basis of preliminary actual indicators of the </w:t>
      </w:r>
      <w:r w:rsidR="003B35A4">
        <w:rPr>
          <w:rFonts w:ascii="Garamond" w:hAnsi="Garamond"/>
          <w:iCs/>
        </w:rPr>
        <w:t xml:space="preserve">first </w:t>
      </w:r>
      <w:r>
        <w:rPr>
          <w:rFonts w:ascii="Garamond" w:hAnsi="Garamond"/>
          <w:iCs/>
        </w:rPr>
        <w:t xml:space="preserve">quarter of </w:t>
      </w:r>
      <w:r w:rsidR="003B35A4">
        <w:rPr>
          <w:rFonts w:ascii="Garamond" w:hAnsi="Garamond"/>
          <w:iCs/>
        </w:rPr>
        <w:t xml:space="preserve">2018 </w:t>
      </w:r>
      <w:r>
        <w:rPr>
          <w:rFonts w:ascii="Garamond" w:hAnsi="Garamond"/>
          <w:iCs/>
        </w:rPr>
        <w:t>(PIU funds included), excluding off-budgetary funds. The impact of revenues was calculated in respect of the nominal GDP indicator while the impact of expenditures, in respect of an estimated economic potential.</w:t>
      </w:r>
    </w:p>
  </w:footnote>
  <w:footnote w:id="8">
    <w:p w14:paraId="46E991CC" w14:textId="77777777" w:rsidR="00781ACF" w:rsidRDefault="00781ACF" w:rsidP="00781ACF">
      <w:pPr>
        <w:pStyle w:val="FootnoteText"/>
        <w:jc w:val="both"/>
        <w:rPr>
          <w:rFonts w:ascii="Garamond" w:hAnsi="Garamond"/>
        </w:rPr>
      </w:pPr>
      <w:r>
        <w:rPr>
          <w:rStyle w:val="FootnoteReference"/>
        </w:rPr>
        <w:t>10</w:t>
      </w:r>
      <w:r>
        <w:rPr>
          <w:rFonts w:ascii="Garamond" w:hAnsi="Garamond"/>
        </w:rPr>
        <w:t xml:space="preserve"> The revenue projection was commensurate with the Q1, 2018 Budget estimate. </w:t>
      </w:r>
    </w:p>
  </w:footnote>
  <w:footnote w:id="9">
    <w:p w14:paraId="098B1EF2" w14:textId="77777777" w:rsidR="00242EA6" w:rsidRDefault="00242EA6" w:rsidP="00242EA6">
      <w:pPr>
        <w:pStyle w:val="FootnoteText"/>
        <w:jc w:val="both"/>
        <w:rPr>
          <w:rFonts w:ascii="Garamond" w:hAnsi="Garamond"/>
        </w:rPr>
      </w:pPr>
      <w:r>
        <w:rPr>
          <w:rStyle w:val="FootnoteReference"/>
        </w:rPr>
        <w:t>11</w:t>
      </w:r>
      <w:r>
        <w:rPr>
          <w:rFonts w:ascii="Garamond" w:hAnsi="Garamond"/>
        </w:rPr>
        <w:t xml:space="preserve"> The labor market data for the first quarter of 2018 are the Central Bank estimates which are based on the fourth quarter 2017 data and actual January-February 2018 figures. The growth indicators provided in this sub-section are relative to the same reference period last year, unless otherwise specified.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F0630"/>
    <w:multiLevelType w:val="hybridMultilevel"/>
    <w:tmpl w:val="7CD44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812FA4"/>
    <w:multiLevelType w:val="hybridMultilevel"/>
    <w:tmpl w:val="C5F83BDE"/>
    <w:lvl w:ilvl="0" w:tplc="042B0001">
      <w:start w:val="1"/>
      <w:numFmt w:val="bullet"/>
      <w:lvlText w:val=""/>
      <w:lvlJc w:val="left"/>
      <w:pPr>
        <w:ind w:left="360" w:hanging="360"/>
      </w:pPr>
      <w:rPr>
        <w:rFonts w:ascii="Symbol" w:hAnsi="Symbol" w:hint="default"/>
      </w:rPr>
    </w:lvl>
    <w:lvl w:ilvl="1" w:tplc="042B0003" w:tentative="1">
      <w:start w:val="1"/>
      <w:numFmt w:val="bullet"/>
      <w:lvlText w:val="o"/>
      <w:lvlJc w:val="left"/>
      <w:pPr>
        <w:ind w:left="1080" w:hanging="360"/>
      </w:pPr>
      <w:rPr>
        <w:rFonts w:ascii="Courier New" w:hAnsi="Courier New" w:cs="Courier New" w:hint="default"/>
      </w:rPr>
    </w:lvl>
    <w:lvl w:ilvl="2" w:tplc="042B0005" w:tentative="1">
      <w:start w:val="1"/>
      <w:numFmt w:val="bullet"/>
      <w:lvlText w:val=""/>
      <w:lvlJc w:val="left"/>
      <w:pPr>
        <w:ind w:left="1800" w:hanging="360"/>
      </w:pPr>
      <w:rPr>
        <w:rFonts w:ascii="Wingdings" w:hAnsi="Wingdings" w:hint="default"/>
      </w:rPr>
    </w:lvl>
    <w:lvl w:ilvl="3" w:tplc="042B0001" w:tentative="1">
      <w:start w:val="1"/>
      <w:numFmt w:val="bullet"/>
      <w:lvlText w:val=""/>
      <w:lvlJc w:val="left"/>
      <w:pPr>
        <w:ind w:left="2520" w:hanging="360"/>
      </w:pPr>
      <w:rPr>
        <w:rFonts w:ascii="Symbol" w:hAnsi="Symbol" w:hint="default"/>
      </w:rPr>
    </w:lvl>
    <w:lvl w:ilvl="4" w:tplc="042B0003" w:tentative="1">
      <w:start w:val="1"/>
      <w:numFmt w:val="bullet"/>
      <w:lvlText w:val="o"/>
      <w:lvlJc w:val="left"/>
      <w:pPr>
        <w:ind w:left="3240" w:hanging="360"/>
      </w:pPr>
      <w:rPr>
        <w:rFonts w:ascii="Courier New" w:hAnsi="Courier New" w:cs="Courier New" w:hint="default"/>
      </w:rPr>
    </w:lvl>
    <w:lvl w:ilvl="5" w:tplc="042B0005" w:tentative="1">
      <w:start w:val="1"/>
      <w:numFmt w:val="bullet"/>
      <w:lvlText w:val=""/>
      <w:lvlJc w:val="left"/>
      <w:pPr>
        <w:ind w:left="3960" w:hanging="360"/>
      </w:pPr>
      <w:rPr>
        <w:rFonts w:ascii="Wingdings" w:hAnsi="Wingdings" w:hint="default"/>
      </w:rPr>
    </w:lvl>
    <w:lvl w:ilvl="6" w:tplc="042B0001" w:tentative="1">
      <w:start w:val="1"/>
      <w:numFmt w:val="bullet"/>
      <w:lvlText w:val=""/>
      <w:lvlJc w:val="left"/>
      <w:pPr>
        <w:ind w:left="4680" w:hanging="360"/>
      </w:pPr>
      <w:rPr>
        <w:rFonts w:ascii="Symbol" w:hAnsi="Symbol" w:hint="default"/>
      </w:rPr>
    </w:lvl>
    <w:lvl w:ilvl="7" w:tplc="042B0003" w:tentative="1">
      <w:start w:val="1"/>
      <w:numFmt w:val="bullet"/>
      <w:lvlText w:val="o"/>
      <w:lvlJc w:val="left"/>
      <w:pPr>
        <w:ind w:left="5400" w:hanging="360"/>
      </w:pPr>
      <w:rPr>
        <w:rFonts w:ascii="Courier New" w:hAnsi="Courier New" w:cs="Courier New" w:hint="default"/>
      </w:rPr>
    </w:lvl>
    <w:lvl w:ilvl="8" w:tplc="042B0005" w:tentative="1">
      <w:start w:val="1"/>
      <w:numFmt w:val="bullet"/>
      <w:lvlText w:val=""/>
      <w:lvlJc w:val="left"/>
      <w:pPr>
        <w:ind w:left="6120" w:hanging="360"/>
      </w:pPr>
      <w:rPr>
        <w:rFonts w:ascii="Wingdings" w:hAnsi="Wingdings" w:hint="default"/>
      </w:rPr>
    </w:lvl>
  </w:abstractNum>
  <w:abstractNum w:abstractNumId="2" w15:restartNumberingAfterBreak="0">
    <w:nsid w:val="37C70900"/>
    <w:multiLevelType w:val="hybridMultilevel"/>
    <w:tmpl w:val="C8283D98"/>
    <w:lvl w:ilvl="0" w:tplc="042B0001">
      <w:start w:val="1"/>
      <w:numFmt w:val="bullet"/>
      <w:lvlText w:val=""/>
      <w:lvlJc w:val="left"/>
      <w:pPr>
        <w:ind w:left="360" w:hanging="360"/>
      </w:pPr>
      <w:rPr>
        <w:rFonts w:ascii="Symbol" w:hAnsi="Symbol" w:hint="default"/>
      </w:rPr>
    </w:lvl>
    <w:lvl w:ilvl="1" w:tplc="042B0003" w:tentative="1">
      <w:start w:val="1"/>
      <w:numFmt w:val="bullet"/>
      <w:lvlText w:val="o"/>
      <w:lvlJc w:val="left"/>
      <w:pPr>
        <w:ind w:left="1080" w:hanging="360"/>
      </w:pPr>
      <w:rPr>
        <w:rFonts w:ascii="Courier New" w:hAnsi="Courier New" w:cs="Courier New" w:hint="default"/>
      </w:rPr>
    </w:lvl>
    <w:lvl w:ilvl="2" w:tplc="042B0005" w:tentative="1">
      <w:start w:val="1"/>
      <w:numFmt w:val="bullet"/>
      <w:lvlText w:val=""/>
      <w:lvlJc w:val="left"/>
      <w:pPr>
        <w:ind w:left="1800" w:hanging="360"/>
      </w:pPr>
      <w:rPr>
        <w:rFonts w:ascii="Wingdings" w:hAnsi="Wingdings" w:hint="default"/>
      </w:rPr>
    </w:lvl>
    <w:lvl w:ilvl="3" w:tplc="042B0001" w:tentative="1">
      <w:start w:val="1"/>
      <w:numFmt w:val="bullet"/>
      <w:lvlText w:val=""/>
      <w:lvlJc w:val="left"/>
      <w:pPr>
        <w:ind w:left="2520" w:hanging="360"/>
      </w:pPr>
      <w:rPr>
        <w:rFonts w:ascii="Symbol" w:hAnsi="Symbol" w:hint="default"/>
      </w:rPr>
    </w:lvl>
    <w:lvl w:ilvl="4" w:tplc="042B0003" w:tentative="1">
      <w:start w:val="1"/>
      <w:numFmt w:val="bullet"/>
      <w:lvlText w:val="o"/>
      <w:lvlJc w:val="left"/>
      <w:pPr>
        <w:ind w:left="3240" w:hanging="360"/>
      </w:pPr>
      <w:rPr>
        <w:rFonts w:ascii="Courier New" w:hAnsi="Courier New" w:cs="Courier New" w:hint="default"/>
      </w:rPr>
    </w:lvl>
    <w:lvl w:ilvl="5" w:tplc="042B0005" w:tentative="1">
      <w:start w:val="1"/>
      <w:numFmt w:val="bullet"/>
      <w:lvlText w:val=""/>
      <w:lvlJc w:val="left"/>
      <w:pPr>
        <w:ind w:left="3960" w:hanging="360"/>
      </w:pPr>
      <w:rPr>
        <w:rFonts w:ascii="Wingdings" w:hAnsi="Wingdings" w:hint="default"/>
      </w:rPr>
    </w:lvl>
    <w:lvl w:ilvl="6" w:tplc="042B0001" w:tentative="1">
      <w:start w:val="1"/>
      <w:numFmt w:val="bullet"/>
      <w:lvlText w:val=""/>
      <w:lvlJc w:val="left"/>
      <w:pPr>
        <w:ind w:left="4680" w:hanging="360"/>
      </w:pPr>
      <w:rPr>
        <w:rFonts w:ascii="Symbol" w:hAnsi="Symbol" w:hint="default"/>
      </w:rPr>
    </w:lvl>
    <w:lvl w:ilvl="7" w:tplc="042B0003" w:tentative="1">
      <w:start w:val="1"/>
      <w:numFmt w:val="bullet"/>
      <w:lvlText w:val="o"/>
      <w:lvlJc w:val="left"/>
      <w:pPr>
        <w:ind w:left="5400" w:hanging="360"/>
      </w:pPr>
      <w:rPr>
        <w:rFonts w:ascii="Courier New" w:hAnsi="Courier New" w:cs="Courier New" w:hint="default"/>
      </w:rPr>
    </w:lvl>
    <w:lvl w:ilvl="8" w:tplc="042B0005" w:tentative="1">
      <w:start w:val="1"/>
      <w:numFmt w:val="bullet"/>
      <w:lvlText w:val=""/>
      <w:lvlJc w:val="left"/>
      <w:pPr>
        <w:ind w:left="6120" w:hanging="360"/>
      </w:pPr>
      <w:rPr>
        <w:rFonts w:ascii="Wingdings" w:hAnsi="Wingdings" w:hint="default"/>
      </w:rPr>
    </w:lvl>
  </w:abstractNum>
  <w:abstractNum w:abstractNumId="3" w15:restartNumberingAfterBreak="0">
    <w:nsid w:val="3A0B69ED"/>
    <w:multiLevelType w:val="hybridMultilevel"/>
    <w:tmpl w:val="D2EC3668"/>
    <w:lvl w:ilvl="0" w:tplc="042B0001">
      <w:start w:val="1"/>
      <w:numFmt w:val="bullet"/>
      <w:lvlText w:val=""/>
      <w:lvlJc w:val="left"/>
      <w:pPr>
        <w:ind w:left="360" w:hanging="360"/>
      </w:pPr>
      <w:rPr>
        <w:rFonts w:ascii="Symbol" w:hAnsi="Symbol" w:hint="default"/>
      </w:rPr>
    </w:lvl>
    <w:lvl w:ilvl="1" w:tplc="042B0003" w:tentative="1">
      <w:start w:val="1"/>
      <w:numFmt w:val="bullet"/>
      <w:lvlText w:val="o"/>
      <w:lvlJc w:val="left"/>
      <w:pPr>
        <w:ind w:left="1080" w:hanging="360"/>
      </w:pPr>
      <w:rPr>
        <w:rFonts w:ascii="Courier New" w:hAnsi="Courier New" w:cs="Courier New" w:hint="default"/>
      </w:rPr>
    </w:lvl>
    <w:lvl w:ilvl="2" w:tplc="042B0005" w:tentative="1">
      <w:start w:val="1"/>
      <w:numFmt w:val="bullet"/>
      <w:lvlText w:val=""/>
      <w:lvlJc w:val="left"/>
      <w:pPr>
        <w:ind w:left="1800" w:hanging="360"/>
      </w:pPr>
      <w:rPr>
        <w:rFonts w:ascii="Wingdings" w:hAnsi="Wingdings" w:hint="default"/>
      </w:rPr>
    </w:lvl>
    <w:lvl w:ilvl="3" w:tplc="042B0001" w:tentative="1">
      <w:start w:val="1"/>
      <w:numFmt w:val="bullet"/>
      <w:lvlText w:val=""/>
      <w:lvlJc w:val="left"/>
      <w:pPr>
        <w:ind w:left="2520" w:hanging="360"/>
      </w:pPr>
      <w:rPr>
        <w:rFonts w:ascii="Symbol" w:hAnsi="Symbol" w:hint="default"/>
      </w:rPr>
    </w:lvl>
    <w:lvl w:ilvl="4" w:tplc="042B0003" w:tentative="1">
      <w:start w:val="1"/>
      <w:numFmt w:val="bullet"/>
      <w:lvlText w:val="o"/>
      <w:lvlJc w:val="left"/>
      <w:pPr>
        <w:ind w:left="3240" w:hanging="360"/>
      </w:pPr>
      <w:rPr>
        <w:rFonts w:ascii="Courier New" w:hAnsi="Courier New" w:cs="Courier New" w:hint="default"/>
      </w:rPr>
    </w:lvl>
    <w:lvl w:ilvl="5" w:tplc="042B0005" w:tentative="1">
      <w:start w:val="1"/>
      <w:numFmt w:val="bullet"/>
      <w:lvlText w:val=""/>
      <w:lvlJc w:val="left"/>
      <w:pPr>
        <w:ind w:left="3960" w:hanging="360"/>
      </w:pPr>
      <w:rPr>
        <w:rFonts w:ascii="Wingdings" w:hAnsi="Wingdings" w:hint="default"/>
      </w:rPr>
    </w:lvl>
    <w:lvl w:ilvl="6" w:tplc="042B0001" w:tentative="1">
      <w:start w:val="1"/>
      <w:numFmt w:val="bullet"/>
      <w:lvlText w:val=""/>
      <w:lvlJc w:val="left"/>
      <w:pPr>
        <w:ind w:left="4680" w:hanging="360"/>
      </w:pPr>
      <w:rPr>
        <w:rFonts w:ascii="Symbol" w:hAnsi="Symbol" w:hint="default"/>
      </w:rPr>
    </w:lvl>
    <w:lvl w:ilvl="7" w:tplc="042B0003" w:tentative="1">
      <w:start w:val="1"/>
      <w:numFmt w:val="bullet"/>
      <w:lvlText w:val="o"/>
      <w:lvlJc w:val="left"/>
      <w:pPr>
        <w:ind w:left="5400" w:hanging="360"/>
      </w:pPr>
      <w:rPr>
        <w:rFonts w:ascii="Courier New" w:hAnsi="Courier New" w:cs="Courier New" w:hint="default"/>
      </w:rPr>
    </w:lvl>
    <w:lvl w:ilvl="8" w:tplc="042B0005" w:tentative="1">
      <w:start w:val="1"/>
      <w:numFmt w:val="bullet"/>
      <w:lvlText w:val=""/>
      <w:lvlJc w:val="left"/>
      <w:pPr>
        <w:ind w:left="6120" w:hanging="360"/>
      </w:pPr>
      <w:rPr>
        <w:rFonts w:ascii="Wingdings" w:hAnsi="Wingdings" w:hint="default"/>
      </w:rPr>
    </w:lvl>
  </w:abstractNum>
  <w:abstractNum w:abstractNumId="4" w15:restartNumberingAfterBreak="0">
    <w:nsid w:val="407167E7"/>
    <w:multiLevelType w:val="hybridMultilevel"/>
    <w:tmpl w:val="29E6AF64"/>
    <w:lvl w:ilvl="0" w:tplc="38988830">
      <w:start w:val="13"/>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AC0FC4"/>
    <w:multiLevelType w:val="hybridMultilevel"/>
    <w:tmpl w:val="F45ABD28"/>
    <w:lvl w:ilvl="0" w:tplc="042B0001">
      <w:start w:val="1"/>
      <w:numFmt w:val="bullet"/>
      <w:lvlText w:val=""/>
      <w:lvlJc w:val="left"/>
      <w:pPr>
        <w:ind w:left="360" w:hanging="360"/>
      </w:pPr>
      <w:rPr>
        <w:rFonts w:ascii="Symbol" w:hAnsi="Symbol" w:hint="default"/>
      </w:rPr>
    </w:lvl>
    <w:lvl w:ilvl="1" w:tplc="042B0003" w:tentative="1">
      <w:start w:val="1"/>
      <w:numFmt w:val="bullet"/>
      <w:lvlText w:val="o"/>
      <w:lvlJc w:val="left"/>
      <w:pPr>
        <w:ind w:left="1080" w:hanging="360"/>
      </w:pPr>
      <w:rPr>
        <w:rFonts w:ascii="Courier New" w:hAnsi="Courier New" w:cs="Courier New" w:hint="default"/>
      </w:rPr>
    </w:lvl>
    <w:lvl w:ilvl="2" w:tplc="042B0005" w:tentative="1">
      <w:start w:val="1"/>
      <w:numFmt w:val="bullet"/>
      <w:lvlText w:val=""/>
      <w:lvlJc w:val="left"/>
      <w:pPr>
        <w:ind w:left="1800" w:hanging="360"/>
      </w:pPr>
      <w:rPr>
        <w:rFonts w:ascii="Wingdings" w:hAnsi="Wingdings" w:hint="default"/>
      </w:rPr>
    </w:lvl>
    <w:lvl w:ilvl="3" w:tplc="042B0001" w:tentative="1">
      <w:start w:val="1"/>
      <w:numFmt w:val="bullet"/>
      <w:lvlText w:val=""/>
      <w:lvlJc w:val="left"/>
      <w:pPr>
        <w:ind w:left="2520" w:hanging="360"/>
      </w:pPr>
      <w:rPr>
        <w:rFonts w:ascii="Symbol" w:hAnsi="Symbol" w:hint="default"/>
      </w:rPr>
    </w:lvl>
    <w:lvl w:ilvl="4" w:tplc="042B0003" w:tentative="1">
      <w:start w:val="1"/>
      <w:numFmt w:val="bullet"/>
      <w:lvlText w:val="o"/>
      <w:lvlJc w:val="left"/>
      <w:pPr>
        <w:ind w:left="3240" w:hanging="360"/>
      </w:pPr>
      <w:rPr>
        <w:rFonts w:ascii="Courier New" w:hAnsi="Courier New" w:cs="Courier New" w:hint="default"/>
      </w:rPr>
    </w:lvl>
    <w:lvl w:ilvl="5" w:tplc="042B0005" w:tentative="1">
      <w:start w:val="1"/>
      <w:numFmt w:val="bullet"/>
      <w:lvlText w:val=""/>
      <w:lvlJc w:val="left"/>
      <w:pPr>
        <w:ind w:left="3960" w:hanging="360"/>
      </w:pPr>
      <w:rPr>
        <w:rFonts w:ascii="Wingdings" w:hAnsi="Wingdings" w:hint="default"/>
      </w:rPr>
    </w:lvl>
    <w:lvl w:ilvl="6" w:tplc="042B0001" w:tentative="1">
      <w:start w:val="1"/>
      <w:numFmt w:val="bullet"/>
      <w:lvlText w:val=""/>
      <w:lvlJc w:val="left"/>
      <w:pPr>
        <w:ind w:left="4680" w:hanging="360"/>
      </w:pPr>
      <w:rPr>
        <w:rFonts w:ascii="Symbol" w:hAnsi="Symbol" w:hint="default"/>
      </w:rPr>
    </w:lvl>
    <w:lvl w:ilvl="7" w:tplc="042B0003" w:tentative="1">
      <w:start w:val="1"/>
      <w:numFmt w:val="bullet"/>
      <w:lvlText w:val="o"/>
      <w:lvlJc w:val="left"/>
      <w:pPr>
        <w:ind w:left="5400" w:hanging="360"/>
      </w:pPr>
      <w:rPr>
        <w:rFonts w:ascii="Courier New" w:hAnsi="Courier New" w:cs="Courier New" w:hint="default"/>
      </w:rPr>
    </w:lvl>
    <w:lvl w:ilvl="8" w:tplc="042B0005" w:tentative="1">
      <w:start w:val="1"/>
      <w:numFmt w:val="bullet"/>
      <w:lvlText w:val=""/>
      <w:lvlJc w:val="left"/>
      <w:pPr>
        <w:ind w:left="6120"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7651"/>
    <w:rsid w:val="000007DB"/>
    <w:rsid w:val="00001A3F"/>
    <w:rsid w:val="00010BFD"/>
    <w:rsid w:val="00010FBE"/>
    <w:rsid w:val="00011616"/>
    <w:rsid w:val="00012292"/>
    <w:rsid w:val="00012E6D"/>
    <w:rsid w:val="000142B6"/>
    <w:rsid w:val="00015947"/>
    <w:rsid w:val="00033894"/>
    <w:rsid w:val="000351D6"/>
    <w:rsid w:val="00035CE5"/>
    <w:rsid w:val="00037E61"/>
    <w:rsid w:val="0004189E"/>
    <w:rsid w:val="0004339D"/>
    <w:rsid w:val="00044BC5"/>
    <w:rsid w:val="00053D3C"/>
    <w:rsid w:val="00055AF4"/>
    <w:rsid w:val="00065C25"/>
    <w:rsid w:val="00066D12"/>
    <w:rsid w:val="00071D45"/>
    <w:rsid w:val="00072E34"/>
    <w:rsid w:val="00073A22"/>
    <w:rsid w:val="00076DC3"/>
    <w:rsid w:val="00077C44"/>
    <w:rsid w:val="0008330C"/>
    <w:rsid w:val="00086DC8"/>
    <w:rsid w:val="00097822"/>
    <w:rsid w:val="000A53F3"/>
    <w:rsid w:val="000A5C6B"/>
    <w:rsid w:val="000A5DFE"/>
    <w:rsid w:val="000B13F5"/>
    <w:rsid w:val="000B1E3D"/>
    <w:rsid w:val="000B2925"/>
    <w:rsid w:val="000B2CE6"/>
    <w:rsid w:val="000B67CD"/>
    <w:rsid w:val="000C0B9F"/>
    <w:rsid w:val="000C0E3A"/>
    <w:rsid w:val="000C26AF"/>
    <w:rsid w:val="000C72B9"/>
    <w:rsid w:val="000D42F3"/>
    <w:rsid w:val="000D5A49"/>
    <w:rsid w:val="000E1F26"/>
    <w:rsid w:val="000E2CA7"/>
    <w:rsid w:val="000F59C5"/>
    <w:rsid w:val="000F7F64"/>
    <w:rsid w:val="00105DDF"/>
    <w:rsid w:val="001065FE"/>
    <w:rsid w:val="00115D65"/>
    <w:rsid w:val="00120B61"/>
    <w:rsid w:val="00124332"/>
    <w:rsid w:val="0012686B"/>
    <w:rsid w:val="00130386"/>
    <w:rsid w:val="0013157E"/>
    <w:rsid w:val="00131D86"/>
    <w:rsid w:val="00132A02"/>
    <w:rsid w:val="00132E83"/>
    <w:rsid w:val="00134A51"/>
    <w:rsid w:val="00134F6D"/>
    <w:rsid w:val="00135108"/>
    <w:rsid w:val="00136095"/>
    <w:rsid w:val="001516E5"/>
    <w:rsid w:val="00151ABD"/>
    <w:rsid w:val="00151C36"/>
    <w:rsid w:val="001574F6"/>
    <w:rsid w:val="0016228B"/>
    <w:rsid w:val="00166AE0"/>
    <w:rsid w:val="00167660"/>
    <w:rsid w:val="001748AA"/>
    <w:rsid w:val="001761F4"/>
    <w:rsid w:val="001830A1"/>
    <w:rsid w:val="00184075"/>
    <w:rsid w:val="001950CC"/>
    <w:rsid w:val="001A180F"/>
    <w:rsid w:val="001A33F8"/>
    <w:rsid w:val="001A456E"/>
    <w:rsid w:val="001B0A66"/>
    <w:rsid w:val="001B2700"/>
    <w:rsid w:val="001B7F81"/>
    <w:rsid w:val="001C2483"/>
    <w:rsid w:val="001C2D10"/>
    <w:rsid w:val="001C5977"/>
    <w:rsid w:val="001D0B7E"/>
    <w:rsid w:val="001D4E73"/>
    <w:rsid w:val="001D5226"/>
    <w:rsid w:val="001D5FB4"/>
    <w:rsid w:val="001E301B"/>
    <w:rsid w:val="001F384B"/>
    <w:rsid w:val="001F524F"/>
    <w:rsid w:val="001F67CE"/>
    <w:rsid w:val="001F7681"/>
    <w:rsid w:val="00200ECA"/>
    <w:rsid w:val="002021DA"/>
    <w:rsid w:val="00206E6A"/>
    <w:rsid w:val="002140DE"/>
    <w:rsid w:val="00214908"/>
    <w:rsid w:val="002254DB"/>
    <w:rsid w:val="00225FA5"/>
    <w:rsid w:val="002265CD"/>
    <w:rsid w:val="00233922"/>
    <w:rsid w:val="0023452F"/>
    <w:rsid w:val="00234BE9"/>
    <w:rsid w:val="00240895"/>
    <w:rsid w:val="00241C68"/>
    <w:rsid w:val="00242DB9"/>
    <w:rsid w:val="00242EA6"/>
    <w:rsid w:val="0024318B"/>
    <w:rsid w:val="00250973"/>
    <w:rsid w:val="00254051"/>
    <w:rsid w:val="00260739"/>
    <w:rsid w:val="00263C12"/>
    <w:rsid w:val="002647E8"/>
    <w:rsid w:val="00264CEB"/>
    <w:rsid w:val="00266CD8"/>
    <w:rsid w:val="00272DD8"/>
    <w:rsid w:val="002731EB"/>
    <w:rsid w:val="00276564"/>
    <w:rsid w:val="00281E1F"/>
    <w:rsid w:val="00292E52"/>
    <w:rsid w:val="00293A3F"/>
    <w:rsid w:val="00293D56"/>
    <w:rsid w:val="00296C8A"/>
    <w:rsid w:val="002976FB"/>
    <w:rsid w:val="002A0418"/>
    <w:rsid w:val="002A0889"/>
    <w:rsid w:val="002A0B5B"/>
    <w:rsid w:val="002A38BF"/>
    <w:rsid w:val="002A3A33"/>
    <w:rsid w:val="002A59D1"/>
    <w:rsid w:val="002B1812"/>
    <w:rsid w:val="002B3C4F"/>
    <w:rsid w:val="002B3F46"/>
    <w:rsid w:val="002B44D9"/>
    <w:rsid w:val="002C086C"/>
    <w:rsid w:val="002C0CFB"/>
    <w:rsid w:val="002C108E"/>
    <w:rsid w:val="002C20CF"/>
    <w:rsid w:val="002C3539"/>
    <w:rsid w:val="002C4561"/>
    <w:rsid w:val="002D15E1"/>
    <w:rsid w:val="002D15EE"/>
    <w:rsid w:val="002D1638"/>
    <w:rsid w:val="002D541D"/>
    <w:rsid w:val="002E4BC0"/>
    <w:rsid w:val="002E4FD8"/>
    <w:rsid w:val="002E7DF3"/>
    <w:rsid w:val="00306152"/>
    <w:rsid w:val="00307627"/>
    <w:rsid w:val="00312FE7"/>
    <w:rsid w:val="00313C67"/>
    <w:rsid w:val="00314E55"/>
    <w:rsid w:val="00315BD7"/>
    <w:rsid w:val="00317122"/>
    <w:rsid w:val="00317ECB"/>
    <w:rsid w:val="003210F7"/>
    <w:rsid w:val="003316A8"/>
    <w:rsid w:val="00331DDB"/>
    <w:rsid w:val="00332C46"/>
    <w:rsid w:val="00343A25"/>
    <w:rsid w:val="00344BAB"/>
    <w:rsid w:val="00350306"/>
    <w:rsid w:val="00353DFF"/>
    <w:rsid w:val="0035481F"/>
    <w:rsid w:val="00356A47"/>
    <w:rsid w:val="003570A3"/>
    <w:rsid w:val="00360173"/>
    <w:rsid w:val="0036083E"/>
    <w:rsid w:val="0036344E"/>
    <w:rsid w:val="003645F2"/>
    <w:rsid w:val="003720FB"/>
    <w:rsid w:val="00374C48"/>
    <w:rsid w:val="00375699"/>
    <w:rsid w:val="0038012B"/>
    <w:rsid w:val="00380306"/>
    <w:rsid w:val="00380380"/>
    <w:rsid w:val="00383D4D"/>
    <w:rsid w:val="00384065"/>
    <w:rsid w:val="003864AA"/>
    <w:rsid w:val="00386779"/>
    <w:rsid w:val="0039026E"/>
    <w:rsid w:val="00390B78"/>
    <w:rsid w:val="00390F3E"/>
    <w:rsid w:val="00396B2C"/>
    <w:rsid w:val="00397003"/>
    <w:rsid w:val="00397BFD"/>
    <w:rsid w:val="003A2DCC"/>
    <w:rsid w:val="003A3A84"/>
    <w:rsid w:val="003A6BEB"/>
    <w:rsid w:val="003A741A"/>
    <w:rsid w:val="003B0B41"/>
    <w:rsid w:val="003B18EA"/>
    <w:rsid w:val="003B213B"/>
    <w:rsid w:val="003B2697"/>
    <w:rsid w:val="003B35A4"/>
    <w:rsid w:val="003B4B24"/>
    <w:rsid w:val="003B630F"/>
    <w:rsid w:val="003B6FDA"/>
    <w:rsid w:val="003C1471"/>
    <w:rsid w:val="003C7B52"/>
    <w:rsid w:val="003D1442"/>
    <w:rsid w:val="003D2B35"/>
    <w:rsid w:val="003D6368"/>
    <w:rsid w:val="003E01F9"/>
    <w:rsid w:val="003E32BF"/>
    <w:rsid w:val="003E35C5"/>
    <w:rsid w:val="003F24E4"/>
    <w:rsid w:val="003F5450"/>
    <w:rsid w:val="003F621C"/>
    <w:rsid w:val="003F6D4A"/>
    <w:rsid w:val="003F7BD8"/>
    <w:rsid w:val="00404293"/>
    <w:rsid w:val="004246F6"/>
    <w:rsid w:val="00425F29"/>
    <w:rsid w:val="004279BF"/>
    <w:rsid w:val="004301D7"/>
    <w:rsid w:val="0043638B"/>
    <w:rsid w:val="00443063"/>
    <w:rsid w:val="004529A5"/>
    <w:rsid w:val="00452A1B"/>
    <w:rsid w:val="00463534"/>
    <w:rsid w:val="00463624"/>
    <w:rsid w:val="00464EBD"/>
    <w:rsid w:val="00467C2C"/>
    <w:rsid w:val="004712E9"/>
    <w:rsid w:val="00473C6C"/>
    <w:rsid w:val="00480548"/>
    <w:rsid w:val="00481E7A"/>
    <w:rsid w:val="0048286A"/>
    <w:rsid w:val="00491B9C"/>
    <w:rsid w:val="004928D0"/>
    <w:rsid w:val="00492E20"/>
    <w:rsid w:val="004A0FD4"/>
    <w:rsid w:val="004A2C47"/>
    <w:rsid w:val="004A45D1"/>
    <w:rsid w:val="004A7BD1"/>
    <w:rsid w:val="004B330E"/>
    <w:rsid w:val="004B4262"/>
    <w:rsid w:val="004C2F59"/>
    <w:rsid w:val="004C31B2"/>
    <w:rsid w:val="004C4C65"/>
    <w:rsid w:val="004C5641"/>
    <w:rsid w:val="004C5E94"/>
    <w:rsid w:val="004D3414"/>
    <w:rsid w:val="004D45BE"/>
    <w:rsid w:val="004D4A0F"/>
    <w:rsid w:val="004D5BD5"/>
    <w:rsid w:val="004E0889"/>
    <w:rsid w:val="004E3D01"/>
    <w:rsid w:val="004E6219"/>
    <w:rsid w:val="004F13D9"/>
    <w:rsid w:val="004F284A"/>
    <w:rsid w:val="004F7566"/>
    <w:rsid w:val="00500167"/>
    <w:rsid w:val="00506EA5"/>
    <w:rsid w:val="00510E69"/>
    <w:rsid w:val="00511F0C"/>
    <w:rsid w:val="00517352"/>
    <w:rsid w:val="00520816"/>
    <w:rsid w:val="00521F06"/>
    <w:rsid w:val="00522147"/>
    <w:rsid w:val="00522F8F"/>
    <w:rsid w:val="00524539"/>
    <w:rsid w:val="00525AE5"/>
    <w:rsid w:val="005260C0"/>
    <w:rsid w:val="00530CFA"/>
    <w:rsid w:val="005310C6"/>
    <w:rsid w:val="00533644"/>
    <w:rsid w:val="0053486E"/>
    <w:rsid w:val="0054021A"/>
    <w:rsid w:val="00540986"/>
    <w:rsid w:val="005419F0"/>
    <w:rsid w:val="00543464"/>
    <w:rsid w:val="00545DBA"/>
    <w:rsid w:val="0055355B"/>
    <w:rsid w:val="0055418A"/>
    <w:rsid w:val="00560595"/>
    <w:rsid w:val="00565F75"/>
    <w:rsid w:val="00566D4F"/>
    <w:rsid w:val="00571689"/>
    <w:rsid w:val="00576DA1"/>
    <w:rsid w:val="005776E9"/>
    <w:rsid w:val="00583C36"/>
    <w:rsid w:val="00590C2B"/>
    <w:rsid w:val="00592760"/>
    <w:rsid w:val="005A3523"/>
    <w:rsid w:val="005A6FF7"/>
    <w:rsid w:val="005B4859"/>
    <w:rsid w:val="005C122C"/>
    <w:rsid w:val="005C6536"/>
    <w:rsid w:val="005C689C"/>
    <w:rsid w:val="005C78E9"/>
    <w:rsid w:val="005D2BEC"/>
    <w:rsid w:val="005D4071"/>
    <w:rsid w:val="005D4276"/>
    <w:rsid w:val="005D6EF3"/>
    <w:rsid w:val="005E176B"/>
    <w:rsid w:val="005E2710"/>
    <w:rsid w:val="005E3189"/>
    <w:rsid w:val="005E5095"/>
    <w:rsid w:val="005F748E"/>
    <w:rsid w:val="00600EDF"/>
    <w:rsid w:val="00612C14"/>
    <w:rsid w:val="00612C30"/>
    <w:rsid w:val="00613557"/>
    <w:rsid w:val="006150AC"/>
    <w:rsid w:val="00620DA0"/>
    <w:rsid w:val="00621499"/>
    <w:rsid w:val="00626752"/>
    <w:rsid w:val="00632D07"/>
    <w:rsid w:val="00634424"/>
    <w:rsid w:val="006355AE"/>
    <w:rsid w:val="006366B1"/>
    <w:rsid w:val="00636ECE"/>
    <w:rsid w:val="0063768C"/>
    <w:rsid w:val="00637B52"/>
    <w:rsid w:val="00640EC9"/>
    <w:rsid w:val="00642C67"/>
    <w:rsid w:val="00644C5D"/>
    <w:rsid w:val="006573EF"/>
    <w:rsid w:val="006575D7"/>
    <w:rsid w:val="00657A11"/>
    <w:rsid w:val="006629EC"/>
    <w:rsid w:val="00662B23"/>
    <w:rsid w:val="00665458"/>
    <w:rsid w:val="00671CE7"/>
    <w:rsid w:val="00675279"/>
    <w:rsid w:val="00676C2C"/>
    <w:rsid w:val="00676DF1"/>
    <w:rsid w:val="00677E52"/>
    <w:rsid w:val="006817DA"/>
    <w:rsid w:val="006848CE"/>
    <w:rsid w:val="00686FDC"/>
    <w:rsid w:val="006909DE"/>
    <w:rsid w:val="00695216"/>
    <w:rsid w:val="006966A5"/>
    <w:rsid w:val="00696D1A"/>
    <w:rsid w:val="00697941"/>
    <w:rsid w:val="006A541E"/>
    <w:rsid w:val="006A54E5"/>
    <w:rsid w:val="006B09B3"/>
    <w:rsid w:val="006B1B30"/>
    <w:rsid w:val="006B2BCD"/>
    <w:rsid w:val="006B5C7F"/>
    <w:rsid w:val="006C36B7"/>
    <w:rsid w:val="006C6A27"/>
    <w:rsid w:val="006D0D59"/>
    <w:rsid w:val="006E31BD"/>
    <w:rsid w:val="006E62E8"/>
    <w:rsid w:val="006F41B0"/>
    <w:rsid w:val="00703FA4"/>
    <w:rsid w:val="00710622"/>
    <w:rsid w:val="00723A78"/>
    <w:rsid w:val="007241F1"/>
    <w:rsid w:val="0072461A"/>
    <w:rsid w:val="00725034"/>
    <w:rsid w:val="0073509B"/>
    <w:rsid w:val="00735EED"/>
    <w:rsid w:val="00736EBD"/>
    <w:rsid w:val="0073763B"/>
    <w:rsid w:val="0074142E"/>
    <w:rsid w:val="00742158"/>
    <w:rsid w:val="00744899"/>
    <w:rsid w:val="00745929"/>
    <w:rsid w:val="0074684B"/>
    <w:rsid w:val="00746EFB"/>
    <w:rsid w:val="00750108"/>
    <w:rsid w:val="00753A79"/>
    <w:rsid w:val="007542DE"/>
    <w:rsid w:val="007567E6"/>
    <w:rsid w:val="007609A9"/>
    <w:rsid w:val="00762760"/>
    <w:rsid w:val="007630D0"/>
    <w:rsid w:val="007634D1"/>
    <w:rsid w:val="00767171"/>
    <w:rsid w:val="00767E0A"/>
    <w:rsid w:val="00770142"/>
    <w:rsid w:val="00771FA4"/>
    <w:rsid w:val="00774197"/>
    <w:rsid w:val="00776296"/>
    <w:rsid w:val="00781ACF"/>
    <w:rsid w:val="0078431B"/>
    <w:rsid w:val="00785B36"/>
    <w:rsid w:val="007877D2"/>
    <w:rsid w:val="007877D5"/>
    <w:rsid w:val="007908C9"/>
    <w:rsid w:val="0079789B"/>
    <w:rsid w:val="0079790B"/>
    <w:rsid w:val="007A1381"/>
    <w:rsid w:val="007A7ABB"/>
    <w:rsid w:val="007B1049"/>
    <w:rsid w:val="007B1215"/>
    <w:rsid w:val="007B1D1B"/>
    <w:rsid w:val="007B7C08"/>
    <w:rsid w:val="007C2B74"/>
    <w:rsid w:val="007C43D1"/>
    <w:rsid w:val="007C4FF5"/>
    <w:rsid w:val="007D01C1"/>
    <w:rsid w:val="007D055F"/>
    <w:rsid w:val="007D3AA3"/>
    <w:rsid w:val="007D415F"/>
    <w:rsid w:val="007D5578"/>
    <w:rsid w:val="007D6ECD"/>
    <w:rsid w:val="007E371D"/>
    <w:rsid w:val="007E524F"/>
    <w:rsid w:val="007E61AF"/>
    <w:rsid w:val="007E77B6"/>
    <w:rsid w:val="007E7FD6"/>
    <w:rsid w:val="007F5B7D"/>
    <w:rsid w:val="007F6C6D"/>
    <w:rsid w:val="00801BFF"/>
    <w:rsid w:val="00806C2B"/>
    <w:rsid w:val="008104A3"/>
    <w:rsid w:val="008106B8"/>
    <w:rsid w:val="00811961"/>
    <w:rsid w:val="00815906"/>
    <w:rsid w:val="00827912"/>
    <w:rsid w:val="00827B52"/>
    <w:rsid w:val="00832140"/>
    <w:rsid w:val="00836F28"/>
    <w:rsid w:val="008371E8"/>
    <w:rsid w:val="00837F88"/>
    <w:rsid w:val="0084157B"/>
    <w:rsid w:val="008450E8"/>
    <w:rsid w:val="00845EE0"/>
    <w:rsid w:val="00846B8F"/>
    <w:rsid w:val="00853CC1"/>
    <w:rsid w:val="008551A6"/>
    <w:rsid w:val="00855D3A"/>
    <w:rsid w:val="00857BEC"/>
    <w:rsid w:val="00860787"/>
    <w:rsid w:val="00862B97"/>
    <w:rsid w:val="00866663"/>
    <w:rsid w:val="00872DDC"/>
    <w:rsid w:val="00872F1A"/>
    <w:rsid w:val="00873A0D"/>
    <w:rsid w:val="008742A3"/>
    <w:rsid w:val="00876964"/>
    <w:rsid w:val="00877E58"/>
    <w:rsid w:val="0088496C"/>
    <w:rsid w:val="00886B29"/>
    <w:rsid w:val="008901DA"/>
    <w:rsid w:val="00894AA6"/>
    <w:rsid w:val="008A13CF"/>
    <w:rsid w:val="008A151D"/>
    <w:rsid w:val="008A380E"/>
    <w:rsid w:val="008A49F8"/>
    <w:rsid w:val="008B632C"/>
    <w:rsid w:val="008C05C0"/>
    <w:rsid w:val="008C1060"/>
    <w:rsid w:val="008C1568"/>
    <w:rsid w:val="008C15E2"/>
    <w:rsid w:val="008D51E4"/>
    <w:rsid w:val="008D6262"/>
    <w:rsid w:val="008E1E4F"/>
    <w:rsid w:val="008F2A0D"/>
    <w:rsid w:val="008F3217"/>
    <w:rsid w:val="008F407D"/>
    <w:rsid w:val="008F7DEB"/>
    <w:rsid w:val="008F7E04"/>
    <w:rsid w:val="0090456D"/>
    <w:rsid w:val="00907EF9"/>
    <w:rsid w:val="009250E6"/>
    <w:rsid w:val="0092736C"/>
    <w:rsid w:val="00930DCE"/>
    <w:rsid w:val="009318F7"/>
    <w:rsid w:val="009321C8"/>
    <w:rsid w:val="009324A0"/>
    <w:rsid w:val="00933B63"/>
    <w:rsid w:val="00934823"/>
    <w:rsid w:val="00942E03"/>
    <w:rsid w:val="00943F4D"/>
    <w:rsid w:val="0094484A"/>
    <w:rsid w:val="00951313"/>
    <w:rsid w:val="00951BC7"/>
    <w:rsid w:val="00954241"/>
    <w:rsid w:val="00954CC5"/>
    <w:rsid w:val="00954D2F"/>
    <w:rsid w:val="00955528"/>
    <w:rsid w:val="00957F0D"/>
    <w:rsid w:val="009612DF"/>
    <w:rsid w:val="0096204A"/>
    <w:rsid w:val="00964076"/>
    <w:rsid w:val="009652E7"/>
    <w:rsid w:val="00966AB0"/>
    <w:rsid w:val="00966C30"/>
    <w:rsid w:val="00967B45"/>
    <w:rsid w:val="00970B9C"/>
    <w:rsid w:val="00970BB9"/>
    <w:rsid w:val="00970D7A"/>
    <w:rsid w:val="00971311"/>
    <w:rsid w:val="00972FD6"/>
    <w:rsid w:val="00977017"/>
    <w:rsid w:val="00977D47"/>
    <w:rsid w:val="0099686E"/>
    <w:rsid w:val="009A460A"/>
    <w:rsid w:val="009A5297"/>
    <w:rsid w:val="009A6F46"/>
    <w:rsid w:val="009B112E"/>
    <w:rsid w:val="009B30B3"/>
    <w:rsid w:val="009C1AB1"/>
    <w:rsid w:val="009D03A7"/>
    <w:rsid w:val="009D06A5"/>
    <w:rsid w:val="009D1D99"/>
    <w:rsid w:val="009D50E7"/>
    <w:rsid w:val="009E055B"/>
    <w:rsid w:val="009E1B90"/>
    <w:rsid w:val="009E33CB"/>
    <w:rsid w:val="009E656B"/>
    <w:rsid w:val="009E6F4B"/>
    <w:rsid w:val="009E75D5"/>
    <w:rsid w:val="009F0F8F"/>
    <w:rsid w:val="009F1154"/>
    <w:rsid w:val="009F2880"/>
    <w:rsid w:val="009F698D"/>
    <w:rsid w:val="009F6F95"/>
    <w:rsid w:val="009F710C"/>
    <w:rsid w:val="00A01041"/>
    <w:rsid w:val="00A03652"/>
    <w:rsid w:val="00A1282D"/>
    <w:rsid w:val="00A17C16"/>
    <w:rsid w:val="00A241EA"/>
    <w:rsid w:val="00A249F2"/>
    <w:rsid w:val="00A30E98"/>
    <w:rsid w:val="00A30FBE"/>
    <w:rsid w:val="00A374BA"/>
    <w:rsid w:val="00A40048"/>
    <w:rsid w:val="00A41BFD"/>
    <w:rsid w:val="00A447B1"/>
    <w:rsid w:val="00A4603B"/>
    <w:rsid w:val="00A46B1C"/>
    <w:rsid w:val="00A47648"/>
    <w:rsid w:val="00A5263E"/>
    <w:rsid w:val="00A640EA"/>
    <w:rsid w:val="00A64428"/>
    <w:rsid w:val="00A704F1"/>
    <w:rsid w:val="00A7058D"/>
    <w:rsid w:val="00A7658C"/>
    <w:rsid w:val="00A76F96"/>
    <w:rsid w:val="00A81B1A"/>
    <w:rsid w:val="00A926B6"/>
    <w:rsid w:val="00A940E4"/>
    <w:rsid w:val="00AA14B9"/>
    <w:rsid w:val="00AA16AD"/>
    <w:rsid w:val="00AA547B"/>
    <w:rsid w:val="00AA70CA"/>
    <w:rsid w:val="00AA75EC"/>
    <w:rsid w:val="00AB0A0E"/>
    <w:rsid w:val="00AB5B81"/>
    <w:rsid w:val="00AB7448"/>
    <w:rsid w:val="00AC01D8"/>
    <w:rsid w:val="00AC660B"/>
    <w:rsid w:val="00AD2697"/>
    <w:rsid w:val="00AD3792"/>
    <w:rsid w:val="00AD3EC5"/>
    <w:rsid w:val="00AD4CB0"/>
    <w:rsid w:val="00AE09C8"/>
    <w:rsid w:val="00AE1D75"/>
    <w:rsid w:val="00AE27BC"/>
    <w:rsid w:val="00AE3B5F"/>
    <w:rsid w:val="00AF0A95"/>
    <w:rsid w:val="00AF4555"/>
    <w:rsid w:val="00AF7719"/>
    <w:rsid w:val="00AF7B80"/>
    <w:rsid w:val="00AF7DDF"/>
    <w:rsid w:val="00AF7EA6"/>
    <w:rsid w:val="00B0020C"/>
    <w:rsid w:val="00B01B53"/>
    <w:rsid w:val="00B07A86"/>
    <w:rsid w:val="00B11DDD"/>
    <w:rsid w:val="00B14F11"/>
    <w:rsid w:val="00B14F4F"/>
    <w:rsid w:val="00B15CCA"/>
    <w:rsid w:val="00B178C0"/>
    <w:rsid w:val="00B2100B"/>
    <w:rsid w:val="00B21567"/>
    <w:rsid w:val="00B2219D"/>
    <w:rsid w:val="00B36A0F"/>
    <w:rsid w:val="00B43D6F"/>
    <w:rsid w:val="00B51037"/>
    <w:rsid w:val="00B53341"/>
    <w:rsid w:val="00B5344D"/>
    <w:rsid w:val="00B53794"/>
    <w:rsid w:val="00B607BF"/>
    <w:rsid w:val="00B62E2B"/>
    <w:rsid w:val="00B6766D"/>
    <w:rsid w:val="00B67B97"/>
    <w:rsid w:val="00B711FC"/>
    <w:rsid w:val="00B716F4"/>
    <w:rsid w:val="00B7187F"/>
    <w:rsid w:val="00B72834"/>
    <w:rsid w:val="00B7340F"/>
    <w:rsid w:val="00B75270"/>
    <w:rsid w:val="00B77A00"/>
    <w:rsid w:val="00B845EF"/>
    <w:rsid w:val="00B8549D"/>
    <w:rsid w:val="00B86157"/>
    <w:rsid w:val="00B93B04"/>
    <w:rsid w:val="00B93B98"/>
    <w:rsid w:val="00BA117B"/>
    <w:rsid w:val="00BA2C88"/>
    <w:rsid w:val="00BA3D0E"/>
    <w:rsid w:val="00BB5C37"/>
    <w:rsid w:val="00BC0F0B"/>
    <w:rsid w:val="00BC2FD6"/>
    <w:rsid w:val="00BC374F"/>
    <w:rsid w:val="00BC5861"/>
    <w:rsid w:val="00BC5F0A"/>
    <w:rsid w:val="00BC687A"/>
    <w:rsid w:val="00BC7B0D"/>
    <w:rsid w:val="00BC7D84"/>
    <w:rsid w:val="00BD2D01"/>
    <w:rsid w:val="00BD5B1C"/>
    <w:rsid w:val="00BD6307"/>
    <w:rsid w:val="00BE10FA"/>
    <w:rsid w:val="00BE69EE"/>
    <w:rsid w:val="00BF11F1"/>
    <w:rsid w:val="00BF4394"/>
    <w:rsid w:val="00BF7602"/>
    <w:rsid w:val="00C0093B"/>
    <w:rsid w:val="00C00B89"/>
    <w:rsid w:val="00C0520F"/>
    <w:rsid w:val="00C06522"/>
    <w:rsid w:val="00C107CC"/>
    <w:rsid w:val="00C11820"/>
    <w:rsid w:val="00C1309E"/>
    <w:rsid w:val="00C17073"/>
    <w:rsid w:val="00C17211"/>
    <w:rsid w:val="00C20022"/>
    <w:rsid w:val="00C20830"/>
    <w:rsid w:val="00C23DF5"/>
    <w:rsid w:val="00C339DE"/>
    <w:rsid w:val="00C34BCA"/>
    <w:rsid w:val="00C41D92"/>
    <w:rsid w:val="00C52117"/>
    <w:rsid w:val="00C62873"/>
    <w:rsid w:val="00C63B3D"/>
    <w:rsid w:val="00C65814"/>
    <w:rsid w:val="00C67AF4"/>
    <w:rsid w:val="00C70148"/>
    <w:rsid w:val="00C71404"/>
    <w:rsid w:val="00C80994"/>
    <w:rsid w:val="00C81C79"/>
    <w:rsid w:val="00C8410C"/>
    <w:rsid w:val="00C86872"/>
    <w:rsid w:val="00C9021D"/>
    <w:rsid w:val="00C90711"/>
    <w:rsid w:val="00C95BEF"/>
    <w:rsid w:val="00C95F66"/>
    <w:rsid w:val="00C97938"/>
    <w:rsid w:val="00CA1277"/>
    <w:rsid w:val="00CA1749"/>
    <w:rsid w:val="00CA4B4E"/>
    <w:rsid w:val="00CA70BE"/>
    <w:rsid w:val="00CB204B"/>
    <w:rsid w:val="00CB5322"/>
    <w:rsid w:val="00CB7189"/>
    <w:rsid w:val="00CC1A09"/>
    <w:rsid w:val="00CC20C2"/>
    <w:rsid w:val="00CC4FF9"/>
    <w:rsid w:val="00CC59D6"/>
    <w:rsid w:val="00CD529B"/>
    <w:rsid w:val="00CE22CD"/>
    <w:rsid w:val="00CE30C9"/>
    <w:rsid w:val="00CE3BB4"/>
    <w:rsid w:val="00CE7257"/>
    <w:rsid w:val="00CF08C9"/>
    <w:rsid w:val="00D03763"/>
    <w:rsid w:val="00D05552"/>
    <w:rsid w:val="00D1396A"/>
    <w:rsid w:val="00D142E0"/>
    <w:rsid w:val="00D14C7C"/>
    <w:rsid w:val="00D16B8C"/>
    <w:rsid w:val="00D16E1D"/>
    <w:rsid w:val="00D202EF"/>
    <w:rsid w:val="00D21F21"/>
    <w:rsid w:val="00D250C5"/>
    <w:rsid w:val="00D3394E"/>
    <w:rsid w:val="00D34FCC"/>
    <w:rsid w:val="00D414EB"/>
    <w:rsid w:val="00D42518"/>
    <w:rsid w:val="00D4305A"/>
    <w:rsid w:val="00D442AC"/>
    <w:rsid w:val="00D46A64"/>
    <w:rsid w:val="00D54AB5"/>
    <w:rsid w:val="00D63200"/>
    <w:rsid w:val="00D71A97"/>
    <w:rsid w:val="00D81DFA"/>
    <w:rsid w:val="00D9067D"/>
    <w:rsid w:val="00D91261"/>
    <w:rsid w:val="00D922F8"/>
    <w:rsid w:val="00D92372"/>
    <w:rsid w:val="00D92ED6"/>
    <w:rsid w:val="00D93023"/>
    <w:rsid w:val="00D96A1C"/>
    <w:rsid w:val="00DA0465"/>
    <w:rsid w:val="00DA09A3"/>
    <w:rsid w:val="00DA0E4F"/>
    <w:rsid w:val="00DA46AC"/>
    <w:rsid w:val="00DA553E"/>
    <w:rsid w:val="00DA5925"/>
    <w:rsid w:val="00DA6F93"/>
    <w:rsid w:val="00DA7005"/>
    <w:rsid w:val="00DA7BC5"/>
    <w:rsid w:val="00DB15C8"/>
    <w:rsid w:val="00DB3039"/>
    <w:rsid w:val="00DB3282"/>
    <w:rsid w:val="00DB32D0"/>
    <w:rsid w:val="00DB360B"/>
    <w:rsid w:val="00DB3DF0"/>
    <w:rsid w:val="00DC3B98"/>
    <w:rsid w:val="00DC4209"/>
    <w:rsid w:val="00DD2190"/>
    <w:rsid w:val="00DD31DE"/>
    <w:rsid w:val="00DD6EF9"/>
    <w:rsid w:val="00DE3A23"/>
    <w:rsid w:val="00DE414B"/>
    <w:rsid w:val="00DE4A0D"/>
    <w:rsid w:val="00DF16EE"/>
    <w:rsid w:val="00DF1F2C"/>
    <w:rsid w:val="00DF2AC4"/>
    <w:rsid w:val="00DF606B"/>
    <w:rsid w:val="00DF60F5"/>
    <w:rsid w:val="00E010A9"/>
    <w:rsid w:val="00E0653F"/>
    <w:rsid w:val="00E0670F"/>
    <w:rsid w:val="00E073FF"/>
    <w:rsid w:val="00E11C2C"/>
    <w:rsid w:val="00E157AB"/>
    <w:rsid w:val="00E160F4"/>
    <w:rsid w:val="00E17834"/>
    <w:rsid w:val="00E228B8"/>
    <w:rsid w:val="00E2589A"/>
    <w:rsid w:val="00E25E15"/>
    <w:rsid w:val="00E31B2F"/>
    <w:rsid w:val="00E3294E"/>
    <w:rsid w:val="00E3738D"/>
    <w:rsid w:val="00E40394"/>
    <w:rsid w:val="00E40B88"/>
    <w:rsid w:val="00E40BA8"/>
    <w:rsid w:val="00E4359B"/>
    <w:rsid w:val="00E45D05"/>
    <w:rsid w:val="00E475A6"/>
    <w:rsid w:val="00E54071"/>
    <w:rsid w:val="00E55635"/>
    <w:rsid w:val="00E56598"/>
    <w:rsid w:val="00E67005"/>
    <w:rsid w:val="00E67952"/>
    <w:rsid w:val="00E705D0"/>
    <w:rsid w:val="00E713AF"/>
    <w:rsid w:val="00E716D6"/>
    <w:rsid w:val="00E72006"/>
    <w:rsid w:val="00E73EC9"/>
    <w:rsid w:val="00E76EEB"/>
    <w:rsid w:val="00E817E8"/>
    <w:rsid w:val="00E81CF8"/>
    <w:rsid w:val="00E827A5"/>
    <w:rsid w:val="00E848D7"/>
    <w:rsid w:val="00E8514A"/>
    <w:rsid w:val="00E87583"/>
    <w:rsid w:val="00E91D8D"/>
    <w:rsid w:val="00E9389F"/>
    <w:rsid w:val="00E97DD5"/>
    <w:rsid w:val="00EA6FA3"/>
    <w:rsid w:val="00EB1C7D"/>
    <w:rsid w:val="00EB5FCA"/>
    <w:rsid w:val="00EC6A16"/>
    <w:rsid w:val="00EC759F"/>
    <w:rsid w:val="00ED1126"/>
    <w:rsid w:val="00ED11A9"/>
    <w:rsid w:val="00ED1BC2"/>
    <w:rsid w:val="00ED2E1C"/>
    <w:rsid w:val="00ED4268"/>
    <w:rsid w:val="00ED77C3"/>
    <w:rsid w:val="00EE00FC"/>
    <w:rsid w:val="00EE5F0F"/>
    <w:rsid w:val="00EE619D"/>
    <w:rsid w:val="00EF1F68"/>
    <w:rsid w:val="00EF53B6"/>
    <w:rsid w:val="00EF63CF"/>
    <w:rsid w:val="00EF749F"/>
    <w:rsid w:val="00EF74AD"/>
    <w:rsid w:val="00F005E1"/>
    <w:rsid w:val="00F0148D"/>
    <w:rsid w:val="00F074C3"/>
    <w:rsid w:val="00F10ED8"/>
    <w:rsid w:val="00F16B50"/>
    <w:rsid w:val="00F24CE9"/>
    <w:rsid w:val="00F254B6"/>
    <w:rsid w:val="00F25D87"/>
    <w:rsid w:val="00F27945"/>
    <w:rsid w:val="00F31EEB"/>
    <w:rsid w:val="00F357AB"/>
    <w:rsid w:val="00F40B63"/>
    <w:rsid w:val="00F40F99"/>
    <w:rsid w:val="00F464AE"/>
    <w:rsid w:val="00F51CC3"/>
    <w:rsid w:val="00F56F4B"/>
    <w:rsid w:val="00F61EDD"/>
    <w:rsid w:val="00F63631"/>
    <w:rsid w:val="00F636AD"/>
    <w:rsid w:val="00F7005B"/>
    <w:rsid w:val="00F71D52"/>
    <w:rsid w:val="00F8317E"/>
    <w:rsid w:val="00F844C2"/>
    <w:rsid w:val="00F858D9"/>
    <w:rsid w:val="00F86991"/>
    <w:rsid w:val="00F93A0F"/>
    <w:rsid w:val="00F97651"/>
    <w:rsid w:val="00FA0C20"/>
    <w:rsid w:val="00FA3444"/>
    <w:rsid w:val="00FA46F4"/>
    <w:rsid w:val="00FA5F64"/>
    <w:rsid w:val="00FB5BB0"/>
    <w:rsid w:val="00FB603D"/>
    <w:rsid w:val="00FC0769"/>
    <w:rsid w:val="00FC26C8"/>
    <w:rsid w:val="00FC67ED"/>
    <w:rsid w:val="00FD37C4"/>
    <w:rsid w:val="00FD5EC1"/>
    <w:rsid w:val="00FD667F"/>
    <w:rsid w:val="00FE4EC4"/>
    <w:rsid w:val="00FE565D"/>
    <w:rsid w:val="00FE6C0F"/>
    <w:rsid w:val="00FF0E29"/>
    <w:rsid w:val="00FF441A"/>
    <w:rsid w:val="00FF7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8F455"/>
  <w15:docId w15:val="{4D2D8E33-F9D6-4FF8-AA34-669C4F9F1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HEA Grapalat" w:eastAsiaTheme="minorHAnsi" w:hAnsi="GHEA Grapalat"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19D"/>
    <w:pPr>
      <w:spacing w:after="0" w:line="240" w:lineRule="auto"/>
    </w:pPr>
    <w:rPr>
      <w:rFonts w:ascii="Times LatArm" w:eastAsia="Times New Roman" w:hAnsi="Times LatArm" w:cs="Times New Roman"/>
      <w:sz w:val="24"/>
      <w:szCs w:val="24"/>
    </w:rPr>
  </w:style>
  <w:style w:type="paragraph" w:styleId="Heading1">
    <w:name w:val="heading 1"/>
    <w:basedOn w:val="Normal"/>
    <w:next w:val="Normal"/>
    <w:link w:val="Heading1Char"/>
    <w:qFormat/>
    <w:rsid w:val="00F40F99"/>
    <w:pPr>
      <w:keepNext/>
      <w:spacing w:line="360" w:lineRule="auto"/>
      <w:jc w:val="both"/>
      <w:outlineLvl w:val="0"/>
    </w:pPr>
    <w:rPr>
      <w:rFonts w:ascii="Times Armenian" w:hAnsi="Times Armenian"/>
      <w:b/>
      <w:color w:val="000000"/>
      <w:sz w:val="26"/>
      <w:szCs w:val="26"/>
      <w:u w:val="single"/>
      <w:lang w:val="hy-AM"/>
    </w:rPr>
  </w:style>
  <w:style w:type="paragraph" w:styleId="Heading2">
    <w:name w:val="heading 2"/>
    <w:basedOn w:val="Normal"/>
    <w:next w:val="Normal"/>
    <w:link w:val="Heading2Char"/>
    <w:qFormat/>
    <w:rsid w:val="00F40F99"/>
    <w:pPr>
      <w:keepNext/>
      <w:spacing w:line="360" w:lineRule="auto"/>
      <w:ind w:firstLine="540"/>
      <w:jc w:val="right"/>
      <w:outlineLvl w:val="1"/>
    </w:pPr>
    <w:rPr>
      <w:rFonts w:ascii="Times Armenian" w:hAnsi="Times Armenian" w:cs="Arial"/>
      <w:i/>
      <w:iCs/>
      <w:color w:val="000000"/>
      <w:szCs w:val="20"/>
      <w:lang w:val="hy-AM"/>
    </w:rPr>
  </w:style>
  <w:style w:type="paragraph" w:styleId="Heading5">
    <w:name w:val="heading 5"/>
    <w:basedOn w:val="Normal"/>
    <w:next w:val="Normal"/>
    <w:link w:val="Heading5Char"/>
    <w:uiPriority w:val="9"/>
    <w:semiHidden/>
    <w:unhideWhenUsed/>
    <w:qFormat/>
    <w:rsid w:val="00C00B89"/>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F40F99"/>
    <w:pPr>
      <w:keepNext/>
      <w:spacing w:line="360" w:lineRule="auto"/>
      <w:ind w:left="1701"/>
      <w:jc w:val="center"/>
      <w:outlineLvl w:val="6"/>
    </w:pPr>
    <w:rPr>
      <w:rFonts w:ascii="Arial Armenian" w:hAnsi="Arial Armenian"/>
      <w:b/>
      <w:spacing w:val="40"/>
      <w:sz w:val="22"/>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ongtext">
    <w:name w:val="long_text"/>
    <w:rsid w:val="00EE619D"/>
  </w:style>
  <w:style w:type="paragraph" w:styleId="ListParagraph">
    <w:name w:val="List Paragraph"/>
    <w:basedOn w:val="Normal"/>
    <w:uiPriority w:val="34"/>
    <w:qFormat/>
    <w:rsid w:val="00EE619D"/>
    <w:pPr>
      <w:ind w:left="720"/>
      <w:contextualSpacing/>
    </w:pPr>
  </w:style>
  <w:style w:type="table" w:styleId="TableGrid">
    <w:name w:val="Table Grid"/>
    <w:basedOn w:val="TableNormal"/>
    <w:uiPriority w:val="39"/>
    <w:rsid w:val="00EE61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EE619D"/>
    <w:rPr>
      <w:sz w:val="20"/>
      <w:szCs w:val="20"/>
    </w:rPr>
  </w:style>
  <w:style w:type="character" w:customStyle="1" w:styleId="FootnoteTextChar">
    <w:name w:val="Footnote Text Char"/>
    <w:basedOn w:val="DefaultParagraphFont"/>
    <w:link w:val="FootnoteText"/>
    <w:uiPriority w:val="99"/>
    <w:rsid w:val="00EE619D"/>
    <w:rPr>
      <w:rFonts w:ascii="Times LatArm" w:eastAsia="Times New Roman" w:hAnsi="Times LatArm" w:cs="Times New Roman"/>
      <w:sz w:val="20"/>
      <w:szCs w:val="20"/>
    </w:rPr>
  </w:style>
  <w:style w:type="character" w:styleId="FootnoteReference">
    <w:name w:val="footnote reference"/>
    <w:basedOn w:val="DefaultParagraphFont"/>
    <w:uiPriority w:val="99"/>
    <w:unhideWhenUsed/>
    <w:rsid w:val="00EE619D"/>
    <w:rPr>
      <w:vertAlign w:val="superscript"/>
    </w:rPr>
  </w:style>
  <w:style w:type="character" w:customStyle="1" w:styleId="Heading1Char">
    <w:name w:val="Heading 1 Char"/>
    <w:basedOn w:val="DefaultParagraphFont"/>
    <w:link w:val="Heading1"/>
    <w:rsid w:val="00F40F99"/>
    <w:rPr>
      <w:rFonts w:ascii="Times Armenian" w:eastAsia="Times New Roman" w:hAnsi="Times Armenian" w:cs="Times New Roman"/>
      <w:b/>
      <w:color w:val="000000"/>
      <w:sz w:val="26"/>
      <w:szCs w:val="26"/>
      <w:u w:val="single"/>
      <w:lang w:val="hy-AM"/>
    </w:rPr>
  </w:style>
  <w:style w:type="character" w:customStyle="1" w:styleId="Heading2Char">
    <w:name w:val="Heading 2 Char"/>
    <w:basedOn w:val="DefaultParagraphFont"/>
    <w:link w:val="Heading2"/>
    <w:rsid w:val="00F40F99"/>
    <w:rPr>
      <w:rFonts w:ascii="Times Armenian" w:eastAsia="Times New Roman" w:hAnsi="Times Armenian" w:cs="Arial"/>
      <w:i/>
      <w:iCs/>
      <w:color w:val="000000"/>
      <w:sz w:val="24"/>
      <w:szCs w:val="20"/>
      <w:lang w:val="hy-AM"/>
    </w:rPr>
  </w:style>
  <w:style w:type="character" w:customStyle="1" w:styleId="Heading7Char">
    <w:name w:val="Heading 7 Char"/>
    <w:basedOn w:val="DefaultParagraphFont"/>
    <w:link w:val="Heading7"/>
    <w:rsid w:val="00F40F99"/>
    <w:rPr>
      <w:rFonts w:ascii="Arial Armenian" w:eastAsia="Times New Roman" w:hAnsi="Arial Armenian" w:cs="Times New Roman"/>
      <w:b/>
      <w:spacing w:val="40"/>
      <w:szCs w:val="23"/>
    </w:rPr>
  </w:style>
  <w:style w:type="character" w:customStyle="1" w:styleId="FootnoteTextChar2">
    <w:name w:val="Footnote Text Char2"/>
    <w:semiHidden/>
    <w:rsid w:val="00F40F99"/>
    <w:rPr>
      <w:rFonts w:ascii="Times Armenian" w:hAnsi="Times Armenian"/>
      <w:lang w:val="en-US" w:eastAsia="en-US" w:bidi="ar-SA"/>
    </w:rPr>
  </w:style>
  <w:style w:type="character" w:styleId="Hyperlink">
    <w:name w:val="Hyperlink"/>
    <w:rsid w:val="00F40F99"/>
    <w:rPr>
      <w:color w:val="0000FF"/>
      <w:u w:val="single"/>
    </w:rPr>
  </w:style>
  <w:style w:type="paragraph" w:styleId="Header">
    <w:name w:val="header"/>
    <w:aliases w:val="hd"/>
    <w:basedOn w:val="Normal"/>
    <w:link w:val="HeaderChar"/>
    <w:uiPriority w:val="99"/>
    <w:unhideWhenUsed/>
    <w:rsid w:val="00F40F99"/>
    <w:pPr>
      <w:tabs>
        <w:tab w:val="center" w:pos="4680"/>
        <w:tab w:val="right" w:pos="9360"/>
      </w:tabs>
    </w:pPr>
  </w:style>
  <w:style w:type="character" w:customStyle="1" w:styleId="HeaderChar">
    <w:name w:val="Header Char"/>
    <w:aliases w:val="hd Char"/>
    <w:basedOn w:val="DefaultParagraphFont"/>
    <w:link w:val="Header"/>
    <w:uiPriority w:val="99"/>
    <w:rsid w:val="00F40F99"/>
    <w:rPr>
      <w:rFonts w:ascii="Times LatArm" w:eastAsia="Times New Roman" w:hAnsi="Times LatArm" w:cs="Times New Roman"/>
      <w:sz w:val="24"/>
      <w:szCs w:val="24"/>
    </w:rPr>
  </w:style>
  <w:style w:type="paragraph" w:styleId="Footer">
    <w:name w:val="footer"/>
    <w:basedOn w:val="Normal"/>
    <w:link w:val="FooterChar"/>
    <w:uiPriority w:val="99"/>
    <w:unhideWhenUsed/>
    <w:rsid w:val="00F40F99"/>
    <w:pPr>
      <w:tabs>
        <w:tab w:val="center" w:pos="4680"/>
        <w:tab w:val="right" w:pos="9360"/>
      </w:tabs>
    </w:pPr>
  </w:style>
  <w:style w:type="character" w:customStyle="1" w:styleId="FooterChar">
    <w:name w:val="Footer Char"/>
    <w:basedOn w:val="DefaultParagraphFont"/>
    <w:link w:val="Footer"/>
    <w:uiPriority w:val="99"/>
    <w:rsid w:val="00F40F99"/>
    <w:rPr>
      <w:rFonts w:ascii="Times LatArm" w:eastAsia="Times New Roman" w:hAnsi="Times LatArm" w:cs="Times New Roman"/>
      <w:sz w:val="24"/>
      <w:szCs w:val="24"/>
    </w:rPr>
  </w:style>
  <w:style w:type="character" w:customStyle="1" w:styleId="apple-converted-space">
    <w:name w:val="apple-converted-space"/>
    <w:basedOn w:val="DefaultParagraphFont"/>
    <w:rsid w:val="00F40F99"/>
  </w:style>
  <w:style w:type="paragraph" w:styleId="BodyText">
    <w:name w:val="Body Text"/>
    <w:basedOn w:val="Normal"/>
    <w:link w:val="BodyTextChar"/>
    <w:uiPriority w:val="99"/>
    <w:unhideWhenUsed/>
    <w:rsid w:val="00F40F99"/>
    <w:pPr>
      <w:spacing w:after="120" w:line="276" w:lineRule="auto"/>
    </w:pPr>
    <w:rPr>
      <w:rFonts w:ascii="GHEA Grapalat" w:eastAsia="Calibri" w:hAnsi="GHEA Grapalat"/>
      <w:sz w:val="22"/>
      <w:szCs w:val="22"/>
    </w:rPr>
  </w:style>
  <w:style w:type="character" w:customStyle="1" w:styleId="BodyTextChar">
    <w:name w:val="Body Text Char"/>
    <w:basedOn w:val="DefaultParagraphFont"/>
    <w:link w:val="BodyText"/>
    <w:uiPriority w:val="99"/>
    <w:rsid w:val="00F40F99"/>
    <w:rPr>
      <w:rFonts w:eastAsia="Calibri" w:cs="Times New Roman"/>
    </w:rPr>
  </w:style>
  <w:style w:type="character" w:customStyle="1" w:styleId="Heading5Char">
    <w:name w:val="Heading 5 Char"/>
    <w:basedOn w:val="DefaultParagraphFont"/>
    <w:link w:val="Heading5"/>
    <w:uiPriority w:val="9"/>
    <w:semiHidden/>
    <w:rsid w:val="00C00B89"/>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uiPriority w:val="99"/>
    <w:semiHidden/>
    <w:unhideWhenUsed/>
    <w:rsid w:val="00DB3DF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3DF0"/>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e-gov.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1D4B00-2F00-4028-A769-E597B9977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24</Pages>
  <Words>8964</Words>
  <Characters>51097</Characters>
  <Application>Microsoft Office Word</Application>
  <DocSecurity>0</DocSecurity>
  <Lines>425</Lines>
  <Paragraphs>119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59942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c:creator>
  <cp:keywords/>
  <dc:description/>
  <cp:lastModifiedBy>Սուսաննա Քարտաշյան</cp:lastModifiedBy>
  <cp:revision>10</cp:revision>
  <dcterms:created xsi:type="dcterms:W3CDTF">2018-06-26T12:11:00Z</dcterms:created>
  <dcterms:modified xsi:type="dcterms:W3CDTF">2024-02-02T13:32:00Z</dcterms:modified>
</cp:coreProperties>
</file>